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FD92E" w14:textId="77777777" w:rsidR="00022441" w:rsidRPr="002F5859" w:rsidRDefault="00022441" w:rsidP="00484B5D">
      <w:pPr>
        <w:autoSpaceDE w:val="0"/>
        <w:autoSpaceDN w:val="0"/>
        <w:adjustRightInd w:val="0"/>
        <w:spacing w:after="0" w:line="240" w:lineRule="auto"/>
        <w:rPr>
          <w:rFonts w:asciiTheme="minorHAnsi" w:hAnsiTheme="minorHAnsi" w:cstheme="minorHAnsi"/>
          <w:bCs/>
          <w:iCs/>
          <w:color w:val="000000"/>
          <w:sz w:val="23"/>
          <w:szCs w:val="23"/>
        </w:rPr>
      </w:pPr>
      <w:bookmarkStart w:id="0" w:name="_GoBack"/>
      <w:bookmarkEnd w:id="0"/>
    </w:p>
    <w:p w14:paraId="57DBB0B2" w14:textId="77777777" w:rsidR="00022441" w:rsidRPr="002F5859" w:rsidRDefault="00022441" w:rsidP="00022441">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22168797" w14:textId="77777777" w:rsidR="00022441" w:rsidRPr="002F5859" w:rsidRDefault="00022441" w:rsidP="005553DF">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555C670C" w14:textId="77777777" w:rsidR="00022441" w:rsidRPr="002F5859" w:rsidRDefault="00022441" w:rsidP="005553DF">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54EA243B" w14:textId="77777777" w:rsidR="00022441" w:rsidRPr="002F5859" w:rsidRDefault="00022441" w:rsidP="005553DF">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357CC25A" w14:textId="77777777" w:rsidR="00022441" w:rsidRPr="002F5859" w:rsidRDefault="00022441" w:rsidP="005553DF">
      <w:pPr>
        <w:autoSpaceDE w:val="0"/>
        <w:autoSpaceDN w:val="0"/>
        <w:adjustRightInd w:val="0"/>
        <w:spacing w:after="0" w:line="240" w:lineRule="auto"/>
        <w:rPr>
          <w:rFonts w:asciiTheme="minorHAnsi" w:hAnsiTheme="minorHAnsi" w:cstheme="minorHAnsi"/>
          <w:b/>
          <w:bCs/>
          <w:i/>
          <w:iCs/>
          <w:color w:val="000000"/>
          <w:sz w:val="23"/>
          <w:szCs w:val="23"/>
        </w:rPr>
      </w:pPr>
    </w:p>
    <w:p w14:paraId="0E38C526" w14:textId="5232F32D" w:rsidR="00022441" w:rsidRPr="005553DF" w:rsidRDefault="00C31563" w:rsidP="005553DF">
      <w:pPr>
        <w:autoSpaceDE w:val="0"/>
        <w:autoSpaceDN w:val="0"/>
        <w:adjustRightInd w:val="0"/>
        <w:spacing w:after="0" w:line="240" w:lineRule="auto"/>
        <w:jc w:val="center"/>
        <w:rPr>
          <w:rFonts w:asciiTheme="minorHAnsi" w:hAnsiTheme="minorHAnsi" w:cstheme="minorHAnsi"/>
          <w:b/>
          <w:bCs/>
          <w:i/>
          <w:iCs/>
          <w:color w:val="000000"/>
          <w:sz w:val="28"/>
          <w:szCs w:val="23"/>
        </w:rPr>
      </w:pPr>
      <w:r w:rsidRPr="005553DF">
        <w:rPr>
          <w:rFonts w:asciiTheme="minorHAnsi" w:hAnsiTheme="minorHAnsi" w:cstheme="minorHAnsi"/>
          <w:b/>
          <w:bCs/>
          <w:i/>
          <w:iCs/>
          <w:color w:val="000000"/>
          <w:sz w:val="28"/>
          <w:szCs w:val="23"/>
        </w:rPr>
        <w:t>H</w:t>
      </w:r>
      <w:r w:rsidR="00D147F0" w:rsidRPr="005553DF">
        <w:rPr>
          <w:rFonts w:asciiTheme="minorHAnsi" w:hAnsiTheme="minorHAnsi" w:cstheme="minorHAnsi"/>
          <w:b/>
          <w:bCs/>
          <w:i/>
          <w:iCs/>
          <w:color w:val="000000"/>
          <w:sz w:val="28"/>
          <w:szCs w:val="23"/>
        </w:rPr>
        <w:t xml:space="preserve">uman health </w:t>
      </w:r>
      <w:r w:rsidR="00CC5CDC" w:rsidRPr="005553DF">
        <w:rPr>
          <w:rFonts w:asciiTheme="minorHAnsi" w:hAnsiTheme="minorHAnsi" w:cstheme="minorHAnsi"/>
          <w:b/>
          <w:bCs/>
          <w:i/>
          <w:iCs/>
          <w:color w:val="000000"/>
          <w:sz w:val="28"/>
          <w:szCs w:val="23"/>
        </w:rPr>
        <w:t xml:space="preserve">effects of </w:t>
      </w:r>
      <w:r w:rsidRPr="005553DF">
        <w:rPr>
          <w:rFonts w:asciiTheme="minorHAnsi" w:hAnsiTheme="minorHAnsi" w:cstheme="minorHAnsi"/>
          <w:b/>
          <w:bCs/>
          <w:i/>
          <w:iCs/>
          <w:color w:val="000000"/>
          <w:sz w:val="28"/>
          <w:szCs w:val="23"/>
        </w:rPr>
        <w:t xml:space="preserve">drinking water </w:t>
      </w:r>
      <w:r w:rsidR="00CC5CDC" w:rsidRPr="005553DF">
        <w:rPr>
          <w:rFonts w:asciiTheme="minorHAnsi" w:hAnsiTheme="minorHAnsi" w:cstheme="minorHAnsi"/>
          <w:b/>
          <w:bCs/>
          <w:i/>
          <w:iCs/>
          <w:color w:val="000000"/>
          <w:sz w:val="28"/>
          <w:szCs w:val="23"/>
        </w:rPr>
        <w:t xml:space="preserve">exposures </w:t>
      </w:r>
      <w:r w:rsidR="001A6ACF" w:rsidRPr="005553DF">
        <w:rPr>
          <w:rFonts w:asciiTheme="minorHAnsi" w:hAnsiTheme="minorHAnsi" w:cstheme="minorHAnsi"/>
          <w:b/>
          <w:bCs/>
          <w:i/>
          <w:iCs/>
          <w:color w:val="000000"/>
          <w:sz w:val="28"/>
          <w:szCs w:val="23"/>
        </w:rPr>
        <w:t>to</w:t>
      </w:r>
      <w:r w:rsidR="00CC5CDC" w:rsidRPr="005553DF">
        <w:rPr>
          <w:rFonts w:asciiTheme="minorHAnsi" w:hAnsiTheme="minorHAnsi" w:cstheme="minorHAnsi"/>
          <w:b/>
          <w:bCs/>
          <w:i/>
          <w:iCs/>
          <w:color w:val="000000"/>
          <w:sz w:val="28"/>
          <w:szCs w:val="23"/>
        </w:rPr>
        <w:t xml:space="preserve"> </w:t>
      </w:r>
      <w:r w:rsidR="00D147F0" w:rsidRPr="005553DF">
        <w:rPr>
          <w:rFonts w:asciiTheme="minorHAnsi" w:hAnsiTheme="minorHAnsi" w:cstheme="minorHAnsi"/>
          <w:b/>
          <w:bCs/>
          <w:i/>
          <w:iCs/>
          <w:color w:val="000000"/>
          <w:sz w:val="28"/>
          <w:szCs w:val="23"/>
        </w:rPr>
        <w:t>per- and polyfluoroalkyl substances (PFAS)</w:t>
      </w:r>
      <w:r w:rsidR="00BA5697" w:rsidRPr="005553DF">
        <w:rPr>
          <w:rFonts w:asciiTheme="minorHAnsi" w:hAnsiTheme="minorHAnsi" w:cstheme="minorHAnsi"/>
          <w:b/>
          <w:bCs/>
          <w:i/>
          <w:iCs/>
          <w:color w:val="000000"/>
          <w:sz w:val="28"/>
          <w:szCs w:val="23"/>
        </w:rPr>
        <w:t xml:space="preserve"> at</w:t>
      </w:r>
      <w:r w:rsidR="000F4872" w:rsidRPr="005553DF">
        <w:rPr>
          <w:rFonts w:asciiTheme="minorHAnsi" w:hAnsiTheme="minorHAnsi" w:cstheme="minorHAnsi"/>
          <w:b/>
          <w:bCs/>
          <w:i/>
          <w:iCs/>
          <w:color w:val="000000"/>
          <w:sz w:val="28"/>
          <w:szCs w:val="23"/>
        </w:rPr>
        <w:t xml:space="preserve"> </w:t>
      </w:r>
      <w:r w:rsidR="00CC5CDC" w:rsidRPr="005553DF">
        <w:rPr>
          <w:rFonts w:asciiTheme="minorHAnsi" w:hAnsiTheme="minorHAnsi" w:cstheme="minorHAnsi"/>
          <w:b/>
          <w:bCs/>
          <w:i/>
          <w:iCs/>
          <w:color w:val="000000"/>
          <w:sz w:val="28"/>
          <w:szCs w:val="23"/>
        </w:rPr>
        <w:t>Pease International Tradeport</w:t>
      </w:r>
      <w:r w:rsidRPr="005553DF">
        <w:rPr>
          <w:rFonts w:asciiTheme="minorHAnsi" w:hAnsiTheme="minorHAnsi" w:cstheme="minorHAnsi"/>
          <w:b/>
          <w:bCs/>
          <w:i/>
          <w:iCs/>
          <w:color w:val="000000"/>
          <w:sz w:val="28"/>
          <w:szCs w:val="23"/>
        </w:rPr>
        <w:t xml:space="preserve">, </w:t>
      </w:r>
      <w:r w:rsidR="00CC5CDC" w:rsidRPr="005553DF">
        <w:rPr>
          <w:rFonts w:asciiTheme="minorHAnsi" w:hAnsiTheme="minorHAnsi" w:cstheme="minorHAnsi"/>
          <w:b/>
          <w:bCs/>
          <w:i/>
          <w:iCs/>
          <w:color w:val="000000"/>
          <w:sz w:val="28"/>
          <w:szCs w:val="23"/>
        </w:rPr>
        <w:t>Portsmouth, NH</w:t>
      </w:r>
    </w:p>
    <w:p w14:paraId="32EFFD1A" w14:textId="77777777" w:rsidR="00022441" w:rsidRPr="005553DF" w:rsidRDefault="00022441" w:rsidP="005553DF">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3BCD8E0F" w14:textId="77777777" w:rsidR="00022441" w:rsidRPr="005553DF" w:rsidRDefault="00BC44D8" w:rsidP="005553DF">
      <w:pPr>
        <w:spacing w:line="360" w:lineRule="auto"/>
        <w:jc w:val="center"/>
        <w:rPr>
          <w:rFonts w:asciiTheme="minorHAnsi" w:hAnsiTheme="minorHAnsi" w:cstheme="minorHAnsi"/>
          <w:b/>
          <w:sz w:val="24"/>
          <w:szCs w:val="24"/>
        </w:rPr>
      </w:pPr>
      <w:r w:rsidRPr="005553DF">
        <w:rPr>
          <w:rFonts w:asciiTheme="minorHAnsi" w:hAnsiTheme="minorHAnsi" w:cstheme="minorHAnsi"/>
          <w:b/>
          <w:sz w:val="24"/>
          <w:szCs w:val="24"/>
        </w:rPr>
        <w:t>(Pease Study</w:t>
      </w:r>
      <w:r w:rsidR="00055C8C" w:rsidRPr="005553DF">
        <w:rPr>
          <w:rFonts w:asciiTheme="minorHAnsi" w:hAnsiTheme="minorHAnsi" w:cstheme="minorHAnsi"/>
          <w:b/>
          <w:sz w:val="24"/>
          <w:szCs w:val="24"/>
        </w:rPr>
        <w:t xml:space="preserve"> – Proof of Concept</w:t>
      </w:r>
      <w:r w:rsidRPr="005553DF">
        <w:rPr>
          <w:rFonts w:asciiTheme="minorHAnsi" w:hAnsiTheme="minorHAnsi" w:cstheme="minorHAnsi"/>
          <w:b/>
          <w:sz w:val="24"/>
          <w:szCs w:val="24"/>
        </w:rPr>
        <w:t>)</w:t>
      </w:r>
    </w:p>
    <w:p w14:paraId="57CFB774" w14:textId="77777777" w:rsidR="00022441" w:rsidRPr="005553DF" w:rsidRDefault="00D723A5" w:rsidP="005553DF">
      <w:pPr>
        <w:spacing w:after="0" w:line="240" w:lineRule="auto"/>
        <w:jc w:val="center"/>
        <w:rPr>
          <w:rFonts w:asciiTheme="minorHAnsi" w:hAnsiTheme="minorHAnsi" w:cstheme="minorHAnsi"/>
          <w:b/>
          <w:bCs/>
          <w:sz w:val="24"/>
          <w:szCs w:val="24"/>
        </w:rPr>
      </w:pPr>
      <w:r w:rsidRPr="005553DF">
        <w:rPr>
          <w:rFonts w:asciiTheme="minorHAnsi" w:hAnsiTheme="minorHAnsi" w:cstheme="minorHAnsi"/>
          <w:b/>
          <w:bCs/>
          <w:sz w:val="24"/>
          <w:szCs w:val="24"/>
        </w:rPr>
        <w:t>Draft</w:t>
      </w:r>
      <w:r w:rsidR="00431F94" w:rsidRPr="005553DF">
        <w:rPr>
          <w:rFonts w:asciiTheme="minorHAnsi" w:hAnsiTheme="minorHAnsi" w:cstheme="minorHAnsi"/>
          <w:b/>
          <w:bCs/>
          <w:sz w:val="24"/>
          <w:szCs w:val="24"/>
        </w:rPr>
        <w:t xml:space="preserve"> </w:t>
      </w:r>
      <w:r w:rsidR="00022441" w:rsidRPr="005553DF">
        <w:rPr>
          <w:rFonts w:asciiTheme="minorHAnsi" w:hAnsiTheme="minorHAnsi" w:cstheme="minorHAnsi"/>
          <w:b/>
          <w:bCs/>
          <w:sz w:val="24"/>
          <w:szCs w:val="24"/>
        </w:rPr>
        <w:t>Protocol</w:t>
      </w:r>
    </w:p>
    <w:p w14:paraId="56BDCD75" w14:textId="6148106E" w:rsidR="00022441" w:rsidRPr="005553DF" w:rsidRDefault="00A25155" w:rsidP="005553D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August 2</w:t>
      </w:r>
      <w:r w:rsidR="007E3EEF" w:rsidRPr="005553DF">
        <w:rPr>
          <w:rFonts w:asciiTheme="minorHAnsi" w:hAnsiTheme="minorHAnsi" w:cstheme="minorHAnsi"/>
          <w:sz w:val="24"/>
          <w:szCs w:val="24"/>
        </w:rPr>
        <w:t>, 2018</w:t>
      </w:r>
    </w:p>
    <w:p w14:paraId="4A7FE60F" w14:textId="77777777" w:rsidR="00022441" w:rsidRPr="005553DF" w:rsidRDefault="00022441" w:rsidP="005553DF">
      <w:pPr>
        <w:spacing w:after="0" w:line="240" w:lineRule="auto"/>
        <w:rPr>
          <w:rFonts w:asciiTheme="minorHAnsi" w:hAnsiTheme="minorHAnsi" w:cstheme="minorHAnsi"/>
          <w:sz w:val="24"/>
          <w:szCs w:val="24"/>
        </w:rPr>
      </w:pPr>
    </w:p>
    <w:p w14:paraId="27A99E26" w14:textId="77777777" w:rsidR="00022441" w:rsidRPr="005553DF" w:rsidRDefault="00022441" w:rsidP="005553DF">
      <w:pPr>
        <w:spacing w:after="0" w:line="240" w:lineRule="auto"/>
        <w:rPr>
          <w:rFonts w:asciiTheme="minorHAnsi" w:hAnsiTheme="minorHAnsi" w:cstheme="minorHAnsi"/>
          <w:sz w:val="24"/>
          <w:szCs w:val="24"/>
        </w:rPr>
      </w:pPr>
    </w:p>
    <w:p w14:paraId="3124E355" w14:textId="77777777" w:rsidR="00022441" w:rsidRPr="005553DF" w:rsidRDefault="00022441" w:rsidP="005553DF">
      <w:pPr>
        <w:spacing w:after="0" w:line="240" w:lineRule="auto"/>
        <w:jc w:val="center"/>
        <w:rPr>
          <w:rFonts w:asciiTheme="minorHAnsi" w:hAnsiTheme="minorHAnsi" w:cstheme="minorHAnsi"/>
          <w:sz w:val="24"/>
          <w:szCs w:val="24"/>
        </w:rPr>
      </w:pPr>
    </w:p>
    <w:p w14:paraId="6F321150" w14:textId="77777777" w:rsidR="00942B6C" w:rsidRPr="005553DF" w:rsidRDefault="00942B6C" w:rsidP="005553DF">
      <w:pPr>
        <w:spacing w:after="0" w:line="240" w:lineRule="auto"/>
        <w:jc w:val="center"/>
        <w:rPr>
          <w:rFonts w:asciiTheme="minorHAnsi" w:hAnsiTheme="minorHAnsi" w:cstheme="minorHAnsi"/>
          <w:sz w:val="24"/>
          <w:szCs w:val="24"/>
        </w:rPr>
      </w:pPr>
    </w:p>
    <w:p w14:paraId="6ECF174E" w14:textId="77777777" w:rsidR="00942B6C" w:rsidRPr="005553DF" w:rsidRDefault="00942B6C" w:rsidP="005553DF">
      <w:pPr>
        <w:spacing w:after="0" w:line="240" w:lineRule="auto"/>
        <w:jc w:val="center"/>
        <w:rPr>
          <w:rFonts w:asciiTheme="minorHAnsi" w:hAnsiTheme="minorHAnsi" w:cstheme="minorHAnsi"/>
          <w:sz w:val="24"/>
          <w:szCs w:val="24"/>
        </w:rPr>
      </w:pPr>
    </w:p>
    <w:p w14:paraId="19BE053F" w14:textId="77777777" w:rsidR="00942B6C" w:rsidRPr="005553DF" w:rsidRDefault="00942B6C" w:rsidP="005553DF">
      <w:pPr>
        <w:spacing w:after="0" w:line="240" w:lineRule="auto"/>
        <w:jc w:val="center"/>
        <w:rPr>
          <w:rFonts w:asciiTheme="minorHAnsi" w:hAnsiTheme="minorHAnsi" w:cstheme="minorHAnsi"/>
          <w:sz w:val="24"/>
          <w:szCs w:val="24"/>
        </w:rPr>
      </w:pPr>
    </w:p>
    <w:p w14:paraId="29DC09BF" w14:textId="77777777" w:rsidR="00942B6C" w:rsidRPr="005553DF" w:rsidRDefault="00942B6C" w:rsidP="005553DF">
      <w:pPr>
        <w:spacing w:after="0" w:line="240" w:lineRule="auto"/>
        <w:jc w:val="center"/>
        <w:rPr>
          <w:rFonts w:asciiTheme="minorHAnsi" w:hAnsiTheme="minorHAnsi" w:cstheme="minorHAnsi"/>
          <w:sz w:val="24"/>
          <w:szCs w:val="24"/>
        </w:rPr>
      </w:pPr>
    </w:p>
    <w:p w14:paraId="796E9F47" w14:textId="77777777" w:rsidR="00022441" w:rsidRPr="005553DF" w:rsidRDefault="00022441" w:rsidP="005553DF">
      <w:pPr>
        <w:spacing w:after="0" w:line="240" w:lineRule="auto"/>
        <w:jc w:val="center"/>
        <w:rPr>
          <w:rFonts w:asciiTheme="minorHAnsi" w:hAnsiTheme="minorHAnsi" w:cstheme="minorHAnsi"/>
          <w:sz w:val="24"/>
          <w:szCs w:val="24"/>
        </w:rPr>
      </w:pPr>
    </w:p>
    <w:p w14:paraId="23E15E28" w14:textId="77777777" w:rsidR="00022441" w:rsidRPr="005553DF" w:rsidRDefault="00022441" w:rsidP="005553DF">
      <w:pPr>
        <w:spacing w:after="0" w:line="240" w:lineRule="auto"/>
        <w:jc w:val="center"/>
        <w:rPr>
          <w:rFonts w:asciiTheme="minorHAnsi" w:hAnsiTheme="minorHAnsi" w:cstheme="minorHAnsi"/>
          <w:sz w:val="24"/>
          <w:szCs w:val="24"/>
        </w:rPr>
      </w:pPr>
      <w:bookmarkStart w:id="1" w:name="_Toc298925932"/>
      <w:r w:rsidRPr="005553DF">
        <w:rPr>
          <w:rFonts w:asciiTheme="minorHAnsi" w:hAnsiTheme="minorHAnsi" w:cstheme="minorHAnsi"/>
          <w:sz w:val="24"/>
          <w:szCs w:val="24"/>
        </w:rPr>
        <w:t>Agency for Toxic Substances and Disease Registry</w:t>
      </w:r>
      <w:bookmarkEnd w:id="1"/>
    </w:p>
    <w:p w14:paraId="17E5E5A6" w14:textId="77777777" w:rsidR="00022441" w:rsidRPr="005553DF" w:rsidRDefault="00D723A5" w:rsidP="005553DF">
      <w:pPr>
        <w:spacing w:after="0" w:line="240" w:lineRule="auto"/>
        <w:jc w:val="center"/>
        <w:rPr>
          <w:rFonts w:asciiTheme="minorHAnsi" w:hAnsiTheme="minorHAnsi" w:cstheme="minorHAnsi"/>
          <w:sz w:val="24"/>
          <w:szCs w:val="24"/>
        </w:rPr>
      </w:pPr>
      <w:r w:rsidRPr="005553DF">
        <w:rPr>
          <w:rFonts w:asciiTheme="minorHAnsi" w:hAnsiTheme="minorHAnsi" w:cstheme="minorHAnsi"/>
          <w:sz w:val="24"/>
          <w:szCs w:val="24"/>
        </w:rPr>
        <w:t>National Center for Environmental Health</w:t>
      </w:r>
    </w:p>
    <w:p w14:paraId="69A7BEDC" w14:textId="77777777" w:rsidR="00022441" w:rsidRPr="005553DF" w:rsidRDefault="00022441" w:rsidP="005553DF">
      <w:pPr>
        <w:spacing w:after="0" w:line="240" w:lineRule="auto"/>
        <w:jc w:val="center"/>
        <w:rPr>
          <w:rFonts w:asciiTheme="minorHAnsi" w:hAnsiTheme="minorHAnsi" w:cstheme="minorHAnsi"/>
          <w:sz w:val="24"/>
          <w:szCs w:val="24"/>
        </w:rPr>
      </w:pPr>
    </w:p>
    <w:p w14:paraId="6351E88B" w14:textId="77777777" w:rsidR="00022441" w:rsidRPr="005553DF" w:rsidRDefault="00022441" w:rsidP="005553DF">
      <w:pPr>
        <w:spacing w:after="0" w:line="240" w:lineRule="auto"/>
        <w:jc w:val="center"/>
        <w:rPr>
          <w:rFonts w:asciiTheme="minorHAnsi" w:hAnsiTheme="minorHAnsi" w:cstheme="minorHAnsi"/>
          <w:sz w:val="24"/>
          <w:szCs w:val="24"/>
        </w:rPr>
      </w:pPr>
    </w:p>
    <w:p w14:paraId="5853088B" w14:textId="77777777" w:rsidR="00022441" w:rsidRPr="005553DF" w:rsidRDefault="00022441" w:rsidP="005553DF">
      <w:pPr>
        <w:spacing w:after="0" w:line="240" w:lineRule="auto"/>
        <w:jc w:val="center"/>
        <w:rPr>
          <w:rFonts w:asciiTheme="minorHAnsi" w:hAnsiTheme="minorHAnsi" w:cstheme="minorHAnsi"/>
          <w:sz w:val="24"/>
          <w:szCs w:val="24"/>
        </w:rPr>
      </w:pPr>
    </w:p>
    <w:p w14:paraId="047B937E" w14:textId="77777777" w:rsidR="00022441" w:rsidRPr="005553DF" w:rsidRDefault="00022441" w:rsidP="005553DF">
      <w:pPr>
        <w:spacing w:after="0" w:line="240" w:lineRule="auto"/>
        <w:jc w:val="center"/>
        <w:rPr>
          <w:rFonts w:asciiTheme="minorHAnsi" w:hAnsiTheme="minorHAnsi" w:cstheme="minorHAnsi"/>
          <w:sz w:val="24"/>
          <w:szCs w:val="24"/>
        </w:rPr>
      </w:pPr>
    </w:p>
    <w:p w14:paraId="13D5F7D5" w14:textId="77777777" w:rsidR="00022441" w:rsidRPr="005553DF" w:rsidRDefault="00022441" w:rsidP="005553DF">
      <w:pPr>
        <w:spacing w:after="0" w:line="240" w:lineRule="auto"/>
        <w:jc w:val="center"/>
        <w:rPr>
          <w:rFonts w:asciiTheme="minorHAnsi" w:hAnsiTheme="minorHAnsi" w:cstheme="minorHAnsi"/>
          <w:sz w:val="24"/>
          <w:szCs w:val="24"/>
        </w:rPr>
      </w:pPr>
    </w:p>
    <w:p w14:paraId="12915C8E" w14:textId="77777777" w:rsidR="00022441" w:rsidRPr="005553DF" w:rsidRDefault="00022441" w:rsidP="005553DF">
      <w:pPr>
        <w:spacing w:after="0" w:line="240" w:lineRule="auto"/>
        <w:jc w:val="center"/>
        <w:rPr>
          <w:rFonts w:asciiTheme="minorHAnsi" w:hAnsiTheme="minorHAnsi" w:cstheme="minorHAnsi"/>
          <w:bCs/>
          <w:i/>
          <w:iCs/>
          <w:color w:val="000000"/>
          <w:sz w:val="24"/>
          <w:szCs w:val="24"/>
        </w:rPr>
      </w:pPr>
      <w:r w:rsidRPr="005553DF">
        <w:rPr>
          <w:rFonts w:asciiTheme="minorHAnsi" w:hAnsiTheme="minorHAnsi" w:cstheme="minorHAnsi"/>
          <w:bCs/>
          <w:i/>
          <w:iCs/>
          <w:color w:val="000000"/>
          <w:sz w:val="24"/>
          <w:szCs w:val="24"/>
        </w:rPr>
        <w:t>This information is distributed solely for the purpose of pre-dissemination peer review under applicable information quality guidelines. It has not been formally disseminated by the Agency for Toxic Substances and Disease Registry. It does not represent and should not be construed to represent an agency determination or policy.</w:t>
      </w:r>
    </w:p>
    <w:p w14:paraId="6D987392" w14:textId="77777777" w:rsidR="00F37EB7" w:rsidRPr="005553DF" w:rsidRDefault="00022441" w:rsidP="005553DF">
      <w:pPr>
        <w:pStyle w:val="TOCHeading"/>
        <w:spacing w:before="0"/>
        <w:rPr>
          <w:rFonts w:asciiTheme="minorHAnsi" w:hAnsiTheme="minorHAnsi" w:cstheme="minorHAnsi"/>
          <w:b w:val="0"/>
          <w:sz w:val="22"/>
          <w:szCs w:val="22"/>
        </w:rPr>
      </w:pPr>
      <w:r w:rsidRPr="005553DF">
        <w:rPr>
          <w:rFonts w:asciiTheme="minorHAnsi" w:hAnsiTheme="minorHAnsi" w:cstheme="minorHAnsi"/>
          <w:bCs w:val="0"/>
          <w:i/>
          <w:iCs/>
          <w:color w:val="000000"/>
          <w:sz w:val="23"/>
          <w:szCs w:val="23"/>
        </w:rPr>
        <w:br w:type="page"/>
      </w:r>
      <w:r w:rsidR="008E180B" w:rsidRPr="005553DF" w:rsidDel="008E180B">
        <w:rPr>
          <w:rFonts w:asciiTheme="minorHAnsi" w:hAnsiTheme="minorHAnsi" w:cstheme="minorHAnsi"/>
          <w:b w:val="0"/>
          <w:sz w:val="22"/>
          <w:szCs w:val="22"/>
        </w:rPr>
        <w:lastRenderedPageBreak/>
        <w:t xml:space="preserve"> </w:t>
      </w:r>
    </w:p>
    <w:sdt>
      <w:sdtPr>
        <w:rPr>
          <w:rFonts w:asciiTheme="minorHAnsi" w:eastAsia="Calibri" w:hAnsiTheme="minorHAnsi" w:cstheme="minorHAnsi"/>
          <w:b w:val="0"/>
          <w:bCs w:val="0"/>
          <w:color w:val="auto"/>
          <w:sz w:val="22"/>
          <w:szCs w:val="22"/>
        </w:rPr>
        <w:id w:val="2144457759"/>
        <w:docPartObj>
          <w:docPartGallery w:val="Table of Contents"/>
          <w:docPartUnique/>
        </w:docPartObj>
      </w:sdtPr>
      <w:sdtEndPr>
        <w:rPr>
          <w:rFonts w:cs="Times New Roman"/>
          <w:noProof/>
        </w:rPr>
      </w:sdtEndPr>
      <w:sdtContent>
        <w:p w14:paraId="0C96ACE4" w14:textId="77777777" w:rsidR="00F221A9" w:rsidRPr="005553DF" w:rsidRDefault="00F221A9" w:rsidP="005553DF">
          <w:pPr>
            <w:pStyle w:val="TOCHeading"/>
            <w:spacing w:before="0"/>
            <w:rPr>
              <w:rFonts w:asciiTheme="minorHAnsi" w:hAnsiTheme="minorHAnsi" w:cstheme="minorHAnsi"/>
              <w:b w:val="0"/>
              <w:sz w:val="22"/>
              <w:szCs w:val="22"/>
            </w:rPr>
          </w:pPr>
          <w:r w:rsidRPr="005553DF">
            <w:rPr>
              <w:rFonts w:asciiTheme="minorHAnsi" w:hAnsiTheme="minorHAnsi" w:cstheme="minorHAnsi"/>
              <w:color w:val="auto"/>
              <w:sz w:val="22"/>
              <w:szCs w:val="22"/>
            </w:rPr>
            <w:t>Table of Contents</w:t>
          </w:r>
        </w:p>
        <w:p w14:paraId="0B735C41" w14:textId="77777777" w:rsidR="00F221A9" w:rsidRPr="005553DF" w:rsidRDefault="00F221A9" w:rsidP="005553DF">
          <w:pPr>
            <w:spacing w:after="0"/>
            <w:rPr>
              <w:rFonts w:asciiTheme="minorHAnsi" w:hAnsiTheme="minorHAnsi" w:cstheme="minorHAnsi"/>
            </w:rPr>
          </w:pPr>
        </w:p>
        <w:p w14:paraId="231E26CE" w14:textId="05BE86E6" w:rsidR="00532AE4" w:rsidRDefault="00E67716">
          <w:pPr>
            <w:pStyle w:val="TOC1"/>
            <w:rPr>
              <w:rFonts w:asciiTheme="minorHAnsi" w:eastAsiaTheme="minorEastAsia" w:hAnsiTheme="minorHAnsi" w:cstheme="minorBidi"/>
              <w:noProof/>
            </w:rPr>
          </w:pPr>
          <w:r w:rsidRPr="005553DF">
            <w:rPr>
              <w:rFonts w:asciiTheme="minorHAnsi" w:hAnsiTheme="minorHAnsi" w:cstheme="minorHAnsi"/>
            </w:rPr>
            <w:fldChar w:fldCharType="begin"/>
          </w:r>
          <w:r w:rsidRPr="005553DF">
            <w:rPr>
              <w:rFonts w:asciiTheme="minorHAnsi" w:hAnsiTheme="minorHAnsi" w:cstheme="minorHAnsi"/>
            </w:rPr>
            <w:instrText xml:space="preserve"> TOC \o "1-5" \h \z \u </w:instrText>
          </w:r>
          <w:r w:rsidRPr="005553DF">
            <w:rPr>
              <w:rFonts w:asciiTheme="minorHAnsi" w:hAnsiTheme="minorHAnsi" w:cstheme="minorHAnsi"/>
            </w:rPr>
            <w:fldChar w:fldCharType="separate"/>
          </w:r>
          <w:hyperlink w:anchor="_Toc532224129" w:history="1">
            <w:r w:rsidR="00532AE4" w:rsidRPr="00C406C4">
              <w:rPr>
                <w:rStyle w:val="Hyperlink"/>
                <w:rFonts w:cstheme="minorHAnsi"/>
                <w:noProof/>
              </w:rPr>
              <w:t>1. PROJECT OVERVIEW</w:t>
            </w:r>
            <w:r w:rsidR="00532AE4">
              <w:rPr>
                <w:noProof/>
                <w:webHidden/>
              </w:rPr>
              <w:tab/>
            </w:r>
            <w:r w:rsidR="00532AE4">
              <w:rPr>
                <w:noProof/>
                <w:webHidden/>
              </w:rPr>
              <w:fldChar w:fldCharType="begin"/>
            </w:r>
            <w:r w:rsidR="00532AE4">
              <w:rPr>
                <w:noProof/>
                <w:webHidden/>
              </w:rPr>
              <w:instrText xml:space="preserve"> PAGEREF _Toc532224129 \h </w:instrText>
            </w:r>
            <w:r w:rsidR="00532AE4">
              <w:rPr>
                <w:noProof/>
                <w:webHidden/>
              </w:rPr>
            </w:r>
            <w:r w:rsidR="00532AE4">
              <w:rPr>
                <w:noProof/>
                <w:webHidden/>
              </w:rPr>
              <w:fldChar w:fldCharType="separate"/>
            </w:r>
            <w:r w:rsidR="00532AE4">
              <w:rPr>
                <w:noProof/>
                <w:webHidden/>
              </w:rPr>
              <w:t>7</w:t>
            </w:r>
            <w:r w:rsidR="00532AE4">
              <w:rPr>
                <w:noProof/>
                <w:webHidden/>
              </w:rPr>
              <w:fldChar w:fldCharType="end"/>
            </w:r>
          </w:hyperlink>
        </w:p>
        <w:p w14:paraId="56C3797D" w14:textId="330A51DE" w:rsidR="00532AE4" w:rsidRDefault="00313373">
          <w:pPr>
            <w:pStyle w:val="TOC2"/>
            <w:rPr>
              <w:rFonts w:asciiTheme="minorHAnsi" w:eastAsiaTheme="minorEastAsia" w:hAnsiTheme="minorHAnsi" w:cstheme="minorBidi"/>
              <w:noProof/>
            </w:rPr>
          </w:pPr>
          <w:hyperlink w:anchor="_Toc532224130" w:history="1">
            <w:r w:rsidR="00532AE4" w:rsidRPr="00C406C4">
              <w:rPr>
                <w:rStyle w:val="Hyperlink"/>
                <w:noProof/>
              </w:rPr>
              <w:t xml:space="preserve">1.1 </w:t>
            </w:r>
            <w:r w:rsidR="00532AE4" w:rsidRPr="00C406C4">
              <w:rPr>
                <w:rStyle w:val="Hyperlink"/>
                <w:rFonts w:cstheme="minorHAnsi"/>
                <w:noProof/>
              </w:rPr>
              <w:t>Summary</w:t>
            </w:r>
            <w:r w:rsidR="00532AE4">
              <w:rPr>
                <w:noProof/>
                <w:webHidden/>
              </w:rPr>
              <w:tab/>
            </w:r>
            <w:r w:rsidR="00532AE4">
              <w:rPr>
                <w:noProof/>
                <w:webHidden/>
              </w:rPr>
              <w:fldChar w:fldCharType="begin"/>
            </w:r>
            <w:r w:rsidR="00532AE4">
              <w:rPr>
                <w:noProof/>
                <w:webHidden/>
              </w:rPr>
              <w:instrText xml:space="preserve"> PAGEREF _Toc532224130 \h </w:instrText>
            </w:r>
            <w:r w:rsidR="00532AE4">
              <w:rPr>
                <w:noProof/>
                <w:webHidden/>
              </w:rPr>
            </w:r>
            <w:r w:rsidR="00532AE4">
              <w:rPr>
                <w:noProof/>
                <w:webHidden/>
              </w:rPr>
              <w:fldChar w:fldCharType="separate"/>
            </w:r>
            <w:r w:rsidR="00532AE4">
              <w:rPr>
                <w:noProof/>
                <w:webHidden/>
              </w:rPr>
              <w:t>7</w:t>
            </w:r>
            <w:r w:rsidR="00532AE4">
              <w:rPr>
                <w:noProof/>
                <w:webHidden/>
              </w:rPr>
              <w:fldChar w:fldCharType="end"/>
            </w:r>
          </w:hyperlink>
        </w:p>
        <w:p w14:paraId="24188348" w14:textId="531F6194" w:rsidR="00532AE4" w:rsidRDefault="00313373">
          <w:pPr>
            <w:pStyle w:val="TOC3"/>
            <w:rPr>
              <w:rFonts w:asciiTheme="minorHAnsi" w:eastAsiaTheme="minorEastAsia" w:hAnsiTheme="minorHAnsi" w:cstheme="minorBidi"/>
              <w:noProof/>
            </w:rPr>
          </w:pPr>
          <w:hyperlink w:anchor="_Toc532224131" w:history="1">
            <w:r w:rsidR="00532AE4" w:rsidRPr="00C406C4">
              <w:rPr>
                <w:rStyle w:val="Hyperlink"/>
                <w:rFonts w:cstheme="minorHAnsi"/>
                <w:i/>
                <w:noProof/>
              </w:rPr>
              <w:t>1.1.1 Literature Review</w:t>
            </w:r>
            <w:r w:rsidR="00532AE4">
              <w:rPr>
                <w:noProof/>
                <w:webHidden/>
              </w:rPr>
              <w:tab/>
            </w:r>
            <w:r w:rsidR="00532AE4">
              <w:rPr>
                <w:noProof/>
                <w:webHidden/>
              </w:rPr>
              <w:fldChar w:fldCharType="begin"/>
            </w:r>
            <w:r w:rsidR="00532AE4">
              <w:rPr>
                <w:noProof/>
                <w:webHidden/>
              </w:rPr>
              <w:instrText xml:space="preserve"> PAGEREF _Toc532224131 \h </w:instrText>
            </w:r>
            <w:r w:rsidR="00532AE4">
              <w:rPr>
                <w:noProof/>
                <w:webHidden/>
              </w:rPr>
            </w:r>
            <w:r w:rsidR="00532AE4">
              <w:rPr>
                <w:noProof/>
                <w:webHidden/>
              </w:rPr>
              <w:fldChar w:fldCharType="separate"/>
            </w:r>
            <w:r w:rsidR="00532AE4">
              <w:rPr>
                <w:noProof/>
                <w:webHidden/>
              </w:rPr>
              <w:t>7</w:t>
            </w:r>
            <w:r w:rsidR="00532AE4">
              <w:rPr>
                <w:noProof/>
                <w:webHidden/>
              </w:rPr>
              <w:fldChar w:fldCharType="end"/>
            </w:r>
          </w:hyperlink>
        </w:p>
        <w:p w14:paraId="5B7136F3" w14:textId="0269FD07" w:rsidR="00532AE4" w:rsidRDefault="00313373">
          <w:pPr>
            <w:pStyle w:val="TOC3"/>
            <w:rPr>
              <w:rFonts w:asciiTheme="minorHAnsi" w:eastAsiaTheme="minorEastAsia" w:hAnsiTheme="minorHAnsi" w:cstheme="minorBidi"/>
              <w:noProof/>
            </w:rPr>
          </w:pPr>
          <w:hyperlink w:anchor="_Toc532224132" w:history="1">
            <w:r w:rsidR="00532AE4" w:rsidRPr="00C406C4">
              <w:rPr>
                <w:rStyle w:val="Hyperlink"/>
                <w:rFonts w:cstheme="minorHAnsi"/>
                <w:i/>
                <w:noProof/>
              </w:rPr>
              <w:t>1.1.2 Pease Site History</w:t>
            </w:r>
            <w:r w:rsidR="00532AE4">
              <w:rPr>
                <w:noProof/>
                <w:webHidden/>
              </w:rPr>
              <w:tab/>
            </w:r>
            <w:r w:rsidR="00532AE4">
              <w:rPr>
                <w:noProof/>
                <w:webHidden/>
              </w:rPr>
              <w:fldChar w:fldCharType="begin"/>
            </w:r>
            <w:r w:rsidR="00532AE4">
              <w:rPr>
                <w:noProof/>
                <w:webHidden/>
              </w:rPr>
              <w:instrText xml:space="preserve"> PAGEREF _Toc532224132 \h </w:instrText>
            </w:r>
            <w:r w:rsidR="00532AE4">
              <w:rPr>
                <w:noProof/>
                <w:webHidden/>
              </w:rPr>
            </w:r>
            <w:r w:rsidR="00532AE4">
              <w:rPr>
                <w:noProof/>
                <w:webHidden/>
              </w:rPr>
              <w:fldChar w:fldCharType="separate"/>
            </w:r>
            <w:r w:rsidR="00532AE4">
              <w:rPr>
                <w:noProof/>
                <w:webHidden/>
              </w:rPr>
              <w:t>8</w:t>
            </w:r>
            <w:r w:rsidR="00532AE4">
              <w:rPr>
                <w:noProof/>
                <w:webHidden/>
              </w:rPr>
              <w:fldChar w:fldCharType="end"/>
            </w:r>
          </w:hyperlink>
        </w:p>
        <w:p w14:paraId="2155E14B" w14:textId="54D8026C" w:rsidR="00532AE4" w:rsidRDefault="00313373">
          <w:pPr>
            <w:pStyle w:val="TOC3"/>
            <w:rPr>
              <w:rFonts w:asciiTheme="minorHAnsi" w:eastAsiaTheme="minorEastAsia" w:hAnsiTheme="minorHAnsi" w:cstheme="minorBidi"/>
              <w:noProof/>
            </w:rPr>
          </w:pPr>
          <w:hyperlink w:anchor="_Toc532224133" w:history="1">
            <w:r w:rsidR="00532AE4" w:rsidRPr="00C406C4">
              <w:rPr>
                <w:rStyle w:val="Hyperlink"/>
                <w:rFonts w:cstheme="minorHAnsi"/>
                <w:i/>
                <w:noProof/>
              </w:rPr>
              <w:t>1.1.3 Health Study Feasibility Assessment</w:t>
            </w:r>
            <w:r w:rsidR="00532AE4">
              <w:rPr>
                <w:noProof/>
                <w:webHidden/>
              </w:rPr>
              <w:tab/>
            </w:r>
            <w:r w:rsidR="00532AE4">
              <w:rPr>
                <w:noProof/>
                <w:webHidden/>
              </w:rPr>
              <w:fldChar w:fldCharType="begin"/>
            </w:r>
            <w:r w:rsidR="00532AE4">
              <w:rPr>
                <w:noProof/>
                <w:webHidden/>
              </w:rPr>
              <w:instrText xml:space="preserve"> PAGEREF _Toc532224133 \h </w:instrText>
            </w:r>
            <w:r w:rsidR="00532AE4">
              <w:rPr>
                <w:noProof/>
                <w:webHidden/>
              </w:rPr>
            </w:r>
            <w:r w:rsidR="00532AE4">
              <w:rPr>
                <w:noProof/>
                <w:webHidden/>
              </w:rPr>
              <w:fldChar w:fldCharType="separate"/>
            </w:r>
            <w:r w:rsidR="00532AE4">
              <w:rPr>
                <w:noProof/>
                <w:webHidden/>
              </w:rPr>
              <w:t>8</w:t>
            </w:r>
            <w:r w:rsidR="00532AE4">
              <w:rPr>
                <w:noProof/>
                <w:webHidden/>
              </w:rPr>
              <w:fldChar w:fldCharType="end"/>
            </w:r>
          </w:hyperlink>
        </w:p>
        <w:p w14:paraId="76B0CBFD" w14:textId="3B0DEA14" w:rsidR="00532AE4" w:rsidRDefault="00313373">
          <w:pPr>
            <w:pStyle w:val="TOC3"/>
            <w:rPr>
              <w:rFonts w:asciiTheme="minorHAnsi" w:eastAsiaTheme="minorEastAsia" w:hAnsiTheme="minorHAnsi" w:cstheme="minorBidi"/>
              <w:noProof/>
            </w:rPr>
          </w:pPr>
          <w:hyperlink w:anchor="_Toc532224134" w:history="1">
            <w:r w:rsidR="00532AE4" w:rsidRPr="00C406C4">
              <w:rPr>
                <w:rStyle w:val="Hyperlink"/>
                <w:rFonts w:cstheme="minorHAnsi"/>
                <w:i/>
                <w:noProof/>
              </w:rPr>
              <w:t>1.1.4 Summary of</w:t>
            </w:r>
            <w:r w:rsidR="00532AE4" w:rsidRPr="00C406C4">
              <w:rPr>
                <w:rStyle w:val="Hyperlink"/>
                <w:i/>
                <w:noProof/>
              </w:rPr>
              <w:t xml:space="preserve"> Pease Study</w:t>
            </w:r>
            <w:r w:rsidR="00532AE4" w:rsidRPr="00C406C4">
              <w:rPr>
                <w:rStyle w:val="Hyperlink"/>
                <w:rFonts w:cstheme="minorHAnsi"/>
                <w:i/>
                <w:noProof/>
              </w:rPr>
              <w:t xml:space="preserve"> Goals</w:t>
            </w:r>
            <w:r w:rsidR="00532AE4">
              <w:rPr>
                <w:noProof/>
                <w:webHidden/>
              </w:rPr>
              <w:tab/>
            </w:r>
            <w:r w:rsidR="00532AE4">
              <w:rPr>
                <w:noProof/>
                <w:webHidden/>
              </w:rPr>
              <w:fldChar w:fldCharType="begin"/>
            </w:r>
            <w:r w:rsidR="00532AE4">
              <w:rPr>
                <w:noProof/>
                <w:webHidden/>
              </w:rPr>
              <w:instrText xml:space="preserve"> PAGEREF _Toc532224134 \h </w:instrText>
            </w:r>
            <w:r w:rsidR="00532AE4">
              <w:rPr>
                <w:noProof/>
                <w:webHidden/>
              </w:rPr>
            </w:r>
            <w:r w:rsidR="00532AE4">
              <w:rPr>
                <w:noProof/>
                <w:webHidden/>
              </w:rPr>
              <w:fldChar w:fldCharType="separate"/>
            </w:r>
            <w:r w:rsidR="00532AE4">
              <w:rPr>
                <w:noProof/>
                <w:webHidden/>
              </w:rPr>
              <w:t>9</w:t>
            </w:r>
            <w:r w:rsidR="00532AE4">
              <w:rPr>
                <w:noProof/>
                <w:webHidden/>
              </w:rPr>
              <w:fldChar w:fldCharType="end"/>
            </w:r>
          </w:hyperlink>
        </w:p>
        <w:p w14:paraId="778EAFA1" w14:textId="7CDF9F0F" w:rsidR="00532AE4" w:rsidRDefault="00313373">
          <w:pPr>
            <w:pStyle w:val="TOC2"/>
            <w:rPr>
              <w:rFonts w:asciiTheme="minorHAnsi" w:eastAsiaTheme="minorEastAsia" w:hAnsiTheme="minorHAnsi" w:cstheme="minorBidi"/>
              <w:noProof/>
            </w:rPr>
          </w:pPr>
          <w:hyperlink w:anchor="_Toc532224135" w:history="1">
            <w:r w:rsidR="00532AE4" w:rsidRPr="00C406C4">
              <w:rPr>
                <w:rStyle w:val="Hyperlink"/>
                <w:rFonts w:cstheme="minorHAnsi"/>
                <w:noProof/>
              </w:rPr>
              <w:t>1.2 Study Investigators and Roles</w:t>
            </w:r>
            <w:r w:rsidR="00532AE4">
              <w:rPr>
                <w:noProof/>
                <w:webHidden/>
              </w:rPr>
              <w:tab/>
            </w:r>
            <w:r w:rsidR="00532AE4">
              <w:rPr>
                <w:noProof/>
                <w:webHidden/>
              </w:rPr>
              <w:fldChar w:fldCharType="begin"/>
            </w:r>
            <w:r w:rsidR="00532AE4">
              <w:rPr>
                <w:noProof/>
                <w:webHidden/>
              </w:rPr>
              <w:instrText xml:space="preserve"> PAGEREF _Toc532224135 \h </w:instrText>
            </w:r>
            <w:r w:rsidR="00532AE4">
              <w:rPr>
                <w:noProof/>
                <w:webHidden/>
              </w:rPr>
            </w:r>
            <w:r w:rsidR="00532AE4">
              <w:rPr>
                <w:noProof/>
                <w:webHidden/>
              </w:rPr>
              <w:fldChar w:fldCharType="separate"/>
            </w:r>
            <w:r w:rsidR="00532AE4">
              <w:rPr>
                <w:noProof/>
                <w:webHidden/>
              </w:rPr>
              <w:t>11</w:t>
            </w:r>
            <w:r w:rsidR="00532AE4">
              <w:rPr>
                <w:noProof/>
                <w:webHidden/>
              </w:rPr>
              <w:fldChar w:fldCharType="end"/>
            </w:r>
          </w:hyperlink>
        </w:p>
        <w:p w14:paraId="37F4A41B" w14:textId="1D0B9916" w:rsidR="00532AE4" w:rsidRDefault="00313373">
          <w:pPr>
            <w:pStyle w:val="TOC1"/>
            <w:rPr>
              <w:rFonts w:asciiTheme="minorHAnsi" w:eastAsiaTheme="minorEastAsia" w:hAnsiTheme="minorHAnsi" w:cstheme="minorBidi"/>
              <w:noProof/>
            </w:rPr>
          </w:pPr>
          <w:hyperlink w:anchor="_Toc532224136" w:history="1">
            <w:r w:rsidR="00532AE4" w:rsidRPr="00C406C4">
              <w:rPr>
                <w:rStyle w:val="Hyperlink"/>
                <w:rFonts w:cstheme="minorHAnsi"/>
                <w:noProof/>
              </w:rPr>
              <w:t>2. INTRODUCTION</w:t>
            </w:r>
            <w:r w:rsidR="00532AE4">
              <w:rPr>
                <w:noProof/>
                <w:webHidden/>
              </w:rPr>
              <w:tab/>
            </w:r>
            <w:r w:rsidR="00532AE4">
              <w:rPr>
                <w:noProof/>
                <w:webHidden/>
              </w:rPr>
              <w:fldChar w:fldCharType="begin"/>
            </w:r>
            <w:r w:rsidR="00532AE4">
              <w:rPr>
                <w:noProof/>
                <w:webHidden/>
              </w:rPr>
              <w:instrText xml:space="preserve"> PAGEREF _Toc532224136 \h </w:instrText>
            </w:r>
            <w:r w:rsidR="00532AE4">
              <w:rPr>
                <w:noProof/>
                <w:webHidden/>
              </w:rPr>
            </w:r>
            <w:r w:rsidR="00532AE4">
              <w:rPr>
                <w:noProof/>
                <w:webHidden/>
              </w:rPr>
              <w:fldChar w:fldCharType="separate"/>
            </w:r>
            <w:r w:rsidR="00532AE4">
              <w:rPr>
                <w:noProof/>
                <w:webHidden/>
              </w:rPr>
              <w:t>11</w:t>
            </w:r>
            <w:r w:rsidR="00532AE4">
              <w:rPr>
                <w:noProof/>
                <w:webHidden/>
              </w:rPr>
              <w:fldChar w:fldCharType="end"/>
            </w:r>
          </w:hyperlink>
        </w:p>
        <w:p w14:paraId="3F4879F3" w14:textId="7F9C7D08" w:rsidR="00532AE4" w:rsidRDefault="00313373">
          <w:pPr>
            <w:pStyle w:val="TOC2"/>
            <w:rPr>
              <w:rFonts w:asciiTheme="minorHAnsi" w:eastAsiaTheme="minorEastAsia" w:hAnsiTheme="minorHAnsi" w:cstheme="minorBidi"/>
              <w:noProof/>
            </w:rPr>
          </w:pPr>
          <w:hyperlink w:anchor="_Toc532224137" w:history="1">
            <w:r w:rsidR="00532AE4" w:rsidRPr="00C406C4">
              <w:rPr>
                <w:rStyle w:val="Hyperlink"/>
                <w:rFonts w:cstheme="minorHAnsi"/>
                <w:noProof/>
              </w:rPr>
              <w:t>2.1 Authority</w:t>
            </w:r>
            <w:r w:rsidR="00532AE4">
              <w:rPr>
                <w:noProof/>
                <w:webHidden/>
              </w:rPr>
              <w:tab/>
            </w:r>
            <w:r w:rsidR="00532AE4">
              <w:rPr>
                <w:noProof/>
                <w:webHidden/>
              </w:rPr>
              <w:fldChar w:fldCharType="begin"/>
            </w:r>
            <w:r w:rsidR="00532AE4">
              <w:rPr>
                <w:noProof/>
                <w:webHidden/>
              </w:rPr>
              <w:instrText xml:space="preserve"> PAGEREF _Toc532224137 \h </w:instrText>
            </w:r>
            <w:r w:rsidR="00532AE4">
              <w:rPr>
                <w:noProof/>
                <w:webHidden/>
              </w:rPr>
            </w:r>
            <w:r w:rsidR="00532AE4">
              <w:rPr>
                <w:noProof/>
                <w:webHidden/>
              </w:rPr>
              <w:fldChar w:fldCharType="separate"/>
            </w:r>
            <w:r w:rsidR="00532AE4">
              <w:rPr>
                <w:noProof/>
                <w:webHidden/>
              </w:rPr>
              <w:t>12</w:t>
            </w:r>
            <w:r w:rsidR="00532AE4">
              <w:rPr>
                <w:noProof/>
                <w:webHidden/>
              </w:rPr>
              <w:fldChar w:fldCharType="end"/>
            </w:r>
          </w:hyperlink>
        </w:p>
        <w:p w14:paraId="5A7B2675" w14:textId="445989DD" w:rsidR="00532AE4" w:rsidRDefault="00313373">
          <w:pPr>
            <w:pStyle w:val="TOC2"/>
            <w:rPr>
              <w:rFonts w:asciiTheme="minorHAnsi" w:eastAsiaTheme="minorEastAsia" w:hAnsiTheme="minorHAnsi" w:cstheme="minorBidi"/>
              <w:noProof/>
            </w:rPr>
          </w:pPr>
          <w:hyperlink w:anchor="_Toc532224138" w:history="1">
            <w:r w:rsidR="00532AE4" w:rsidRPr="00C406C4">
              <w:rPr>
                <w:rStyle w:val="Hyperlink"/>
                <w:rFonts w:cstheme="minorHAnsi"/>
                <w:noProof/>
              </w:rPr>
              <w:t>2.2 Background</w:t>
            </w:r>
            <w:r w:rsidR="00532AE4">
              <w:rPr>
                <w:noProof/>
                <w:webHidden/>
              </w:rPr>
              <w:tab/>
            </w:r>
            <w:r w:rsidR="00532AE4">
              <w:rPr>
                <w:noProof/>
                <w:webHidden/>
              </w:rPr>
              <w:fldChar w:fldCharType="begin"/>
            </w:r>
            <w:r w:rsidR="00532AE4">
              <w:rPr>
                <w:noProof/>
                <w:webHidden/>
              </w:rPr>
              <w:instrText xml:space="preserve"> PAGEREF _Toc532224138 \h </w:instrText>
            </w:r>
            <w:r w:rsidR="00532AE4">
              <w:rPr>
                <w:noProof/>
                <w:webHidden/>
              </w:rPr>
            </w:r>
            <w:r w:rsidR="00532AE4">
              <w:rPr>
                <w:noProof/>
                <w:webHidden/>
              </w:rPr>
              <w:fldChar w:fldCharType="separate"/>
            </w:r>
            <w:r w:rsidR="00532AE4">
              <w:rPr>
                <w:noProof/>
                <w:webHidden/>
              </w:rPr>
              <w:t>12</w:t>
            </w:r>
            <w:r w:rsidR="00532AE4">
              <w:rPr>
                <w:noProof/>
                <w:webHidden/>
              </w:rPr>
              <w:fldChar w:fldCharType="end"/>
            </w:r>
          </w:hyperlink>
        </w:p>
        <w:p w14:paraId="417F45C6" w14:textId="01D21CAD" w:rsidR="00532AE4" w:rsidRDefault="00313373">
          <w:pPr>
            <w:pStyle w:val="TOC3"/>
            <w:rPr>
              <w:rFonts w:asciiTheme="minorHAnsi" w:eastAsiaTheme="minorEastAsia" w:hAnsiTheme="minorHAnsi" w:cstheme="minorBidi"/>
              <w:noProof/>
            </w:rPr>
          </w:pPr>
          <w:hyperlink w:anchor="_Toc532224139" w:history="1">
            <w:r w:rsidR="00532AE4" w:rsidRPr="00C406C4">
              <w:rPr>
                <w:rStyle w:val="Hyperlink"/>
                <w:rFonts w:cstheme="minorHAnsi"/>
                <w:i/>
                <w:noProof/>
              </w:rPr>
              <w:t>2.2.1 Characterization of Pease Drinking Water PFAS Contamination</w:t>
            </w:r>
            <w:r w:rsidR="00532AE4">
              <w:rPr>
                <w:noProof/>
                <w:webHidden/>
              </w:rPr>
              <w:tab/>
            </w:r>
            <w:r w:rsidR="00532AE4">
              <w:rPr>
                <w:noProof/>
                <w:webHidden/>
              </w:rPr>
              <w:fldChar w:fldCharType="begin"/>
            </w:r>
            <w:r w:rsidR="00532AE4">
              <w:rPr>
                <w:noProof/>
                <w:webHidden/>
              </w:rPr>
              <w:instrText xml:space="preserve"> PAGEREF _Toc532224139 \h </w:instrText>
            </w:r>
            <w:r w:rsidR="00532AE4">
              <w:rPr>
                <w:noProof/>
                <w:webHidden/>
              </w:rPr>
            </w:r>
            <w:r w:rsidR="00532AE4">
              <w:rPr>
                <w:noProof/>
                <w:webHidden/>
              </w:rPr>
              <w:fldChar w:fldCharType="separate"/>
            </w:r>
            <w:r w:rsidR="00532AE4">
              <w:rPr>
                <w:noProof/>
                <w:webHidden/>
              </w:rPr>
              <w:t>12</w:t>
            </w:r>
            <w:r w:rsidR="00532AE4">
              <w:rPr>
                <w:noProof/>
                <w:webHidden/>
              </w:rPr>
              <w:fldChar w:fldCharType="end"/>
            </w:r>
          </w:hyperlink>
        </w:p>
        <w:p w14:paraId="4AA48CA7" w14:textId="21520504" w:rsidR="00532AE4" w:rsidRDefault="00313373">
          <w:pPr>
            <w:pStyle w:val="TOC3"/>
            <w:rPr>
              <w:rFonts w:asciiTheme="minorHAnsi" w:eastAsiaTheme="minorEastAsia" w:hAnsiTheme="minorHAnsi" w:cstheme="minorBidi"/>
              <w:noProof/>
            </w:rPr>
          </w:pPr>
          <w:hyperlink w:anchor="_Toc532224140" w:history="1">
            <w:r w:rsidR="00532AE4" w:rsidRPr="00C406C4">
              <w:rPr>
                <w:rStyle w:val="Hyperlink"/>
                <w:rFonts w:cstheme="minorHAnsi"/>
                <w:i/>
                <w:noProof/>
              </w:rPr>
              <w:t>2.2.2 2015 Pease Biomonitoring Program</w:t>
            </w:r>
            <w:r w:rsidR="00532AE4">
              <w:rPr>
                <w:noProof/>
                <w:webHidden/>
              </w:rPr>
              <w:tab/>
            </w:r>
            <w:r w:rsidR="00532AE4">
              <w:rPr>
                <w:noProof/>
                <w:webHidden/>
              </w:rPr>
              <w:fldChar w:fldCharType="begin"/>
            </w:r>
            <w:r w:rsidR="00532AE4">
              <w:rPr>
                <w:noProof/>
                <w:webHidden/>
              </w:rPr>
              <w:instrText xml:space="preserve"> PAGEREF _Toc532224140 \h </w:instrText>
            </w:r>
            <w:r w:rsidR="00532AE4">
              <w:rPr>
                <w:noProof/>
                <w:webHidden/>
              </w:rPr>
            </w:r>
            <w:r w:rsidR="00532AE4">
              <w:rPr>
                <w:noProof/>
                <w:webHidden/>
              </w:rPr>
              <w:fldChar w:fldCharType="separate"/>
            </w:r>
            <w:r w:rsidR="00532AE4">
              <w:rPr>
                <w:noProof/>
                <w:webHidden/>
              </w:rPr>
              <w:t>14</w:t>
            </w:r>
            <w:r w:rsidR="00532AE4">
              <w:rPr>
                <w:noProof/>
                <w:webHidden/>
              </w:rPr>
              <w:fldChar w:fldCharType="end"/>
            </w:r>
          </w:hyperlink>
        </w:p>
        <w:p w14:paraId="25B4C6B3" w14:textId="6EC0DE4B" w:rsidR="00532AE4" w:rsidRDefault="00313373">
          <w:pPr>
            <w:pStyle w:val="TOC2"/>
            <w:rPr>
              <w:rFonts w:asciiTheme="minorHAnsi" w:eastAsiaTheme="minorEastAsia" w:hAnsiTheme="minorHAnsi" w:cstheme="minorBidi"/>
              <w:noProof/>
            </w:rPr>
          </w:pPr>
          <w:hyperlink w:anchor="_Toc532224141" w:history="1">
            <w:r w:rsidR="00532AE4" w:rsidRPr="00C406C4">
              <w:rPr>
                <w:rStyle w:val="Hyperlink"/>
                <w:rFonts w:cstheme="minorHAnsi"/>
                <w:noProof/>
              </w:rPr>
              <w:t>2.3 General Approach for Pease Study Recruitment</w:t>
            </w:r>
            <w:r w:rsidR="00532AE4">
              <w:rPr>
                <w:noProof/>
                <w:webHidden/>
              </w:rPr>
              <w:tab/>
            </w:r>
            <w:r w:rsidR="00532AE4">
              <w:rPr>
                <w:noProof/>
                <w:webHidden/>
              </w:rPr>
              <w:fldChar w:fldCharType="begin"/>
            </w:r>
            <w:r w:rsidR="00532AE4">
              <w:rPr>
                <w:noProof/>
                <w:webHidden/>
              </w:rPr>
              <w:instrText xml:space="preserve"> PAGEREF _Toc532224141 \h </w:instrText>
            </w:r>
            <w:r w:rsidR="00532AE4">
              <w:rPr>
                <w:noProof/>
                <w:webHidden/>
              </w:rPr>
            </w:r>
            <w:r w:rsidR="00532AE4">
              <w:rPr>
                <w:noProof/>
                <w:webHidden/>
              </w:rPr>
              <w:fldChar w:fldCharType="separate"/>
            </w:r>
            <w:r w:rsidR="00532AE4">
              <w:rPr>
                <w:noProof/>
                <w:webHidden/>
              </w:rPr>
              <w:t>15</w:t>
            </w:r>
            <w:r w:rsidR="00532AE4">
              <w:rPr>
                <w:noProof/>
                <w:webHidden/>
              </w:rPr>
              <w:fldChar w:fldCharType="end"/>
            </w:r>
          </w:hyperlink>
        </w:p>
        <w:p w14:paraId="23378750" w14:textId="04C92D72" w:rsidR="00532AE4" w:rsidRDefault="00313373">
          <w:pPr>
            <w:pStyle w:val="TOC2"/>
            <w:rPr>
              <w:rFonts w:asciiTheme="minorHAnsi" w:eastAsiaTheme="minorEastAsia" w:hAnsiTheme="minorHAnsi" w:cstheme="minorBidi"/>
              <w:noProof/>
            </w:rPr>
          </w:pPr>
          <w:hyperlink w:anchor="_Toc532224142" w:history="1">
            <w:r w:rsidR="00532AE4" w:rsidRPr="00C406C4">
              <w:rPr>
                <w:rStyle w:val="Hyperlink"/>
                <w:rFonts w:cstheme="minorHAnsi"/>
                <w:noProof/>
              </w:rPr>
              <w:t>2.4 Study Objectives</w:t>
            </w:r>
            <w:r w:rsidR="00532AE4">
              <w:rPr>
                <w:noProof/>
                <w:webHidden/>
              </w:rPr>
              <w:tab/>
            </w:r>
            <w:r w:rsidR="00532AE4">
              <w:rPr>
                <w:noProof/>
                <w:webHidden/>
              </w:rPr>
              <w:fldChar w:fldCharType="begin"/>
            </w:r>
            <w:r w:rsidR="00532AE4">
              <w:rPr>
                <w:noProof/>
                <w:webHidden/>
              </w:rPr>
              <w:instrText xml:space="preserve"> PAGEREF _Toc532224142 \h </w:instrText>
            </w:r>
            <w:r w:rsidR="00532AE4">
              <w:rPr>
                <w:noProof/>
                <w:webHidden/>
              </w:rPr>
            </w:r>
            <w:r w:rsidR="00532AE4">
              <w:rPr>
                <w:noProof/>
                <w:webHidden/>
              </w:rPr>
              <w:fldChar w:fldCharType="separate"/>
            </w:r>
            <w:r w:rsidR="00532AE4">
              <w:rPr>
                <w:noProof/>
                <w:webHidden/>
              </w:rPr>
              <w:t>15</w:t>
            </w:r>
            <w:r w:rsidR="00532AE4">
              <w:rPr>
                <w:noProof/>
                <w:webHidden/>
              </w:rPr>
              <w:fldChar w:fldCharType="end"/>
            </w:r>
          </w:hyperlink>
        </w:p>
        <w:p w14:paraId="244ECA14" w14:textId="311B5421" w:rsidR="00532AE4" w:rsidRDefault="00313373">
          <w:pPr>
            <w:pStyle w:val="TOC2"/>
            <w:rPr>
              <w:rFonts w:asciiTheme="minorHAnsi" w:eastAsiaTheme="minorEastAsia" w:hAnsiTheme="minorHAnsi" w:cstheme="minorBidi"/>
              <w:noProof/>
            </w:rPr>
          </w:pPr>
          <w:hyperlink w:anchor="_Toc532224143" w:history="1">
            <w:r w:rsidR="00532AE4" w:rsidRPr="00C406C4">
              <w:rPr>
                <w:rStyle w:val="Hyperlink"/>
                <w:rFonts w:cstheme="minorHAnsi"/>
                <w:noProof/>
              </w:rPr>
              <w:t>2.5 Study Questions</w:t>
            </w:r>
            <w:r w:rsidR="00532AE4">
              <w:rPr>
                <w:noProof/>
                <w:webHidden/>
              </w:rPr>
              <w:tab/>
            </w:r>
            <w:r w:rsidR="00532AE4">
              <w:rPr>
                <w:noProof/>
                <w:webHidden/>
              </w:rPr>
              <w:fldChar w:fldCharType="begin"/>
            </w:r>
            <w:r w:rsidR="00532AE4">
              <w:rPr>
                <w:noProof/>
                <w:webHidden/>
              </w:rPr>
              <w:instrText xml:space="preserve"> PAGEREF _Toc532224143 \h </w:instrText>
            </w:r>
            <w:r w:rsidR="00532AE4">
              <w:rPr>
                <w:noProof/>
                <w:webHidden/>
              </w:rPr>
            </w:r>
            <w:r w:rsidR="00532AE4">
              <w:rPr>
                <w:noProof/>
                <w:webHidden/>
              </w:rPr>
              <w:fldChar w:fldCharType="separate"/>
            </w:r>
            <w:r w:rsidR="00532AE4">
              <w:rPr>
                <w:noProof/>
                <w:webHidden/>
              </w:rPr>
              <w:t>16</w:t>
            </w:r>
            <w:r w:rsidR="00532AE4">
              <w:rPr>
                <w:noProof/>
                <w:webHidden/>
              </w:rPr>
              <w:fldChar w:fldCharType="end"/>
            </w:r>
          </w:hyperlink>
        </w:p>
        <w:p w14:paraId="7DAB15B6" w14:textId="187B9645" w:rsidR="00532AE4" w:rsidRDefault="00313373">
          <w:pPr>
            <w:pStyle w:val="TOC3"/>
            <w:rPr>
              <w:rFonts w:asciiTheme="minorHAnsi" w:eastAsiaTheme="minorEastAsia" w:hAnsiTheme="minorHAnsi" w:cstheme="minorBidi"/>
              <w:noProof/>
            </w:rPr>
          </w:pPr>
          <w:hyperlink w:anchor="_Toc532224144" w:history="1">
            <w:r w:rsidR="00532AE4" w:rsidRPr="00C406C4">
              <w:rPr>
                <w:rStyle w:val="Hyperlink"/>
                <w:rFonts w:cstheme="minorHAnsi"/>
                <w:i/>
                <w:noProof/>
              </w:rPr>
              <w:t>2.5.1 Literature Review</w:t>
            </w:r>
            <w:r w:rsidR="00532AE4">
              <w:rPr>
                <w:noProof/>
                <w:webHidden/>
              </w:rPr>
              <w:tab/>
            </w:r>
            <w:r w:rsidR="00532AE4">
              <w:rPr>
                <w:noProof/>
                <w:webHidden/>
              </w:rPr>
              <w:fldChar w:fldCharType="begin"/>
            </w:r>
            <w:r w:rsidR="00532AE4">
              <w:rPr>
                <w:noProof/>
                <w:webHidden/>
              </w:rPr>
              <w:instrText xml:space="preserve"> PAGEREF _Toc532224144 \h </w:instrText>
            </w:r>
            <w:r w:rsidR="00532AE4">
              <w:rPr>
                <w:noProof/>
                <w:webHidden/>
              </w:rPr>
            </w:r>
            <w:r w:rsidR="00532AE4">
              <w:rPr>
                <w:noProof/>
                <w:webHidden/>
              </w:rPr>
              <w:fldChar w:fldCharType="separate"/>
            </w:r>
            <w:r w:rsidR="00532AE4">
              <w:rPr>
                <w:noProof/>
                <w:webHidden/>
              </w:rPr>
              <w:t>16</w:t>
            </w:r>
            <w:r w:rsidR="00532AE4">
              <w:rPr>
                <w:noProof/>
                <w:webHidden/>
              </w:rPr>
              <w:fldChar w:fldCharType="end"/>
            </w:r>
          </w:hyperlink>
        </w:p>
        <w:p w14:paraId="276CED04" w14:textId="315D8DC8" w:rsidR="00532AE4" w:rsidRDefault="00313373">
          <w:pPr>
            <w:pStyle w:val="TOC4"/>
            <w:rPr>
              <w:rFonts w:asciiTheme="minorHAnsi" w:eastAsiaTheme="minorEastAsia" w:hAnsiTheme="minorHAnsi" w:cstheme="minorBidi"/>
              <w:noProof/>
            </w:rPr>
          </w:pPr>
          <w:hyperlink w:anchor="_Toc532224145" w:history="1">
            <w:r w:rsidR="00532AE4" w:rsidRPr="00C406C4">
              <w:rPr>
                <w:rStyle w:val="Hyperlink"/>
                <w:rFonts w:cstheme="minorHAnsi"/>
                <w:noProof/>
              </w:rPr>
              <w:t>2.5.1.1 Health Effects in Children</w:t>
            </w:r>
            <w:r w:rsidR="00532AE4">
              <w:rPr>
                <w:noProof/>
                <w:webHidden/>
              </w:rPr>
              <w:tab/>
            </w:r>
            <w:r w:rsidR="00532AE4">
              <w:rPr>
                <w:noProof/>
                <w:webHidden/>
              </w:rPr>
              <w:fldChar w:fldCharType="begin"/>
            </w:r>
            <w:r w:rsidR="00532AE4">
              <w:rPr>
                <w:noProof/>
                <w:webHidden/>
              </w:rPr>
              <w:instrText xml:space="preserve"> PAGEREF _Toc532224145 \h </w:instrText>
            </w:r>
            <w:r w:rsidR="00532AE4">
              <w:rPr>
                <w:noProof/>
                <w:webHidden/>
              </w:rPr>
            </w:r>
            <w:r w:rsidR="00532AE4">
              <w:rPr>
                <w:noProof/>
                <w:webHidden/>
              </w:rPr>
              <w:fldChar w:fldCharType="separate"/>
            </w:r>
            <w:r w:rsidR="00532AE4">
              <w:rPr>
                <w:noProof/>
                <w:webHidden/>
              </w:rPr>
              <w:t>16</w:t>
            </w:r>
            <w:r w:rsidR="00532AE4">
              <w:rPr>
                <w:noProof/>
                <w:webHidden/>
              </w:rPr>
              <w:fldChar w:fldCharType="end"/>
            </w:r>
          </w:hyperlink>
        </w:p>
        <w:p w14:paraId="18CD7CB6" w14:textId="018358AC" w:rsidR="00532AE4" w:rsidRDefault="00313373">
          <w:pPr>
            <w:pStyle w:val="TOC4"/>
            <w:rPr>
              <w:rFonts w:asciiTheme="minorHAnsi" w:eastAsiaTheme="minorEastAsia" w:hAnsiTheme="minorHAnsi" w:cstheme="minorBidi"/>
              <w:noProof/>
            </w:rPr>
          </w:pPr>
          <w:hyperlink w:anchor="_Toc532224146" w:history="1">
            <w:r w:rsidR="00532AE4" w:rsidRPr="00C406C4">
              <w:rPr>
                <w:rStyle w:val="Hyperlink"/>
                <w:rFonts w:cstheme="minorHAnsi"/>
                <w:noProof/>
              </w:rPr>
              <w:t>2.5.1.2 Health Effects in Adults</w:t>
            </w:r>
            <w:r w:rsidR="00532AE4">
              <w:rPr>
                <w:noProof/>
                <w:webHidden/>
              </w:rPr>
              <w:tab/>
            </w:r>
            <w:r w:rsidR="00532AE4">
              <w:rPr>
                <w:noProof/>
                <w:webHidden/>
              </w:rPr>
              <w:fldChar w:fldCharType="begin"/>
            </w:r>
            <w:r w:rsidR="00532AE4">
              <w:rPr>
                <w:noProof/>
                <w:webHidden/>
              </w:rPr>
              <w:instrText xml:space="preserve"> PAGEREF _Toc532224146 \h </w:instrText>
            </w:r>
            <w:r w:rsidR="00532AE4">
              <w:rPr>
                <w:noProof/>
                <w:webHidden/>
              </w:rPr>
            </w:r>
            <w:r w:rsidR="00532AE4">
              <w:rPr>
                <w:noProof/>
                <w:webHidden/>
              </w:rPr>
              <w:fldChar w:fldCharType="separate"/>
            </w:r>
            <w:r w:rsidR="00532AE4">
              <w:rPr>
                <w:noProof/>
                <w:webHidden/>
              </w:rPr>
              <w:t>18</w:t>
            </w:r>
            <w:r w:rsidR="00532AE4">
              <w:rPr>
                <w:noProof/>
                <w:webHidden/>
              </w:rPr>
              <w:fldChar w:fldCharType="end"/>
            </w:r>
          </w:hyperlink>
        </w:p>
        <w:p w14:paraId="1E3605D2" w14:textId="71940371" w:rsidR="00532AE4" w:rsidRDefault="00313373">
          <w:pPr>
            <w:pStyle w:val="TOC3"/>
            <w:rPr>
              <w:rFonts w:asciiTheme="minorHAnsi" w:eastAsiaTheme="minorEastAsia" w:hAnsiTheme="minorHAnsi" w:cstheme="minorBidi"/>
              <w:noProof/>
            </w:rPr>
          </w:pPr>
          <w:hyperlink w:anchor="_Toc532224147" w:history="1">
            <w:r w:rsidR="00532AE4" w:rsidRPr="00C406C4">
              <w:rPr>
                <w:rStyle w:val="Hyperlink"/>
                <w:rFonts w:cstheme="minorHAnsi"/>
                <w:i/>
                <w:noProof/>
              </w:rPr>
              <w:t>2.5.</w:t>
            </w:r>
            <w:r w:rsidR="00532AE4" w:rsidRPr="00C406C4">
              <w:rPr>
                <w:rStyle w:val="Hyperlink"/>
                <w:i/>
                <w:noProof/>
              </w:rPr>
              <w:t>2 Hypotheses</w:t>
            </w:r>
            <w:r w:rsidR="00532AE4">
              <w:rPr>
                <w:noProof/>
                <w:webHidden/>
              </w:rPr>
              <w:tab/>
            </w:r>
            <w:r w:rsidR="00532AE4">
              <w:rPr>
                <w:noProof/>
                <w:webHidden/>
              </w:rPr>
              <w:fldChar w:fldCharType="begin"/>
            </w:r>
            <w:r w:rsidR="00532AE4">
              <w:rPr>
                <w:noProof/>
                <w:webHidden/>
              </w:rPr>
              <w:instrText xml:space="preserve"> PAGEREF _Toc532224147 \h </w:instrText>
            </w:r>
            <w:r w:rsidR="00532AE4">
              <w:rPr>
                <w:noProof/>
                <w:webHidden/>
              </w:rPr>
            </w:r>
            <w:r w:rsidR="00532AE4">
              <w:rPr>
                <w:noProof/>
                <w:webHidden/>
              </w:rPr>
              <w:fldChar w:fldCharType="separate"/>
            </w:r>
            <w:r w:rsidR="00532AE4">
              <w:rPr>
                <w:noProof/>
                <w:webHidden/>
              </w:rPr>
              <w:t>20</w:t>
            </w:r>
            <w:r w:rsidR="00532AE4">
              <w:rPr>
                <w:noProof/>
                <w:webHidden/>
              </w:rPr>
              <w:fldChar w:fldCharType="end"/>
            </w:r>
          </w:hyperlink>
        </w:p>
        <w:p w14:paraId="198A0981" w14:textId="176134AB" w:rsidR="00532AE4" w:rsidRDefault="00313373">
          <w:pPr>
            <w:pStyle w:val="TOC2"/>
            <w:rPr>
              <w:rFonts w:asciiTheme="minorHAnsi" w:eastAsiaTheme="minorEastAsia" w:hAnsiTheme="minorHAnsi" w:cstheme="minorBidi"/>
              <w:noProof/>
            </w:rPr>
          </w:pPr>
          <w:hyperlink w:anchor="_Toc532224148" w:history="1">
            <w:r w:rsidR="00532AE4" w:rsidRPr="00C406C4">
              <w:rPr>
                <w:rStyle w:val="Hyperlink"/>
                <w:rFonts w:cstheme="minorHAnsi"/>
                <w:noProof/>
              </w:rPr>
              <w:t>2.6 Intended Use of Study Findings</w:t>
            </w:r>
            <w:r w:rsidR="00532AE4">
              <w:rPr>
                <w:noProof/>
                <w:webHidden/>
              </w:rPr>
              <w:tab/>
            </w:r>
            <w:r w:rsidR="00532AE4">
              <w:rPr>
                <w:noProof/>
                <w:webHidden/>
              </w:rPr>
              <w:fldChar w:fldCharType="begin"/>
            </w:r>
            <w:r w:rsidR="00532AE4">
              <w:rPr>
                <w:noProof/>
                <w:webHidden/>
              </w:rPr>
              <w:instrText xml:space="preserve"> PAGEREF _Toc532224148 \h </w:instrText>
            </w:r>
            <w:r w:rsidR="00532AE4">
              <w:rPr>
                <w:noProof/>
                <w:webHidden/>
              </w:rPr>
            </w:r>
            <w:r w:rsidR="00532AE4">
              <w:rPr>
                <w:noProof/>
                <w:webHidden/>
              </w:rPr>
              <w:fldChar w:fldCharType="separate"/>
            </w:r>
            <w:r w:rsidR="00532AE4">
              <w:rPr>
                <w:noProof/>
                <w:webHidden/>
              </w:rPr>
              <w:t>21</w:t>
            </w:r>
            <w:r w:rsidR="00532AE4">
              <w:rPr>
                <w:noProof/>
                <w:webHidden/>
              </w:rPr>
              <w:fldChar w:fldCharType="end"/>
            </w:r>
          </w:hyperlink>
        </w:p>
        <w:p w14:paraId="5F9B66E3" w14:textId="211EF514" w:rsidR="00532AE4" w:rsidRDefault="00313373">
          <w:pPr>
            <w:pStyle w:val="TOC2"/>
            <w:rPr>
              <w:rFonts w:asciiTheme="minorHAnsi" w:eastAsiaTheme="minorEastAsia" w:hAnsiTheme="minorHAnsi" w:cstheme="minorBidi"/>
              <w:noProof/>
            </w:rPr>
          </w:pPr>
          <w:hyperlink w:anchor="_Toc532224149" w:history="1">
            <w:r w:rsidR="00532AE4" w:rsidRPr="00C406C4">
              <w:rPr>
                <w:rStyle w:val="Hyperlink"/>
                <w:noProof/>
              </w:rPr>
              <w:t xml:space="preserve">3.1 Study </w:t>
            </w:r>
            <w:r w:rsidR="00532AE4" w:rsidRPr="00C406C4">
              <w:rPr>
                <w:rStyle w:val="Hyperlink"/>
                <w:rFonts w:cs="Calibri"/>
                <w:noProof/>
              </w:rPr>
              <w:t>Design</w:t>
            </w:r>
            <w:r w:rsidR="00532AE4">
              <w:rPr>
                <w:noProof/>
                <w:webHidden/>
              </w:rPr>
              <w:tab/>
            </w:r>
            <w:r w:rsidR="00532AE4">
              <w:rPr>
                <w:noProof/>
                <w:webHidden/>
              </w:rPr>
              <w:fldChar w:fldCharType="begin"/>
            </w:r>
            <w:r w:rsidR="00532AE4">
              <w:rPr>
                <w:noProof/>
                <w:webHidden/>
              </w:rPr>
              <w:instrText xml:space="preserve"> PAGEREF _Toc532224149 \h </w:instrText>
            </w:r>
            <w:r w:rsidR="00532AE4">
              <w:rPr>
                <w:noProof/>
                <w:webHidden/>
              </w:rPr>
            </w:r>
            <w:r w:rsidR="00532AE4">
              <w:rPr>
                <w:noProof/>
                <w:webHidden/>
              </w:rPr>
              <w:fldChar w:fldCharType="separate"/>
            </w:r>
            <w:r w:rsidR="00532AE4">
              <w:rPr>
                <w:noProof/>
                <w:webHidden/>
              </w:rPr>
              <w:t>22</w:t>
            </w:r>
            <w:r w:rsidR="00532AE4">
              <w:rPr>
                <w:noProof/>
                <w:webHidden/>
              </w:rPr>
              <w:fldChar w:fldCharType="end"/>
            </w:r>
          </w:hyperlink>
        </w:p>
        <w:p w14:paraId="67C7082D" w14:textId="5FB2B43A" w:rsidR="00532AE4" w:rsidRDefault="00313373">
          <w:pPr>
            <w:pStyle w:val="TOC2"/>
            <w:rPr>
              <w:rFonts w:asciiTheme="minorHAnsi" w:eastAsiaTheme="minorEastAsia" w:hAnsiTheme="minorHAnsi" w:cstheme="minorBidi"/>
              <w:noProof/>
            </w:rPr>
          </w:pPr>
          <w:hyperlink w:anchor="_Toc532224150" w:history="1">
            <w:r w:rsidR="00532AE4" w:rsidRPr="00C406C4">
              <w:rPr>
                <w:rStyle w:val="Hyperlink"/>
                <w:noProof/>
              </w:rPr>
              <w:t xml:space="preserve">3.2 Study </w:t>
            </w:r>
            <w:r w:rsidR="00532AE4" w:rsidRPr="00C406C4">
              <w:rPr>
                <w:rStyle w:val="Hyperlink"/>
                <w:rFonts w:cstheme="minorHAnsi"/>
                <w:noProof/>
              </w:rPr>
              <w:t>Populations</w:t>
            </w:r>
            <w:r w:rsidR="00532AE4" w:rsidRPr="00C406C4">
              <w:rPr>
                <w:rStyle w:val="Hyperlink"/>
                <w:noProof/>
              </w:rPr>
              <w:t xml:space="preserve"> and </w:t>
            </w:r>
            <w:r w:rsidR="00532AE4" w:rsidRPr="00C406C4">
              <w:rPr>
                <w:rStyle w:val="Hyperlink"/>
                <w:rFonts w:cstheme="minorHAnsi"/>
                <w:noProof/>
              </w:rPr>
              <w:t>Eligibility</w:t>
            </w:r>
            <w:r w:rsidR="00532AE4">
              <w:rPr>
                <w:noProof/>
                <w:webHidden/>
              </w:rPr>
              <w:tab/>
            </w:r>
            <w:r w:rsidR="00532AE4">
              <w:rPr>
                <w:noProof/>
                <w:webHidden/>
              </w:rPr>
              <w:fldChar w:fldCharType="begin"/>
            </w:r>
            <w:r w:rsidR="00532AE4">
              <w:rPr>
                <w:noProof/>
                <w:webHidden/>
              </w:rPr>
              <w:instrText xml:space="preserve"> PAGEREF _Toc532224150 \h </w:instrText>
            </w:r>
            <w:r w:rsidR="00532AE4">
              <w:rPr>
                <w:noProof/>
                <w:webHidden/>
              </w:rPr>
            </w:r>
            <w:r w:rsidR="00532AE4">
              <w:rPr>
                <w:noProof/>
                <w:webHidden/>
              </w:rPr>
              <w:fldChar w:fldCharType="separate"/>
            </w:r>
            <w:r w:rsidR="00532AE4">
              <w:rPr>
                <w:noProof/>
                <w:webHidden/>
              </w:rPr>
              <w:t>23</w:t>
            </w:r>
            <w:r w:rsidR="00532AE4">
              <w:rPr>
                <w:noProof/>
                <w:webHidden/>
              </w:rPr>
              <w:fldChar w:fldCharType="end"/>
            </w:r>
          </w:hyperlink>
        </w:p>
        <w:p w14:paraId="59918DE6" w14:textId="53B4CDA2" w:rsidR="00532AE4" w:rsidRDefault="00313373">
          <w:pPr>
            <w:pStyle w:val="TOC3"/>
            <w:rPr>
              <w:rFonts w:asciiTheme="minorHAnsi" w:eastAsiaTheme="minorEastAsia" w:hAnsiTheme="minorHAnsi" w:cstheme="minorBidi"/>
              <w:noProof/>
            </w:rPr>
          </w:pPr>
          <w:hyperlink w:anchor="_Toc532224151" w:history="1">
            <w:r w:rsidR="00532AE4" w:rsidRPr="00C406C4">
              <w:rPr>
                <w:rStyle w:val="Hyperlink"/>
                <w:i/>
                <w:noProof/>
              </w:rPr>
              <w:t>3.</w:t>
            </w:r>
            <w:r w:rsidR="00532AE4" w:rsidRPr="00C406C4">
              <w:rPr>
                <w:rStyle w:val="Hyperlink"/>
                <w:rFonts w:cstheme="minorHAnsi"/>
                <w:i/>
                <w:noProof/>
              </w:rPr>
              <w:t>2.1</w:t>
            </w:r>
            <w:r w:rsidR="00532AE4" w:rsidRPr="00C406C4">
              <w:rPr>
                <w:rStyle w:val="Hyperlink"/>
                <w:i/>
                <w:noProof/>
              </w:rPr>
              <w:t xml:space="preserve"> Children</w:t>
            </w:r>
            <w:r w:rsidR="00532AE4">
              <w:rPr>
                <w:noProof/>
                <w:webHidden/>
              </w:rPr>
              <w:tab/>
            </w:r>
            <w:r w:rsidR="00532AE4">
              <w:rPr>
                <w:noProof/>
                <w:webHidden/>
              </w:rPr>
              <w:fldChar w:fldCharType="begin"/>
            </w:r>
            <w:r w:rsidR="00532AE4">
              <w:rPr>
                <w:noProof/>
                <w:webHidden/>
              </w:rPr>
              <w:instrText xml:space="preserve"> PAGEREF _Toc532224151 \h </w:instrText>
            </w:r>
            <w:r w:rsidR="00532AE4">
              <w:rPr>
                <w:noProof/>
                <w:webHidden/>
              </w:rPr>
            </w:r>
            <w:r w:rsidR="00532AE4">
              <w:rPr>
                <w:noProof/>
                <w:webHidden/>
              </w:rPr>
              <w:fldChar w:fldCharType="separate"/>
            </w:r>
            <w:r w:rsidR="00532AE4">
              <w:rPr>
                <w:noProof/>
                <w:webHidden/>
              </w:rPr>
              <w:t>23</w:t>
            </w:r>
            <w:r w:rsidR="00532AE4">
              <w:rPr>
                <w:noProof/>
                <w:webHidden/>
              </w:rPr>
              <w:fldChar w:fldCharType="end"/>
            </w:r>
          </w:hyperlink>
        </w:p>
        <w:p w14:paraId="3FFD8B71" w14:textId="65CD0851" w:rsidR="00532AE4" w:rsidRDefault="00313373">
          <w:pPr>
            <w:pStyle w:val="TOC3"/>
            <w:rPr>
              <w:rFonts w:asciiTheme="minorHAnsi" w:eastAsiaTheme="minorEastAsia" w:hAnsiTheme="minorHAnsi" w:cstheme="minorBidi"/>
              <w:noProof/>
            </w:rPr>
          </w:pPr>
          <w:hyperlink w:anchor="_Toc532224152" w:history="1">
            <w:r w:rsidR="00532AE4" w:rsidRPr="00C406C4">
              <w:rPr>
                <w:rStyle w:val="Hyperlink"/>
                <w:i/>
                <w:noProof/>
              </w:rPr>
              <w:t>3.</w:t>
            </w:r>
            <w:r w:rsidR="00532AE4" w:rsidRPr="00C406C4">
              <w:rPr>
                <w:rStyle w:val="Hyperlink"/>
                <w:rFonts w:cs="Calibri"/>
                <w:i/>
                <w:noProof/>
              </w:rPr>
              <w:t>2.2</w:t>
            </w:r>
            <w:r w:rsidR="00532AE4" w:rsidRPr="00C406C4">
              <w:rPr>
                <w:rStyle w:val="Hyperlink"/>
                <w:i/>
                <w:noProof/>
              </w:rPr>
              <w:t xml:space="preserve"> Adults</w:t>
            </w:r>
            <w:r w:rsidR="00532AE4">
              <w:rPr>
                <w:noProof/>
                <w:webHidden/>
              </w:rPr>
              <w:tab/>
            </w:r>
            <w:r w:rsidR="00532AE4">
              <w:rPr>
                <w:noProof/>
                <w:webHidden/>
              </w:rPr>
              <w:fldChar w:fldCharType="begin"/>
            </w:r>
            <w:r w:rsidR="00532AE4">
              <w:rPr>
                <w:noProof/>
                <w:webHidden/>
              </w:rPr>
              <w:instrText xml:space="preserve"> PAGEREF _Toc532224152 \h </w:instrText>
            </w:r>
            <w:r w:rsidR="00532AE4">
              <w:rPr>
                <w:noProof/>
                <w:webHidden/>
              </w:rPr>
            </w:r>
            <w:r w:rsidR="00532AE4">
              <w:rPr>
                <w:noProof/>
                <w:webHidden/>
              </w:rPr>
              <w:fldChar w:fldCharType="separate"/>
            </w:r>
            <w:r w:rsidR="00532AE4">
              <w:rPr>
                <w:noProof/>
                <w:webHidden/>
              </w:rPr>
              <w:t>25</w:t>
            </w:r>
            <w:r w:rsidR="00532AE4">
              <w:rPr>
                <w:noProof/>
                <w:webHidden/>
              </w:rPr>
              <w:fldChar w:fldCharType="end"/>
            </w:r>
          </w:hyperlink>
        </w:p>
        <w:p w14:paraId="7CDB548D" w14:textId="064BEBBB" w:rsidR="00532AE4" w:rsidRDefault="00313373">
          <w:pPr>
            <w:pStyle w:val="TOC2"/>
            <w:rPr>
              <w:rFonts w:asciiTheme="minorHAnsi" w:eastAsiaTheme="minorEastAsia" w:hAnsiTheme="minorHAnsi" w:cstheme="minorBidi"/>
              <w:noProof/>
            </w:rPr>
          </w:pPr>
          <w:hyperlink w:anchor="_Toc532224153" w:history="1">
            <w:r w:rsidR="00532AE4" w:rsidRPr="00C406C4">
              <w:rPr>
                <w:rStyle w:val="Hyperlink"/>
                <w:noProof/>
              </w:rPr>
              <w:t>3.3 Sample Size Considerations</w:t>
            </w:r>
            <w:r w:rsidR="00532AE4">
              <w:rPr>
                <w:noProof/>
                <w:webHidden/>
              </w:rPr>
              <w:tab/>
            </w:r>
            <w:r w:rsidR="00532AE4">
              <w:rPr>
                <w:noProof/>
                <w:webHidden/>
              </w:rPr>
              <w:fldChar w:fldCharType="begin"/>
            </w:r>
            <w:r w:rsidR="00532AE4">
              <w:rPr>
                <w:noProof/>
                <w:webHidden/>
              </w:rPr>
              <w:instrText xml:space="preserve"> PAGEREF _Toc532224153 \h </w:instrText>
            </w:r>
            <w:r w:rsidR="00532AE4">
              <w:rPr>
                <w:noProof/>
                <w:webHidden/>
              </w:rPr>
            </w:r>
            <w:r w:rsidR="00532AE4">
              <w:rPr>
                <w:noProof/>
                <w:webHidden/>
              </w:rPr>
              <w:fldChar w:fldCharType="separate"/>
            </w:r>
            <w:r w:rsidR="00532AE4">
              <w:rPr>
                <w:noProof/>
                <w:webHidden/>
              </w:rPr>
              <w:t>26</w:t>
            </w:r>
            <w:r w:rsidR="00532AE4">
              <w:rPr>
                <w:noProof/>
                <w:webHidden/>
              </w:rPr>
              <w:fldChar w:fldCharType="end"/>
            </w:r>
          </w:hyperlink>
        </w:p>
        <w:p w14:paraId="054791A6" w14:textId="7852AC85" w:rsidR="00532AE4" w:rsidRDefault="00313373">
          <w:pPr>
            <w:pStyle w:val="TOC3"/>
            <w:rPr>
              <w:rFonts w:asciiTheme="minorHAnsi" w:eastAsiaTheme="minorEastAsia" w:hAnsiTheme="minorHAnsi" w:cstheme="minorBidi"/>
              <w:noProof/>
            </w:rPr>
          </w:pPr>
          <w:hyperlink w:anchor="_Toc532224154" w:history="1">
            <w:r w:rsidR="00532AE4" w:rsidRPr="00C406C4">
              <w:rPr>
                <w:rStyle w:val="Hyperlink"/>
                <w:i/>
                <w:noProof/>
              </w:rPr>
              <w:t>3.</w:t>
            </w:r>
            <w:r w:rsidR="00532AE4" w:rsidRPr="00C406C4">
              <w:rPr>
                <w:rStyle w:val="Hyperlink"/>
                <w:rFonts w:cstheme="minorHAnsi"/>
                <w:i/>
                <w:noProof/>
              </w:rPr>
              <w:t>3.1</w:t>
            </w:r>
            <w:r w:rsidR="00532AE4" w:rsidRPr="00C406C4">
              <w:rPr>
                <w:rStyle w:val="Hyperlink"/>
                <w:i/>
                <w:noProof/>
              </w:rPr>
              <w:t xml:space="preserve"> Children</w:t>
            </w:r>
            <w:r w:rsidR="00532AE4">
              <w:rPr>
                <w:noProof/>
                <w:webHidden/>
              </w:rPr>
              <w:tab/>
            </w:r>
            <w:r w:rsidR="00532AE4">
              <w:rPr>
                <w:noProof/>
                <w:webHidden/>
              </w:rPr>
              <w:fldChar w:fldCharType="begin"/>
            </w:r>
            <w:r w:rsidR="00532AE4">
              <w:rPr>
                <w:noProof/>
                <w:webHidden/>
              </w:rPr>
              <w:instrText xml:space="preserve"> PAGEREF _Toc532224154 \h </w:instrText>
            </w:r>
            <w:r w:rsidR="00532AE4">
              <w:rPr>
                <w:noProof/>
                <w:webHidden/>
              </w:rPr>
            </w:r>
            <w:r w:rsidR="00532AE4">
              <w:rPr>
                <w:noProof/>
                <w:webHidden/>
              </w:rPr>
              <w:fldChar w:fldCharType="separate"/>
            </w:r>
            <w:r w:rsidR="00532AE4">
              <w:rPr>
                <w:noProof/>
                <w:webHidden/>
              </w:rPr>
              <w:t>26</w:t>
            </w:r>
            <w:r w:rsidR="00532AE4">
              <w:rPr>
                <w:noProof/>
                <w:webHidden/>
              </w:rPr>
              <w:fldChar w:fldCharType="end"/>
            </w:r>
          </w:hyperlink>
        </w:p>
        <w:p w14:paraId="25AB3A7D" w14:textId="668D6582" w:rsidR="00532AE4" w:rsidRDefault="00313373">
          <w:pPr>
            <w:pStyle w:val="TOC3"/>
            <w:rPr>
              <w:rFonts w:asciiTheme="minorHAnsi" w:eastAsiaTheme="minorEastAsia" w:hAnsiTheme="minorHAnsi" w:cstheme="minorBidi"/>
              <w:noProof/>
            </w:rPr>
          </w:pPr>
          <w:hyperlink w:anchor="_Toc532224155" w:history="1">
            <w:r w:rsidR="00532AE4" w:rsidRPr="00C406C4">
              <w:rPr>
                <w:rStyle w:val="Hyperlink"/>
                <w:rFonts w:cstheme="minorHAnsi"/>
                <w:i/>
                <w:noProof/>
              </w:rPr>
              <w:t>3.3.2 Adults</w:t>
            </w:r>
            <w:r w:rsidR="00532AE4">
              <w:rPr>
                <w:noProof/>
                <w:webHidden/>
              </w:rPr>
              <w:tab/>
            </w:r>
            <w:r w:rsidR="00532AE4">
              <w:rPr>
                <w:noProof/>
                <w:webHidden/>
              </w:rPr>
              <w:fldChar w:fldCharType="begin"/>
            </w:r>
            <w:r w:rsidR="00532AE4">
              <w:rPr>
                <w:noProof/>
                <w:webHidden/>
              </w:rPr>
              <w:instrText xml:space="preserve"> PAGEREF _Toc532224155 \h </w:instrText>
            </w:r>
            <w:r w:rsidR="00532AE4">
              <w:rPr>
                <w:noProof/>
                <w:webHidden/>
              </w:rPr>
            </w:r>
            <w:r w:rsidR="00532AE4">
              <w:rPr>
                <w:noProof/>
                <w:webHidden/>
              </w:rPr>
              <w:fldChar w:fldCharType="separate"/>
            </w:r>
            <w:r w:rsidR="00532AE4">
              <w:rPr>
                <w:noProof/>
                <w:webHidden/>
              </w:rPr>
              <w:t>29</w:t>
            </w:r>
            <w:r w:rsidR="00532AE4">
              <w:rPr>
                <w:noProof/>
                <w:webHidden/>
              </w:rPr>
              <w:fldChar w:fldCharType="end"/>
            </w:r>
          </w:hyperlink>
        </w:p>
        <w:p w14:paraId="34EF9531" w14:textId="5553778C" w:rsidR="00532AE4" w:rsidRDefault="00313373">
          <w:pPr>
            <w:pStyle w:val="TOC2"/>
            <w:rPr>
              <w:rFonts w:asciiTheme="minorHAnsi" w:eastAsiaTheme="minorEastAsia" w:hAnsiTheme="minorHAnsi" w:cstheme="minorBidi"/>
              <w:noProof/>
            </w:rPr>
          </w:pPr>
          <w:hyperlink w:anchor="_Toc532224156" w:history="1">
            <w:r w:rsidR="00532AE4" w:rsidRPr="00C406C4">
              <w:rPr>
                <w:rStyle w:val="Hyperlink"/>
                <w:rFonts w:cstheme="minorHAnsi"/>
                <w:noProof/>
              </w:rPr>
              <w:t>3.4 Study Roll Out and Communication Plan</w:t>
            </w:r>
            <w:r w:rsidR="00532AE4">
              <w:rPr>
                <w:noProof/>
                <w:webHidden/>
              </w:rPr>
              <w:tab/>
            </w:r>
            <w:r w:rsidR="00532AE4">
              <w:rPr>
                <w:noProof/>
                <w:webHidden/>
              </w:rPr>
              <w:fldChar w:fldCharType="begin"/>
            </w:r>
            <w:r w:rsidR="00532AE4">
              <w:rPr>
                <w:noProof/>
                <w:webHidden/>
              </w:rPr>
              <w:instrText xml:space="preserve"> PAGEREF _Toc532224156 \h </w:instrText>
            </w:r>
            <w:r w:rsidR="00532AE4">
              <w:rPr>
                <w:noProof/>
                <w:webHidden/>
              </w:rPr>
            </w:r>
            <w:r w:rsidR="00532AE4">
              <w:rPr>
                <w:noProof/>
                <w:webHidden/>
              </w:rPr>
              <w:fldChar w:fldCharType="separate"/>
            </w:r>
            <w:r w:rsidR="00532AE4">
              <w:rPr>
                <w:noProof/>
                <w:webHidden/>
              </w:rPr>
              <w:t>32</w:t>
            </w:r>
            <w:r w:rsidR="00532AE4">
              <w:rPr>
                <w:noProof/>
                <w:webHidden/>
              </w:rPr>
              <w:fldChar w:fldCharType="end"/>
            </w:r>
          </w:hyperlink>
        </w:p>
        <w:p w14:paraId="663B5316" w14:textId="58011026" w:rsidR="00532AE4" w:rsidRDefault="00313373">
          <w:pPr>
            <w:pStyle w:val="TOC2"/>
            <w:rPr>
              <w:rFonts w:asciiTheme="minorHAnsi" w:eastAsiaTheme="minorEastAsia" w:hAnsiTheme="minorHAnsi" w:cstheme="minorBidi"/>
              <w:noProof/>
            </w:rPr>
          </w:pPr>
          <w:hyperlink w:anchor="_Toc532224157" w:history="1">
            <w:r w:rsidR="00532AE4" w:rsidRPr="00C406C4">
              <w:rPr>
                <w:rStyle w:val="Hyperlink"/>
                <w:rFonts w:cstheme="minorHAnsi"/>
                <w:noProof/>
              </w:rPr>
              <w:t>3.5 Recruitment</w:t>
            </w:r>
            <w:r w:rsidR="00532AE4">
              <w:rPr>
                <w:noProof/>
                <w:webHidden/>
              </w:rPr>
              <w:tab/>
            </w:r>
            <w:r w:rsidR="00532AE4">
              <w:rPr>
                <w:noProof/>
                <w:webHidden/>
              </w:rPr>
              <w:fldChar w:fldCharType="begin"/>
            </w:r>
            <w:r w:rsidR="00532AE4">
              <w:rPr>
                <w:noProof/>
                <w:webHidden/>
              </w:rPr>
              <w:instrText xml:space="preserve"> PAGEREF _Toc532224157 \h </w:instrText>
            </w:r>
            <w:r w:rsidR="00532AE4">
              <w:rPr>
                <w:noProof/>
                <w:webHidden/>
              </w:rPr>
            </w:r>
            <w:r w:rsidR="00532AE4">
              <w:rPr>
                <w:noProof/>
                <w:webHidden/>
              </w:rPr>
              <w:fldChar w:fldCharType="separate"/>
            </w:r>
            <w:r w:rsidR="00532AE4">
              <w:rPr>
                <w:noProof/>
                <w:webHidden/>
              </w:rPr>
              <w:t>33</w:t>
            </w:r>
            <w:r w:rsidR="00532AE4">
              <w:rPr>
                <w:noProof/>
                <w:webHidden/>
              </w:rPr>
              <w:fldChar w:fldCharType="end"/>
            </w:r>
          </w:hyperlink>
        </w:p>
        <w:p w14:paraId="0CEF6E7A" w14:textId="3F5A3277" w:rsidR="00532AE4" w:rsidRDefault="00313373">
          <w:pPr>
            <w:pStyle w:val="TOC3"/>
            <w:rPr>
              <w:rFonts w:asciiTheme="minorHAnsi" w:eastAsiaTheme="minorEastAsia" w:hAnsiTheme="minorHAnsi" w:cstheme="minorBidi"/>
              <w:noProof/>
            </w:rPr>
          </w:pPr>
          <w:hyperlink w:anchor="_Toc532224158" w:history="1">
            <w:r w:rsidR="00532AE4" w:rsidRPr="00C406C4">
              <w:rPr>
                <w:rStyle w:val="Hyperlink"/>
                <w:rFonts w:cstheme="minorHAnsi"/>
                <w:i/>
                <w:noProof/>
              </w:rPr>
              <w:t>3.5.1 Wave One Recruitment from Biomonitoring Recruitment Frame</w:t>
            </w:r>
            <w:r w:rsidR="00532AE4">
              <w:rPr>
                <w:noProof/>
                <w:webHidden/>
              </w:rPr>
              <w:tab/>
            </w:r>
            <w:r w:rsidR="00532AE4">
              <w:rPr>
                <w:noProof/>
                <w:webHidden/>
              </w:rPr>
              <w:fldChar w:fldCharType="begin"/>
            </w:r>
            <w:r w:rsidR="00532AE4">
              <w:rPr>
                <w:noProof/>
                <w:webHidden/>
              </w:rPr>
              <w:instrText xml:space="preserve"> PAGEREF _Toc532224158 \h </w:instrText>
            </w:r>
            <w:r w:rsidR="00532AE4">
              <w:rPr>
                <w:noProof/>
                <w:webHidden/>
              </w:rPr>
            </w:r>
            <w:r w:rsidR="00532AE4">
              <w:rPr>
                <w:noProof/>
                <w:webHidden/>
              </w:rPr>
              <w:fldChar w:fldCharType="separate"/>
            </w:r>
            <w:r w:rsidR="00532AE4">
              <w:rPr>
                <w:noProof/>
                <w:webHidden/>
              </w:rPr>
              <w:t>33</w:t>
            </w:r>
            <w:r w:rsidR="00532AE4">
              <w:rPr>
                <w:noProof/>
                <w:webHidden/>
              </w:rPr>
              <w:fldChar w:fldCharType="end"/>
            </w:r>
          </w:hyperlink>
        </w:p>
        <w:p w14:paraId="586DFEFB" w14:textId="6334B258" w:rsidR="00532AE4" w:rsidRDefault="00313373">
          <w:pPr>
            <w:pStyle w:val="TOC3"/>
            <w:rPr>
              <w:rFonts w:asciiTheme="minorHAnsi" w:eastAsiaTheme="minorEastAsia" w:hAnsiTheme="minorHAnsi" w:cstheme="minorBidi"/>
              <w:noProof/>
            </w:rPr>
          </w:pPr>
          <w:hyperlink w:anchor="_Toc532224159" w:history="1">
            <w:r w:rsidR="00532AE4" w:rsidRPr="00C406C4">
              <w:rPr>
                <w:rStyle w:val="Hyperlink"/>
                <w:rFonts w:cstheme="minorHAnsi"/>
                <w:i/>
                <w:noProof/>
              </w:rPr>
              <w:t>3.5.2 Wave Two Recruitment of Additional Exposed Children and Adults</w:t>
            </w:r>
            <w:r w:rsidR="00532AE4">
              <w:rPr>
                <w:noProof/>
                <w:webHidden/>
              </w:rPr>
              <w:tab/>
            </w:r>
            <w:r w:rsidR="00532AE4">
              <w:rPr>
                <w:noProof/>
                <w:webHidden/>
              </w:rPr>
              <w:fldChar w:fldCharType="begin"/>
            </w:r>
            <w:r w:rsidR="00532AE4">
              <w:rPr>
                <w:noProof/>
                <w:webHidden/>
              </w:rPr>
              <w:instrText xml:space="preserve"> PAGEREF _Toc532224159 \h </w:instrText>
            </w:r>
            <w:r w:rsidR="00532AE4">
              <w:rPr>
                <w:noProof/>
                <w:webHidden/>
              </w:rPr>
            </w:r>
            <w:r w:rsidR="00532AE4">
              <w:rPr>
                <w:noProof/>
                <w:webHidden/>
              </w:rPr>
              <w:fldChar w:fldCharType="separate"/>
            </w:r>
            <w:r w:rsidR="00532AE4">
              <w:rPr>
                <w:noProof/>
                <w:webHidden/>
              </w:rPr>
              <w:t>33</w:t>
            </w:r>
            <w:r w:rsidR="00532AE4">
              <w:rPr>
                <w:noProof/>
                <w:webHidden/>
              </w:rPr>
              <w:fldChar w:fldCharType="end"/>
            </w:r>
          </w:hyperlink>
        </w:p>
        <w:p w14:paraId="0EDBDA06" w14:textId="35983160" w:rsidR="00532AE4" w:rsidRDefault="00313373">
          <w:pPr>
            <w:pStyle w:val="TOC3"/>
            <w:rPr>
              <w:rFonts w:asciiTheme="minorHAnsi" w:eastAsiaTheme="minorEastAsia" w:hAnsiTheme="minorHAnsi" w:cstheme="minorBidi"/>
              <w:noProof/>
            </w:rPr>
          </w:pPr>
          <w:hyperlink w:anchor="_Toc532224160" w:history="1">
            <w:r w:rsidR="00532AE4" w:rsidRPr="00C406C4">
              <w:rPr>
                <w:rStyle w:val="Hyperlink"/>
                <w:rFonts w:cstheme="minorHAnsi"/>
                <w:i/>
                <w:noProof/>
              </w:rPr>
              <w:t>3.5.3 Wave Three Recruitment of Referent Children and Adults</w:t>
            </w:r>
            <w:r w:rsidR="00532AE4">
              <w:rPr>
                <w:noProof/>
                <w:webHidden/>
              </w:rPr>
              <w:tab/>
            </w:r>
            <w:r w:rsidR="00532AE4">
              <w:rPr>
                <w:noProof/>
                <w:webHidden/>
              </w:rPr>
              <w:fldChar w:fldCharType="begin"/>
            </w:r>
            <w:r w:rsidR="00532AE4">
              <w:rPr>
                <w:noProof/>
                <w:webHidden/>
              </w:rPr>
              <w:instrText xml:space="preserve"> PAGEREF _Toc532224160 \h </w:instrText>
            </w:r>
            <w:r w:rsidR="00532AE4">
              <w:rPr>
                <w:noProof/>
                <w:webHidden/>
              </w:rPr>
            </w:r>
            <w:r w:rsidR="00532AE4">
              <w:rPr>
                <w:noProof/>
                <w:webHidden/>
              </w:rPr>
              <w:fldChar w:fldCharType="separate"/>
            </w:r>
            <w:r w:rsidR="00532AE4">
              <w:rPr>
                <w:noProof/>
                <w:webHidden/>
              </w:rPr>
              <w:t>34</w:t>
            </w:r>
            <w:r w:rsidR="00532AE4">
              <w:rPr>
                <w:noProof/>
                <w:webHidden/>
              </w:rPr>
              <w:fldChar w:fldCharType="end"/>
            </w:r>
          </w:hyperlink>
        </w:p>
        <w:p w14:paraId="2347CECE" w14:textId="0C7748AB" w:rsidR="00532AE4" w:rsidRDefault="00313373">
          <w:pPr>
            <w:pStyle w:val="TOC3"/>
            <w:rPr>
              <w:rFonts w:asciiTheme="minorHAnsi" w:eastAsiaTheme="minorEastAsia" w:hAnsiTheme="minorHAnsi" w:cstheme="minorBidi"/>
              <w:noProof/>
            </w:rPr>
          </w:pPr>
          <w:hyperlink w:anchor="_Toc532224161" w:history="1">
            <w:r w:rsidR="00532AE4" w:rsidRPr="00C406C4">
              <w:rPr>
                <w:rStyle w:val="Hyperlink"/>
                <w:rFonts w:cstheme="minorHAnsi"/>
                <w:i/>
                <w:noProof/>
              </w:rPr>
              <w:t>3.5.3 Enrollment Procedures</w:t>
            </w:r>
            <w:r w:rsidR="00532AE4">
              <w:rPr>
                <w:noProof/>
                <w:webHidden/>
              </w:rPr>
              <w:tab/>
            </w:r>
            <w:r w:rsidR="00532AE4">
              <w:rPr>
                <w:noProof/>
                <w:webHidden/>
              </w:rPr>
              <w:fldChar w:fldCharType="begin"/>
            </w:r>
            <w:r w:rsidR="00532AE4">
              <w:rPr>
                <w:noProof/>
                <w:webHidden/>
              </w:rPr>
              <w:instrText xml:space="preserve"> PAGEREF _Toc532224161 \h </w:instrText>
            </w:r>
            <w:r w:rsidR="00532AE4">
              <w:rPr>
                <w:noProof/>
                <w:webHidden/>
              </w:rPr>
            </w:r>
            <w:r w:rsidR="00532AE4">
              <w:rPr>
                <w:noProof/>
                <w:webHidden/>
              </w:rPr>
              <w:fldChar w:fldCharType="separate"/>
            </w:r>
            <w:r w:rsidR="00532AE4">
              <w:rPr>
                <w:noProof/>
                <w:webHidden/>
              </w:rPr>
              <w:t>34</w:t>
            </w:r>
            <w:r w:rsidR="00532AE4">
              <w:rPr>
                <w:noProof/>
                <w:webHidden/>
              </w:rPr>
              <w:fldChar w:fldCharType="end"/>
            </w:r>
          </w:hyperlink>
        </w:p>
        <w:p w14:paraId="14D57846" w14:textId="341B443B" w:rsidR="00532AE4" w:rsidRDefault="00313373">
          <w:pPr>
            <w:pStyle w:val="TOC2"/>
            <w:rPr>
              <w:rFonts w:asciiTheme="minorHAnsi" w:eastAsiaTheme="minorEastAsia" w:hAnsiTheme="minorHAnsi" w:cstheme="minorBidi"/>
              <w:noProof/>
            </w:rPr>
          </w:pPr>
          <w:hyperlink w:anchor="_Toc532224162" w:history="1">
            <w:r w:rsidR="00532AE4" w:rsidRPr="00C406C4">
              <w:rPr>
                <w:rStyle w:val="Hyperlink"/>
                <w:rFonts w:cstheme="minorHAnsi"/>
                <w:noProof/>
              </w:rPr>
              <w:t>3.6 Data Collection Procedures</w:t>
            </w:r>
            <w:r w:rsidR="00532AE4">
              <w:rPr>
                <w:noProof/>
                <w:webHidden/>
              </w:rPr>
              <w:tab/>
            </w:r>
            <w:r w:rsidR="00532AE4">
              <w:rPr>
                <w:noProof/>
                <w:webHidden/>
              </w:rPr>
              <w:fldChar w:fldCharType="begin"/>
            </w:r>
            <w:r w:rsidR="00532AE4">
              <w:rPr>
                <w:noProof/>
                <w:webHidden/>
              </w:rPr>
              <w:instrText xml:space="preserve"> PAGEREF _Toc532224162 \h </w:instrText>
            </w:r>
            <w:r w:rsidR="00532AE4">
              <w:rPr>
                <w:noProof/>
                <w:webHidden/>
              </w:rPr>
            </w:r>
            <w:r w:rsidR="00532AE4">
              <w:rPr>
                <w:noProof/>
                <w:webHidden/>
              </w:rPr>
              <w:fldChar w:fldCharType="separate"/>
            </w:r>
            <w:r w:rsidR="00532AE4">
              <w:rPr>
                <w:noProof/>
                <w:webHidden/>
              </w:rPr>
              <w:t>35</w:t>
            </w:r>
            <w:r w:rsidR="00532AE4">
              <w:rPr>
                <w:noProof/>
                <w:webHidden/>
              </w:rPr>
              <w:fldChar w:fldCharType="end"/>
            </w:r>
          </w:hyperlink>
        </w:p>
        <w:p w14:paraId="5C73DB30" w14:textId="0774C9A7" w:rsidR="00532AE4" w:rsidRDefault="00313373">
          <w:pPr>
            <w:pStyle w:val="TOC3"/>
            <w:rPr>
              <w:rFonts w:asciiTheme="minorHAnsi" w:eastAsiaTheme="minorEastAsia" w:hAnsiTheme="minorHAnsi" w:cstheme="minorBidi"/>
              <w:noProof/>
            </w:rPr>
          </w:pPr>
          <w:hyperlink w:anchor="_Toc532224163" w:history="1">
            <w:r w:rsidR="00532AE4" w:rsidRPr="00C406C4">
              <w:rPr>
                <w:rStyle w:val="Hyperlink"/>
                <w:rFonts w:cstheme="minorHAnsi"/>
                <w:i/>
                <w:noProof/>
              </w:rPr>
              <w:t>3.6.1 Check-in Procedures</w:t>
            </w:r>
            <w:r w:rsidR="00532AE4">
              <w:rPr>
                <w:noProof/>
                <w:webHidden/>
              </w:rPr>
              <w:tab/>
            </w:r>
            <w:r w:rsidR="00532AE4">
              <w:rPr>
                <w:noProof/>
                <w:webHidden/>
              </w:rPr>
              <w:fldChar w:fldCharType="begin"/>
            </w:r>
            <w:r w:rsidR="00532AE4">
              <w:rPr>
                <w:noProof/>
                <w:webHidden/>
              </w:rPr>
              <w:instrText xml:space="preserve"> PAGEREF _Toc532224163 \h </w:instrText>
            </w:r>
            <w:r w:rsidR="00532AE4">
              <w:rPr>
                <w:noProof/>
                <w:webHidden/>
              </w:rPr>
            </w:r>
            <w:r w:rsidR="00532AE4">
              <w:rPr>
                <w:noProof/>
                <w:webHidden/>
              </w:rPr>
              <w:fldChar w:fldCharType="separate"/>
            </w:r>
            <w:r w:rsidR="00532AE4">
              <w:rPr>
                <w:noProof/>
                <w:webHidden/>
              </w:rPr>
              <w:t>36</w:t>
            </w:r>
            <w:r w:rsidR="00532AE4">
              <w:rPr>
                <w:noProof/>
                <w:webHidden/>
              </w:rPr>
              <w:fldChar w:fldCharType="end"/>
            </w:r>
          </w:hyperlink>
        </w:p>
        <w:p w14:paraId="63AC9E65" w14:textId="598721BF" w:rsidR="00532AE4" w:rsidRDefault="00313373">
          <w:pPr>
            <w:pStyle w:val="TOC3"/>
            <w:rPr>
              <w:rFonts w:asciiTheme="minorHAnsi" w:eastAsiaTheme="minorEastAsia" w:hAnsiTheme="minorHAnsi" w:cstheme="minorBidi"/>
              <w:noProof/>
            </w:rPr>
          </w:pPr>
          <w:hyperlink w:anchor="_Toc532224164" w:history="1">
            <w:r w:rsidR="00532AE4" w:rsidRPr="00C406C4">
              <w:rPr>
                <w:rStyle w:val="Hyperlink"/>
                <w:rFonts w:cstheme="minorHAnsi"/>
                <w:i/>
                <w:noProof/>
              </w:rPr>
              <w:t>3.6.2 Informed Consent Process</w:t>
            </w:r>
            <w:r w:rsidR="00532AE4">
              <w:rPr>
                <w:noProof/>
                <w:webHidden/>
              </w:rPr>
              <w:tab/>
            </w:r>
            <w:r w:rsidR="00532AE4">
              <w:rPr>
                <w:noProof/>
                <w:webHidden/>
              </w:rPr>
              <w:fldChar w:fldCharType="begin"/>
            </w:r>
            <w:r w:rsidR="00532AE4">
              <w:rPr>
                <w:noProof/>
                <w:webHidden/>
              </w:rPr>
              <w:instrText xml:space="preserve"> PAGEREF _Toc532224164 \h </w:instrText>
            </w:r>
            <w:r w:rsidR="00532AE4">
              <w:rPr>
                <w:noProof/>
                <w:webHidden/>
              </w:rPr>
            </w:r>
            <w:r w:rsidR="00532AE4">
              <w:rPr>
                <w:noProof/>
                <w:webHidden/>
              </w:rPr>
              <w:fldChar w:fldCharType="separate"/>
            </w:r>
            <w:r w:rsidR="00532AE4">
              <w:rPr>
                <w:noProof/>
                <w:webHidden/>
              </w:rPr>
              <w:t>36</w:t>
            </w:r>
            <w:r w:rsidR="00532AE4">
              <w:rPr>
                <w:noProof/>
                <w:webHidden/>
              </w:rPr>
              <w:fldChar w:fldCharType="end"/>
            </w:r>
          </w:hyperlink>
        </w:p>
        <w:p w14:paraId="70458059" w14:textId="71D5434A" w:rsidR="00532AE4" w:rsidRDefault="00313373">
          <w:pPr>
            <w:pStyle w:val="TOC4"/>
            <w:rPr>
              <w:rFonts w:asciiTheme="minorHAnsi" w:eastAsiaTheme="minorEastAsia" w:hAnsiTheme="minorHAnsi" w:cstheme="minorBidi"/>
              <w:noProof/>
            </w:rPr>
          </w:pPr>
          <w:hyperlink w:anchor="_Toc532224165" w:history="1">
            <w:r w:rsidR="00532AE4" w:rsidRPr="00C406C4">
              <w:rPr>
                <w:rStyle w:val="Hyperlink"/>
                <w:rFonts w:cstheme="minorHAnsi"/>
                <w:noProof/>
              </w:rPr>
              <w:t>3.6.2.1 Consent for Specimens and Data</w:t>
            </w:r>
            <w:r w:rsidR="00532AE4">
              <w:rPr>
                <w:noProof/>
                <w:webHidden/>
              </w:rPr>
              <w:tab/>
            </w:r>
            <w:r w:rsidR="00532AE4">
              <w:rPr>
                <w:noProof/>
                <w:webHidden/>
              </w:rPr>
              <w:fldChar w:fldCharType="begin"/>
            </w:r>
            <w:r w:rsidR="00532AE4">
              <w:rPr>
                <w:noProof/>
                <w:webHidden/>
              </w:rPr>
              <w:instrText xml:space="preserve"> PAGEREF _Toc532224165 \h </w:instrText>
            </w:r>
            <w:r w:rsidR="00532AE4">
              <w:rPr>
                <w:noProof/>
                <w:webHidden/>
              </w:rPr>
            </w:r>
            <w:r w:rsidR="00532AE4">
              <w:rPr>
                <w:noProof/>
                <w:webHidden/>
              </w:rPr>
              <w:fldChar w:fldCharType="separate"/>
            </w:r>
            <w:r w:rsidR="00532AE4">
              <w:rPr>
                <w:noProof/>
                <w:webHidden/>
              </w:rPr>
              <w:t>36</w:t>
            </w:r>
            <w:r w:rsidR="00532AE4">
              <w:rPr>
                <w:noProof/>
                <w:webHidden/>
              </w:rPr>
              <w:fldChar w:fldCharType="end"/>
            </w:r>
          </w:hyperlink>
        </w:p>
        <w:p w14:paraId="3559D99B" w14:textId="21104D76" w:rsidR="00532AE4" w:rsidRDefault="00313373">
          <w:pPr>
            <w:pStyle w:val="TOC4"/>
            <w:rPr>
              <w:rFonts w:asciiTheme="minorHAnsi" w:eastAsiaTheme="minorEastAsia" w:hAnsiTheme="minorHAnsi" w:cstheme="minorBidi"/>
              <w:noProof/>
            </w:rPr>
          </w:pPr>
          <w:hyperlink w:anchor="_Toc532224166" w:history="1">
            <w:r w:rsidR="00532AE4" w:rsidRPr="00C406C4">
              <w:rPr>
                <w:rStyle w:val="Hyperlink"/>
                <w:rFonts w:cstheme="minorHAnsi"/>
                <w:noProof/>
              </w:rPr>
              <w:t>3.6.2.2 Child Consent</w:t>
            </w:r>
            <w:r w:rsidR="00532AE4">
              <w:rPr>
                <w:noProof/>
                <w:webHidden/>
              </w:rPr>
              <w:tab/>
            </w:r>
            <w:r w:rsidR="00532AE4">
              <w:rPr>
                <w:noProof/>
                <w:webHidden/>
              </w:rPr>
              <w:fldChar w:fldCharType="begin"/>
            </w:r>
            <w:r w:rsidR="00532AE4">
              <w:rPr>
                <w:noProof/>
                <w:webHidden/>
              </w:rPr>
              <w:instrText xml:space="preserve"> PAGEREF _Toc532224166 \h </w:instrText>
            </w:r>
            <w:r w:rsidR="00532AE4">
              <w:rPr>
                <w:noProof/>
                <w:webHidden/>
              </w:rPr>
            </w:r>
            <w:r w:rsidR="00532AE4">
              <w:rPr>
                <w:noProof/>
                <w:webHidden/>
              </w:rPr>
              <w:fldChar w:fldCharType="separate"/>
            </w:r>
            <w:r w:rsidR="00532AE4">
              <w:rPr>
                <w:noProof/>
                <w:webHidden/>
              </w:rPr>
              <w:t>36</w:t>
            </w:r>
            <w:r w:rsidR="00532AE4">
              <w:rPr>
                <w:noProof/>
                <w:webHidden/>
              </w:rPr>
              <w:fldChar w:fldCharType="end"/>
            </w:r>
          </w:hyperlink>
        </w:p>
        <w:p w14:paraId="52FDF223" w14:textId="60274F88" w:rsidR="00532AE4" w:rsidRDefault="00313373">
          <w:pPr>
            <w:pStyle w:val="TOC4"/>
            <w:rPr>
              <w:rFonts w:asciiTheme="minorHAnsi" w:eastAsiaTheme="minorEastAsia" w:hAnsiTheme="minorHAnsi" w:cstheme="minorBidi"/>
              <w:noProof/>
            </w:rPr>
          </w:pPr>
          <w:hyperlink w:anchor="_Toc532224167" w:history="1">
            <w:r w:rsidR="00532AE4" w:rsidRPr="00C406C4">
              <w:rPr>
                <w:rStyle w:val="Hyperlink"/>
                <w:rFonts w:cstheme="minorHAnsi"/>
                <w:noProof/>
              </w:rPr>
              <w:t>3.6.2.3 Adult Consent</w:t>
            </w:r>
            <w:r w:rsidR="00532AE4">
              <w:rPr>
                <w:noProof/>
                <w:webHidden/>
              </w:rPr>
              <w:tab/>
            </w:r>
            <w:r w:rsidR="00532AE4">
              <w:rPr>
                <w:noProof/>
                <w:webHidden/>
              </w:rPr>
              <w:fldChar w:fldCharType="begin"/>
            </w:r>
            <w:r w:rsidR="00532AE4">
              <w:rPr>
                <w:noProof/>
                <w:webHidden/>
              </w:rPr>
              <w:instrText xml:space="preserve"> PAGEREF _Toc532224167 \h </w:instrText>
            </w:r>
            <w:r w:rsidR="00532AE4">
              <w:rPr>
                <w:noProof/>
                <w:webHidden/>
              </w:rPr>
            </w:r>
            <w:r w:rsidR="00532AE4">
              <w:rPr>
                <w:noProof/>
                <w:webHidden/>
              </w:rPr>
              <w:fldChar w:fldCharType="separate"/>
            </w:r>
            <w:r w:rsidR="00532AE4">
              <w:rPr>
                <w:noProof/>
                <w:webHidden/>
              </w:rPr>
              <w:t>37</w:t>
            </w:r>
            <w:r w:rsidR="00532AE4">
              <w:rPr>
                <w:noProof/>
                <w:webHidden/>
              </w:rPr>
              <w:fldChar w:fldCharType="end"/>
            </w:r>
          </w:hyperlink>
        </w:p>
        <w:p w14:paraId="733F18F4" w14:textId="3DFC3B10" w:rsidR="00532AE4" w:rsidRDefault="00313373">
          <w:pPr>
            <w:pStyle w:val="TOC4"/>
            <w:rPr>
              <w:rFonts w:asciiTheme="minorHAnsi" w:eastAsiaTheme="minorEastAsia" w:hAnsiTheme="minorHAnsi" w:cstheme="minorBidi"/>
              <w:noProof/>
            </w:rPr>
          </w:pPr>
          <w:hyperlink w:anchor="_Toc532224168" w:history="1">
            <w:r w:rsidR="00532AE4" w:rsidRPr="00C406C4">
              <w:rPr>
                <w:rStyle w:val="Hyperlink"/>
                <w:rFonts w:cstheme="minorHAnsi"/>
                <w:noProof/>
              </w:rPr>
              <w:t>3.6.2.4 Risks and Benefits</w:t>
            </w:r>
            <w:r w:rsidR="00532AE4">
              <w:rPr>
                <w:noProof/>
                <w:webHidden/>
              </w:rPr>
              <w:tab/>
            </w:r>
            <w:r w:rsidR="00532AE4">
              <w:rPr>
                <w:noProof/>
                <w:webHidden/>
              </w:rPr>
              <w:fldChar w:fldCharType="begin"/>
            </w:r>
            <w:r w:rsidR="00532AE4">
              <w:rPr>
                <w:noProof/>
                <w:webHidden/>
              </w:rPr>
              <w:instrText xml:space="preserve"> PAGEREF _Toc532224168 \h </w:instrText>
            </w:r>
            <w:r w:rsidR="00532AE4">
              <w:rPr>
                <w:noProof/>
                <w:webHidden/>
              </w:rPr>
            </w:r>
            <w:r w:rsidR="00532AE4">
              <w:rPr>
                <w:noProof/>
                <w:webHidden/>
              </w:rPr>
              <w:fldChar w:fldCharType="separate"/>
            </w:r>
            <w:r w:rsidR="00532AE4">
              <w:rPr>
                <w:noProof/>
                <w:webHidden/>
              </w:rPr>
              <w:t>37</w:t>
            </w:r>
            <w:r w:rsidR="00532AE4">
              <w:rPr>
                <w:noProof/>
                <w:webHidden/>
              </w:rPr>
              <w:fldChar w:fldCharType="end"/>
            </w:r>
          </w:hyperlink>
        </w:p>
        <w:p w14:paraId="56AD4C97" w14:textId="4610ECEA" w:rsidR="00532AE4" w:rsidRDefault="00313373">
          <w:pPr>
            <w:pStyle w:val="TOC3"/>
            <w:rPr>
              <w:rFonts w:asciiTheme="minorHAnsi" w:eastAsiaTheme="minorEastAsia" w:hAnsiTheme="minorHAnsi" w:cstheme="minorBidi"/>
              <w:noProof/>
            </w:rPr>
          </w:pPr>
          <w:hyperlink w:anchor="_Toc532224169" w:history="1">
            <w:r w:rsidR="00532AE4" w:rsidRPr="00C406C4">
              <w:rPr>
                <w:rStyle w:val="Hyperlink"/>
                <w:rFonts w:cstheme="minorHAnsi"/>
                <w:i/>
                <w:noProof/>
              </w:rPr>
              <w:t>3.6.3 Update Contact Information and Medication List</w:t>
            </w:r>
            <w:r w:rsidR="00532AE4">
              <w:rPr>
                <w:noProof/>
                <w:webHidden/>
              </w:rPr>
              <w:tab/>
            </w:r>
            <w:r w:rsidR="00532AE4">
              <w:rPr>
                <w:noProof/>
                <w:webHidden/>
              </w:rPr>
              <w:fldChar w:fldCharType="begin"/>
            </w:r>
            <w:r w:rsidR="00532AE4">
              <w:rPr>
                <w:noProof/>
                <w:webHidden/>
              </w:rPr>
              <w:instrText xml:space="preserve"> PAGEREF _Toc532224169 \h </w:instrText>
            </w:r>
            <w:r w:rsidR="00532AE4">
              <w:rPr>
                <w:noProof/>
                <w:webHidden/>
              </w:rPr>
            </w:r>
            <w:r w:rsidR="00532AE4">
              <w:rPr>
                <w:noProof/>
                <w:webHidden/>
              </w:rPr>
              <w:fldChar w:fldCharType="separate"/>
            </w:r>
            <w:r w:rsidR="00532AE4">
              <w:rPr>
                <w:noProof/>
                <w:webHidden/>
              </w:rPr>
              <w:t>38</w:t>
            </w:r>
            <w:r w:rsidR="00532AE4">
              <w:rPr>
                <w:noProof/>
                <w:webHidden/>
              </w:rPr>
              <w:fldChar w:fldCharType="end"/>
            </w:r>
          </w:hyperlink>
        </w:p>
        <w:p w14:paraId="516011C0" w14:textId="062C9B89" w:rsidR="00532AE4" w:rsidRDefault="00313373">
          <w:pPr>
            <w:pStyle w:val="TOC3"/>
            <w:rPr>
              <w:rFonts w:asciiTheme="minorHAnsi" w:eastAsiaTheme="minorEastAsia" w:hAnsiTheme="minorHAnsi" w:cstheme="minorBidi"/>
              <w:noProof/>
            </w:rPr>
          </w:pPr>
          <w:hyperlink w:anchor="_Toc532224170" w:history="1">
            <w:r w:rsidR="00532AE4" w:rsidRPr="00C406C4">
              <w:rPr>
                <w:rStyle w:val="Hyperlink"/>
                <w:rFonts w:cstheme="minorHAnsi"/>
                <w:i/>
                <w:noProof/>
              </w:rPr>
              <w:t>3.6.4 Body and Clinical Measurements</w:t>
            </w:r>
            <w:r w:rsidR="00532AE4">
              <w:rPr>
                <w:noProof/>
                <w:webHidden/>
              </w:rPr>
              <w:tab/>
            </w:r>
            <w:r w:rsidR="00532AE4">
              <w:rPr>
                <w:noProof/>
                <w:webHidden/>
              </w:rPr>
              <w:fldChar w:fldCharType="begin"/>
            </w:r>
            <w:r w:rsidR="00532AE4">
              <w:rPr>
                <w:noProof/>
                <w:webHidden/>
              </w:rPr>
              <w:instrText xml:space="preserve"> PAGEREF _Toc532224170 \h </w:instrText>
            </w:r>
            <w:r w:rsidR="00532AE4">
              <w:rPr>
                <w:noProof/>
                <w:webHidden/>
              </w:rPr>
            </w:r>
            <w:r w:rsidR="00532AE4">
              <w:rPr>
                <w:noProof/>
                <w:webHidden/>
              </w:rPr>
              <w:fldChar w:fldCharType="separate"/>
            </w:r>
            <w:r w:rsidR="00532AE4">
              <w:rPr>
                <w:noProof/>
                <w:webHidden/>
              </w:rPr>
              <w:t>38</w:t>
            </w:r>
            <w:r w:rsidR="00532AE4">
              <w:rPr>
                <w:noProof/>
                <w:webHidden/>
              </w:rPr>
              <w:fldChar w:fldCharType="end"/>
            </w:r>
          </w:hyperlink>
        </w:p>
        <w:p w14:paraId="6D95C4DE" w14:textId="1E199948" w:rsidR="00532AE4" w:rsidRDefault="00313373">
          <w:pPr>
            <w:pStyle w:val="TOC3"/>
            <w:rPr>
              <w:rFonts w:asciiTheme="minorHAnsi" w:eastAsiaTheme="minorEastAsia" w:hAnsiTheme="minorHAnsi" w:cstheme="minorBidi"/>
              <w:noProof/>
            </w:rPr>
          </w:pPr>
          <w:hyperlink w:anchor="_Toc532224171" w:history="1">
            <w:r w:rsidR="00532AE4" w:rsidRPr="00C406C4">
              <w:rPr>
                <w:rStyle w:val="Hyperlink"/>
                <w:rFonts w:cstheme="minorHAnsi"/>
                <w:i/>
                <w:noProof/>
              </w:rPr>
              <w:t>3.6.5 Questionnaire</w:t>
            </w:r>
            <w:r w:rsidR="00532AE4">
              <w:rPr>
                <w:noProof/>
                <w:webHidden/>
              </w:rPr>
              <w:tab/>
            </w:r>
            <w:r w:rsidR="00532AE4">
              <w:rPr>
                <w:noProof/>
                <w:webHidden/>
              </w:rPr>
              <w:fldChar w:fldCharType="begin"/>
            </w:r>
            <w:r w:rsidR="00532AE4">
              <w:rPr>
                <w:noProof/>
                <w:webHidden/>
              </w:rPr>
              <w:instrText xml:space="preserve"> PAGEREF _Toc532224171 \h </w:instrText>
            </w:r>
            <w:r w:rsidR="00532AE4">
              <w:rPr>
                <w:noProof/>
                <w:webHidden/>
              </w:rPr>
            </w:r>
            <w:r w:rsidR="00532AE4">
              <w:rPr>
                <w:noProof/>
                <w:webHidden/>
              </w:rPr>
              <w:fldChar w:fldCharType="separate"/>
            </w:r>
            <w:r w:rsidR="00532AE4">
              <w:rPr>
                <w:noProof/>
                <w:webHidden/>
              </w:rPr>
              <w:t>40</w:t>
            </w:r>
            <w:r w:rsidR="00532AE4">
              <w:rPr>
                <w:noProof/>
                <w:webHidden/>
              </w:rPr>
              <w:fldChar w:fldCharType="end"/>
            </w:r>
          </w:hyperlink>
        </w:p>
        <w:p w14:paraId="25AE7BDA" w14:textId="27D00C85" w:rsidR="00532AE4" w:rsidRDefault="00313373">
          <w:pPr>
            <w:pStyle w:val="TOC4"/>
            <w:rPr>
              <w:rFonts w:asciiTheme="minorHAnsi" w:eastAsiaTheme="minorEastAsia" w:hAnsiTheme="minorHAnsi" w:cstheme="minorBidi"/>
              <w:noProof/>
            </w:rPr>
          </w:pPr>
          <w:hyperlink w:anchor="_Toc532224172" w:history="1">
            <w:r w:rsidR="00532AE4" w:rsidRPr="00C406C4">
              <w:rPr>
                <w:rStyle w:val="Hyperlink"/>
                <w:rFonts w:cstheme="minorHAnsi"/>
                <w:noProof/>
              </w:rPr>
              <w:t>3.6.4.1 Children and Parents</w:t>
            </w:r>
            <w:r w:rsidR="00532AE4">
              <w:rPr>
                <w:noProof/>
                <w:webHidden/>
              </w:rPr>
              <w:tab/>
            </w:r>
            <w:r w:rsidR="00532AE4">
              <w:rPr>
                <w:noProof/>
                <w:webHidden/>
              </w:rPr>
              <w:fldChar w:fldCharType="begin"/>
            </w:r>
            <w:r w:rsidR="00532AE4">
              <w:rPr>
                <w:noProof/>
                <w:webHidden/>
              </w:rPr>
              <w:instrText xml:space="preserve"> PAGEREF _Toc532224172 \h </w:instrText>
            </w:r>
            <w:r w:rsidR="00532AE4">
              <w:rPr>
                <w:noProof/>
                <w:webHidden/>
              </w:rPr>
            </w:r>
            <w:r w:rsidR="00532AE4">
              <w:rPr>
                <w:noProof/>
                <w:webHidden/>
              </w:rPr>
              <w:fldChar w:fldCharType="separate"/>
            </w:r>
            <w:r w:rsidR="00532AE4">
              <w:rPr>
                <w:noProof/>
                <w:webHidden/>
              </w:rPr>
              <w:t>40</w:t>
            </w:r>
            <w:r w:rsidR="00532AE4">
              <w:rPr>
                <w:noProof/>
                <w:webHidden/>
              </w:rPr>
              <w:fldChar w:fldCharType="end"/>
            </w:r>
          </w:hyperlink>
        </w:p>
        <w:p w14:paraId="31D20FC5" w14:textId="78CBA981" w:rsidR="00532AE4" w:rsidRDefault="00313373">
          <w:pPr>
            <w:pStyle w:val="TOC5"/>
            <w:tabs>
              <w:tab w:val="right" w:leader="dot" w:pos="9350"/>
            </w:tabs>
            <w:rPr>
              <w:rFonts w:asciiTheme="minorHAnsi" w:eastAsiaTheme="minorEastAsia" w:hAnsiTheme="minorHAnsi" w:cstheme="minorBidi"/>
              <w:noProof/>
            </w:rPr>
          </w:pPr>
          <w:hyperlink w:anchor="_Toc532224173" w:history="1">
            <w:r w:rsidR="00532AE4" w:rsidRPr="00C406C4">
              <w:rPr>
                <w:rStyle w:val="Hyperlink"/>
                <w:rFonts w:cstheme="minorHAnsi"/>
                <w:i/>
                <w:iCs/>
                <w:noProof/>
              </w:rPr>
              <w:t>3.6.5.1.1 Child/Parent Neurobehavioral</w:t>
            </w:r>
            <w:r w:rsidR="00532AE4" w:rsidRPr="00C406C4">
              <w:rPr>
                <w:rStyle w:val="Hyperlink"/>
                <w:rFonts w:cstheme="minorHAnsi"/>
                <w:noProof/>
              </w:rPr>
              <w:t xml:space="preserve"> Assessments</w:t>
            </w:r>
            <w:r w:rsidR="00532AE4">
              <w:rPr>
                <w:noProof/>
                <w:webHidden/>
              </w:rPr>
              <w:tab/>
            </w:r>
            <w:r w:rsidR="00532AE4">
              <w:rPr>
                <w:noProof/>
                <w:webHidden/>
              </w:rPr>
              <w:fldChar w:fldCharType="begin"/>
            </w:r>
            <w:r w:rsidR="00532AE4">
              <w:rPr>
                <w:noProof/>
                <w:webHidden/>
              </w:rPr>
              <w:instrText xml:space="preserve"> PAGEREF _Toc532224173 \h </w:instrText>
            </w:r>
            <w:r w:rsidR="00532AE4">
              <w:rPr>
                <w:noProof/>
                <w:webHidden/>
              </w:rPr>
            </w:r>
            <w:r w:rsidR="00532AE4">
              <w:rPr>
                <w:noProof/>
                <w:webHidden/>
              </w:rPr>
              <w:fldChar w:fldCharType="separate"/>
            </w:r>
            <w:r w:rsidR="00532AE4">
              <w:rPr>
                <w:noProof/>
                <w:webHidden/>
              </w:rPr>
              <w:t>41</w:t>
            </w:r>
            <w:r w:rsidR="00532AE4">
              <w:rPr>
                <w:noProof/>
                <w:webHidden/>
              </w:rPr>
              <w:fldChar w:fldCharType="end"/>
            </w:r>
          </w:hyperlink>
        </w:p>
        <w:p w14:paraId="62B3CD89" w14:textId="07ABFBC1" w:rsidR="00532AE4" w:rsidRDefault="00313373">
          <w:pPr>
            <w:pStyle w:val="TOC4"/>
            <w:rPr>
              <w:rFonts w:asciiTheme="minorHAnsi" w:eastAsiaTheme="minorEastAsia" w:hAnsiTheme="minorHAnsi" w:cstheme="minorBidi"/>
              <w:noProof/>
            </w:rPr>
          </w:pPr>
          <w:hyperlink w:anchor="_Toc532224174" w:history="1">
            <w:r w:rsidR="00532AE4" w:rsidRPr="00C406C4">
              <w:rPr>
                <w:rStyle w:val="Hyperlink"/>
                <w:rFonts w:cstheme="minorHAnsi"/>
                <w:noProof/>
              </w:rPr>
              <w:t>3.6.5.2 Adults</w:t>
            </w:r>
            <w:r w:rsidR="00532AE4">
              <w:rPr>
                <w:noProof/>
                <w:webHidden/>
              </w:rPr>
              <w:tab/>
            </w:r>
            <w:r w:rsidR="00532AE4">
              <w:rPr>
                <w:noProof/>
                <w:webHidden/>
              </w:rPr>
              <w:fldChar w:fldCharType="begin"/>
            </w:r>
            <w:r w:rsidR="00532AE4">
              <w:rPr>
                <w:noProof/>
                <w:webHidden/>
              </w:rPr>
              <w:instrText xml:space="preserve"> PAGEREF _Toc532224174 \h </w:instrText>
            </w:r>
            <w:r w:rsidR="00532AE4">
              <w:rPr>
                <w:noProof/>
                <w:webHidden/>
              </w:rPr>
            </w:r>
            <w:r w:rsidR="00532AE4">
              <w:rPr>
                <w:noProof/>
                <w:webHidden/>
              </w:rPr>
              <w:fldChar w:fldCharType="separate"/>
            </w:r>
            <w:r w:rsidR="00532AE4">
              <w:rPr>
                <w:noProof/>
                <w:webHidden/>
              </w:rPr>
              <w:t>43</w:t>
            </w:r>
            <w:r w:rsidR="00532AE4">
              <w:rPr>
                <w:noProof/>
                <w:webHidden/>
              </w:rPr>
              <w:fldChar w:fldCharType="end"/>
            </w:r>
          </w:hyperlink>
        </w:p>
        <w:p w14:paraId="26E0D9DC" w14:textId="26E61E57" w:rsidR="00532AE4" w:rsidRDefault="00313373">
          <w:pPr>
            <w:pStyle w:val="TOC3"/>
            <w:rPr>
              <w:rFonts w:asciiTheme="minorHAnsi" w:eastAsiaTheme="minorEastAsia" w:hAnsiTheme="minorHAnsi" w:cstheme="minorBidi"/>
              <w:noProof/>
            </w:rPr>
          </w:pPr>
          <w:hyperlink w:anchor="_Toc532224175" w:history="1">
            <w:r w:rsidR="00532AE4" w:rsidRPr="00C406C4">
              <w:rPr>
                <w:rStyle w:val="Hyperlink"/>
                <w:rFonts w:cstheme="minorHAnsi"/>
                <w:i/>
                <w:noProof/>
              </w:rPr>
              <w:t>3.6.6 Exit Procedures</w:t>
            </w:r>
            <w:r w:rsidR="00532AE4">
              <w:rPr>
                <w:noProof/>
                <w:webHidden/>
              </w:rPr>
              <w:tab/>
            </w:r>
            <w:r w:rsidR="00532AE4">
              <w:rPr>
                <w:noProof/>
                <w:webHidden/>
              </w:rPr>
              <w:fldChar w:fldCharType="begin"/>
            </w:r>
            <w:r w:rsidR="00532AE4">
              <w:rPr>
                <w:noProof/>
                <w:webHidden/>
              </w:rPr>
              <w:instrText xml:space="preserve"> PAGEREF _Toc532224175 \h </w:instrText>
            </w:r>
            <w:r w:rsidR="00532AE4">
              <w:rPr>
                <w:noProof/>
                <w:webHidden/>
              </w:rPr>
            </w:r>
            <w:r w:rsidR="00532AE4">
              <w:rPr>
                <w:noProof/>
                <w:webHidden/>
              </w:rPr>
              <w:fldChar w:fldCharType="separate"/>
            </w:r>
            <w:r w:rsidR="00532AE4">
              <w:rPr>
                <w:noProof/>
                <w:webHidden/>
              </w:rPr>
              <w:t>43</w:t>
            </w:r>
            <w:r w:rsidR="00532AE4">
              <w:rPr>
                <w:noProof/>
                <w:webHidden/>
              </w:rPr>
              <w:fldChar w:fldCharType="end"/>
            </w:r>
          </w:hyperlink>
        </w:p>
        <w:p w14:paraId="1B12A5A4" w14:textId="204E70AE" w:rsidR="00532AE4" w:rsidRDefault="00313373">
          <w:pPr>
            <w:pStyle w:val="TOC4"/>
            <w:rPr>
              <w:rFonts w:asciiTheme="minorHAnsi" w:eastAsiaTheme="minorEastAsia" w:hAnsiTheme="minorHAnsi" w:cstheme="minorBidi"/>
              <w:noProof/>
            </w:rPr>
          </w:pPr>
          <w:hyperlink w:anchor="_Toc532224176" w:history="1">
            <w:r w:rsidR="00532AE4" w:rsidRPr="00C406C4">
              <w:rPr>
                <w:rStyle w:val="Hyperlink"/>
                <w:rFonts w:cstheme="minorHAnsi"/>
                <w:noProof/>
              </w:rPr>
              <w:t>3.6.6.1 Gift Cards as a Token of Appreciation for Participation</w:t>
            </w:r>
            <w:r w:rsidR="00532AE4">
              <w:rPr>
                <w:noProof/>
                <w:webHidden/>
              </w:rPr>
              <w:tab/>
            </w:r>
            <w:r w:rsidR="00532AE4">
              <w:rPr>
                <w:noProof/>
                <w:webHidden/>
              </w:rPr>
              <w:fldChar w:fldCharType="begin"/>
            </w:r>
            <w:r w:rsidR="00532AE4">
              <w:rPr>
                <w:noProof/>
                <w:webHidden/>
              </w:rPr>
              <w:instrText xml:space="preserve"> PAGEREF _Toc532224176 \h </w:instrText>
            </w:r>
            <w:r w:rsidR="00532AE4">
              <w:rPr>
                <w:noProof/>
                <w:webHidden/>
              </w:rPr>
            </w:r>
            <w:r w:rsidR="00532AE4">
              <w:rPr>
                <w:noProof/>
                <w:webHidden/>
              </w:rPr>
              <w:fldChar w:fldCharType="separate"/>
            </w:r>
            <w:r w:rsidR="00532AE4">
              <w:rPr>
                <w:noProof/>
                <w:webHidden/>
              </w:rPr>
              <w:t>43</w:t>
            </w:r>
            <w:r w:rsidR="00532AE4">
              <w:rPr>
                <w:noProof/>
                <w:webHidden/>
              </w:rPr>
              <w:fldChar w:fldCharType="end"/>
            </w:r>
          </w:hyperlink>
        </w:p>
        <w:p w14:paraId="35693A74" w14:textId="198D6FF6" w:rsidR="00532AE4" w:rsidRDefault="00313373">
          <w:pPr>
            <w:pStyle w:val="TOC2"/>
            <w:rPr>
              <w:rFonts w:asciiTheme="minorHAnsi" w:eastAsiaTheme="minorEastAsia" w:hAnsiTheme="minorHAnsi" w:cstheme="minorBidi"/>
              <w:noProof/>
            </w:rPr>
          </w:pPr>
          <w:hyperlink w:anchor="_Toc532224177" w:history="1">
            <w:r w:rsidR="00532AE4" w:rsidRPr="00C406C4">
              <w:rPr>
                <w:rStyle w:val="Hyperlink"/>
                <w:rFonts w:cstheme="minorHAnsi"/>
                <w:noProof/>
              </w:rPr>
              <w:t>3.7 Biochemical Analyses</w:t>
            </w:r>
            <w:r w:rsidR="00532AE4">
              <w:rPr>
                <w:noProof/>
                <w:webHidden/>
              </w:rPr>
              <w:tab/>
            </w:r>
            <w:r w:rsidR="00532AE4">
              <w:rPr>
                <w:noProof/>
                <w:webHidden/>
              </w:rPr>
              <w:fldChar w:fldCharType="begin"/>
            </w:r>
            <w:r w:rsidR="00532AE4">
              <w:rPr>
                <w:noProof/>
                <w:webHidden/>
              </w:rPr>
              <w:instrText xml:space="preserve"> PAGEREF _Toc532224177 \h </w:instrText>
            </w:r>
            <w:r w:rsidR="00532AE4">
              <w:rPr>
                <w:noProof/>
                <w:webHidden/>
              </w:rPr>
            </w:r>
            <w:r w:rsidR="00532AE4">
              <w:rPr>
                <w:noProof/>
                <w:webHidden/>
              </w:rPr>
              <w:fldChar w:fldCharType="separate"/>
            </w:r>
            <w:r w:rsidR="00532AE4">
              <w:rPr>
                <w:noProof/>
                <w:webHidden/>
              </w:rPr>
              <w:t>44</w:t>
            </w:r>
            <w:r w:rsidR="00532AE4">
              <w:rPr>
                <w:noProof/>
                <w:webHidden/>
              </w:rPr>
              <w:fldChar w:fldCharType="end"/>
            </w:r>
          </w:hyperlink>
        </w:p>
        <w:p w14:paraId="20F43E9F" w14:textId="0A27117D" w:rsidR="00532AE4" w:rsidRDefault="00313373">
          <w:pPr>
            <w:pStyle w:val="TOC3"/>
            <w:rPr>
              <w:rFonts w:asciiTheme="minorHAnsi" w:eastAsiaTheme="minorEastAsia" w:hAnsiTheme="minorHAnsi" w:cstheme="minorBidi"/>
              <w:noProof/>
            </w:rPr>
          </w:pPr>
          <w:hyperlink w:anchor="_Toc532224178" w:history="1">
            <w:r w:rsidR="00532AE4" w:rsidRPr="00C406C4">
              <w:rPr>
                <w:rStyle w:val="Hyperlink"/>
                <w:rFonts w:cstheme="minorHAnsi"/>
                <w:i/>
                <w:noProof/>
              </w:rPr>
              <w:t>3.7.1 Children</w:t>
            </w:r>
            <w:r w:rsidR="00532AE4">
              <w:rPr>
                <w:noProof/>
                <w:webHidden/>
              </w:rPr>
              <w:tab/>
            </w:r>
            <w:r w:rsidR="00532AE4">
              <w:rPr>
                <w:noProof/>
                <w:webHidden/>
              </w:rPr>
              <w:fldChar w:fldCharType="begin"/>
            </w:r>
            <w:r w:rsidR="00532AE4">
              <w:rPr>
                <w:noProof/>
                <w:webHidden/>
              </w:rPr>
              <w:instrText xml:space="preserve"> PAGEREF _Toc532224178 \h </w:instrText>
            </w:r>
            <w:r w:rsidR="00532AE4">
              <w:rPr>
                <w:noProof/>
                <w:webHidden/>
              </w:rPr>
            </w:r>
            <w:r w:rsidR="00532AE4">
              <w:rPr>
                <w:noProof/>
                <w:webHidden/>
              </w:rPr>
              <w:fldChar w:fldCharType="separate"/>
            </w:r>
            <w:r w:rsidR="00532AE4">
              <w:rPr>
                <w:noProof/>
                <w:webHidden/>
              </w:rPr>
              <w:t>45</w:t>
            </w:r>
            <w:r w:rsidR="00532AE4">
              <w:rPr>
                <w:noProof/>
                <w:webHidden/>
              </w:rPr>
              <w:fldChar w:fldCharType="end"/>
            </w:r>
          </w:hyperlink>
        </w:p>
        <w:p w14:paraId="5513225E" w14:textId="663BE486" w:rsidR="00532AE4" w:rsidRDefault="00313373">
          <w:pPr>
            <w:pStyle w:val="TOC3"/>
            <w:rPr>
              <w:rFonts w:asciiTheme="minorHAnsi" w:eastAsiaTheme="minorEastAsia" w:hAnsiTheme="minorHAnsi" w:cstheme="minorBidi"/>
              <w:noProof/>
            </w:rPr>
          </w:pPr>
          <w:hyperlink w:anchor="_Toc532224179" w:history="1">
            <w:r w:rsidR="00532AE4" w:rsidRPr="00C406C4">
              <w:rPr>
                <w:rStyle w:val="Hyperlink"/>
                <w:rFonts w:cstheme="minorHAnsi"/>
                <w:i/>
                <w:noProof/>
              </w:rPr>
              <w:t>3.7.2 Adults</w:t>
            </w:r>
            <w:r w:rsidR="00532AE4">
              <w:rPr>
                <w:noProof/>
                <w:webHidden/>
              </w:rPr>
              <w:tab/>
            </w:r>
            <w:r w:rsidR="00532AE4">
              <w:rPr>
                <w:noProof/>
                <w:webHidden/>
              </w:rPr>
              <w:fldChar w:fldCharType="begin"/>
            </w:r>
            <w:r w:rsidR="00532AE4">
              <w:rPr>
                <w:noProof/>
                <w:webHidden/>
              </w:rPr>
              <w:instrText xml:space="preserve"> PAGEREF _Toc532224179 \h </w:instrText>
            </w:r>
            <w:r w:rsidR="00532AE4">
              <w:rPr>
                <w:noProof/>
                <w:webHidden/>
              </w:rPr>
            </w:r>
            <w:r w:rsidR="00532AE4">
              <w:rPr>
                <w:noProof/>
                <w:webHidden/>
              </w:rPr>
              <w:fldChar w:fldCharType="separate"/>
            </w:r>
            <w:r w:rsidR="00532AE4">
              <w:rPr>
                <w:noProof/>
                <w:webHidden/>
              </w:rPr>
              <w:t>46</w:t>
            </w:r>
            <w:r w:rsidR="00532AE4">
              <w:rPr>
                <w:noProof/>
                <w:webHidden/>
              </w:rPr>
              <w:fldChar w:fldCharType="end"/>
            </w:r>
          </w:hyperlink>
        </w:p>
        <w:p w14:paraId="5A1A4A5C" w14:textId="35F9EB52" w:rsidR="00532AE4" w:rsidRDefault="00313373">
          <w:pPr>
            <w:pStyle w:val="TOC3"/>
            <w:rPr>
              <w:rFonts w:asciiTheme="minorHAnsi" w:eastAsiaTheme="minorEastAsia" w:hAnsiTheme="minorHAnsi" w:cstheme="minorBidi"/>
              <w:noProof/>
            </w:rPr>
          </w:pPr>
          <w:hyperlink w:anchor="_Toc532224180" w:history="1">
            <w:r w:rsidR="00532AE4" w:rsidRPr="00C406C4">
              <w:rPr>
                <w:rStyle w:val="Hyperlink"/>
                <w:rFonts w:cstheme="minorHAnsi"/>
                <w:i/>
                <w:noProof/>
              </w:rPr>
              <w:t>3.7.3 Quality Control/Quality Assurance</w:t>
            </w:r>
            <w:r w:rsidR="00532AE4">
              <w:rPr>
                <w:noProof/>
                <w:webHidden/>
              </w:rPr>
              <w:tab/>
            </w:r>
            <w:r w:rsidR="00532AE4">
              <w:rPr>
                <w:noProof/>
                <w:webHidden/>
              </w:rPr>
              <w:fldChar w:fldCharType="begin"/>
            </w:r>
            <w:r w:rsidR="00532AE4">
              <w:rPr>
                <w:noProof/>
                <w:webHidden/>
              </w:rPr>
              <w:instrText xml:space="preserve"> PAGEREF _Toc532224180 \h </w:instrText>
            </w:r>
            <w:r w:rsidR="00532AE4">
              <w:rPr>
                <w:noProof/>
                <w:webHidden/>
              </w:rPr>
            </w:r>
            <w:r w:rsidR="00532AE4">
              <w:rPr>
                <w:noProof/>
                <w:webHidden/>
              </w:rPr>
              <w:fldChar w:fldCharType="separate"/>
            </w:r>
            <w:r w:rsidR="00532AE4">
              <w:rPr>
                <w:noProof/>
                <w:webHidden/>
              </w:rPr>
              <w:t>46</w:t>
            </w:r>
            <w:r w:rsidR="00532AE4">
              <w:rPr>
                <w:noProof/>
                <w:webHidden/>
              </w:rPr>
              <w:fldChar w:fldCharType="end"/>
            </w:r>
          </w:hyperlink>
        </w:p>
        <w:p w14:paraId="3DA39FF0" w14:textId="377BF03B" w:rsidR="00532AE4" w:rsidRDefault="00313373">
          <w:pPr>
            <w:pStyle w:val="TOC3"/>
            <w:rPr>
              <w:rFonts w:asciiTheme="minorHAnsi" w:eastAsiaTheme="minorEastAsia" w:hAnsiTheme="minorHAnsi" w:cstheme="minorBidi"/>
              <w:noProof/>
            </w:rPr>
          </w:pPr>
          <w:hyperlink w:anchor="_Toc532224181" w:history="1">
            <w:r w:rsidR="00532AE4" w:rsidRPr="00C406C4">
              <w:rPr>
                <w:rStyle w:val="Hyperlink"/>
                <w:rFonts w:cstheme="minorHAnsi"/>
                <w:i/>
                <w:noProof/>
              </w:rPr>
              <w:t>3.7.4 Reference Values</w:t>
            </w:r>
            <w:r w:rsidR="00532AE4">
              <w:rPr>
                <w:noProof/>
                <w:webHidden/>
              </w:rPr>
              <w:tab/>
            </w:r>
            <w:r w:rsidR="00532AE4">
              <w:rPr>
                <w:noProof/>
                <w:webHidden/>
              </w:rPr>
              <w:fldChar w:fldCharType="begin"/>
            </w:r>
            <w:r w:rsidR="00532AE4">
              <w:rPr>
                <w:noProof/>
                <w:webHidden/>
              </w:rPr>
              <w:instrText xml:space="preserve"> PAGEREF _Toc532224181 \h </w:instrText>
            </w:r>
            <w:r w:rsidR="00532AE4">
              <w:rPr>
                <w:noProof/>
                <w:webHidden/>
              </w:rPr>
            </w:r>
            <w:r w:rsidR="00532AE4">
              <w:rPr>
                <w:noProof/>
                <w:webHidden/>
              </w:rPr>
              <w:fldChar w:fldCharType="separate"/>
            </w:r>
            <w:r w:rsidR="00532AE4">
              <w:rPr>
                <w:noProof/>
                <w:webHidden/>
              </w:rPr>
              <w:t>47</w:t>
            </w:r>
            <w:r w:rsidR="00532AE4">
              <w:rPr>
                <w:noProof/>
                <w:webHidden/>
              </w:rPr>
              <w:fldChar w:fldCharType="end"/>
            </w:r>
          </w:hyperlink>
        </w:p>
        <w:p w14:paraId="493B7EF9" w14:textId="5C2C059E" w:rsidR="00532AE4" w:rsidRDefault="00313373">
          <w:pPr>
            <w:pStyle w:val="TOC2"/>
            <w:rPr>
              <w:rFonts w:asciiTheme="minorHAnsi" w:eastAsiaTheme="minorEastAsia" w:hAnsiTheme="minorHAnsi" w:cstheme="minorBidi"/>
              <w:noProof/>
            </w:rPr>
          </w:pPr>
          <w:hyperlink w:anchor="_Toc532224182" w:history="1">
            <w:r w:rsidR="00532AE4" w:rsidRPr="00C406C4">
              <w:rPr>
                <w:rStyle w:val="Hyperlink"/>
                <w:rFonts w:cstheme="minorHAnsi"/>
                <w:noProof/>
              </w:rPr>
              <w:t>3.8 Data Handling</w:t>
            </w:r>
            <w:r w:rsidR="00532AE4">
              <w:rPr>
                <w:noProof/>
                <w:webHidden/>
              </w:rPr>
              <w:tab/>
            </w:r>
            <w:r w:rsidR="00532AE4">
              <w:rPr>
                <w:noProof/>
                <w:webHidden/>
              </w:rPr>
              <w:fldChar w:fldCharType="begin"/>
            </w:r>
            <w:r w:rsidR="00532AE4">
              <w:rPr>
                <w:noProof/>
                <w:webHidden/>
              </w:rPr>
              <w:instrText xml:space="preserve"> PAGEREF _Toc532224182 \h </w:instrText>
            </w:r>
            <w:r w:rsidR="00532AE4">
              <w:rPr>
                <w:noProof/>
                <w:webHidden/>
              </w:rPr>
            </w:r>
            <w:r w:rsidR="00532AE4">
              <w:rPr>
                <w:noProof/>
                <w:webHidden/>
              </w:rPr>
              <w:fldChar w:fldCharType="separate"/>
            </w:r>
            <w:r w:rsidR="00532AE4">
              <w:rPr>
                <w:noProof/>
                <w:webHidden/>
              </w:rPr>
              <w:t>47</w:t>
            </w:r>
            <w:r w:rsidR="00532AE4">
              <w:rPr>
                <w:noProof/>
                <w:webHidden/>
              </w:rPr>
              <w:fldChar w:fldCharType="end"/>
            </w:r>
          </w:hyperlink>
        </w:p>
        <w:p w14:paraId="0A82E68F" w14:textId="1BC9E3C7" w:rsidR="00532AE4" w:rsidRDefault="00313373">
          <w:pPr>
            <w:pStyle w:val="TOC3"/>
            <w:rPr>
              <w:rFonts w:asciiTheme="minorHAnsi" w:eastAsiaTheme="minorEastAsia" w:hAnsiTheme="minorHAnsi" w:cstheme="minorBidi"/>
              <w:noProof/>
            </w:rPr>
          </w:pPr>
          <w:hyperlink w:anchor="_Toc532224183" w:history="1">
            <w:r w:rsidR="00532AE4" w:rsidRPr="00C406C4">
              <w:rPr>
                <w:rStyle w:val="Hyperlink"/>
                <w:rFonts w:cstheme="minorHAnsi"/>
                <w:i/>
                <w:noProof/>
              </w:rPr>
              <w:t>3.8.1 Certificate of Confidentiality</w:t>
            </w:r>
            <w:r w:rsidR="00532AE4">
              <w:rPr>
                <w:noProof/>
                <w:webHidden/>
              </w:rPr>
              <w:tab/>
            </w:r>
            <w:r w:rsidR="00532AE4">
              <w:rPr>
                <w:noProof/>
                <w:webHidden/>
              </w:rPr>
              <w:fldChar w:fldCharType="begin"/>
            </w:r>
            <w:r w:rsidR="00532AE4">
              <w:rPr>
                <w:noProof/>
                <w:webHidden/>
              </w:rPr>
              <w:instrText xml:space="preserve"> PAGEREF _Toc532224183 \h </w:instrText>
            </w:r>
            <w:r w:rsidR="00532AE4">
              <w:rPr>
                <w:noProof/>
                <w:webHidden/>
              </w:rPr>
            </w:r>
            <w:r w:rsidR="00532AE4">
              <w:rPr>
                <w:noProof/>
                <w:webHidden/>
              </w:rPr>
              <w:fldChar w:fldCharType="separate"/>
            </w:r>
            <w:r w:rsidR="00532AE4">
              <w:rPr>
                <w:noProof/>
                <w:webHidden/>
              </w:rPr>
              <w:t>47</w:t>
            </w:r>
            <w:r w:rsidR="00532AE4">
              <w:rPr>
                <w:noProof/>
                <w:webHidden/>
              </w:rPr>
              <w:fldChar w:fldCharType="end"/>
            </w:r>
          </w:hyperlink>
        </w:p>
        <w:p w14:paraId="5AD3B618" w14:textId="64704CFE" w:rsidR="00532AE4" w:rsidRDefault="00313373">
          <w:pPr>
            <w:pStyle w:val="TOC3"/>
            <w:rPr>
              <w:rFonts w:asciiTheme="minorHAnsi" w:eastAsiaTheme="minorEastAsia" w:hAnsiTheme="minorHAnsi" w:cstheme="minorBidi"/>
              <w:noProof/>
            </w:rPr>
          </w:pPr>
          <w:hyperlink w:anchor="_Toc532224184" w:history="1">
            <w:r w:rsidR="00532AE4" w:rsidRPr="00C406C4">
              <w:rPr>
                <w:rStyle w:val="Hyperlink"/>
                <w:rFonts w:cstheme="minorHAnsi"/>
                <w:i/>
                <w:noProof/>
              </w:rPr>
              <w:t>3.8.3 Impact on Privacy</w:t>
            </w:r>
            <w:r w:rsidR="00532AE4">
              <w:rPr>
                <w:noProof/>
                <w:webHidden/>
              </w:rPr>
              <w:tab/>
            </w:r>
            <w:r w:rsidR="00532AE4">
              <w:rPr>
                <w:noProof/>
                <w:webHidden/>
              </w:rPr>
              <w:fldChar w:fldCharType="begin"/>
            </w:r>
            <w:r w:rsidR="00532AE4">
              <w:rPr>
                <w:noProof/>
                <w:webHidden/>
              </w:rPr>
              <w:instrText xml:space="preserve"> PAGEREF _Toc532224184 \h </w:instrText>
            </w:r>
            <w:r w:rsidR="00532AE4">
              <w:rPr>
                <w:noProof/>
                <w:webHidden/>
              </w:rPr>
            </w:r>
            <w:r w:rsidR="00532AE4">
              <w:rPr>
                <w:noProof/>
                <w:webHidden/>
              </w:rPr>
              <w:fldChar w:fldCharType="separate"/>
            </w:r>
            <w:r w:rsidR="00532AE4">
              <w:rPr>
                <w:noProof/>
                <w:webHidden/>
              </w:rPr>
              <w:t>49</w:t>
            </w:r>
            <w:r w:rsidR="00532AE4">
              <w:rPr>
                <w:noProof/>
                <w:webHidden/>
              </w:rPr>
              <w:fldChar w:fldCharType="end"/>
            </w:r>
          </w:hyperlink>
        </w:p>
        <w:p w14:paraId="06FD8EC3" w14:textId="4D9932A6" w:rsidR="00532AE4" w:rsidRDefault="00313373">
          <w:pPr>
            <w:pStyle w:val="TOC4"/>
            <w:rPr>
              <w:rFonts w:asciiTheme="minorHAnsi" w:eastAsiaTheme="minorEastAsia" w:hAnsiTheme="minorHAnsi" w:cstheme="minorBidi"/>
              <w:noProof/>
            </w:rPr>
          </w:pPr>
          <w:hyperlink w:anchor="_Toc532224185" w:history="1">
            <w:r w:rsidR="00532AE4" w:rsidRPr="00C406C4">
              <w:rPr>
                <w:rStyle w:val="Hyperlink"/>
                <w:rFonts w:cstheme="minorHAnsi"/>
                <w:noProof/>
              </w:rPr>
              <w:t>3.</w:t>
            </w:r>
            <w:r w:rsidR="00532AE4" w:rsidRPr="00C406C4">
              <w:rPr>
                <w:rStyle w:val="Hyperlink"/>
                <w:rFonts w:eastAsia="Times New Roman" w:cstheme="minorHAnsi"/>
                <w:noProof/>
              </w:rPr>
              <w:t>8.3.1</w:t>
            </w:r>
            <w:r w:rsidR="00532AE4" w:rsidRPr="00C406C4">
              <w:rPr>
                <w:rStyle w:val="Hyperlink"/>
                <w:rFonts w:cstheme="minorHAnsi"/>
                <w:noProof/>
              </w:rPr>
              <w:t xml:space="preserve"> Access </w:t>
            </w:r>
            <w:r w:rsidR="00532AE4" w:rsidRPr="00C406C4">
              <w:rPr>
                <w:rStyle w:val="Hyperlink"/>
                <w:rFonts w:eastAsia="Times New Roman" w:cstheme="minorHAnsi"/>
                <w:noProof/>
              </w:rPr>
              <w:t>Controls</w:t>
            </w:r>
            <w:r w:rsidR="00532AE4" w:rsidRPr="00C406C4">
              <w:rPr>
                <w:rStyle w:val="Hyperlink"/>
                <w:rFonts w:cstheme="minorHAnsi"/>
                <w:noProof/>
              </w:rPr>
              <w:t xml:space="preserve"> and </w:t>
            </w:r>
            <w:r w:rsidR="00532AE4" w:rsidRPr="00C406C4">
              <w:rPr>
                <w:rStyle w:val="Hyperlink"/>
                <w:rFonts w:eastAsia="Times New Roman" w:cstheme="minorHAnsi"/>
                <w:noProof/>
              </w:rPr>
              <w:t>Security</w:t>
            </w:r>
            <w:r w:rsidR="00532AE4">
              <w:rPr>
                <w:noProof/>
                <w:webHidden/>
              </w:rPr>
              <w:tab/>
            </w:r>
            <w:r w:rsidR="00532AE4">
              <w:rPr>
                <w:noProof/>
                <w:webHidden/>
              </w:rPr>
              <w:fldChar w:fldCharType="begin"/>
            </w:r>
            <w:r w:rsidR="00532AE4">
              <w:rPr>
                <w:noProof/>
                <w:webHidden/>
              </w:rPr>
              <w:instrText xml:space="preserve"> PAGEREF _Toc532224185 \h </w:instrText>
            </w:r>
            <w:r w:rsidR="00532AE4">
              <w:rPr>
                <w:noProof/>
                <w:webHidden/>
              </w:rPr>
            </w:r>
            <w:r w:rsidR="00532AE4">
              <w:rPr>
                <w:noProof/>
                <w:webHidden/>
              </w:rPr>
              <w:fldChar w:fldCharType="separate"/>
            </w:r>
            <w:r w:rsidR="00532AE4">
              <w:rPr>
                <w:noProof/>
                <w:webHidden/>
              </w:rPr>
              <w:t>50</w:t>
            </w:r>
            <w:r w:rsidR="00532AE4">
              <w:rPr>
                <w:noProof/>
                <w:webHidden/>
              </w:rPr>
              <w:fldChar w:fldCharType="end"/>
            </w:r>
          </w:hyperlink>
        </w:p>
        <w:p w14:paraId="485A92BA" w14:textId="6F8A017E" w:rsidR="00532AE4" w:rsidRDefault="00313373">
          <w:pPr>
            <w:pStyle w:val="TOC3"/>
            <w:rPr>
              <w:rFonts w:asciiTheme="minorHAnsi" w:eastAsiaTheme="minorEastAsia" w:hAnsiTheme="minorHAnsi" w:cstheme="minorBidi"/>
              <w:noProof/>
            </w:rPr>
          </w:pPr>
          <w:hyperlink w:anchor="_Toc532224186" w:history="1">
            <w:r w:rsidR="00532AE4" w:rsidRPr="00C406C4">
              <w:rPr>
                <w:rStyle w:val="Hyperlink"/>
                <w:rFonts w:cstheme="minorHAnsi"/>
                <w:i/>
                <w:noProof/>
              </w:rPr>
              <w:t>3.</w:t>
            </w:r>
            <w:r w:rsidR="00532AE4" w:rsidRPr="00C406C4">
              <w:rPr>
                <w:rStyle w:val="Hyperlink"/>
                <w:rFonts w:eastAsia="Times New Roman" w:cstheme="minorHAnsi"/>
                <w:i/>
                <w:noProof/>
              </w:rPr>
              <w:t>8.4</w:t>
            </w:r>
            <w:r w:rsidR="00532AE4" w:rsidRPr="00C406C4">
              <w:rPr>
                <w:rStyle w:val="Hyperlink"/>
                <w:rFonts w:cstheme="minorHAnsi"/>
                <w:i/>
                <w:noProof/>
              </w:rPr>
              <w:t xml:space="preserve"> Data </w:t>
            </w:r>
            <w:r w:rsidR="00532AE4" w:rsidRPr="00C406C4">
              <w:rPr>
                <w:rStyle w:val="Hyperlink"/>
                <w:rFonts w:eastAsia="Times New Roman" w:cstheme="minorHAnsi"/>
                <w:i/>
                <w:noProof/>
              </w:rPr>
              <w:t>Delivery</w:t>
            </w:r>
            <w:r w:rsidR="00532AE4">
              <w:rPr>
                <w:noProof/>
                <w:webHidden/>
              </w:rPr>
              <w:tab/>
            </w:r>
            <w:r w:rsidR="00532AE4">
              <w:rPr>
                <w:noProof/>
                <w:webHidden/>
              </w:rPr>
              <w:fldChar w:fldCharType="begin"/>
            </w:r>
            <w:r w:rsidR="00532AE4">
              <w:rPr>
                <w:noProof/>
                <w:webHidden/>
              </w:rPr>
              <w:instrText xml:space="preserve"> PAGEREF _Toc532224186 \h </w:instrText>
            </w:r>
            <w:r w:rsidR="00532AE4">
              <w:rPr>
                <w:noProof/>
                <w:webHidden/>
              </w:rPr>
            </w:r>
            <w:r w:rsidR="00532AE4">
              <w:rPr>
                <w:noProof/>
                <w:webHidden/>
              </w:rPr>
              <w:fldChar w:fldCharType="separate"/>
            </w:r>
            <w:r w:rsidR="00532AE4">
              <w:rPr>
                <w:noProof/>
                <w:webHidden/>
              </w:rPr>
              <w:t>52</w:t>
            </w:r>
            <w:r w:rsidR="00532AE4">
              <w:rPr>
                <w:noProof/>
                <w:webHidden/>
              </w:rPr>
              <w:fldChar w:fldCharType="end"/>
            </w:r>
          </w:hyperlink>
        </w:p>
        <w:p w14:paraId="55BBB2C6" w14:textId="12C36A7B" w:rsidR="00532AE4" w:rsidRDefault="00313373">
          <w:pPr>
            <w:pStyle w:val="TOC3"/>
            <w:rPr>
              <w:rFonts w:asciiTheme="minorHAnsi" w:eastAsiaTheme="minorEastAsia" w:hAnsiTheme="minorHAnsi" w:cstheme="minorBidi"/>
              <w:noProof/>
            </w:rPr>
          </w:pPr>
          <w:hyperlink w:anchor="_Toc532224187" w:history="1">
            <w:r w:rsidR="00532AE4" w:rsidRPr="00C406C4">
              <w:rPr>
                <w:rStyle w:val="Hyperlink"/>
                <w:rFonts w:cstheme="minorHAnsi"/>
                <w:i/>
                <w:noProof/>
              </w:rPr>
              <w:t>3.</w:t>
            </w:r>
            <w:r w:rsidR="00532AE4" w:rsidRPr="00C406C4">
              <w:rPr>
                <w:rStyle w:val="Hyperlink"/>
                <w:rFonts w:eastAsia="Times New Roman" w:cstheme="minorHAnsi"/>
                <w:i/>
                <w:noProof/>
              </w:rPr>
              <w:t>8.6</w:t>
            </w:r>
            <w:r w:rsidR="00532AE4" w:rsidRPr="00C406C4">
              <w:rPr>
                <w:rStyle w:val="Hyperlink"/>
                <w:rFonts w:cstheme="minorHAnsi"/>
                <w:i/>
                <w:noProof/>
              </w:rPr>
              <w:t xml:space="preserve"> Storing</w:t>
            </w:r>
            <w:r w:rsidR="00532AE4" w:rsidRPr="00C406C4">
              <w:rPr>
                <w:rStyle w:val="Hyperlink"/>
                <w:rFonts w:eastAsia="Times New Roman" w:cstheme="minorHAnsi"/>
                <w:i/>
                <w:noProof/>
              </w:rPr>
              <w:t xml:space="preserve"> Residual</w:t>
            </w:r>
            <w:r w:rsidR="00532AE4" w:rsidRPr="00C406C4">
              <w:rPr>
                <w:rStyle w:val="Hyperlink"/>
                <w:rFonts w:cstheme="minorHAnsi"/>
                <w:i/>
                <w:noProof/>
              </w:rPr>
              <w:t xml:space="preserve"> Blood for Future Use</w:t>
            </w:r>
            <w:r w:rsidR="00532AE4">
              <w:rPr>
                <w:noProof/>
                <w:webHidden/>
              </w:rPr>
              <w:tab/>
            </w:r>
            <w:r w:rsidR="00532AE4">
              <w:rPr>
                <w:noProof/>
                <w:webHidden/>
              </w:rPr>
              <w:fldChar w:fldCharType="begin"/>
            </w:r>
            <w:r w:rsidR="00532AE4">
              <w:rPr>
                <w:noProof/>
                <w:webHidden/>
              </w:rPr>
              <w:instrText xml:space="preserve"> PAGEREF _Toc532224187 \h </w:instrText>
            </w:r>
            <w:r w:rsidR="00532AE4">
              <w:rPr>
                <w:noProof/>
                <w:webHidden/>
              </w:rPr>
            </w:r>
            <w:r w:rsidR="00532AE4">
              <w:rPr>
                <w:noProof/>
                <w:webHidden/>
              </w:rPr>
              <w:fldChar w:fldCharType="separate"/>
            </w:r>
            <w:r w:rsidR="00532AE4">
              <w:rPr>
                <w:noProof/>
                <w:webHidden/>
              </w:rPr>
              <w:t>53</w:t>
            </w:r>
            <w:r w:rsidR="00532AE4">
              <w:rPr>
                <w:noProof/>
                <w:webHidden/>
              </w:rPr>
              <w:fldChar w:fldCharType="end"/>
            </w:r>
          </w:hyperlink>
        </w:p>
        <w:p w14:paraId="1CC64187" w14:textId="7B7D6AE9" w:rsidR="00532AE4" w:rsidRDefault="00313373">
          <w:pPr>
            <w:pStyle w:val="TOC2"/>
            <w:rPr>
              <w:rFonts w:asciiTheme="minorHAnsi" w:eastAsiaTheme="minorEastAsia" w:hAnsiTheme="minorHAnsi" w:cstheme="minorBidi"/>
              <w:noProof/>
            </w:rPr>
          </w:pPr>
          <w:hyperlink w:anchor="_Toc532224188" w:history="1">
            <w:r w:rsidR="00532AE4" w:rsidRPr="00C406C4">
              <w:rPr>
                <w:rStyle w:val="Hyperlink"/>
                <w:rFonts w:cstheme="minorHAnsi"/>
                <w:noProof/>
              </w:rPr>
              <w:t>3.9 Exposure Estimation</w:t>
            </w:r>
            <w:r w:rsidR="00532AE4">
              <w:rPr>
                <w:noProof/>
                <w:webHidden/>
              </w:rPr>
              <w:tab/>
            </w:r>
            <w:r w:rsidR="00532AE4">
              <w:rPr>
                <w:noProof/>
                <w:webHidden/>
              </w:rPr>
              <w:fldChar w:fldCharType="begin"/>
            </w:r>
            <w:r w:rsidR="00532AE4">
              <w:rPr>
                <w:noProof/>
                <w:webHidden/>
              </w:rPr>
              <w:instrText xml:space="preserve"> PAGEREF _Toc532224188 \h </w:instrText>
            </w:r>
            <w:r w:rsidR="00532AE4">
              <w:rPr>
                <w:noProof/>
                <w:webHidden/>
              </w:rPr>
            </w:r>
            <w:r w:rsidR="00532AE4">
              <w:rPr>
                <w:noProof/>
                <w:webHidden/>
              </w:rPr>
              <w:fldChar w:fldCharType="separate"/>
            </w:r>
            <w:r w:rsidR="00532AE4">
              <w:rPr>
                <w:noProof/>
                <w:webHidden/>
              </w:rPr>
              <w:t>54</w:t>
            </w:r>
            <w:r w:rsidR="00532AE4">
              <w:rPr>
                <w:noProof/>
                <w:webHidden/>
              </w:rPr>
              <w:fldChar w:fldCharType="end"/>
            </w:r>
          </w:hyperlink>
        </w:p>
        <w:p w14:paraId="7CCCAB96" w14:textId="63D2C245" w:rsidR="00532AE4" w:rsidRDefault="00313373">
          <w:pPr>
            <w:pStyle w:val="TOC2"/>
            <w:rPr>
              <w:rFonts w:asciiTheme="minorHAnsi" w:eastAsiaTheme="minorEastAsia" w:hAnsiTheme="minorHAnsi" w:cstheme="minorBidi"/>
              <w:noProof/>
            </w:rPr>
          </w:pPr>
          <w:hyperlink w:anchor="_Toc532224189" w:history="1">
            <w:r w:rsidR="00532AE4" w:rsidRPr="00C406C4">
              <w:rPr>
                <w:rStyle w:val="Hyperlink"/>
                <w:rFonts w:cstheme="minorHAnsi"/>
                <w:noProof/>
              </w:rPr>
              <w:t>3.10 Statistical Analyses</w:t>
            </w:r>
            <w:r w:rsidR="00532AE4">
              <w:rPr>
                <w:noProof/>
                <w:webHidden/>
              </w:rPr>
              <w:tab/>
            </w:r>
            <w:r w:rsidR="00532AE4">
              <w:rPr>
                <w:noProof/>
                <w:webHidden/>
              </w:rPr>
              <w:fldChar w:fldCharType="begin"/>
            </w:r>
            <w:r w:rsidR="00532AE4">
              <w:rPr>
                <w:noProof/>
                <w:webHidden/>
              </w:rPr>
              <w:instrText xml:space="preserve"> PAGEREF _Toc532224189 \h </w:instrText>
            </w:r>
            <w:r w:rsidR="00532AE4">
              <w:rPr>
                <w:noProof/>
                <w:webHidden/>
              </w:rPr>
            </w:r>
            <w:r w:rsidR="00532AE4">
              <w:rPr>
                <w:noProof/>
                <w:webHidden/>
              </w:rPr>
              <w:fldChar w:fldCharType="separate"/>
            </w:r>
            <w:r w:rsidR="00532AE4">
              <w:rPr>
                <w:noProof/>
                <w:webHidden/>
              </w:rPr>
              <w:t>56</w:t>
            </w:r>
            <w:r w:rsidR="00532AE4">
              <w:rPr>
                <w:noProof/>
                <w:webHidden/>
              </w:rPr>
              <w:fldChar w:fldCharType="end"/>
            </w:r>
          </w:hyperlink>
        </w:p>
        <w:p w14:paraId="52DF87A3" w14:textId="333F6332" w:rsidR="00532AE4" w:rsidRDefault="00313373">
          <w:pPr>
            <w:pStyle w:val="TOC1"/>
            <w:rPr>
              <w:rFonts w:asciiTheme="minorHAnsi" w:eastAsiaTheme="minorEastAsia" w:hAnsiTheme="minorHAnsi" w:cstheme="minorBidi"/>
              <w:noProof/>
            </w:rPr>
          </w:pPr>
          <w:hyperlink w:anchor="_Toc532224190" w:history="1">
            <w:r w:rsidR="00532AE4" w:rsidRPr="00C406C4">
              <w:rPr>
                <w:rStyle w:val="Hyperlink"/>
                <w:rFonts w:cstheme="minorHAnsi"/>
                <w:noProof/>
              </w:rPr>
              <w:t>4. RESULTS REPORTING</w:t>
            </w:r>
            <w:r w:rsidR="00532AE4">
              <w:rPr>
                <w:noProof/>
                <w:webHidden/>
              </w:rPr>
              <w:tab/>
            </w:r>
            <w:r w:rsidR="00532AE4">
              <w:rPr>
                <w:noProof/>
                <w:webHidden/>
              </w:rPr>
              <w:fldChar w:fldCharType="begin"/>
            </w:r>
            <w:r w:rsidR="00532AE4">
              <w:rPr>
                <w:noProof/>
                <w:webHidden/>
              </w:rPr>
              <w:instrText xml:space="preserve"> PAGEREF _Toc532224190 \h </w:instrText>
            </w:r>
            <w:r w:rsidR="00532AE4">
              <w:rPr>
                <w:noProof/>
                <w:webHidden/>
              </w:rPr>
            </w:r>
            <w:r w:rsidR="00532AE4">
              <w:rPr>
                <w:noProof/>
                <w:webHidden/>
              </w:rPr>
              <w:fldChar w:fldCharType="separate"/>
            </w:r>
            <w:r w:rsidR="00532AE4">
              <w:rPr>
                <w:noProof/>
                <w:webHidden/>
              </w:rPr>
              <w:t>57</w:t>
            </w:r>
            <w:r w:rsidR="00532AE4">
              <w:rPr>
                <w:noProof/>
                <w:webHidden/>
              </w:rPr>
              <w:fldChar w:fldCharType="end"/>
            </w:r>
          </w:hyperlink>
        </w:p>
        <w:p w14:paraId="646352A7" w14:textId="536CD849" w:rsidR="00532AE4" w:rsidRDefault="00313373">
          <w:pPr>
            <w:pStyle w:val="TOC2"/>
            <w:rPr>
              <w:rFonts w:asciiTheme="minorHAnsi" w:eastAsiaTheme="minorEastAsia" w:hAnsiTheme="minorHAnsi" w:cstheme="minorBidi"/>
              <w:noProof/>
            </w:rPr>
          </w:pPr>
          <w:hyperlink w:anchor="_Toc532224191" w:history="1">
            <w:r w:rsidR="00532AE4" w:rsidRPr="00C406C4">
              <w:rPr>
                <w:rStyle w:val="Hyperlink"/>
                <w:rFonts w:cstheme="minorHAnsi"/>
                <w:noProof/>
              </w:rPr>
              <w:t>4.1 Notification of Individual Results</w:t>
            </w:r>
            <w:r w:rsidR="00532AE4">
              <w:rPr>
                <w:noProof/>
                <w:webHidden/>
              </w:rPr>
              <w:tab/>
            </w:r>
            <w:r w:rsidR="00532AE4">
              <w:rPr>
                <w:noProof/>
                <w:webHidden/>
              </w:rPr>
              <w:fldChar w:fldCharType="begin"/>
            </w:r>
            <w:r w:rsidR="00532AE4">
              <w:rPr>
                <w:noProof/>
                <w:webHidden/>
              </w:rPr>
              <w:instrText xml:space="preserve"> PAGEREF _Toc532224191 \h </w:instrText>
            </w:r>
            <w:r w:rsidR="00532AE4">
              <w:rPr>
                <w:noProof/>
                <w:webHidden/>
              </w:rPr>
            </w:r>
            <w:r w:rsidR="00532AE4">
              <w:rPr>
                <w:noProof/>
                <w:webHidden/>
              </w:rPr>
              <w:fldChar w:fldCharType="separate"/>
            </w:r>
            <w:r w:rsidR="00532AE4">
              <w:rPr>
                <w:noProof/>
                <w:webHidden/>
              </w:rPr>
              <w:t>57</w:t>
            </w:r>
            <w:r w:rsidR="00532AE4">
              <w:rPr>
                <w:noProof/>
                <w:webHidden/>
              </w:rPr>
              <w:fldChar w:fldCharType="end"/>
            </w:r>
          </w:hyperlink>
        </w:p>
        <w:p w14:paraId="5166B3B9" w14:textId="38BC8029" w:rsidR="00532AE4" w:rsidRDefault="00313373">
          <w:pPr>
            <w:pStyle w:val="TOC2"/>
            <w:rPr>
              <w:rFonts w:asciiTheme="minorHAnsi" w:eastAsiaTheme="minorEastAsia" w:hAnsiTheme="minorHAnsi" w:cstheme="minorBidi"/>
              <w:noProof/>
            </w:rPr>
          </w:pPr>
          <w:hyperlink w:anchor="_Toc532224192" w:history="1">
            <w:r w:rsidR="00532AE4" w:rsidRPr="00C406C4">
              <w:rPr>
                <w:rStyle w:val="Hyperlink"/>
                <w:rFonts w:cstheme="minorHAnsi"/>
                <w:noProof/>
              </w:rPr>
              <w:t>4.2 Disseminating Results to the Public</w:t>
            </w:r>
            <w:r w:rsidR="00532AE4">
              <w:rPr>
                <w:noProof/>
                <w:webHidden/>
              </w:rPr>
              <w:tab/>
            </w:r>
            <w:r w:rsidR="00532AE4">
              <w:rPr>
                <w:noProof/>
                <w:webHidden/>
              </w:rPr>
              <w:fldChar w:fldCharType="begin"/>
            </w:r>
            <w:r w:rsidR="00532AE4">
              <w:rPr>
                <w:noProof/>
                <w:webHidden/>
              </w:rPr>
              <w:instrText xml:space="preserve"> PAGEREF _Toc532224192 \h </w:instrText>
            </w:r>
            <w:r w:rsidR="00532AE4">
              <w:rPr>
                <w:noProof/>
                <w:webHidden/>
              </w:rPr>
            </w:r>
            <w:r w:rsidR="00532AE4">
              <w:rPr>
                <w:noProof/>
                <w:webHidden/>
              </w:rPr>
              <w:fldChar w:fldCharType="separate"/>
            </w:r>
            <w:r w:rsidR="00532AE4">
              <w:rPr>
                <w:noProof/>
                <w:webHidden/>
              </w:rPr>
              <w:t>57</w:t>
            </w:r>
            <w:r w:rsidR="00532AE4">
              <w:rPr>
                <w:noProof/>
                <w:webHidden/>
              </w:rPr>
              <w:fldChar w:fldCharType="end"/>
            </w:r>
          </w:hyperlink>
        </w:p>
        <w:p w14:paraId="6C099EFD" w14:textId="63AB9A4C" w:rsidR="00532AE4" w:rsidRDefault="00313373">
          <w:pPr>
            <w:pStyle w:val="TOC1"/>
            <w:rPr>
              <w:rFonts w:asciiTheme="minorHAnsi" w:eastAsiaTheme="minorEastAsia" w:hAnsiTheme="minorHAnsi" w:cstheme="minorBidi"/>
              <w:noProof/>
            </w:rPr>
          </w:pPr>
          <w:hyperlink w:anchor="_Toc532224193" w:history="1">
            <w:r w:rsidR="00532AE4" w:rsidRPr="00C406C4">
              <w:rPr>
                <w:rStyle w:val="Hyperlink"/>
                <w:rFonts w:cstheme="minorHAnsi"/>
                <w:noProof/>
              </w:rPr>
              <w:t>5. STRENGTHS AND LIMITATIONS</w:t>
            </w:r>
            <w:r w:rsidR="00532AE4">
              <w:rPr>
                <w:noProof/>
                <w:webHidden/>
              </w:rPr>
              <w:tab/>
            </w:r>
            <w:r w:rsidR="00532AE4">
              <w:rPr>
                <w:noProof/>
                <w:webHidden/>
              </w:rPr>
              <w:fldChar w:fldCharType="begin"/>
            </w:r>
            <w:r w:rsidR="00532AE4">
              <w:rPr>
                <w:noProof/>
                <w:webHidden/>
              </w:rPr>
              <w:instrText xml:space="preserve"> PAGEREF _Toc532224193 \h </w:instrText>
            </w:r>
            <w:r w:rsidR="00532AE4">
              <w:rPr>
                <w:noProof/>
                <w:webHidden/>
              </w:rPr>
            </w:r>
            <w:r w:rsidR="00532AE4">
              <w:rPr>
                <w:noProof/>
                <w:webHidden/>
              </w:rPr>
              <w:fldChar w:fldCharType="separate"/>
            </w:r>
            <w:r w:rsidR="00532AE4">
              <w:rPr>
                <w:noProof/>
                <w:webHidden/>
              </w:rPr>
              <w:t>58</w:t>
            </w:r>
            <w:r w:rsidR="00532AE4">
              <w:rPr>
                <w:noProof/>
                <w:webHidden/>
              </w:rPr>
              <w:fldChar w:fldCharType="end"/>
            </w:r>
          </w:hyperlink>
        </w:p>
        <w:p w14:paraId="4825477F" w14:textId="13623A48" w:rsidR="00532AE4" w:rsidRDefault="00313373">
          <w:pPr>
            <w:pStyle w:val="TOC1"/>
            <w:rPr>
              <w:rFonts w:asciiTheme="minorHAnsi" w:eastAsiaTheme="minorEastAsia" w:hAnsiTheme="minorHAnsi" w:cstheme="minorBidi"/>
              <w:noProof/>
            </w:rPr>
          </w:pPr>
          <w:hyperlink w:anchor="_Toc532224194" w:history="1">
            <w:r w:rsidR="00532AE4" w:rsidRPr="00C406C4">
              <w:rPr>
                <w:rStyle w:val="Hyperlink"/>
                <w:noProof/>
              </w:rPr>
              <w:t>6</w:t>
            </w:r>
            <w:r w:rsidR="00532AE4" w:rsidRPr="00C406C4">
              <w:rPr>
                <w:rStyle w:val="Hyperlink"/>
                <w:rFonts w:cstheme="minorHAnsi"/>
                <w:noProof/>
              </w:rPr>
              <w:t>. REFERENCES</w:t>
            </w:r>
            <w:r w:rsidR="00532AE4">
              <w:rPr>
                <w:noProof/>
                <w:webHidden/>
              </w:rPr>
              <w:tab/>
            </w:r>
            <w:r w:rsidR="00532AE4">
              <w:rPr>
                <w:noProof/>
                <w:webHidden/>
              </w:rPr>
              <w:fldChar w:fldCharType="begin"/>
            </w:r>
            <w:r w:rsidR="00532AE4">
              <w:rPr>
                <w:noProof/>
                <w:webHidden/>
              </w:rPr>
              <w:instrText xml:space="preserve"> PAGEREF _Toc532224194 \h </w:instrText>
            </w:r>
            <w:r w:rsidR="00532AE4">
              <w:rPr>
                <w:noProof/>
                <w:webHidden/>
              </w:rPr>
            </w:r>
            <w:r w:rsidR="00532AE4">
              <w:rPr>
                <w:noProof/>
                <w:webHidden/>
              </w:rPr>
              <w:fldChar w:fldCharType="separate"/>
            </w:r>
            <w:r w:rsidR="00532AE4">
              <w:rPr>
                <w:noProof/>
                <w:webHidden/>
              </w:rPr>
              <w:t>60</w:t>
            </w:r>
            <w:r w:rsidR="00532AE4">
              <w:rPr>
                <w:noProof/>
                <w:webHidden/>
              </w:rPr>
              <w:fldChar w:fldCharType="end"/>
            </w:r>
          </w:hyperlink>
        </w:p>
        <w:p w14:paraId="5934A914" w14:textId="53A94356" w:rsidR="00532AE4" w:rsidRDefault="00313373">
          <w:pPr>
            <w:pStyle w:val="TOC1"/>
            <w:rPr>
              <w:rFonts w:asciiTheme="minorHAnsi" w:eastAsiaTheme="minorEastAsia" w:hAnsiTheme="minorHAnsi" w:cstheme="minorBidi"/>
              <w:noProof/>
            </w:rPr>
          </w:pPr>
          <w:hyperlink w:anchor="_Toc532224195" w:history="1">
            <w:r w:rsidR="00532AE4" w:rsidRPr="00C406C4">
              <w:rPr>
                <w:rStyle w:val="Hyperlink"/>
                <w:rFonts w:cstheme="minorHAnsi"/>
                <w:noProof/>
              </w:rPr>
              <w:t>7. LIST OF ATTACHMENTS</w:t>
            </w:r>
            <w:r w:rsidR="00532AE4">
              <w:rPr>
                <w:noProof/>
                <w:webHidden/>
              </w:rPr>
              <w:tab/>
            </w:r>
            <w:r w:rsidR="00532AE4">
              <w:rPr>
                <w:noProof/>
                <w:webHidden/>
              </w:rPr>
              <w:fldChar w:fldCharType="begin"/>
            </w:r>
            <w:r w:rsidR="00532AE4">
              <w:rPr>
                <w:noProof/>
                <w:webHidden/>
              </w:rPr>
              <w:instrText xml:space="preserve"> PAGEREF _Toc532224195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54474B37" w14:textId="64FF7CD5" w:rsidR="00532AE4" w:rsidRDefault="00313373">
          <w:pPr>
            <w:pStyle w:val="TOC2"/>
            <w:rPr>
              <w:rFonts w:asciiTheme="minorHAnsi" w:eastAsiaTheme="minorEastAsia" w:hAnsiTheme="minorHAnsi" w:cstheme="minorBidi"/>
              <w:noProof/>
            </w:rPr>
          </w:pPr>
          <w:hyperlink w:anchor="_Toc532224196" w:history="1">
            <w:r w:rsidR="00532AE4" w:rsidRPr="00C406C4">
              <w:rPr>
                <w:rStyle w:val="Hyperlink"/>
                <w:rFonts w:cstheme="minorHAnsi"/>
                <w:noProof/>
              </w:rPr>
              <w:t>Attachment 1. Investigators and Key Study Personnel</w:t>
            </w:r>
            <w:r w:rsidR="00532AE4">
              <w:rPr>
                <w:noProof/>
                <w:webHidden/>
              </w:rPr>
              <w:tab/>
            </w:r>
            <w:r w:rsidR="00532AE4">
              <w:rPr>
                <w:noProof/>
                <w:webHidden/>
              </w:rPr>
              <w:fldChar w:fldCharType="begin"/>
            </w:r>
            <w:r w:rsidR="00532AE4">
              <w:rPr>
                <w:noProof/>
                <w:webHidden/>
              </w:rPr>
              <w:instrText xml:space="preserve"> PAGEREF _Toc532224196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4E1D6CD9" w14:textId="19DECACD" w:rsidR="00532AE4" w:rsidRDefault="00313373">
          <w:pPr>
            <w:pStyle w:val="TOC2"/>
            <w:rPr>
              <w:rFonts w:asciiTheme="minorHAnsi" w:eastAsiaTheme="minorEastAsia" w:hAnsiTheme="minorHAnsi" w:cstheme="minorBidi"/>
              <w:noProof/>
            </w:rPr>
          </w:pPr>
          <w:hyperlink w:anchor="_Toc532224197" w:history="1">
            <w:r w:rsidR="00532AE4" w:rsidRPr="00C406C4">
              <w:rPr>
                <w:rStyle w:val="Hyperlink"/>
                <w:rFonts w:cstheme="minorHAnsi"/>
                <w:noProof/>
              </w:rPr>
              <w:t>Attachment 2. PFAS Serum Levels, Pease vs. External Populations</w:t>
            </w:r>
            <w:r w:rsidR="00532AE4">
              <w:rPr>
                <w:noProof/>
                <w:webHidden/>
              </w:rPr>
              <w:tab/>
            </w:r>
            <w:r w:rsidR="00532AE4">
              <w:rPr>
                <w:noProof/>
                <w:webHidden/>
              </w:rPr>
              <w:fldChar w:fldCharType="begin"/>
            </w:r>
            <w:r w:rsidR="00532AE4">
              <w:rPr>
                <w:noProof/>
                <w:webHidden/>
              </w:rPr>
              <w:instrText xml:space="preserve"> PAGEREF _Toc532224197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59E5A1F0" w14:textId="7EF8A209" w:rsidR="00532AE4" w:rsidRDefault="00313373">
          <w:pPr>
            <w:pStyle w:val="TOC3"/>
            <w:rPr>
              <w:rFonts w:asciiTheme="minorHAnsi" w:eastAsiaTheme="minorEastAsia" w:hAnsiTheme="minorHAnsi" w:cstheme="minorBidi"/>
              <w:noProof/>
            </w:rPr>
          </w:pPr>
          <w:hyperlink w:anchor="_Toc532224198" w:history="1">
            <w:r w:rsidR="00532AE4" w:rsidRPr="00C406C4">
              <w:rPr>
                <w:rStyle w:val="Hyperlink"/>
                <w:rFonts w:cstheme="minorHAnsi"/>
                <w:noProof/>
              </w:rPr>
              <w:t>Attachment 2a. Pease serum PFAS levels in µg/L, by age groups, 2018</w:t>
            </w:r>
            <w:r w:rsidR="00532AE4">
              <w:rPr>
                <w:noProof/>
                <w:webHidden/>
              </w:rPr>
              <w:tab/>
            </w:r>
            <w:r w:rsidR="00532AE4">
              <w:rPr>
                <w:noProof/>
                <w:webHidden/>
              </w:rPr>
              <w:fldChar w:fldCharType="begin"/>
            </w:r>
            <w:r w:rsidR="00532AE4">
              <w:rPr>
                <w:noProof/>
                <w:webHidden/>
              </w:rPr>
              <w:instrText xml:space="preserve"> PAGEREF _Toc532224198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59825D9C" w14:textId="023BBCE3" w:rsidR="00532AE4" w:rsidRDefault="00313373">
          <w:pPr>
            <w:pStyle w:val="TOC3"/>
            <w:rPr>
              <w:rFonts w:asciiTheme="minorHAnsi" w:eastAsiaTheme="minorEastAsia" w:hAnsiTheme="minorHAnsi" w:cstheme="minorBidi"/>
              <w:noProof/>
            </w:rPr>
          </w:pPr>
          <w:hyperlink w:anchor="_Toc532224199" w:history="1">
            <w:r w:rsidR="00532AE4" w:rsidRPr="00C406C4">
              <w:rPr>
                <w:rStyle w:val="Hyperlink"/>
                <w:rFonts w:cstheme="minorHAnsi"/>
                <w:noProof/>
              </w:rPr>
              <w:t>Attachment 2b. Serum PFAS levels in µg/L, children aged &lt;12 years, Pease vs. comparisons</w:t>
            </w:r>
            <w:r w:rsidR="00532AE4">
              <w:rPr>
                <w:noProof/>
                <w:webHidden/>
              </w:rPr>
              <w:tab/>
            </w:r>
            <w:r w:rsidR="00532AE4">
              <w:rPr>
                <w:noProof/>
                <w:webHidden/>
              </w:rPr>
              <w:fldChar w:fldCharType="begin"/>
            </w:r>
            <w:r w:rsidR="00532AE4">
              <w:rPr>
                <w:noProof/>
                <w:webHidden/>
              </w:rPr>
              <w:instrText xml:space="preserve"> PAGEREF _Toc532224199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794E1950" w14:textId="2A2889D8" w:rsidR="00532AE4" w:rsidRDefault="00313373">
          <w:pPr>
            <w:pStyle w:val="TOC3"/>
            <w:rPr>
              <w:rFonts w:asciiTheme="minorHAnsi" w:eastAsiaTheme="minorEastAsia" w:hAnsiTheme="minorHAnsi" w:cstheme="minorBidi"/>
              <w:noProof/>
            </w:rPr>
          </w:pPr>
          <w:hyperlink w:anchor="_Toc532224200" w:history="1">
            <w:r w:rsidR="00532AE4" w:rsidRPr="00C406C4">
              <w:rPr>
                <w:rStyle w:val="Hyperlink"/>
                <w:rFonts w:cstheme="minorHAnsi"/>
                <w:noProof/>
              </w:rPr>
              <w:t>Attachment 2c. Serum PFAS levels in µg/L, aged ≥12 years, Pease vs. NHANES</w:t>
            </w:r>
            <w:r w:rsidR="00532AE4">
              <w:rPr>
                <w:noProof/>
                <w:webHidden/>
              </w:rPr>
              <w:tab/>
            </w:r>
            <w:r w:rsidR="00532AE4">
              <w:rPr>
                <w:noProof/>
                <w:webHidden/>
              </w:rPr>
              <w:fldChar w:fldCharType="begin"/>
            </w:r>
            <w:r w:rsidR="00532AE4">
              <w:rPr>
                <w:noProof/>
                <w:webHidden/>
              </w:rPr>
              <w:instrText xml:space="preserve"> PAGEREF _Toc532224200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442E04A1" w14:textId="52C2E47C" w:rsidR="00532AE4" w:rsidRDefault="00313373">
          <w:pPr>
            <w:pStyle w:val="TOC2"/>
            <w:rPr>
              <w:rFonts w:asciiTheme="minorHAnsi" w:eastAsiaTheme="minorEastAsia" w:hAnsiTheme="minorHAnsi" w:cstheme="minorBidi"/>
              <w:noProof/>
            </w:rPr>
          </w:pPr>
          <w:hyperlink w:anchor="_Toc532224201" w:history="1">
            <w:r w:rsidR="00532AE4" w:rsidRPr="00C406C4">
              <w:rPr>
                <w:rStyle w:val="Hyperlink"/>
                <w:rFonts w:cstheme="minorHAnsi"/>
                <w:noProof/>
              </w:rPr>
              <w:t>Attachment 3. Biochemical Analytical Plan in Children and Adults</w:t>
            </w:r>
            <w:r w:rsidR="00532AE4">
              <w:rPr>
                <w:noProof/>
                <w:webHidden/>
              </w:rPr>
              <w:tab/>
            </w:r>
            <w:r w:rsidR="00532AE4">
              <w:rPr>
                <w:noProof/>
                <w:webHidden/>
              </w:rPr>
              <w:fldChar w:fldCharType="begin"/>
            </w:r>
            <w:r w:rsidR="00532AE4">
              <w:rPr>
                <w:noProof/>
                <w:webHidden/>
              </w:rPr>
              <w:instrText xml:space="preserve"> PAGEREF _Toc532224201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347463FD" w14:textId="3156A03E" w:rsidR="00532AE4" w:rsidRDefault="00313373">
          <w:pPr>
            <w:pStyle w:val="TOC2"/>
            <w:rPr>
              <w:rFonts w:asciiTheme="minorHAnsi" w:eastAsiaTheme="minorEastAsia" w:hAnsiTheme="minorHAnsi" w:cstheme="minorBidi"/>
              <w:noProof/>
            </w:rPr>
          </w:pPr>
          <w:hyperlink w:anchor="_Toc532224202" w:history="1">
            <w:r w:rsidR="00532AE4" w:rsidRPr="00C406C4">
              <w:rPr>
                <w:rStyle w:val="Hyperlink"/>
                <w:rFonts w:cstheme="minorHAnsi"/>
                <w:noProof/>
              </w:rPr>
              <w:t>Attachment 4. Justification for Sample Size Calculations</w:t>
            </w:r>
            <w:r w:rsidR="00532AE4">
              <w:rPr>
                <w:noProof/>
                <w:webHidden/>
              </w:rPr>
              <w:tab/>
            </w:r>
            <w:r w:rsidR="00532AE4">
              <w:rPr>
                <w:noProof/>
                <w:webHidden/>
              </w:rPr>
              <w:fldChar w:fldCharType="begin"/>
            </w:r>
            <w:r w:rsidR="00532AE4">
              <w:rPr>
                <w:noProof/>
                <w:webHidden/>
              </w:rPr>
              <w:instrText xml:space="preserve"> PAGEREF _Toc532224202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702CB008" w14:textId="79534FCD" w:rsidR="00532AE4" w:rsidRDefault="00313373">
          <w:pPr>
            <w:pStyle w:val="TOC3"/>
            <w:rPr>
              <w:rFonts w:asciiTheme="minorHAnsi" w:eastAsiaTheme="minorEastAsia" w:hAnsiTheme="minorHAnsi" w:cstheme="minorBidi"/>
              <w:noProof/>
            </w:rPr>
          </w:pPr>
          <w:hyperlink w:anchor="_Toc532224203" w:history="1">
            <w:r w:rsidR="00532AE4" w:rsidRPr="00C406C4">
              <w:rPr>
                <w:rStyle w:val="Hyperlink"/>
                <w:rFonts w:cstheme="minorHAnsi"/>
                <w:noProof/>
              </w:rPr>
              <w:t>Attachment 4a. Sample Size for Child Study</w:t>
            </w:r>
            <w:r w:rsidR="00532AE4">
              <w:rPr>
                <w:noProof/>
                <w:webHidden/>
              </w:rPr>
              <w:tab/>
            </w:r>
            <w:r w:rsidR="00532AE4">
              <w:rPr>
                <w:noProof/>
                <w:webHidden/>
              </w:rPr>
              <w:fldChar w:fldCharType="begin"/>
            </w:r>
            <w:r w:rsidR="00532AE4">
              <w:rPr>
                <w:noProof/>
                <w:webHidden/>
              </w:rPr>
              <w:instrText xml:space="preserve"> PAGEREF _Toc532224203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7D6A1BE9" w14:textId="3853D504" w:rsidR="00532AE4" w:rsidRDefault="00313373">
          <w:pPr>
            <w:pStyle w:val="TOC3"/>
            <w:rPr>
              <w:rFonts w:asciiTheme="minorHAnsi" w:eastAsiaTheme="minorEastAsia" w:hAnsiTheme="minorHAnsi" w:cstheme="minorBidi"/>
              <w:noProof/>
            </w:rPr>
          </w:pPr>
          <w:hyperlink w:anchor="_Toc532224204" w:history="1">
            <w:r w:rsidR="00532AE4" w:rsidRPr="00C406C4">
              <w:rPr>
                <w:rStyle w:val="Hyperlink"/>
                <w:rFonts w:cstheme="minorHAnsi"/>
                <w:noProof/>
              </w:rPr>
              <w:t>Attachment 4b. Sample Size for Adult Study</w:t>
            </w:r>
            <w:r w:rsidR="00532AE4">
              <w:rPr>
                <w:noProof/>
                <w:webHidden/>
              </w:rPr>
              <w:tab/>
            </w:r>
            <w:r w:rsidR="00532AE4">
              <w:rPr>
                <w:noProof/>
                <w:webHidden/>
              </w:rPr>
              <w:fldChar w:fldCharType="begin"/>
            </w:r>
            <w:r w:rsidR="00532AE4">
              <w:rPr>
                <w:noProof/>
                <w:webHidden/>
              </w:rPr>
              <w:instrText xml:space="preserve"> PAGEREF _Toc532224204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6ABDC755" w14:textId="73A3C662" w:rsidR="00532AE4" w:rsidRDefault="00313373">
          <w:pPr>
            <w:pStyle w:val="TOC2"/>
            <w:rPr>
              <w:rFonts w:asciiTheme="minorHAnsi" w:eastAsiaTheme="minorEastAsia" w:hAnsiTheme="minorHAnsi" w:cstheme="minorBidi"/>
              <w:noProof/>
            </w:rPr>
          </w:pPr>
          <w:hyperlink w:anchor="_Toc532224205" w:history="1">
            <w:r w:rsidR="00532AE4" w:rsidRPr="00C406C4">
              <w:rPr>
                <w:rStyle w:val="Hyperlink"/>
                <w:rFonts w:cstheme="minorHAnsi"/>
                <w:noProof/>
              </w:rPr>
              <w:t>Attachment 5 – Pease Study Communication Plan</w:t>
            </w:r>
            <w:r w:rsidR="00532AE4">
              <w:rPr>
                <w:noProof/>
                <w:webHidden/>
              </w:rPr>
              <w:tab/>
            </w:r>
            <w:r w:rsidR="00532AE4">
              <w:rPr>
                <w:noProof/>
                <w:webHidden/>
              </w:rPr>
              <w:fldChar w:fldCharType="begin"/>
            </w:r>
            <w:r w:rsidR="00532AE4">
              <w:rPr>
                <w:noProof/>
                <w:webHidden/>
              </w:rPr>
              <w:instrText xml:space="preserve"> PAGEREF _Toc532224205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0D94F44E" w14:textId="7CD7832D" w:rsidR="00532AE4" w:rsidRDefault="00313373">
          <w:pPr>
            <w:pStyle w:val="TOC3"/>
            <w:rPr>
              <w:rFonts w:asciiTheme="minorHAnsi" w:eastAsiaTheme="minorEastAsia" w:hAnsiTheme="minorHAnsi" w:cstheme="minorBidi"/>
              <w:noProof/>
            </w:rPr>
          </w:pPr>
          <w:hyperlink w:anchor="_Toc532224206" w:history="1">
            <w:r w:rsidR="00532AE4" w:rsidRPr="00C406C4">
              <w:rPr>
                <w:rStyle w:val="Hyperlink"/>
                <w:rFonts w:cstheme="minorHAnsi"/>
                <w:noProof/>
              </w:rPr>
              <w:t>Attachment 5a. Pease Study Communication Plan Objectives</w:t>
            </w:r>
            <w:r w:rsidR="00532AE4">
              <w:rPr>
                <w:noProof/>
                <w:webHidden/>
              </w:rPr>
              <w:tab/>
            </w:r>
            <w:r w:rsidR="00532AE4">
              <w:rPr>
                <w:noProof/>
                <w:webHidden/>
              </w:rPr>
              <w:fldChar w:fldCharType="begin"/>
            </w:r>
            <w:r w:rsidR="00532AE4">
              <w:rPr>
                <w:noProof/>
                <w:webHidden/>
              </w:rPr>
              <w:instrText xml:space="preserve"> PAGEREF _Toc532224206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266D0172" w14:textId="0C7D049C" w:rsidR="00532AE4" w:rsidRDefault="00313373">
          <w:pPr>
            <w:pStyle w:val="TOC3"/>
            <w:rPr>
              <w:rFonts w:asciiTheme="minorHAnsi" w:eastAsiaTheme="minorEastAsia" w:hAnsiTheme="minorHAnsi" w:cstheme="minorBidi"/>
              <w:noProof/>
            </w:rPr>
          </w:pPr>
          <w:hyperlink w:anchor="_Toc532224207" w:history="1">
            <w:r w:rsidR="00532AE4" w:rsidRPr="00C406C4">
              <w:rPr>
                <w:rStyle w:val="Hyperlink"/>
                <w:rFonts w:cstheme="minorHAnsi"/>
                <w:noProof/>
              </w:rPr>
              <w:t>Attachment 5b. Pease Study Overarching Communication Messages</w:t>
            </w:r>
            <w:r w:rsidR="00532AE4">
              <w:rPr>
                <w:noProof/>
                <w:webHidden/>
              </w:rPr>
              <w:tab/>
            </w:r>
            <w:r w:rsidR="00532AE4">
              <w:rPr>
                <w:noProof/>
                <w:webHidden/>
              </w:rPr>
              <w:fldChar w:fldCharType="begin"/>
            </w:r>
            <w:r w:rsidR="00532AE4">
              <w:rPr>
                <w:noProof/>
                <w:webHidden/>
              </w:rPr>
              <w:instrText xml:space="preserve"> PAGEREF _Toc532224207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3EDD333A" w14:textId="2A181A32" w:rsidR="00532AE4" w:rsidRDefault="00313373">
          <w:pPr>
            <w:pStyle w:val="TOC3"/>
            <w:rPr>
              <w:rFonts w:asciiTheme="minorHAnsi" w:eastAsiaTheme="minorEastAsia" w:hAnsiTheme="minorHAnsi" w:cstheme="minorBidi"/>
              <w:noProof/>
            </w:rPr>
          </w:pPr>
          <w:hyperlink w:anchor="_Toc532224208" w:history="1">
            <w:r w:rsidR="00532AE4" w:rsidRPr="00C406C4">
              <w:rPr>
                <w:rStyle w:val="Hyperlink"/>
                <w:rFonts w:cstheme="minorHAnsi"/>
                <w:noProof/>
              </w:rPr>
              <w:t>Attachment 5c. Pease Study Press Release – Launch</w:t>
            </w:r>
            <w:r w:rsidR="00532AE4">
              <w:rPr>
                <w:noProof/>
                <w:webHidden/>
              </w:rPr>
              <w:tab/>
            </w:r>
            <w:r w:rsidR="00532AE4">
              <w:rPr>
                <w:noProof/>
                <w:webHidden/>
              </w:rPr>
              <w:fldChar w:fldCharType="begin"/>
            </w:r>
            <w:r w:rsidR="00532AE4">
              <w:rPr>
                <w:noProof/>
                <w:webHidden/>
              </w:rPr>
              <w:instrText xml:space="preserve"> PAGEREF _Toc532224208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4703167B" w14:textId="63D2887C" w:rsidR="00532AE4" w:rsidRDefault="00313373">
          <w:pPr>
            <w:pStyle w:val="TOC3"/>
            <w:rPr>
              <w:rFonts w:asciiTheme="minorHAnsi" w:eastAsiaTheme="minorEastAsia" w:hAnsiTheme="minorHAnsi" w:cstheme="minorBidi"/>
              <w:noProof/>
            </w:rPr>
          </w:pPr>
          <w:hyperlink w:anchor="_Toc532224209" w:history="1">
            <w:r w:rsidR="00532AE4" w:rsidRPr="00C406C4">
              <w:rPr>
                <w:rStyle w:val="Hyperlink"/>
                <w:rFonts w:cstheme="minorHAnsi"/>
                <w:noProof/>
              </w:rPr>
              <w:t>Attachment 5d. Pease Study Website Flyer</w:t>
            </w:r>
            <w:r w:rsidR="00532AE4">
              <w:rPr>
                <w:noProof/>
                <w:webHidden/>
              </w:rPr>
              <w:tab/>
            </w:r>
            <w:r w:rsidR="00532AE4">
              <w:rPr>
                <w:noProof/>
                <w:webHidden/>
              </w:rPr>
              <w:fldChar w:fldCharType="begin"/>
            </w:r>
            <w:r w:rsidR="00532AE4">
              <w:rPr>
                <w:noProof/>
                <w:webHidden/>
              </w:rPr>
              <w:instrText xml:space="preserve"> PAGEREF _Toc532224209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5C82416D" w14:textId="2C55198A" w:rsidR="00532AE4" w:rsidRDefault="00313373">
          <w:pPr>
            <w:pStyle w:val="TOC3"/>
            <w:rPr>
              <w:rFonts w:asciiTheme="minorHAnsi" w:eastAsiaTheme="minorEastAsia" w:hAnsiTheme="minorHAnsi" w:cstheme="minorBidi"/>
              <w:noProof/>
            </w:rPr>
          </w:pPr>
          <w:hyperlink w:anchor="_Toc532224210" w:history="1">
            <w:r w:rsidR="00532AE4" w:rsidRPr="00C406C4">
              <w:rPr>
                <w:rStyle w:val="Hyperlink"/>
                <w:rFonts w:cstheme="minorHAnsi"/>
                <w:noProof/>
              </w:rPr>
              <w:t>Attachment 5e. Pease Study Public Service Announcement</w:t>
            </w:r>
            <w:r w:rsidR="00532AE4">
              <w:rPr>
                <w:noProof/>
                <w:webHidden/>
              </w:rPr>
              <w:tab/>
            </w:r>
            <w:r w:rsidR="00532AE4">
              <w:rPr>
                <w:noProof/>
                <w:webHidden/>
              </w:rPr>
              <w:fldChar w:fldCharType="begin"/>
            </w:r>
            <w:r w:rsidR="00532AE4">
              <w:rPr>
                <w:noProof/>
                <w:webHidden/>
              </w:rPr>
              <w:instrText xml:space="preserve"> PAGEREF _Toc532224210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0C14DD26" w14:textId="34AF63AE" w:rsidR="00532AE4" w:rsidRDefault="00313373">
          <w:pPr>
            <w:pStyle w:val="TOC2"/>
            <w:rPr>
              <w:rFonts w:asciiTheme="minorHAnsi" w:eastAsiaTheme="minorEastAsia" w:hAnsiTheme="minorHAnsi" w:cstheme="minorBidi"/>
              <w:noProof/>
            </w:rPr>
          </w:pPr>
          <w:hyperlink w:anchor="_Toc532224211" w:history="1">
            <w:r w:rsidR="00532AE4" w:rsidRPr="00C406C4">
              <w:rPr>
                <w:rStyle w:val="Hyperlink"/>
                <w:rFonts w:cstheme="minorHAnsi"/>
                <w:noProof/>
              </w:rPr>
              <w:t>Attachment 6 – Wave One - NH DHHS Invitation Letters for Study Roll Out</w:t>
            </w:r>
            <w:r w:rsidR="00532AE4">
              <w:rPr>
                <w:noProof/>
                <w:webHidden/>
              </w:rPr>
              <w:tab/>
            </w:r>
            <w:r w:rsidR="00532AE4">
              <w:rPr>
                <w:noProof/>
                <w:webHidden/>
              </w:rPr>
              <w:fldChar w:fldCharType="begin"/>
            </w:r>
            <w:r w:rsidR="00532AE4">
              <w:rPr>
                <w:noProof/>
                <w:webHidden/>
              </w:rPr>
              <w:instrText xml:space="preserve"> PAGEREF _Toc532224211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1774B986" w14:textId="09CB76E6" w:rsidR="00532AE4" w:rsidRDefault="00313373">
          <w:pPr>
            <w:pStyle w:val="TOC3"/>
            <w:rPr>
              <w:rFonts w:asciiTheme="minorHAnsi" w:eastAsiaTheme="minorEastAsia" w:hAnsiTheme="minorHAnsi" w:cstheme="minorBidi"/>
              <w:noProof/>
            </w:rPr>
          </w:pPr>
          <w:hyperlink w:anchor="_Toc532224212" w:history="1">
            <w:r w:rsidR="00532AE4" w:rsidRPr="00C406C4">
              <w:rPr>
                <w:rStyle w:val="Hyperlink"/>
                <w:rFonts w:cstheme="minorHAnsi"/>
                <w:noProof/>
              </w:rPr>
              <w:t>Attachment 6a – NH DHHS Child Invitation Letter</w:t>
            </w:r>
            <w:r w:rsidR="00532AE4">
              <w:rPr>
                <w:noProof/>
                <w:webHidden/>
              </w:rPr>
              <w:tab/>
            </w:r>
            <w:r w:rsidR="00532AE4">
              <w:rPr>
                <w:noProof/>
                <w:webHidden/>
              </w:rPr>
              <w:fldChar w:fldCharType="begin"/>
            </w:r>
            <w:r w:rsidR="00532AE4">
              <w:rPr>
                <w:noProof/>
                <w:webHidden/>
              </w:rPr>
              <w:instrText xml:space="preserve"> PAGEREF _Toc532224212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73FDFE6D" w14:textId="6932908F" w:rsidR="00532AE4" w:rsidRDefault="00313373">
          <w:pPr>
            <w:pStyle w:val="TOC3"/>
            <w:rPr>
              <w:rFonts w:asciiTheme="minorHAnsi" w:eastAsiaTheme="minorEastAsia" w:hAnsiTheme="minorHAnsi" w:cstheme="minorBidi"/>
              <w:noProof/>
            </w:rPr>
          </w:pPr>
          <w:hyperlink w:anchor="_Toc532224213" w:history="1">
            <w:r w:rsidR="00532AE4" w:rsidRPr="00C406C4">
              <w:rPr>
                <w:rStyle w:val="Hyperlink"/>
                <w:rFonts w:cstheme="minorHAnsi"/>
                <w:noProof/>
              </w:rPr>
              <w:t>Attachment 6b – NH DHHS Adult Invitation Letter</w:t>
            </w:r>
            <w:r w:rsidR="00532AE4">
              <w:rPr>
                <w:noProof/>
                <w:webHidden/>
              </w:rPr>
              <w:tab/>
            </w:r>
            <w:r w:rsidR="00532AE4">
              <w:rPr>
                <w:noProof/>
                <w:webHidden/>
              </w:rPr>
              <w:fldChar w:fldCharType="begin"/>
            </w:r>
            <w:r w:rsidR="00532AE4">
              <w:rPr>
                <w:noProof/>
                <w:webHidden/>
              </w:rPr>
              <w:instrText xml:space="preserve"> PAGEREF _Toc532224213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72169700" w14:textId="25BFE293" w:rsidR="00532AE4" w:rsidRDefault="00313373">
          <w:pPr>
            <w:pStyle w:val="TOC3"/>
            <w:rPr>
              <w:rFonts w:asciiTheme="minorHAnsi" w:eastAsiaTheme="minorEastAsia" w:hAnsiTheme="minorHAnsi" w:cstheme="minorBidi"/>
              <w:noProof/>
            </w:rPr>
          </w:pPr>
          <w:hyperlink w:anchor="_Toc532224214" w:history="1">
            <w:r w:rsidR="00532AE4" w:rsidRPr="00C406C4">
              <w:rPr>
                <w:rStyle w:val="Hyperlink"/>
                <w:rFonts w:cstheme="minorHAnsi"/>
                <w:noProof/>
              </w:rPr>
              <w:t>Attachment 6c – Wave One Eligibility Screening Script</w:t>
            </w:r>
            <w:r w:rsidR="00532AE4">
              <w:rPr>
                <w:noProof/>
                <w:webHidden/>
              </w:rPr>
              <w:tab/>
            </w:r>
            <w:r w:rsidR="00532AE4">
              <w:rPr>
                <w:noProof/>
                <w:webHidden/>
              </w:rPr>
              <w:fldChar w:fldCharType="begin"/>
            </w:r>
            <w:r w:rsidR="00532AE4">
              <w:rPr>
                <w:noProof/>
                <w:webHidden/>
              </w:rPr>
              <w:instrText xml:space="preserve"> PAGEREF _Toc532224214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67ABE17F" w14:textId="6DA5B9D1" w:rsidR="00532AE4" w:rsidRDefault="00313373">
          <w:pPr>
            <w:pStyle w:val="TOC2"/>
            <w:rPr>
              <w:rFonts w:asciiTheme="minorHAnsi" w:eastAsiaTheme="minorEastAsia" w:hAnsiTheme="minorHAnsi" w:cstheme="minorBidi"/>
              <w:noProof/>
            </w:rPr>
          </w:pPr>
          <w:hyperlink w:anchor="_Toc532224215" w:history="1">
            <w:r w:rsidR="00532AE4" w:rsidRPr="00C406C4">
              <w:rPr>
                <w:rStyle w:val="Hyperlink"/>
                <w:rFonts w:cstheme="minorHAnsi"/>
                <w:noProof/>
              </w:rPr>
              <w:t>Attachment 7 – Waves 2 and 3 Recruitment Materials</w:t>
            </w:r>
            <w:r w:rsidR="00532AE4">
              <w:rPr>
                <w:noProof/>
                <w:webHidden/>
              </w:rPr>
              <w:tab/>
            </w:r>
            <w:r w:rsidR="00532AE4">
              <w:rPr>
                <w:noProof/>
                <w:webHidden/>
              </w:rPr>
              <w:fldChar w:fldCharType="begin"/>
            </w:r>
            <w:r w:rsidR="00532AE4">
              <w:rPr>
                <w:noProof/>
                <w:webHidden/>
              </w:rPr>
              <w:instrText xml:space="preserve"> PAGEREF _Toc532224215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47F6A0C6" w14:textId="4FE3BEF8" w:rsidR="00532AE4" w:rsidRDefault="00313373">
          <w:pPr>
            <w:pStyle w:val="TOC3"/>
            <w:rPr>
              <w:rFonts w:asciiTheme="minorHAnsi" w:eastAsiaTheme="minorEastAsia" w:hAnsiTheme="minorHAnsi" w:cstheme="minorBidi"/>
              <w:noProof/>
            </w:rPr>
          </w:pPr>
          <w:hyperlink w:anchor="_Toc532224216" w:history="1">
            <w:r w:rsidR="00532AE4" w:rsidRPr="00C406C4">
              <w:rPr>
                <w:rStyle w:val="Hyperlink"/>
                <w:rFonts w:cstheme="minorHAnsi"/>
                <w:noProof/>
              </w:rPr>
              <w:t>Attachment 7a – Wave Two Flyer to Recruit Additional Exposed Children</w:t>
            </w:r>
            <w:r w:rsidR="00532AE4">
              <w:rPr>
                <w:noProof/>
                <w:webHidden/>
              </w:rPr>
              <w:tab/>
            </w:r>
            <w:r w:rsidR="00532AE4">
              <w:rPr>
                <w:noProof/>
                <w:webHidden/>
              </w:rPr>
              <w:fldChar w:fldCharType="begin"/>
            </w:r>
            <w:r w:rsidR="00532AE4">
              <w:rPr>
                <w:noProof/>
                <w:webHidden/>
              </w:rPr>
              <w:instrText xml:space="preserve"> PAGEREF _Toc532224216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5B82AB63" w14:textId="5F56F410" w:rsidR="00532AE4" w:rsidRDefault="00313373">
          <w:pPr>
            <w:pStyle w:val="TOC3"/>
            <w:rPr>
              <w:rFonts w:asciiTheme="minorHAnsi" w:eastAsiaTheme="minorEastAsia" w:hAnsiTheme="minorHAnsi" w:cstheme="minorBidi"/>
              <w:noProof/>
            </w:rPr>
          </w:pPr>
          <w:hyperlink w:anchor="_Toc532224217" w:history="1">
            <w:r w:rsidR="00532AE4" w:rsidRPr="00C406C4">
              <w:rPr>
                <w:rStyle w:val="Hyperlink"/>
                <w:rFonts w:cstheme="minorHAnsi"/>
                <w:noProof/>
              </w:rPr>
              <w:t>Attachment 7b – Wave Two Flyer to Recruit Additional Exposed Adults</w:t>
            </w:r>
            <w:r w:rsidR="00532AE4">
              <w:rPr>
                <w:noProof/>
                <w:webHidden/>
              </w:rPr>
              <w:tab/>
            </w:r>
            <w:r w:rsidR="00532AE4">
              <w:rPr>
                <w:noProof/>
                <w:webHidden/>
              </w:rPr>
              <w:fldChar w:fldCharType="begin"/>
            </w:r>
            <w:r w:rsidR="00532AE4">
              <w:rPr>
                <w:noProof/>
                <w:webHidden/>
              </w:rPr>
              <w:instrText xml:space="preserve"> PAGEREF _Toc532224217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3EF5DE8A" w14:textId="5CFC4456" w:rsidR="00532AE4" w:rsidRDefault="00313373">
          <w:pPr>
            <w:pStyle w:val="TOC3"/>
            <w:rPr>
              <w:rFonts w:asciiTheme="minorHAnsi" w:eastAsiaTheme="minorEastAsia" w:hAnsiTheme="minorHAnsi" w:cstheme="minorBidi"/>
              <w:noProof/>
            </w:rPr>
          </w:pPr>
          <w:hyperlink w:anchor="_Toc532224218" w:history="1">
            <w:r w:rsidR="00532AE4" w:rsidRPr="00C406C4">
              <w:rPr>
                <w:rStyle w:val="Hyperlink"/>
                <w:rFonts w:cstheme="minorHAnsi"/>
                <w:noProof/>
              </w:rPr>
              <w:t>Attachment 7c – Wave Two or Wave Three Eligibility Screening Script</w:t>
            </w:r>
            <w:r w:rsidR="00532AE4">
              <w:rPr>
                <w:noProof/>
                <w:webHidden/>
              </w:rPr>
              <w:tab/>
            </w:r>
            <w:r w:rsidR="00532AE4">
              <w:rPr>
                <w:noProof/>
                <w:webHidden/>
              </w:rPr>
              <w:fldChar w:fldCharType="begin"/>
            </w:r>
            <w:r w:rsidR="00532AE4">
              <w:rPr>
                <w:noProof/>
                <w:webHidden/>
              </w:rPr>
              <w:instrText xml:space="preserve"> PAGEREF _Toc532224218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79672B59" w14:textId="36644D2C" w:rsidR="00532AE4" w:rsidRDefault="00313373">
          <w:pPr>
            <w:pStyle w:val="TOC3"/>
            <w:rPr>
              <w:rFonts w:asciiTheme="minorHAnsi" w:eastAsiaTheme="minorEastAsia" w:hAnsiTheme="minorHAnsi" w:cstheme="minorBidi"/>
              <w:noProof/>
            </w:rPr>
          </w:pPr>
          <w:hyperlink w:anchor="_Toc532224219" w:history="1">
            <w:r w:rsidR="00532AE4" w:rsidRPr="00C406C4">
              <w:rPr>
                <w:rStyle w:val="Hyperlink"/>
                <w:rFonts w:cstheme="minorHAnsi"/>
                <w:noProof/>
              </w:rPr>
              <w:t>Attachment 7d – Wave Three Child Flyer for Referent Recruitment</w:t>
            </w:r>
            <w:r w:rsidR="00532AE4">
              <w:rPr>
                <w:noProof/>
                <w:webHidden/>
              </w:rPr>
              <w:tab/>
            </w:r>
            <w:r w:rsidR="00532AE4">
              <w:rPr>
                <w:noProof/>
                <w:webHidden/>
              </w:rPr>
              <w:fldChar w:fldCharType="begin"/>
            </w:r>
            <w:r w:rsidR="00532AE4">
              <w:rPr>
                <w:noProof/>
                <w:webHidden/>
              </w:rPr>
              <w:instrText xml:space="preserve"> PAGEREF _Toc532224219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05F6DFA9" w14:textId="76C8792C" w:rsidR="00532AE4" w:rsidRDefault="00313373">
          <w:pPr>
            <w:pStyle w:val="TOC3"/>
            <w:rPr>
              <w:rFonts w:asciiTheme="minorHAnsi" w:eastAsiaTheme="minorEastAsia" w:hAnsiTheme="minorHAnsi" w:cstheme="minorBidi"/>
              <w:noProof/>
            </w:rPr>
          </w:pPr>
          <w:hyperlink w:anchor="_Toc532224220" w:history="1">
            <w:r w:rsidR="00532AE4" w:rsidRPr="00C406C4">
              <w:rPr>
                <w:rStyle w:val="Hyperlink"/>
                <w:rFonts w:cstheme="minorHAnsi"/>
                <w:noProof/>
              </w:rPr>
              <w:t>Attachment 7e – Wave Three Adult Flyer for Referent Recruitment</w:t>
            </w:r>
            <w:r w:rsidR="00532AE4">
              <w:rPr>
                <w:noProof/>
                <w:webHidden/>
              </w:rPr>
              <w:tab/>
            </w:r>
            <w:r w:rsidR="00532AE4">
              <w:rPr>
                <w:noProof/>
                <w:webHidden/>
              </w:rPr>
              <w:fldChar w:fldCharType="begin"/>
            </w:r>
            <w:r w:rsidR="00532AE4">
              <w:rPr>
                <w:noProof/>
                <w:webHidden/>
              </w:rPr>
              <w:instrText xml:space="preserve"> PAGEREF _Toc532224220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6AEF0047" w14:textId="50836BEC" w:rsidR="00532AE4" w:rsidRDefault="00313373">
          <w:pPr>
            <w:pStyle w:val="TOC2"/>
            <w:rPr>
              <w:rFonts w:asciiTheme="minorHAnsi" w:eastAsiaTheme="minorEastAsia" w:hAnsiTheme="minorHAnsi" w:cstheme="minorBidi"/>
              <w:noProof/>
            </w:rPr>
          </w:pPr>
          <w:hyperlink w:anchor="_Toc532224221" w:history="1">
            <w:r w:rsidR="00532AE4" w:rsidRPr="00C406C4">
              <w:rPr>
                <w:rStyle w:val="Hyperlink"/>
                <w:rFonts w:cstheme="minorHAnsi"/>
                <w:noProof/>
              </w:rPr>
              <w:t>Attachment 8 – Recruitment Tracking Form</w:t>
            </w:r>
            <w:r w:rsidR="00532AE4">
              <w:rPr>
                <w:noProof/>
                <w:webHidden/>
              </w:rPr>
              <w:tab/>
            </w:r>
            <w:r w:rsidR="00532AE4">
              <w:rPr>
                <w:noProof/>
                <w:webHidden/>
              </w:rPr>
              <w:fldChar w:fldCharType="begin"/>
            </w:r>
            <w:r w:rsidR="00532AE4">
              <w:rPr>
                <w:noProof/>
                <w:webHidden/>
              </w:rPr>
              <w:instrText xml:space="preserve"> PAGEREF _Toc532224221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6DEA923C" w14:textId="64887C41" w:rsidR="00532AE4" w:rsidRDefault="00313373">
          <w:pPr>
            <w:pStyle w:val="TOC2"/>
            <w:rPr>
              <w:rFonts w:asciiTheme="minorHAnsi" w:eastAsiaTheme="minorEastAsia" w:hAnsiTheme="minorHAnsi" w:cstheme="minorBidi"/>
              <w:noProof/>
            </w:rPr>
          </w:pPr>
          <w:hyperlink w:anchor="_Toc532224222" w:history="1">
            <w:r w:rsidR="00532AE4" w:rsidRPr="00C406C4">
              <w:rPr>
                <w:rStyle w:val="Hyperlink"/>
                <w:rFonts w:cstheme="minorHAnsi"/>
                <w:noProof/>
              </w:rPr>
              <w:t>Attachment 9 – Appointment Packet</w:t>
            </w:r>
            <w:r w:rsidR="00532AE4">
              <w:rPr>
                <w:noProof/>
                <w:webHidden/>
              </w:rPr>
              <w:tab/>
            </w:r>
            <w:r w:rsidR="00532AE4">
              <w:rPr>
                <w:noProof/>
                <w:webHidden/>
              </w:rPr>
              <w:fldChar w:fldCharType="begin"/>
            </w:r>
            <w:r w:rsidR="00532AE4">
              <w:rPr>
                <w:noProof/>
                <w:webHidden/>
              </w:rPr>
              <w:instrText xml:space="preserve"> PAGEREF _Toc532224222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5AF8FE1B" w14:textId="71E2CAB0" w:rsidR="00532AE4" w:rsidRDefault="00313373">
          <w:pPr>
            <w:pStyle w:val="TOC3"/>
            <w:rPr>
              <w:rFonts w:asciiTheme="minorHAnsi" w:eastAsiaTheme="minorEastAsia" w:hAnsiTheme="minorHAnsi" w:cstheme="minorBidi"/>
              <w:noProof/>
            </w:rPr>
          </w:pPr>
          <w:hyperlink w:anchor="_Toc532224223" w:history="1">
            <w:r w:rsidR="00532AE4" w:rsidRPr="00C406C4">
              <w:rPr>
                <w:rStyle w:val="Hyperlink"/>
                <w:rFonts w:cstheme="minorHAnsi"/>
                <w:noProof/>
              </w:rPr>
              <w:t>Attachment 9a – Appointment Reminder Card</w:t>
            </w:r>
            <w:r w:rsidR="00532AE4">
              <w:rPr>
                <w:noProof/>
                <w:webHidden/>
              </w:rPr>
              <w:tab/>
            </w:r>
            <w:r w:rsidR="00532AE4">
              <w:rPr>
                <w:noProof/>
                <w:webHidden/>
              </w:rPr>
              <w:fldChar w:fldCharType="begin"/>
            </w:r>
            <w:r w:rsidR="00532AE4">
              <w:rPr>
                <w:noProof/>
                <w:webHidden/>
              </w:rPr>
              <w:instrText xml:space="preserve"> PAGEREF _Toc532224223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1D394AD2" w14:textId="79D96F0C" w:rsidR="00532AE4" w:rsidRDefault="00313373">
          <w:pPr>
            <w:pStyle w:val="TOC3"/>
            <w:rPr>
              <w:rFonts w:asciiTheme="minorHAnsi" w:eastAsiaTheme="minorEastAsia" w:hAnsiTheme="minorHAnsi" w:cstheme="minorBidi"/>
              <w:noProof/>
            </w:rPr>
          </w:pPr>
          <w:hyperlink w:anchor="_Toc532224224" w:history="1">
            <w:r w:rsidR="00532AE4" w:rsidRPr="00C406C4">
              <w:rPr>
                <w:rStyle w:val="Hyperlink"/>
                <w:rFonts w:cstheme="minorHAnsi"/>
                <w:noProof/>
              </w:rPr>
              <w:t>Attachment 9b – Informed Consent Packet</w:t>
            </w:r>
            <w:r w:rsidR="00532AE4">
              <w:rPr>
                <w:noProof/>
                <w:webHidden/>
              </w:rPr>
              <w:tab/>
            </w:r>
            <w:r w:rsidR="00532AE4">
              <w:rPr>
                <w:noProof/>
                <w:webHidden/>
              </w:rPr>
              <w:fldChar w:fldCharType="begin"/>
            </w:r>
            <w:r w:rsidR="00532AE4">
              <w:rPr>
                <w:noProof/>
                <w:webHidden/>
              </w:rPr>
              <w:instrText xml:space="preserve"> PAGEREF _Toc532224224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39F81B2D" w14:textId="1EAE75AC" w:rsidR="00532AE4" w:rsidRDefault="00313373">
          <w:pPr>
            <w:pStyle w:val="TOC4"/>
            <w:rPr>
              <w:rFonts w:asciiTheme="minorHAnsi" w:eastAsiaTheme="minorEastAsia" w:hAnsiTheme="minorHAnsi" w:cstheme="minorBidi"/>
              <w:noProof/>
            </w:rPr>
          </w:pPr>
          <w:hyperlink w:anchor="_Toc532224225" w:history="1">
            <w:r w:rsidR="00532AE4" w:rsidRPr="00C406C4">
              <w:rPr>
                <w:rStyle w:val="Hyperlink"/>
                <w:rFonts w:cstheme="minorHAnsi"/>
                <w:noProof/>
              </w:rPr>
              <w:t>Attachment 9b1 – Privacy Act Statement</w:t>
            </w:r>
            <w:r w:rsidR="00532AE4">
              <w:rPr>
                <w:noProof/>
                <w:webHidden/>
              </w:rPr>
              <w:tab/>
            </w:r>
            <w:r w:rsidR="00532AE4">
              <w:rPr>
                <w:noProof/>
                <w:webHidden/>
              </w:rPr>
              <w:fldChar w:fldCharType="begin"/>
            </w:r>
            <w:r w:rsidR="00532AE4">
              <w:rPr>
                <w:noProof/>
                <w:webHidden/>
              </w:rPr>
              <w:instrText xml:space="preserve"> PAGEREF _Toc532224225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7E3772B9" w14:textId="47C4D687" w:rsidR="00532AE4" w:rsidRDefault="00313373">
          <w:pPr>
            <w:pStyle w:val="TOC4"/>
            <w:rPr>
              <w:rFonts w:asciiTheme="minorHAnsi" w:eastAsiaTheme="minorEastAsia" w:hAnsiTheme="minorHAnsi" w:cstheme="minorBidi"/>
              <w:noProof/>
            </w:rPr>
          </w:pPr>
          <w:hyperlink w:anchor="_Toc532224226" w:history="1">
            <w:r w:rsidR="00532AE4" w:rsidRPr="00C406C4">
              <w:rPr>
                <w:rStyle w:val="Hyperlink"/>
                <w:rFonts w:cstheme="minorHAnsi"/>
                <w:noProof/>
              </w:rPr>
              <w:t>Attachment 9b2 – Parental Permission and Child Assent Forms</w:t>
            </w:r>
            <w:r w:rsidR="00532AE4">
              <w:rPr>
                <w:noProof/>
                <w:webHidden/>
              </w:rPr>
              <w:tab/>
            </w:r>
            <w:r w:rsidR="00532AE4">
              <w:rPr>
                <w:noProof/>
                <w:webHidden/>
              </w:rPr>
              <w:fldChar w:fldCharType="begin"/>
            </w:r>
            <w:r w:rsidR="00532AE4">
              <w:rPr>
                <w:noProof/>
                <w:webHidden/>
              </w:rPr>
              <w:instrText xml:space="preserve"> PAGEREF _Toc532224226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30391A32" w14:textId="35C0DE19" w:rsidR="00532AE4" w:rsidRDefault="00313373">
          <w:pPr>
            <w:pStyle w:val="TOC4"/>
            <w:rPr>
              <w:rFonts w:asciiTheme="minorHAnsi" w:eastAsiaTheme="minorEastAsia" w:hAnsiTheme="minorHAnsi" w:cstheme="minorBidi"/>
              <w:noProof/>
            </w:rPr>
          </w:pPr>
          <w:hyperlink w:anchor="_Toc532224227" w:history="1">
            <w:r w:rsidR="00532AE4" w:rsidRPr="00C406C4">
              <w:rPr>
                <w:rStyle w:val="Hyperlink"/>
                <w:rFonts w:cstheme="minorHAnsi"/>
                <w:noProof/>
              </w:rPr>
              <w:t>Attachment 9b3 – Parental Consent to Release Student Information</w:t>
            </w:r>
            <w:r w:rsidR="00532AE4">
              <w:rPr>
                <w:noProof/>
                <w:webHidden/>
              </w:rPr>
              <w:tab/>
            </w:r>
            <w:r w:rsidR="00532AE4">
              <w:rPr>
                <w:noProof/>
                <w:webHidden/>
              </w:rPr>
              <w:fldChar w:fldCharType="begin"/>
            </w:r>
            <w:r w:rsidR="00532AE4">
              <w:rPr>
                <w:noProof/>
                <w:webHidden/>
              </w:rPr>
              <w:instrText xml:space="preserve"> PAGEREF _Toc532224227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19AEB4BA" w14:textId="485DBAB0" w:rsidR="00532AE4" w:rsidRDefault="00313373">
          <w:pPr>
            <w:pStyle w:val="TOC4"/>
            <w:rPr>
              <w:rFonts w:asciiTheme="minorHAnsi" w:eastAsiaTheme="minorEastAsia" w:hAnsiTheme="minorHAnsi" w:cstheme="minorBidi"/>
              <w:noProof/>
            </w:rPr>
          </w:pPr>
          <w:hyperlink w:anchor="_Toc532224228" w:history="1">
            <w:r w:rsidR="00532AE4" w:rsidRPr="00C406C4">
              <w:rPr>
                <w:rStyle w:val="Hyperlink"/>
                <w:rFonts w:cstheme="minorHAnsi"/>
                <w:noProof/>
              </w:rPr>
              <w:t>Attachment 9b4 – Adult Consent Form</w:t>
            </w:r>
            <w:r w:rsidR="00532AE4">
              <w:rPr>
                <w:noProof/>
                <w:webHidden/>
              </w:rPr>
              <w:tab/>
            </w:r>
            <w:r w:rsidR="00532AE4">
              <w:rPr>
                <w:noProof/>
                <w:webHidden/>
              </w:rPr>
              <w:fldChar w:fldCharType="begin"/>
            </w:r>
            <w:r w:rsidR="00532AE4">
              <w:rPr>
                <w:noProof/>
                <w:webHidden/>
              </w:rPr>
              <w:instrText xml:space="preserve"> PAGEREF _Toc532224228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5E57FEC3" w14:textId="37995B34" w:rsidR="00532AE4" w:rsidRDefault="00313373">
          <w:pPr>
            <w:pStyle w:val="TOC4"/>
            <w:rPr>
              <w:rFonts w:asciiTheme="minorHAnsi" w:eastAsiaTheme="minorEastAsia" w:hAnsiTheme="minorHAnsi" w:cstheme="minorBidi"/>
              <w:noProof/>
            </w:rPr>
          </w:pPr>
          <w:hyperlink w:anchor="_Toc532224229" w:history="1">
            <w:r w:rsidR="00532AE4" w:rsidRPr="00C406C4">
              <w:rPr>
                <w:rStyle w:val="Hyperlink"/>
                <w:rFonts w:cstheme="minorHAnsi"/>
                <w:noProof/>
              </w:rPr>
              <w:t>Attachment 9b5 – Parent/Child/Adult Permission for Medical Record Abstraction</w:t>
            </w:r>
            <w:r w:rsidR="00532AE4">
              <w:rPr>
                <w:noProof/>
                <w:webHidden/>
              </w:rPr>
              <w:tab/>
            </w:r>
            <w:r w:rsidR="00532AE4">
              <w:rPr>
                <w:noProof/>
                <w:webHidden/>
              </w:rPr>
              <w:fldChar w:fldCharType="begin"/>
            </w:r>
            <w:r w:rsidR="00532AE4">
              <w:rPr>
                <w:noProof/>
                <w:webHidden/>
              </w:rPr>
              <w:instrText xml:space="preserve"> PAGEREF _Toc532224229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70D56BB5" w14:textId="64125412" w:rsidR="00532AE4" w:rsidRDefault="00313373">
          <w:pPr>
            <w:pStyle w:val="TOC3"/>
            <w:rPr>
              <w:rFonts w:asciiTheme="minorHAnsi" w:eastAsiaTheme="minorEastAsia" w:hAnsiTheme="minorHAnsi" w:cstheme="minorBidi"/>
              <w:noProof/>
            </w:rPr>
          </w:pPr>
          <w:hyperlink w:anchor="_Toc532224230" w:history="1">
            <w:r w:rsidR="00532AE4" w:rsidRPr="00C406C4">
              <w:rPr>
                <w:rStyle w:val="Hyperlink"/>
                <w:rFonts w:cstheme="minorHAnsi"/>
                <w:noProof/>
              </w:rPr>
              <w:t>Attachment 9c – Study Fact Sheet</w:t>
            </w:r>
            <w:r w:rsidR="00532AE4">
              <w:rPr>
                <w:noProof/>
                <w:webHidden/>
              </w:rPr>
              <w:tab/>
            </w:r>
            <w:r w:rsidR="00532AE4">
              <w:rPr>
                <w:noProof/>
                <w:webHidden/>
              </w:rPr>
              <w:fldChar w:fldCharType="begin"/>
            </w:r>
            <w:r w:rsidR="00532AE4">
              <w:rPr>
                <w:noProof/>
                <w:webHidden/>
              </w:rPr>
              <w:instrText xml:space="preserve"> PAGEREF _Toc532224230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4691FC09" w14:textId="50E78DD0" w:rsidR="00532AE4" w:rsidRDefault="00313373">
          <w:pPr>
            <w:pStyle w:val="TOC2"/>
            <w:rPr>
              <w:rFonts w:asciiTheme="minorHAnsi" w:eastAsiaTheme="minorEastAsia" w:hAnsiTheme="minorHAnsi" w:cstheme="minorBidi"/>
              <w:noProof/>
            </w:rPr>
          </w:pPr>
          <w:hyperlink w:anchor="_Toc532224231" w:history="1">
            <w:r w:rsidR="00532AE4" w:rsidRPr="00C406C4">
              <w:rPr>
                <w:rStyle w:val="Hyperlink"/>
                <w:rFonts w:cstheme="minorHAnsi"/>
                <w:noProof/>
              </w:rPr>
              <w:t>Attachment 10 – Appointment Reminder Telephone Script</w:t>
            </w:r>
            <w:r w:rsidR="00532AE4">
              <w:rPr>
                <w:noProof/>
                <w:webHidden/>
              </w:rPr>
              <w:tab/>
            </w:r>
            <w:r w:rsidR="00532AE4">
              <w:rPr>
                <w:noProof/>
                <w:webHidden/>
              </w:rPr>
              <w:fldChar w:fldCharType="begin"/>
            </w:r>
            <w:r w:rsidR="00532AE4">
              <w:rPr>
                <w:noProof/>
                <w:webHidden/>
              </w:rPr>
              <w:instrText xml:space="preserve"> PAGEREF _Toc532224231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697EB3B8" w14:textId="3A08E720" w:rsidR="00532AE4" w:rsidRDefault="00313373">
          <w:pPr>
            <w:pStyle w:val="TOC2"/>
            <w:rPr>
              <w:rFonts w:asciiTheme="minorHAnsi" w:eastAsiaTheme="minorEastAsia" w:hAnsiTheme="minorHAnsi" w:cstheme="minorBidi"/>
              <w:noProof/>
            </w:rPr>
          </w:pPr>
          <w:hyperlink w:anchor="_Toc532224232" w:history="1">
            <w:r w:rsidR="00532AE4" w:rsidRPr="00C406C4">
              <w:rPr>
                <w:rStyle w:val="Hyperlink"/>
                <w:rFonts w:cstheme="minorHAnsi"/>
                <w:noProof/>
              </w:rPr>
              <w:t>Attachment 11 – Appointment Tracking Form</w:t>
            </w:r>
            <w:r w:rsidR="00532AE4">
              <w:rPr>
                <w:noProof/>
                <w:webHidden/>
              </w:rPr>
              <w:tab/>
            </w:r>
            <w:r w:rsidR="00532AE4">
              <w:rPr>
                <w:noProof/>
                <w:webHidden/>
              </w:rPr>
              <w:fldChar w:fldCharType="begin"/>
            </w:r>
            <w:r w:rsidR="00532AE4">
              <w:rPr>
                <w:noProof/>
                <w:webHidden/>
              </w:rPr>
              <w:instrText xml:space="preserve"> PAGEREF _Toc532224232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3CC17A80" w14:textId="5C3AB38F" w:rsidR="00532AE4" w:rsidRDefault="00313373">
          <w:pPr>
            <w:pStyle w:val="TOC2"/>
            <w:rPr>
              <w:rFonts w:asciiTheme="minorHAnsi" w:eastAsiaTheme="minorEastAsia" w:hAnsiTheme="minorHAnsi" w:cstheme="minorBidi"/>
              <w:noProof/>
            </w:rPr>
          </w:pPr>
          <w:hyperlink w:anchor="_Toc532224233" w:history="1">
            <w:r w:rsidR="00532AE4" w:rsidRPr="00C406C4">
              <w:rPr>
                <w:rStyle w:val="Hyperlink"/>
                <w:rFonts w:cstheme="minorHAnsi"/>
                <w:noProof/>
              </w:rPr>
              <w:t>Attachment 12 – Update Contact Information Hardcopy Form</w:t>
            </w:r>
            <w:r w:rsidR="00532AE4">
              <w:rPr>
                <w:noProof/>
                <w:webHidden/>
              </w:rPr>
              <w:tab/>
            </w:r>
            <w:r w:rsidR="00532AE4">
              <w:rPr>
                <w:noProof/>
                <w:webHidden/>
              </w:rPr>
              <w:fldChar w:fldCharType="begin"/>
            </w:r>
            <w:r w:rsidR="00532AE4">
              <w:rPr>
                <w:noProof/>
                <w:webHidden/>
              </w:rPr>
              <w:instrText xml:space="preserve"> PAGEREF _Toc532224233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6585667A" w14:textId="0C82E49D" w:rsidR="00532AE4" w:rsidRDefault="00313373">
          <w:pPr>
            <w:pStyle w:val="TOC2"/>
            <w:rPr>
              <w:rFonts w:asciiTheme="minorHAnsi" w:eastAsiaTheme="minorEastAsia" w:hAnsiTheme="minorHAnsi" w:cstheme="minorBidi"/>
              <w:noProof/>
            </w:rPr>
          </w:pPr>
          <w:hyperlink w:anchor="_Toc532224234" w:history="1">
            <w:r w:rsidR="00532AE4" w:rsidRPr="00C406C4">
              <w:rPr>
                <w:rStyle w:val="Hyperlink"/>
                <w:rFonts w:cstheme="minorHAnsi"/>
                <w:noProof/>
              </w:rPr>
              <w:t>Attachment 13 – Medication List</w:t>
            </w:r>
            <w:r w:rsidR="00532AE4">
              <w:rPr>
                <w:noProof/>
                <w:webHidden/>
              </w:rPr>
              <w:tab/>
            </w:r>
            <w:r w:rsidR="00532AE4">
              <w:rPr>
                <w:noProof/>
                <w:webHidden/>
              </w:rPr>
              <w:fldChar w:fldCharType="begin"/>
            </w:r>
            <w:r w:rsidR="00532AE4">
              <w:rPr>
                <w:noProof/>
                <w:webHidden/>
              </w:rPr>
              <w:instrText xml:space="preserve"> PAGEREF _Toc532224234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49B93854" w14:textId="79533224" w:rsidR="00532AE4" w:rsidRDefault="00313373">
          <w:pPr>
            <w:pStyle w:val="TOC2"/>
            <w:rPr>
              <w:rFonts w:asciiTheme="minorHAnsi" w:eastAsiaTheme="minorEastAsia" w:hAnsiTheme="minorHAnsi" w:cstheme="minorBidi"/>
              <w:noProof/>
            </w:rPr>
          </w:pPr>
          <w:hyperlink w:anchor="_Toc532224235" w:history="1">
            <w:r w:rsidR="00532AE4" w:rsidRPr="00C406C4">
              <w:rPr>
                <w:rStyle w:val="Hyperlink"/>
                <w:rFonts w:cstheme="minorHAnsi"/>
                <w:noProof/>
              </w:rPr>
              <w:t>Attachment 14 – Manual of Procedures</w:t>
            </w:r>
            <w:r w:rsidR="00532AE4">
              <w:rPr>
                <w:noProof/>
                <w:webHidden/>
              </w:rPr>
              <w:tab/>
            </w:r>
            <w:r w:rsidR="00532AE4">
              <w:rPr>
                <w:noProof/>
                <w:webHidden/>
              </w:rPr>
              <w:fldChar w:fldCharType="begin"/>
            </w:r>
            <w:r w:rsidR="00532AE4">
              <w:rPr>
                <w:noProof/>
                <w:webHidden/>
              </w:rPr>
              <w:instrText xml:space="preserve"> PAGEREF _Toc532224235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61B2B878" w14:textId="2E85E62E" w:rsidR="00532AE4" w:rsidRDefault="00313373">
          <w:pPr>
            <w:pStyle w:val="TOC2"/>
            <w:rPr>
              <w:rFonts w:asciiTheme="minorHAnsi" w:eastAsiaTheme="minorEastAsia" w:hAnsiTheme="minorHAnsi" w:cstheme="minorBidi"/>
              <w:noProof/>
            </w:rPr>
          </w:pPr>
          <w:hyperlink w:anchor="_Toc532224236" w:history="1">
            <w:r w:rsidR="00532AE4" w:rsidRPr="00C406C4">
              <w:rPr>
                <w:rStyle w:val="Hyperlink"/>
                <w:rFonts w:cstheme="minorHAnsi"/>
                <w:noProof/>
              </w:rPr>
              <w:t>Attachment 15 – Body and Blood Pressure Measures Form</w:t>
            </w:r>
            <w:r w:rsidR="00532AE4">
              <w:rPr>
                <w:noProof/>
                <w:webHidden/>
              </w:rPr>
              <w:tab/>
            </w:r>
            <w:r w:rsidR="00532AE4">
              <w:rPr>
                <w:noProof/>
                <w:webHidden/>
              </w:rPr>
              <w:fldChar w:fldCharType="begin"/>
            </w:r>
            <w:r w:rsidR="00532AE4">
              <w:rPr>
                <w:noProof/>
                <w:webHidden/>
              </w:rPr>
              <w:instrText xml:space="preserve"> PAGEREF _Toc532224236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205BB826" w14:textId="10567C9A" w:rsidR="00532AE4" w:rsidRDefault="00313373">
          <w:pPr>
            <w:pStyle w:val="TOC2"/>
            <w:rPr>
              <w:rFonts w:asciiTheme="minorHAnsi" w:eastAsiaTheme="minorEastAsia" w:hAnsiTheme="minorHAnsi" w:cstheme="minorBidi"/>
              <w:noProof/>
            </w:rPr>
          </w:pPr>
          <w:hyperlink w:anchor="_Toc532224237" w:history="1">
            <w:r w:rsidR="00532AE4" w:rsidRPr="00C406C4">
              <w:rPr>
                <w:rStyle w:val="Hyperlink"/>
                <w:rFonts w:cstheme="minorHAnsi"/>
                <w:noProof/>
              </w:rPr>
              <w:t>Attachment 16 – Blood Draw and Urine Collection Form</w:t>
            </w:r>
            <w:r w:rsidR="00532AE4">
              <w:rPr>
                <w:noProof/>
                <w:webHidden/>
              </w:rPr>
              <w:tab/>
            </w:r>
            <w:r w:rsidR="00532AE4">
              <w:rPr>
                <w:noProof/>
                <w:webHidden/>
              </w:rPr>
              <w:fldChar w:fldCharType="begin"/>
            </w:r>
            <w:r w:rsidR="00532AE4">
              <w:rPr>
                <w:noProof/>
                <w:webHidden/>
              </w:rPr>
              <w:instrText xml:space="preserve"> PAGEREF _Toc532224237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79B45A80" w14:textId="0C6F59EA" w:rsidR="00532AE4" w:rsidRDefault="00313373">
          <w:pPr>
            <w:pStyle w:val="TOC2"/>
            <w:rPr>
              <w:rFonts w:asciiTheme="minorHAnsi" w:eastAsiaTheme="minorEastAsia" w:hAnsiTheme="minorHAnsi" w:cstheme="minorBidi"/>
              <w:noProof/>
            </w:rPr>
          </w:pPr>
          <w:hyperlink w:anchor="_Toc532224238" w:history="1">
            <w:r w:rsidR="00532AE4" w:rsidRPr="00C406C4">
              <w:rPr>
                <w:rStyle w:val="Hyperlink"/>
                <w:rFonts w:cstheme="minorHAnsi"/>
                <w:noProof/>
              </w:rPr>
              <w:t>Attachment 17 – Child Questionnaire – Long Form</w:t>
            </w:r>
            <w:r w:rsidR="00532AE4">
              <w:rPr>
                <w:noProof/>
                <w:webHidden/>
              </w:rPr>
              <w:tab/>
            </w:r>
            <w:r w:rsidR="00532AE4">
              <w:rPr>
                <w:noProof/>
                <w:webHidden/>
              </w:rPr>
              <w:fldChar w:fldCharType="begin"/>
            </w:r>
            <w:r w:rsidR="00532AE4">
              <w:rPr>
                <w:noProof/>
                <w:webHidden/>
              </w:rPr>
              <w:instrText xml:space="preserve"> PAGEREF _Toc532224238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1700D265" w14:textId="010F15E6" w:rsidR="00532AE4" w:rsidRDefault="00313373">
          <w:pPr>
            <w:pStyle w:val="TOC3"/>
            <w:rPr>
              <w:rFonts w:asciiTheme="minorHAnsi" w:eastAsiaTheme="minorEastAsia" w:hAnsiTheme="minorHAnsi" w:cstheme="minorBidi"/>
              <w:noProof/>
            </w:rPr>
          </w:pPr>
          <w:hyperlink w:anchor="_Toc532224239" w:history="1">
            <w:r w:rsidR="00532AE4" w:rsidRPr="00C406C4">
              <w:rPr>
                <w:rStyle w:val="Hyperlink"/>
                <w:rFonts w:cstheme="minorHAnsi"/>
                <w:noProof/>
              </w:rPr>
              <w:t>Attachment 17a – Child Questionnaire – Short Form</w:t>
            </w:r>
            <w:r w:rsidR="00532AE4">
              <w:rPr>
                <w:noProof/>
                <w:webHidden/>
              </w:rPr>
              <w:tab/>
            </w:r>
            <w:r w:rsidR="00532AE4">
              <w:rPr>
                <w:noProof/>
                <w:webHidden/>
              </w:rPr>
              <w:fldChar w:fldCharType="begin"/>
            </w:r>
            <w:r w:rsidR="00532AE4">
              <w:rPr>
                <w:noProof/>
                <w:webHidden/>
              </w:rPr>
              <w:instrText xml:space="preserve"> PAGEREF _Toc532224239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159423C4" w14:textId="4821BFFA" w:rsidR="00532AE4" w:rsidRDefault="00313373">
          <w:pPr>
            <w:pStyle w:val="TOC2"/>
            <w:rPr>
              <w:rFonts w:asciiTheme="minorHAnsi" w:eastAsiaTheme="minorEastAsia" w:hAnsiTheme="minorHAnsi" w:cstheme="minorBidi"/>
              <w:noProof/>
            </w:rPr>
          </w:pPr>
          <w:hyperlink w:anchor="_Toc532224240" w:history="1">
            <w:r w:rsidR="00532AE4" w:rsidRPr="00C406C4">
              <w:rPr>
                <w:rStyle w:val="Hyperlink"/>
                <w:rFonts w:cstheme="minorHAnsi"/>
                <w:noProof/>
              </w:rPr>
              <w:t>Attachment 18 – Adult Questionnaire</w:t>
            </w:r>
            <w:r w:rsidR="00532AE4">
              <w:rPr>
                <w:noProof/>
                <w:webHidden/>
              </w:rPr>
              <w:tab/>
            </w:r>
            <w:r w:rsidR="00532AE4">
              <w:rPr>
                <w:noProof/>
                <w:webHidden/>
              </w:rPr>
              <w:fldChar w:fldCharType="begin"/>
            </w:r>
            <w:r w:rsidR="00532AE4">
              <w:rPr>
                <w:noProof/>
                <w:webHidden/>
              </w:rPr>
              <w:instrText xml:space="preserve"> PAGEREF _Toc532224240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6F2CDD15" w14:textId="00F756BA" w:rsidR="00532AE4" w:rsidRDefault="00313373">
          <w:pPr>
            <w:pStyle w:val="TOC2"/>
            <w:rPr>
              <w:rFonts w:asciiTheme="minorHAnsi" w:eastAsiaTheme="minorEastAsia" w:hAnsiTheme="minorHAnsi" w:cstheme="minorBidi"/>
              <w:noProof/>
            </w:rPr>
          </w:pPr>
          <w:hyperlink w:anchor="_Toc532224241" w:history="1">
            <w:r w:rsidR="00532AE4" w:rsidRPr="00C406C4">
              <w:rPr>
                <w:rStyle w:val="Hyperlink"/>
                <w:rFonts w:cstheme="minorHAnsi"/>
                <w:noProof/>
              </w:rPr>
              <w:t>Attachment 19 – Letter to Provider for Record Abstraction</w:t>
            </w:r>
            <w:r w:rsidR="00532AE4">
              <w:rPr>
                <w:noProof/>
                <w:webHidden/>
              </w:rPr>
              <w:tab/>
            </w:r>
            <w:r w:rsidR="00532AE4">
              <w:rPr>
                <w:noProof/>
                <w:webHidden/>
              </w:rPr>
              <w:fldChar w:fldCharType="begin"/>
            </w:r>
            <w:r w:rsidR="00532AE4">
              <w:rPr>
                <w:noProof/>
                <w:webHidden/>
              </w:rPr>
              <w:instrText xml:space="preserve"> PAGEREF _Toc532224241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272A6864" w14:textId="45B7BCD9" w:rsidR="00532AE4" w:rsidRDefault="00313373">
          <w:pPr>
            <w:pStyle w:val="TOC3"/>
            <w:rPr>
              <w:rFonts w:asciiTheme="minorHAnsi" w:eastAsiaTheme="minorEastAsia" w:hAnsiTheme="minorHAnsi" w:cstheme="minorBidi"/>
              <w:noProof/>
            </w:rPr>
          </w:pPr>
          <w:hyperlink w:anchor="_Toc532224242" w:history="1">
            <w:r w:rsidR="00532AE4" w:rsidRPr="00C406C4">
              <w:rPr>
                <w:rStyle w:val="Hyperlink"/>
                <w:rFonts w:cstheme="minorHAnsi"/>
                <w:noProof/>
              </w:rPr>
              <w:t>Attachment 19a – Medical Record Abstraction Form</w:t>
            </w:r>
            <w:r w:rsidR="00532AE4">
              <w:rPr>
                <w:noProof/>
                <w:webHidden/>
              </w:rPr>
              <w:tab/>
            </w:r>
            <w:r w:rsidR="00532AE4">
              <w:rPr>
                <w:noProof/>
                <w:webHidden/>
              </w:rPr>
              <w:fldChar w:fldCharType="begin"/>
            </w:r>
            <w:r w:rsidR="00532AE4">
              <w:rPr>
                <w:noProof/>
                <w:webHidden/>
              </w:rPr>
              <w:instrText xml:space="preserve"> PAGEREF _Toc532224242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20F37E40" w14:textId="164F9491" w:rsidR="00532AE4" w:rsidRDefault="00313373">
          <w:pPr>
            <w:pStyle w:val="TOC3"/>
            <w:rPr>
              <w:rFonts w:asciiTheme="minorHAnsi" w:eastAsiaTheme="minorEastAsia" w:hAnsiTheme="minorHAnsi" w:cstheme="minorBidi"/>
              <w:noProof/>
            </w:rPr>
          </w:pPr>
          <w:hyperlink w:anchor="_Toc532224243" w:history="1">
            <w:r w:rsidR="00532AE4" w:rsidRPr="00C406C4">
              <w:rPr>
                <w:rStyle w:val="Hyperlink"/>
                <w:rFonts w:cstheme="minorHAnsi"/>
                <w:noProof/>
              </w:rPr>
              <w:t>Attachment 19b – Medical Record Abstraction Form</w:t>
            </w:r>
            <w:r w:rsidR="00532AE4">
              <w:rPr>
                <w:noProof/>
                <w:webHidden/>
              </w:rPr>
              <w:tab/>
            </w:r>
            <w:r w:rsidR="00532AE4">
              <w:rPr>
                <w:noProof/>
                <w:webHidden/>
              </w:rPr>
              <w:fldChar w:fldCharType="begin"/>
            </w:r>
            <w:r w:rsidR="00532AE4">
              <w:rPr>
                <w:noProof/>
                <w:webHidden/>
              </w:rPr>
              <w:instrText xml:space="preserve"> PAGEREF _Toc532224243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383F2063" w14:textId="2D5DA9BC" w:rsidR="00532AE4" w:rsidRDefault="00313373">
          <w:pPr>
            <w:pStyle w:val="TOC2"/>
            <w:rPr>
              <w:rFonts w:asciiTheme="minorHAnsi" w:eastAsiaTheme="minorEastAsia" w:hAnsiTheme="minorHAnsi" w:cstheme="minorBidi"/>
              <w:noProof/>
            </w:rPr>
          </w:pPr>
          <w:hyperlink w:anchor="_Toc532224244" w:history="1">
            <w:r w:rsidR="00532AE4" w:rsidRPr="00C406C4">
              <w:rPr>
                <w:rStyle w:val="Hyperlink"/>
                <w:rFonts w:cstheme="minorHAnsi"/>
                <w:noProof/>
              </w:rPr>
              <w:t>Attachment 20 – Child/Parent Neurobehavioral Test Battery</w:t>
            </w:r>
            <w:r w:rsidR="00532AE4">
              <w:rPr>
                <w:noProof/>
                <w:webHidden/>
              </w:rPr>
              <w:tab/>
            </w:r>
            <w:r w:rsidR="00532AE4">
              <w:rPr>
                <w:noProof/>
                <w:webHidden/>
              </w:rPr>
              <w:fldChar w:fldCharType="begin"/>
            </w:r>
            <w:r w:rsidR="00532AE4">
              <w:rPr>
                <w:noProof/>
                <w:webHidden/>
              </w:rPr>
              <w:instrText xml:space="preserve"> PAGEREF _Toc532224244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68CA4636" w14:textId="4D4E6E25" w:rsidR="00532AE4" w:rsidRDefault="00313373">
          <w:pPr>
            <w:pStyle w:val="TOC3"/>
            <w:rPr>
              <w:rFonts w:asciiTheme="minorHAnsi" w:eastAsiaTheme="minorEastAsia" w:hAnsiTheme="minorHAnsi" w:cstheme="minorBidi"/>
              <w:noProof/>
            </w:rPr>
          </w:pPr>
          <w:hyperlink w:anchor="_Toc532224245" w:history="1">
            <w:r w:rsidR="00532AE4" w:rsidRPr="00C406C4">
              <w:rPr>
                <w:rStyle w:val="Hyperlink"/>
                <w:rFonts w:cstheme="minorHAnsi"/>
                <w:noProof/>
              </w:rPr>
              <w:t>Attachment 20a – NBT Time Estimation Table, by Age in Years</w:t>
            </w:r>
            <w:r w:rsidR="00532AE4">
              <w:rPr>
                <w:noProof/>
                <w:webHidden/>
              </w:rPr>
              <w:tab/>
            </w:r>
            <w:r w:rsidR="00532AE4">
              <w:rPr>
                <w:noProof/>
                <w:webHidden/>
              </w:rPr>
              <w:fldChar w:fldCharType="begin"/>
            </w:r>
            <w:r w:rsidR="00532AE4">
              <w:rPr>
                <w:noProof/>
                <w:webHidden/>
              </w:rPr>
              <w:instrText xml:space="preserve"> PAGEREF _Toc532224245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32F47410" w14:textId="16BD8BEB" w:rsidR="00532AE4" w:rsidRDefault="00313373">
          <w:pPr>
            <w:pStyle w:val="TOC3"/>
            <w:rPr>
              <w:rFonts w:asciiTheme="minorHAnsi" w:eastAsiaTheme="minorEastAsia" w:hAnsiTheme="minorHAnsi" w:cstheme="minorBidi"/>
              <w:noProof/>
            </w:rPr>
          </w:pPr>
          <w:hyperlink w:anchor="_Toc532224246" w:history="1">
            <w:r w:rsidR="00532AE4" w:rsidRPr="00C406C4">
              <w:rPr>
                <w:rStyle w:val="Hyperlink"/>
                <w:rFonts w:cstheme="minorHAnsi"/>
                <w:noProof/>
              </w:rPr>
              <w:t>Attachment 20b – Child School Record Abstraction Form</w:t>
            </w:r>
            <w:r w:rsidR="00532AE4">
              <w:rPr>
                <w:noProof/>
                <w:webHidden/>
              </w:rPr>
              <w:tab/>
            </w:r>
            <w:r w:rsidR="00532AE4">
              <w:rPr>
                <w:noProof/>
                <w:webHidden/>
              </w:rPr>
              <w:fldChar w:fldCharType="begin"/>
            </w:r>
            <w:r w:rsidR="00532AE4">
              <w:rPr>
                <w:noProof/>
                <w:webHidden/>
              </w:rPr>
              <w:instrText xml:space="preserve"> PAGEREF _Toc532224246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6715599C" w14:textId="4CA16C64" w:rsidR="00532AE4" w:rsidRDefault="00313373">
          <w:pPr>
            <w:pStyle w:val="TOC2"/>
            <w:rPr>
              <w:rFonts w:asciiTheme="minorHAnsi" w:eastAsiaTheme="minorEastAsia" w:hAnsiTheme="minorHAnsi" w:cstheme="minorBidi"/>
              <w:noProof/>
            </w:rPr>
          </w:pPr>
          <w:hyperlink w:anchor="_Toc532224247" w:history="1">
            <w:r w:rsidR="00532AE4" w:rsidRPr="00C406C4">
              <w:rPr>
                <w:rStyle w:val="Hyperlink"/>
                <w:rFonts w:cstheme="minorHAnsi"/>
                <w:noProof/>
              </w:rPr>
              <w:t>Attachment 21 – Body and Blood Pressure Measurements Report</w:t>
            </w:r>
            <w:r w:rsidR="00532AE4">
              <w:rPr>
                <w:noProof/>
                <w:webHidden/>
              </w:rPr>
              <w:tab/>
            </w:r>
            <w:r w:rsidR="00532AE4">
              <w:rPr>
                <w:noProof/>
                <w:webHidden/>
              </w:rPr>
              <w:fldChar w:fldCharType="begin"/>
            </w:r>
            <w:r w:rsidR="00532AE4">
              <w:rPr>
                <w:noProof/>
                <w:webHidden/>
              </w:rPr>
              <w:instrText xml:space="preserve"> PAGEREF _Toc532224247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391BA0AC" w14:textId="19A64383" w:rsidR="00532AE4" w:rsidRDefault="00313373">
          <w:pPr>
            <w:pStyle w:val="TOC2"/>
            <w:rPr>
              <w:rFonts w:asciiTheme="minorHAnsi" w:eastAsiaTheme="minorEastAsia" w:hAnsiTheme="minorHAnsi" w:cstheme="minorBidi"/>
              <w:noProof/>
            </w:rPr>
          </w:pPr>
          <w:hyperlink w:anchor="_Toc532224248" w:history="1">
            <w:r w:rsidR="00532AE4" w:rsidRPr="00C406C4">
              <w:rPr>
                <w:rStyle w:val="Hyperlink"/>
                <w:rFonts w:cstheme="minorHAnsi"/>
                <w:noProof/>
              </w:rPr>
              <w:t>Attachment 22 – Advance Reporting Script for Clinical Tests</w:t>
            </w:r>
            <w:r w:rsidR="00532AE4">
              <w:rPr>
                <w:noProof/>
                <w:webHidden/>
              </w:rPr>
              <w:tab/>
            </w:r>
            <w:r w:rsidR="00532AE4">
              <w:rPr>
                <w:noProof/>
                <w:webHidden/>
              </w:rPr>
              <w:fldChar w:fldCharType="begin"/>
            </w:r>
            <w:r w:rsidR="00532AE4">
              <w:rPr>
                <w:noProof/>
                <w:webHidden/>
              </w:rPr>
              <w:instrText xml:space="preserve"> PAGEREF _Toc532224248 \h </w:instrText>
            </w:r>
            <w:r w:rsidR="00532AE4">
              <w:rPr>
                <w:noProof/>
                <w:webHidden/>
              </w:rPr>
            </w:r>
            <w:r w:rsidR="00532AE4">
              <w:rPr>
                <w:noProof/>
                <w:webHidden/>
              </w:rPr>
              <w:fldChar w:fldCharType="separate"/>
            </w:r>
            <w:r w:rsidR="00532AE4">
              <w:rPr>
                <w:noProof/>
                <w:webHidden/>
              </w:rPr>
              <w:t>70</w:t>
            </w:r>
            <w:r w:rsidR="00532AE4">
              <w:rPr>
                <w:noProof/>
                <w:webHidden/>
              </w:rPr>
              <w:fldChar w:fldCharType="end"/>
            </w:r>
          </w:hyperlink>
        </w:p>
        <w:p w14:paraId="73EFA8A5" w14:textId="243B29EC" w:rsidR="00532AE4" w:rsidRDefault="00313373">
          <w:pPr>
            <w:pStyle w:val="TOC3"/>
            <w:rPr>
              <w:rFonts w:asciiTheme="minorHAnsi" w:eastAsiaTheme="minorEastAsia" w:hAnsiTheme="minorHAnsi" w:cstheme="minorBidi"/>
              <w:noProof/>
            </w:rPr>
          </w:pPr>
          <w:hyperlink w:anchor="_Toc532224249" w:history="1">
            <w:r w:rsidR="00532AE4" w:rsidRPr="00C406C4">
              <w:rPr>
                <w:rStyle w:val="Hyperlink"/>
                <w:rFonts w:cstheme="minorHAnsi"/>
                <w:noProof/>
              </w:rPr>
              <w:t>Attachment 22a – Advance Clinical Test Report Tracking Form</w:t>
            </w:r>
            <w:r w:rsidR="00532AE4">
              <w:rPr>
                <w:noProof/>
                <w:webHidden/>
              </w:rPr>
              <w:tab/>
            </w:r>
            <w:r w:rsidR="00532AE4">
              <w:rPr>
                <w:noProof/>
                <w:webHidden/>
              </w:rPr>
              <w:fldChar w:fldCharType="begin"/>
            </w:r>
            <w:r w:rsidR="00532AE4">
              <w:rPr>
                <w:noProof/>
                <w:webHidden/>
              </w:rPr>
              <w:instrText xml:space="preserve"> PAGEREF _Toc532224249 \h </w:instrText>
            </w:r>
            <w:r w:rsidR="00532AE4">
              <w:rPr>
                <w:noProof/>
                <w:webHidden/>
              </w:rPr>
            </w:r>
            <w:r w:rsidR="00532AE4">
              <w:rPr>
                <w:noProof/>
                <w:webHidden/>
              </w:rPr>
              <w:fldChar w:fldCharType="separate"/>
            </w:r>
            <w:r w:rsidR="00532AE4">
              <w:rPr>
                <w:noProof/>
                <w:webHidden/>
              </w:rPr>
              <w:t>71</w:t>
            </w:r>
            <w:r w:rsidR="00532AE4">
              <w:rPr>
                <w:noProof/>
                <w:webHidden/>
              </w:rPr>
              <w:fldChar w:fldCharType="end"/>
            </w:r>
          </w:hyperlink>
        </w:p>
        <w:p w14:paraId="4C25AAB1" w14:textId="1109FB53" w:rsidR="00532AE4" w:rsidRDefault="00313373">
          <w:pPr>
            <w:pStyle w:val="TOC3"/>
            <w:rPr>
              <w:rFonts w:asciiTheme="minorHAnsi" w:eastAsiaTheme="minorEastAsia" w:hAnsiTheme="minorHAnsi" w:cstheme="minorBidi"/>
              <w:noProof/>
            </w:rPr>
          </w:pPr>
          <w:hyperlink w:anchor="_Toc532224250" w:history="1">
            <w:r w:rsidR="00532AE4" w:rsidRPr="00C406C4">
              <w:rPr>
                <w:rStyle w:val="Hyperlink"/>
                <w:rFonts w:cstheme="minorHAnsi"/>
                <w:noProof/>
              </w:rPr>
              <w:t>Attachment 22b – Letter Report of Critical Values</w:t>
            </w:r>
            <w:r w:rsidR="00532AE4">
              <w:rPr>
                <w:noProof/>
                <w:webHidden/>
              </w:rPr>
              <w:tab/>
            </w:r>
            <w:r w:rsidR="00532AE4">
              <w:rPr>
                <w:noProof/>
                <w:webHidden/>
              </w:rPr>
              <w:fldChar w:fldCharType="begin"/>
            </w:r>
            <w:r w:rsidR="00532AE4">
              <w:rPr>
                <w:noProof/>
                <w:webHidden/>
              </w:rPr>
              <w:instrText xml:space="preserve"> PAGEREF _Toc532224250 \h </w:instrText>
            </w:r>
            <w:r w:rsidR="00532AE4">
              <w:rPr>
                <w:noProof/>
                <w:webHidden/>
              </w:rPr>
            </w:r>
            <w:r w:rsidR="00532AE4">
              <w:rPr>
                <w:noProof/>
                <w:webHidden/>
              </w:rPr>
              <w:fldChar w:fldCharType="separate"/>
            </w:r>
            <w:r w:rsidR="00532AE4">
              <w:rPr>
                <w:noProof/>
                <w:webHidden/>
              </w:rPr>
              <w:t>71</w:t>
            </w:r>
            <w:r w:rsidR="00532AE4">
              <w:rPr>
                <w:noProof/>
                <w:webHidden/>
              </w:rPr>
              <w:fldChar w:fldCharType="end"/>
            </w:r>
          </w:hyperlink>
        </w:p>
        <w:p w14:paraId="5C121FBE" w14:textId="523EF513" w:rsidR="00532AE4" w:rsidRDefault="00313373">
          <w:pPr>
            <w:pStyle w:val="TOC2"/>
            <w:rPr>
              <w:rFonts w:asciiTheme="minorHAnsi" w:eastAsiaTheme="minorEastAsia" w:hAnsiTheme="minorHAnsi" w:cstheme="minorBidi"/>
              <w:noProof/>
            </w:rPr>
          </w:pPr>
          <w:hyperlink w:anchor="_Toc532224251" w:history="1">
            <w:r w:rsidR="00532AE4" w:rsidRPr="00C406C4">
              <w:rPr>
                <w:rStyle w:val="Hyperlink"/>
                <w:rFonts w:cstheme="minorHAnsi"/>
                <w:noProof/>
              </w:rPr>
              <w:t>Attachment 24 – PFAS Results Report</w:t>
            </w:r>
            <w:r w:rsidR="00532AE4">
              <w:rPr>
                <w:noProof/>
                <w:webHidden/>
              </w:rPr>
              <w:tab/>
            </w:r>
            <w:r w:rsidR="00532AE4">
              <w:rPr>
                <w:noProof/>
                <w:webHidden/>
              </w:rPr>
              <w:fldChar w:fldCharType="begin"/>
            </w:r>
            <w:r w:rsidR="00532AE4">
              <w:rPr>
                <w:noProof/>
                <w:webHidden/>
              </w:rPr>
              <w:instrText xml:space="preserve"> PAGEREF _Toc532224251 \h </w:instrText>
            </w:r>
            <w:r w:rsidR="00532AE4">
              <w:rPr>
                <w:noProof/>
                <w:webHidden/>
              </w:rPr>
            </w:r>
            <w:r w:rsidR="00532AE4">
              <w:rPr>
                <w:noProof/>
                <w:webHidden/>
              </w:rPr>
              <w:fldChar w:fldCharType="separate"/>
            </w:r>
            <w:r w:rsidR="00532AE4">
              <w:rPr>
                <w:noProof/>
                <w:webHidden/>
              </w:rPr>
              <w:t>71</w:t>
            </w:r>
            <w:r w:rsidR="00532AE4">
              <w:rPr>
                <w:noProof/>
                <w:webHidden/>
              </w:rPr>
              <w:fldChar w:fldCharType="end"/>
            </w:r>
          </w:hyperlink>
        </w:p>
        <w:p w14:paraId="3E5894E4" w14:textId="283D93FF" w:rsidR="00532AE4" w:rsidRDefault="00313373">
          <w:pPr>
            <w:pStyle w:val="TOC3"/>
            <w:rPr>
              <w:rFonts w:asciiTheme="minorHAnsi" w:eastAsiaTheme="minorEastAsia" w:hAnsiTheme="minorHAnsi" w:cstheme="minorBidi"/>
              <w:noProof/>
            </w:rPr>
          </w:pPr>
          <w:hyperlink w:anchor="_Toc532224252" w:history="1">
            <w:r w:rsidR="00532AE4" w:rsidRPr="00C406C4">
              <w:rPr>
                <w:rStyle w:val="Hyperlink"/>
                <w:rFonts w:cstheme="minorHAnsi"/>
                <w:noProof/>
              </w:rPr>
              <w:t>Attachment 24a – ATSDR PFAS Factsheet</w:t>
            </w:r>
            <w:r w:rsidR="00532AE4">
              <w:rPr>
                <w:noProof/>
                <w:webHidden/>
              </w:rPr>
              <w:tab/>
            </w:r>
            <w:r w:rsidR="00532AE4">
              <w:rPr>
                <w:noProof/>
                <w:webHidden/>
              </w:rPr>
              <w:fldChar w:fldCharType="begin"/>
            </w:r>
            <w:r w:rsidR="00532AE4">
              <w:rPr>
                <w:noProof/>
                <w:webHidden/>
              </w:rPr>
              <w:instrText xml:space="preserve"> PAGEREF _Toc532224252 \h </w:instrText>
            </w:r>
            <w:r w:rsidR="00532AE4">
              <w:rPr>
                <w:noProof/>
                <w:webHidden/>
              </w:rPr>
            </w:r>
            <w:r w:rsidR="00532AE4">
              <w:rPr>
                <w:noProof/>
                <w:webHidden/>
              </w:rPr>
              <w:fldChar w:fldCharType="separate"/>
            </w:r>
            <w:r w:rsidR="00532AE4">
              <w:rPr>
                <w:noProof/>
                <w:webHidden/>
              </w:rPr>
              <w:t>71</w:t>
            </w:r>
            <w:r w:rsidR="00532AE4">
              <w:rPr>
                <w:noProof/>
                <w:webHidden/>
              </w:rPr>
              <w:fldChar w:fldCharType="end"/>
            </w:r>
          </w:hyperlink>
        </w:p>
        <w:p w14:paraId="2F477B52" w14:textId="2E1CD4D8" w:rsidR="00F221A9" w:rsidRPr="005553DF" w:rsidRDefault="00E67716" w:rsidP="005553DF">
          <w:pPr>
            <w:spacing w:after="0" w:line="240" w:lineRule="auto"/>
            <w:rPr>
              <w:rFonts w:asciiTheme="minorHAnsi" w:hAnsiTheme="minorHAnsi"/>
            </w:rPr>
          </w:pPr>
          <w:r w:rsidRPr="005553DF">
            <w:rPr>
              <w:rFonts w:asciiTheme="minorHAnsi" w:hAnsiTheme="minorHAnsi" w:cstheme="minorHAnsi"/>
            </w:rPr>
            <w:fldChar w:fldCharType="end"/>
          </w:r>
        </w:p>
      </w:sdtContent>
    </w:sdt>
    <w:p w14:paraId="6452CE6E" w14:textId="77777777" w:rsidR="00022441" w:rsidRPr="005553DF" w:rsidRDefault="00F221A9" w:rsidP="005553DF">
      <w:pPr>
        <w:pStyle w:val="Heading1"/>
        <w:spacing w:before="0" w:after="240" w:line="360" w:lineRule="auto"/>
        <w:rPr>
          <w:rFonts w:asciiTheme="minorHAnsi" w:eastAsia="Calibri" w:hAnsiTheme="minorHAnsi" w:cstheme="minorHAnsi"/>
          <w:sz w:val="22"/>
          <w:szCs w:val="22"/>
        </w:rPr>
      </w:pPr>
      <w:r w:rsidRPr="005553DF">
        <w:rPr>
          <w:rFonts w:asciiTheme="minorHAnsi" w:hAnsiTheme="minorHAnsi"/>
          <w:sz w:val="24"/>
          <w:szCs w:val="24"/>
        </w:rPr>
        <w:br w:type="page"/>
      </w:r>
      <w:bookmarkStart w:id="2" w:name="_Toc532224129"/>
      <w:r w:rsidR="00022441" w:rsidRPr="005553DF">
        <w:rPr>
          <w:rFonts w:asciiTheme="minorHAnsi" w:hAnsiTheme="minorHAnsi" w:cstheme="minorHAnsi"/>
          <w:sz w:val="22"/>
          <w:szCs w:val="22"/>
        </w:rPr>
        <w:t>1. PROJECT OVERVIEW</w:t>
      </w:r>
      <w:bookmarkEnd w:id="2"/>
    </w:p>
    <w:p w14:paraId="57C64367" w14:textId="77777777" w:rsidR="00022441" w:rsidRPr="005553DF" w:rsidRDefault="00022441" w:rsidP="005553DF">
      <w:pPr>
        <w:pStyle w:val="Heading2"/>
        <w:spacing w:before="0" w:after="240" w:line="360" w:lineRule="auto"/>
        <w:rPr>
          <w:rFonts w:asciiTheme="minorHAnsi" w:hAnsiTheme="minorHAnsi" w:cstheme="minorHAnsi"/>
          <w:i w:val="0"/>
          <w:sz w:val="22"/>
          <w:szCs w:val="22"/>
        </w:rPr>
      </w:pPr>
      <w:bookmarkStart w:id="3" w:name="_Toc532224130"/>
      <w:r w:rsidRPr="005553DF">
        <w:rPr>
          <w:rFonts w:asciiTheme="minorHAnsi" w:eastAsia="Calibri" w:hAnsiTheme="minorHAnsi"/>
          <w:i w:val="0"/>
          <w:color w:val="000000"/>
          <w:sz w:val="22"/>
        </w:rPr>
        <w:t xml:space="preserve">1.1 </w:t>
      </w:r>
      <w:r w:rsidRPr="005553DF">
        <w:rPr>
          <w:rFonts w:asciiTheme="minorHAnsi" w:hAnsiTheme="minorHAnsi" w:cstheme="minorHAnsi"/>
          <w:i w:val="0"/>
          <w:sz w:val="22"/>
          <w:szCs w:val="22"/>
        </w:rPr>
        <w:t>Summary</w:t>
      </w:r>
      <w:bookmarkEnd w:id="3"/>
    </w:p>
    <w:p w14:paraId="6C14A068" w14:textId="77777777" w:rsidR="00010916" w:rsidRPr="005553DF" w:rsidRDefault="00010916" w:rsidP="005553DF">
      <w:pPr>
        <w:pStyle w:val="Heading3"/>
        <w:spacing w:before="0" w:after="240" w:line="360" w:lineRule="auto"/>
        <w:rPr>
          <w:rFonts w:asciiTheme="minorHAnsi" w:hAnsiTheme="minorHAnsi" w:cstheme="minorHAnsi"/>
          <w:i/>
          <w:color w:val="auto"/>
        </w:rPr>
      </w:pPr>
      <w:bookmarkStart w:id="4" w:name="_Toc532224131"/>
      <w:r w:rsidRPr="005553DF">
        <w:rPr>
          <w:rFonts w:asciiTheme="minorHAnsi" w:hAnsiTheme="minorHAnsi" w:cstheme="minorHAnsi"/>
          <w:i/>
          <w:color w:val="auto"/>
        </w:rPr>
        <w:t>1.1.1 Literature Review</w:t>
      </w:r>
      <w:bookmarkEnd w:id="4"/>
    </w:p>
    <w:p w14:paraId="6E5A9563" w14:textId="77777777" w:rsidR="00A33E81" w:rsidRPr="005553DF" w:rsidRDefault="00D00D1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Per- and polyfluoroalkyl substances (PFAS) are a family of chemicals used in industrial applications and consumer products.  </w:t>
      </w:r>
      <w:r w:rsidR="0019774E" w:rsidRPr="005553DF">
        <w:rPr>
          <w:rFonts w:asciiTheme="minorHAnsi" w:hAnsiTheme="minorHAnsi" w:cstheme="minorHAnsi"/>
        </w:rPr>
        <w:t>A n</w:t>
      </w:r>
      <w:r w:rsidR="001E4459" w:rsidRPr="005553DF">
        <w:rPr>
          <w:rFonts w:asciiTheme="minorHAnsi" w:hAnsiTheme="minorHAnsi" w:cstheme="minorHAnsi"/>
        </w:rPr>
        <w:t>umber of</w:t>
      </w:r>
      <w:r w:rsidR="00B44AD5" w:rsidRPr="005553DF">
        <w:rPr>
          <w:rFonts w:asciiTheme="minorHAnsi" w:hAnsiTheme="minorHAnsi" w:cstheme="minorHAnsi"/>
        </w:rPr>
        <w:t xml:space="preserve"> </w:t>
      </w:r>
      <w:r w:rsidRPr="005553DF">
        <w:rPr>
          <w:rFonts w:asciiTheme="minorHAnsi" w:hAnsiTheme="minorHAnsi" w:cstheme="minorHAnsi"/>
        </w:rPr>
        <w:t>PFAS chemicals</w:t>
      </w:r>
      <w:r w:rsidR="00B44AD5" w:rsidRPr="005553DF">
        <w:rPr>
          <w:rFonts w:asciiTheme="minorHAnsi" w:hAnsiTheme="minorHAnsi" w:cstheme="minorHAnsi"/>
        </w:rPr>
        <w:t xml:space="preserve"> including perfluorooctane sulfonate (PFOS)</w:t>
      </w:r>
      <w:r w:rsidR="00FC2E67" w:rsidRPr="005553DF">
        <w:rPr>
          <w:rFonts w:asciiTheme="minorHAnsi" w:hAnsiTheme="minorHAnsi" w:cstheme="minorHAnsi"/>
        </w:rPr>
        <w:t>,</w:t>
      </w:r>
      <w:r w:rsidR="00B44AD5" w:rsidRPr="005553DF">
        <w:rPr>
          <w:rFonts w:asciiTheme="minorHAnsi" w:hAnsiTheme="minorHAnsi" w:cstheme="minorHAnsi"/>
        </w:rPr>
        <w:t xml:space="preserve"> </w:t>
      </w:r>
      <w:r w:rsidR="00FC2E67" w:rsidRPr="005553DF">
        <w:rPr>
          <w:rFonts w:asciiTheme="minorHAnsi" w:hAnsiTheme="minorHAnsi" w:cstheme="minorHAnsi"/>
        </w:rPr>
        <w:t>p</w:t>
      </w:r>
      <w:r w:rsidR="00B44AD5" w:rsidRPr="005553DF">
        <w:rPr>
          <w:rFonts w:asciiTheme="minorHAnsi" w:hAnsiTheme="minorHAnsi" w:cstheme="minorHAnsi"/>
        </w:rPr>
        <w:t>erfluorooctanoate (PFOA),</w:t>
      </w:r>
      <w:r w:rsidR="00FC2E67" w:rsidRPr="005553DF">
        <w:rPr>
          <w:rFonts w:asciiTheme="minorHAnsi" w:hAnsiTheme="minorHAnsi" w:cstheme="minorHAnsi"/>
        </w:rPr>
        <w:t xml:space="preserve"> and perfluorohexane sulfonate (PFHxS) </w:t>
      </w:r>
      <w:r w:rsidR="0081429B" w:rsidRPr="005553DF">
        <w:rPr>
          <w:rFonts w:asciiTheme="minorHAnsi" w:hAnsiTheme="minorHAnsi" w:cstheme="minorHAnsi"/>
        </w:rPr>
        <w:t xml:space="preserve">persist in the environment and </w:t>
      </w:r>
      <w:r w:rsidR="00FC2E67" w:rsidRPr="005553DF">
        <w:rPr>
          <w:rFonts w:asciiTheme="minorHAnsi" w:hAnsiTheme="minorHAnsi" w:cstheme="minorHAnsi"/>
        </w:rPr>
        <w:t>have</w:t>
      </w:r>
      <w:r w:rsidR="001470B9" w:rsidRPr="005553DF">
        <w:rPr>
          <w:rFonts w:asciiTheme="minorHAnsi" w:hAnsiTheme="minorHAnsi" w:cstheme="minorHAnsi"/>
        </w:rPr>
        <w:t xml:space="preserve"> long</w:t>
      </w:r>
      <w:r w:rsidR="00FC2E67" w:rsidRPr="005553DF">
        <w:rPr>
          <w:rFonts w:asciiTheme="minorHAnsi" w:hAnsiTheme="minorHAnsi" w:cstheme="minorHAnsi"/>
        </w:rPr>
        <w:t xml:space="preserve"> </w:t>
      </w:r>
      <w:r w:rsidR="0081429B" w:rsidRPr="005553DF">
        <w:rPr>
          <w:rFonts w:asciiTheme="minorHAnsi" w:hAnsiTheme="minorHAnsi" w:cstheme="minorHAnsi"/>
        </w:rPr>
        <w:t xml:space="preserve">serum </w:t>
      </w:r>
      <w:r w:rsidR="00FC2E67" w:rsidRPr="005553DF">
        <w:rPr>
          <w:rFonts w:asciiTheme="minorHAnsi" w:hAnsiTheme="minorHAnsi" w:cstheme="minorHAnsi"/>
        </w:rPr>
        <w:t>half-live</w:t>
      </w:r>
      <w:r w:rsidR="0081429B" w:rsidRPr="005553DF">
        <w:rPr>
          <w:rFonts w:asciiTheme="minorHAnsi" w:hAnsiTheme="minorHAnsi" w:cstheme="minorHAnsi"/>
        </w:rPr>
        <w:t>s</w:t>
      </w:r>
      <w:r w:rsidR="00FC2E67" w:rsidRPr="005553DF">
        <w:rPr>
          <w:rFonts w:asciiTheme="minorHAnsi" w:hAnsiTheme="minorHAnsi" w:cstheme="minorHAnsi"/>
        </w:rPr>
        <w:t xml:space="preserve"> </w:t>
      </w:r>
      <w:r w:rsidR="00B44AD5" w:rsidRPr="005553DF">
        <w:rPr>
          <w:rFonts w:asciiTheme="minorHAnsi" w:hAnsiTheme="minorHAnsi" w:cstheme="minorHAnsi"/>
        </w:rPr>
        <w:t>in</w:t>
      </w:r>
      <w:r w:rsidR="004B4C49" w:rsidRPr="005553DF">
        <w:rPr>
          <w:rFonts w:asciiTheme="minorHAnsi" w:hAnsiTheme="minorHAnsi" w:cstheme="minorHAnsi"/>
        </w:rPr>
        <w:t xml:space="preserve"> </w:t>
      </w:r>
      <w:r w:rsidR="00B44AD5" w:rsidRPr="005553DF">
        <w:rPr>
          <w:rFonts w:asciiTheme="minorHAnsi" w:hAnsiTheme="minorHAnsi" w:cstheme="minorHAnsi"/>
        </w:rPr>
        <w:t>humans</w:t>
      </w:r>
      <w:r w:rsidR="0081429B" w:rsidRPr="005553DF">
        <w:rPr>
          <w:rFonts w:asciiTheme="minorHAnsi" w:hAnsiTheme="minorHAnsi" w:cstheme="minorHAnsi"/>
        </w:rPr>
        <w:t xml:space="preserve"> (</w:t>
      </w:r>
      <w:r w:rsidR="005B348D" w:rsidRPr="005553DF">
        <w:rPr>
          <w:rFonts w:asciiTheme="minorHAnsi" w:hAnsiTheme="minorHAnsi" w:cstheme="minorHAnsi"/>
        </w:rPr>
        <w:t>Wang 2017</w:t>
      </w:r>
      <w:r w:rsidR="0081429B" w:rsidRPr="005553DF">
        <w:rPr>
          <w:rFonts w:asciiTheme="minorHAnsi" w:hAnsiTheme="minorHAnsi" w:cstheme="minorHAnsi"/>
        </w:rPr>
        <w:t>)</w:t>
      </w:r>
      <w:r w:rsidR="00B44AD5" w:rsidRPr="005553DF">
        <w:rPr>
          <w:rFonts w:asciiTheme="minorHAnsi" w:hAnsiTheme="minorHAnsi" w:cstheme="minorHAnsi"/>
        </w:rPr>
        <w:t xml:space="preserve">. </w:t>
      </w:r>
      <w:r w:rsidR="00285C65" w:rsidRPr="005553DF">
        <w:rPr>
          <w:rFonts w:asciiTheme="minorHAnsi" w:hAnsiTheme="minorHAnsi" w:cstheme="minorHAnsi"/>
        </w:rPr>
        <w:t xml:space="preserve">  </w:t>
      </w:r>
    </w:p>
    <w:p w14:paraId="2421EE7A" w14:textId="77777777" w:rsidR="00A33E81" w:rsidRPr="005553DF" w:rsidRDefault="0019774E" w:rsidP="005553DF">
      <w:pPr>
        <w:autoSpaceDE w:val="0"/>
        <w:autoSpaceDN w:val="0"/>
        <w:adjustRightInd w:val="0"/>
        <w:spacing w:after="240" w:line="360" w:lineRule="auto"/>
        <w:jc w:val="both"/>
        <w:rPr>
          <w:rFonts w:asciiTheme="minorHAnsi" w:hAnsiTheme="minorHAnsi" w:cstheme="minorHAnsi"/>
          <w:i/>
        </w:rPr>
      </w:pPr>
      <w:r w:rsidRPr="005553DF">
        <w:rPr>
          <w:rFonts w:asciiTheme="minorHAnsi" w:hAnsiTheme="minorHAnsi" w:cstheme="minorHAnsi"/>
        </w:rPr>
        <w:t>A d</w:t>
      </w:r>
      <w:r w:rsidR="00265475" w:rsidRPr="005553DF">
        <w:rPr>
          <w:rFonts w:asciiTheme="minorHAnsi" w:hAnsiTheme="minorHAnsi" w:cstheme="minorHAnsi"/>
        </w:rPr>
        <w:t>etailed review of</w:t>
      </w:r>
      <w:r w:rsidR="00285C65" w:rsidRPr="005553DF">
        <w:rPr>
          <w:rFonts w:asciiTheme="minorHAnsi" w:hAnsiTheme="minorHAnsi" w:cstheme="minorHAnsi"/>
        </w:rPr>
        <w:t xml:space="preserve"> epidemiological studies</w:t>
      </w:r>
      <w:r w:rsidR="001E4459" w:rsidRPr="005553DF">
        <w:rPr>
          <w:rFonts w:asciiTheme="minorHAnsi" w:hAnsiTheme="minorHAnsi" w:cstheme="minorHAnsi"/>
        </w:rPr>
        <w:t xml:space="preserve"> published </w:t>
      </w:r>
      <w:r w:rsidR="00265475" w:rsidRPr="005553DF">
        <w:rPr>
          <w:rFonts w:asciiTheme="minorHAnsi" w:hAnsiTheme="minorHAnsi" w:cstheme="minorHAnsi"/>
        </w:rPr>
        <w:t>to date</w:t>
      </w:r>
      <w:r w:rsidR="00942B6C" w:rsidRPr="005553DF">
        <w:rPr>
          <w:rFonts w:asciiTheme="minorHAnsi" w:hAnsiTheme="minorHAnsi" w:cstheme="minorHAnsi"/>
        </w:rPr>
        <w:t xml:space="preserve"> </w:t>
      </w:r>
      <w:r w:rsidR="00265475" w:rsidRPr="005553DF">
        <w:rPr>
          <w:rFonts w:asciiTheme="minorHAnsi" w:hAnsiTheme="minorHAnsi" w:cstheme="minorHAnsi"/>
        </w:rPr>
        <w:t xml:space="preserve">was </w:t>
      </w:r>
      <w:r w:rsidR="001E4459" w:rsidRPr="005553DF">
        <w:rPr>
          <w:rFonts w:asciiTheme="minorHAnsi" w:hAnsiTheme="minorHAnsi" w:cstheme="minorHAnsi"/>
        </w:rPr>
        <w:t>included in the ATSDR feasibility study (ATSDR 2017a</w:t>
      </w:r>
      <w:r w:rsidR="00942B6C" w:rsidRPr="005553DF">
        <w:rPr>
          <w:rFonts w:asciiTheme="minorHAnsi" w:hAnsiTheme="minorHAnsi" w:cstheme="minorHAnsi"/>
        </w:rPr>
        <w:t>; released Nov 2017</w:t>
      </w:r>
      <w:r w:rsidR="001E4459" w:rsidRPr="005553DF">
        <w:rPr>
          <w:rFonts w:asciiTheme="minorHAnsi" w:hAnsiTheme="minorHAnsi" w:cstheme="minorHAnsi"/>
        </w:rPr>
        <w:t xml:space="preserve">). </w:t>
      </w:r>
      <w:r w:rsidR="00265475" w:rsidRPr="005553DF">
        <w:rPr>
          <w:rFonts w:asciiTheme="minorHAnsi" w:hAnsiTheme="minorHAnsi" w:cstheme="minorHAnsi"/>
        </w:rPr>
        <w:t xml:space="preserve"> Health effects of PFAS exposure in children were </w:t>
      </w:r>
      <w:r w:rsidR="00942B6C" w:rsidRPr="005553DF">
        <w:rPr>
          <w:rFonts w:asciiTheme="minorHAnsi" w:hAnsiTheme="minorHAnsi" w:cstheme="minorHAnsi"/>
        </w:rPr>
        <w:t>also recently reviewed by Rapazzo</w:t>
      </w:r>
      <w:r w:rsidR="00265475" w:rsidRPr="005553DF">
        <w:rPr>
          <w:rFonts w:asciiTheme="minorHAnsi" w:hAnsiTheme="minorHAnsi" w:cstheme="minorHAnsi"/>
        </w:rPr>
        <w:t xml:space="preserve"> (2017).</w:t>
      </w:r>
      <w:r w:rsidR="00942B6C" w:rsidRPr="005553DF">
        <w:rPr>
          <w:rFonts w:asciiTheme="minorHAnsi" w:hAnsiTheme="minorHAnsi" w:cstheme="minorHAnsi"/>
        </w:rPr>
        <w:t xml:space="preserve"> </w:t>
      </w:r>
      <w:r w:rsidR="00265475" w:rsidRPr="005553DF">
        <w:rPr>
          <w:rFonts w:asciiTheme="minorHAnsi" w:hAnsiTheme="minorHAnsi" w:cstheme="minorHAnsi"/>
        </w:rPr>
        <w:t xml:space="preserve"> </w:t>
      </w:r>
      <w:r w:rsidR="001E4459" w:rsidRPr="005553DF">
        <w:rPr>
          <w:rFonts w:asciiTheme="minorHAnsi" w:hAnsiTheme="minorHAnsi" w:cstheme="minorHAnsi"/>
        </w:rPr>
        <w:t xml:space="preserve">Most studies </w:t>
      </w:r>
      <w:r w:rsidR="00285C65" w:rsidRPr="005553DF">
        <w:rPr>
          <w:rFonts w:asciiTheme="minorHAnsi" w:hAnsiTheme="minorHAnsi" w:cstheme="minorHAnsi"/>
        </w:rPr>
        <w:t>of the health effects from PFAS exposures have focused on PFOA and PFOS</w:t>
      </w:r>
      <w:r w:rsidR="006F55E5" w:rsidRPr="005553DF">
        <w:rPr>
          <w:rFonts w:asciiTheme="minorHAnsi" w:hAnsiTheme="minorHAnsi" w:cstheme="minorHAnsi"/>
        </w:rPr>
        <w:t xml:space="preserve">, but </w:t>
      </w:r>
      <w:r w:rsidR="00A756CF" w:rsidRPr="005553DF">
        <w:rPr>
          <w:rFonts w:asciiTheme="minorHAnsi" w:hAnsiTheme="minorHAnsi" w:cstheme="minorHAnsi"/>
        </w:rPr>
        <w:t xml:space="preserve">have </w:t>
      </w:r>
      <w:r w:rsidR="00CA5D94" w:rsidRPr="005553DF">
        <w:rPr>
          <w:rFonts w:asciiTheme="minorHAnsi" w:hAnsiTheme="minorHAnsi" w:cstheme="minorHAnsi"/>
        </w:rPr>
        <w:t>only</w:t>
      </w:r>
      <w:r w:rsidR="006F55E5" w:rsidRPr="005553DF">
        <w:rPr>
          <w:rFonts w:asciiTheme="minorHAnsi" w:hAnsiTheme="minorHAnsi" w:cstheme="minorHAnsi"/>
        </w:rPr>
        <w:t xml:space="preserve"> evaluated PFHxS and perfluorononanoic acid (PFNA) and other PFAS chemicals</w:t>
      </w:r>
      <w:r w:rsidR="00CA5D94" w:rsidRPr="005553DF">
        <w:rPr>
          <w:rFonts w:asciiTheme="minorHAnsi" w:hAnsiTheme="minorHAnsi" w:cstheme="minorHAnsi"/>
        </w:rPr>
        <w:t xml:space="preserve"> sparingly</w:t>
      </w:r>
      <w:r w:rsidR="001E1D2B" w:rsidRPr="005553DF">
        <w:rPr>
          <w:rFonts w:asciiTheme="minorHAnsi" w:hAnsiTheme="minorHAnsi" w:cstheme="minorHAnsi"/>
        </w:rPr>
        <w:t xml:space="preserve"> (ATSDR 2017a)</w:t>
      </w:r>
      <w:r w:rsidR="00285C65" w:rsidRPr="005553DF">
        <w:rPr>
          <w:rFonts w:asciiTheme="minorHAnsi" w:hAnsiTheme="minorHAnsi" w:cstheme="minorHAnsi"/>
        </w:rPr>
        <w:t xml:space="preserve">.  These include studies that evaluated data from the National Health and Nutrition Examination Survey (NHANES), occupational studies, studies of West Virginia and Ohio residents and workers exposed to PFOA from a chemical plant (the “C8” studies), and </w:t>
      </w:r>
      <w:r w:rsidR="00202679" w:rsidRPr="005553DF">
        <w:rPr>
          <w:rFonts w:asciiTheme="minorHAnsi" w:hAnsiTheme="minorHAnsi" w:cstheme="minorHAnsi"/>
        </w:rPr>
        <w:t>national surveys</w:t>
      </w:r>
      <w:r w:rsidR="00285C65" w:rsidRPr="005553DF">
        <w:rPr>
          <w:rFonts w:asciiTheme="minorHAnsi" w:hAnsiTheme="minorHAnsi" w:cstheme="minorHAnsi"/>
        </w:rPr>
        <w:t xml:space="preserve"> conducted in other countries where exposures to PFAS were </w:t>
      </w:r>
      <w:r w:rsidR="00F20278" w:rsidRPr="005553DF">
        <w:rPr>
          <w:rFonts w:asciiTheme="minorHAnsi" w:hAnsiTheme="minorHAnsi" w:cstheme="minorHAnsi"/>
        </w:rPr>
        <w:t xml:space="preserve">found </w:t>
      </w:r>
      <w:r w:rsidR="00285C65" w:rsidRPr="005553DF">
        <w:rPr>
          <w:rFonts w:asciiTheme="minorHAnsi" w:hAnsiTheme="minorHAnsi" w:cstheme="minorHAnsi"/>
        </w:rPr>
        <w:t>mostly from consumption of food and beverages in PFAS-contaminated packaging.</w:t>
      </w:r>
      <w:r w:rsidR="004504BF" w:rsidRPr="005553DF">
        <w:rPr>
          <w:rFonts w:asciiTheme="minorHAnsi" w:hAnsiTheme="minorHAnsi" w:cstheme="minorHAnsi"/>
        </w:rPr>
        <w:t xml:space="preserve"> </w:t>
      </w:r>
    </w:p>
    <w:p w14:paraId="44C68D5F" w14:textId="67EB7D72" w:rsidR="00A33E81" w:rsidRPr="005553DF" w:rsidRDefault="00285C6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 scientific evidence linking PFAS exposures with adverse health effects is</w:t>
      </w:r>
      <w:r w:rsidR="001E4459" w:rsidRPr="005553DF">
        <w:rPr>
          <w:rFonts w:asciiTheme="minorHAnsi" w:hAnsiTheme="minorHAnsi" w:cstheme="minorHAnsi"/>
        </w:rPr>
        <w:t xml:space="preserve"> rapidly growing but is</w:t>
      </w:r>
      <w:r w:rsidRPr="005553DF">
        <w:rPr>
          <w:rFonts w:asciiTheme="minorHAnsi" w:hAnsiTheme="minorHAnsi" w:cstheme="minorHAnsi"/>
        </w:rPr>
        <w:t xml:space="preserve"> </w:t>
      </w:r>
      <w:r w:rsidR="00480682" w:rsidRPr="005553DF">
        <w:rPr>
          <w:rFonts w:asciiTheme="minorHAnsi" w:hAnsiTheme="minorHAnsi" w:cstheme="minorHAnsi"/>
        </w:rPr>
        <w:t>inconsistent</w:t>
      </w:r>
      <w:r w:rsidR="00E60484" w:rsidRPr="005553DF">
        <w:rPr>
          <w:rFonts w:asciiTheme="minorHAnsi" w:hAnsiTheme="minorHAnsi" w:cstheme="minorHAnsi"/>
        </w:rPr>
        <w:t xml:space="preserve"> for a variety of reasons</w:t>
      </w:r>
      <w:r w:rsidR="008130EE" w:rsidRPr="005553DF">
        <w:rPr>
          <w:rFonts w:asciiTheme="minorHAnsi" w:hAnsiTheme="minorHAnsi" w:cstheme="minorHAnsi"/>
        </w:rPr>
        <w:t>,</w:t>
      </w:r>
      <w:r w:rsidR="00E60484" w:rsidRPr="005553DF">
        <w:rPr>
          <w:rFonts w:asciiTheme="minorHAnsi" w:hAnsiTheme="minorHAnsi" w:cstheme="minorHAnsi"/>
        </w:rPr>
        <w:t xml:space="preserve"> including differences concerning exposure levels, methods of ascertaining diseases and the e</w:t>
      </w:r>
      <w:r w:rsidR="004504BF" w:rsidRPr="005553DF">
        <w:rPr>
          <w:rFonts w:asciiTheme="minorHAnsi" w:hAnsiTheme="minorHAnsi" w:cstheme="minorHAnsi"/>
        </w:rPr>
        <w:t>xposure and e</w:t>
      </w:r>
      <w:r w:rsidR="00E60484" w:rsidRPr="005553DF">
        <w:rPr>
          <w:rFonts w:asciiTheme="minorHAnsi" w:hAnsiTheme="minorHAnsi" w:cstheme="minorHAnsi"/>
        </w:rPr>
        <w:t>ffect biomarkers measured</w:t>
      </w:r>
      <w:r w:rsidRPr="005553DF">
        <w:rPr>
          <w:rFonts w:asciiTheme="minorHAnsi" w:hAnsiTheme="minorHAnsi" w:cstheme="minorHAnsi"/>
        </w:rPr>
        <w:t xml:space="preserve">.  </w:t>
      </w:r>
      <w:r w:rsidR="00E60484" w:rsidRPr="005553DF">
        <w:rPr>
          <w:rFonts w:asciiTheme="minorHAnsi" w:hAnsiTheme="minorHAnsi" w:cstheme="minorHAnsi"/>
        </w:rPr>
        <w:t xml:space="preserve">For some health endpoints, only one or a few studies </w:t>
      </w:r>
      <w:r w:rsidR="00514E81" w:rsidRPr="005553DF">
        <w:rPr>
          <w:rFonts w:asciiTheme="minorHAnsi" w:hAnsiTheme="minorHAnsi" w:cstheme="minorHAnsi"/>
        </w:rPr>
        <w:t xml:space="preserve">currently exist. </w:t>
      </w:r>
      <w:r w:rsidR="00265475" w:rsidRPr="005553DF">
        <w:rPr>
          <w:rFonts w:asciiTheme="minorHAnsi" w:hAnsiTheme="minorHAnsi" w:cstheme="minorHAnsi"/>
        </w:rPr>
        <w:t xml:space="preserve">Nevertheless, </w:t>
      </w:r>
      <w:r w:rsidR="00514E81" w:rsidRPr="005553DF">
        <w:rPr>
          <w:rFonts w:asciiTheme="minorHAnsi" w:hAnsiTheme="minorHAnsi" w:cstheme="minorHAnsi"/>
        </w:rPr>
        <w:t xml:space="preserve">studies have found </w:t>
      </w:r>
      <w:r w:rsidR="00E60484" w:rsidRPr="005553DF">
        <w:rPr>
          <w:rFonts w:asciiTheme="minorHAnsi" w:hAnsiTheme="minorHAnsi" w:cstheme="minorHAnsi"/>
        </w:rPr>
        <w:t>associations with changes in lipids</w:t>
      </w:r>
      <w:r w:rsidR="00094B23" w:rsidRPr="005553DF">
        <w:rPr>
          <w:rFonts w:asciiTheme="minorHAnsi" w:hAnsiTheme="minorHAnsi" w:cstheme="minorHAnsi"/>
        </w:rPr>
        <w:t xml:space="preserve"> (Steenland 2009; Zeng 2015</w:t>
      </w:r>
      <w:r w:rsidR="00A66C24" w:rsidRPr="005553DF">
        <w:rPr>
          <w:rFonts w:asciiTheme="minorHAnsi" w:hAnsiTheme="minorHAnsi" w:cstheme="minorHAnsi"/>
        </w:rPr>
        <w:t>, Mora 2018</w:t>
      </w:r>
      <w:r w:rsidR="00094B23" w:rsidRPr="005553DF">
        <w:rPr>
          <w:rFonts w:asciiTheme="minorHAnsi" w:hAnsiTheme="minorHAnsi" w:cstheme="minorHAnsi"/>
        </w:rPr>
        <w:t>)</w:t>
      </w:r>
      <w:r w:rsidR="00E60484" w:rsidRPr="005553DF">
        <w:rPr>
          <w:rFonts w:asciiTheme="minorHAnsi" w:hAnsiTheme="minorHAnsi" w:cstheme="minorHAnsi"/>
        </w:rPr>
        <w:t>, levels of uric acid</w:t>
      </w:r>
      <w:r w:rsidR="00094B23" w:rsidRPr="005553DF">
        <w:rPr>
          <w:rFonts w:asciiTheme="minorHAnsi" w:hAnsiTheme="minorHAnsi" w:cstheme="minorHAnsi"/>
        </w:rPr>
        <w:t xml:space="preserve"> (Steenland 2010)</w:t>
      </w:r>
      <w:r w:rsidR="00E60484" w:rsidRPr="005553DF">
        <w:rPr>
          <w:rFonts w:asciiTheme="minorHAnsi" w:hAnsiTheme="minorHAnsi" w:cstheme="minorHAnsi"/>
        </w:rPr>
        <w:t>, thyroid and sex hormones</w:t>
      </w:r>
      <w:r w:rsidR="00094B23" w:rsidRPr="005553DF">
        <w:rPr>
          <w:rFonts w:asciiTheme="minorHAnsi" w:hAnsiTheme="minorHAnsi" w:cstheme="minorHAnsi"/>
        </w:rPr>
        <w:t xml:space="preserve"> (Wen 2013; </w:t>
      </w:r>
      <w:r w:rsidR="00933C49" w:rsidRPr="005553DF">
        <w:rPr>
          <w:rFonts w:asciiTheme="minorHAnsi" w:hAnsiTheme="minorHAnsi" w:cstheme="minorHAnsi"/>
        </w:rPr>
        <w:t>Lopez-Espinosa 2016</w:t>
      </w:r>
      <w:r w:rsidR="00A66C24" w:rsidRPr="005553DF">
        <w:rPr>
          <w:rFonts w:asciiTheme="minorHAnsi" w:hAnsiTheme="minorHAnsi" w:cstheme="minorHAnsi"/>
        </w:rPr>
        <w:t>, Preston 2018</w:t>
      </w:r>
      <w:r w:rsidR="00686520" w:rsidRPr="005553DF">
        <w:rPr>
          <w:rFonts w:asciiTheme="minorHAnsi" w:hAnsiTheme="minorHAnsi" w:cstheme="minorHAnsi"/>
        </w:rPr>
        <w:t>)</w:t>
      </w:r>
      <w:r w:rsidR="00E60484" w:rsidRPr="005553DF">
        <w:rPr>
          <w:rFonts w:asciiTheme="minorHAnsi" w:hAnsiTheme="minorHAnsi" w:cstheme="minorHAnsi"/>
        </w:rPr>
        <w:t>, liver</w:t>
      </w:r>
      <w:r w:rsidR="00265475" w:rsidRPr="005553DF">
        <w:rPr>
          <w:rFonts w:asciiTheme="minorHAnsi" w:hAnsiTheme="minorHAnsi" w:cstheme="minorHAnsi"/>
        </w:rPr>
        <w:t xml:space="preserve"> (Darrow 2016</w:t>
      </w:r>
      <w:r w:rsidR="00A66C24" w:rsidRPr="005553DF">
        <w:rPr>
          <w:rFonts w:asciiTheme="minorHAnsi" w:hAnsiTheme="minorHAnsi" w:cstheme="minorHAnsi"/>
        </w:rPr>
        <w:t>, Mora 2018</w:t>
      </w:r>
      <w:r w:rsidR="00265475" w:rsidRPr="005553DF">
        <w:rPr>
          <w:rFonts w:asciiTheme="minorHAnsi" w:hAnsiTheme="minorHAnsi" w:cstheme="minorHAnsi"/>
        </w:rPr>
        <w:t>)</w:t>
      </w:r>
      <w:r w:rsidR="00723BF8" w:rsidRPr="005553DF">
        <w:rPr>
          <w:rFonts w:asciiTheme="minorHAnsi" w:hAnsiTheme="minorHAnsi" w:cstheme="minorHAnsi"/>
        </w:rPr>
        <w:t>,</w:t>
      </w:r>
      <w:r w:rsidR="00E60484" w:rsidRPr="005553DF">
        <w:rPr>
          <w:rFonts w:asciiTheme="minorHAnsi" w:hAnsiTheme="minorHAnsi" w:cstheme="minorHAnsi"/>
        </w:rPr>
        <w:t xml:space="preserve"> and immune function</w:t>
      </w:r>
      <w:r w:rsidR="00E719A9">
        <w:rPr>
          <w:rFonts w:asciiTheme="minorHAnsi" w:hAnsiTheme="minorHAnsi" w:cstheme="minorHAnsi"/>
        </w:rPr>
        <w:t xml:space="preserve"> (Grandjean 2012, 2017</w:t>
      </w:r>
      <w:r w:rsidR="00933C49" w:rsidRPr="005553DF">
        <w:rPr>
          <w:rFonts w:asciiTheme="minorHAnsi" w:hAnsiTheme="minorHAnsi" w:cstheme="minorHAnsi"/>
        </w:rPr>
        <w:t>)</w:t>
      </w:r>
      <w:r w:rsidR="00E60484" w:rsidRPr="005553DF">
        <w:rPr>
          <w:rFonts w:asciiTheme="minorHAnsi" w:hAnsiTheme="minorHAnsi" w:cstheme="minorHAnsi"/>
        </w:rPr>
        <w:t xml:space="preserve">, </w:t>
      </w:r>
      <w:r w:rsidR="00A33E81" w:rsidRPr="005553DF">
        <w:rPr>
          <w:rFonts w:asciiTheme="minorHAnsi" w:hAnsiTheme="minorHAnsi" w:cstheme="minorHAnsi"/>
        </w:rPr>
        <w:t xml:space="preserve">as well as </w:t>
      </w:r>
      <w:r w:rsidR="00E60484" w:rsidRPr="005553DF">
        <w:rPr>
          <w:rFonts w:asciiTheme="minorHAnsi" w:hAnsiTheme="minorHAnsi" w:cstheme="minorHAnsi"/>
        </w:rPr>
        <w:t>reduced birth weight</w:t>
      </w:r>
      <w:r w:rsidR="00094B23" w:rsidRPr="005553DF">
        <w:rPr>
          <w:rFonts w:asciiTheme="minorHAnsi" w:hAnsiTheme="minorHAnsi" w:cstheme="minorHAnsi"/>
        </w:rPr>
        <w:t xml:space="preserve"> (Bach 2015, Verner 2015)</w:t>
      </w:r>
      <w:r w:rsidR="00E60484" w:rsidRPr="005553DF">
        <w:rPr>
          <w:rFonts w:asciiTheme="minorHAnsi" w:hAnsiTheme="minorHAnsi" w:cstheme="minorHAnsi"/>
        </w:rPr>
        <w:t>, reproductive effects and some cancers</w:t>
      </w:r>
      <w:r w:rsidR="00094B23" w:rsidRPr="005553DF">
        <w:rPr>
          <w:rFonts w:asciiTheme="minorHAnsi" w:hAnsiTheme="minorHAnsi" w:cstheme="minorHAnsi"/>
        </w:rPr>
        <w:t xml:space="preserve"> (</w:t>
      </w:r>
      <w:r w:rsidR="00933C49" w:rsidRPr="005553DF">
        <w:rPr>
          <w:rFonts w:asciiTheme="minorHAnsi" w:hAnsiTheme="minorHAnsi" w:cstheme="minorHAnsi"/>
        </w:rPr>
        <w:t>Lopez-Espinosa 2011</w:t>
      </w:r>
      <w:r w:rsidR="00094B23" w:rsidRPr="005553DF">
        <w:rPr>
          <w:rFonts w:asciiTheme="minorHAnsi" w:hAnsiTheme="minorHAnsi" w:cstheme="minorHAnsi"/>
        </w:rPr>
        <w:t xml:space="preserve">; </w:t>
      </w:r>
      <w:r w:rsidR="00933C49" w:rsidRPr="005553DF">
        <w:rPr>
          <w:rFonts w:asciiTheme="minorHAnsi" w:hAnsiTheme="minorHAnsi" w:cstheme="minorHAnsi"/>
        </w:rPr>
        <w:t>Ba</w:t>
      </w:r>
      <w:r w:rsidR="00094B23" w:rsidRPr="005553DF">
        <w:rPr>
          <w:rFonts w:asciiTheme="minorHAnsi" w:hAnsiTheme="minorHAnsi" w:cstheme="minorHAnsi"/>
        </w:rPr>
        <w:t>rry 2013)</w:t>
      </w:r>
      <w:r w:rsidR="00627573" w:rsidRPr="005553DF">
        <w:rPr>
          <w:rFonts w:asciiTheme="minorHAnsi" w:hAnsiTheme="minorHAnsi" w:cstheme="minorHAnsi"/>
        </w:rPr>
        <w:t>.</w:t>
      </w:r>
      <w:r w:rsidR="00094B23" w:rsidRPr="005553DF">
        <w:rPr>
          <w:rFonts w:asciiTheme="minorHAnsi" w:hAnsiTheme="minorHAnsi" w:cstheme="minorHAnsi"/>
        </w:rPr>
        <w:t xml:space="preserve"> </w:t>
      </w:r>
      <w:r w:rsidR="00686520" w:rsidRPr="005553DF">
        <w:rPr>
          <w:rFonts w:asciiTheme="minorHAnsi" w:hAnsiTheme="minorHAnsi" w:cstheme="minorHAnsi"/>
        </w:rPr>
        <w:t xml:space="preserve"> While </w:t>
      </w:r>
      <w:r w:rsidR="00CA5D94" w:rsidRPr="005553DF">
        <w:rPr>
          <w:rFonts w:asciiTheme="minorHAnsi" w:hAnsiTheme="minorHAnsi" w:cstheme="minorHAnsi"/>
        </w:rPr>
        <w:t>C8 studies</w:t>
      </w:r>
      <w:r w:rsidR="00B90CDA" w:rsidRPr="005553DF">
        <w:rPr>
          <w:rFonts w:asciiTheme="minorHAnsi" w:hAnsiTheme="minorHAnsi" w:cstheme="minorHAnsi"/>
        </w:rPr>
        <w:t xml:space="preserve"> provided extensive </w:t>
      </w:r>
      <w:r w:rsidR="00CA5D94" w:rsidRPr="005553DF">
        <w:rPr>
          <w:rFonts w:asciiTheme="minorHAnsi" w:hAnsiTheme="minorHAnsi" w:cstheme="minorHAnsi"/>
        </w:rPr>
        <w:t xml:space="preserve">and high </w:t>
      </w:r>
      <w:r w:rsidR="00B90CDA" w:rsidRPr="005553DF">
        <w:rPr>
          <w:rFonts w:asciiTheme="minorHAnsi" w:hAnsiTheme="minorHAnsi" w:cstheme="minorHAnsi"/>
        </w:rPr>
        <w:t xml:space="preserve">quality information on PFOA studying a large cohort of highly exposed residents (60,000+) and workers living in the vicinity of the production </w:t>
      </w:r>
      <w:r w:rsidR="00CA5D94" w:rsidRPr="005553DF">
        <w:rPr>
          <w:rFonts w:asciiTheme="minorHAnsi" w:hAnsiTheme="minorHAnsi" w:cstheme="minorHAnsi"/>
        </w:rPr>
        <w:t xml:space="preserve">facility; it didn’t address </w:t>
      </w:r>
      <w:r w:rsidR="00B031CA" w:rsidRPr="005553DF">
        <w:rPr>
          <w:rFonts w:asciiTheme="minorHAnsi" w:hAnsiTheme="minorHAnsi" w:cstheme="minorHAnsi"/>
        </w:rPr>
        <w:t xml:space="preserve">the </w:t>
      </w:r>
      <w:r w:rsidR="00CA5D94" w:rsidRPr="005553DF">
        <w:rPr>
          <w:rFonts w:asciiTheme="minorHAnsi" w:hAnsiTheme="minorHAnsi" w:cstheme="minorHAnsi"/>
        </w:rPr>
        <w:t xml:space="preserve">number of </w:t>
      </w:r>
      <w:r w:rsidR="00B90CDA" w:rsidRPr="005553DF">
        <w:rPr>
          <w:rFonts w:asciiTheme="minorHAnsi" w:hAnsiTheme="minorHAnsi" w:cstheme="minorHAnsi"/>
        </w:rPr>
        <w:t>other PFAS compounds and exposures</w:t>
      </w:r>
      <w:r w:rsidR="00CA5D94" w:rsidRPr="005553DF">
        <w:rPr>
          <w:rFonts w:asciiTheme="minorHAnsi" w:hAnsiTheme="minorHAnsi" w:cstheme="minorHAnsi"/>
        </w:rPr>
        <w:t xml:space="preserve"> routes</w:t>
      </w:r>
      <w:r w:rsidR="00B90CDA" w:rsidRPr="005553DF">
        <w:rPr>
          <w:rFonts w:asciiTheme="minorHAnsi" w:hAnsiTheme="minorHAnsi" w:cstheme="minorHAnsi"/>
        </w:rPr>
        <w:t>.</w:t>
      </w:r>
      <w:r w:rsidR="00A33E81" w:rsidRPr="005553DF">
        <w:rPr>
          <w:rFonts w:asciiTheme="minorHAnsi" w:hAnsiTheme="minorHAnsi" w:cstheme="minorHAnsi"/>
          <w:i/>
        </w:rPr>
        <w:t xml:space="preserve"> </w:t>
      </w:r>
      <w:r w:rsidR="00CA5D94" w:rsidRPr="005553DF">
        <w:rPr>
          <w:rFonts w:asciiTheme="minorHAnsi" w:hAnsiTheme="minorHAnsi" w:cstheme="minorHAnsi"/>
          <w:i/>
        </w:rPr>
        <w:t xml:space="preserve"> </w:t>
      </w:r>
      <w:r w:rsidR="00E60484" w:rsidRPr="005553DF">
        <w:rPr>
          <w:rFonts w:asciiTheme="minorHAnsi" w:hAnsiTheme="minorHAnsi" w:cstheme="minorHAnsi"/>
        </w:rPr>
        <w:t xml:space="preserve">Because of this research gap, </w:t>
      </w:r>
      <w:r w:rsidR="00514E81" w:rsidRPr="005553DF">
        <w:rPr>
          <w:rFonts w:asciiTheme="minorHAnsi" w:hAnsiTheme="minorHAnsi" w:cstheme="minorHAnsi"/>
        </w:rPr>
        <w:t xml:space="preserve">there is a need for </w:t>
      </w:r>
      <w:r w:rsidR="00A33E81" w:rsidRPr="005553DF">
        <w:rPr>
          <w:rFonts w:asciiTheme="minorHAnsi" w:hAnsiTheme="minorHAnsi" w:cstheme="minorHAnsi"/>
        </w:rPr>
        <w:t xml:space="preserve">more epidemiological research on the health effects </w:t>
      </w:r>
      <w:r w:rsidR="00E60484" w:rsidRPr="005553DF">
        <w:rPr>
          <w:rFonts w:asciiTheme="minorHAnsi" w:hAnsiTheme="minorHAnsi" w:cstheme="minorHAnsi"/>
        </w:rPr>
        <w:t xml:space="preserve">of </w:t>
      </w:r>
      <w:r w:rsidR="00A33E81" w:rsidRPr="005553DF">
        <w:rPr>
          <w:rFonts w:asciiTheme="minorHAnsi" w:hAnsiTheme="minorHAnsi" w:cstheme="minorHAnsi"/>
        </w:rPr>
        <w:t xml:space="preserve">PFAS exposures.  </w:t>
      </w:r>
      <w:r w:rsidR="008D4E98" w:rsidRPr="005553DF">
        <w:rPr>
          <w:rFonts w:asciiTheme="minorHAnsi" w:hAnsiTheme="minorHAnsi" w:cstheme="minorHAnsi"/>
        </w:rPr>
        <w:t>E</w:t>
      </w:r>
      <w:r w:rsidR="00A33E81" w:rsidRPr="005553DF">
        <w:rPr>
          <w:rFonts w:asciiTheme="minorHAnsi" w:hAnsiTheme="minorHAnsi" w:cstheme="minorHAnsi"/>
        </w:rPr>
        <w:t>xcept for the C8 studies, there is scant information on the health effects of exposures to PFAS-contaminated drinking water.</w:t>
      </w:r>
    </w:p>
    <w:p w14:paraId="102A4131" w14:textId="77777777" w:rsidR="004B7B93" w:rsidRPr="005553DF" w:rsidRDefault="001F5E4B" w:rsidP="005553DF">
      <w:pPr>
        <w:pStyle w:val="Heading3"/>
        <w:spacing w:before="0" w:after="240" w:line="360" w:lineRule="auto"/>
        <w:rPr>
          <w:rFonts w:asciiTheme="minorHAnsi" w:hAnsiTheme="minorHAnsi" w:cstheme="minorHAnsi"/>
          <w:i/>
          <w:color w:val="auto"/>
        </w:rPr>
      </w:pPr>
      <w:bookmarkStart w:id="5" w:name="_Toc532224132"/>
      <w:r w:rsidRPr="005553DF">
        <w:rPr>
          <w:rFonts w:asciiTheme="minorHAnsi" w:hAnsiTheme="minorHAnsi" w:cstheme="minorHAnsi"/>
          <w:i/>
          <w:color w:val="auto"/>
        </w:rPr>
        <w:t>1.1.2 Pease Site History</w:t>
      </w:r>
      <w:bookmarkEnd w:id="5"/>
    </w:p>
    <w:p w14:paraId="4013B9CF" w14:textId="77790CC5" w:rsidR="004B7B93" w:rsidRPr="005553DF" w:rsidRDefault="004B7B93"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PF</w:t>
      </w:r>
      <w:r w:rsidR="00C648FF">
        <w:rPr>
          <w:rFonts w:asciiTheme="minorHAnsi" w:hAnsiTheme="minorHAnsi" w:cstheme="minorHAnsi"/>
        </w:rPr>
        <w:t xml:space="preserve">OS, PFOA, PFHxS and other PFAS </w:t>
      </w:r>
      <w:r w:rsidRPr="005553DF">
        <w:rPr>
          <w:rFonts w:asciiTheme="minorHAnsi" w:hAnsiTheme="minorHAnsi" w:cstheme="minorHAnsi"/>
        </w:rPr>
        <w:t xml:space="preserve">are constituents in aqueous film-forming foam (AFFF), used to extinguish flammable liquid fires.  Since the 1970s, military bases in the U.S. have used AFFF with PFAS constituents for firefighting training as well as to extinguish fires.  At some military bases, </w:t>
      </w:r>
      <w:r w:rsidR="00BA5697" w:rsidRPr="005553DF">
        <w:rPr>
          <w:rFonts w:asciiTheme="minorHAnsi" w:hAnsiTheme="minorHAnsi" w:cstheme="minorHAnsi"/>
        </w:rPr>
        <w:t xml:space="preserve">such as the Pease Air Force Base in Portsmouth, NH, </w:t>
      </w:r>
      <w:r w:rsidRPr="005553DF">
        <w:rPr>
          <w:rFonts w:asciiTheme="minorHAnsi" w:hAnsiTheme="minorHAnsi" w:cstheme="minorHAnsi"/>
        </w:rPr>
        <w:t>AFFF use has resulted in the migration of PFAS chemicals through soils to ground water and/or surface water sources of drinking water for the base and/or surrounding communities</w:t>
      </w:r>
      <w:r w:rsidR="00BA5697" w:rsidRPr="005553DF">
        <w:rPr>
          <w:rFonts w:asciiTheme="minorHAnsi" w:hAnsiTheme="minorHAnsi" w:cstheme="minorHAnsi"/>
        </w:rPr>
        <w:t xml:space="preserve"> (</w:t>
      </w:r>
      <w:r w:rsidR="00CF6472" w:rsidRPr="005553DF">
        <w:rPr>
          <w:rFonts w:asciiTheme="minorHAnsi" w:hAnsiTheme="minorHAnsi" w:cstheme="minorHAnsi"/>
        </w:rPr>
        <w:t>ATSDR 2017a</w:t>
      </w:r>
      <w:r w:rsidR="00BA5697" w:rsidRPr="005553DF">
        <w:rPr>
          <w:rFonts w:asciiTheme="minorHAnsi" w:hAnsiTheme="minorHAnsi" w:cstheme="minorHAnsi"/>
        </w:rPr>
        <w:t>)</w:t>
      </w:r>
      <w:r w:rsidRPr="005553DF">
        <w:rPr>
          <w:rFonts w:asciiTheme="minorHAnsi" w:hAnsiTheme="minorHAnsi" w:cstheme="minorHAnsi"/>
        </w:rPr>
        <w:t xml:space="preserve">.  </w:t>
      </w:r>
      <w:r w:rsidR="00BA5697" w:rsidRPr="005553DF">
        <w:rPr>
          <w:rFonts w:asciiTheme="minorHAnsi" w:hAnsiTheme="minorHAnsi" w:cstheme="minorHAnsi"/>
        </w:rPr>
        <w:t>After the base closed in 1991, the</w:t>
      </w:r>
      <w:r w:rsidR="009A60DF" w:rsidRPr="005553DF">
        <w:rPr>
          <w:rFonts w:asciiTheme="minorHAnsi" w:hAnsiTheme="minorHAnsi" w:cstheme="minorHAnsi"/>
        </w:rPr>
        <w:t xml:space="preserve"> three on-base supply wells</w:t>
      </w:r>
      <w:r w:rsidR="00BA5697" w:rsidRPr="005553DF">
        <w:rPr>
          <w:rFonts w:asciiTheme="minorHAnsi" w:hAnsiTheme="minorHAnsi" w:cstheme="minorHAnsi"/>
        </w:rPr>
        <w:t xml:space="preserve"> served the Pease International Tradeport (“Pease”), a business and aviation industrial park</w:t>
      </w:r>
      <w:r w:rsidR="009A60DF" w:rsidRPr="005553DF">
        <w:rPr>
          <w:rFonts w:asciiTheme="minorHAnsi" w:hAnsiTheme="minorHAnsi" w:cstheme="minorHAnsi"/>
        </w:rPr>
        <w:t>,</w:t>
      </w:r>
      <w:r w:rsidR="00BA5697" w:rsidRPr="005553DF">
        <w:rPr>
          <w:rFonts w:asciiTheme="minorHAnsi" w:hAnsiTheme="minorHAnsi" w:cstheme="minorHAnsi"/>
        </w:rPr>
        <w:t xml:space="preserve"> </w:t>
      </w:r>
      <w:r w:rsidR="00CF6472" w:rsidRPr="005553DF">
        <w:rPr>
          <w:rFonts w:asciiTheme="minorHAnsi" w:hAnsiTheme="minorHAnsi" w:cstheme="minorHAnsi"/>
        </w:rPr>
        <w:t xml:space="preserve">with water </w:t>
      </w:r>
      <w:r w:rsidR="00507145" w:rsidRPr="005553DF">
        <w:rPr>
          <w:rFonts w:asciiTheme="minorHAnsi" w:hAnsiTheme="minorHAnsi" w:cstheme="minorHAnsi"/>
        </w:rPr>
        <w:t xml:space="preserve">in one supply well </w:t>
      </w:r>
      <w:r w:rsidR="00CF6472" w:rsidRPr="005553DF">
        <w:rPr>
          <w:rFonts w:asciiTheme="minorHAnsi" w:hAnsiTheme="minorHAnsi" w:cstheme="minorHAnsi"/>
        </w:rPr>
        <w:t>contaminated with PFAS at concentrations</w:t>
      </w:r>
      <w:r w:rsidR="00507145" w:rsidRPr="005553DF">
        <w:rPr>
          <w:rFonts w:asciiTheme="minorHAnsi" w:hAnsiTheme="minorHAnsi" w:cstheme="minorHAnsi"/>
        </w:rPr>
        <w:t xml:space="preserve"> measured in 2014</w:t>
      </w:r>
      <w:r w:rsidR="00061ECF" w:rsidRPr="005553DF">
        <w:rPr>
          <w:rFonts w:asciiTheme="minorHAnsi" w:hAnsiTheme="minorHAnsi" w:cstheme="minorHAnsi"/>
        </w:rPr>
        <w:t xml:space="preserve"> as high as 2.4</w:t>
      </w:r>
      <w:r w:rsidR="00723BF8" w:rsidRPr="005553DF">
        <w:rPr>
          <w:rFonts w:asciiTheme="minorHAnsi" w:hAnsiTheme="minorHAnsi" w:cstheme="minorHAnsi"/>
        </w:rPr>
        <w:t xml:space="preserve"> µg/L</w:t>
      </w:r>
      <w:r w:rsidR="00CF6472" w:rsidRPr="005553DF">
        <w:rPr>
          <w:rFonts w:asciiTheme="minorHAnsi" w:hAnsiTheme="minorHAnsi" w:cstheme="minorHAnsi"/>
        </w:rPr>
        <w:t xml:space="preserve"> </w:t>
      </w:r>
      <w:r w:rsidR="00061ECF" w:rsidRPr="005553DF">
        <w:rPr>
          <w:rFonts w:asciiTheme="minorHAnsi" w:hAnsiTheme="minorHAnsi" w:cstheme="minorHAnsi"/>
        </w:rPr>
        <w:t>for PFOS and 0.35</w:t>
      </w:r>
      <w:r w:rsidR="00723BF8" w:rsidRPr="005553DF">
        <w:rPr>
          <w:rFonts w:asciiTheme="minorHAnsi" w:hAnsiTheme="minorHAnsi" w:cstheme="minorHAnsi"/>
        </w:rPr>
        <w:t xml:space="preserve"> µg/L for </w:t>
      </w:r>
      <w:r w:rsidR="00F8723C" w:rsidRPr="005553DF">
        <w:rPr>
          <w:rFonts w:asciiTheme="minorHAnsi" w:hAnsiTheme="minorHAnsi" w:cstheme="minorHAnsi"/>
        </w:rPr>
        <w:t>PFOA</w:t>
      </w:r>
      <w:r w:rsidR="00507145" w:rsidRPr="005553DF">
        <w:rPr>
          <w:rFonts w:asciiTheme="minorHAnsi" w:hAnsiTheme="minorHAnsi" w:cstheme="minorHAnsi"/>
        </w:rPr>
        <w:t>, which were</w:t>
      </w:r>
      <w:r w:rsidR="00723BF8" w:rsidRPr="005553DF">
        <w:rPr>
          <w:rFonts w:asciiTheme="minorHAnsi" w:hAnsiTheme="minorHAnsi" w:cstheme="minorHAnsi"/>
        </w:rPr>
        <w:t xml:space="preserve"> </w:t>
      </w:r>
      <w:r w:rsidR="00CF6472" w:rsidRPr="005553DF">
        <w:rPr>
          <w:rFonts w:asciiTheme="minorHAnsi" w:hAnsiTheme="minorHAnsi" w:cstheme="minorHAnsi"/>
        </w:rPr>
        <w:t>above the EPA advis</w:t>
      </w:r>
      <w:r w:rsidR="00731369" w:rsidRPr="005553DF">
        <w:rPr>
          <w:rFonts w:asciiTheme="minorHAnsi" w:hAnsiTheme="minorHAnsi" w:cstheme="minorHAnsi"/>
        </w:rPr>
        <w:t xml:space="preserve">ory levels </w:t>
      </w:r>
      <w:r w:rsidR="00BA5697" w:rsidRPr="005553DF">
        <w:rPr>
          <w:rFonts w:asciiTheme="minorHAnsi" w:hAnsiTheme="minorHAnsi" w:cstheme="minorHAnsi"/>
        </w:rPr>
        <w:t>(</w:t>
      </w:r>
      <w:r w:rsidR="00CF6472" w:rsidRPr="005553DF">
        <w:rPr>
          <w:rFonts w:asciiTheme="minorHAnsi" w:hAnsiTheme="minorHAnsi" w:cstheme="minorHAnsi"/>
        </w:rPr>
        <w:t>NH DHHS 2016</w:t>
      </w:r>
      <w:r w:rsidR="00BA5697" w:rsidRPr="005553DF">
        <w:rPr>
          <w:rFonts w:asciiTheme="minorHAnsi" w:hAnsiTheme="minorHAnsi" w:cstheme="minorHAnsi"/>
        </w:rPr>
        <w:t xml:space="preserve">).  </w:t>
      </w:r>
      <w:r w:rsidR="00B031CA" w:rsidRPr="005553DF">
        <w:rPr>
          <w:rFonts w:asciiTheme="minorHAnsi" w:hAnsiTheme="minorHAnsi" w:cstheme="minorHAnsi"/>
        </w:rPr>
        <w:t>In 2009, t</w:t>
      </w:r>
      <w:r w:rsidRPr="005553DF">
        <w:rPr>
          <w:rFonts w:asciiTheme="minorHAnsi" w:hAnsiTheme="minorHAnsi" w:cstheme="minorHAnsi"/>
        </w:rPr>
        <w:t xml:space="preserve">he US EPA </w:t>
      </w:r>
      <w:r w:rsidR="00B031CA" w:rsidRPr="005553DF">
        <w:rPr>
          <w:rFonts w:asciiTheme="minorHAnsi" w:hAnsiTheme="minorHAnsi" w:cstheme="minorHAnsi"/>
        </w:rPr>
        <w:t>established provisional dri</w:t>
      </w:r>
      <w:r w:rsidRPr="005553DF">
        <w:rPr>
          <w:rFonts w:asciiTheme="minorHAnsi" w:hAnsiTheme="minorHAnsi" w:cstheme="minorHAnsi"/>
        </w:rPr>
        <w:t xml:space="preserve">nking water health advisory levels for </w:t>
      </w:r>
      <w:r w:rsidR="00B031CA" w:rsidRPr="005553DF">
        <w:rPr>
          <w:rFonts w:asciiTheme="minorHAnsi" w:hAnsiTheme="minorHAnsi" w:cstheme="minorHAnsi"/>
        </w:rPr>
        <w:t>PFOS and PFOA of 0</w:t>
      </w:r>
      <w:r w:rsidRPr="005553DF">
        <w:rPr>
          <w:rFonts w:asciiTheme="minorHAnsi" w:hAnsiTheme="minorHAnsi" w:cstheme="minorHAnsi"/>
        </w:rPr>
        <w:t xml:space="preserve">.2 µg/L </w:t>
      </w:r>
      <w:r w:rsidR="00FB3706" w:rsidRPr="005553DF">
        <w:rPr>
          <w:rFonts w:asciiTheme="minorHAnsi" w:hAnsiTheme="minorHAnsi" w:cstheme="minorHAnsi"/>
        </w:rPr>
        <w:t xml:space="preserve">and </w:t>
      </w:r>
      <w:r w:rsidR="00B031CA" w:rsidRPr="005553DF">
        <w:rPr>
          <w:rFonts w:asciiTheme="minorHAnsi" w:hAnsiTheme="minorHAnsi" w:cstheme="minorHAnsi"/>
        </w:rPr>
        <w:t>0.4 µg/L</w:t>
      </w:r>
      <w:r w:rsidR="00FB3706" w:rsidRPr="005553DF">
        <w:rPr>
          <w:rFonts w:asciiTheme="minorHAnsi" w:hAnsiTheme="minorHAnsi" w:cstheme="minorHAnsi"/>
        </w:rPr>
        <w:t>, respectively, and i</w:t>
      </w:r>
      <w:r w:rsidR="00B031CA" w:rsidRPr="005553DF">
        <w:rPr>
          <w:rFonts w:asciiTheme="minorHAnsi" w:hAnsiTheme="minorHAnsi" w:cstheme="minorHAnsi"/>
        </w:rPr>
        <w:t xml:space="preserve">n 2016, EPA established a new lifetime health advisory for </w:t>
      </w:r>
      <w:r w:rsidR="00FB3706" w:rsidRPr="005553DF">
        <w:rPr>
          <w:rFonts w:asciiTheme="minorHAnsi" w:hAnsiTheme="minorHAnsi" w:cstheme="minorHAnsi"/>
        </w:rPr>
        <w:t xml:space="preserve">the total </w:t>
      </w:r>
      <w:r w:rsidRPr="005553DF">
        <w:rPr>
          <w:rFonts w:asciiTheme="minorHAnsi" w:hAnsiTheme="minorHAnsi" w:cstheme="minorHAnsi"/>
        </w:rPr>
        <w:t>PFOA and PFOS combined</w:t>
      </w:r>
      <w:r w:rsidR="00B031CA" w:rsidRPr="005553DF">
        <w:rPr>
          <w:rFonts w:asciiTheme="minorHAnsi" w:hAnsiTheme="minorHAnsi" w:cstheme="minorHAnsi"/>
        </w:rPr>
        <w:t xml:space="preserve"> of </w:t>
      </w:r>
      <w:r w:rsidRPr="005553DF">
        <w:rPr>
          <w:rFonts w:asciiTheme="minorHAnsi" w:hAnsiTheme="minorHAnsi" w:cstheme="minorHAnsi"/>
        </w:rPr>
        <w:t xml:space="preserve">0.07 µg/L (US EPA 2009, 2016). </w:t>
      </w:r>
    </w:p>
    <w:p w14:paraId="4FCC1F34" w14:textId="77777777" w:rsidR="00F20978" w:rsidRPr="005553DF" w:rsidRDefault="00F20978"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In 2015, the New Hampshire Department of Health and Human Services (NH DHHS) initiated the Pe</w:t>
      </w:r>
      <w:r w:rsidR="009E08DE" w:rsidRPr="005553DF">
        <w:rPr>
          <w:rFonts w:asciiTheme="minorHAnsi" w:hAnsiTheme="minorHAnsi" w:cstheme="minorHAnsi"/>
        </w:rPr>
        <w:t>ase biomonitoring p</w:t>
      </w:r>
      <w:r w:rsidR="00C36376" w:rsidRPr="005553DF">
        <w:rPr>
          <w:rFonts w:asciiTheme="minorHAnsi" w:hAnsiTheme="minorHAnsi" w:cstheme="minorHAnsi"/>
        </w:rPr>
        <w:t>rogram in re</w:t>
      </w:r>
      <w:r w:rsidRPr="005553DF">
        <w:rPr>
          <w:rFonts w:asciiTheme="minorHAnsi" w:hAnsiTheme="minorHAnsi" w:cstheme="minorHAnsi"/>
        </w:rPr>
        <w:t>sponse to the affected community members’ request for clinical testing following</w:t>
      </w:r>
      <w:r w:rsidR="00C36376" w:rsidRPr="005553DF">
        <w:rPr>
          <w:rFonts w:asciiTheme="minorHAnsi" w:hAnsiTheme="minorHAnsi" w:cstheme="minorHAnsi"/>
        </w:rPr>
        <w:t xml:space="preserve"> </w:t>
      </w:r>
      <w:r w:rsidR="006D48E4" w:rsidRPr="005553DF">
        <w:rPr>
          <w:rFonts w:asciiTheme="minorHAnsi" w:hAnsiTheme="minorHAnsi" w:cstheme="minorHAnsi"/>
        </w:rPr>
        <w:t>their consumption of PFAS-contaminated water.</w:t>
      </w:r>
      <w:r w:rsidR="00D17DDA" w:rsidRPr="005553DF">
        <w:rPr>
          <w:rFonts w:asciiTheme="minorHAnsi" w:hAnsiTheme="minorHAnsi" w:cstheme="minorHAnsi"/>
        </w:rPr>
        <w:t xml:space="preserve"> This program established a design framework </w:t>
      </w:r>
      <w:r w:rsidR="00A71299" w:rsidRPr="005553DF">
        <w:rPr>
          <w:rFonts w:asciiTheme="minorHAnsi" w:hAnsiTheme="minorHAnsi" w:cstheme="minorHAnsi"/>
        </w:rPr>
        <w:t xml:space="preserve">which was adopted </w:t>
      </w:r>
      <w:r w:rsidR="00F73CA5" w:rsidRPr="005553DF">
        <w:rPr>
          <w:rFonts w:asciiTheme="minorHAnsi" w:hAnsiTheme="minorHAnsi" w:cstheme="minorHAnsi"/>
        </w:rPr>
        <w:t xml:space="preserve">by ATSDR </w:t>
      </w:r>
      <w:r w:rsidR="00D17DDA" w:rsidRPr="005553DF">
        <w:rPr>
          <w:rFonts w:asciiTheme="minorHAnsi" w:hAnsiTheme="minorHAnsi" w:cstheme="minorHAnsi"/>
        </w:rPr>
        <w:t>for this current study</w:t>
      </w:r>
      <w:r w:rsidR="00162378" w:rsidRPr="005553DF">
        <w:rPr>
          <w:rFonts w:asciiTheme="minorHAnsi" w:hAnsiTheme="minorHAnsi" w:cstheme="minorHAnsi"/>
        </w:rPr>
        <w:t xml:space="preserve"> (NH DHHS 2016).</w:t>
      </w:r>
    </w:p>
    <w:p w14:paraId="64D5E208" w14:textId="77777777" w:rsidR="00010916" w:rsidRPr="005553DF" w:rsidRDefault="007B37A0" w:rsidP="005553DF">
      <w:pPr>
        <w:pStyle w:val="Heading3"/>
        <w:spacing w:before="0" w:after="240" w:line="360" w:lineRule="auto"/>
        <w:rPr>
          <w:rFonts w:asciiTheme="minorHAnsi" w:hAnsiTheme="minorHAnsi" w:cstheme="minorHAnsi"/>
          <w:i/>
          <w:color w:val="auto"/>
        </w:rPr>
      </w:pPr>
      <w:bookmarkStart w:id="6" w:name="_Toc532224133"/>
      <w:r w:rsidRPr="005553DF">
        <w:rPr>
          <w:rFonts w:asciiTheme="minorHAnsi" w:hAnsiTheme="minorHAnsi" w:cstheme="minorHAnsi"/>
          <w:i/>
          <w:color w:val="auto"/>
        </w:rPr>
        <w:t>1.1.3</w:t>
      </w:r>
      <w:r w:rsidR="00D33D27" w:rsidRPr="005553DF">
        <w:rPr>
          <w:rFonts w:asciiTheme="minorHAnsi" w:hAnsiTheme="minorHAnsi" w:cstheme="minorHAnsi"/>
          <w:i/>
          <w:color w:val="auto"/>
        </w:rPr>
        <w:t xml:space="preserve"> </w:t>
      </w:r>
      <w:r w:rsidR="00B93104" w:rsidRPr="005553DF">
        <w:rPr>
          <w:rFonts w:asciiTheme="minorHAnsi" w:hAnsiTheme="minorHAnsi" w:cstheme="minorHAnsi"/>
          <w:i/>
          <w:color w:val="auto"/>
        </w:rPr>
        <w:t xml:space="preserve">Health Study </w:t>
      </w:r>
      <w:r w:rsidR="00010916" w:rsidRPr="005553DF">
        <w:rPr>
          <w:rFonts w:asciiTheme="minorHAnsi" w:hAnsiTheme="minorHAnsi" w:cstheme="minorHAnsi"/>
          <w:i/>
          <w:color w:val="auto"/>
        </w:rPr>
        <w:t>Feasibility Assessment</w:t>
      </w:r>
      <w:bookmarkEnd w:id="6"/>
    </w:p>
    <w:p w14:paraId="7C4D4C6E" w14:textId="5387B157" w:rsidR="004B7B93" w:rsidRPr="005553DF" w:rsidRDefault="00D55BB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In 2017, </w:t>
      </w:r>
      <w:r w:rsidR="004B7B93" w:rsidRPr="005553DF">
        <w:rPr>
          <w:rFonts w:asciiTheme="minorHAnsi" w:hAnsiTheme="minorHAnsi" w:cstheme="minorHAnsi"/>
        </w:rPr>
        <w:t xml:space="preserve">ATSDR published a feasibility assessment of possible future drinking water epidemiological studies </w:t>
      </w:r>
      <w:r w:rsidR="00BA5697" w:rsidRPr="005553DF">
        <w:rPr>
          <w:rFonts w:asciiTheme="minorHAnsi" w:hAnsiTheme="minorHAnsi" w:cstheme="minorHAnsi"/>
        </w:rPr>
        <w:t xml:space="preserve">at Pease </w:t>
      </w:r>
      <w:r w:rsidR="004B7B93" w:rsidRPr="005553DF">
        <w:rPr>
          <w:rFonts w:asciiTheme="minorHAnsi" w:hAnsiTheme="minorHAnsi" w:cstheme="minorHAnsi"/>
        </w:rPr>
        <w:t>(ATSDR 2017</w:t>
      </w:r>
      <w:r w:rsidR="00CF6472" w:rsidRPr="005553DF">
        <w:rPr>
          <w:rFonts w:asciiTheme="minorHAnsi" w:hAnsiTheme="minorHAnsi" w:cstheme="minorHAnsi"/>
        </w:rPr>
        <w:t>a</w:t>
      </w:r>
      <w:r w:rsidR="004B7B93" w:rsidRPr="005553DF">
        <w:rPr>
          <w:rFonts w:asciiTheme="minorHAnsi" w:hAnsiTheme="minorHAnsi" w:cstheme="minorHAnsi"/>
        </w:rPr>
        <w:t xml:space="preserve">). As part of this feasibility assessment, ATSDR reviewed the published epidemiological studies that evaluated the health effects of PFAS exposures and the available information. </w:t>
      </w:r>
      <w:r w:rsidR="00AC745C" w:rsidRPr="005553DF">
        <w:rPr>
          <w:rFonts w:asciiTheme="minorHAnsi" w:hAnsiTheme="minorHAnsi" w:cstheme="minorHAnsi"/>
        </w:rPr>
        <w:t xml:space="preserve"> Most of the epidemiological studies were cross-sectional in design because cross-sectional studies are especially suitable for evaluating effect biomarker tests such as liver, kidney, immune and thyroid function (Checkoway 2004). </w:t>
      </w:r>
      <w:r w:rsidR="004B7B93" w:rsidRPr="005553DF">
        <w:rPr>
          <w:rFonts w:asciiTheme="minorHAnsi" w:hAnsiTheme="minorHAnsi" w:cstheme="minorHAnsi"/>
        </w:rPr>
        <w:t xml:space="preserve">ATSDR concluded that cross-sectional epidemiological studies of children and adults at one site </w:t>
      </w:r>
      <w:r w:rsidR="00B74B38" w:rsidRPr="005553DF">
        <w:rPr>
          <w:rFonts w:asciiTheme="minorHAnsi" w:hAnsiTheme="minorHAnsi" w:cstheme="minorHAnsi"/>
        </w:rPr>
        <w:t>(</w:t>
      </w:r>
      <w:r w:rsidR="001A53F7" w:rsidRPr="005553DF">
        <w:rPr>
          <w:rFonts w:asciiTheme="minorHAnsi" w:hAnsiTheme="minorHAnsi" w:cstheme="minorHAnsi"/>
        </w:rPr>
        <w:t>e.g.</w:t>
      </w:r>
      <w:r w:rsidR="00B74B38" w:rsidRPr="005553DF">
        <w:rPr>
          <w:rFonts w:asciiTheme="minorHAnsi" w:hAnsiTheme="minorHAnsi" w:cstheme="minorHAnsi"/>
        </w:rPr>
        <w:t xml:space="preserve"> a</w:t>
      </w:r>
      <w:r w:rsidR="0019774E" w:rsidRPr="005553DF">
        <w:rPr>
          <w:rFonts w:asciiTheme="minorHAnsi" w:hAnsiTheme="minorHAnsi" w:cstheme="minorHAnsi"/>
        </w:rPr>
        <w:t xml:space="preserve">t Pease) </w:t>
      </w:r>
      <w:r w:rsidR="004B7B93" w:rsidRPr="005553DF">
        <w:rPr>
          <w:rFonts w:asciiTheme="minorHAnsi" w:hAnsiTheme="minorHAnsi" w:cstheme="minorHAnsi"/>
        </w:rPr>
        <w:t xml:space="preserve">were feasible for some health endpoints (e.g., lipids, kidney function), but the size of populations would be insufficient for other important health endpoints (e.g., thyroid, liver and immune function, autoimmune diseases).  Therefore, the feasibility assessment concluded that a multi-site PFAS study was necessary. </w:t>
      </w:r>
    </w:p>
    <w:p w14:paraId="3C7A1E02" w14:textId="77777777" w:rsidR="004A6766" w:rsidRPr="005553DF" w:rsidRDefault="0019774E"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For the multi-site study, t</w:t>
      </w:r>
      <w:r w:rsidR="004A6766" w:rsidRPr="005553DF">
        <w:rPr>
          <w:rFonts w:asciiTheme="minorHAnsi" w:hAnsiTheme="minorHAnsi" w:cstheme="minorHAnsi"/>
        </w:rPr>
        <w:t>he studies</w:t>
      </w:r>
      <w:r w:rsidRPr="005553DF">
        <w:rPr>
          <w:rFonts w:asciiTheme="minorHAnsi" w:hAnsiTheme="minorHAnsi" w:cstheme="minorHAnsi"/>
        </w:rPr>
        <w:t xml:space="preserve"> at different sites</w:t>
      </w:r>
      <w:r w:rsidR="004A6766" w:rsidRPr="005553DF">
        <w:rPr>
          <w:rFonts w:asciiTheme="minorHAnsi" w:hAnsiTheme="minorHAnsi" w:cstheme="minorHAnsi"/>
        </w:rPr>
        <w:t xml:space="preserve"> will be cross-sectional and involve separate evaluations of children (ages 4-17) and adults (ages ≥18).  The children and adult studies will evaluate multiple communities impacted by PFAS-contaminated public drinking water supply wells and/or private wells. The c</w:t>
      </w:r>
      <w:r w:rsidR="00CF6472" w:rsidRPr="005553DF">
        <w:rPr>
          <w:rFonts w:asciiTheme="minorHAnsi" w:hAnsiTheme="minorHAnsi" w:cstheme="minorHAnsi"/>
        </w:rPr>
        <w:t>riteria for selecting</w:t>
      </w:r>
      <w:r w:rsidR="004A6766" w:rsidRPr="005553DF">
        <w:rPr>
          <w:rFonts w:asciiTheme="minorHAnsi" w:hAnsiTheme="minorHAnsi" w:cstheme="minorHAnsi"/>
        </w:rPr>
        <w:t xml:space="preserve"> study sites include:</w:t>
      </w:r>
    </w:p>
    <w:p w14:paraId="33DE0AEB" w14:textId="7D0862B0" w:rsidR="004A6766" w:rsidRPr="005553DF" w:rsidRDefault="004A6766" w:rsidP="005553DF">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1.</w:t>
      </w:r>
      <w:r w:rsidRPr="005553DF">
        <w:rPr>
          <w:rFonts w:asciiTheme="minorHAnsi" w:hAnsiTheme="minorHAnsi" w:cstheme="minorHAnsi"/>
        </w:rPr>
        <w:tab/>
        <w:t xml:space="preserve">Documented past or present PFAS drinking water concentrations at the tap above the current EPA Lifetime Health Advisory for PFOS + PFOA (i.e., </w:t>
      </w:r>
      <w:r w:rsidR="00E375D5" w:rsidRPr="00A3682F">
        <w:rPr>
          <w:rFonts w:asciiTheme="minorHAnsi" w:hAnsiTheme="minorHAnsi" w:cstheme="minorHAnsi"/>
        </w:rPr>
        <w:t xml:space="preserve">70 </w:t>
      </w:r>
      <w:r w:rsidR="00E375D5">
        <w:rPr>
          <w:rFonts w:asciiTheme="minorHAnsi" w:hAnsiTheme="minorHAnsi" w:cstheme="minorHAnsi"/>
        </w:rPr>
        <w:t xml:space="preserve">µg/L or 70 </w:t>
      </w:r>
      <w:r w:rsidR="00E375D5" w:rsidRPr="00A3682F">
        <w:rPr>
          <w:rFonts w:asciiTheme="minorHAnsi" w:hAnsiTheme="minorHAnsi" w:cstheme="minorHAnsi"/>
        </w:rPr>
        <w:t>parts per trillion</w:t>
      </w:r>
      <w:r w:rsidR="00E375D5">
        <w:rPr>
          <w:rFonts w:asciiTheme="minorHAnsi" w:hAnsiTheme="minorHAnsi" w:cstheme="minorHAnsi"/>
        </w:rPr>
        <w:t xml:space="preserve"> [ppt])</w:t>
      </w:r>
      <w:r w:rsidRPr="005553DF">
        <w:rPr>
          <w:rFonts w:asciiTheme="minorHAnsi" w:hAnsiTheme="minorHAnsi" w:cstheme="minorHAnsi"/>
        </w:rPr>
        <w:t xml:space="preserve">, or PFAS serum biomonitoring results indicating levels above NHANES serum levels for </w:t>
      </w:r>
      <w:r w:rsidR="00E375D5">
        <w:rPr>
          <w:rFonts w:asciiTheme="minorHAnsi" w:hAnsiTheme="minorHAnsi" w:cstheme="minorHAnsi"/>
        </w:rPr>
        <w:t xml:space="preserve">PFOA, </w:t>
      </w:r>
      <w:r w:rsidRPr="005553DF">
        <w:rPr>
          <w:rFonts w:asciiTheme="minorHAnsi" w:hAnsiTheme="minorHAnsi" w:cstheme="minorHAnsi"/>
        </w:rPr>
        <w:t xml:space="preserve">PFOS and/or PFHxS, </w:t>
      </w:r>
    </w:p>
    <w:p w14:paraId="6855AB31" w14:textId="77777777" w:rsidR="004A6766" w:rsidRPr="005553DF" w:rsidRDefault="004A6766" w:rsidP="005553DF">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2.</w:t>
      </w:r>
      <w:r w:rsidRPr="005553DF">
        <w:rPr>
          <w:rFonts w:asciiTheme="minorHAnsi" w:hAnsiTheme="minorHAnsi" w:cstheme="minorHAnsi"/>
        </w:rPr>
        <w:tab/>
        <w:t xml:space="preserve">Size of the population exposed, </w:t>
      </w:r>
    </w:p>
    <w:p w14:paraId="39955E21" w14:textId="77777777" w:rsidR="004A6766" w:rsidRPr="005553DF" w:rsidRDefault="004A6766" w:rsidP="005553DF">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3.</w:t>
      </w:r>
      <w:r w:rsidRPr="005553DF">
        <w:rPr>
          <w:rFonts w:asciiTheme="minorHAnsi" w:hAnsiTheme="minorHAnsi" w:cstheme="minorHAnsi"/>
        </w:rPr>
        <w:tab/>
        <w:t>Amount of information available on the contaminated drinking water system or private wells, and</w:t>
      </w:r>
    </w:p>
    <w:p w14:paraId="3248DDF9" w14:textId="77777777" w:rsidR="004A6766" w:rsidRPr="005553DF" w:rsidRDefault="004A6766" w:rsidP="005553DF">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4.</w:t>
      </w:r>
      <w:r w:rsidRPr="005553DF">
        <w:rPr>
          <w:rFonts w:asciiTheme="minorHAnsi" w:hAnsiTheme="minorHAnsi" w:cstheme="minorHAnsi"/>
        </w:rPr>
        <w:tab/>
        <w:t xml:space="preserve">If biomonitoring for PFAS has previously occurred at the site.  </w:t>
      </w:r>
    </w:p>
    <w:p w14:paraId="307865F6" w14:textId="77777777" w:rsidR="00F16CD2" w:rsidRPr="005553DF" w:rsidRDefault="00F16CD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 overall goal will be to recruit at least 2,000 children and 6,000 adults for</w:t>
      </w:r>
      <w:r w:rsidR="00FB3706" w:rsidRPr="005553DF">
        <w:rPr>
          <w:rFonts w:asciiTheme="minorHAnsi" w:hAnsiTheme="minorHAnsi" w:cstheme="minorHAnsi"/>
        </w:rPr>
        <w:t xml:space="preserve"> the</w:t>
      </w:r>
      <w:r w:rsidRPr="005553DF">
        <w:rPr>
          <w:rFonts w:asciiTheme="minorHAnsi" w:hAnsiTheme="minorHAnsi" w:cstheme="minorHAnsi"/>
        </w:rPr>
        <w:t xml:space="preserve"> multi-site study from the sites exposed to PFAS-contaminated drinking water. </w:t>
      </w:r>
      <w:r w:rsidR="009574E7" w:rsidRPr="005553DF">
        <w:rPr>
          <w:rFonts w:asciiTheme="minorHAnsi" w:hAnsiTheme="minorHAnsi" w:cstheme="minorHAnsi"/>
        </w:rPr>
        <w:t>The</w:t>
      </w:r>
      <w:r w:rsidR="00FB3706" w:rsidRPr="005553DF">
        <w:rPr>
          <w:rFonts w:asciiTheme="minorHAnsi" w:hAnsiTheme="minorHAnsi" w:cstheme="minorHAnsi"/>
        </w:rPr>
        <w:t>,</w:t>
      </w:r>
      <w:r w:rsidRPr="005553DF">
        <w:rPr>
          <w:rFonts w:asciiTheme="minorHAnsi" w:hAnsiTheme="minorHAnsi" w:cstheme="minorHAnsi"/>
        </w:rPr>
        <w:t xml:space="preserve"> participants will be categorized based on the measured</w:t>
      </w:r>
      <w:r w:rsidR="00FB3706" w:rsidRPr="005553DF">
        <w:rPr>
          <w:rFonts w:asciiTheme="minorHAnsi" w:hAnsiTheme="minorHAnsi" w:cstheme="minorHAnsi"/>
        </w:rPr>
        <w:t xml:space="preserve"> serum</w:t>
      </w:r>
      <w:r w:rsidRPr="005553DF">
        <w:rPr>
          <w:rFonts w:asciiTheme="minorHAnsi" w:hAnsiTheme="minorHAnsi" w:cstheme="minorHAnsi"/>
        </w:rPr>
        <w:t xml:space="preserve"> concentration of PFAS compounds or on modeled estimated historical </w:t>
      </w:r>
      <w:r w:rsidR="00FB3706" w:rsidRPr="005553DF">
        <w:rPr>
          <w:rFonts w:asciiTheme="minorHAnsi" w:hAnsiTheme="minorHAnsi" w:cstheme="minorHAnsi"/>
        </w:rPr>
        <w:t xml:space="preserve">serum </w:t>
      </w:r>
      <w:r w:rsidRPr="005553DF">
        <w:rPr>
          <w:rFonts w:asciiTheme="minorHAnsi" w:hAnsiTheme="minorHAnsi" w:cstheme="minorHAnsi"/>
        </w:rPr>
        <w:t>levels (e.</w:t>
      </w:r>
      <w:r w:rsidR="00FB3706" w:rsidRPr="005553DF">
        <w:rPr>
          <w:rFonts w:asciiTheme="minorHAnsi" w:hAnsiTheme="minorHAnsi" w:cstheme="minorHAnsi"/>
        </w:rPr>
        <w:t>g.,</w:t>
      </w:r>
      <w:r w:rsidRPr="005553DF">
        <w:rPr>
          <w:rFonts w:asciiTheme="minorHAnsi" w:hAnsiTheme="minorHAnsi" w:cstheme="minorHAnsi"/>
        </w:rPr>
        <w:t xml:space="preserve"> referent or low, medium, high).</w:t>
      </w:r>
      <w:r w:rsidR="002D6728" w:rsidRPr="005553DF">
        <w:rPr>
          <w:rFonts w:asciiTheme="minorHAnsi" w:hAnsiTheme="minorHAnsi" w:cstheme="minorHAnsi"/>
        </w:rPr>
        <w:t xml:space="preserve"> At sites with preceding biomonitoring such as at Pease (NH DHHS 2016), the child and adult studies will evaluate changes in PFAS concentration over time. </w:t>
      </w:r>
      <w:r w:rsidR="00FE7213" w:rsidRPr="005553DF">
        <w:rPr>
          <w:rFonts w:asciiTheme="minorHAnsi" w:hAnsiTheme="minorHAnsi" w:cstheme="minorHAnsi"/>
        </w:rPr>
        <w:t xml:space="preserve">The studies will </w:t>
      </w:r>
      <w:r w:rsidR="002D6728" w:rsidRPr="005553DF">
        <w:rPr>
          <w:rFonts w:asciiTheme="minorHAnsi" w:hAnsiTheme="minorHAnsi" w:cstheme="minorHAnsi"/>
        </w:rPr>
        <w:t xml:space="preserve">reconstruct </w:t>
      </w:r>
      <w:r w:rsidR="00FE7213" w:rsidRPr="005553DF">
        <w:rPr>
          <w:rFonts w:asciiTheme="minorHAnsi" w:hAnsiTheme="minorHAnsi" w:cstheme="minorHAnsi"/>
        </w:rPr>
        <w:t xml:space="preserve">historic </w:t>
      </w:r>
      <w:r w:rsidR="002D6728" w:rsidRPr="005553DF">
        <w:rPr>
          <w:rFonts w:asciiTheme="minorHAnsi" w:hAnsiTheme="minorHAnsi" w:cstheme="minorHAnsi"/>
        </w:rPr>
        <w:t>serum PFAS concentrations by estimating half-lives and elimination rates</w:t>
      </w:r>
      <w:r w:rsidR="00A027DF" w:rsidRPr="005553DF">
        <w:rPr>
          <w:rFonts w:asciiTheme="minorHAnsi" w:hAnsiTheme="minorHAnsi" w:cstheme="minorHAnsi"/>
        </w:rPr>
        <w:t xml:space="preserve"> as well as water contamination modeling</w:t>
      </w:r>
      <w:r w:rsidR="002D6728" w:rsidRPr="005553DF">
        <w:rPr>
          <w:rFonts w:asciiTheme="minorHAnsi" w:hAnsiTheme="minorHAnsi" w:cstheme="minorHAnsi"/>
        </w:rPr>
        <w:t xml:space="preserve"> to inform the </w:t>
      </w:r>
      <w:r w:rsidR="00A027DF" w:rsidRPr="005553DF">
        <w:rPr>
          <w:rFonts w:asciiTheme="minorHAnsi" w:hAnsiTheme="minorHAnsi" w:cstheme="minorHAnsi"/>
        </w:rPr>
        <w:t xml:space="preserve">pharmacokinetic (PK) or </w:t>
      </w:r>
      <w:r w:rsidR="002D6728" w:rsidRPr="005553DF">
        <w:rPr>
          <w:rFonts w:asciiTheme="minorHAnsi" w:hAnsiTheme="minorHAnsi" w:cstheme="minorHAnsi"/>
        </w:rPr>
        <w:t xml:space="preserve">physiologically based pharmacokinetic (PBPK) modeling. Historical serum PFAS reconstruction will enable the evaluation of exposure lags and vulnerable periods as well as statistical analyses that can control for reverse causations (Dhingra 2017). </w:t>
      </w:r>
    </w:p>
    <w:p w14:paraId="15EC534E" w14:textId="77777777" w:rsidR="00A74EF5" w:rsidRPr="005553DF" w:rsidRDefault="006B02FC" w:rsidP="005553DF">
      <w:pPr>
        <w:pStyle w:val="Heading3"/>
        <w:spacing w:before="0" w:after="240" w:line="360" w:lineRule="auto"/>
        <w:rPr>
          <w:rFonts w:asciiTheme="minorHAnsi" w:hAnsiTheme="minorHAnsi" w:cstheme="minorHAnsi"/>
          <w:i/>
          <w:color w:val="auto"/>
          <w:sz w:val="24"/>
          <w:szCs w:val="24"/>
        </w:rPr>
      </w:pPr>
      <w:bookmarkStart w:id="7" w:name="_Toc532224134"/>
      <w:r w:rsidRPr="005553DF">
        <w:rPr>
          <w:rFonts w:asciiTheme="minorHAnsi" w:hAnsiTheme="minorHAnsi" w:cstheme="minorHAnsi"/>
          <w:i/>
          <w:color w:val="auto"/>
          <w:sz w:val="24"/>
          <w:szCs w:val="24"/>
        </w:rPr>
        <w:t>1.1.4</w:t>
      </w:r>
      <w:r w:rsidR="00A74EF5" w:rsidRPr="005553DF">
        <w:rPr>
          <w:rFonts w:asciiTheme="minorHAnsi" w:hAnsiTheme="minorHAnsi" w:cstheme="minorHAnsi"/>
          <w:i/>
          <w:color w:val="auto"/>
          <w:sz w:val="24"/>
          <w:szCs w:val="24"/>
        </w:rPr>
        <w:t xml:space="preserve"> Summary of</w:t>
      </w:r>
      <w:r w:rsidR="004A6766" w:rsidRPr="005553DF">
        <w:rPr>
          <w:rFonts w:asciiTheme="minorHAnsi" w:hAnsiTheme="minorHAnsi"/>
          <w:i/>
        </w:rPr>
        <w:t xml:space="preserve"> </w:t>
      </w:r>
      <w:r w:rsidR="009F4E59" w:rsidRPr="005553DF">
        <w:rPr>
          <w:rFonts w:asciiTheme="minorHAnsi" w:hAnsiTheme="minorHAnsi"/>
          <w:i/>
          <w:color w:val="auto"/>
          <w:sz w:val="24"/>
        </w:rPr>
        <w:t>Pease Study</w:t>
      </w:r>
      <w:r w:rsidR="00A74EF5" w:rsidRPr="005553DF">
        <w:rPr>
          <w:rFonts w:asciiTheme="minorHAnsi" w:hAnsiTheme="minorHAnsi" w:cstheme="minorHAnsi"/>
          <w:i/>
          <w:color w:val="auto"/>
          <w:sz w:val="24"/>
          <w:szCs w:val="24"/>
        </w:rPr>
        <w:t xml:space="preserve"> Goals</w:t>
      </w:r>
      <w:bookmarkEnd w:id="7"/>
    </w:p>
    <w:p w14:paraId="26448F02" w14:textId="4031D887" w:rsidR="0050673B" w:rsidRPr="005553DF" w:rsidRDefault="00B008B3"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rPr>
        <w:t>T</w:t>
      </w:r>
      <w:r w:rsidR="004A6766" w:rsidRPr="005553DF">
        <w:rPr>
          <w:rFonts w:asciiTheme="minorHAnsi" w:hAnsiTheme="minorHAnsi" w:cstheme="minorHAnsi"/>
        </w:rPr>
        <w:t xml:space="preserve">he </w:t>
      </w:r>
      <w:r w:rsidR="005B7CEE" w:rsidRPr="005553DF">
        <w:rPr>
          <w:rFonts w:asciiTheme="minorHAnsi" w:hAnsiTheme="minorHAnsi" w:cstheme="minorHAnsi"/>
        </w:rPr>
        <w:t>research study, titled the “</w:t>
      </w:r>
      <w:r w:rsidR="00BB6DA1" w:rsidRPr="005553DF">
        <w:rPr>
          <w:rFonts w:asciiTheme="minorHAnsi" w:hAnsiTheme="minorHAnsi"/>
          <w:color w:val="000000"/>
        </w:rPr>
        <w:t>Human health effects of drinking water exposures to per- and polyfluoroalkyl s</w:t>
      </w:r>
      <w:r w:rsidR="005B7CEE" w:rsidRPr="005553DF">
        <w:rPr>
          <w:rFonts w:asciiTheme="minorHAnsi" w:hAnsiTheme="minorHAnsi"/>
          <w:color w:val="000000"/>
        </w:rPr>
        <w:t xml:space="preserve">ubstances (PFAS) at Pease International Tradeport, Portsmouth, NH” (hereafter, the </w:t>
      </w:r>
      <w:r w:rsidR="00D20ED1" w:rsidRPr="005553DF">
        <w:rPr>
          <w:rFonts w:asciiTheme="minorHAnsi" w:hAnsiTheme="minorHAnsi"/>
          <w:color w:val="000000"/>
        </w:rPr>
        <w:t>“</w:t>
      </w:r>
      <w:r w:rsidR="005B7CEE" w:rsidRPr="005553DF">
        <w:rPr>
          <w:rFonts w:asciiTheme="minorHAnsi" w:hAnsiTheme="minorHAnsi" w:cstheme="minorHAnsi"/>
        </w:rPr>
        <w:t>P</w:t>
      </w:r>
      <w:r w:rsidR="00395CD7" w:rsidRPr="005553DF">
        <w:rPr>
          <w:rFonts w:asciiTheme="minorHAnsi" w:hAnsiTheme="minorHAnsi" w:cstheme="minorHAnsi"/>
        </w:rPr>
        <w:t>ease</w:t>
      </w:r>
      <w:r w:rsidR="005B7CEE" w:rsidRPr="005553DF">
        <w:rPr>
          <w:rFonts w:asciiTheme="minorHAnsi" w:hAnsiTheme="minorHAnsi" w:cstheme="minorHAnsi"/>
        </w:rPr>
        <w:t xml:space="preserve"> Study</w:t>
      </w:r>
      <w:r w:rsidR="00D20ED1" w:rsidRPr="005553DF">
        <w:rPr>
          <w:rFonts w:asciiTheme="minorHAnsi" w:hAnsiTheme="minorHAnsi" w:cstheme="minorHAnsi"/>
        </w:rPr>
        <w:t>”</w:t>
      </w:r>
      <w:r w:rsidR="005B7CEE" w:rsidRPr="005553DF">
        <w:rPr>
          <w:rFonts w:asciiTheme="minorHAnsi" w:hAnsiTheme="minorHAnsi" w:cstheme="minorHAnsi"/>
        </w:rPr>
        <w:t>),</w:t>
      </w:r>
      <w:r w:rsidR="00395CD7" w:rsidRPr="005553DF">
        <w:rPr>
          <w:rFonts w:asciiTheme="minorHAnsi" w:hAnsiTheme="minorHAnsi" w:cstheme="minorHAnsi"/>
        </w:rPr>
        <w:t xml:space="preserve"> </w:t>
      </w:r>
      <w:r w:rsidR="00123160" w:rsidRPr="005553DF">
        <w:rPr>
          <w:rFonts w:asciiTheme="minorHAnsi" w:hAnsiTheme="minorHAnsi" w:cstheme="minorHAnsi"/>
        </w:rPr>
        <w:t>will be</w:t>
      </w:r>
      <w:r w:rsidR="00BA5697" w:rsidRPr="005553DF">
        <w:rPr>
          <w:rFonts w:asciiTheme="minorHAnsi" w:hAnsiTheme="minorHAnsi" w:cstheme="minorHAnsi"/>
        </w:rPr>
        <w:t xml:space="preserve"> a proof of concept study for the </w:t>
      </w:r>
      <w:r w:rsidR="00BB6DA1" w:rsidRPr="005553DF">
        <w:rPr>
          <w:rFonts w:asciiTheme="minorHAnsi" w:hAnsiTheme="minorHAnsi" w:cstheme="minorHAnsi"/>
        </w:rPr>
        <w:t xml:space="preserve">multi-site health study. </w:t>
      </w:r>
      <w:r w:rsidR="00123160" w:rsidRPr="005553DF">
        <w:rPr>
          <w:rFonts w:asciiTheme="minorHAnsi" w:hAnsiTheme="minorHAnsi" w:cstheme="minorHAnsi"/>
        </w:rPr>
        <w:t xml:space="preserve"> </w:t>
      </w:r>
      <w:r w:rsidR="00BB6DA1" w:rsidRPr="005553DF">
        <w:rPr>
          <w:rFonts w:asciiTheme="minorHAnsi" w:hAnsiTheme="minorHAnsi" w:cstheme="minorHAnsi"/>
        </w:rPr>
        <w:t xml:space="preserve">It </w:t>
      </w:r>
      <w:r w:rsidR="00F16CD2" w:rsidRPr="005553DF">
        <w:rPr>
          <w:rFonts w:asciiTheme="minorHAnsi" w:hAnsiTheme="minorHAnsi" w:cstheme="minorHAnsi"/>
        </w:rPr>
        <w:t xml:space="preserve">will be </w:t>
      </w:r>
      <w:r w:rsidR="00BB6DA1" w:rsidRPr="005553DF">
        <w:rPr>
          <w:rFonts w:asciiTheme="minorHAnsi" w:hAnsiTheme="minorHAnsi" w:cstheme="minorHAnsi"/>
        </w:rPr>
        <w:t xml:space="preserve">a </w:t>
      </w:r>
      <w:r w:rsidR="00123160" w:rsidRPr="005553DF">
        <w:rPr>
          <w:rFonts w:asciiTheme="minorHAnsi" w:hAnsiTheme="minorHAnsi" w:cstheme="minorHAnsi"/>
        </w:rPr>
        <w:t>cross-sectional</w:t>
      </w:r>
      <w:r w:rsidR="00F16CD2" w:rsidRPr="005553DF">
        <w:rPr>
          <w:rFonts w:asciiTheme="minorHAnsi" w:hAnsiTheme="minorHAnsi" w:cstheme="minorHAnsi"/>
        </w:rPr>
        <w:t xml:space="preserve"> study</w:t>
      </w:r>
      <w:r w:rsidR="00395CD7" w:rsidRPr="005553DF">
        <w:rPr>
          <w:rFonts w:asciiTheme="minorHAnsi" w:hAnsiTheme="minorHAnsi" w:cstheme="minorHAnsi"/>
        </w:rPr>
        <w:t xml:space="preserve"> and </w:t>
      </w:r>
      <w:r w:rsidR="00DE7F16" w:rsidRPr="005553DF">
        <w:rPr>
          <w:rFonts w:asciiTheme="minorHAnsi" w:hAnsiTheme="minorHAnsi" w:cstheme="minorHAnsi"/>
        </w:rPr>
        <w:t xml:space="preserve">will </w:t>
      </w:r>
      <w:r w:rsidR="00395CD7" w:rsidRPr="005553DF">
        <w:rPr>
          <w:rFonts w:asciiTheme="minorHAnsi" w:hAnsiTheme="minorHAnsi" w:cstheme="minorHAnsi"/>
        </w:rPr>
        <w:t>recruit from th</w:t>
      </w:r>
      <w:r w:rsidR="00106DF9" w:rsidRPr="005553DF">
        <w:rPr>
          <w:rFonts w:asciiTheme="minorHAnsi" w:hAnsiTheme="minorHAnsi" w:cstheme="minorHAnsi"/>
        </w:rPr>
        <w:t>e convenience sample of</w:t>
      </w:r>
      <w:r w:rsidR="00395CD7" w:rsidRPr="005553DF">
        <w:rPr>
          <w:rFonts w:asciiTheme="minorHAnsi" w:hAnsiTheme="minorHAnsi" w:cstheme="minorHAnsi"/>
        </w:rPr>
        <w:t xml:space="preserve"> children and adults who participated in the </w:t>
      </w:r>
      <w:r w:rsidR="00811214" w:rsidRPr="005553DF">
        <w:rPr>
          <w:rFonts w:asciiTheme="minorHAnsi" w:hAnsiTheme="minorHAnsi" w:cstheme="minorHAnsi"/>
        </w:rPr>
        <w:t>2015</w:t>
      </w:r>
      <w:r w:rsidR="00F97567" w:rsidRPr="005553DF">
        <w:rPr>
          <w:rFonts w:asciiTheme="minorHAnsi" w:hAnsiTheme="minorHAnsi" w:cstheme="minorHAnsi"/>
        </w:rPr>
        <w:t>-7</w:t>
      </w:r>
      <w:r w:rsidR="00AC01FA" w:rsidRPr="005553DF">
        <w:rPr>
          <w:rFonts w:asciiTheme="minorHAnsi" w:hAnsiTheme="minorHAnsi" w:cstheme="minorHAnsi"/>
        </w:rPr>
        <w:t xml:space="preserve"> </w:t>
      </w:r>
      <w:r w:rsidR="008D5E2F" w:rsidRPr="005553DF">
        <w:rPr>
          <w:rFonts w:asciiTheme="minorHAnsi" w:hAnsiTheme="minorHAnsi" w:cstheme="minorHAnsi"/>
        </w:rPr>
        <w:t xml:space="preserve">Pease </w:t>
      </w:r>
      <w:r w:rsidR="00282E70" w:rsidRPr="005553DF">
        <w:rPr>
          <w:rFonts w:asciiTheme="minorHAnsi" w:hAnsiTheme="minorHAnsi" w:cstheme="minorHAnsi"/>
        </w:rPr>
        <w:t>b</w:t>
      </w:r>
      <w:r w:rsidR="00395CD7" w:rsidRPr="005553DF">
        <w:rPr>
          <w:rFonts w:asciiTheme="minorHAnsi" w:hAnsiTheme="minorHAnsi" w:cstheme="minorHAnsi"/>
        </w:rPr>
        <w:t xml:space="preserve">iomonitoring </w:t>
      </w:r>
      <w:r w:rsidR="00282E70" w:rsidRPr="005553DF">
        <w:rPr>
          <w:rFonts w:asciiTheme="minorHAnsi" w:hAnsiTheme="minorHAnsi" w:cstheme="minorHAnsi"/>
        </w:rPr>
        <w:t>p</w:t>
      </w:r>
      <w:r w:rsidR="00395CD7" w:rsidRPr="005553DF">
        <w:rPr>
          <w:rFonts w:asciiTheme="minorHAnsi" w:hAnsiTheme="minorHAnsi" w:cstheme="minorHAnsi"/>
        </w:rPr>
        <w:t>rogram</w:t>
      </w:r>
      <w:r w:rsidR="00BB6DA1" w:rsidRPr="005553DF">
        <w:rPr>
          <w:rFonts w:asciiTheme="minorHAnsi" w:hAnsiTheme="minorHAnsi" w:cstheme="minorHAnsi"/>
        </w:rPr>
        <w:t xml:space="preserve"> (NH DHHS, 2016</w:t>
      </w:r>
      <w:r w:rsidR="00A027DF" w:rsidRPr="005553DF">
        <w:rPr>
          <w:rFonts w:asciiTheme="minorHAnsi" w:hAnsiTheme="minorHAnsi" w:cstheme="minorHAnsi"/>
        </w:rPr>
        <w:t>; Daly 2018</w:t>
      </w:r>
      <w:r w:rsidR="00F16CD2" w:rsidRPr="005553DF">
        <w:rPr>
          <w:rFonts w:asciiTheme="minorHAnsi" w:hAnsiTheme="minorHAnsi" w:cstheme="minorHAnsi"/>
        </w:rPr>
        <w:t xml:space="preserve">). The goal is to enroll at least 350 children (ages 4-17) and 1,000 adults aged ≥18 years. </w:t>
      </w:r>
      <w:r w:rsidR="000A7480" w:rsidRPr="005553DF">
        <w:rPr>
          <w:rFonts w:asciiTheme="minorHAnsi" w:hAnsiTheme="minorHAnsi" w:cstheme="minorHAnsi"/>
          <w:bCs/>
          <w:iCs/>
          <w:color w:val="000000"/>
        </w:rPr>
        <w:t xml:space="preserve">To meet sample size requirements, those that met biomonitoring eligibility criteria but were not enrolled in the 2015-7 Pease biomonitoring program may be recruited. </w:t>
      </w:r>
      <w:r w:rsidR="007E5E5D" w:rsidRPr="005553DF">
        <w:rPr>
          <w:rFonts w:asciiTheme="minorHAnsi" w:hAnsiTheme="minorHAnsi" w:cstheme="minorHAnsi"/>
        </w:rPr>
        <w:t>E</w:t>
      </w:r>
      <w:r w:rsidR="00A075B0" w:rsidRPr="005553DF">
        <w:rPr>
          <w:rFonts w:asciiTheme="minorHAnsi" w:hAnsiTheme="minorHAnsi" w:cstheme="minorHAnsi"/>
        </w:rPr>
        <w:t>ligible e</w:t>
      </w:r>
      <w:r w:rsidR="007E5E5D" w:rsidRPr="005553DF">
        <w:rPr>
          <w:rFonts w:asciiTheme="minorHAnsi" w:hAnsiTheme="minorHAnsi" w:cstheme="minorHAnsi"/>
        </w:rPr>
        <w:t>xposed</w:t>
      </w:r>
      <w:r w:rsidR="00E5583B" w:rsidRPr="005553DF">
        <w:rPr>
          <w:rFonts w:asciiTheme="minorHAnsi" w:hAnsiTheme="minorHAnsi" w:cstheme="minorHAnsi"/>
        </w:rPr>
        <w:t xml:space="preserve"> participants had to work at, live on, or attend childcare at the Pease Tradeport or Pease Air Force Base, or live in</w:t>
      </w:r>
      <w:r w:rsidR="00F16CD2" w:rsidRPr="005553DF">
        <w:rPr>
          <w:rFonts w:asciiTheme="minorHAnsi" w:hAnsiTheme="minorHAnsi" w:cstheme="minorHAnsi"/>
        </w:rPr>
        <w:t xml:space="preserve"> a home near the Pease</w:t>
      </w:r>
      <w:r w:rsidR="00E5583B" w:rsidRPr="005553DF">
        <w:rPr>
          <w:rFonts w:asciiTheme="minorHAnsi" w:hAnsiTheme="minorHAnsi" w:cstheme="minorHAnsi"/>
        </w:rPr>
        <w:t xml:space="preserve"> </w:t>
      </w:r>
      <w:r w:rsidR="00096C86" w:rsidRPr="005553DF">
        <w:rPr>
          <w:rFonts w:asciiTheme="minorHAnsi" w:hAnsiTheme="minorHAnsi" w:cstheme="minorHAnsi"/>
        </w:rPr>
        <w:t xml:space="preserve">facilities </w:t>
      </w:r>
      <w:r w:rsidR="00E5583B" w:rsidRPr="005553DF">
        <w:rPr>
          <w:rFonts w:asciiTheme="minorHAnsi" w:hAnsiTheme="minorHAnsi" w:cstheme="minorHAnsi"/>
        </w:rPr>
        <w:t>that w</w:t>
      </w:r>
      <w:r w:rsidR="002B5FC1" w:rsidRPr="005553DF">
        <w:rPr>
          <w:rFonts w:asciiTheme="minorHAnsi" w:hAnsiTheme="minorHAnsi" w:cstheme="minorHAnsi"/>
        </w:rPr>
        <w:t>ere</w:t>
      </w:r>
      <w:r w:rsidR="00E5583B" w:rsidRPr="005553DF">
        <w:rPr>
          <w:rFonts w:asciiTheme="minorHAnsi" w:hAnsiTheme="minorHAnsi" w:cstheme="minorHAnsi"/>
        </w:rPr>
        <w:t xml:space="preserve"> served by a </w:t>
      </w:r>
      <w:r w:rsidR="00FB0DC4" w:rsidRPr="005553DF">
        <w:rPr>
          <w:rFonts w:asciiTheme="minorHAnsi" w:hAnsiTheme="minorHAnsi" w:cstheme="minorHAnsi"/>
        </w:rPr>
        <w:t xml:space="preserve">PFAS-contaminated private well </w:t>
      </w:r>
      <w:r w:rsidR="003E4231" w:rsidRPr="005553DF">
        <w:rPr>
          <w:rFonts w:asciiTheme="minorHAnsi" w:hAnsiTheme="minorHAnsi" w:cstheme="minorHAnsi"/>
        </w:rPr>
        <w:t>between 2004 and May</w:t>
      </w:r>
      <w:r w:rsidR="00FB0DC4" w:rsidRPr="005553DF">
        <w:rPr>
          <w:rFonts w:asciiTheme="minorHAnsi" w:hAnsiTheme="minorHAnsi" w:cstheme="minorHAnsi"/>
        </w:rPr>
        <w:t xml:space="preserve"> 2014</w:t>
      </w:r>
      <w:r w:rsidR="0083252F" w:rsidRPr="005553DF">
        <w:rPr>
          <w:rFonts w:asciiTheme="minorHAnsi" w:hAnsiTheme="minorHAnsi" w:cstheme="minorHAnsi"/>
        </w:rPr>
        <w:t>.</w:t>
      </w:r>
      <w:r w:rsidR="00152DD2" w:rsidRPr="005553DF">
        <w:rPr>
          <w:rFonts w:asciiTheme="minorHAnsi" w:hAnsiTheme="minorHAnsi" w:cstheme="minorHAnsi"/>
        </w:rPr>
        <w:t xml:space="preserve"> </w:t>
      </w:r>
      <w:r w:rsidR="009123AA" w:rsidRPr="005553DF">
        <w:rPr>
          <w:rFonts w:asciiTheme="minorHAnsi" w:hAnsiTheme="minorHAnsi" w:cstheme="minorHAnsi"/>
        </w:rPr>
        <w:t xml:space="preserve"> </w:t>
      </w:r>
      <w:r w:rsidR="001D34A0" w:rsidRPr="005553DF">
        <w:rPr>
          <w:rFonts w:asciiTheme="minorHAnsi" w:hAnsiTheme="minorHAnsi" w:cstheme="minorHAnsi"/>
        </w:rPr>
        <w:t>In order to restrict this study to drinking water exposures, a</w:t>
      </w:r>
      <w:r w:rsidR="00305B6E" w:rsidRPr="005553DF">
        <w:rPr>
          <w:rFonts w:asciiTheme="minorHAnsi" w:hAnsiTheme="minorHAnsi" w:cstheme="minorHAnsi"/>
        </w:rPr>
        <w:t>dult</w:t>
      </w:r>
      <w:r w:rsidR="00A027DF" w:rsidRPr="005553DF">
        <w:rPr>
          <w:rFonts w:asciiTheme="minorHAnsi" w:hAnsiTheme="minorHAnsi" w:cstheme="minorHAnsi"/>
        </w:rPr>
        <w:t>s occupationally exposed to PFAS will not be eligible for the study (</w:t>
      </w:r>
      <w:r w:rsidR="00096C86" w:rsidRPr="005553DF">
        <w:rPr>
          <w:rFonts w:asciiTheme="minorHAnsi" w:hAnsiTheme="minorHAnsi" w:cstheme="minorHAnsi"/>
        </w:rPr>
        <w:t>e.g.,</w:t>
      </w:r>
      <w:r w:rsidR="00A027DF" w:rsidRPr="005553DF">
        <w:rPr>
          <w:rFonts w:asciiTheme="minorHAnsi" w:hAnsiTheme="minorHAnsi" w:cstheme="minorHAnsi"/>
        </w:rPr>
        <w:t xml:space="preserve"> ever firefighters). </w:t>
      </w:r>
      <w:r w:rsidR="00305B6E" w:rsidRPr="005553DF">
        <w:rPr>
          <w:rFonts w:asciiTheme="minorHAnsi" w:hAnsiTheme="minorHAnsi" w:cstheme="minorHAnsi"/>
        </w:rPr>
        <w:t xml:space="preserve">Likewise, children whose birth mothers were occupationally exposed will not be eligible. </w:t>
      </w:r>
      <w:r w:rsidR="00F16CD2" w:rsidRPr="005553DF">
        <w:rPr>
          <w:rFonts w:asciiTheme="minorHAnsi" w:hAnsiTheme="minorHAnsi" w:cstheme="minorHAnsi"/>
        </w:rPr>
        <w:t>The main goal</w:t>
      </w:r>
      <w:r w:rsidR="00EE4572" w:rsidRPr="005553DF">
        <w:rPr>
          <w:rFonts w:asciiTheme="minorHAnsi" w:hAnsiTheme="minorHAnsi" w:cstheme="minorHAnsi"/>
        </w:rPr>
        <w:t>s</w:t>
      </w:r>
      <w:r w:rsidR="00F16CD2" w:rsidRPr="005553DF">
        <w:rPr>
          <w:rFonts w:asciiTheme="minorHAnsi" w:hAnsiTheme="minorHAnsi" w:cstheme="minorHAnsi"/>
        </w:rPr>
        <w:t xml:space="preserve"> of the study </w:t>
      </w:r>
      <w:r w:rsidR="00EE4572" w:rsidRPr="005553DF">
        <w:rPr>
          <w:rFonts w:asciiTheme="minorHAnsi" w:hAnsiTheme="minorHAnsi" w:cstheme="minorHAnsi"/>
        </w:rPr>
        <w:t>are</w:t>
      </w:r>
      <w:r w:rsidR="00F16CD2" w:rsidRPr="005553DF">
        <w:rPr>
          <w:rFonts w:asciiTheme="minorHAnsi" w:hAnsiTheme="minorHAnsi" w:cstheme="minorHAnsi"/>
        </w:rPr>
        <w:t xml:space="preserve"> </w:t>
      </w:r>
      <w:r w:rsidR="009915AE" w:rsidRPr="005553DF">
        <w:rPr>
          <w:rFonts w:asciiTheme="minorHAnsi" w:hAnsiTheme="minorHAnsi" w:cstheme="minorHAnsi"/>
        </w:rPr>
        <w:t xml:space="preserve">to </w:t>
      </w:r>
      <w:r w:rsidR="001B2871" w:rsidRPr="005553DF">
        <w:rPr>
          <w:rFonts w:asciiTheme="minorHAnsi" w:hAnsiTheme="minorHAnsi" w:cstheme="minorHAnsi"/>
        </w:rPr>
        <w:t xml:space="preserve">1) evaluate the </w:t>
      </w:r>
      <w:r w:rsidR="001C5EDE" w:rsidRPr="005553DF">
        <w:rPr>
          <w:rFonts w:asciiTheme="minorHAnsi" w:hAnsiTheme="minorHAnsi" w:cstheme="minorHAnsi"/>
        </w:rPr>
        <w:t>procedures</w:t>
      </w:r>
      <w:r w:rsidR="001B2871" w:rsidRPr="005553DF">
        <w:rPr>
          <w:rFonts w:asciiTheme="minorHAnsi" w:hAnsiTheme="minorHAnsi" w:cstheme="minorHAnsi"/>
        </w:rPr>
        <w:t xml:space="preserve"> and test</w:t>
      </w:r>
      <w:r w:rsidR="00696246" w:rsidRPr="005553DF">
        <w:rPr>
          <w:rFonts w:asciiTheme="minorHAnsi" w:hAnsiTheme="minorHAnsi" w:cstheme="minorHAnsi"/>
        </w:rPr>
        <w:t xml:space="preserve"> the study protocols in order to</w:t>
      </w:r>
      <w:r w:rsidR="001B2871" w:rsidRPr="005553DF">
        <w:rPr>
          <w:rFonts w:asciiTheme="minorHAnsi" w:hAnsiTheme="minorHAnsi" w:cstheme="minorHAnsi"/>
        </w:rPr>
        <w:t xml:space="preserve"> identify any issues that need to b</w:t>
      </w:r>
      <w:r w:rsidR="00696246" w:rsidRPr="005553DF">
        <w:rPr>
          <w:rFonts w:asciiTheme="minorHAnsi" w:hAnsiTheme="minorHAnsi" w:cstheme="minorHAnsi"/>
        </w:rPr>
        <w:t>e</w:t>
      </w:r>
      <w:r w:rsidR="001B2871" w:rsidRPr="005553DF">
        <w:rPr>
          <w:rFonts w:asciiTheme="minorHAnsi" w:hAnsiTheme="minorHAnsi" w:cstheme="minorHAnsi"/>
        </w:rPr>
        <w:t xml:space="preserve"> addre</w:t>
      </w:r>
      <w:r w:rsidR="00696246" w:rsidRPr="005553DF">
        <w:rPr>
          <w:rFonts w:asciiTheme="minorHAnsi" w:hAnsiTheme="minorHAnsi" w:cstheme="minorHAnsi"/>
        </w:rPr>
        <w:t>s</w:t>
      </w:r>
      <w:r w:rsidR="001B2871" w:rsidRPr="005553DF">
        <w:rPr>
          <w:rFonts w:asciiTheme="minorHAnsi" w:hAnsiTheme="minorHAnsi" w:cstheme="minorHAnsi"/>
        </w:rPr>
        <w:t>s</w:t>
      </w:r>
      <w:r w:rsidR="00696246" w:rsidRPr="005553DF">
        <w:rPr>
          <w:rFonts w:asciiTheme="minorHAnsi" w:hAnsiTheme="minorHAnsi" w:cstheme="minorHAnsi"/>
        </w:rPr>
        <w:t>e</w:t>
      </w:r>
      <w:r w:rsidR="00C648FF">
        <w:rPr>
          <w:rFonts w:asciiTheme="minorHAnsi" w:hAnsiTheme="minorHAnsi" w:cstheme="minorHAnsi"/>
        </w:rPr>
        <w:t xml:space="preserve">d before embarking on a </w:t>
      </w:r>
      <w:r w:rsidR="001B2871" w:rsidRPr="005553DF">
        <w:rPr>
          <w:rFonts w:asciiTheme="minorHAnsi" w:hAnsiTheme="minorHAnsi" w:cstheme="minorHAnsi"/>
        </w:rPr>
        <w:t>mult</w:t>
      </w:r>
      <w:r w:rsidR="001C5EDE" w:rsidRPr="005553DF">
        <w:rPr>
          <w:rFonts w:asciiTheme="minorHAnsi" w:hAnsiTheme="minorHAnsi" w:cstheme="minorHAnsi"/>
        </w:rPr>
        <w:t>i</w:t>
      </w:r>
      <w:r w:rsidR="001B2871" w:rsidRPr="005553DF">
        <w:rPr>
          <w:rFonts w:asciiTheme="minorHAnsi" w:hAnsiTheme="minorHAnsi" w:cstheme="minorHAnsi"/>
        </w:rPr>
        <w:t xml:space="preserve">-site study; and 2) </w:t>
      </w:r>
      <w:r w:rsidR="00152DD2" w:rsidRPr="005553DF">
        <w:rPr>
          <w:rFonts w:asciiTheme="minorHAnsi" w:hAnsiTheme="minorHAnsi" w:cstheme="minorHAnsi"/>
        </w:rPr>
        <w:t>examine association</w:t>
      </w:r>
      <w:r w:rsidR="00FB0DC4" w:rsidRPr="005553DF">
        <w:rPr>
          <w:rFonts w:asciiTheme="minorHAnsi" w:hAnsiTheme="minorHAnsi" w:cstheme="minorHAnsi"/>
        </w:rPr>
        <w:t>s</w:t>
      </w:r>
      <w:r w:rsidR="00152DD2" w:rsidRPr="005553DF">
        <w:rPr>
          <w:rFonts w:asciiTheme="minorHAnsi" w:hAnsiTheme="minorHAnsi" w:cstheme="minorHAnsi"/>
        </w:rPr>
        <w:t xml:space="preserve"> between </w:t>
      </w:r>
      <w:r w:rsidR="00FB3706" w:rsidRPr="005553DF">
        <w:rPr>
          <w:rFonts w:asciiTheme="minorHAnsi" w:hAnsiTheme="minorHAnsi" w:cstheme="minorHAnsi"/>
        </w:rPr>
        <w:t xml:space="preserve">measured and historically reconstructed serum levels of </w:t>
      </w:r>
      <w:r w:rsidR="00152DD2" w:rsidRPr="005553DF">
        <w:rPr>
          <w:rFonts w:asciiTheme="minorHAnsi" w:hAnsiTheme="minorHAnsi" w:cstheme="minorHAnsi"/>
        </w:rPr>
        <w:t>PFAS</w:t>
      </w:r>
      <w:r w:rsidR="00FB0DC4" w:rsidRPr="005553DF">
        <w:rPr>
          <w:rFonts w:asciiTheme="minorHAnsi" w:hAnsiTheme="minorHAnsi" w:cstheme="minorHAnsi"/>
        </w:rPr>
        <w:t xml:space="preserve"> including PFOA, PFOS, and PFHxS</w:t>
      </w:r>
      <w:r w:rsidR="0019774E" w:rsidRPr="005553DF">
        <w:rPr>
          <w:rFonts w:asciiTheme="minorHAnsi" w:hAnsiTheme="minorHAnsi" w:cstheme="minorHAnsi"/>
        </w:rPr>
        <w:t xml:space="preserve"> (</w:t>
      </w:r>
      <w:r w:rsidR="002C7565" w:rsidRPr="005553DF">
        <w:rPr>
          <w:rFonts w:asciiTheme="minorHAnsi" w:hAnsiTheme="minorHAnsi" w:cstheme="minorHAnsi"/>
        </w:rPr>
        <w:t xml:space="preserve">see </w:t>
      </w:r>
      <w:r w:rsidR="0019774E" w:rsidRPr="005553DF">
        <w:rPr>
          <w:rFonts w:asciiTheme="minorHAnsi" w:hAnsiTheme="minorHAnsi" w:cstheme="minorHAnsi"/>
          <w:b/>
        </w:rPr>
        <w:t>Section 3.10</w:t>
      </w:r>
      <w:r w:rsidR="0019774E" w:rsidRPr="005553DF">
        <w:rPr>
          <w:rFonts w:asciiTheme="minorHAnsi" w:hAnsiTheme="minorHAnsi" w:cstheme="minorHAnsi"/>
        </w:rPr>
        <w:t>)</w:t>
      </w:r>
      <w:r w:rsidR="00FB0DC4" w:rsidRPr="005553DF">
        <w:rPr>
          <w:rFonts w:asciiTheme="minorHAnsi" w:hAnsiTheme="minorHAnsi" w:cstheme="minorHAnsi"/>
        </w:rPr>
        <w:t>,</w:t>
      </w:r>
      <w:r w:rsidR="00152DD2" w:rsidRPr="005553DF">
        <w:rPr>
          <w:rFonts w:asciiTheme="minorHAnsi" w:hAnsiTheme="minorHAnsi" w:cstheme="minorHAnsi"/>
        </w:rPr>
        <w:t xml:space="preserve"> and selected health outcome</w:t>
      </w:r>
      <w:r w:rsidR="00FB0DC4" w:rsidRPr="005553DF">
        <w:rPr>
          <w:rFonts w:asciiTheme="minorHAnsi" w:hAnsiTheme="minorHAnsi" w:cstheme="minorHAnsi"/>
        </w:rPr>
        <w:t>s as described below and detailed in study hypotheses (</w:t>
      </w:r>
      <w:r w:rsidR="002C7565" w:rsidRPr="005553DF">
        <w:rPr>
          <w:rFonts w:asciiTheme="minorHAnsi" w:hAnsiTheme="minorHAnsi" w:cstheme="minorHAnsi"/>
        </w:rPr>
        <w:t xml:space="preserve">see </w:t>
      </w:r>
      <w:r w:rsidR="00FB0DC4" w:rsidRPr="005553DF">
        <w:rPr>
          <w:rFonts w:asciiTheme="minorHAnsi" w:hAnsiTheme="minorHAnsi" w:cstheme="minorHAnsi"/>
          <w:b/>
        </w:rPr>
        <w:t>Section 2.5.2</w:t>
      </w:r>
      <w:r w:rsidR="00152DD2" w:rsidRPr="005553DF">
        <w:rPr>
          <w:rFonts w:asciiTheme="minorHAnsi" w:hAnsiTheme="minorHAnsi" w:cstheme="minorHAnsi"/>
        </w:rPr>
        <w:t xml:space="preserve">). </w:t>
      </w:r>
      <w:r w:rsidR="0050673B" w:rsidRPr="005553DF">
        <w:rPr>
          <w:rFonts w:asciiTheme="minorHAnsi" w:hAnsiTheme="minorHAnsi" w:cstheme="minorHAnsi"/>
        </w:rPr>
        <w:t xml:space="preserve"> </w:t>
      </w:r>
    </w:p>
    <w:p w14:paraId="2F2F17FE" w14:textId="77777777" w:rsidR="008D1437" w:rsidRPr="005553DF" w:rsidRDefault="00EB4CCB"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w:t>
      </w:r>
      <w:r w:rsidR="00D00140" w:rsidRPr="005553DF">
        <w:rPr>
          <w:rFonts w:asciiTheme="minorHAnsi" w:hAnsiTheme="minorHAnsi" w:cstheme="minorHAnsi"/>
        </w:rPr>
        <w:t xml:space="preserve"> adult and children </w:t>
      </w:r>
      <w:r w:rsidRPr="005553DF">
        <w:rPr>
          <w:rFonts w:asciiTheme="minorHAnsi" w:hAnsiTheme="minorHAnsi" w:cstheme="minorHAnsi"/>
        </w:rPr>
        <w:t xml:space="preserve">studies </w:t>
      </w:r>
      <w:r w:rsidR="00FB3706" w:rsidRPr="005553DF">
        <w:rPr>
          <w:rFonts w:asciiTheme="minorHAnsi" w:hAnsiTheme="minorHAnsi" w:cstheme="minorHAnsi"/>
        </w:rPr>
        <w:t>will</w:t>
      </w:r>
      <w:r w:rsidRPr="005553DF">
        <w:rPr>
          <w:rFonts w:asciiTheme="minorHAnsi" w:hAnsiTheme="minorHAnsi" w:cstheme="minorHAnsi"/>
        </w:rPr>
        <w:t xml:space="preserve"> also include smaller referent groups of children (n=175) and adults (n=100) from other areas of Portsmouth, NH, who were </w:t>
      </w:r>
      <w:r w:rsidR="005E1EF4" w:rsidRPr="005553DF">
        <w:rPr>
          <w:rFonts w:asciiTheme="minorHAnsi" w:hAnsiTheme="minorHAnsi" w:cstheme="minorHAnsi"/>
        </w:rPr>
        <w:t>n</w:t>
      </w:r>
      <w:r w:rsidR="003E4231" w:rsidRPr="005553DF">
        <w:rPr>
          <w:rFonts w:asciiTheme="minorHAnsi" w:hAnsiTheme="minorHAnsi" w:cstheme="minorHAnsi"/>
        </w:rPr>
        <w:t>ever</w:t>
      </w:r>
      <w:r w:rsidR="005E1EF4" w:rsidRPr="005553DF">
        <w:rPr>
          <w:rFonts w:asciiTheme="minorHAnsi" w:hAnsiTheme="minorHAnsi" w:cstheme="minorHAnsi"/>
        </w:rPr>
        <w:t xml:space="preserve"> </w:t>
      </w:r>
      <w:r w:rsidRPr="005553DF">
        <w:rPr>
          <w:rFonts w:asciiTheme="minorHAnsi" w:hAnsiTheme="minorHAnsi" w:cstheme="minorHAnsi"/>
        </w:rPr>
        <w:t xml:space="preserve">exposed to PFAS-contaminated drinking water.  </w:t>
      </w:r>
      <w:r w:rsidR="003E4231" w:rsidRPr="005553DF">
        <w:rPr>
          <w:rFonts w:asciiTheme="minorHAnsi" w:hAnsiTheme="minorHAnsi" w:cstheme="minorHAnsi"/>
        </w:rPr>
        <w:t>Birth mothers of referent children likewise must never have had exposure to contaminated drinking water from Pease. Referent</w:t>
      </w:r>
      <w:r w:rsidR="005E1EF4" w:rsidRPr="005553DF">
        <w:rPr>
          <w:rFonts w:asciiTheme="minorHAnsi" w:hAnsiTheme="minorHAnsi" w:cstheme="minorHAnsi"/>
        </w:rPr>
        <w:t xml:space="preserve"> results</w:t>
      </w:r>
      <w:r w:rsidRPr="005553DF">
        <w:rPr>
          <w:rFonts w:asciiTheme="minorHAnsi" w:hAnsiTheme="minorHAnsi" w:cstheme="minorHAnsi"/>
        </w:rPr>
        <w:t xml:space="preserve"> will be </w:t>
      </w:r>
      <w:r w:rsidR="005E1EF4" w:rsidRPr="005553DF">
        <w:rPr>
          <w:rFonts w:asciiTheme="minorHAnsi" w:hAnsiTheme="minorHAnsi" w:cstheme="minorHAnsi"/>
        </w:rPr>
        <w:t xml:space="preserve">used </w:t>
      </w:r>
      <w:r w:rsidRPr="005553DF">
        <w:rPr>
          <w:rFonts w:asciiTheme="minorHAnsi" w:hAnsiTheme="minorHAnsi" w:cstheme="minorHAnsi"/>
        </w:rPr>
        <w:t>to compare serum concentration in exposed versus ‘</w:t>
      </w:r>
      <w:r w:rsidR="001B2871" w:rsidRPr="005553DF">
        <w:rPr>
          <w:rFonts w:asciiTheme="minorHAnsi" w:hAnsiTheme="minorHAnsi" w:cstheme="minorHAnsi"/>
        </w:rPr>
        <w:t>u</w:t>
      </w:r>
      <w:r w:rsidRPr="005553DF">
        <w:rPr>
          <w:rFonts w:asciiTheme="minorHAnsi" w:hAnsiTheme="minorHAnsi" w:cstheme="minorHAnsi"/>
        </w:rPr>
        <w:t xml:space="preserve">nexposed’ and evaluate the need for the referent groups in the multi-site study. Categorization based on measured </w:t>
      </w:r>
      <w:r w:rsidR="00FB3706" w:rsidRPr="005553DF">
        <w:rPr>
          <w:rFonts w:asciiTheme="minorHAnsi" w:hAnsiTheme="minorHAnsi" w:cstheme="minorHAnsi"/>
        </w:rPr>
        <w:t xml:space="preserve">serum PFAS </w:t>
      </w:r>
      <w:r w:rsidRPr="005553DF">
        <w:rPr>
          <w:rFonts w:asciiTheme="minorHAnsi" w:hAnsiTheme="minorHAnsi" w:cstheme="minorHAnsi"/>
        </w:rPr>
        <w:t>concentration</w:t>
      </w:r>
      <w:r w:rsidR="00FB3706" w:rsidRPr="005553DF">
        <w:rPr>
          <w:rFonts w:asciiTheme="minorHAnsi" w:hAnsiTheme="minorHAnsi" w:cstheme="minorHAnsi"/>
        </w:rPr>
        <w:t>s</w:t>
      </w:r>
      <w:r w:rsidRPr="005553DF">
        <w:rPr>
          <w:rFonts w:asciiTheme="minorHAnsi" w:hAnsiTheme="minorHAnsi" w:cstheme="minorHAnsi"/>
        </w:rPr>
        <w:t xml:space="preserve"> </w:t>
      </w:r>
      <w:r w:rsidR="00A075B0" w:rsidRPr="005553DF">
        <w:rPr>
          <w:rFonts w:asciiTheme="minorHAnsi" w:hAnsiTheme="minorHAnsi" w:cstheme="minorHAnsi"/>
        </w:rPr>
        <w:t>in</w:t>
      </w:r>
      <w:r w:rsidR="0039399A" w:rsidRPr="005553DF">
        <w:rPr>
          <w:rFonts w:asciiTheme="minorHAnsi" w:hAnsiTheme="minorHAnsi" w:cstheme="minorHAnsi"/>
        </w:rPr>
        <w:t xml:space="preserve"> communities</w:t>
      </w:r>
      <w:r w:rsidR="00A075B0" w:rsidRPr="005553DF">
        <w:rPr>
          <w:rFonts w:asciiTheme="minorHAnsi" w:hAnsiTheme="minorHAnsi" w:cstheme="minorHAnsi"/>
        </w:rPr>
        <w:t xml:space="preserve"> with exposure </w:t>
      </w:r>
      <w:r w:rsidRPr="005553DF">
        <w:rPr>
          <w:rFonts w:asciiTheme="minorHAnsi" w:hAnsiTheme="minorHAnsi" w:cstheme="minorHAnsi"/>
        </w:rPr>
        <w:t xml:space="preserve">may provide enough </w:t>
      </w:r>
      <w:r w:rsidR="001C5EDE" w:rsidRPr="005553DF">
        <w:rPr>
          <w:rFonts w:asciiTheme="minorHAnsi" w:hAnsiTheme="minorHAnsi" w:cstheme="minorHAnsi"/>
        </w:rPr>
        <w:t>participants</w:t>
      </w:r>
      <w:r w:rsidRPr="005553DF">
        <w:rPr>
          <w:rFonts w:asciiTheme="minorHAnsi" w:hAnsiTheme="minorHAnsi" w:cstheme="minorHAnsi"/>
        </w:rPr>
        <w:t xml:space="preserve"> at background levels without a need to sample external comparisons. </w:t>
      </w:r>
      <w:r w:rsidR="008D1437" w:rsidRPr="005553DF">
        <w:rPr>
          <w:rFonts w:asciiTheme="minorHAnsi" w:hAnsiTheme="minorHAnsi" w:cstheme="minorHAnsi"/>
        </w:rPr>
        <w:t>As</w:t>
      </w:r>
      <w:r w:rsidR="001B2871" w:rsidRPr="005553DF">
        <w:rPr>
          <w:rFonts w:asciiTheme="minorHAnsi" w:hAnsiTheme="minorHAnsi" w:cstheme="minorHAnsi"/>
        </w:rPr>
        <w:t xml:space="preserve"> </w:t>
      </w:r>
      <w:r w:rsidR="008D1437" w:rsidRPr="005553DF">
        <w:rPr>
          <w:rFonts w:asciiTheme="minorHAnsi" w:hAnsiTheme="minorHAnsi" w:cstheme="minorHAnsi"/>
        </w:rPr>
        <w:t>most Americans have measurable concentrations of at least some PFAS (Calafat 2007, Ye 2017), participants will be categorized based on the measured concentration of PFAS compounds or on modeled estimated historical levels (e.</w:t>
      </w:r>
      <w:r w:rsidR="00FB3706" w:rsidRPr="005553DF">
        <w:rPr>
          <w:rFonts w:asciiTheme="minorHAnsi" w:hAnsiTheme="minorHAnsi" w:cstheme="minorHAnsi"/>
        </w:rPr>
        <w:t>g.,</w:t>
      </w:r>
      <w:r w:rsidR="008D1437" w:rsidRPr="005553DF">
        <w:rPr>
          <w:rFonts w:asciiTheme="minorHAnsi" w:hAnsiTheme="minorHAnsi" w:cstheme="minorHAnsi"/>
        </w:rPr>
        <w:t xml:space="preserve"> referent or low, medium, high).</w:t>
      </w:r>
      <w:r w:rsidR="008D1437" w:rsidRPr="005553DF">
        <w:t xml:space="preserve"> </w:t>
      </w:r>
    </w:p>
    <w:p w14:paraId="3CB84410" w14:textId="24D021AB" w:rsidR="004A6766" w:rsidRPr="005553DF" w:rsidRDefault="00AE70C0"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B</w:t>
      </w:r>
      <w:r w:rsidR="004A6766" w:rsidRPr="005553DF">
        <w:rPr>
          <w:rFonts w:asciiTheme="minorHAnsi" w:hAnsiTheme="minorHAnsi" w:cstheme="minorHAnsi"/>
        </w:rPr>
        <w:t xml:space="preserve">ased on </w:t>
      </w:r>
      <w:r w:rsidR="007F2B82" w:rsidRPr="005553DF">
        <w:rPr>
          <w:rFonts w:asciiTheme="minorHAnsi" w:hAnsiTheme="minorHAnsi" w:cstheme="minorHAnsi"/>
        </w:rPr>
        <w:t>our</w:t>
      </w:r>
      <w:r w:rsidR="00FB3706" w:rsidRPr="005553DF">
        <w:rPr>
          <w:rFonts w:asciiTheme="minorHAnsi" w:hAnsiTheme="minorHAnsi" w:cstheme="minorHAnsi"/>
        </w:rPr>
        <w:t xml:space="preserve"> </w:t>
      </w:r>
      <w:r w:rsidR="004A6766" w:rsidRPr="005553DF">
        <w:rPr>
          <w:rFonts w:asciiTheme="minorHAnsi" w:hAnsiTheme="minorHAnsi" w:cstheme="minorHAnsi"/>
        </w:rPr>
        <w:t>literature review</w:t>
      </w:r>
      <w:r w:rsidR="002B5FC1" w:rsidRPr="005553DF">
        <w:rPr>
          <w:rFonts w:asciiTheme="minorHAnsi" w:hAnsiTheme="minorHAnsi" w:cstheme="minorHAnsi"/>
        </w:rPr>
        <w:t xml:space="preserve"> of epidemiological studies of PFAS</w:t>
      </w:r>
      <w:r w:rsidR="007F2B82" w:rsidRPr="005553DF">
        <w:rPr>
          <w:rFonts w:asciiTheme="minorHAnsi" w:hAnsiTheme="minorHAnsi" w:cstheme="minorHAnsi"/>
        </w:rPr>
        <w:t>,</w:t>
      </w:r>
      <w:r w:rsidR="004A6766" w:rsidRPr="005553DF">
        <w:rPr>
          <w:rFonts w:asciiTheme="minorHAnsi" w:hAnsiTheme="minorHAnsi" w:cstheme="minorHAnsi"/>
        </w:rPr>
        <w:t xml:space="preserve"> we propose to examine association between</w:t>
      </w:r>
      <w:r w:rsidR="005D2D74" w:rsidRPr="005553DF">
        <w:rPr>
          <w:rFonts w:asciiTheme="minorHAnsi" w:hAnsiTheme="minorHAnsi" w:cstheme="minorHAnsi"/>
        </w:rPr>
        <w:t xml:space="preserve"> </w:t>
      </w:r>
      <w:r w:rsidR="004A6766" w:rsidRPr="005553DF">
        <w:rPr>
          <w:rFonts w:asciiTheme="minorHAnsi" w:hAnsiTheme="minorHAnsi" w:cstheme="minorHAnsi"/>
        </w:rPr>
        <w:t>PFAS compounds</w:t>
      </w:r>
      <w:r w:rsidR="008D252C" w:rsidRPr="005553DF">
        <w:rPr>
          <w:rFonts w:asciiTheme="minorHAnsi" w:hAnsiTheme="minorHAnsi" w:cstheme="minorHAnsi"/>
        </w:rPr>
        <w:t xml:space="preserve"> and </w:t>
      </w:r>
      <w:r w:rsidR="004A6766" w:rsidRPr="005553DF">
        <w:rPr>
          <w:rFonts w:asciiTheme="minorHAnsi" w:hAnsiTheme="minorHAnsi" w:cstheme="minorHAnsi"/>
        </w:rPr>
        <w:t xml:space="preserve">lipids, </w:t>
      </w:r>
      <w:r w:rsidR="009452DA" w:rsidRPr="005553DF">
        <w:rPr>
          <w:rFonts w:asciiTheme="minorHAnsi" w:hAnsiTheme="minorHAnsi" w:cstheme="minorHAnsi"/>
        </w:rPr>
        <w:t xml:space="preserve">renal function and kidney disease, thyroid hormones and disease, liver function and disease, </w:t>
      </w:r>
      <w:r w:rsidR="008A66EA" w:rsidRPr="005553DF">
        <w:rPr>
          <w:rFonts w:asciiTheme="minorHAnsi" w:hAnsiTheme="minorHAnsi" w:cstheme="minorHAnsi"/>
        </w:rPr>
        <w:t>glycemic parameters and diabetes, as well as</w:t>
      </w:r>
      <w:r w:rsidR="009452DA" w:rsidRPr="005553DF">
        <w:rPr>
          <w:rFonts w:asciiTheme="minorHAnsi" w:hAnsiTheme="minorHAnsi" w:cstheme="minorHAnsi"/>
        </w:rPr>
        <w:t xml:space="preserve"> immune response and function in both children and adults. In addition, we plan to investigate PFAS </w:t>
      </w:r>
      <w:r w:rsidR="004A6766" w:rsidRPr="005553DF">
        <w:rPr>
          <w:rFonts w:asciiTheme="minorHAnsi" w:hAnsiTheme="minorHAnsi" w:cstheme="minorHAnsi"/>
        </w:rPr>
        <w:t>differences in sex hormones and sexual maturation,</w:t>
      </w:r>
      <w:r w:rsidR="009452DA" w:rsidRPr="005553DF">
        <w:rPr>
          <w:rFonts w:asciiTheme="minorHAnsi" w:hAnsiTheme="minorHAnsi" w:cstheme="minorHAnsi"/>
        </w:rPr>
        <w:t xml:space="preserve"> vaccine</w:t>
      </w:r>
      <w:r w:rsidR="004A6766" w:rsidRPr="005553DF">
        <w:rPr>
          <w:rFonts w:asciiTheme="minorHAnsi" w:hAnsiTheme="minorHAnsi" w:cstheme="minorHAnsi"/>
        </w:rPr>
        <w:t xml:space="preserve"> response, and neurobehavioral outcomes</w:t>
      </w:r>
      <w:r w:rsidR="009452DA" w:rsidRPr="005553DF">
        <w:rPr>
          <w:rFonts w:asciiTheme="minorHAnsi" w:hAnsiTheme="minorHAnsi" w:cstheme="minorHAnsi"/>
        </w:rPr>
        <w:t xml:space="preserve"> in children</w:t>
      </w:r>
      <w:r w:rsidR="004A6766" w:rsidRPr="005553DF">
        <w:rPr>
          <w:rFonts w:asciiTheme="minorHAnsi" w:hAnsiTheme="minorHAnsi" w:cstheme="minorHAnsi"/>
        </w:rPr>
        <w:t xml:space="preserve">. In adults, </w:t>
      </w:r>
      <w:r w:rsidR="009452DA" w:rsidRPr="005553DF">
        <w:rPr>
          <w:rFonts w:asciiTheme="minorHAnsi" w:hAnsiTheme="minorHAnsi" w:cstheme="minorHAnsi"/>
        </w:rPr>
        <w:t>additional outcomes of interest include</w:t>
      </w:r>
      <w:r w:rsidR="004A6766" w:rsidRPr="005553DF">
        <w:rPr>
          <w:rFonts w:asciiTheme="minorHAnsi" w:hAnsiTheme="minorHAnsi" w:cstheme="minorHAnsi"/>
        </w:rPr>
        <w:t xml:space="preserve"> </w:t>
      </w:r>
      <w:r w:rsidR="009452DA" w:rsidRPr="005553DF">
        <w:rPr>
          <w:rFonts w:asciiTheme="minorHAnsi" w:hAnsiTheme="minorHAnsi" w:cstheme="minorHAnsi"/>
        </w:rPr>
        <w:t xml:space="preserve">cardiovascular disease, </w:t>
      </w:r>
      <w:r w:rsidR="004A6766" w:rsidRPr="005553DF">
        <w:rPr>
          <w:rFonts w:asciiTheme="minorHAnsi" w:hAnsiTheme="minorHAnsi" w:cstheme="minorHAnsi"/>
        </w:rPr>
        <w:t xml:space="preserve">osteoarthritis and osteoporosis, endometriosis, </w:t>
      </w:r>
      <w:r w:rsidR="009452DA" w:rsidRPr="005553DF">
        <w:rPr>
          <w:rFonts w:asciiTheme="minorHAnsi" w:hAnsiTheme="minorHAnsi" w:cstheme="minorHAnsi"/>
        </w:rPr>
        <w:t>and</w:t>
      </w:r>
      <w:r w:rsidR="004A6766" w:rsidRPr="005553DF">
        <w:rPr>
          <w:rFonts w:asciiTheme="minorHAnsi" w:hAnsiTheme="minorHAnsi" w:cstheme="minorHAnsi"/>
        </w:rPr>
        <w:t xml:space="preserve"> autoimmune disease</w:t>
      </w:r>
      <w:r w:rsidR="00C6258C" w:rsidRPr="005553DF">
        <w:rPr>
          <w:rFonts w:asciiTheme="minorHAnsi" w:hAnsiTheme="minorHAnsi" w:cstheme="minorHAnsi"/>
        </w:rPr>
        <w:t>.</w:t>
      </w:r>
    </w:p>
    <w:p w14:paraId="0417FD06" w14:textId="77777777" w:rsidR="004A6766" w:rsidRPr="005553DF" w:rsidRDefault="004A6766" w:rsidP="005553DF">
      <w:pPr>
        <w:autoSpaceDE w:val="0"/>
        <w:autoSpaceDN w:val="0"/>
        <w:adjustRightInd w:val="0"/>
        <w:spacing w:after="240" w:line="360" w:lineRule="auto"/>
        <w:jc w:val="both"/>
        <w:rPr>
          <w:rFonts w:asciiTheme="minorHAnsi" w:hAnsiTheme="minorHAnsi" w:cstheme="minorHAnsi"/>
          <w:color w:val="FF0000"/>
        </w:rPr>
      </w:pPr>
      <w:r w:rsidRPr="005553DF">
        <w:rPr>
          <w:rFonts w:asciiTheme="minorHAnsi" w:hAnsiTheme="minorHAnsi" w:cstheme="minorHAnsi"/>
        </w:rPr>
        <w:t xml:space="preserve">These health </w:t>
      </w:r>
      <w:r w:rsidR="008C22EB" w:rsidRPr="005553DF">
        <w:rPr>
          <w:rFonts w:asciiTheme="minorHAnsi" w:hAnsiTheme="minorHAnsi" w:cstheme="minorHAnsi"/>
        </w:rPr>
        <w:t xml:space="preserve">endpoints were </w:t>
      </w:r>
      <w:r w:rsidR="004C576C" w:rsidRPr="005553DF">
        <w:rPr>
          <w:rFonts w:asciiTheme="minorHAnsi" w:hAnsiTheme="minorHAnsi" w:cstheme="minorHAnsi"/>
        </w:rPr>
        <w:t xml:space="preserve">not </w:t>
      </w:r>
      <w:r w:rsidR="008C22EB" w:rsidRPr="005553DF">
        <w:rPr>
          <w:rFonts w:asciiTheme="minorHAnsi" w:hAnsiTheme="minorHAnsi" w:cstheme="minorHAnsi"/>
        </w:rPr>
        <w:t>selected based on power calculations</w:t>
      </w:r>
      <w:r w:rsidR="004C576C" w:rsidRPr="005553DF">
        <w:rPr>
          <w:rFonts w:asciiTheme="minorHAnsi" w:hAnsiTheme="minorHAnsi" w:cstheme="minorHAnsi"/>
        </w:rPr>
        <w:t>,</w:t>
      </w:r>
      <w:r w:rsidR="008C22EB" w:rsidRPr="005553DF">
        <w:rPr>
          <w:rFonts w:asciiTheme="minorHAnsi" w:hAnsiTheme="minorHAnsi" w:cstheme="minorHAnsi"/>
        </w:rPr>
        <w:t xml:space="preserve"> but </w:t>
      </w:r>
      <w:r w:rsidR="004C576C" w:rsidRPr="005553DF">
        <w:rPr>
          <w:rFonts w:asciiTheme="minorHAnsi" w:hAnsiTheme="minorHAnsi" w:cstheme="minorHAnsi"/>
        </w:rPr>
        <w:t xml:space="preserve">rather </w:t>
      </w:r>
      <w:r w:rsidR="008C22EB" w:rsidRPr="005553DF">
        <w:rPr>
          <w:rFonts w:asciiTheme="minorHAnsi" w:hAnsiTheme="minorHAnsi" w:cstheme="minorHAnsi"/>
        </w:rPr>
        <w:t xml:space="preserve">on </w:t>
      </w:r>
      <w:r w:rsidR="007304AB" w:rsidRPr="00C648FF">
        <w:rPr>
          <w:rFonts w:asciiTheme="minorHAnsi" w:hAnsiTheme="minorHAnsi" w:cstheme="minorHAnsi"/>
        </w:rPr>
        <w:t xml:space="preserve">epidemiological and </w:t>
      </w:r>
      <w:r w:rsidR="008C22EB" w:rsidRPr="005553DF">
        <w:rPr>
          <w:rFonts w:asciiTheme="minorHAnsi" w:hAnsiTheme="minorHAnsi" w:cstheme="minorHAnsi"/>
        </w:rPr>
        <w:t xml:space="preserve">scientific bases: (1) endpoints that have been evaluated in previous PFAS research and need follow-up; (2) endpoints observed to be elevated in studies of other endocrine disrupting chemicals; and (3) results from toxicological studies.  </w:t>
      </w:r>
      <w:r w:rsidRPr="005553DF">
        <w:rPr>
          <w:rFonts w:asciiTheme="minorHAnsi" w:hAnsiTheme="minorHAnsi" w:cstheme="minorHAnsi"/>
        </w:rPr>
        <w:t xml:space="preserve">With </w:t>
      </w:r>
      <w:r w:rsidR="00FB3706" w:rsidRPr="005553DF">
        <w:rPr>
          <w:rFonts w:asciiTheme="minorHAnsi" w:hAnsiTheme="minorHAnsi" w:cstheme="minorHAnsi"/>
        </w:rPr>
        <w:t xml:space="preserve">the </w:t>
      </w:r>
      <w:r w:rsidRPr="005553DF">
        <w:rPr>
          <w:rFonts w:asciiTheme="minorHAnsi" w:hAnsiTheme="minorHAnsi" w:cstheme="minorHAnsi"/>
        </w:rPr>
        <w:t xml:space="preserve">proposed sample sizes </w:t>
      </w:r>
      <w:r w:rsidR="00362460" w:rsidRPr="005553DF">
        <w:rPr>
          <w:rFonts w:asciiTheme="minorHAnsi" w:hAnsiTheme="minorHAnsi" w:cstheme="minorHAnsi"/>
        </w:rPr>
        <w:t>for the overall multi-si</w:t>
      </w:r>
      <w:r w:rsidR="00231153" w:rsidRPr="005553DF">
        <w:rPr>
          <w:rFonts w:asciiTheme="minorHAnsi" w:hAnsiTheme="minorHAnsi" w:cstheme="minorHAnsi"/>
        </w:rPr>
        <w:t>t</w:t>
      </w:r>
      <w:r w:rsidR="00362460" w:rsidRPr="005553DF">
        <w:rPr>
          <w:rFonts w:asciiTheme="minorHAnsi" w:hAnsiTheme="minorHAnsi" w:cstheme="minorHAnsi"/>
        </w:rPr>
        <w:t xml:space="preserve">e study </w:t>
      </w:r>
      <w:r w:rsidRPr="005553DF">
        <w:rPr>
          <w:rFonts w:asciiTheme="minorHAnsi" w:hAnsiTheme="minorHAnsi" w:cstheme="minorHAnsi"/>
        </w:rPr>
        <w:t>we should have sufficient power to detect mean differences and odds ratios in</w:t>
      </w:r>
      <w:r w:rsidR="00FB3706" w:rsidRPr="005553DF">
        <w:rPr>
          <w:rFonts w:asciiTheme="minorHAnsi" w:hAnsiTheme="minorHAnsi" w:cstheme="minorHAnsi"/>
        </w:rPr>
        <w:t xml:space="preserve"> the</w:t>
      </w:r>
      <w:r w:rsidRPr="005553DF">
        <w:rPr>
          <w:rFonts w:asciiTheme="minorHAnsi" w:hAnsiTheme="minorHAnsi" w:cstheme="minorHAnsi"/>
        </w:rPr>
        <w:t xml:space="preserve"> range</w:t>
      </w:r>
      <w:r w:rsidR="00FB3706" w:rsidRPr="005553DF">
        <w:rPr>
          <w:rFonts w:asciiTheme="minorHAnsi" w:hAnsiTheme="minorHAnsi" w:cstheme="minorHAnsi"/>
        </w:rPr>
        <w:t>s</w:t>
      </w:r>
      <w:r w:rsidRPr="005553DF">
        <w:rPr>
          <w:rFonts w:asciiTheme="minorHAnsi" w:hAnsiTheme="minorHAnsi" w:cstheme="minorHAnsi"/>
        </w:rPr>
        <w:t xml:space="preserve"> of those observed in other well designed epidemiologic studies.</w:t>
      </w:r>
    </w:p>
    <w:p w14:paraId="27526F2D" w14:textId="77777777" w:rsidR="00C50C6E" w:rsidRPr="005553DF" w:rsidRDefault="004A6766" w:rsidP="005553DF">
      <w:pPr>
        <w:spacing w:after="240" w:line="360" w:lineRule="auto"/>
        <w:jc w:val="both"/>
        <w:rPr>
          <w:rFonts w:asciiTheme="minorHAnsi" w:hAnsiTheme="minorHAnsi" w:cstheme="minorHAnsi"/>
          <w:szCs w:val="24"/>
        </w:rPr>
      </w:pPr>
      <w:r w:rsidRPr="005553DF">
        <w:rPr>
          <w:rFonts w:asciiTheme="minorHAnsi" w:hAnsiTheme="minorHAnsi" w:cstheme="minorHAnsi"/>
        </w:rPr>
        <w:t xml:space="preserve">The </w:t>
      </w:r>
      <w:r w:rsidR="00FB3706" w:rsidRPr="005553DF">
        <w:rPr>
          <w:rFonts w:asciiTheme="minorHAnsi" w:hAnsiTheme="minorHAnsi" w:cstheme="minorHAnsi"/>
        </w:rPr>
        <w:t>adult and children s</w:t>
      </w:r>
      <w:r w:rsidRPr="005553DF">
        <w:rPr>
          <w:rFonts w:asciiTheme="minorHAnsi" w:hAnsiTheme="minorHAnsi" w:cstheme="minorHAnsi"/>
        </w:rPr>
        <w:t>tudies will obtain blood</w:t>
      </w:r>
      <w:r w:rsidR="0019387B" w:rsidRPr="005553DF">
        <w:rPr>
          <w:rFonts w:asciiTheme="minorHAnsi" w:hAnsiTheme="minorHAnsi" w:cstheme="minorHAnsi"/>
        </w:rPr>
        <w:t xml:space="preserve"> </w:t>
      </w:r>
      <w:r w:rsidRPr="005553DF">
        <w:rPr>
          <w:rFonts w:asciiTheme="minorHAnsi" w:hAnsiTheme="minorHAnsi" w:cstheme="minorHAnsi"/>
        </w:rPr>
        <w:t>specimens from participants to measure PFAS serum levels and several effect biomarkers</w:t>
      </w:r>
      <w:r w:rsidR="00852956" w:rsidRPr="005553DF">
        <w:rPr>
          <w:rFonts w:asciiTheme="minorHAnsi" w:hAnsiTheme="minorHAnsi" w:cstheme="minorHAnsi"/>
        </w:rPr>
        <w:t xml:space="preserve"> in addition to</w:t>
      </w:r>
      <w:r w:rsidRPr="005553DF">
        <w:rPr>
          <w:rFonts w:asciiTheme="minorHAnsi" w:hAnsiTheme="minorHAnsi" w:cstheme="minorHAnsi"/>
        </w:rPr>
        <w:t xml:space="preserve"> completi</w:t>
      </w:r>
      <w:r w:rsidR="00852956" w:rsidRPr="005553DF">
        <w:rPr>
          <w:rFonts w:asciiTheme="minorHAnsi" w:hAnsiTheme="minorHAnsi" w:cstheme="minorHAnsi"/>
        </w:rPr>
        <w:t>ng</w:t>
      </w:r>
      <w:r w:rsidRPr="005553DF">
        <w:rPr>
          <w:rFonts w:asciiTheme="minorHAnsi" w:hAnsiTheme="minorHAnsi" w:cstheme="minorHAnsi"/>
        </w:rPr>
        <w:t xml:space="preserve"> a questionnaire. </w:t>
      </w:r>
      <w:r w:rsidR="00FE7213" w:rsidRPr="005553DF">
        <w:rPr>
          <w:rFonts w:asciiTheme="minorHAnsi" w:hAnsiTheme="minorHAnsi" w:cstheme="minorHAnsi"/>
        </w:rPr>
        <w:t>T</w:t>
      </w:r>
      <w:r w:rsidR="008D1437" w:rsidRPr="005553DF">
        <w:rPr>
          <w:rFonts w:asciiTheme="minorHAnsi" w:hAnsiTheme="minorHAnsi" w:cstheme="minorHAnsi"/>
        </w:rPr>
        <w:t>he</w:t>
      </w:r>
      <w:r w:rsidR="00CD5C23" w:rsidRPr="005553DF">
        <w:rPr>
          <w:rFonts w:asciiTheme="minorHAnsi" w:hAnsiTheme="minorHAnsi" w:cstheme="minorHAnsi"/>
        </w:rPr>
        <w:t xml:space="preserve"> child and adult studies will evaluate </w:t>
      </w:r>
      <w:r w:rsidRPr="005553DF">
        <w:rPr>
          <w:rFonts w:asciiTheme="minorHAnsi" w:hAnsiTheme="minorHAnsi" w:cstheme="minorHAnsi"/>
        </w:rPr>
        <w:t xml:space="preserve">changes in </w:t>
      </w:r>
      <w:r w:rsidR="00C50C6E" w:rsidRPr="005553DF">
        <w:rPr>
          <w:rFonts w:asciiTheme="minorHAnsi" w:hAnsiTheme="minorHAnsi" w:cstheme="minorHAnsi"/>
        </w:rPr>
        <w:t xml:space="preserve">serum </w:t>
      </w:r>
      <w:r w:rsidRPr="005553DF">
        <w:rPr>
          <w:rFonts w:asciiTheme="minorHAnsi" w:hAnsiTheme="minorHAnsi" w:cstheme="minorHAnsi"/>
        </w:rPr>
        <w:t xml:space="preserve">PFAS concentration </w:t>
      </w:r>
      <w:r w:rsidR="00CD5C23" w:rsidRPr="005553DF">
        <w:rPr>
          <w:rFonts w:asciiTheme="minorHAnsi" w:hAnsiTheme="minorHAnsi" w:cstheme="minorHAnsi"/>
        </w:rPr>
        <w:t>over time</w:t>
      </w:r>
      <w:r w:rsidR="00933A36" w:rsidRPr="005553DF">
        <w:rPr>
          <w:rFonts w:asciiTheme="minorHAnsi" w:hAnsiTheme="minorHAnsi" w:cstheme="minorHAnsi"/>
        </w:rPr>
        <w:t xml:space="preserve"> using the existing </w:t>
      </w:r>
      <w:r w:rsidR="00FE7213" w:rsidRPr="005553DF">
        <w:rPr>
          <w:rFonts w:asciiTheme="minorHAnsi" w:hAnsiTheme="minorHAnsi" w:cstheme="minorHAnsi"/>
        </w:rPr>
        <w:t xml:space="preserve">biomonitoring </w:t>
      </w:r>
      <w:r w:rsidR="00933A36" w:rsidRPr="005553DF">
        <w:rPr>
          <w:rFonts w:asciiTheme="minorHAnsi" w:hAnsiTheme="minorHAnsi" w:cstheme="minorHAnsi"/>
        </w:rPr>
        <w:t xml:space="preserve">and new PFAS </w:t>
      </w:r>
      <w:r w:rsidR="00FE7213" w:rsidRPr="005553DF">
        <w:rPr>
          <w:rFonts w:asciiTheme="minorHAnsi" w:hAnsiTheme="minorHAnsi" w:cstheme="minorHAnsi"/>
        </w:rPr>
        <w:t>results</w:t>
      </w:r>
      <w:r w:rsidR="00AC2D22" w:rsidRPr="005553DF">
        <w:rPr>
          <w:rFonts w:asciiTheme="minorHAnsi" w:hAnsiTheme="minorHAnsi" w:cstheme="minorHAnsi"/>
        </w:rPr>
        <w:t>, and will contribute to</w:t>
      </w:r>
      <w:r w:rsidRPr="005553DF">
        <w:rPr>
          <w:rFonts w:asciiTheme="minorHAnsi" w:hAnsiTheme="minorHAnsi" w:cstheme="minorHAnsi"/>
        </w:rPr>
        <w:t xml:space="preserve"> hal</w:t>
      </w:r>
      <w:r w:rsidR="00362460" w:rsidRPr="005553DF">
        <w:rPr>
          <w:rFonts w:asciiTheme="minorHAnsi" w:hAnsiTheme="minorHAnsi" w:cstheme="minorHAnsi"/>
        </w:rPr>
        <w:t>f</w:t>
      </w:r>
      <w:r w:rsidRPr="005553DF">
        <w:rPr>
          <w:rFonts w:asciiTheme="minorHAnsi" w:hAnsiTheme="minorHAnsi" w:cstheme="minorHAnsi"/>
        </w:rPr>
        <w:t>-lives and elimination rate</w:t>
      </w:r>
      <w:r w:rsidR="00AC2D22" w:rsidRPr="005553DF">
        <w:rPr>
          <w:rFonts w:asciiTheme="minorHAnsi" w:hAnsiTheme="minorHAnsi" w:cstheme="minorHAnsi"/>
        </w:rPr>
        <w:t xml:space="preserve"> estimation</w:t>
      </w:r>
      <w:r w:rsidRPr="005553DF">
        <w:rPr>
          <w:rFonts w:asciiTheme="minorHAnsi" w:hAnsiTheme="minorHAnsi" w:cstheme="minorHAnsi"/>
        </w:rPr>
        <w:t xml:space="preserve">s </w:t>
      </w:r>
      <w:r w:rsidR="00FE7213" w:rsidRPr="005553DF">
        <w:rPr>
          <w:rFonts w:asciiTheme="minorHAnsi" w:hAnsiTheme="minorHAnsi" w:cstheme="minorHAnsi"/>
        </w:rPr>
        <w:t xml:space="preserve">for </w:t>
      </w:r>
      <w:r w:rsidRPr="005553DF">
        <w:rPr>
          <w:rFonts w:asciiTheme="minorHAnsi" w:hAnsiTheme="minorHAnsi" w:cstheme="minorHAnsi"/>
        </w:rPr>
        <w:t>PBPK modeling</w:t>
      </w:r>
      <w:r w:rsidR="00CD5C23" w:rsidRPr="005553DF">
        <w:rPr>
          <w:rFonts w:asciiTheme="minorHAnsi" w:hAnsiTheme="minorHAnsi" w:cstheme="minorHAnsi"/>
        </w:rPr>
        <w:t>.</w:t>
      </w:r>
      <w:r w:rsidR="00FE7213" w:rsidRPr="005553DF">
        <w:rPr>
          <w:rFonts w:asciiTheme="minorHAnsi" w:hAnsiTheme="minorHAnsi" w:cstheme="minorHAnsi"/>
        </w:rPr>
        <w:t xml:space="preserve"> </w:t>
      </w:r>
      <w:r w:rsidR="00C50C6E" w:rsidRPr="005553DF">
        <w:rPr>
          <w:rFonts w:asciiTheme="minorHAnsi" w:hAnsiTheme="minorHAnsi" w:cstheme="minorHAnsi"/>
          <w:szCs w:val="24"/>
        </w:rPr>
        <w:t xml:space="preserve">Urine specimens will be collected and stored until such time that analytical methods are developed and scientific evidence shows which PFAS </w:t>
      </w:r>
      <w:r w:rsidR="0023041A" w:rsidRPr="005553DF">
        <w:rPr>
          <w:rFonts w:asciiTheme="minorHAnsi" w:hAnsiTheme="minorHAnsi" w:cstheme="minorHAnsi"/>
          <w:szCs w:val="24"/>
        </w:rPr>
        <w:t xml:space="preserve">tests </w:t>
      </w:r>
      <w:r w:rsidR="00C50C6E" w:rsidRPr="005553DF">
        <w:rPr>
          <w:rFonts w:asciiTheme="minorHAnsi" w:hAnsiTheme="minorHAnsi" w:cstheme="minorHAnsi"/>
          <w:szCs w:val="24"/>
        </w:rPr>
        <w:t>will yield useful measureable results.</w:t>
      </w:r>
    </w:p>
    <w:p w14:paraId="207FDA54" w14:textId="77777777" w:rsidR="009574E7" w:rsidRPr="005553DF" w:rsidRDefault="009574E7"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results from the </w:t>
      </w:r>
      <w:r w:rsidR="009F4E59" w:rsidRPr="005553DF">
        <w:rPr>
          <w:rFonts w:asciiTheme="minorHAnsi" w:hAnsiTheme="minorHAnsi" w:cstheme="minorHAnsi"/>
        </w:rPr>
        <w:t>Pease Study</w:t>
      </w:r>
      <w:r w:rsidRPr="005553DF">
        <w:rPr>
          <w:rFonts w:asciiTheme="minorHAnsi" w:hAnsiTheme="minorHAnsi" w:cstheme="minorHAnsi"/>
        </w:rPr>
        <w:t xml:space="preserve"> will </w:t>
      </w:r>
      <w:r w:rsidR="006D48E4" w:rsidRPr="005553DF">
        <w:rPr>
          <w:rFonts w:asciiTheme="minorHAnsi" w:hAnsiTheme="minorHAnsi" w:cstheme="minorHAnsi"/>
        </w:rPr>
        <w:t>contribute to</w:t>
      </w:r>
      <w:r w:rsidRPr="005553DF">
        <w:rPr>
          <w:rFonts w:asciiTheme="minorHAnsi" w:hAnsiTheme="minorHAnsi" w:cstheme="minorHAnsi"/>
        </w:rPr>
        <w:t xml:space="preserve"> the </w:t>
      </w:r>
      <w:r w:rsidR="006D48E4" w:rsidRPr="005553DF">
        <w:rPr>
          <w:rFonts w:asciiTheme="minorHAnsi" w:hAnsiTheme="minorHAnsi" w:cstheme="minorHAnsi"/>
        </w:rPr>
        <w:t xml:space="preserve">body of scientific research </w:t>
      </w:r>
      <w:r w:rsidRPr="005553DF">
        <w:rPr>
          <w:rFonts w:asciiTheme="minorHAnsi" w:hAnsiTheme="minorHAnsi" w:cstheme="minorHAnsi"/>
        </w:rPr>
        <w:t xml:space="preserve">examining health outcomes related to </w:t>
      </w:r>
      <w:r w:rsidR="00175065" w:rsidRPr="005553DF">
        <w:rPr>
          <w:rFonts w:asciiTheme="minorHAnsi" w:hAnsiTheme="minorHAnsi" w:cstheme="minorHAnsi"/>
        </w:rPr>
        <w:t xml:space="preserve">community </w:t>
      </w:r>
      <w:r w:rsidRPr="005553DF">
        <w:rPr>
          <w:rFonts w:asciiTheme="minorHAnsi" w:hAnsiTheme="minorHAnsi" w:cstheme="minorHAnsi"/>
        </w:rPr>
        <w:t>PFAS exposures from contaminated drinking water</w:t>
      </w:r>
      <w:r w:rsidR="006D48E4" w:rsidRPr="005553DF">
        <w:rPr>
          <w:rFonts w:asciiTheme="minorHAnsi" w:hAnsiTheme="minorHAnsi" w:cstheme="minorHAnsi"/>
        </w:rPr>
        <w:t>. They will inform the direction and design of the multi-site and other future PFAS studies.</w:t>
      </w:r>
    </w:p>
    <w:p w14:paraId="63E79F35" w14:textId="77777777" w:rsidR="00022441" w:rsidRPr="005553DF" w:rsidRDefault="00022441" w:rsidP="005553DF">
      <w:pPr>
        <w:pStyle w:val="Heading2"/>
        <w:spacing w:before="0" w:after="240" w:line="360" w:lineRule="auto"/>
        <w:jc w:val="both"/>
        <w:rPr>
          <w:rFonts w:asciiTheme="minorHAnsi" w:hAnsiTheme="minorHAnsi" w:cstheme="minorHAnsi"/>
          <w:i w:val="0"/>
          <w:sz w:val="22"/>
          <w:szCs w:val="22"/>
        </w:rPr>
      </w:pPr>
      <w:bookmarkStart w:id="8" w:name="_Toc532224135"/>
      <w:r w:rsidRPr="005553DF">
        <w:rPr>
          <w:rFonts w:asciiTheme="minorHAnsi" w:hAnsiTheme="minorHAnsi" w:cstheme="minorHAnsi"/>
          <w:i w:val="0"/>
          <w:color w:val="000000"/>
          <w:sz w:val="22"/>
          <w:szCs w:val="22"/>
        </w:rPr>
        <w:t>1.</w:t>
      </w:r>
      <w:r w:rsidR="00C343BB" w:rsidRPr="005553DF">
        <w:rPr>
          <w:rFonts w:asciiTheme="minorHAnsi" w:hAnsiTheme="minorHAnsi" w:cstheme="minorHAnsi"/>
          <w:i w:val="0"/>
          <w:color w:val="000000"/>
          <w:sz w:val="22"/>
          <w:szCs w:val="22"/>
        </w:rPr>
        <w:t>2</w:t>
      </w:r>
      <w:r w:rsidRPr="005553DF">
        <w:rPr>
          <w:rFonts w:asciiTheme="minorHAnsi" w:hAnsiTheme="minorHAnsi" w:cstheme="minorHAnsi"/>
          <w:i w:val="0"/>
          <w:color w:val="000000"/>
          <w:sz w:val="22"/>
          <w:szCs w:val="22"/>
        </w:rPr>
        <w:t xml:space="preserve"> </w:t>
      </w:r>
      <w:r w:rsidRPr="005553DF">
        <w:rPr>
          <w:rFonts w:asciiTheme="minorHAnsi" w:hAnsiTheme="minorHAnsi" w:cstheme="minorHAnsi"/>
          <w:i w:val="0"/>
          <w:sz w:val="22"/>
          <w:szCs w:val="22"/>
        </w:rPr>
        <w:t>Study Investigators</w:t>
      </w:r>
      <w:r w:rsidR="005E1EF4" w:rsidRPr="005553DF">
        <w:rPr>
          <w:rFonts w:asciiTheme="minorHAnsi" w:hAnsiTheme="minorHAnsi" w:cstheme="minorHAnsi"/>
          <w:i w:val="0"/>
          <w:sz w:val="22"/>
          <w:szCs w:val="22"/>
        </w:rPr>
        <w:t xml:space="preserve"> </w:t>
      </w:r>
      <w:r w:rsidR="009D47D0" w:rsidRPr="005553DF">
        <w:rPr>
          <w:rFonts w:asciiTheme="minorHAnsi" w:hAnsiTheme="minorHAnsi" w:cstheme="minorHAnsi"/>
          <w:i w:val="0"/>
          <w:sz w:val="22"/>
          <w:szCs w:val="22"/>
        </w:rPr>
        <w:t>and Roles</w:t>
      </w:r>
      <w:bookmarkEnd w:id="8"/>
    </w:p>
    <w:p w14:paraId="47D39429" w14:textId="2F6F1DBD" w:rsidR="00EB4CCB" w:rsidRPr="005553DF" w:rsidRDefault="00EB4CCB" w:rsidP="005553DF">
      <w:pPr>
        <w:spacing w:after="240" w:line="360" w:lineRule="auto"/>
        <w:jc w:val="both"/>
        <w:rPr>
          <w:rFonts w:asciiTheme="minorHAnsi" w:hAnsiTheme="minorHAnsi" w:cstheme="minorHAnsi"/>
          <w:szCs w:val="24"/>
        </w:rPr>
      </w:pPr>
      <w:bookmarkStart w:id="9" w:name="_Toc298925934"/>
      <w:r w:rsidRPr="005553DF">
        <w:rPr>
          <w:rFonts w:asciiTheme="minorHAnsi" w:hAnsiTheme="minorHAnsi" w:cs="Calibri"/>
          <w:szCs w:val="24"/>
        </w:rPr>
        <w:t>The health study team at</w:t>
      </w:r>
      <w:r w:rsidRPr="005553DF">
        <w:rPr>
          <w:rFonts w:asciiTheme="minorHAnsi" w:hAnsiTheme="minorHAnsi" w:cstheme="minorHAnsi"/>
          <w:szCs w:val="24"/>
        </w:rPr>
        <w:t xml:space="preserve"> ATSDR is responsible for the development of protocol</w:t>
      </w:r>
      <w:r w:rsidR="005A408B" w:rsidRPr="005553DF">
        <w:rPr>
          <w:rFonts w:asciiTheme="minorHAnsi" w:hAnsiTheme="minorHAnsi" w:cstheme="minorHAnsi"/>
          <w:szCs w:val="24"/>
        </w:rPr>
        <w:t>s</w:t>
      </w:r>
      <w:r w:rsidRPr="005553DF">
        <w:rPr>
          <w:rFonts w:asciiTheme="minorHAnsi" w:hAnsiTheme="minorHAnsi" w:cstheme="minorHAnsi"/>
          <w:szCs w:val="24"/>
        </w:rPr>
        <w:t xml:space="preserve"> </w:t>
      </w:r>
      <w:r w:rsidR="005A408B" w:rsidRPr="005553DF">
        <w:rPr>
          <w:rFonts w:asciiTheme="minorHAnsi" w:hAnsiTheme="minorHAnsi" w:cstheme="minorHAnsi"/>
          <w:szCs w:val="24"/>
        </w:rPr>
        <w:t>for</w:t>
      </w:r>
      <w:r w:rsidRPr="005553DF">
        <w:rPr>
          <w:rFonts w:asciiTheme="minorHAnsi" w:hAnsiTheme="minorHAnsi" w:cstheme="minorHAnsi"/>
          <w:szCs w:val="24"/>
        </w:rPr>
        <w:t xml:space="preserve"> the </w:t>
      </w:r>
      <w:r w:rsidR="00C54B43" w:rsidRPr="005553DF">
        <w:rPr>
          <w:rFonts w:asciiTheme="minorHAnsi" w:hAnsiTheme="minorHAnsi" w:cstheme="minorHAnsi"/>
          <w:szCs w:val="24"/>
        </w:rPr>
        <w:t xml:space="preserve">Pease Study and the </w:t>
      </w:r>
      <w:r w:rsidR="002B5A8F" w:rsidRPr="005553DF">
        <w:rPr>
          <w:rFonts w:asciiTheme="minorHAnsi" w:hAnsiTheme="minorHAnsi" w:cstheme="minorHAnsi"/>
          <w:szCs w:val="24"/>
        </w:rPr>
        <w:t xml:space="preserve">future </w:t>
      </w:r>
      <w:r w:rsidR="00C54B43" w:rsidRPr="005553DF">
        <w:rPr>
          <w:rFonts w:asciiTheme="minorHAnsi" w:hAnsiTheme="minorHAnsi" w:cstheme="minorHAnsi"/>
          <w:szCs w:val="24"/>
        </w:rPr>
        <w:t xml:space="preserve">PFAS </w:t>
      </w:r>
      <w:r w:rsidR="00FD0ACD" w:rsidRPr="005553DF">
        <w:rPr>
          <w:rFonts w:asciiTheme="minorHAnsi" w:hAnsiTheme="minorHAnsi" w:cstheme="minorHAnsi"/>
          <w:szCs w:val="24"/>
        </w:rPr>
        <w:t>m</w:t>
      </w:r>
      <w:r w:rsidR="00C54B43" w:rsidRPr="005553DF">
        <w:rPr>
          <w:rFonts w:asciiTheme="minorHAnsi" w:hAnsiTheme="minorHAnsi" w:cstheme="minorHAnsi"/>
          <w:szCs w:val="24"/>
        </w:rPr>
        <w:t>ulti-</w:t>
      </w:r>
      <w:r w:rsidR="00FD0ACD" w:rsidRPr="005553DF">
        <w:rPr>
          <w:rFonts w:asciiTheme="minorHAnsi" w:hAnsiTheme="minorHAnsi" w:cstheme="minorHAnsi"/>
          <w:szCs w:val="24"/>
        </w:rPr>
        <w:t>s</w:t>
      </w:r>
      <w:r w:rsidR="00C54B43" w:rsidRPr="005553DF">
        <w:rPr>
          <w:rFonts w:asciiTheme="minorHAnsi" w:hAnsiTheme="minorHAnsi" w:cstheme="minorHAnsi"/>
          <w:szCs w:val="24"/>
        </w:rPr>
        <w:t xml:space="preserve">ite </w:t>
      </w:r>
      <w:r w:rsidR="00FD0ACD" w:rsidRPr="005553DF">
        <w:rPr>
          <w:rFonts w:asciiTheme="minorHAnsi" w:hAnsiTheme="minorHAnsi" w:cstheme="minorHAnsi"/>
          <w:szCs w:val="24"/>
        </w:rPr>
        <w:t>s</w:t>
      </w:r>
      <w:r w:rsidR="00C54B43" w:rsidRPr="005553DF">
        <w:rPr>
          <w:rFonts w:asciiTheme="minorHAnsi" w:hAnsiTheme="minorHAnsi" w:cstheme="minorHAnsi"/>
          <w:szCs w:val="24"/>
        </w:rPr>
        <w:t>tudy</w:t>
      </w:r>
      <w:r w:rsidRPr="005553DF">
        <w:rPr>
          <w:rFonts w:asciiTheme="minorHAnsi" w:hAnsiTheme="minorHAnsi" w:cstheme="minorHAnsi"/>
          <w:szCs w:val="24"/>
        </w:rPr>
        <w:t>. A table describing the roles of investigators, oversight steering committee, external expert</w:t>
      </w:r>
      <w:r w:rsidR="00541659" w:rsidRPr="005553DF">
        <w:rPr>
          <w:rFonts w:asciiTheme="minorHAnsi" w:hAnsiTheme="minorHAnsi" w:cstheme="minorHAnsi"/>
          <w:szCs w:val="24"/>
        </w:rPr>
        <w:t>s</w:t>
      </w:r>
      <w:r w:rsidRPr="005553DF">
        <w:rPr>
          <w:rFonts w:asciiTheme="minorHAnsi" w:hAnsiTheme="minorHAnsi" w:cstheme="minorHAnsi"/>
          <w:szCs w:val="24"/>
        </w:rPr>
        <w:t xml:space="preserve">, as well as other collaborators and consultants is found in </w:t>
      </w:r>
      <w:r w:rsidRPr="005553DF">
        <w:rPr>
          <w:rFonts w:asciiTheme="minorHAnsi" w:hAnsiTheme="minorHAnsi" w:cstheme="minorHAnsi"/>
          <w:b/>
          <w:szCs w:val="24"/>
        </w:rPr>
        <w:t>A</w:t>
      </w:r>
      <w:r w:rsidR="00447A4E" w:rsidRPr="005553DF">
        <w:rPr>
          <w:rFonts w:asciiTheme="minorHAnsi" w:hAnsiTheme="minorHAnsi" w:cstheme="minorHAnsi"/>
          <w:b/>
          <w:szCs w:val="24"/>
        </w:rPr>
        <w:t>ttachment 1</w:t>
      </w:r>
      <w:r w:rsidR="00DA1B5C" w:rsidRPr="005553DF">
        <w:rPr>
          <w:rFonts w:asciiTheme="minorHAnsi" w:hAnsiTheme="minorHAnsi" w:cstheme="minorHAnsi"/>
          <w:b/>
          <w:szCs w:val="24"/>
        </w:rPr>
        <w:t>.</w:t>
      </w:r>
      <w:r w:rsidR="00DA1B5C" w:rsidRPr="005553DF">
        <w:rPr>
          <w:rFonts w:asciiTheme="minorHAnsi" w:hAnsiTheme="minorHAnsi" w:cstheme="minorHAnsi"/>
          <w:szCs w:val="24"/>
        </w:rPr>
        <w:t xml:space="preserve"> </w:t>
      </w:r>
      <w:r w:rsidRPr="005553DF">
        <w:rPr>
          <w:rFonts w:asciiTheme="minorHAnsi" w:hAnsiTheme="minorHAnsi"/>
        </w:rPr>
        <w:t>The study investigators declare no conflicts of interest, financial or otherwise, that may prevent them from exercising objectivity in carrying out the study.</w:t>
      </w:r>
    </w:p>
    <w:p w14:paraId="1AE7D5EB" w14:textId="77777777" w:rsidR="00EB4CCB" w:rsidRPr="005553DF" w:rsidRDefault="00EB4CCB" w:rsidP="005553DF">
      <w:pPr>
        <w:spacing w:after="240" w:line="360" w:lineRule="auto"/>
        <w:jc w:val="both"/>
        <w:rPr>
          <w:rFonts w:asciiTheme="minorHAnsi" w:hAnsiTheme="minorHAnsi" w:cstheme="minorHAnsi"/>
          <w:szCs w:val="24"/>
        </w:rPr>
      </w:pPr>
      <w:r w:rsidRPr="005553DF">
        <w:rPr>
          <w:rFonts w:asciiTheme="minorHAnsi" w:hAnsiTheme="minorHAnsi" w:cstheme="minorHAnsi"/>
          <w:szCs w:val="24"/>
        </w:rPr>
        <w:t xml:space="preserve">Serum specimens for PFAS analyses will be submitted to the CDC NCEH DLS, Atlanta, GA.  Core clinical and research effect biomarkers will be analyzed by commercial laboratories as specified in the protocol. </w:t>
      </w:r>
      <w:r w:rsidR="0019387B" w:rsidRPr="005553DF">
        <w:rPr>
          <w:rFonts w:asciiTheme="minorHAnsi" w:hAnsiTheme="minorHAnsi" w:cstheme="minorHAnsi"/>
          <w:szCs w:val="24"/>
        </w:rPr>
        <w:t xml:space="preserve">Urine specimens will be </w:t>
      </w:r>
      <w:r w:rsidR="00A93492" w:rsidRPr="005553DF">
        <w:rPr>
          <w:rFonts w:asciiTheme="minorHAnsi" w:hAnsiTheme="minorHAnsi" w:cstheme="minorHAnsi"/>
          <w:szCs w:val="24"/>
        </w:rPr>
        <w:t xml:space="preserve">collected and </w:t>
      </w:r>
      <w:r w:rsidR="00C50C6E" w:rsidRPr="005553DF">
        <w:rPr>
          <w:rFonts w:asciiTheme="minorHAnsi" w:hAnsiTheme="minorHAnsi" w:cstheme="minorHAnsi"/>
          <w:szCs w:val="24"/>
        </w:rPr>
        <w:t>stored for future analysis and study</w:t>
      </w:r>
      <w:r w:rsidR="0019387B" w:rsidRPr="005553DF">
        <w:rPr>
          <w:rFonts w:asciiTheme="minorHAnsi" w:hAnsiTheme="minorHAnsi" w:cstheme="minorHAnsi"/>
          <w:szCs w:val="24"/>
        </w:rPr>
        <w:t>.</w:t>
      </w:r>
    </w:p>
    <w:p w14:paraId="4B0656DC" w14:textId="77777777" w:rsidR="009D7164" w:rsidRPr="005553DF" w:rsidRDefault="009D7164" w:rsidP="005553DF">
      <w:pPr>
        <w:spacing w:after="240" w:line="360" w:lineRule="auto"/>
        <w:jc w:val="both"/>
        <w:rPr>
          <w:rFonts w:asciiTheme="minorHAnsi" w:hAnsiTheme="minorHAnsi"/>
          <w:i/>
        </w:rPr>
      </w:pPr>
      <w:r w:rsidRPr="005553DF">
        <w:rPr>
          <w:rFonts w:asciiTheme="minorHAnsi" w:hAnsiTheme="minorHAnsi" w:cstheme="minorHAnsi"/>
          <w:szCs w:val="24"/>
        </w:rPr>
        <w:t>The NH DHHS wil</w:t>
      </w:r>
      <w:r w:rsidR="006F1423" w:rsidRPr="005553DF">
        <w:rPr>
          <w:rFonts w:asciiTheme="minorHAnsi" w:hAnsiTheme="minorHAnsi" w:cstheme="minorHAnsi"/>
          <w:szCs w:val="24"/>
        </w:rPr>
        <w:t xml:space="preserve">l provide a </w:t>
      </w:r>
      <w:r w:rsidR="009E167D" w:rsidRPr="005553DF">
        <w:rPr>
          <w:rFonts w:asciiTheme="minorHAnsi" w:hAnsiTheme="minorHAnsi" w:cstheme="minorHAnsi"/>
          <w:szCs w:val="24"/>
        </w:rPr>
        <w:t>recruitment frame</w:t>
      </w:r>
      <w:r w:rsidR="006F1423" w:rsidRPr="005553DF">
        <w:rPr>
          <w:rFonts w:asciiTheme="minorHAnsi" w:hAnsiTheme="minorHAnsi" w:cstheme="minorHAnsi"/>
          <w:szCs w:val="24"/>
        </w:rPr>
        <w:t xml:space="preserve"> and</w:t>
      </w:r>
      <w:r w:rsidRPr="005553DF">
        <w:rPr>
          <w:rFonts w:asciiTheme="minorHAnsi" w:hAnsiTheme="minorHAnsi" w:cstheme="minorHAnsi"/>
          <w:szCs w:val="24"/>
        </w:rPr>
        <w:t xml:space="preserve"> </w:t>
      </w:r>
      <w:r w:rsidR="006F1423" w:rsidRPr="005553DF">
        <w:rPr>
          <w:rFonts w:asciiTheme="minorHAnsi" w:hAnsiTheme="minorHAnsi" w:cstheme="minorHAnsi"/>
          <w:szCs w:val="24"/>
        </w:rPr>
        <w:t xml:space="preserve">provide </w:t>
      </w:r>
      <w:r w:rsidRPr="005553DF">
        <w:rPr>
          <w:rFonts w:asciiTheme="minorHAnsi" w:hAnsiTheme="minorHAnsi" w:cstheme="minorHAnsi"/>
          <w:szCs w:val="24"/>
        </w:rPr>
        <w:t>supp</w:t>
      </w:r>
      <w:r w:rsidR="001425CD" w:rsidRPr="005553DF">
        <w:rPr>
          <w:rFonts w:asciiTheme="minorHAnsi" w:hAnsiTheme="minorHAnsi" w:cstheme="minorHAnsi"/>
          <w:szCs w:val="24"/>
        </w:rPr>
        <w:t>ort</w:t>
      </w:r>
      <w:r w:rsidRPr="005553DF">
        <w:rPr>
          <w:rFonts w:asciiTheme="minorHAnsi" w:hAnsiTheme="minorHAnsi" w:cstheme="minorHAnsi"/>
          <w:szCs w:val="24"/>
        </w:rPr>
        <w:t xml:space="preserve"> for </w:t>
      </w:r>
      <w:r w:rsidR="001425CD" w:rsidRPr="005553DF">
        <w:rPr>
          <w:rFonts w:asciiTheme="minorHAnsi" w:hAnsiTheme="minorHAnsi" w:cstheme="minorHAnsi"/>
          <w:szCs w:val="24"/>
        </w:rPr>
        <w:t xml:space="preserve">ATSDR to </w:t>
      </w:r>
      <w:r w:rsidRPr="005553DF">
        <w:rPr>
          <w:rFonts w:asciiTheme="minorHAnsi" w:hAnsiTheme="minorHAnsi" w:cstheme="minorHAnsi"/>
          <w:szCs w:val="24"/>
        </w:rPr>
        <w:t xml:space="preserve">recruit from its existing list of participants in its Pease biomonitoring program. ATSDR will work with </w:t>
      </w:r>
      <w:r w:rsidR="00BE6E63" w:rsidRPr="005553DF">
        <w:rPr>
          <w:rFonts w:asciiTheme="minorHAnsi" w:hAnsiTheme="minorHAnsi" w:cstheme="minorHAnsi"/>
          <w:szCs w:val="24"/>
        </w:rPr>
        <w:t>local</w:t>
      </w:r>
      <w:r w:rsidRPr="005553DF">
        <w:rPr>
          <w:rFonts w:asciiTheme="minorHAnsi" w:hAnsiTheme="minorHAnsi" w:cstheme="minorHAnsi"/>
          <w:szCs w:val="24"/>
        </w:rPr>
        <w:t xml:space="preserve"> </w:t>
      </w:r>
      <w:r w:rsidR="001425CD" w:rsidRPr="005553DF">
        <w:rPr>
          <w:rFonts w:asciiTheme="minorHAnsi" w:hAnsiTheme="minorHAnsi" w:cstheme="minorHAnsi"/>
          <w:szCs w:val="24"/>
        </w:rPr>
        <w:t>offic</w:t>
      </w:r>
      <w:r w:rsidR="008C39CC" w:rsidRPr="005553DF">
        <w:rPr>
          <w:rFonts w:asciiTheme="minorHAnsi" w:hAnsiTheme="minorHAnsi" w:cstheme="minorHAnsi"/>
          <w:szCs w:val="24"/>
        </w:rPr>
        <w:t>i</w:t>
      </w:r>
      <w:r w:rsidR="001425CD" w:rsidRPr="005553DF">
        <w:rPr>
          <w:rFonts w:asciiTheme="minorHAnsi" w:hAnsiTheme="minorHAnsi" w:cstheme="minorHAnsi"/>
          <w:szCs w:val="24"/>
        </w:rPr>
        <w:t>als to recruit additional exposed and referent participants</w:t>
      </w:r>
      <w:r w:rsidR="00BE6E63" w:rsidRPr="005553DF">
        <w:rPr>
          <w:rFonts w:asciiTheme="minorHAnsi" w:hAnsiTheme="minorHAnsi" w:cstheme="minorHAnsi"/>
          <w:szCs w:val="24"/>
        </w:rPr>
        <w:t xml:space="preserve"> to meet sample size goals. ATSDR will</w:t>
      </w:r>
      <w:r w:rsidR="00117BF7" w:rsidRPr="005553DF">
        <w:rPr>
          <w:rFonts w:asciiTheme="minorHAnsi" w:hAnsiTheme="minorHAnsi" w:cstheme="minorHAnsi"/>
          <w:szCs w:val="24"/>
        </w:rPr>
        <w:t xml:space="preserve"> </w:t>
      </w:r>
      <w:r w:rsidR="00BE6E63" w:rsidRPr="005553DF">
        <w:rPr>
          <w:rFonts w:asciiTheme="minorHAnsi" w:hAnsiTheme="minorHAnsi" w:cstheme="minorHAnsi"/>
          <w:szCs w:val="24"/>
        </w:rPr>
        <w:t xml:space="preserve">work with local officials and school districts to </w:t>
      </w:r>
      <w:r w:rsidR="001A53F7" w:rsidRPr="005553DF">
        <w:rPr>
          <w:rFonts w:asciiTheme="minorHAnsi" w:hAnsiTheme="minorHAnsi" w:cstheme="minorHAnsi"/>
          <w:szCs w:val="24"/>
        </w:rPr>
        <w:t>abstract</w:t>
      </w:r>
      <w:r w:rsidR="00117BF7" w:rsidRPr="005553DF">
        <w:rPr>
          <w:rFonts w:asciiTheme="minorHAnsi" w:hAnsiTheme="minorHAnsi" w:cstheme="minorHAnsi"/>
          <w:szCs w:val="24"/>
        </w:rPr>
        <w:t xml:space="preserve"> pertinent information from children’s school records. Similarly, ATSDR will </w:t>
      </w:r>
      <w:r w:rsidR="006B4698" w:rsidRPr="005553DF">
        <w:rPr>
          <w:rFonts w:asciiTheme="minorHAnsi" w:hAnsiTheme="minorHAnsi" w:cstheme="minorHAnsi"/>
          <w:szCs w:val="24"/>
        </w:rPr>
        <w:t xml:space="preserve">also </w:t>
      </w:r>
      <w:r w:rsidR="00117BF7" w:rsidRPr="005553DF">
        <w:rPr>
          <w:rFonts w:asciiTheme="minorHAnsi" w:hAnsiTheme="minorHAnsi" w:cstheme="minorHAnsi"/>
          <w:szCs w:val="24"/>
        </w:rPr>
        <w:t>reach out to local medical societies to facilitate medical records verification among local practitioners.</w:t>
      </w:r>
    </w:p>
    <w:p w14:paraId="4D3F227E" w14:textId="77777777" w:rsidR="0083780C" w:rsidRPr="005553DF" w:rsidRDefault="00EB4CCB" w:rsidP="005553DF">
      <w:pPr>
        <w:spacing w:after="240" w:line="360" w:lineRule="auto"/>
        <w:jc w:val="both"/>
        <w:rPr>
          <w:rStyle w:val="Heading1Char"/>
          <w:rFonts w:asciiTheme="minorHAnsi" w:eastAsia="Calibri" w:hAnsiTheme="minorHAnsi" w:cstheme="minorHAnsi"/>
          <w:sz w:val="22"/>
          <w:szCs w:val="22"/>
        </w:rPr>
      </w:pPr>
      <w:r w:rsidRPr="005553DF">
        <w:rPr>
          <w:rFonts w:asciiTheme="minorHAnsi" w:hAnsiTheme="minorHAnsi" w:cstheme="minorHAnsi"/>
          <w:szCs w:val="24"/>
        </w:rPr>
        <w:t xml:space="preserve">The protocol </w:t>
      </w:r>
      <w:r w:rsidR="00D00140" w:rsidRPr="005553DF">
        <w:rPr>
          <w:rFonts w:asciiTheme="minorHAnsi" w:hAnsiTheme="minorHAnsi" w:cstheme="minorHAnsi"/>
          <w:szCs w:val="24"/>
        </w:rPr>
        <w:t xml:space="preserve">has </w:t>
      </w:r>
      <w:r w:rsidR="001C5EDE" w:rsidRPr="005553DF">
        <w:rPr>
          <w:rFonts w:asciiTheme="minorHAnsi" w:hAnsiTheme="minorHAnsi" w:cstheme="minorHAnsi"/>
          <w:szCs w:val="24"/>
        </w:rPr>
        <w:t>undergone</w:t>
      </w:r>
      <w:r w:rsidR="00D00140" w:rsidRPr="005553DF">
        <w:rPr>
          <w:rFonts w:asciiTheme="minorHAnsi" w:hAnsiTheme="minorHAnsi" w:cstheme="minorHAnsi"/>
          <w:szCs w:val="24"/>
        </w:rPr>
        <w:t xml:space="preserve"> </w:t>
      </w:r>
      <w:r w:rsidRPr="005553DF">
        <w:rPr>
          <w:rFonts w:asciiTheme="minorHAnsi" w:hAnsiTheme="minorHAnsi" w:cstheme="minorHAnsi"/>
          <w:szCs w:val="24"/>
        </w:rPr>
        <w:t xml:space="preserve">external peer review.  In addition, the Pease </w:t>
      </w:r>
      <w:r w:rsidR="00E82C75" w:rsidRPr="005553DF">
        <w:rPr>
          <w:rFonts w:asciiTheme="minorHAnsi" w:hAnsiTheme="minorHAnsi" w:cstheme="minorHAnsi"/>
          <w:szCs w:val="24"/>
        </w:rPr>
        <w:t>Community A</w:t>
      </w:r>
      <w:r w:rsidR="00C521BB" w:rsidRPr="005553DF">
        <w:rPr>
          <w:rFonts w:asciiTheme="minorHAnsi" w:hAnsiTheme="minorHAnsi" w:cstheme="minorHAnsi"/>
          <w:szCs w:val="24"/>
        </w:rPr>
        <w:t>ssistance</w:t>
      </w:r>
      <w:r w:rsidR="00E82C75" w:rsidRPr="005553DF">
        <w:rPr>
          <w:rFonts w:asciiTheme="minorHAnsi" w:hAnsiTheme="minorHAnsi" w:cstheme="minorHAnsi"/>
          <w:szCs w:val="24"/>
        </w:rPr>
        <w:t xml:space="preserve"> Panel (</w:t>
      </w:r>
      <w:r w:rsidRPr="005553DF">
        <w:rPr>
          <w:rFonts w:asciiTheme="minorHAnsi" w:hAnsiTheme="minorHAnsi" w:cstheme="minorHAnsi"/>
          <w:szCs w:val="24"/>
        </w:rPr>
        <w:t>CAP</w:t>
      </w:r>
      <w:r w:rsidR="00E82C75" w:rsidRPr="005553DF">
        <w:rPr>
          <w:rFonts w:asciiTheme="minorHAnsi" w:hAnsiTheme="minorHAnsi" w:cstheme="minorHAnsi"/>
          <w:szCs w:val="24"/>
        </w:rPr>
        <w:t>)</w:t>
      </w:r>
      <w:r w:rsidRPr="005553DF">
        <w:rPr>
          <w:rFonts w:asciiTheme="minorHAnsi" w:hAnsiTheme="minorHAnsi" w:cstheme="minorHAnsi"/>
          <w:szCs w:val="24"/>
        </w:rPr>
        <w:t xml:space="preserve"> will have an opportunity to provide input on the protocol, and will assist in recruitment outreach.  The study protocol will be submitted for review and approval by the CDC Institutional Review Board (IRB) under CDC’s </w:t>
      </w:r>
      <w:r w:rsidR="001C5EDE" w:rsidRPr="005553DF">
        <w:rPr>
          <w:rFonts w:asciiTheme="minorHAnsi" w:hAnsiTheme="minorHAnsi" w:cstheme="minorHAnsi"/>
          <w:szCs w:val="24"/>
        </w:rPr>
        <w:t>Federal wide</w:t>
      </w:r>
      <w:r w:rsidRPr="005553DF">
        <w:rPr>
          <w:rFonts w:asciiTheme="minorHAnsi" w:hAnsiTheme="minorHAnsi" w:cstheme="minorHAnsi"/>
          <w:szCs w:val="24"/>
        </w:rPr>
        <w:t xml:space="preserve"> Assurance (</w:t>
      </w:r>
      <w:r w:rsidRPr="005553DF">
        <w:rPr>
          <w:rFonts w:asciiTheme="minorHAnsi" w:hAnsiTheme="minorHAnsi" w:cstheme="minorHAnsi"/>
          <w:color w:val="333333"/>
          <w:szCs w:val="24"/>
        </w:rPr>
        <w:t>FWA) No. 00001413</w:t>
      </w:r>
      <w:r w:rsidR="00542A00" w:rsidRPr="005553DF">
        <w:rPr>
          <w:rFonts w:asciiTheme="minorHAnsi" w:hAnsiTheme="minorHAnsi" w:cstheme="minorHAnsi"/>
          <w:szCs w:val="24"/>
        </w:rPr>
        <w:t>)</w:t>
      </w:r>
      <w:r w:rsidRPr="005553DF">
        <w:rPr>
          <w:rFonts w:asciiTheme="minorHAnsi" w:hAnsiTheme="minorHAnsi" w:cstheme="minorHAnsi"/>
          <w:szCs w:val="24"/>
        </w:rPr>
        <w:t xml:space="preserve"> and by the Office </w:t>
      </w:r>
      <w:r w:rsidR="006562BA" w:rsidRPr="005553DF">
        <w:rPr>
          <w:rFonts w:asciiTheme="minorHAnsi" w:hAnsiTheme="minorHAnsi" w:cstheme="minorHAnsi"/>
          <w:szCs w:val="24"/>
        </w:rPr>
        <w:t>of Management and Budget (OMB).</w:t>
      </w:r>
    </w:p>
    <w:p w14:paraId="0A1B1D2F" w14:textId="77777777" w:rsidR="00022441" w:rsidRPr="005553DF" w:rsidRDefault="00022441" w:rsidP="005553DF">
      <w:pPr>
        <w:spacing w:after="240" w:line="360" w:lineRule="auto"/>
        <w:jc w:val="both"/>
        <w:rPr>
          <w:rFonts w:asciiTheme="minorHAnsi" w:hAnsiTheme="minorHAnsi" w:cstheme="minorHAnsi"/>
          <w:szCs w:val="24"/>
        </w:rPr>
      </w:pPr>
      <w:bookmarkStart w:id="10" w:name="_Toc532224136"/>
      <w:r w:rsidRPr="005553DF">
        <w:rPr>
          <w:rStyle w:val="Heading1Char"/>
          <w:rFonts w:asciiTheme="minorHAnsi" w:eastAsia="Calibri" w:hAnsiTheme="minorHAnsi" w:cstheme="minorHAnsi"/>
          <w:sz w:val="22"/>
          <w:szCs w:val="22"/>
        </w:rPr>
        <w:t>2. INTRODUCTION</w:t>
      </w:r>
      <w:bookmarkEnd w:id="9"/>
      <w:bookmarkEnd w:id="10"/>
      <w:r w:rsidRPr="005553DF">
        <w:rPr>
          <w:rFonts w:asciiTheme="minorHAnsi" w:hAnsiTheme="minorHAnsi" w:cstheme="minorHAnsi"/>
        </w:rPr>
        <w:t xml:space="preserve"> </w:t>
      </w:r>
    </w:p>
    <w:p w14:paraId="4D3B4CA5" w14:textId="77777777" w:rsidR="001C49EB" w:rsidRPr="005553DF" w:rsidRDefault="00C072BC" w:rsidP="005553DF">
      <w:pPr>
        <w:pStyle w:val="Heading2"/>
        <w:spacing w:before="0" w:after="240" w:line="360" w:lineRule="auto"/>
        <w:rPr>
          <w:rFonts w:asciiTheme="minorHAnsi" w:hAnsiTheme="minorHAnsi" w:cstheme="minorHAnsi"/>
          <w:i w:val="0"/>
          <w:sz w:val="22"/>
          <w:szCs w:val="22"/>
        </w:rPr>
      </w:pPr>
      <w:bookmarkStart w:id="11" w:name="_Toc532224137"/>
      <w:r w:rsidRPr="005553DF">
        <w:rPr>
          <w:rFonts w:asciiTheme="minorHAnsi" w:hAnsiTheme="minorHAnsi" w:cstheme="minorHAnsi"/>
          <w:i w:val="0"/>
          <w:sz w:val="22"/>
          <w:szCs w:val="22"/>
        </w:rPr>
        <w:t xml:space="preserve">2.1 </w:t>
      </w:r>
      <w:r w:rsidR="00ED15D5" w:rsidRPr="005553DF">
        <w:rPr>
          <w:rFonts w:asciiTheme="minorHAnsi" w:hAnsiTheme="minorHAnsi" w:cstheme="minorHAnsi"/>
          <w:i w:val="0"/>
          <w:sz w:val="22"/>
          <w:szCs w:val="22"/>
        </w:rPr>
        <w:t>Authori</w:t>
      </w:r>
      <w:r w:rsidR="00D95AB7" w:rsidRPr="005553DF">
        <w:rPr>
          <w:rFonts w:asciiTheme="minorHAnsi" w:hAnsiTheme="minorHAnsi" w:cstheme="minorHAnsi"/>
          <w:i w:val="0"/>
          <w:sz w:val="22"/>
          <w:szCs w:val="22"/>
        </w:rPr>
        <w:t>ty</w:t>
      </w:r>
      <w:bookmarkEnd w:id="11"/>
    </w:p>
    <w:p w14:paraId="76F83519" w14:textId="76EB883B" w:rsidR="00022441" w:rsidRPr="005553DF" w:rsidRDefault="00022441" w:rsidP="005553DF">
      <w:pPr>
        <w:spacing w:after="240" w:line="360" w:lineRule="auto"/>
        <w:jc w:val="both"/>
        <w:rPr>
          <w:rFonts w:asciiTheme="minorHAnsi" w:hAnsiTheme="minorHAnsi" w:cstheme="minorHAnsi"/>
          <w:b/>
          <w:i/>
          <w:color w:val="000000"/>
        </w:rPr>
      </w:pPr>
      <w:r w:rsidRPr="005553DF">
        <w:rPr>
          <w:rFonts w:asciiTheme="minorHAnsi" w:hAnsiTheme="minorHAnsi" w:cstheme="minorHAnsi"/>
        </w:rPr>
        <w:t>ATSDR is</w:t>
      </w:r>
      <w:r w:rsidR="001C49EB" w:rsidRPr="005553DF">
        <w:rPr>
          <w:rFonts w:asciiTheme="minorHAnsi" w:hAnsiTheme="minorHAnsi" w:cstheme="minorHAnsi"/>
        </w:rPr>
        <w:t xml:space="preserve"> </w:t>
      </w:r>
      <w:r w:rsidRPr="005553DF">
        <w:rPr>
          <w:rFonts w:asciiTheme="minorHAnsi" w:hAnsiTheme="minorHAnsi" w:cstheme="minorHAnsi"/>
        </w:rPr>
        <w:t xml:space="preserve">authorized to conduct the </w:t>
      </w:r>
      <w:r w:rsidR="009F4E59" w:rsidRPr="005553DF">
        <w:rPr>
          <w:rFonts w:asciiTheme="minorHAnsi" w:hAnsiTheme="minorHAnsi" w:cstheme="minorHAnsi"/>
        </w:rPr>
        <w:t>Pease Study</w:t>
      </w:r>
      <w:r w:rsidRPr="005553DF">
        <w:rPr>
          <w:rFonts w:asciiTheme="minorHAnsi" w:hAnsiTheme="minorHAnsi" w:cstheme="minorHAnsi"/>
          <w:i/>
        </w:rPr>
        <w:t xml:space="preserve"> </w:t>
      </w:r>
      <w:r w:rsidRPr="005553DF">
        <w:rPr>
          <w:rFonts w:asciiTheme="minorHAnsi" w:hAnsiTheme="minorHAnsi" w:cstheme="minorHAnsi"/>
          <w:color w:val="151515"/>
        </w:rPr>
        <w:t>under</w:t>
      </w:r>
      <w:r w:rsidR="00E375D5" w:rsidRPr="00E375D5">
        <w:rPr>
          <w:rFonts w:asciiTheme="minorHAnsi" w:hAnsiTheme="minorHAnsi" w:cstheme="minorHAnsi"/>
          <w:color w:val="151515"/>
        </w:rPr>
        <w:t xml:space="preserve"> </w:t>
      </w:r>
      <w:r w:rsidR="00E375D5">
        <w:rPr>
          <w:rFonts w:asciiTheme="minorHAnsi" w:hAnsiTheme="minorHAnsi" w:cstheme="minorHAnsi"/>
          <w:color w:val="151515"/>
        </w:rPr>
        <w:t xml:space="preserve">Section 8006 of </w:t>
      </w:r>
      <w:r w:rsidR="00E375D5" w:rsidRPr="005B348D">
        <w:rPr>
          <w:rFonts w:asciiTheme="minorHAnsi" w:hAnsiTheme="minorHAnsi" w:cstheme="minorHAnsi"/>
          <w:color w:val="151515"/>
        </w:rPr>
        <w:t xml:space="preserve">the </w:t>
      </w:r>
      <w:r w:rsidR="00E375D5">
        <w:rPr>
          <w:rFonts w:asciiTheme="minorHAnsi" w:hAnsiTheme="minorHAnsi" w:cstheme="minorHAnsi"/>
          <w:color w:val="151515"/>
        </w:rPr>
        <w:t xml:space="preserve">Consolidated Appropriations Act, 2018, </w:t>
      </w:r>
      <w:r w:rsidR="00703D73" w:rsidRPr="005553DF">
        <w:rPr>
          <w:rFonts w:asciiTheme="minorHAnsi" w:hAnsiTheme="minorHAnsi" w:cstheme="minorHAnsi"/>
          <w:color w:val="151515"/>
        </w:rPr>
        <w:t xml:space="preserve">and </w:t>
      </w:r>
      <w:r w:rsidR="006B0140" w:rsidRPr="005553DF">
        <w:rPr>
          <w:rFonts w:asciiTheme="minorHAnsi" w:hAnsiTheme="minorHAnsi" w:cstheme="minorHAnsi"/>
          <w:color w:val="151515"/>
        </w:rPr>
        <w:t>research in general</w:t>
      </w:r>
      <w:r w:rsidR="00A852AF" w:rsidRPr="005553DF">
        <w:rPr>
          <w:rFonts w:asciiTheme="minorHAnsi" w:hAnsiTheme="minorHAnsi" w:cstheme="minorHAnsi"/>
          <w:color w:val="151515"/>
        </w:rPr>
        <w:t>,</w:t>
      </w:r>
      <w:r w:rsidR="00703D73" w:rsidRPr="005553DF">
        <w:rPr>
          <w:rFonts w:asciiTheme="minorHAnsi" w:hAnsiTheme="minorHAnsi" w:cstheme="minorHAnsi"/>
          <w:color w:val="151515"/>
        </w:rPr>
        <w:t xml:space="preserve"> under</w:t>
      </w:r>
      <w:r w:rsidR="00E83691" w:rsidRPr="005553DF">
        <w:rPr>
          <w:rFonts w:asciiTheme="minorHAnsi" w:hAnsiTheme="minorHAnsi" w:cstheme="minorHAnsi"/>
          <w:color w:val="151515"/>
        </w:rPr>
        <w:t xml:space="preserve"> </w:t>
      </w:r>
      <w:r w:rsidRPr="005553DF">
        <w:rPr>
          <w:rFonts w:asciiTheme="minorHAnsi" w:hAnsiTheme="minorHAnsi" w:cstheme="minorHAnsi"/>
          <w:color w:val="151515"/>
        </w:rPr>
        <w:t xml:space="preserve">the </w:t>
      </w:r>
      <w:r w:rsidRPr="005553DF">
        <w:rPr>
          <w:rFonts w:asciiTheme="minorHAnsi" w:eastAsia="MS Mincho" w:hAnsiTheme="minorHAnsi" w:cstheme="minorHAnsi"/>
        </w:rPr>
        <w:t xml:space="preserve">1980 </w:t>
      </w:r>
      <w:r w:rsidRPr="005553DF">
        <w:rPr>
          <w:rFonts w:asciiTheme="minorHAnsi" w:hAnsiTheme="minorHAnsi" w:cstheme="minorHAnsi"/>
          <w:color w:val="151515"/>
        </w:rPr>
        <w:t>Comprehensive Environmental Response, Compensation, and Liability Act (CERCLA), as amended by the 1986 Superfund Amendments and Reauthorization Act (SARA)</w:t>
      </w:r>
      <w:r w:rsidR="00705CA8" w:rsidRPr="005553DF">
        <w:rPr>
          <w:rFonts w:asciiTheme="minorHAnsi" w:hAnsiTheme="minorHAnsi" w:cstheme="minorHAnsi"/>
          <w:color w:val="151515"/>
        </w:rPr>
        <w:t xml:space="preserve"> </w:t>
      </w:r>
      <w:r w:rsidR="00705CA8" w:rsidRPr="005553DF">
        <w:rPr>
          <w:rFonts w:asciiTheme="minorHAnsi" w:eastAsiaTheme="minorHAnsi" w:hAnsiTheme="minorHAnsi" w:cstheme="minorHAnsi"/>
        </w:rPr>
        <w:t>(42 U.S.C. 9601, 9604)</w:t>
      </w:r>
      <w:r w:rsidRPr="005553DF">
        <w:rPr>
          <w:rFonts w:asciiTheme="minorHAnsi" w:hAnsiTheme="minorHAnsi" w:cstheme="minorHAnsi"/>
          <w:color w:val="151515"/>
        </w:rPr>
        <w:t>.</w:t>
      </w:r>
    </w:p>
    <w:p w14:paraId="2B19F426" w14:textId="77777777" w:rsidR="00D00D12" w:rsidRPr="005553DF" w:rsidRDefault="00665CDD" w:rsidP="005553DF">
      <w:pPr>
        <w:pStyle w:val="Heading2"/>
        <w:spacing w:before="0" w:after="240" w:line="360" w:lineRule="auto"/>
        <w:rPr>
          <w:rFonts w:asciiTheme="minorHAnsi" w:hAnsiTheme="minorHAnsi" w:cstheme="minorHAnsi"/>
          <w:b w:val="0"/>
          <w:i w:val="0"/>
          <w:sz w:val="22"/>
          <w:szCs w:val="22"/>
        </w:rPr>
      </w:pPr>
      <w:bookmarkStart w:id="12" w:name="_Toc532224138"/>
      <w:r w:rsidRPr="005553DF">
        <w:rPr>
          <w:rFonts w:asciiTheme="minorHAnsi" w:hAnsiTheme="minorHAnsi" w:cstheme="minorHAnsi"/>
          <w:i w:val="0"/>
          <w:sz w:val="22"/>
          <w:szCs w:val="22"/>
        </w:rPr>
        <w:t>2.</w:t>
      </w:r>
      <w:r w:rsidR="00C072BC" w:rsidRPr="005553DF">
        <w:rPr>
          <w:rFonts w:asciiTheme="minorHAnsi" w:hAnsiTheme="minorHAnsi" w:cstheme="minorHAnsi"/>
          <w:i w:val="0"/>
          <w:sz w:val="22"/>
          <w:szCs w:val="22"/>
        </w:rPr>
        <w:t>2</w:t>
      </w:r>
      <w:r w:rsidRPr="005553DF">
        <w:rPr>
          <w:rFonts w:asciiTheme="minorHAnsi" w:hAnsiTheme="minorHAnsi" w:cstheme="minorHAnsi"/>
          <w:i w:val="0"/>
          <w:sz w:val="22"/>
          <w:szCs w:val="22"/>
        </w:rPr>
        <w:t xml:space="preserve"> </w:t>
      </w:r>
      <w:r w:rsidR="00022441" w:rsidRPr="005553DF">
        <w:rPr>
          <w:rFonts w:asciiTheme="minorHAnsi" w:hAnsiTheme="minorHAnsi" w:cstheme="minorHAnsi"/>
          <w:i w:val="0"/>
          <w:sz w:val="22"/>
          <w:szCs w:val="22"/>
        </w:rPr>
        <w:t>Background</w:t>
      </w:r>
      <w:bookmarkEnd w:id="12"/>
      <w:r w:rsidR="00022441" w:rsidRPr="005553DF">
        <w:rPr>
          <w:rFonts w:asciiTheme="minorHAnsi" w:hAnsiTheme="minorHAnsi" w:cstheme="minorHAnsi"/>
          <w:i w:val="0"/>
          <w:sz w:val="22"/>
          <w:szCs w:val="22"/>
        </w:rPr>
        <w:t xml:space="preserve"> </w:t>
      </w:r>
    </w:p>
    <w:p w14:paraId="1DB81738" w14:textId="77777777" w:rsidR="006733B2" w:rsidRPr="005553DF" w:rsidRDefault="006733B2" w:rsidP="005553DF">
      <w:pPr>
        <w:pStyle w:val="Heading3"/>
        <w:spacing w:before="0" w:after="240" w:line="360" w:lineRule="auto"/>
        <w:rPr>
          <w:rFonts w:asciiTheme="minorHAnsi" w:hAnsiTheme="minorHAnsi" w:cstheme="minorHAnsi"/>
          <w:i/>
        </w:rPr>
      </w:pPr>
      <w:bookmarkStart w:id="13" w:name="_Toc532224139"/>
      <w:bookmarkStart w:id="14" w:name="_Toc509324526"/>
      <w:r w:rsidRPr="005553DF">
        <w:rPr>
          <w:rFonts w:asciiTheme="minorHAnsi" w:hAnsiTheme="minorHAnsi" w:cstheme="minorHAnsi"/>
          <w:i/>
          <w:color w:val="auto"/>
        </w:rPr>
        <w:t xml:space="preserve">2.2.1 Characterization of </w:t>
      </w:r>
      <w:r w:rsidR="00912A56" w:rsidRPr="005553DF">
        <w:rPr>
          <w:rFonts w:asciiTheme="minorHAnsi" w:hAnsiTheme="minorHAnsi" w:cstheme="minorHAnsi"/>
          <w:i/>
          <w:color w:val="auto"/>
        </w:rPr>
        <w:t xml:space="preserve">Pease </w:t>
      </w:r>
      <w:r w:rsidR="00A62826" w:rsidRPr="005553DF">
        <w:rPr>
          <w:rFonts w:asciiTheme="minorHAnsi" w:hAnsiTheme="minorHAnsi" w:cstheme="minorHAnsi"/>
          <w:i/>
          <w:color w:val="auto"/>
        </w:rPr>
        <w:t>Drinking Water</w:t>
      </w:r>
      <w:r w:rsidRPr="005553DF">
        <w:rPr>
          <w:rFonts w:asciiTheme="minorHAnsi" w:hAnsiTheme="minorHAnsi" w:cstheme="minorHAnsi"/>
          <w:i/>
          <w:color w:val="auto"/>
        </w:rPr>
        <w:t xml:space="preserve"> PFAS Contamination</w:t>
      </w:r>
      <w:bookmarkEnd w:id="13"/>
      <w:r w:rsidRPr="005553DF">
        <w:rPr>
          <w:rFonts w:asciiTheme="minorHAnsi" w:hAnsiTheme="minorHAnsi" w:cstheme="minorHAnsi"/>
          <w:i/>
          <w:color w:val="auto"/>
        </w:rPr>
        <w:t xml:space="preserve"> </w:t>
      </w:r>
      <w:bookmarkEnd w:id="14"/>
    </w:p>
    <w:p w14:paraId="3A5F88C6" w14:textId="77777777" w:rsidR="006733B2" w:rsidRPr="005553DF" w:rsidRDefault="006733B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From approximately </w:t>
      </w:r>
      <w:r w:rsidR="00E67EBA" w:rsidRPr="005553DF">
        <w:rPr>
          <w:rFonts w:asciiTheme="minorHAnsi" w:hAnsiTheme="minorHAnsi" w:cstheme="minorHAnsi"/>
        </w:rPr>
        <w:t xml:space="preserve">the </w:t>
      </w:r>
      <w:r w:rsidRPr="005553DF">
        <w:rPr>
          <w:rFonts w:asciiTheme="minorHAnsi" w:hAnsiTheme="minorHAnsi" w:cstheme="minorHAnsi"/>
        </w:rPr>
        <w:t>early 1970s, aqueous film-forming foam (AFFF) for firefighting training and extinguishing flammable liquid fires was used in</w:t>
      </w:r>
      <w:r w:rsidR="00CD5C23" w:rsidRPr="005553DF">
        <w:rPr>
          <w:rFonts w:asciiTheme="minorHAnsi" w:hAnsiTheme="minorHAnsi" w:cstheme="minorHAnsi"/>
        </w:rPr>
        <w:t xml:space="preserve"> a </w:t>
      </w:r>
      <w:r w:rsidRPr="005553DF">
        <w:rPr>
          <w:rFonts w:asciiTheme="minorHAnsi" w:hAnsiTheme="minorHAnsi" w:cstheme="minorHAnsi"/>
        </w:rPr>
        <w:t>number of military and non-military sites around the country. Several PFAS are components of AFFF, including perfluorooctanoic acid (PFOA), perfluorooctane sulfonate (PFOS), and perfluorohexane sulfonate (PFHxS). PFAS chemicals in the AFFF likely leached into the soil and groundwater at and around the installation u</w:t>
      </w:r>
      <w:r w:rsidR="00A62826" w:rsidRPr="005553DF">
        <w:rPr>
          <w:rFonts w:asciiTheme="minorHAnsi" w:hAnsiTheme="minorHAnsi" w:cstheme="minorHAnsi"/>
        </w:rPr>
        <w:t>sing AFFF</w:t>
      </w:r>
      <w:r w:rsidRPr="005553DF">
        <w:rPr>
          <w:rFonts w:asciiTheme="minorHAnsi" w:hAnsiTheme="minorHAnsi" w:cstheme="minorHAnsi"/>
        </w:rPr>
        <w:t xml:space="preserve">.  </w:t>
      </w:r>
    </w:p>
    <w:p w14:paraId="7E0EEE11" w14:textId="51BD2560" w:rsidR="006733B2" w:rsidRPr="005553DF" w:rsidRDefault="006733B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requirements for the site characterization and documentation of </w:t>
      </w:r>
      <w:r w:rsidR="00A62826" w:rsidRPr="005553DF">
        <w:rPr>
          <w:rFonts w:asciiTheme="minorHAnsi" w:hAnsiTheme="minorHAnsi" w:cstheme="minorHAnsi"/>
        </w:rPr>
        <w:t xml:space="preserve">drinking </w:t>
      </w:r>
      <w:r w:rsidRPr="005553DF">
        <w:rPr>
          <w:rFonts w:asciiTheme="minorHAnsi" w:hAnsiTheme="minorHAnsi" w:cstheme="minorHAnsi"/>
        </w:rPr>
        <w:t xml:space="preserve">water system(s) contamination by PFAS from AFFF </w:t>
      </w:r>
      <w:r w:rsidR="00C648FF" w:rsidRPr="005553DF">
        <w:rPr>
          <w:rFonts w:asciiTheme="minorHAnsi" w:hAnsiTheme="minorHAnsi" w:cstheme="minorHAnsi"/>
        </w:rPr>
        <w:t>include information</w:t>
      </w:r>
      <w:r w:rsidRPr="005553DF">
        <w:rPr>
          <w:rFonts w:asciiTheme="minorHAnsi" w:hAnsiTheme="minorHAnsi" w:cstheme="minorHAnsi"/>
        </w:rPr>
        <w:t xml:space="preserve"> on </w:t>
      </w:r>
      <w:r w:rsidR="00244981" w:rsidRPr="005553DF">
        <w:rPr>
          <w:rFonts w:asciiTheme="minorHAnsi" w:hAnsiTheme="minorHAnsi" w:cstheme="minorHAnsi"/>
        </w:rPr>
        <w:t xml:space="preserve">the </w:t>
      </w:r>
      <w:r w:rsidRPr="005553DF">
        <w:rPr>
          <w:rFonts w:asciiTheme="minorHAnsi" w:hAnsiTheme="minorHAnsi" w:cstheme="minorHAnsi"/>
        </w:rPr>
        <w:t>following parameters:</w:t>
      </w:r>
    </w:p>
    <w:p w14:paraId="1DCFEFB9" w14:textId="77777777"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Enumeration of supply wells that provided drinking water to the site. Range </w:t>
      </w:r>
      <w:r w:rsidR="00A62826" w:rsidRPr="005553DF">
        <w:rPr>
          <w:rFonts w:asciiTheme="minorHAnsi" w:hAnsiTheme="minorHAnsi" w:cstheme="minorHAnsi"/>
        </w:rPr>
        <w:t>of years in which the site</w:t>
      </w:r>
      <w:r w:rsidRPr="005553DF">
        <w:rPr>
          <w:rFonts w:asciiTheme="minorHAnsi" w:hAnsiTheme="minorHAnsi" w:cstheme="minorHAnsi"/>
        </w:rPr>
        <w:t xml:space="preserve"> receive</w:t>
      </w:r>
      <w:r w:rsidR="00A62826" w:rsidRPr="005553DF">
        <w:rPr>
          <w:rFonts w:asciiTheme="minorHAnsi" w:hAnsiTheme="minorHAnsi" w:cstheme="minorHAnsi"/>
        </w:rPr>
        <w:t>d</w:t>
      </w:r>
      <w:r w:rsidRPr="005553DF">
        <w:rPr>
          <w:rFonts w:asciiTheme="minorHAnsi" w:hAnsiTheme="minorHAnsi" w:cstheme="minorHAnsi"/>
        </w:rPr>
        <w:t xml:space="preserve"> water from </w:t>
      </w:r>
      <w:r w:rsidR="003905C8" w:rsidRPr="005553DF">
        <w:rPr>
          <w:rFonts w:asciiTheme="minorHAnsi" w:hAnsiTheme="minorHAnsi" w:cstheme="minorHAnsi"/>
        </w:rPr>
        <w:t xml:space="preserve">each of </w:t>
      </w:r>
      <w:r w:rsidRPr="005553DF">
        <w:rPr>
          <w:rFonts w:asciiTheme="minorHAnsi" w:hAnsiTheme="minorHAnsi" w:cstheme="minorHAnsi"/>
        </w:rPr>
        <w:t xml:space="preserve">those wells. </w:t>
      </w:r>
    </w:p>
    <w:p w14:paraId="4D2C5543" w14:textId="77777777" w:rsidR="006733B2" w:rsidRPr="005553DF" w:rsidRDefault="003905C8"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By year (or month if available), the proportion of the total water supply provided by each supply well. </w:t>
      </w:r>
      <w:r w:rsidR="006733B2" w:rsidRPr="005553DF">
        <w:rPr>
          <w:rFonts w:asciiTheme="minorHAnsi" w:hAnsiTheme="minorHAnsi" w:cstheme="minorHAnsi"/>
        </w:rPr>
        <w:t>How did water supply change after the contamination was detected?</w:t>
      </w:r>
    </w:p>
    <w:p w14:paraId="38CFC900" w14:textId="77777777" w:rsidR="006733B2" w:rsidRPr="005553DF" w:rsidRDefault="003905C8"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Characteristics of the drinking water distribution system including </w:t>
      </w:r>
      <w:r w:rsidR="006733B2" w:rsidRPr="005553DF">
        <w:rPr>
          <w:rFonts w:asciiTheme="minorHAnsi" w:hAnsiTheme="minorHAnsi" w:cstheme="minorHAnsi"/>
        </w:rPr>
        <w:t xml:space="preserve">Information on whether mixing from the supply well(s) occurred at the treatment plant before entering distribution system or if </w:t>
      </w:r>
      <w:r w:rsidRPr="005553DF">
        <w:rPr>
          <w:rFonts w:asciiTheme="minorHAnsi" w:hAnsiTheme="minorHAnsi" w:cstheme="minorHAnsi"/>
        </w:rPr>
        <w:t xml:space="preserve">each supply well served a specific area in </w:t>
      </w:r>
      <w:r w:rsidR="001C5EDE" w:rsidRPr="005553DF">
        <w:rPr>
          <w:rFonts w:asciiTheme="minorHAnsi" w:hAnsiTheme="minorHAnsi" w:cstheme="minorHAnsi"/>
        </w:rPr>
        <w:t>the</w:t>
      </w:r>
      <w:r w:rsidRPr="005553DF">
        <w:rPr>
          <w:rFonts w:asciiTheme="minorHAnsi" w:hAnsiTheme="minorHAnsi" w:cstheme="minorHAnsi"/>
        </w:rPr>
        <w:t xml:space="preserve"> system</w:t>
      </w:r>
      <w:r w:rsidR="006733B2" w:rsidRPr="005553DF">
        <w:rPr>
          <w:rFonts w:asciiTheme="minorHAnsi" w:hAnsiTheme="minorHAnsi" w:cstheme="minorHAnsi"/>
        </w:rPr>
        <w:t xml:space="preserve">.  </w:t>
      </w:r>
      <w:r w:rsidRPr="005553DF">
        <w:rPr>
          <w:rFonts w:asciiTheme="minorHAnsi" w:hAnsiTheme="minorHAnsi" w:cstheme="minorHAnsi"/>
        </w:rPr>
        <w:t xml:space="preserve">Also information on water purchased from other systems and areas of the distribution system served by purchased water. </w:t>
      </w:r>
    </w:p>
    <w:p w14:paraId="165EE0CA" w14:textId="77777777" w:rsidR="003905C8" w:rsidRPr="005553DF" w:rsidRDefault="003905C8"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If the water system is supplied by surface water, characteristics of this supply.</w:t>
      </w:r>
    </w:p>
    <w:p w14:paraId="50E26C6A" w14:textId="77777777"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Description of when and how samples from monitoring or supply wells</w:t>
      </w:r>
      <w:r w:rsidR="003905C8" w:rsidRPr="005553DF">
        <w:rPr>
          <w:rFonts w:asciiTheme="minorHAnsi" w:hAnsiTheme="minorHAnsi" w:cstheme="minorHAnsi"/>
        </w:rPr>
        <w:t xml:space="preserve"> (or surface water)</w:t>
      </w:r>
      <w:r w:rsidRPr="005553DF">
        <w:rPr>
          <w:rFonts w:asciiTheme="minorHAnsi" w:hAnsiTheme="minorHAnsi" w:cstheme="minorHAnsi"/>
        </w:rPr>
        <w:t xml:space="preserve"> were obtained when the contamination was detected. Maximum and average sample concentrations for each of supply wells. </w:t>
      </w:r>
    </w:p>
    <w:p w14:paraId="1965FFD8" w14:textId="77777777"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Which PFAS were detected, when, and at what levels of concentration; how they relate to EPA’s lifetime advisory limits.</w:t>
      </w:r>
    </w:p>
    <w:p w14:paraId="7914B311" w14:textId="77777777"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Any historical samples or measurements available?</w:t>
      </w:r>
    </w:p>
    <w:p w14:paraId="2A269CD2" w14:textId="77777777" w:rsidR="003905C8" w:rsidRPr="005553DF" w:rsidRDefault="003905C8"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Any information on the historical use of AFFF (training exercises, </w:t>
      </w:r>
      <w:r w:rsidR="00A94FF4" w:rsidRPr="005553DF">
        <w:rPr>
          <w:rFonts w:asciiTheme="minorHAnsi" w:hAnsiTheme="minorHAnsi" w:cstheme="minorHAnsi"/>
        </w:rPr>
        <w:t>fire incidents, spills, etc.) at the site (e.g., military base airstrip) which was the source of the drinking water contamination.</w:t>
      </w:r>
    </w:p>
    <w:p w14:paraId="265AF1B1" w14:textId="0A351AEC"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Any previous human biomonitoring program conducted? If yes, what were the results in regard to concentration and descriptive/predictive factors of those concentrations (i.e. volume of water consumed, length of residence at site, differences in age, race, or other population characteristics)</w:t>
      </w:r>
      <w:r w:rsidR="00C648FF" w:rsidRPr="005553DF">
        <w:rPr>
          <w:rFonts w:asciiTheme="minorHAnsi" w:hAnsiTheme="minorHAnsi" w:cstheme="minorHAnsi"/>
        </w:rPr>
        <w:t>?</w:t>
      </w:r>
    </w:p>
    <w:p w14:paraId="09F6DF22" w14:textId="77777777" w:rsidR="00D40A45" w:rsidRPr="005553DF" w:rsidRDefault="006733B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Much of the above information is already available </w:t>
      </w:r>
      <w:r w:rsidR="0081653A" w:rsidRPr="005553DF">
        <w:rPr>
          <w:rFonts w:asciiTheme="minorHAnsi" w:hAnsiTheme="minorHAnsi" w:cstheme="minorHAnsi"/>
        </w:rPr>
        <w:t>in</w:t>
      </w:r>
      <w:r w:rsidRPr="005553DF">
        <w:rPr>
          <w:rFonts w:asciiTheme="minorHAnsi" w:hAnsiTheme="minorHAnsi" w:cstheme="minorHAnsi"/>
        </w:rPr>
        <w:t xml:space="preserve"> considerable detail for the Pease site</w:t>
      </w:r>
      <w:r w:rsidR="00F614A6" w:rsidRPr="005553DF">
        <w:rPr>
          <w:rFonts w:asciiTheme="minorHAnsi" w:hAnsiTheme="minorHAnsi" w:cstheme="minorHAnsi"/>
        </w:rPr>
        <w:t xml:space="preserve"> as described below</w:t>
      </w:r>
      <w:r w:rsidRPr="005553DF">
        <w:rPr>
          <w:rFonts w:asciiTheme="minorHAnsi" w:hAnsiTheme="minorHAnsi" w:cstheme="minorHAnsi"/>
        </w:rPr>
        <w:t xml:space="preserve">. </w:t>
      </w:r>
      <w:r w:rsidR="00FE0576" w:rsidRPr="005553DF">
        <w:rPr>
          <w:rFonts w:asciiTheme="minorHAnsi" w:hAnsiTheme="minorHAnsi" w:cstheme="minorHAnsi"/>
        </w:rPr>
        <w:t xml:space="preserve">The </w:t>
      </w:r>
      <w:r w:rsidR="00C06B7D" w:rsidRPr="005553DF">
        <w:rPr>
          <w:rFonts w:asciiTheme="minorHAnsi" w:hAnsiTheme="minorHAnsi" w:cstheme="minorHAnsi"/>
        </w:rPr>
        <w:t>Pease</w:t>
      </w:r>
      <w:r w:rsidR="00FE0576" w:rsidRPr="005553DF">
        <w:rPr>
          <w:rFonts w:asciiTheme="minorHAnsi" w:hAnsiTheme="minorHAnsi" w:cstheme="minorHAnsi"/>
        </w:rPr>
        <w:t xml:space="preserve"> Tradeport</w:t>
      </w:r>
      <w:r w:rsidR="0018502C" w:rsidRPr="005553DF">
        <w:rPr>
          <w:rFonts w:asciiTheme="minorHAnsi" w:hAnsiTheme="minorHAnsi" w:cstheme="minorHAnsi"/>
        </w:rPr>
        <w:t>, Portsmouth, NH,</w:t>
      </w:r>
      <w:r w:rsidR="00C06B7D" w:rsidRPr="005553DF">
        <w:rPr>
          <w:rFonts w:asciiTheme="minorHAnsi" w:hAnsiTheme="minorHAnsi" w:cstheme="minorHAnsi"/>
        </w:rPr>
        <w:t xml:space="preserve"> opened in 1993 on land formerly </w:t>
      </w:r>
      <w:r w:rsidR="00FE0576" w:rsidRPr="005553DF">
        <w:rPr>
          <w:rFonts w:asciiTheme="minorHAnsi" w:hAnsiTheme="minorHAnsi" w:cstheme="minorHAnsi"/>
        </w:rPr>
        <w:t xml:space="preserve">occupied by </w:t>
      </w:r>
      <w:r w:rsidR="00C06B7D" w:rsidRPr="005553DF">
        <w:rPr>
          <w:rFonts w:asciiTheme="minorHAnsi" w:hAnsiTheme="minorHAnsi" w:cstheme="minorHAnsi"/>
        </w:rPr>
        <w:t>the Pease Air Force Base</w:t>
      </w:r>
      <w:r w:rsidR="00CA7A7B" w:rsidRPr="005553DF">
        <w:rPr>
          <w:rFonts w:asciiTheme="minorHAnsi" w:hAnsiTheme="minorHAnsi" w:cstheme="minorHAnsi"/>
        </w:rPr>
        <w:t>, which</w:t>
      </w:r>
      <w:r w:rsidR="00C06B7D" w:rsidRPr="005553DF">
        <w:rPr>
          <w:rFonts w:asciiTheme="minorHAnsi" w:hAnsiTheme="minorHAnsi" w:cstheme="minorHAnsi"/>
        </w:rPr>
        <w:t xml:space="preserve"> closed in 1991. </w:t>
      </w:r>
      <w:r w:rsidR="00D40A45" w:rsidRPr="005553DF">
        <w:rPr>
          <w:rFonts w:asciiTheme="minorHAnsi" w:hAnsiTheme="minorHAnsi" w:cstheme="minorHAnsi"/>
        </w:rPr>
        <w:t xml:space="preserve"> From approximately 1970 until </w:t>
      </w:r>
      <w:r w:rsidR="00FE0576" w:rsidRPr="005553DF">
        <w:rPr>
          <w:rFonts w:asciiTheme="minorHAnsi" w:hAnsiTheme="minorHAnsi" w:cstheme="minorHAnsi"/>
        </w:rPr>
        <w:t xml:space="preserve">1991, </w:t>
      </w:r>
      <w:r w:rsidR="00D40A45" w:rsidRPr="005553DF">
        <w:rPr>
          <w:rFonts w:asciiTheme="minorHAnsi" w:hAnsiTheme="minorHAnsi" w:cstheme="minorHAnsi"/>
        </w:rPr>
        <w:t xml:space="preserve">the base </w:t>
      </w:r>
      <w:r w:rsidR="00FE0576" w:rsidRPr="005553DF">
        <w:rPr>
          <w:rFonts w:asciiTheme="minorHAnsi" w:hAnsiTheme="minorHAnsi" w:cstheme="minorHAnsi"/>
        </w:rPr>
        <w:t xml:space="preserve">used </w:t>
      </w:r>
      <w:r w:rsidR="00D40A45" w:rsidRPr="005553DF">
        <w:rPr>
          <w:rFonts w:asciiTheme="minorHAnsi" w:hAnsiTheme="minorHAnsi" w:cstheme="minorHAnsi"/>
        </w:rPr>
        <w:t xml:space="preserve">aqueous film-forming foam (AFFF) </w:t>
      </w:r>
      <w:r w:rsidR="00FE0576" w:rsidRPr="005553DF">
        <w:rPr>
          <w:rFonts w:asciiTheme="minorHAnsi" w:hAnsiTheme="minorHAnsi" w:cstheme="minorHAnsi"/>
        </w:rPr>
        <w:t xml:space="preserve">for firefighting training and </w:t>
      </w:r>
      <w:r w:rsidR="00D40A45" w:rsidRPr="005553DF">
        <w:rPr>
          <w:rFonts w:asciiTheme="minorHAnsi" w:hAnsiTheme="minorHAnsi" w:cstheme="minorHAnsi"/>
        </w:rPr>
        <w:t>extinguish</w:t>
      </w:r>
      <w:r w:rsidR="00FE0576" w:rsidRPr="005553DF">
        <w:rPr>
          <w:rFonts w:asciiTheme="minorHAnsi" w:hAnsiTheme="minorHAnsi" w:cstheme="minorHAnsi"/>
        </w:rPr>
        <w:t>ing</w:t>
      </w:r>
      <w:r w:rsidR="00D40A45" w:rsidRPr="005553DF">
        <w:rPr>
          <w:rFonts w:asciiTheme="minorHAnsi" w:hAnsiTheme="minorHAnsi" w:cstheme="minorHAnsi"/>
        </w:rPr>
        <w:t xml:space="preserve"> flammable liquid fires. PFAS chemicals in the AFFF likely leached into the soil and groundwater at the base sometime during the 1970s. </w:t>
      </w:r>
    </w:p>
    <w:p w14:paraId="5EDAC7EF" w14:textId="77777777" w:rsidR="00C06B7D" w:rsidRPr="005553DF" w:rsidRDefault="00D40A4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Three major supply wells provided drinking water to the base: the Haven, Smith, and Harrison wells. Before 1981, the wells fed directly into the distribution system so that a particular area of base would primarily receive water from the nearest well. After 1981, the water from the three </w:t>
      </w:r>
      <w:r w:rsidR="0057601A" w:rsidRPr="005553DF">
        <w:rPr>
          <w:rFonts w:asciiTheme="minorHAnsi" w:hAnsiTheme="minorHAnsi" w:cstheme="minorHAnsi"/>
        </w:rPr>
        <w:t xml:space="preserve">supply </w:t>
      </w:r>
      <w:r w:rsidRPr="005553DF">
        <w:rPr>
          <w:rFonts w:asciiTheme="minorHAnsi" w:hAnsiTheme="minorHAnsi" w:cstheme="minorHAnsi"/>
        </w:rPr>
        <w:t xml:space="preserve">wells </w:t>
      </w:r>
      <w:r w:rsidR="0057601A" w:rsidRPr="005553DF">
        <w:rPr>
          <w:rFonts w:asciiTheme="minorHAnsi" w:hAnsiTheme="minorHAnsi" w:cstheme="minorHAnsi"/>
        </w:rPr>
        <w:t>mixed</w:t>
      </w:r>
      <w:r w:rsidRPr="005553DF">
        <w:rPr>
          <w:rFonts w:asciiTheme="minorHAnsi" w:hAnsiTheme="minorHAnsi" w:cstheme="minorHAnsi"/>
        </w:rPr>
        <w:t xml:space="preserve"> </w:t>
      </w:r>
      <w:r w:rsidR="0057601A" w:rsidRPr="005553DF">
        <w:rPr>
          <w:rFonts w:asciiTheme="minorHAnsi" w:hAnsiTheme="minorHAnsi" w:cstheme="minorHAnsi"/>
        </w:rPr>
        <w:t xml:space="preserve">at the treatment plant </w:t>
      </w:r>
      <w:r w:rsidRPr="005553DF">
        <w:rPr>
          <w:rFonts w:asciiTheme="minorHAnsi" w:hAnsiTheme="minorHAnsi" w:cstheme="minorHAnsi"/>
        </w:rPr>
        <w:t xml:space="preserve">before entering the distribution system. These same three supply wells provided drinking water to the Pease Tradeport after it opened. </w:t>
      </w:r>
    </w:p>
    <w:p w14:paraId="0A34F897" w14:textId="4F9A58E1" w:rsidR="00C06B7D" w:rsidRPr="005553DF" w:rsidRDefault="00D40A4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In 2013, sampling of monitoring wells near the former fire training areas at the base detected PFOS and PFOA as high as 95 μg/L and 56 μg/L. </w:t>
      </w:r>
      <w:r w:rsidR="00964FFD" w:rsidRPr="005553DF">
        <w:rPr>
          <w:rFonts w:asciiTheme="minorHAnsi" w:hAnsiTheme="minorHAnsi" w:cstheme="minorHAnsi"/>
        </w:rPr>
        <w:t xml:space="preserve">Sampling of the three supply wells serving the Pease Tradeport for PFAS contamination occurred in April and May 2014. </w:t>
      </w:r>
      <w:r w:rsidRPr="005553DF">
        <w:rPr>
          <w:rFonts w:asciiTheme="minorHAnsi" w:hAnsiTheme="minorHAnsi" w:cstheme="minorHAnsi"/>
        </w:rPr>
        <w:t>In the April sampling, the Haven well had PFOS, PFOA, and PFHxS levels of 2.5 µg/L, 0.35 µg/L, and 0.83 µg/L, respectively. In the May sampling, the Haven well had PFOS, PFOA, and PFHxS levels of 2.4 µg/L, 0.32 µg/L, and 0.96 µg/L. Other PFAS were also detected in the Haven well. The Harrison well had much lower levels of these contaminants with maximum PFOS, PFOA, and PFHxS levels of 0.048 µg/L, 0.009 µg/L, and 0.036 µg/L, respectively. The Smith well had maximum levels of PFOS and PFHxS of 0.018 µg/L and 0.013 µg/L, respectively, with an estimated level of PFOA of about 0.004 µg/L.</w:t>
      </w:r>
    </w:p>
    <w:p w14:paraId="2D316763" w14:textId="77777777" w:rsidR="00C06B7D" w:rsidRPr="005553DF" w:rsidRDefault="00D40A4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From the opening of the </w:t>
      </w:r>
      <w:r w:rsidR="009959D0" w:rsidRPr="005553DF">
        <w:rPr>
          <w:rFonts w:asciiTheme="minorHAnsi" w:hAnsiTheme="minorHAnsi" w:cstheme="minorHAnsi"/>
        </w:rPr>
        <w:t xml:space="preserve">Pease </w:t>
      </w:r>
      <w:r w:rsidRPr="005553DF">
        <w:rPr>
          <w:rFonts w:asciiTheme="minorHAnsi" w:hAnsiTheme="minorHAnsi" w:cstheme="minorHAnsi"/>
        </w:rPr>
        <w:t xml:space="preserve">Tradeport through 1999, the Haven well on average provided about 56% of the total water supply at Pease, with the Smith well providing 44% and the Harrison well out of service. In 2000-2001, the Haven well supplied 88% of the supply and the Smith well supplied 12%. From 2003 until </w:t>
      </w:r>
      <w:r w:rsidR="00964FFD" w:rsidRPr="005553DF">
        <w:rPr>
          <w:rFonts w:asciiTheme="minorHAnsi" w:hAnsiTheme="minorHAnsi" w:cstheme="minorHAnsi"/>
        </w:rPr>
        <w:t xml:space="preserve">removal </w:t>
      </w:r>
      <w:r w:rsidR="0057601A" w:rsidRPr="005553DF">
        <w:rPr>
          <w:rFonts w:asciiTheme="minorHAnsi" w:hAnsiTheme="minorHAnsi" w:cstheme="minorHAnsi"/>
        </w:rPr>
        <w:t xml:space="preserve">from </w:t>
      </w:r>
      <w:r w:rsidRPr="005553DF">
        <w:rPr>
          <w:rFonts w:asciiTheme="minorHAnsi" w:hAnsiTheme="minorHAnsi" w:cstheme="minorHAnsi"/>
        </w:rPr>
        <w:t xml:space="preserve">service in May 2014, the Haven well on average supplied about half the water supply. By 2006, the Harrison well was back in service and the Smith and Harrison wells together supplied on average about half of the water supply at the </w:t>
      </w:r>
      <w:r w:rsidR="009959D0" w:rsidRPr="005553DF">
        <w:rPr>
          <w:rFonts w:asciiTheme="minorHAnsi" w:hAnsiTheme="minorHAnsi" w:cstheme="minorHAnsi"/>
        </w:rPr>
        <w:t xml:space="preserve">Pease </w:t>
      </w:r>
      <w:r w:rsidRPr="005553DF">
        <w:rPr>
          <w:rFonts w:asciiTheme="minorHAnsi" w:hAnsiTheme="minorHAnsi" w:cstheme="minorHAnsi"/>
        </w:rPr>
        <w:t xml:space="preserve">Tradeport. After May 2014, the Smith and Harrison wells supplied 56% of the </w:t>
      </w:r>
      <w:r w:rsidR="009959D0" w:rsidRPr="005553DF">
        <w:rPr>
          <w:rFonts w:asciiTheme="minorHAnsi" w:hAnsiTheme="minorHAnsi" w:cstheme="minorHAnsi"/>
        </w:rPr>
        <w:t xml:space="preserve">Pease </w:t>
      </w:r>
      <w:r w:rsidRPr="005553DF">
        <w:rPr>
          <w:rFonts w:asciiTheme="minorHAnsi" w:hAnsiTheme="minorHAnsi" w:cstheme="minorHAnsi"/>
        </w:rPr>
        <w:t>Tradeport water supply and the City of Portsmouth provided the other 44%.</w:t>
      </w:r>
    </w:p>
    <w:p w14:paraId="5B581316" w14:textId="24BACE72" w:rsidR="00C06B7D" w:rsidRPr="005553DF" w:rsidRDefault="00BC6098"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No</w:t>
      </w:r>
      <w:r w:rsidR="00DA1B5C" w:rsidRPr="005553DF">
        <w:rPr>
          <w:rFonts w:asciiTheme="minorHAnsi" w:hAnsiTheme="minorHAnsi" w:cstheme="minorHAnsi"/>
        </w:rPr>
        <w:t xml:space="preserve"> water</w:t>
      </w:r>
      <w:r w:rsidRPr="005553DF">
        <w:rPr>
          <w:rFonts w:asciiTheme="minorHAnsi" w:hAnsiTheme="minorHAnsi" w:cstheme="minorHAnsi"/>
        </w:rPr>
        <w:t xml:space="preserve"> samples of the Pease Tradeport distribution system for PFAS are available from the period when the Haven well was in operation. However, </w:t>
      </w:r>
      <w:r w:rsidR="00532435" w:rsidRPr="005553DF">
        <w:rPr>
          <w:rFonts w:asciiTheme="minorHAnsi" w:hAnsiTheme="minorHAnsi" w:cstheme="minorHAnsi"/>
        </w:rPr>
        <w:t xml:space="preserve">it is possible to estimate </w:t>
      </w:r>
      <w:r w:rsidRPr="005553DF">
        <w:rPr>
          <w:rFonts w:asciiTheme="minorHAnsi" w:hAnsiTheme="minorHAnsi" w:cstheme="minorHAnsi"/>
        </w:rPr>
        <w:t>the concentrations of PFOS, PFOA and PFHxS in the distribution system,</w:t>
      </w:r>
      <w:r w:rsidR="00532435" w:rsidRPr="005553DF">
        <w:rPr>
          <w:rFonts w:asciiTheme="minorHAnsi" w:hAnsiTheme="minorHAnsi" w:cstheme="minorHAnsi"/>
        </w:rPr>
        <w:t xml:space="preserve"> by using a simple mixing model and </w:t>
      </w:r>
      <w:r w:rsidRPr="005553DF">
        <w:rPr>
          <w:rFonts w:asciiTheme="minorHAnsi" w:hAnsiTheme="minorHAnsi" w:cstheme="minorHAnsi"/>
        </w:rPr>
        <w:t xml:space="preserve">assuming that contamination concentrations are approximately uniform throughout the system. The model takes into account the pumping rates for each of the three wells, the total water demand, and the concentrations of PFAS in the wells during the April and May 2014 sampling. Using this simple approach, the estimated levels of PFOS, PFOA, and PFHxS in the Pease Tradeport distribution system in April 2014 would be approximately 1.4 µg/L, 0.2 µg/L, and 0.5 µg/L, respectively.  For comparison, the EPA’s lifetime health advisory level for the combined concentrations of PFOA and PFOS is 0.07 µg/L.  No drinking water health advisory level </w:t>
      </w:r>
      <w:r w:rsidR="00532435" w:rsidRPr="005553DF">
        <w:rPr>
          <w:rFonts w:asciiTheme="minorHAnsi" w:hAnsiTheme="minorHAnsi" w:cstheme="minorHAnsi"/>
        </w:rPr>
        <w:t xml:space="preserve">currently exists </w:t>
      </w:r>
      <w:r w:rsidRPr="005553DF">
        <w:rPr>
          <w:rFonts w:asciiTheme="minorHAnsi" w:hAnsiTheme="minorHAnsi" w:cstheme="minorHAnsi"/>
        </w:rPr>
        <w:t>for PFHxS or other PFAS chemicals.</w:t>
      </w:r>
    </w:p>
    <w:p w14:paraId="5CE10FD4" w14:textId="77777777" w:rsidR="004A6D8B" w:rsidRPr="005553DF" w:rsidRDefault="004A6D8B" w:rsidP="005553DF">
      <w:pPr>
        <w:pStyle w:val="Heading3"/>
        <w:spacing w:before="0" w:after="240" w:line="360" w:lineRule="auto"/>
        <w:rPr>
          <w:rFonts w:asciiTheme="minorHAnsi" w:hAnsiTheme="minorHAnsi" w:cstheme="minorHAnsi"/>
          <w:i/>
        </w:rPr>
      </w:pPr>
      <w:bookmarkStart w:id="15" w:name="_Toc532224140"/>
      <w:r w:rsidRPr="005553DF">
        <w:rPr>
          <w:rFonts w:asciiTheme="minorHAnsi" w:hAnsiTheme="minorHAnsi" w:cstheme="minorHAnsi"/>
          <w:i/>
          <w:color w:val="auto"/>
        </w:rPr>
        <w:t xml:space="preserve">2.2.2 </w:t>
      </w:r>
      <w:r w:rsidR="00107DC8" w:rsidRPr="005553DF">
        <w:rPr>
          <w:rFonts w:asciiTheme="minorHAnsi" w:hAnsiTheme="minorHAnsi" w:cstheme="minorHAnsi"/>
          <w:i/>
          <w:color w:val="auto"/>
        </w:rPr>
        <w:t xml:space="preserve">2015 </w:t>
      </w:r>
      <w:r w:rsidRPr="005553DF">
        <w:rPr>
          <w:rFonts w:asciiTheme="minorHAnsi" w:hAnsiTheme="minorHAnsi" w:cstheme="minorHAnsi"/>
          <w:i/>
          <w:color w:val="auto"/>
        </w:rPr>
        <w:t>Pease Biomonitoring Program</w:t>
      </w:r>
      <w:bookmarkEnd w:id="15"/>
      <w:r w:rsidRPr="005553DF">
        <w:rPr>
          <w:rFonts w:asciiTheme="minorHAnsi" w:hAnsiTheme="minorHAnsi" w:cstheme="minorHAnsi"/>
          <w:i/>
          <w:color w:val="auto"/>
        </w:rPr>
        <w:t xml:space="preserve"> </w:t>
      </w:r>
    </w:p>
    <w:p w14:paraId="412913E1" w14:textId="77777777" w:rsidR="00B008B3" w:rsidRPr="005553DF" w:rsidRDefault="00D00D12" w:rsidP="005553DF">
      <w:pPr>
        <w:spacing w:after="240" w:line="360" w:lineRule="auto"/>
        <w:rPr>
          <w:rFonts w:cstheme="minorHAnsi"/>
        </w:rPr>
      </w:pPr>
      <w:r w:rsidRPr="005553DF">
        <w:rPr>
          <w:rFonts w:asciiTheme="minorHAnsi" w:hAnsiTheme="minorHAnsi" w:cstheme="minorHAnsi"/>
        </w:rPr>
        <w:t xml:space="preserve">In 2015, NH DHHS established </w:t>
      </w:r>
      <w:r w:rsidR="0034112D" w:rsidRPr="005553DF">
        <w:rPr>
          <w:rFonts w:asciiTheme="minorHAnsi" w:hAnsiTheme="minorHAnsi" w:cstheme="minorHAnsi"/>
        </w:rPr>
        <w:t xml:space="preserve">the </w:t>
      </w:r>
      <w:r w:rsidR="00964FFD" w:rsidRPr="005553DF">
        <w:rPr>
          <w:rFonts w:asciiTheme="minorHAnsi" w:hAnsiTheme="minorHAnsi" w:cstheme="minorHAnsi"/>
        </w:rPr>
        <w:t>Pease biomonitoring program</w:t>
      </w:r>
      <w:r w:rsidR="0034112D" w:rsidRPr="005553DF">
        <w:rPr>
          <w:rFonts w:asciiTheme="minorHAnsi" w:hAnsiTheme="minorHAnsi" w:cstheme="minorHAnsi"/>
        </w:rPr>
        <w:t xml:space="preserve"> for PFAS</w:t>
      </w:r>
      <w:r w:rsidRPr="005553DF">
        <w:rPr>
          <w:rFonts w:asciiTheme="minorHAnsi" w:hAnsiTheme="minorHAnsi" w:cstheme="minorHAnsi"/>
        </w:rPr>
        <w:t xml:space="preserve">. </w:t>
      </w:r>
      <w:r w:rsidR="00C364BD" w:rsidRPr="005553DF">
        <w:rPr>
          <w:rFonts w:asciiTheme="minorHAnsi" w:hAnsiTheme="minorHAnsi" w:cstheme="minorHAnsi"/>
        </w:rPr>
        <w:t xml:space="preserve"> </w:t>
      </w:r>
      <w:r w:rsidR="00B008B3" w:rsidRPr="005553DF">
        <w:rPr>
          <w:rFonts w:asciiTheme="minorHAnsi" w:hAnsiTheme="minorHAnsi" w:cstheme="minorHAnsi"/>
        </w:rPr>
        <w:t>Those participants had to work at, live on, or attend childcare at the Pease Tradeport or Pease Air Force Base (AFB), or live in a home in or before 2014 that was served by a private well with Pease-related PFAS contamination (for any period of time).</w:t>
      </w:r>
      <w:r w:rsidR="005A2AA3" w:rsidRPr="005553DF">
        <w:rPr>
          <w:rFonts w:asciiTheme="minorHAnsi" w:hAnsiTheme="minorHAnsi" w:cstheme="minorHAnsi"/>
        </w:rPr>
        <w:t xml:space="preserve"> </w:t>
      </w:r>
      <w:r w:rsidR="00691AAF" w:rsidRPr="005553DF">
        <w:rPr>
          <w:rFonts w:asciiTheme="minorHAnsi" w:hAnsiTheme="minorHAnsi" w:cstheme="minorHAnsi"/>
        </w:rPr>
        <w:t>Ever f</w:t>
      </w:r>
      <w:r w:rsidR="005A2AA3" w:rsidRPr="005553DF">
        <w:rPr>
          <w:rFonts w:asciiTheme="minorHAnsi" w:hAnsiTheme="minorHAnsi" w:cstheme="minorHAnsi"/>
        </w:rPr>
        <w:t>irefighters were included in the biomonitoring program.</w:t>
      </w:r>
    </w:p>
    <w:p w14:paraId="5FEC6CBD" w14:textId="77777777" w:rsidR="00964FFD" w:rsidRPr="005553DF" w:rsidRDefault="00C364BD"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This was a</w:t>
      </w:r>
      <w:r w:rsidR="006A13EE" w:rsidRPr="005553DF">
        <w:rPr>
          <w:rFonts w:asciiTheme="minorHAnsi" w:hAnsiTheme="minorHAnsi" w:cstheme="minorHAnsi"/>
        </w:rPr>
        <w:t>n exposure</w:t>
      </w:r>
      <w:r w:rsidR="00472D30" w:rsidRPr="005553DF">
        <w:rPr>
          <w:rFonts w:asciiTheme="minorHAnsi" w:hAnsiTheme="minorHAnsi" w:cstheme="minorHAnsi"/>
        </w:rPr>
        <w:t>-</w:t>
      </w:r>
      <w:r w:rsidR="006A13EE" w:rsidRPr="005553DF">
        <w:rPr>
          <w:rFonts w:asciiTheme="minorHAnsi" w:hAnsiTheme="minorHAnsi" w:cstheme="minorHAnsi"/>
        </w:rPr>
        <w:t>based</w:t>
      </w:r>
      <w:r w:rsidR="00472D30" w:rsidRPr="005553DF">
        <w:rPr>
          <w:rFonts w:asciiTheme="minorHAnsi" w:hAnsiTheme="minorHAnsi" w:cstheme="minorHAnsi"/>
        </w:rPr>
        <w:t xml:space="preserve"> </w:t>
      </w:r>
      <w:r w:rsidRPr="005553DF">
        <w:rPr>
          <w:rFonts w:asciiTheme="minorHAnsi" w:hAnsiTheme="minorHAnsi" w:cstheme="minorHAnsi"/>
        </w:rPr>
        <w:t>convenience (or volunteer) sample, not a statistically based sample. Nevertheless, the testing program provided important information on the extent and magnitude of exposures to the PFAS-contaminated drinking water at the Pease Tradeport.</w:t>
      </w:r>
      <w:r w:rsidR="00964FFD" w:rsidRPr="005553DF">
        <w:rPr>
          <w:rFonts w:asciiTheme="minorHAnsi" w:hAnsiTheme="minorHAnsi" w:cstheme="minorHAnsi"/>
        </w:rPr>
        <w:t xml:space="preserve"> The Pease biomonitoring program obtained </w:t>
      </w:r>
      <w:r w:rsidR="00A537E4" w:rsidRPr="005553DF">
        <w:rPr>
          <w:rFonts w:asciiTheme="minorHAnsi" w:hAnsiTheme="minorHAnsi" w:cstheme="minorHAnsi"/>
        </w:rPr>
        <w:t>blood specimen</w:t>
      </w:r>
      <w:r w:rsidR="00964FFD" w:rsidRPr="005553DF">
        <w:rPr>
          <w:rFonts w:asciiTheme="minorHAnsi" w:hAnsiTheme="minorHAnsi" w:cstheme="minorHAnsi"/>
        </w:rPr>
        <w:t xml:space="preserve">s for PFAS analyses from </w:t>
      </w:r>
      <w:r w:rsidR="00D00D12" w:rsidRPr="005553DF">
        <w:rPr>
          <w:rFonts w:asciiTheme="minorHAnsi" w:hAnsiTheme="minorHAnsi" w:cstheme="minorHAnsi"/>
        </w:rPr>
        <w:t>1,578 persons</w:t>
      </w:r>
      <w:r w:rsidR="002C6626" w:rsidRPr="005553DF">
        <w:rPr>
          <w:rFonts w:asciiTheme="minorHAnsi" w:hAnsiTheme="minorHAnsi" w:cstheme="minorHAnsi"/>
        </w:rPr>
        <w:t xml:space="preserve"> (NH DHHS 2016</w:t>
      </w:r>
      <w:r w:rsidR="005B77DF" w:rsidRPr="005553DF">
        <w:rPr>
          <w:rFonts w:asciiTheme="minorHAnsi" w:hAnsiTheme="minorHAnsi" w:cstheme="minorHAnsi"/>
        </w:rPr>
        <w:t>; the report was published in 2016 but some biomonitoring activities were ongoing throughout 2017 and we refer to those efforts as occurring in 2015-17</w:t>
      </w:r>
      <w:r w:rsidR="002C6626" w:rsidRPr="005553DF">
        <w:rPr>
          <w:rFonts w:asciiTheme="minorHAnsi" w:hAnsiTheme="minorHAnsi" w:cstheme="minorHAnsi"/>
        </w:rPr>
        <w:t>).</w:t>
      </w:r>
    </w:p>
    <w:p w14:paraId="0C146BE0" w14:textId="77777777" w:rsidR="00C364BD" w:rsidRPr="005553DF" w:rsidRDefault="00D00D1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results from the </w:t>
      </w:r>
      <w:r w:rsidR="00532435" w:rsidRPr="005553DF">
        <w:rPr>
          <w:rFonts w:asciiTheme="minorHAnsi" w:hAnsiTheme="minorHAnsi" w:cstheme="minorHAnsi"/>
        </w:rPr>
        <w:t>blood-testing</w:t>
      </w:r>
      <w:r w:rsidRPr="005553DF">
        <w:rPr>
          <w:rFonts w:asciiTheme="minorHAnsi" w:hAnsiTheme="minorHAnsi" w:cstheme="minorHAnsi"/>
        </w:rPr>
        <w:t xml:space="preserve"> program indicated that the exposed population had serum levels of PFOS and PFHxS </w:t>
      </w:r>
      <w:r w:rsidR="002C11C7" w:rsidRPr="005553DF">
        <w:rPr>
          <w:rFonts w:asciiTheme="minorHAnsi" w:hAnsiTheme="minorHAnsi" w:cstheme="minorHAnsi"/>
        </w:rPr>
        <w:t>that were</w:t>
      </w:r>
      <w:r w:rsidR="00667A83" w:rsidRPr="005553DF">
        <w:rPr>
          <w:rFonts w:asciiTheme="minorHAnsi" w:hAnsiTheme="minorHAnsi" w:cstheme="minorHAnsi"/>
        </w:rPr>
        <w:t xml:space="preserve"> about two</w:t>
      </w:r>
      <w:r w:rsidR="0067128D" w:rsidRPr="005553DF">
        <w:rPr>
          <w:rFonts w:asciiTheme="minorHAnsi" w:hAnsiTheme="minorHAnsi" w:cstheme="minorHAnsi"/>
        </w:rPr>
        <w:t xml:space="preserve"> to three</w:t>
      </w:r>
      <w:r w:rsidR="00667A83" w:rsidRPr="005553DF">
        <w:rPr>
          <w:rFonts w:asciiTheme="minorHAnsi" w:hAnsiTheme="minorHAnsi" w:cstheme="minorHAnsi"/>
        </w:rPr>
        <w:t xml:space="preserve"> times higher </w:t>
      </w:r>
      <w:r w:rsidRPr="005553DF">
        <w:rPr>
          <w:rFonts w:asciiTheme="minorHAnsi" w:hAnsiTheme="minorHAnsi" w:cstheme="minorHAnsi"/>
        </w:rPr>
        <w:t>than the U.S. population</w:t>
      </w:r>
      <w:r w:rsidR="00C364BD" w:rsidRPr="005553DF">
        <w:rPr>
          <w:rFonts w:asciiTheme="minorHAnsi" w:hAnsiTheme="minorHAnsi" w:cstheme="minorHAnsi"/>
        </w:rPr>
        <w:t xml:space="preserve"> based on data from NHANES</w:t>
      </w:r>
      <w:r w:rsidR="007E7EFF" w:rsidRPr="005553DF">
        <w:rPr>
          <w:rFonts w:asciiTheme="minorHAnsi" w:hAnsiTheme="minorHAnsi" w:cstheme="minorHAnsi"/>
        </w:rPr>
        <w:t xml:space="preserve"> </w:t>
      </w:r>
      <w:r w:rsidR="006B2F12" w:rsidRPr="005553DF">
        <w:rPr>
          <w:rFonts w:asciiTheme="minorHAnsi" w:hAnsiTheme="minorHAnsi" w:cstheme="minorHAnsi"/>
        </w:rPr>
        <w:t>2013-4 and</w:t>
      </w:r>
      <w:r w:rsidR="007E7EFF" w:rsidRPr="005553DF">
        <w:rPr>
          <w:rFonts w:asciiTheme="minorHAnsi" w:hAnsiTheme="minorHAnsi" w:cstheme="minorHAnsi"/>
        </w:rPr>
        <w:t xml:space="preserve"> </w:t>
      </w:r>
      <w:r w:rsidR="00B7207C" w:rsidRPr="005553DF">
        <w:rPr>
          <w:rFonts w:asciiTheme="minorHAnsi" w:hAnsiTheme="minorHAnsi" w:cstheme="minorHAnsi"/>
        </w:rPr>
        <w:t xml:space="preserve">from </w:t>
      </w:r>
      <w:r w:rsidR="007E7EFF" w:rsidRPr="005553DF">
        <w:rPr>
          <w:rFonts w:asciiTheme="minorHAnsi" w:hAnsiTheme="minorHAnsi" w:cstheme="minorHAnsi"/>
        </w:rPr>
        <w:t>other epidemiological studies in the U</w:t>
      </w:r>
      <w:r w:rsidR="003E3C6B" w:rsidRPr="005553DF">
        <w:rPr>
          <w:rFonts w:asciiTheme="minorHAnsi" w:hAnsiTheme="minorHAnsi" w:cstheme="minorHAnsi"/>
        </w:rPr>
        <w:t>.</w:t>
      </w:r>
      <w:r w:rsidR="007E7EFF" w:rsidRPr="005553DF">
        <w:rPr>
          <w:rFonts w:asciiTheme="minorHAnsi" w:hAnsiTheme="minorHAnsi" w:cstheme="minorHAnsi"/>
        </w:rPr>
        <w:t>S</w:t>
      </w:r>
      <w:r w:rsidR="003E3C6B" w:rsidRPr="005553DF">
        <w:rPr>
          <w:rFonts w:asciiTheme="minorHAnsi" w:hAnsiTheme="minorHAnsi" w:cstheme="minorHAnsi"/>
        </w:rPr>
        <w:t>.</w:t>
      </w:r>
      <w:r w:rsidR="007E7EFF" w:rsidRPr="005553DF">
        <w:rPr>
          <w:rFonts w:asciiTheme="minorHAnsi" w:hAnsiTheme="minorHAnsi" w:cstheme="minorHAnsi"/>
        </w:rPr>
        <w:t xml:space="preserve"> </w:t>
      </w:r>
      <w:r w:rsidR="002F0FA6" w:rsidRPr="005553DF">
        <w:rPr>
          <w:rFonts w:asciiTheme="minorHAnsi" w:hAnsiTheme="minorHAnsi"/>
        </w:rPr>
        <w:t>(</w:t>
      </w:r>
      <w:r w:rsidR="002F0FA6" w:rsidRPr="005553DF">
        <w:rPr>
          <w:rFonts w:asciiTheme="minorHAnsi" w:hAnsiTheme="minorHAnsi"/>
          <w:b/>
        </w:rPr>
        <w:t>Attachment 2</w:t>
      </w:r>
      <w:r w:rsidR="00A30AAF" w:rsidRPr="005553DF">
        <w:rPr>
          <w:rFonts w:asciiTheme="minorHAnsi" w:hAnsiTheme="minorHAnsi"/>
        </w:rPr>
        <w:t>)</w:t>
      </w:r>
      <w:r w:rsidRPr="005553DF">
        <w:rPr>
          <w:rFonts w:asciiTheme="minorHAnsi" w:hAnsiTheme="minorHAnsi" w:cstheme="minorHAnsi"/>
          <w:b/>
        </w:rPr>
        <w:t>.</w:t>
      </w:r>
      <w:r w:rsidRPr="005553DF">
        <w:rPr>
          <w:rFonts w:asciiTheme="minorHAnsi" w:hAnsiTheme="minorHAnsi" w:cstheme="minorHAnsi"/>
        </w:rPr>
        <w:t xml:space="preserve"> </w:t>
      </w:r>
      <w:r w:rsidR="00C364BD" w:rsidRPr="005553DF">
        <w:rPr>
          <w:rFonts w:asciiTheme="minorHAnsi" w:hAnsiTheme="minorHAnsi" w:cstheme="minorHAnsi"/>
        </w:rPr>
        <w:t>In analyses conducted by NH DHHS</w:t>
      </w:r>
      <w:r w:rsidR="00362460" w:rsidRPr="005553DF">
        <w:rPr>
          <w:rFonts w:asciiTheme="minorHAnsi" w:hAnsiTheme="minorHAnsi" w:cstheme="minorHAnsi"/>
        </w:rPr>
        <w:t xml:space="preserve"> (2016)</w:t>
      </w:r>
      <w:r w:rsidR="00C364BD" w:rsidRPr="005553DF">
        <w:rPr>
          <w:rFonts w:asciiTheme="minorHAnsi" w:hAnsiTheme="minorHAnsi" w:cstheme="minorHAnsi"/>
        </w:rPr>
        <w:t>, geometric mean PFHxS serum levels were higher for persons who drank ≥4 cups of water per day compared to those who drank &lt;4 cups per</w:t>
      </w:r>
      <w:r w:rsidR="00362460" w:rsidRPr="005553DF">
        <w:rPr>
          <w:rFonts w:asciiTheme="minorHAnsi" w:hAnsiTheme="minorHAnsi" w:cstheme="minorHAnsi"/>
        </w:rPr>
        <w:t xml:space="preserve"> day</w:t>
      </w:r>
      <w:r w:rsidR="00C364BD" w:rsidRPr="005553DF">
        <w:rPr>
          <w:rFonts w:asciiTheme="minorHAnsi" w:hAnsiTheme="minorHAnsi" w:cstheme="minorHAnsi"/>
        </w:rPr>
        <w:t xml:space="preserve"> </w:t>
      </w:r>
      <w:r w:rsidR="008E50EA" w:rsidRPr="005553DF">
        <w:rPr>
          <w:rFonts w:asciiTheme="minorHAnsi" w:hAnsiTheme="minorHAnsi" w:cstheme="minorHAnsi"/>
        </w:rPr>
        <w:t>(4.76 µg/L versus 3.77 µg/L)</w:t>
      </w:r>
      <w:r w:rsidR="00C364BD" w:rsidRPr="005553DF">
        <w:rPr>
          <w:rFonts w:asciiTheme="minorHAnsi" w:hAnsiTheme="minorHAnsi" w:cstheme="minorHAnsi"/>
        </w:rPr>
        <w:t xml:space="preserve">. </w:t>
      </w:r>
      <w:r w:rsidR="00F20ED9" w:rsidRPr="005553DF">
        <w:rPr>
          <w:rFonts w:asciiTheme="minorHAnsi" w:hAnsiTheme="minorHAnsi" w:cstheme="minorHAnsi"/>
        </w:rPr>
        <w:t xml:space="preserve">NH DHHS measured 8 to 14 PFAS congeners </w:t>
      </w:r>
      <w:r w:rsidR="00B12F3C" w:rsidRPr="005553DF">
        <w:rPr>
          <w:rFonts w:asciiTheme="minorHAnsi" w:hAnsiTheme="minorHAnsi" w:cstheme="minorHAnsi"/>
        </w:rPr>
        <w:t>at</w:t>
      </w:r>
      <w:r w:rsidR="00F20ED9" w:rsidRPr="005553DF">
        <w:rPr>
          <w:rFonts w:asciiTheme="minorHAnsi" w:hAnsiTheme="minorHAnsi" w:cstheme="minorHAnsi"/>
        </w:rPr>
        <w:t xml:space="preserve"> 3 analytical laboratories. </w:t>
      </w:r>
      <w:r w:rsidR="006937CE" w:rsidRPr="005553DF">
        <w:rPr>
          <w:rFonts w:asciiTheme="minorHAnsi" w:hAnsiTheme="minorHAnsi" w:cstheme="minorHAnsi"/>
        </w:rPr>
        <w:t>Among</w:t>
      </w:r>
      <w:r w:rsidR="00763387" w:rsidRPr="005553DF">
        <w:rPr>
          <w:rFonts w:asciiTheme="minorHAnsi" w:hAnsiTheme="minorHAnsi" w:cstheme="minorHAnsi"/>
        </w:rPr>
        <w:t xml:space="preserve"> </w:t>
      </w:r>
      <w:r w:rsidR="00362460" w:rsidRPr="005553DF">
        <w:rPr>
          <w:rFonts w:asciiTheme="minorHAnsi" w:hAnsiTheme="minorHAnsi" w:cstheme="minorHAnsi"/>
        </w:rPr>
        <w:t>PFOA, PFOS, PFHxS and PFNA concentrations</w:t>
      </w:r>
      <w:r w:rsidR="00763387" w:rsidRPr="005553DF">
        <w:rPr>
          <w:rFonts w:asciiTheme="minorHAnsi" w:hAnsiTheme="minorHAnsi" w:cstheme="minorHAnsi"/>
        </w:rPr>
        <w:t>,</w:t>
      </w:r>
      <w:r w:rsidR="00C364BD" w:rsidRPr="005553DF">
        <w:rPr>
          <w:rFonts w:asciiTheme="minorHAnsi" w:hAnsiTheme="minorHAnsi" w:cstheme="minorHAnsi"/>
        </w:rPr>
        <w:t xml:space="preserve"> water consumption had the strongest effect on PFHxS serum levels. In particular, water consumption had the highest effect on PFHxS serum levels among persons aged ≤19 years (β = 0.31, SE = 0.15, marginal effect = 36.4%). Geometric mean PFOS and PFOA serum levels were also higher among persons who drank ≥4 cups of water per day compared with those who drank &lt;4 cups per day </w:t>
      </w:r>
      <w:r w:rsidR="00BA794A" w:rsidRPr="005553DF">
        <w:rPr>
          <w:rFonts w:asciiTheme="minorHAnsi" w:hAnsiTheme="minorHAnsi" w:cstheme="minorHAnsi"/>
        </w:rPr>
        <w:t>(</w:t>
      </w:r>
      <w:r w:rsidR="00C364BD" w:rsidRPr="005553DF">
        <w:rPr>
          <w:rFonts w:asciiTheme="minorHAnsi" w:hAnsiTheme="minorHAnsi" w:cstheme="minorHAnsi"/>
        </w:rPr>
        <w:t>NH DHHS 2016</w:t>
      </w:r>
      <w:r w:rsidR="00BA794A" w:rsidRPr="005553DF">
        <w:rPr>
          <w:rFonts w:asciiTheme="minorHAnsi" w:hAnsiTheme="minorHAnsi" w:cstheme="minorHAnsi"/>
        </w:rPr>
        <w:t>)</w:t>
      </w:r>
      <w:r w:rsidR="00C364BD" w:rsidRPr="005553DF">
        <w:rPr>
          <w:rFonts w:asciiTheme="minorHAnsi" w:hAnsiTheme="minorHAnsi" w:cstheme="minorHAnsi"/>
        </w:rPr>
        <w:t xml:space="preserve">. Linear trends were observed for geometric mean serum levels of PFOS, PFOA, and PFHxS and increasing time spent at the Pease Tradeport. The trend was strongest for PFOS and PFHxS </w:t>
      </w:r>
      <w:r w:rsidR="00BA794A" w:rsidRPr="005553DF">
        <w:rPr>
          <w:rFonts w:asciiTheme="minorHAnsi" w:hAnsiTheme="minorHAnsi" w:cstheme="minorHAnsi"/>
        </w:rPr>
        <w:t>(</w:t>
      </w:r>
      <w:r w:rsidR="00C364BD" w:rsidRPr="005553DF">
        <w:rPr>
          <w:rFonts w:asciiTheme="minorHAnsi" w:hAnsiTheme="minorHAnsi" w:cstheme="minorHAnsi"/>
        </w:rPr>
        <w:t>NH DHHS 2016</w:t>
      </w:r>
      <w:r w:rsidR="00BA794A" w:rsidRPr="005553DF">
        <w:rPr>
          <w:rFonts w:asciiTheme="minorHAnsi" w:hAnsiTheme="minorHAnsi" w:cstheme="minorHAnsi"/>
        </w:rPr>
        <w:t>)</w:t>
      </w:r>
      <w:r w:rsidR="00C364BD" w:rsidRPr="005553DF">
        <w:rPr>
          <w:rFonts w:asciiTheme="minorHAnsi" w:hAnsiTheme="minorHAnsi" w:cstheme="minorHAnsi"/>
        </w:rPr>
        <w:t>.</w:t>
      </w:r>
      <w:r w:rsidR="00E10CCC" w:rsidRPr="005553DF">
        <w:rPr>
          <w:rFonts w:asciiTheme="minorHAnsi" w:hAnsiTheme="minorHAnsi" w:cstheme="minorHAnsi"/>
        </w:rPr>
        <w:t xml:space="preserve"> Findings from the report have been </w:t>
      </w:r>
      <w:r w:rsidR="00C85F03" w:rsidRPr="005553DF">
        <w:rPr>
          <w:rFonts w:asciiTheme="minorHAnsi" w:hAnsiTheme="minorHAnsi" w:cstheme="minorHAnsi"/>
        </w:rPr>
        <w:t xml:space="preserve">recently </w:t>
      </w:r>
      <w:r w:rsidR="00E10CCC" w:rsidRPr="005553DF">
        <w:rPr>
          <w:rFonts w:asciiTheme="minorHAnsi" w:hAnsiTheme="minorHAnsi" w:cstheme="minorHAnsi"/>
        </w:rPr>
        <w:t>published (Daly 2018).</w:t>
      </w:r>
    </w:p>
    <w:p w14:paraId="067B225B" w14:textId="77777777" w:rsidR="00C364BD" w:rsidRPr="005553DF" w:rsidRDefault="00242DE5" w:rsidP="005553DF">
      <w:pPr>
        <w:pStyle w:val="Heading2"/>
        <w:spacing w:before="0" w:after="240" w:line="360" w:lineRule="auto"/>
        <w:rPr>
          <w:rFonts w:asciiTheme="minorHAnsi" w:hAnsiTheme="minorHAnsi" w:cstheme="minorHAnsi"/>
          <w:i w:val="0"/>
          <w:sz w:val="22"/>
          <w:szCs w:val="22"/>
        </w:rPr>
      </w:pPr>
      <w:bookmarkStart w:id="16" w:name="_Toc532224141"/>
      <w:r w:rsidRPr="005553DF">
        <w:rPr>
          <w:rFonts w:asciiTheme="minorHAnsi" w:hAnsiTheme="minorHAnsi" w:cstheme="minorHAnsi"/>
          <w:i w:val="0"/>
          <w:sz w:val="22"/>
          <w:szCs w:val="22"/>
        </w:rPr>
        <w:t>2.</w:t>
      </w:r>
      <w:r w:rsidR="00C072BC" w:rsidRPr="005553DF">
        <w:rPr>
          <w:rFonts w:asciiTheme="minorHAnsi" w:hAnsiTheme="minorHAnsi" w:cstheme="minorHAnsi"/>
          <w:i w:val="0"/>
          <w:sz w:val="22"/>
          <w:szCs w:val="22"/>
        </w:rPr>
        <w:t>3</w:t>
      </w:r>
      <w:r w:rsidRPr="005553DF">
        <w:rPr>
          <w:rFonts w:asciiTheme="minorHAnsi" w:hAnsiTheme="minorHAnsi" w:cstheme="minorHAnsi"/>
          <w:i w:val="0"/>
          <w:sz w:val="22"/>
          <w:szCs w:val="22"/>
        </w:rPr>
        <w:t xml:space="preserve"> </w:t>
      </w:r>
      <w:r w:rsidR="004914F0" w:rsidRPr="005553DF">
        <w:rPr>
          <w:rFonts w:asciiTheme="minorHAnsi" w:hAnsiTheme="minorHAnsi" w:cstheme="minorHAnsi"/>
          <w:i w:val="0"/>
          <w:sz w:val="22"/>
          <w:szCs w:val="22"/>
        </w:rPr>
        <w:t>General Approach</w:t>
      </w:r>
      <w:r w:rsidR="00A65E2E" w:rsidRPr="005553DF">
        <w:rPr>
          <w:rFonts w:asciiTheme="minorHAnsi" w:hAnsiTheme="minorHAnsi" w:cstheme="minorHAnsi"/>
          <w:i w:val="0"/>
          <w:sz w:val="22"/>
          <w:szCs w:val="22"/>
        </w:rPr>
        <w:t xml:space="preserve"> for </w:t>
      </w:r>
      <w:r w:rsidR="00794DFD" w:rsidRPr="005553DF">
        <w:rPr>
          <w:rFonts w:asciiTheme="minorHAnsi" w:hAnsiTheme="minorHAnsi" w:cstheme="minorHAnsi"/>
          <w:i w:val="0"/>
          <w:sz w:val="22"/>
          <w:szCs w:val="22"/>
        </w:rPr>
        <w:t xml:space="preserve">Pease Study </w:t>
      </w:r>
      <w:r w:rsidR="00A65E2E" w:rsidRPr="005553DF">
        <w:rPr>
          <w:rFonts w:asciiTheme="minorHAnsi" w:hAnsiTheme="minorHAnsi" w:cstheme="minorHAnsi"/>
          <w:i w:val="0"/>
          <w:sz w:val="22"/>
          <w:szCs w:val="22"/>
        </w:rPr>
        <w:t>Recruitment</w:t>
      </w:r>
      <w:bookmarkEnd w:id="16"/>
    </w:p>
    <w:p w14:paraId="3CE1B674" w14:textId="77777777" w:rsidR="000F55ED" w:rsidRPr="005553DF" w:rsidRDefault="00D00D12" w:rsidP="005553DF">
      <w:pPr>
        <w:autoSpaceDE w:val="0"/>
        <w:autoSpaceDN w:val="0"/>
        <w:adjustRightInd w:val="0"/>
        <w:spacing w:after="240" w:line="360" w:lineRule="auto"/>
        <w:jc w:val="both"/>
        <w:rPr>
          <w:rFonts w:asciiTheme="minorHAnsi" w:hAnsiTheme="minorHAnsi" w:cstheme="minorHAnsi"/>
          <w:b/>
          <w:color w:val="000000"/>
          <w:u w:val="single"/>
        </w:rPr>
      </w:pPr>
      <w:r w:rsidRPr="005553DF">
        <w:rPr>
          <w:rFonts w:asciiTheme="minorHAnsi" w:hAnsiTheme="minorHAnsi" w:cstheme="minorHAnsi"/>
        </w:rPr>
        <w:t>In considering possible study designs, ATSDR focused on the methods used in previous epidemiological research of PFAS exposures</w:t>
      </w:r>
      <w:r w:rsidR="004F2E5E" w:rsidRPr="005553DF">
        <w:rPr>
          <w:rFonts w:asciiTheme="minorHAnsi" w:hAnsiTheme="minorHAnsi" w:cstheme="minorHAnsi"/>
        </w:rPr>
        <w:t xml:space="preserve"> (ATSDR 2017a)</w:t>
      </w:r>
      <w:r w:rsidRPr="005553DF">
        <w:rPr>
          <w:rFonts w:asciiTheme="minorHAnsi" w:hAnsiTheme="minorHAnsi" w:cstheme="minorHAnsi"/>
        </w:rPr>
        <w:t>. Adopting study design methods consistent with previous research facilitate</w:t>
      </w:r>
      <w:r w:rsidR="0008387B" w:rsidRPr="005553DF">
        <w:rPr>
          <w:rFonts w:asciiTheme="minorHAnsi" w:hAnsiTheme="minorHAnsi" w:cstheme="minorHAnsi"/>
        </w:rPr>
        <w:t>s</w:t>
      </w:r>
      <w:r w:rsidRPr="005553DF">
        <w:rPr>
          <w:rFonts w:asciiTheme="minorHAnsi" w:hAnsiTheme="minorHAnsi" w:cstheme="minorHAnsi"/>
        </w:rPr>
        <w:t xml:space="preserve"> the interpretation and synthesis of findings across studies. </w:t>
      </w:r>
      <w:r w:rsidR="00A4263B" w:rsidRPr="005553DF">
        <w:rPr>
          <w:rFonts w:asciiTheme="minorHAnsi" w:hAnsiTheme="minorHAnsi" w:cstheme="minorHAnsi"/>
        </w:rPr>
        <w:t>M</w:t>
      </w:r>
      <w:r w:rsidRPr="005553DF">
        <w:rPr>
          <w:rFonts w:asciiTheme="minorHAnsi" w:hAnsiTheme="minorHAnsi" w:cstheme="minorHAnsi"/>
        </w:rPr>
        <w:t xml:space="preserve">ost of the epidemiological studies of PFAS exposures were cross-sectional and evaluated serum PFAS measurements. Some studies also evaluated cumulative PFAS serum levels estimated from </w:t>
      </w:r>
      <w:r w:rsidR="000F55ED" w:rsidRPr="005553DF">
        <w:rPr>
          <w:rFonts w:asciiTheme="minorHAnsi" w:hAnsiTheme="minorHAnsi" w:cstheme="minorHAnsi"/>
        </w:rPr>
        <w:t xml:space="preserve">historical reconstruction </w:t>
      </w:r>
      <w:r w:rsidRPr="005553DF">
        <w:rPr>
          <w:rFonts w:asciiTheme="minorHAnsi" w:hAnsiTheme="minorHAnsi" w:cstheme="minorHAnsi"/>
        </w:rPr>
        <w:t xml:space="preserve">models. ATSDR concluded that </w:t>
      </w:r>
      <w:r w:rsidR="000F55ED" w:rsidRPr="005553DF">
        <w:rPr>
          <w:rFonts w:asciiTheme="minorHAnsi" w:hAnsiTheme="minorHAnsi" w:cstheme="minorHAnsi"/>
        </w:rPr>
        <w:t xml:space="preserve">epidemiological </w:t>
      </w:r>
      <w:r w:rsidRPr="005553DF">
        <w:rPr>
          <w:rFonts w:asciiTheme="minorHAnsi" w:hAnsiTheme="minorHAnsi" w:cstheme="minorHAnsi"/>
        </w:rPr>
        <w:t>stud</w:t>
      </w:r>
      <w:r w:rsidR="00BC676C" w:rsidRPr="005553DF">
        <w:rPr>
          <w:rFonts w:asciiTheme="minorHAnsi" w:hAnsiTheme="minorHAnsi" w:cstheme="minorHAnsi"/>
        </w:rPr>
        <w:t>ies</w:t>
      </w:r>
      <w:r w:rsidRPr="005553DF">
        <w:rPr>
          <w:rFonts w:asciiTheme="minorHAnsi" w:hAnsiTheme="minorHAnsi" w:cstheme="minorHAnsi"/>
        </w:rPr>
        <w:t xml:space="preserve"> of populations </w:t>
      </w:r>
      <w:r w:rsidR="000F55ED" w:rsidRPr="005553DF">
        <w:rPr>
          <w:rFonts w:asciiTheme="minorHAnsi" w:hAnsiTheme="minorHAnsi" w:cstheme="minorHAnsi"/>
        </w:rPr>
        <w:t xml:space="preserve">at Pease </w:t>
      </w:r>
      <w:r w:rsidRPr="005553DF">
        <w:rPr>
          <w:rFonts w:asciiTheme="minorHAnsi" w:hAnsiTheme="minorHAnsi" w:cstheme="minorHAnsi"/>
        </w:rPr>
        <w:t xml:space="preserve">should be cross-sectional and evaluate measured serum PFAS measurements as well as </w:t>
      </w:r>
      <w:r w:rsidR="000F55ED" w:rsidRPr="005553DF">
        <w:rPr>
          <w:rFonts w:asciiTheme="minorHAnsi" w:hAnsiTheme="minorHAnsi" w:cstheme="minorHAnsi"/>
        </w:rPr>
        <w:t xml:space="preserve">historically reconstructed </w:t>
      </w:r>
      <w:r w:rsidRPr="005553DF">
        <w:rPr>
          <w:rFonts w:asciiTheme="minorHAnsi" w:hAnsiTheme="minorHAnsi" w:cstheme="minorHAnsi"/>
        </w:rPr>
        <w:t>estimate</w:t>
      </w:r>
      <w:r w:rsidR="000F55ED" w:rsidRPr="005553DF">
        <w:rPr>
          <w:rFonts w:asciiTheme="minorHAnsi" w:hAnsiTheme="minorHAnsi" w:cstheme="minorHAnsi"/>
        </w:rPr>
        <w:t>s of</w:t>
      </w:r>
      <w:r w:rsidRPr="005553DF">
        <w:rPr>
          <w:rFonts w:asciiTheme="minorHAnsi" w:hAnsiTheme="minorHAnsi" w:cstheme="minorHAnsi"/>
        </w:rPr>
        <w:t xml:space="preserve"> cumulative PFAS serum levels. ATSDR also concluded that methods used to evaluate health-related endpoints in the</w:t>
      </w:r>
      <w:r w:rsidR="000F55ED" w:rsidRPr="005553DF">
        <w:rPr>
          <w:rFonts w:asciiTheme="minorHAnsi" w:hAnsiTheme="minorHAnsi" w:cstheme="minorHAnsi"/>
        </w:rPr>
        <w:t xml:space="preserve"> stud</w:t>
      </w:r>
      <w:r w:rsidR="00DA4A35" w:rsidRPr="005553DF">
        <w:rPr>
          <w:rFonts w:asciiTheme="minorHAnsi" w:hAnsiTheme="minorHAnsi" w:cstheme="minorHAnsi"/>
        </w:rPr>
        <w:t>ies</w:t>
      </w:r>
      <w:r w:rsidR="000F55ED" w:rsidRPr="005553DF">
        <w:rPr>
          <w:rFonts w:asciiTheme="minorHAnsi" w:hAnsiTheme="minorHAnsi" w:cstheme="minorHAnsi"/>
        </w:rPr>
        <w:t xml:space="preserve"> s</w:t>
      </w:r>
      <w:r w:rsidRPr="005553DF">
        <w:rPr>
          <w:rFonts w:asciiTheme="minorHAnsi" w:hAnsiTheme="minorHAnsi" w:cstheme="minorHAnsi"/>
        </w:rPr>
        <w:t>hould be consistent with methods used in previous epidemiological research of PFAS exposures</w:t>
      </w:r>
      <w:r w:rsidR="0021096B" w:rsidRPr="005553DF">
        <w:rPr>
          <w:rFonts w:asciiTheme="minorHAnsi" w:hAnsiTheme="minorHAnsi" w:cstheme="minorHAnsi"/>
        </w:rPr>
        <w:t>, given adequate sample size and power</w:t>
      </w:r>
      <w:r w:rsidRPr="005553DF">
        <w:rPr>
          <w:rFonts w:asciiTheme="minorHAnsi" w:hAnsiTheme="minorHAnsi" w:cstheme="minorHAnsi"/>
        </w:rPr>
        <w:t>.</w:t>
      </w:r>
      <w:r w:rsidR="00321F58" w:rsidRPr="005553DF">
        <w:rPr>
          <w:rFonts w:asciiTheme="minorHAnsi" w:hAnsiTheme="minorHAnsi" w:cstheme="minorHAnsi"/>
        </w:rPr>
        <w:t xml:space="preserve">  </w:t>
      </w:r>
    </w:p>
    <w:p w14:paraId="3A215F3A" w14:textId="77777777" w:rsidR="00F37EB7" w:rsidRPr="005553DF" w:rsidRDefault="00707EC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NH DHHS and the Pease CAP will assist ATSDR to conduct outreach to</w:t>
      </w:r>
      <w:r w:rsidR="0065322E" w:rsidRPr="005553DF">
        <w:rPr>
          <w:rFonts w:asciiTheme="minorHAnsi" w:hAnsiTheme="minorHAnsi" w:cstheme="minorHAnsi"/>
          <w:bCs/>
          <w:iCs/>
          <w:color w:val="000000"/>
        </w:rPr>
        <w:t xml:space="preserve"> encourage participation. </w:t>
      </w:r>
      <w:r w:rsidR="00C85F03" w:rsidRPr="005553DF">
        <w:rPr>
          <w:rFonts w:asciiTheme="minorHAnsi" w:hAnsiTheme="minorHAnsi" w:cstheme="minorHAnsi"/>
          <w:bCs/>
          <w:iCs/>
          <w:color w:val="000000"/>
        </w:rPr>
        <w:t xml:space="preserve">At Pease, </w:t>
      </w:r>
      <w:r w:rsidRPr="005553DF">
        <w:rPr>
          <w:rFonts w:asciiTheme="minorHAnsi" w:hAnsiTheme="minorHAnsi" w:cstheme="minorHAnsi"/>
          <w:bCs/>
          <w:iCs/>
          <w:color w:val="000000"/>
        </w:rPr>
        <w:t>ATSDR</w:t>
      </w:r>
      <w:r w:rsidR="00DA4A35" w:rsidRPr="005553DF">
        <w:rPr>
          <w:rFonts w:asciiTheme="minorHAnsi" w:hAnsiTheme="minorHAnsi" w:cstheme="minorHAnsi"/>
          <w:bCs/>
          <w:iCs/>
          <w:color w:val="000000"/>
        </w:rPr>
        <w:t xml:space="preserve"> will </w:t>
      </w:r>
      <w:r w:rsidR="0008387B" w:rsidRPr="005553DF">
        <w:rPr>
          <w:rFonts w:asciiTheme="minorHAnsi" w:hAnsiTheme="minorHAnsi" w:cstheme="minorHAnsi"/>
          <w:bCs/>
          <w:iCs/>
          <w:color w:val="000000"/>
        </w:rPr>
        <w:t>recruit</w:t>
      </w:r>
      <w:r w:rsidR="00DA4A35" w:rsidRPr="005553DF">
        <w:rPr>
          <w:rFonts w:asciiTheme="minorHAnsi" w:hAnsiTheme="minorHAnsi" w:cstheme="minorHAnsi"/>
          <w:bCs/>
          <w:iCs/>
          <w:color w:val="000000"/>
        </w:rPr>
        <w:t xml:space="preserve"> </w:t>
      </w:r>
      <w:r w:rsidR="00B90747" w:rsidRPr="005553DF">
        <w:rPr>
          <w:rFonts w:asciiTheme="minorHAnsi" w:hAnsiTheme="minorHAnsi" w:cstheme="minorHAnsi"/>
          <w:bCs/>
          <w:iCs/>
          <w:color w:val="000000"/>
        </w:rPr>
        <w:t xml:space="preserve">from the </w:t>
      </w:r>
      <w:r w:rsidR="0081052D" w:rsidRPr="005553DF">
        <w:rPr>
          <w:rFonts w:asciiTheme="minorHAnsi" w:hAnsiTheme="minorHAnsi" w:cstheme="minorHAnsi"/>
          <w:bCs/>
          <w:iCs/>
          <w:color w:val="000000"/>
        </w:rPr>
        <w:t xml:space="preserve">existing </w:t>
      </w:r>
      <w:r w:rsidR="00B90747" w:rsidRPr="005553DF">
        <w:rPr>
          <w:rFonts w:asciiTheme="minorHAnsi" w:hAnsiTheme="minorHAnsi" w:cstheme="minorHAnsi"/>
          <w:bCs/>
          <w:iCs/>
          <w:color w:val="000000"/>
        </w:rPr>
        <w:t xml:space="preserve">convenience sample of </w:t>
      </w:r>
      <w:r w:rsidR="00321F58" w:rsidRPr="005553DF">
        <w:rPr>
          <w:rFonts w:asciiTheme="minorHAnsi" w:hAnsiTheme="minorHAnsi" w:cstheme="minorHAnsi"/>
          <w:bCs/>
          <w:iCs/>
          <w:color w:val="000000"/>
        </w:rPr>
        <w:t>children (aged 4-17)</w:t>
      </w:r>
      <w:r w:rsidR="0081052D" w:rsidRPr="005553DF">
        <w:rPr>
          <w:rFonts w:asciiTheme="minorHAnsi" w:hAnsiTheme="minorHAnsi" w:cstheme="minorHAnsi"/>
          <w:bCs/>
          <w:iCs/>
          <w:color w:val="000000"/>
        </w:rPr>
        <w:t>,</w:t>
      </w:r>
      <w:r w:rsidR="00A84E4A" w:rsidRPr="005553DF">
        <w:rPr>
          <w:rFonts w:asciiTheme="minorHAnsi" w:hAnsiTheme="minorHAnsi" w:cstheme="minorHAnsi"/>
          <w:bCs/>
          <w:iCs/>
          <w:color w:val="000000"/>
        </w:rPr>
        <w:t xml:space="preserve"> their parents</w:t>
      </w:r>
      <w:r w:rsidR="0081052D" w:rsidRPr="005553DF">
        <w:rPr>
          <w:rFonts w:asciiTheme="minorHAnsi" w:hAnsiTheme="minorHAnsi" w:cstheme="minorHAnsi"/>
          <w:bCs/>
          <w:iCs/>
          <w:color w:val="000000"/>
        </w:rPr>
        <w:t>,</w:t>
      </w:r>
      <w:r w:rsidR="00321F58" w:rsidRPr="005553DF">
        <w:rPr>
          <w:rFonts w:asciiTheme="minorHAnsi" w:hAnsiTheme="minorHAnsi" w:cstheme="minorHAnsi"/>
          <w:bCs/>
          <w:iCs/>
          <w:color w:val="000000"/>
        </w:rPr>
        <w:t xml:space="preserve"> and </w:t>
      </w:r>
      <w:r w:rsidR="009323D8" w:rsidRPr="005553DF">
        <w:rPr>
          <w:rFonts w:asciiTheme="minorHAnsi" w:hAnsiTheme="minorHAnsi" w:cstheme="minorHAnsi"/>
          <w:bCs/>
          <w:iCs/>
          <w:color w:val="000000"/>
        </w:rPr>
        <w:t xml:space="preserve">other </w:t>
      </w:r>
      <w:r w:rsidR="00321F58" w:rsidRPr="005553DF">
        <w:rPr>
          <w:rFonts w:asciiTheme="minorHAnsi" w:hAnsiTheme="minorHAnsi" w:cstheme="minorHAnsi"/>
          <w:bCs/>
          <w:iCs/>
          <w:color w:val="000000"/>
        </w:rPr>
        <w:t>adults (aged ≥18)</w:t>
      </w:r>
      <w:r w:rsidR="00DA4A35" w:rsidRPr="005553DF">
        <w:rPr>
          <w:rFonts w:asciiTheme="minorHAnsi" w:hAnsiTheme="minorHAnsi" w:cstheme="minorHAnsi"/>
          <w:bCs/>
          <w:iCs/>
          <w:color w:val="000000"/>
        </w:rPr>
        <w:t xml:space="preserve"> </w:t>
      </w:r>
      <w:r w:rsidR="0009299B" w:rsidRPr="005553DF">
        <w:rPr>
          <w:rFonts w:asciiTheme="minorHAnsi" w:hAnsiTheme="minorHAnsi" w:cstheme="minorHAnsi"/>
          <w:bCs/>
          <w:iCs/>
          <w:color w:val="000000"/>
        </w:rPr>
        <w:t xml:space="preserve">who </w:t>
      </w:r>
      <w:r w:rsidR="0065322E" w:rsidRPr="005553DF">
        <w:rPr>
          <w:rFonts w:asciiTheme="minorHAnsi" w:hAnsiTheme="minorHAnsi" w:cstheme="minorHAnsi"/>
          <w:bCs/>
          <w:iCs/>
          <w:color w:val="000000"/>
        </w:rPr>
        <w:t xml:space="preserve">previously </w:t>
      </w:r>
      <w:r w:rsidR="0009299B" w:rsidRPr="005553DF">
        <w:rPr>
          <w:rFonts w:asciiTheme="minorHAnsi" w:hAnsiTheme="minorHAnsi" w:cstheme="minorHAnsi"/>
          <w:bCs/>
          <w:iCs/>
          <w:color w:val="000000"/>
        </w:rPr>
        <w:t>participated in the Pease biomonitoring program</w:t>
      </w:r>
      <w:r w:rsidR="00B90747" w:rsidRPr="005553DF">
        <w:rPr>
          <w:rFonts w:asciiTheme="minorHAnsi" w:hAnsiTheme="minorHAnsi" w:cstheme="minorHAnsi"/>
          <w:bCs/>
          <w:iCs/>
          <w:color w:val="000000"/>
        </w:rPr>
        <w:t>. If sample size goals are not met,</w:t>
      </w:r>
      <w:r w:rsidR="00A62826" w:rsidRPr="005553DF">
        <w:rPr>
          <w:rFonts w:asciiTheme="minorHAnsi" w:hAnsiTheme="minorHAnsi" w:cstheme="minorHAnsi"/>
          <w:bCs/>
          <w:iCs/>
          <w:color w:val="000000"/>
        </w:rPr>
        <w:t xml:space="preserve"> those that met biomonitoring</w:t>
      </w:r>
      <w:r w:rsidR="0084159D" w:rsidRPr="005553DF">
        <w:rPr>
          <w:rFonts w:asciiTheme="minorHAnsi" w:hAnsiTheme="minorHAnsi" w:cstheme="minorHAnsi"/>
          <w:bCs/>
          <w:iCs/>
          <w:color w:val="000000"/>
        </w:rPr>
        <w:t xml:space="preserve"> </w:t>
      </w:r>
      <w:r w:rsidR="006B2F12" w:rsidRPr="005553DF">
        <w:rPr>
          <w:rFonts w:asciiTheme="minorHAnsi" w:hAnsiTheme="minorHAnsi" w:cstheme="minorHAnsi"/>
          <w:bCs/>
          <w:iCs/>
          <w:color w:val="000000"/>
        </w:rPr>
        <w:t xml:space="preserve">eligibility </w:t>
      </w:r>
      <w:r w:rsidR="0084159D" w:rsidRPr="005553DF">
        <w:rPr>
          <w:rFonts w:asciiTheme="minorHAnsi" w:hAnsiTheme="minorHAnsi" w:cstheme="minorHAnsi"/>
          <w:bCs/>
          <w:iCs/>
          <w:color w:val="000000"/>
        </w:rPr>
        <w:t>criteria but were not enrolled in 2015-7</w:t>
      </w:r>
      <w:r w:rsidR="00B90747" w:rsidRPr="005553DF">
        <w:rPr>
          <w:rFonts w:asciiTheme="minorHAnsi" w:hAnsiTheme="minorHAnsi" w:cstheme="minorHAnsi"/>
          <w:bCs/>
          <w:iCs/>
          <w:color w:val="000000"/>
        </w:rPr>
        <w:t xml:space="preserve"> will be recruited</w:t>
      </w:r>
      <w:r w:rsidR="0009299B" w:rsidRPr="005553DF">
        <w:rPr>
          <w:rFonts w:asciiTheme="minorHAnsi" w:hAnsiTheme="minorHAnsi" w:cstheme="minorHAnsi"/>
          <w:bCs/>
          <w:iCs/>
          <w:color w:val="000000"/>
        </w:rPr>
        <w:t xml:space="preserve">. </w:t>
      </w:r>
      <w:r w:rsidR="000A26A5" w:rsidRPr="005553DF">
        <w:rPr>
          <w:rFonts w:asciiTheme="minorHAnsi" w:hAnsiTheme="minorHAnsi" w:cstheme="minorHAnsi"/>
          <w:bCs/>
          <w:iCs/>
          <w:color w:val="000000"/>
        </w:rPr>
        <w:t>ATSDR</w:t>
      </w:r>
      <w:r w:rsidR="0057601A" w:rsidRPr="005553DF">
        <w:rPr>
          <w:rFonts w:asciiTheme="minorHAnsi" w:hAnsiTheme="minorHAnsi" w:cstheme="minorHAnsi"/>
          <w:bCs/>
          <w:iCs/>
          <w:color w:val="000000"/>
        </w:rPr>
        <w:t xml:space="preserve"> will </w:t>
      </w:r>
      <w:r w:rsidRPr="005553DF">
        <w:rPr>
          <w:rFonts w:asciiTheme="minorHAnsi" w:hAnsiTheme="minorHAnsi" w:cstheme="minorHAnsi"/>
          <w:bCs/>
          <w:iCs/>
          <w:color w:val="000000"/>
        </w:rPr>
        <w:t xml:space="preserve">also </w:t>
      </w:r>
      <w:r w:rsidR="0057601A" w:rsidRPr="005553DF">
        <w:rPr>
          <w:rFonts w:asciiTheme="minorHAnsi" w:hAnsiTheme="minorHAnsi" w:cstheme="minorHAnsi"/>
          <w:bCs/>
          <w:iCs/>
          <w:color w:val="000000"/>
        </w:rPr>
        <w:t xml:space="preserve">recruit a </w:t>
      </w:r>
      <w:r w:rsidR="0008387B" w:rsidRPr="005553DF">
        <w:rPr>
          <w:rFonts w:asciiTheme="minorHAnsi" w:hAnsiTheme="minorHAnsi" w:cstheme="minorHAnsi"/>
          <w:bCs/>
          <w:iCs/>
          <w:color w:val="000000"/>
        </w:rPr>
        <w:t xml:space="preserve">small </w:t>
      </w:r>
      <w:r w:rsidR="0057601A" w:rsidRPr="005553DF">
        <w:rPr>
          <w:rFonts w:asciiTheme="minorHAnsi" w:hAnsiTheme="minorHAnsi" w:cstheme="minorHAnsi"/>
          <w:bCs/>
          <w:iCs/>
          <w:color w:val="000000"/>
        </w:rPr>
        <w:t>referent group of children unexposed to PFAS-contaminated drinking water through outreach to Portsmouth schools</w:t>
      </w:r>
      <w:r w:rsidR="00B7207C" w:rsidRPr="005553DF">
        <w:rPr>
          <w:rFonts w:asciiTheme="minorHAnsi" w:hAnsiTheme="minorHAnsi" w:cstheme="minorHAnsi"/>
          <w:bCs/>
          <w:iCs/>
          <w:color w:val="000000"/>
        </w:rPr>
        <w:t xml:space="preserve"> and day care centers (for those 4-5 year old)</w:t>
      </w:r>
      <w:r w:rsidR="0057601A" w:rsidRPr="005553DF">
        <w:rPr>
          <w:rFonts w:asciiTheme="minorHAnsi" w:hAnsiTheme="minorHAnsi" w:cstheme="minorHAnsi"/>
          <w:bCs/>
          <w:iCs/>
          <w:color w:val="000000"/>
        </w:rPr>
        <w:t xml:space="preserve">. </w:t>
      </w:r>
      <w:r w:rsidR="00DA4A35" w:rsidRPr="005553DF">
        <w:rPr>
          <w:rFonts w:asciiTheme="minorHAnsi" w:hAnsiTheme="minorHAnsi" w:cstheme="minorHAnsi"/>
          <w:bCs/>
          <w:iCs/>
          <w:color w:val="000000"/>
        </w:rPr>
        <w:t xml:space="preserve"> </w:t>
      </w:r>
      <w:r w:rsidR="0057601A" w:rsidRPr="005553DF">
        <w:rPr>
          <w:rFonts w:asciiTheme="minorHAnsi" w:hAnsiTheme="minorHAnsi" w:cstheme="minorHAnsi"/>
        </w:rPr>
        <w:t xml:space="preserve">Recruitment of </w:t>
      </w:r>
      <w:r w:rsidR="0008387B" w:rsidRPr="005553DF">
        <w:rPr>
          <w:rFonts w:asciiTheme="minorHAnsi" w:hAnsiTheme="minorHAnsi" w:cstheme="minorHAnsi"/>
        </w:rPr>
        <w:t xml:space="preserve">a small group of </w:t>
      </w:r>
      <w:r w:rsidR="0057601A" w:rsidRPr="005553DF">
        <w:rPr>
          <w:rFonts w:asciiTheme="minorHAnsi" w:hAnsiTheme="minorHAnsi" w:cstheme="minorHAnsi"/>
        </w:rPr>
        <w:t>adult referents will include outreach to current adult education students among the five colleges at Pease</w:t>
      </w:r>
      <w:r w:rsidR="00C163BC" w:rsidRPr="005553DF">
        <w:rPr>
          <w:rFonts w:asciiTheme="minorHAnsi" w:hAnsiTheme="minorHAnsi" w:cstheme="minorHAnsi"/>
        </w:rPr>
        <w:t xml:space="preserve"> (i.e., students who first attended these schools after closure of the Haven Well)</w:t>
      </w:r>
      <w:r w:rsidR="0057601A" w:rsidRPr="005553DF">
        <w:rPr>
          <w:rFonts w:asciiTheme="minorHAnsi" w:hAnsiTheme="minorHAnsi" w:cstheme="minorHAnsi"/>
        </w:rPr>
        <w:t>, Portsmouth government employees</w:t>
      </w:r>
      <w:r w:rsidR="00C163BC" w:rsidRPr="005553DF">
        <w:rPr>
          <w:rFonts w:asciiTheme="minorHAnsi" w:hAnsiTheme="minorHAnsi" w:cstheme="minorHAnsi"/>
        </w:rPr>
        <w:t xml:space="preserve"> (AFSCME Local #1386)</w:t>
      </w:r>
      <w:r w:rsidR="0057601A" w:rsidRPr="005553DF">
        <w:rPr>
          <w:rFonts w:asciiTheme="minorHAnsi" w:hAnsiTheme="minorHAnsi" w:cstheme="minorHAnsi"/>
        </w:rPr>
        <w:t xml:space="preserve">, Portsmouth community organizations, and/or specific Portsmouth neighborhoods.  </w:t>
      </w:r>
    </w:p>
    <w:p w14:paraId="2D4EFACE" w14:textId="77777777" w:rsidR="00E14F92" w:rsidRPr="005553DF" w:rsidRDefault="00E14F92" w:rsidP="005553DF">
      <w:pPr>
        <w:pStyle w:val="Heading2"/>
        <w:spacing w:before="0" w:after="240" w:line="360" w:lineRule="auto"/>
        <w:rPr>
          <w:rFonts w:asciiTheme="minorHAnsi" w:hAnsiTheme="minorHAnsi" w:cstheme="minorHAnsi"/>
          <w:b w:val="0"/>
          <w:bCs w:val="0"/>
          <w:i w:val="0"/>
          <w:iCs w:val="0"/>
          <w:color w:val="000000"/>
        </w:rPr>
      </w:pPr>
      <w:bookmarkStart w:id="17" w:name="_Toc515190789"/>
      <w:bookmarkStart w:id="18" w:name="_Toc515190907"/>
      <w:bookmarkStart w:id="19" w:name="_Toc515190790"/>
      <w:bookmarkStart w:id="20" w:name="_Toc515190908"/>
      <w:bookmarkStart w:id="21" w:name="_Toc515190791"/>
      <w:bookmarkStart w:id="22" w:name="_Toc515190909"/>
      <w:bookmarkStart w:id="23" w:name="_Toc515190792"/>
      <w:bookmarkStart w:id="24" w:name="_Toc515190910"/>
      <w:bookmarkStart w:id="25" w:name="_Toc515191023"/>
      <w:bookmarkStart w:id="26" w:name="_Toc532224142"/>
      <w:bookmarkEnd w:id="17"/>
      <w:bookmarkEnd w:id="18"/>
      <w:bookmarkEnd w:id="19"/>
      <w:bookmarkEnd w:id="20"/>
      <w:bookmarkEnd w:id="21"/>
      <w:bookmarkEnd w:id="22"/>
      <w:bookmarkEnd w:id="23"/>
      <w:bookmarkEnd w:id="24"/>
      <w:r w:rsidRPr="005553DF">
        <w:rPr>
          <w:rFonts w:asciiTheme="minorHAnsi" w:hAnsiTheme="minorHAnsi" w:cstheme="minorHAnsi"/>
          <w:i w:val="0"/>
          <w:sz w:val="22"/>
          <w:szCs w:val="22"/>
        </w:rPr>
        <w:t>2.4 Study</w:t>
      </w:r>
      <w:bookmarkEnd w:id="25"/>
      <w:r w:rsidRPr="005553DF">
        <w:rPr>
          <w:rFonts w:asciiTheme="minorHAnsi" w:hAnsiTheme="minorHAnsi" w:cstheme="minorHAnsi"/>
          <w:i w:val="0"/>
          <w:sz w:val="22"/>
          <w:szCs w:val="22"/>
        </w:rPr>
        <w:t xml:space="preserve"> Objectives</w:t>
      </w:r>
      <w:bookmarkEnd w:id="26"/>
    </w:p>
    <w:p w14:paraId="49F8764B" w14:textId="77777777" w:rsidR="004A67F0" w:rsidRPr="005553DF" w:rsidRDefault="0008387B"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0065376B" w:rsidRPr="005553DF">
        <w:rPr>
          <w:rFonts w:asciiTheme="minorHAnsi" w:hAnsiTheme="minorHAnsi" w:cstheme="minorHAnsi"/>
          <w:bCs/>
          <w:iCs/>
          <w:color w:val="000000"/>
        </w:rPr>
        <w:t xml:space="preserve">main </w:t>
      </w:r>
      <w:r w:rsidR="001C5EDE" w:rsidRPr="005553DF">
        <w:rPr>
          <w:rFonts w:asciiTheme="minorHAnsi" w:hAnsiTheme="minorHAnsi" w:cstheme="minorHAnsi"/>
          <w:bCs/>
          <w:iCs/>
          <w:color w:val="000000"/>
        </w:rPr>
        <w:t>goals</w:t>
      </w:r>
      <w:r w:rsidRPr="005553DF">
        <w:rPr>
          <w:rFonts w:asciiTheme="minorHAnsi" w:hAnsiTheme="minorHAnsi" w:cstheme="minorHAnsi"/>
          <w:bCs/>
          <w:iCs/>
          <w:color w:val="000000"/>
        </w:rPr>
        <w:t xml:space="preserve"> of the studies of c</w:t>
      </w:r>
      <w:r w:rsidR="0065376B" w:rsidRPr="005553DF">
        <w:rPr>
          <w:rFonts w:asciiTheme="minorHAnsi" w:hAnsiTheme="minorHAnsi" w:cstheme="minorHAnsi"/>
          <w:bCs/>
          <w:iCs/>
          <w:color w:val="000000"/>
        </w:rPr>
        <w:t xml:space="preserve">hildren and adults at Pease </w:t>
      </w:r>
      <w:r w:rsidR="00EE4572" w:rsidRPr="005553DF">
        <w:rPr>
          <w:rFonts w:asciiTheme="minorHAnsi" w:hAnsiTheme="minorHAnsi" w:cstheme="minorHAnsi"/>
          <w:bCs/>
          <w:iCs/>
          <w:color w:val="000000"/>
        </w:rPr>
        <w:t xml:space="preserve">are </w:t>
      </w:r>
      <w:r w:rsidR="0065376B" w:rsidRPr="005553DF">
        <w:rPr>
          <w:rFonts w:asciiTheme="minorHAnsi" w:hAnsiTheme="minorHAnsi" w:cstheme="minorHAnsi"/>
          <w:bCs/>
          <w:iCs/>
          <w:color w:val="000000"/>
        </w:rPr>
        <w:t>to</w:t>
      </w:r>
      <w:r w:rsidR="00EE4572" w:rsidRPr="005553DF">
        <w:rPr>
          <w:rFonts w:asciiTheme="minorHAnsi" w:hAnsiTheme="minorHAnsi" w:cstheme="minorHAnsi"/>
          <w:bCs/>
          <w:iCs/>
          <w:color w:val="000000"/>
        </w:rPr>
        <w:t xml:space="preserve"> </w:t>
      </w:r>
      <w:r w:rsidR="00472D30" w:rsidRPr="005553DF">
        <w:rPr>
          <w:rFonts w:asciiTheme="minorHAnsi" w:hAnsiTheme="minorHAnsi" w:cstheme="minorHAnsi"/>
          <w:bCs/>
          <w:iCs/>
          <w:color w:val="000000"/>
        </w:rPr>
        <w:t>(</w:t>
      </w:r>
      <w:r w:rsidR="00EE4572" w:rsidRPr="005553DF">
        <w:rPr>
          <w:rFonts w:asciiTheme="minorHAnsi" w:hAnsiTheme="minorHAnsi" w:cstheme="minorHAnsi"/>
          <w:bCs/>
          <w:iCs/>
          <w:color w:val="000000"/>
        </w:rPr>
        <w:t xml:space="preserve">1) evaluate the </w:t>
      </w:r>
      <w:r w:rsidR="00273C7E" w:rsidRPr="005553DF">
        <w:rPr>
          <w:rFonts w:asciiTheme="minorHAnsi" w:hAnsiTheme="minorHAnsi" w:cstheme="minorHAnsi"/>
          <w:bCs/>
          <w:iCs/>
          <w:color w:val="000000"/>
        </w:rPr>
        <w:t xml:space="preserve">methods and </w:t>
      </w:r>
      <w:r w:rsidR="001C5EDE" w:rsidRPr="005553DF">
        <w:rPr>
          <w:rFonts w:asciiTheme="minorHAnsi" w:hAnsiTheme="minorHAnsi" w:cstheme="minorHAnsi"/>
          <w:bCs/>
          <w:iCs/>
          <w:color w:val="000000"/>
        </w:rPr>
        <w:t>procedures</w:t>
      </w:r>
      <w:r w:rsidR="00273C7E" w:rsidRPr="005553DF">
        <w:rPr>
          <w:rFonts w:asciiTheme="minorHAnsi" w:hAnsiTheme="minorHAnsi" w:cstheme="minorHAnsi"/>
          <w:bCs/>
          <w:iCs/>
          <w:color w:val="000000"/>
        </w:rPr>
        <w:t xml:space="preserve"> in</w:t>
      </w:r>
      <w:r w:rsidR="00EE4572" w:rsidRPr="005553DF">
        <w:rPr>
          <w:rFonts w:asciiTheme="minorHAnsi" w:hAnsiTheme="minorHAnsi" w:cstheme="minorHAnsi"/>
          <w:bCs/>
          <w:iCs/>
          <w:color w:val="000000"/>
        </w:rPr>
        <w:t xml:space="preserve"> the study protocols to identify any issues that need to be addressed before embarking on a national mult</w:t>
      </w:r>
      <w:r w:rsidR="001C5EDE" w:rsidRPr="005553DF">
        <w:rPr>
          <w:rFonts w:asciiTheme="minorHAnsi" w:hAnsiTheme="minorHAnsi" w:cstheme="minorHAnsi"/>
          <w:bCs/>
          <w:iCs/>
          <w:color w:val="000000"/>
        </w:rPr>
        <w:t>i</w:t>
      </w:r>
      <w:r w:rsidR="00EE4572" w:rsidRPr="005553DF">
        <w:rPr>
          <w:rFonts w:asciiTheme="minorHAnsi" w:hAnsiTheme="minorHAnsi" w:cstheme="minorHAnsi"/>
          <w:bCs/>
          <w:iCs/>
          <w:color w:val="000000"/>
        </w:rPr>
        <w:t xml:space="preserve">-site study; and </w:t>
      </w:r>
      <w:r w:rsidR="00472D30" w:rsidRPr="005553DF">
        <w:rPr>
          <w:rFonts w:asciiTheme="minorHAnsi" w:hAnsiTheme="minorHAnsi" w:cstheme="minorHAnsi"/>
          <w:bCs/>
          <w:iCs/>
          <w:color w:val="000000"/>
        </w:rPr>
        <w:t>(</w:t>
      </w:r>
      <w:r w:rsidR="00EE4572" w:rsidRPr="005553DF">
        <w:rPr>
          <w:rFonts w:asciiTheme="minorHAnsi" w:hAnsiTheme="minorHAnsi" w:cstheme="minorHAnsi"/>
          <w:bCs/>
          <w:iCs/>
          <w:color w:val="000000"/>
        </w:rPr>
        <w:t xml:space="preserve">2) </w:t>
      </w:r>
      <w:r w:rsidR="001053BD" w:rsidRPr="005553DF">
        <w:rPr>
          <w:rFonts w:asciiTheme="minorHAnsi" w:hAnsiTheme="minorHAnsi" w:cstheme="minorHAnsi"/>
          <w:bCs/>
          <w:iCs/>
          <w:color w:val="000000"/>
        </w:rPr>
        <w:t xml:space="preserve">evaluate </w:t>
      </w:r>
      <w:r w:rsidR="00145D2F" w:rsidRPr="005553DF">
        <w:rPr>
          <w:rFonts w:asciiTheme="minorHAnsi" w:hAnsiTheme="minorHAnsi" w:cstheme="minorHAnsi"/>
          <w:bCs/>
          <w:iCs/>
          <w:color w:val="000000"/>
        </w:rPr>
        <w:t>the association</w:t>
      </w:r>
      <w:r w:rsidR="00F05EF3" w:rsidRPr="005553DF">
        <w:rPr>
          <w:rFonts w:asciiTheme="minorHAnsi" w:hAnsiTheme="minorHAnsi" w:cstheme="minorHAnsi"/>
          <w:bCs/>
          <w:iCs/>
          <w:color w:val="000000"/>
        </w:rPr>
        <w:t>s</w:t>
      </w:r>
      <w:r w:rsidR="00145D2F" w:rsidRPr="005553DF">
        <w:rPr>
          <w:rFonts w:asciiTheme="minorHAnsi" w:hAnsiTheme="minorHAnsi" w:cstheme="minorHAnsi"/>
          <w:bCs/>
          <w:iCs/>
          <w:color w:val="000000"/>
        </w:rPr>
        <w:t xml:space="preserve"> between specific health effects and</w:t>
      </w:r>
      <w:r w:rsidR="001053BD" w:rsidRPr="005553DF">
        <w:rPr>
          <w:rFonts w:asciiTheme="minorHAnsi" w:hAnsiTheme="minorHAnsi" w:cstheme="minorHAnsi"/>
          <w:bCs/>
          <w:iCs/>
          <w:color w:val="000000"/>
        </w:rPr>
        <w:t xml:space="preserve"> </w:t>
      </w:r>
      <w:r w:rsidR="00F05EF3" w:rsidRPr="005553DF">
        <w:rPr>
          <w:rFonts w:asciiTheme="minorHAnsi" w:hAnsiTheme="minorHAnsi" w:cstheme="minorHAnsi"/>
          <w:bCs/>
          <w:iCs/>
          <w:color w:val="000000"/>
        </w:rPr>
        <w:t xml:space="preserve">serum PFAS concentrations among those </w:t>
      </w:r>
      <w:r w:rsidR="001053BD" w:rsidRPr="005553DF">
        <w:rPr>
          <w:rFonts w:asciiTheme="minorHAnsi" w:hAnsiTheme="minorHAnsi" w:cstheme="minorHAnsi"/>
          <w:bCs/>
          <w:iCs/>
          <w:color w:val="000000"/>
        </w:rPr>
        <w:t>expos</w:t>
      </w:r>
      <w:r w:rsidR="00F05EF3" w:rsidRPr="005553DF">
        <w:rPr>
          <w:rFonts w:asciiTheme="minorHAnsi" w:hAnsiTheme="minorHAnsi" w:cstheme="minorHAnsi"/>
          <w:bCs/>
          <w:iCs/>
          <w:color w:val="000000"/>
        </w:rPr>
        <w:t>ed</w:t>
      </w:r>
      <w:r w:rsidR="001053BD" w:rsidRPr="005553DF">
        <w:rPr>
          <w:rFonts w:asciiTheme="minorHAnsi" w:hAnsiTheme="minorHAnsi" w:cstheme="minorHAnsi"/>
          <w:bCs/>
          <w:iCs/>
          <w:color w:val="000000"/>
        </w:rPr>
        <w:t xml:space="preserve"> to PFAS-contaminated drinking w</w:t>
      </w:r>
      <w:r w:rsidR="00EC35BC" w:rsidRPr="005553DF">
        <w:rPr>
          <w:rFonts w:asciiTheme="minorHAnsi" w:hAnsiTheme="minorHAnsi" w:cstheme="minorHAnsi"/>
          <w:bCs/>
          <w:iCs/>
          <w:color w:val="000000"/>
        </w:rPr>
        <w:t>ater at Pease</w:t>
      </w:r>
      <w:r w:rsidR="0067128D" w:rsidRPr="005553DF">
        <w:rPr>
          <w:rFonts w:asciiTheme="minorHAnsi" w:hAnsiTheme="minorHAnsi" w:cstheme="minorHAnsi"/>
          <w:bCs/>
          <w:iCs/>
          <w:color w:val="000000"/>
        </w:rPr>
        <w:t>.</w:t>
      </w:r>
      <w:r w:rsidR="00472D30" w:rsidRPr="005553DF" w:rsidDel="00472D30">
        <w:rPr>
          <w:rFonts w:asciiTheme="minorHAnsi" w:hAnsiTheme="minorHAnsi" w:cstheme="minorHAnsi"/>
          <w:bCs/>
          <w:iCs/>
          <w:color w:val="000000"/>
        </w:rPr>
        <w:t xml:space="preserve"> </w:t>
      </w:r>
    </w:p>
    <w:p w14:paraId="5BDF03B2" w14:textId="77777777" w:rsidR="002F78EB" w:rsidRPr="005553DF" w:rsidRDefault="00242DE5" w:rsidP="005553DF">
      <w:pPr>
        <w:pStyle w:val="Heading2"/>
        <w:spacing w:before="0" w:after="240" w:line="360" w:lineRule="auto"/>
        <w:rPr>
          <w:rFonts w:asciiTheme="minorHAnsi" w:hAnsiTheme="minorHAnsi" w:cstheme="minorHAnsi"/>
          <w:b w:val="0"/>
          <w:i w:val="0"/>
          <w:sz w:val="22"/>
          <w:szCs w:val="22"/>
        </w:rPr>
      </w:pPr>
      <w:bookmarkStart w:id="27" w:name="_Toc532224143"/>
      <w:r w:rsidRPr="005553DF">
        <w:rPr>
          <w:rFonts w:asciiTheme="minorHAnsi" w:hAnsiTheme="minorHAnsi" w:cstheme="minorHAnsi"/>
          <w:i w:val="0"/>
          <w:sz w:val="22"/>
          <w:szCs w:val="22"/>
        </w:rPr>
        <w:t>2.</w:t>
      </w:r>
      <w:r w:rsidR="00C072BC" w:rsidRPr="005553DF">
        <w:rPr>
          <w:rFonts w:asciiTheme="minorHAnsi" w:hAnsiTheme="minorHAnsi" w:cstheme="minorHAnsi"/>
          <w:i w:val="0"/>
          <w:sz w:val="22"/>
          <w:szCs w:val="22"/>
        </w:rPr>
        <w:t>5</w:t>
      </w:r>
      <w:r w:rsidRPr="005553DF">
        <w:rPr>
          <w:rFonts w:asciiTheme="minorHAnsi" w:hAnsiTheme="minorHAnsi" w:cstheme="minorHAnsi"/>
          <w:i w:val="0"/>
          <w:sz w:val="22"/>
          <w:szCs w:val="22"/>
        </w:rPr>
        <w:t xml:space="preserve"> </w:t>
      </w:r>
      <w:r w:rsidR="001A3E1C" w:rsidRPr="005553DF">
        <w:rPr>
          <w:rFonts w:asciiTheme="minorHAnsi" w:hAnsiTheme="minorHAnsi" w:cstheme="minorHAnsi"/>
          <w:i w:val="0"/>
          <w:sz w:val="22"/>
          <w:szCs w:val="22"/>
        </w:rPr>
        <w:t xml:space="preserve">Study </w:t>
      </w:r>
      <w:r w:rsidR="00585FAC" w:rsidRPr="005553DF">
        <w:rPr>
          <w:rFonts w:asciiTheme="minorHAnsi" w:hAnsiTheme="minorHAnsi" w:cstheme="minorHAnsi"/>
          <w:i w:val="0"/>
          <w:sz w:val="22"/>
          <w:szCs w:val="22"/>
        </w:rPr>
        <w:t>Q</w:t>
      </w:r>
      <w:r w:rsidR="001A3E1C" w:rsidRPr="005553DF">
        <w:rPr>
          <w:rFonts w:asciiTheme="minorHAnsi" w:hAnsiTheme="minorHAnsi" w:cstheme="minorHAnsi"/>
          <w:i w:val="0"/>
          <w:sz w:val="22"/>
          <w:szCs w:val="22"/>
        </w:rPr>
        <w:t>uestions</w:t>
      </w:r>
      <w:bookmarkEnd w:id="27"/>
    </w:p>
    <w:p w14:paraId="159DA573" w14:textId="77777777" w:rsidR="002F78EB" w:rsidRPr="005553DF" w:rsidRDefault="00242DE5" w:rsidP="005553DF">
      <w:pPr>
        <w:pStyle w:val="Heading3"/>
        <w:spacing w:before="0" w:after="240" w:line="360" w:lineRule="auto"/>
        <w:rPr>
          <w:rFonts w:asciiTheme="minorHAnsi" w:hAnsiTheme="minorHAnsi" w:cstheme="minorHAnsi"/>
          <w:b w:val="0"/>
          <w:i/>
        </w:rPr>
      </w:pPr>
      <w:bookmarkStart w:id="28" w:name="_Toc532224144"/>
      <w:r w:rsidRPr="005553DF">
        <w:rPr>
          <w:rFonts w:asciiTheme="minorHAnsi" w:hAnsiTheme="minorHAnsi" w:cstheme="minorHAnsi"/>
          <w:i/>
          <w:color w:val="auto"/>
        </w:rPr>
        <w:t>2.</w:t>
      </w:r>
      <w:r w:rsidR="00C072BC" w:rsidRPr="005553DF">
        <w:rPr>
          <w:rFonts w:asciiTheme="minorHAnsi" w:hAnsiTheme="minorHAnsi" w:cstheme="minorHAnsi"/>
          <w:i/>
          <w:color w:val="auto"/>
        </w:rPr>
        <w:t>5</w:t>
      </w:r>
      <w:r w:rsidR="000A1CDE" w:rsidRPr="005553DF">
        <w:rPr>
          <w:rFonts w:asciiTheme="minorHAnsi" w:hAnsiTheme="minorHAnsi" w:cstheme="minorHAnsi"/>
          <w:i/>
          <w:color w:val="auto"/>
        </w:rPr>
        <w:t>.</w:t>
      </w:r>
      <w:r w:rsidRPr="005553DF">
        <w:rPr>
          <w:rFonts w:asciiTheme="minorHAnsi" w:hAnsiTheme="minorHAnsi" w:cstheme="minorHAnsi"/>
          <w:i/>
          <w:color w:val="auto"/>
        </w:rPr>
        <w:t xml:space="preserve">1 </w:t>
      </w:r>
      <w:r w:rsidR="00CA76B6" w:rsidRPr="005553DF">
        <w:rPr>
          <w:rFonts w:asciiTheme="minorHAnsi" w:hAnsiTheme="minorHAnsi" w:cstheme="minorHAnsi"/>
          <w:i/>
          <w:color w:val="auto"/>
        </w:rPr>
        <w:t>Literature Review</w:t>
      </w:r>
      <w:bookmarkEnd w:id="28"/>
    </w:p>
    <w:p w14:paraId="5BE0E1D3" w14:textId="77777777" w:rsidR="00566E70" w:rsidRPr="005553DF" w:rsidRDefault="001A3E1C"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literature review was conducted for the Pease feasibility assessment and can be accessed in the final</w:t>
      </w:r>
      <w:r w:rsidR="00A745C8" w:rsidRPr="005553DF">
        <w:rPr>
          <w:rFonts w:asciiTheme="minorHAnsi" w:hAnsiTheme="minorHAnsi" w:cstheme="minorHAnsi"/>
          <w:bCs/>
          <w:iCs/>
          <w:color w:val="000000"/>
        </w:rPr>
        <w:t xml:space="preserve"> feasibility</w:t>
      </w:r>
      <w:r w:rsidRPr="005553DF">
        <w:rPr>
          <w:rFonts w:asciiTheme="minorHAnsi" w:hAnsiTheme="minorHAnsi" w:cstheme="minorHAnsi"/>
          <w:bCs/>
          <w:iCs/>
          <w:color w:val="000000"/>
        </w:rPr>
        <w:t xml:space="preserve"> report (ATSDR 2017</w:t>
      </w:r>
      <w:r w:rsidR="001426C2" w:rsidRPr="005553DF">
        <w:rPr>
          <w:rFonts w:asciiTheme="minorHAnsi" w:hAnsiTheme="minorHAnsi" w:cstheme="minorHAnsi"/>
          <w:bCs/>
          <w:iCs/>
          <w:color w:val="000000"/>
        </w:rPr>
        <w:t>a</w:t>
      </w:r>
      <w:r w:rsidR="0076255E" w:rsidRPr="005553DF">
        <w:rPr>
          <w:rFonts w:asciiTheme="minorHAnsi" w:hAnsiTheme="minorHAnsi" w:cstheme="minorHAnsi"/>
          <w:bCs/>
          <w:iCs/>
          <w:color w:val="000000"/>
        </w:rPr>
        <w:t xml:space="preserve">). </w:t>
      </w:r>
      <w:r w:rsidR="00566E70" w:rsidRPr="005553DF">
        <w:rPr>
          <w:rFonts w:asciiTheme="minorHAnsi" w:hAnsiTheme="minorHAnsi" w:cstheme="minorHAnsi"/>
          <w:bCs/>
          <w:iCs/>
          <w:color w:val="000000"/>
        </w:rPr>
        <w:t xml:space="preserve">The literature review </w:t>
      </w:r>
      <w:r w:rsidR="004D4B66" w:rsidRPr="005553DF">
        <w:rPr>
          <w:rFonts w:asciiTheme="minorHAnsi" w:hAnsiTheme="minorHAnsi" w:cstheme="minorHAnsi"/>
          <w:bCs/>
          <w:iCs/>
          <w:color w:val="000000"/>
        </w:rPr>
        <w:t xml:space="preserve">from the Pease feasibility assessment </w:t>
      </w:r>
      <w:r w:rsidR="00566E70" w:rsidRPr="005553DF">
        <w:rPr>
          <w:rFonts w:asciiTheme="minorHAnsi" w:hAnsiTheme="minorHAnsi" w:cstheme="minorHAnsi"/>
          <w:bCs/>
          <w:iCs/>
          <w:color w:val="000000"/>
        </w:rPr>
        <w:t>concluded that most information on potential health effects concerned exposures to PFOA.</w:t>
      </w:r>
      <w:r w:rsidR="003A075E" w:rsidRPr="005553DF">
        <w:rPr>
          <w:rFonts w:asciiTheme="minorHAnsi" w:hAnsiTheme="minorHAnsi" w:cstheme="minorHAnsi"/>
          <w:bCs/>
          <w:iCs/>
          <w:color w:val="000000"/>
        </w:rPr>
        <w:t xml:space="preserve"> </w:t>
      </w:r>
      <w:r w:rsidR="00566E70" w:rsidRPr="005553DF">
        <w:rPr>
          <w:rFonts w:asciiTheme="minorHAnsi" w:hAnsiTheme="minorHAnsi" w:cstheme="minorHAnsi"/>
          <w:bCs/>
          <w:iCs/>
          <w:color w:val="000000"/>
        </w:rPr>
        <w:t xml:space="preserve"> In particular, numerous studies have been conducted of West Virginia and Ohio residents and workers exposed to PFOA from a chemical plant (the “C8” studies) </w:t>
      </w:r>
      <w:r w:rsidR="00C87920" w:rsidRPr="005553DF">
        <w:rPr>
          <w:rFonts w:asciiTheme="minorHAnsi" w:hAnsiTheme="minorHAnsi" w:cstheme="minorHAnsi"/>
          <w:bCs/>
          <w:iCs/>
          <w:color w:val="000000"/>
        </w:rPr>
        <w:t>(</w:t>
      </w:r>
      <w:r w:rsidR="00566E70" w:rsidRPr="005553DF">
        <w:rPr>
          <w:rFonts w:asciiTheme="minorHAnsi" w:hAnsiTheme="minorHAnsi" w:cstheme="minorHAnsi"/>
          <w:bCs/>
          <w:iCs/>
          <w:color w:val="000000"/>
        </w:rPr>
        <w:t>Frisbee 2009</w:t>
      </w:r>
      <w:r w:rsidR="00C87920" w:rsidRPr="005553DF">
        <w:rPr>
          <w:rFonts w:asciiTheme="minorHAnsi" w:hAnsiTheme="minorHAnsi" w:cstheme="minorHAnsi"/>
          <w:bCs/>
          <w:iCs/>
          <w:color w:val="000000"/>
        </w:rPr>
        <w:t>)</w:t>
      </w:r>
      <w:r w:rsidR="00566E70" w:rsidRPr="005553DF">
        <w:rPr>
          <w:rFonts w:asciiTheme="minorHAnsi" w:hAnsiTheme="minorHAnsi" w:cstheme="minorHAnsi"/>
          <w:bCs/>
          <w:iCs/>
          <w:color w:val="000000"/>
        </w:rPr>
        <w:t xml:space="preserve">. Studies of other workforces also </w:t>
      </w:r>
      <w:r w:rsidR="003A075E" w:rsidRPr="005553DF">
        <w:rPr>
          <w:rFonts w:asciiTheme="minorHAnsi" w:hAnsiTheme="minorHAnsi" w:cstheme="minorHAnsi"/>
          <w:bCs/>
          <w:iCs/>
          <w:color w:val="000000"/>
        </w:rPr>
        <w:t>focused primarily</w:t>
      </w:r>
      <w:r w:rsidR="00566E70" w:rsidRPr="005553DF">
        <w:rPr>
          <w:rFonts w:asciiTheme="minorHAnsi" w:hAnsiTheme="minorHAnsi" w:cstheme="minorHAnsi"/>
          <w:bCs/>
          <w:iCs/>
          <w:color w:val="000000"/>
        </w:rPr>
        <w:t xml:space="preserve"> on PFOA exposures. The literature review found that less information was available about the potential health effects of PFOS exposures, and little information was available on the potential health effects of exposures to PFHxS. Because the primary contaminants in the drinking water at the Pease Tradeport were PFOS and PFHxS, epidemiological studies of the Pease populations have the potential to fill key knowledge gaps and address the community’s concerns.</w:t>
      </w:r>
    </w:p>
    <w:p w14:paraId="5D444C91" w14:textId="77777777" w:rsidR="00566E70" w:rsidRPr="005553DF" w:rsidRDefault="00566E70"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literature review identified many health-related endpoints evaluated in previous epidemiological studies of PFAS exposures. These included cancers,</w:t>
      </w:r>
      <w:r w:rsidR="00D67AE3" w:rsidRPr="005553DF">
        <w:rPr>
          <w:rFonts w:asciiTheme="minorHAnsi" w:hAnsiTheme="minorHAnsi" w:cstheme="minorHAnsi"/>
          <w:bCs/>
          <w:iCs/>
          <w:color w:val="000000"/>
        </w:rPr>
        <w:t xml:space="preserve"> changes in</w:t>
      </w:r>
      <w:r w:rsidRPr="005553DF">
        <w:rPr>
          <w:rFonts w:asciiTheme="minorHAnsi" w:hAnsiTheme="minorHAnsi" w:cstheme="minorHAnsi"/>
          <w:bCs/>
          <w:iCs/>
          <w:color w:val="000000"/>
        </w:rPr>
        <w:t xml:space="preserve"> lipids, effects on thyroid and immune function, and developmental delays. </w:t>
      </w:r>
      <w:r w:rsidRPr="005553DF">
        <w:rPr>
          <w:rFonts w:asciiTheme="minorHAnsi" w:hAnsiTheme="minorHAnsi" w:cstheme="minorHAnsi"/>
          <w:bCs/>
          <w:iCs/>
        </w:rPr>
        <w:t>They also included effects on kidney and liver function and sex hormones, and diseases such as endometriosis, ulcerative colitis and osteoporosis</w:t>
      </w:r>
      <w:r w:rsidR="004A67F0" w:rsidRPr="005553DF">
        <w:rPr>
          <w:rFonts w:asciiTheme="minorHAnsi" w:hAnsiTheme="minorHAnsi" w:cstheme="minorHAnsi"/>
          <w:bCs/>
          <w:iCs/>
        </w:rPr>
        <w:t xml:space="preserve"> (ATSDR 2017a)</w:t>
      </w:r>
      <w:r w:rsidRPr="005553DF">
        <w:rPr>
          <w:rFonts w:asciiTheme="minorHAnsi" w:hAnsiTheme="minorHAnsi" w:cstheme="minorHAnsi"/>
          <w:bCs/>
          <w:iCs/>
        </w:rPr>
        <w:t xml:space="preserve">. </w:t>
      </w:r>
    </w:p>
    <w:p w14:paraId="203A4C9D" w14:textId="77777777" w:rsidR="004A67F0" w:rsidRPr="005553DF" w:rsidRDefault="003A075E" w:rsidP="005553DF">
      <w:pPr>
        <w:spacing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The literature review found that most of the epidemiological studies of PFAS exposures were cross-sectional and evaluated serum PFAS measurements. Some studies also evaluated cumulative PFAS serum levels estimated from modeling methods. ATSDR concluded that any study of populations exposed to the PFAS-contaminated drinking water at the Pease Tradeport should be cross-sectional and </w:t>
      </w:r>
      <w:r w:rsidR="000B3237" w:rsidRPr="005553DF">
        <w:rPr>
          <w:rFonts w:asciiTheme="minorHAnsi" w:hAnsiTheme="minorHAnsi" w:cstheme="minorHAnsi"/>
          <w:bCs/>
          <w:iCs/>
          <w:color w:val="000000"/>
        </w:rPr>
        <w:t xml:space="preserve">should </w:t>
      </w:r>
      <w:r w:rsidRPr="005553DF">
        <w:rPr>
          <w:rFonts w:asciiTheme="minorHAnsi" w:hAnsiTheme="minorHAnsi" w:cstheme="minorHAnsi"/>
          <w:bCs/>
          <w:iCs/>
          <w:color w:val="000000"/>
        </w:rPr>
        <w:t xml:space="preserve">evaluate measured serum PFAS measurements as well as </w:t>
      </w:r>
      <w:r w:rsidRPr="005553DF">
        <w:rPr>
          <w:rFonts w:asciiTheme="minorHAnsi" w:hAnsiTheme="minorHAnsi" w:cstheme="minorHAnsi"/>
        </w:rPr>
        <w:t>estimated cumulative PFAS serum levels. ATSDR also concluded that methods used to evaluate health-related endpoints in the Pease Tradeport populations should be consistent with methods used in previous epidemiological research of PFAS exposures.</w:t>
      </w:r>
    </w:p>
    <w:p w14:paraId="7799F920" w14:textId="77777777" w:rsidR="00C9039D" w:rsidRPr="005553DF" w:rsidRDefault="00C9039D" w:rsidP="005553DF">
      <w:pPr>
        <w:pStyle w:val="Heading4"/>
        <w:spacing w:before="0" w:after="240" w:line="360" w:lineRule="auto"/>
        <w:rPr>
          <w:rFonts w:asciiTheme="minorHAnsi" w:hAnsiTheme="minorHAnsi" w:cstheme="minorHAnsi"/>
          <w:i w:val="0"/>
          <w:color w:val="auto"/>
        </w:rPr>
      </w:pPr>
      <w:bookmarkStart w:id="29" w:name="_Toc532224145"/>
      <w:r w:rsidRPr="005553DF">
        <w:rPr>
          <w:rFonts w:asciiTheme="minorHAnsi" w:hAnsiTheme="minorHAnsi" w:cstheme="minorHAnsi"/>
          <w:i w:val="0"/>
          <w:color w:val="auto"/>
        </w:rPr>
        <w:t>2.5</w:t>
      </w:r>
      <w:r w:rsidR="003B25C5" w:rsidRPr="005553DF">
        <w:rPr>
          <w:rFonts w:asciiTheme="minorHAnsi" w:hAnsiTheme="minorHAnsi" w:cstheme="minorHAnsi"/>
          <w:i w:val="0"/>
          <w:color w:val="auto"/>
        </w:rPr>
        <w:t>.1.1</w:t>
      </w:r>
      <w:r w:rsidRPr="005553DF">
        <w:rPr>
          <w:rFonts w:asciiTheme="minorHAnsi" w:hAnsiTheme="minorHAnsi" w:cstheme="minorHAnsi"/>
          <w:i w:val="0"/>
          <w:color w:val="auto"/>
        </w:rPr>
        <w:t xml:space="preserve"> Health Effects in Children</w:t>
      </w:r>
      <w:bookmarkEnd w:id="29"/>
    </w:p>
    <w:p w14:paraId="68F73583" w14:textId="77777777" w:rsidR="00C9039D" w:rsidRPr="005553DF" w:rsidRDefault="00C9039D"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There is some evidence that PFAS exposures are associated with decreased birth weight, small fetus size for gestational age, measures of intrauterine growth retardation, and preterm birth. In particular, two meta-analyses have found an overall decrease </w:t>
      </w:r>
      <w:r w:rsidRPr="005553DF">
        <w:rPr>
          <w:rFonts w:asciiTheme="minorHAnsi" w:hAnsiTheme="minorHAnsi" w:cstheme="minorHAnsi"/>
          <w:bCs/>
          <w:iCs/>
          <w:color w:val="000000"/>
        </w:rPr>
        <w:t>in birthweight associated with PFOA and PFOS (</w:t>
      </w:r>
      <w:r w:rsidR="00E52480" w:rsidRPr="005553DF">
        <w:rPr>
          <w:rFonts w:asciiTheme="minorHAnsi" w:hAnsiTheme="minorHAnsi" w:cstheme="minorHAnsi"/>
          <w:bCs/>
          <w:iCs/>
          <w:color w:val="000000"/>
        </w:rPr>
        <w:t xml:space="preserve">Johnson 2014, Negri 2017, </w:t>
      </w:r>
      <w:r w:rsidRPr="005553DF">
        <w:rPr>
          <w:rFonts w:asciiTheme="minorHAnsi" w:hAnsiTheme="minorHAnsi" w:cstheme="minorHAnsi"/>
          <w:bCs/>
          <w:iCs/>
          <w:color w:val="000000"/>
        </w:rPr>
        <w:t>Verner 2015; Bach 2015). However, the findings across studies are inconsistent for adverse birth outcomes, and few studies have evaluated PFHxS. Several studies of infants have found that prenatal PFAS exposures affect thyroid function, but only two studies have evaluated thyroid function in older children</w:t>
      </w:r>
      <w:r w:rsidR="003A5445" w:rsidRPr="005553DF">
        <w:rPr>
          <w:rFonts w:asciiTheme="minorHAnsi" w:hAnsiTheme="minorHAnsi" w:cstheme="minorHAnsi"/>
          <w:bCs/>
          <w:iCs/>
          <w:color w:val="000000"/>
        </w:rPr>
        <w:t xml:space="preserve"> (Lopez-Espinosa 2012</w:t>
      </w:r>
      <w:r w:rsidR="004A67F0" w:rsidRPr="005553DF">
        <w:rPr>
          <w:rFonts w:asciiTheme="minorHAnsi" w:hAnsiTheme="minorHAnsi" w:cstheme="minorHAnsi"/>
          <w:bCs/>
          <w:iCs/>
          <w:color w:val="000000"/>
        </w:rPr>
        <w:t>; Lin 2013</w:t>
      </w:r>
      <w:r w:rsidR="00A66C24" w:rsidRPr="005553DF">
        <w:rPr>
          <w:rFonts w:asciiTheme="minorHAnsi" w:hAnsiTheme="minorHAnsi" w:cstheme="minorHAnsi"/>
          <w:bCs/>
          <w:iCs/>
          <w:color w:val="000000"/>
        </w:rPr>
        <w:t>, Preston 2018</w:t>
      </w:r>
      <w:r w:rsidR="003A5445"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6ECCCA37" w14:textId="77777777" w:rsidR="00C9039D" w:rsidRPr="005553DF" w:rsidRDefault="00C9039D" w:rsidP="005553DF">
      <w:pPr>
        <w:autoSpaceDE w:val="0"/>
        <w:autoSpaceDN w:val="0"/>
        <w:adjustRightInd w:val="0"/>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few studies of children have found elevated uric acid with PFAS exposures, but the possibility of reverse causation exists</w:t>
      </w:r>
      <w:r w:rsidR="003A5445" w:rsidRPr="005553DF">
        <w:rPr>
          <w:rFonts w:asciiTheme="minorHAnsi" w:hAnsiTheme="minorHAnsi" w:cstheme="minorHAnsi"/>
          <w:bCs/>
          <w:iCs/>
          <w:color w:val="000000"/>
        </w:rPr>
        <w:t xml:space="preserve"> (Geigere 2013; Kataria 2015</w:t>
      </w:r>
      <w:r w:rsidR="004A67F0" w:rsidRPr="005553DF">
        <w:rPr>
          <w:rFonts w:asciiTheme="minorHAnsi" w:hAnsiTheme="minorHAnsi" w:cstheme="minorHAnsi"/>
          <w:bCs/>
          <w:iCs/>
          <w:color w:val="000000"/>
        </w:rPr>
        <w:t xml:space="preserve">; </w:t>
      </w:r>
      <w:r w:rsidR="0055702E" w:rsidRPr="005553DF">
        <w:rPr>
          <w:rFonts w:asciiTheme="minorHAnsi" w:hAnsiTheme="minorHAnsi" w:cstheme="minorHAnsi"/>
          <w:bCs/>
          <w:iCs/>
          <w:color w:val="000000"/>
        </w:rPr>
        <w:t>Qi</w:t>
      </w:r>
      <w:r w:rsidR="008E50EA" w:rsidRPr="005553DF">
        <w:rPr>
          <w:rFonts w:asciiTheme="minorHAnsi" w:hAnsiTheme="minorHAnsi" w:cstheme="minorHAnsi"/>
          <w:bCs/>
          <w:iCs/>
          <w:color w:val="000000"/>
        </w:rPr>
        <w:t>n 2016</w:t>
      </w:r>
      <w:r w:rsidR="003A5445" w:rsidRPr="005553DF">
        <w:rPr>
          <w:rFonts w:asciiTheme="minorHAnsi" w:hAnsiTheme="minorHAnsi" w:cstheme="minorHAnsi"/>
          <w:bCs/>
          <w:iCs/>
          <w:color w:val="000000"/>
        </w:rPr>
        <w:t>)</w:t>
      </w:r>
      <w:r w:rsidRPr="005553DF">
        <w:rPr>
          <w:rFonts w:asciiTheme="minorHAnsi" w:hAnsiTheme="minorHAnsi" w:cstheme="minorHAnsi"/>
          <w:bCs/>
          <w:iCs/>
          <w:color w:val="000000"/>
        </w:rPr>
        <w:t>.  Positive findings occurred in some of the four studies of PFAS exposures and testosterone and other sex hormones, but the findings were not consistent across studies and further research is necessary</w:t>
      </w:r>
      <w:r w:rsidR="003A5445" w:rsidRPr="005553DF">
        <w:rPr>
          <w:rFonts w:asciiTheme="minorHAnsi" w:hAnsiTheme="minorHAnsi" w:cstheme="minorHAnsi"/>
          <w:bCs/>
          <w:iCs/>
          <w:color w:val="000000"/>
        </w:rPr>
        <w:t xml:space="preserve"> (Maisonet 2015; Lopez Espinosa 2016, Zhou 2016)</w:t>
      </w:r>
      <w:r w:rsidR="00512ADB" w:rsidRPr="005553DF">
        <w:rPr>
          <w:rFonts w:asciiTheme="minorHAnsi" w:hAnsiTheme="minorHAnsi" w:cstheme="minorHAnsi"/>
          <w:bCs/>
          <w:iCs/>
          <w:color w:val="000000"/>
        </w:rPr>
        <w:t>.</w:t>
      </w:r>
      <w:r w:rsidR="002B6D44" w:rsidRPr="005553DF">
        <w:t xml:space="preserve">  </w:t>
      </w:r>
      <w:r w:rsidR="002B6D44" w:rsidRPr="005553DF">
        <w:rPr>
          <w:rFonts w:asciiTheme="minorHAnsi" w:hAnsiTheme="minorHAnsi" w:cstheme="minorHAnsi"/>
          <w:bCs/>
          <w:iCs/>
          <w:color w:val="000000"/>
        </w:rPr>
        <w:t>Growing evidence suggests that exposure to per- and polyfluoroalkyl substances (PFASs) may disrupt lipid homeostasis and liver function, but data in children are limited.</w:t>
      </w:r>
      <w:r w:rsidRPr="005553DF">
        <w:rPr>
          <w:rFonts w:asciiTheme="minorHAnsi" w:hAnsiTheme="minorHAnsi" w:cstheme="minorHAnsi"/>
          <w:bCs/>
          <w:iCs/>
          <w:color w:val="000000"/>
        </w:rPr>
        <w:t xml:space="preserve"> </w:t>
      </w:r>
      <w:r w:rsidR="006B3210" w:rsidRPr="005553DF">
        <w:rPr>
          <w:rFonts w:asciiTheme="minorHAnsi" w:hAnsiTheme="minorHAnsi" w:cstheme="minorHAnsi"/>
          <w:bCs/>
          <w:iCs/>
          <w:color w:val="000000"/>
        </w:rPr>
        <w:t xml:space="preserve">Indicators of adiposity and glucose metabolism were also </w:t>
      </w:r>
      <w:r w:rsidR="003B0AAA" w:rsidRPr="005553DF">
        <w:rPr>
          <w:rFonts w:asciiTheme="minorHAnsi" w:hAnsiTheme="minorHAnsi" w:cstheme="minorHAnsi"/>
          <w:bCs/>
          <w:iCs/>
          <w:color w:val="000000"/>
        </w:rPr>
        <w:t xml:space="preserve">linked with PFAS </w:t>
      </w:r>
      <w:r w:rsidR="006B3210" w:rsidRPr="005553DF">
        <w:rPr>
          <w:rFonts w:asciiTheme="minorHAnsi" w:hAnsiTheme="minorHAnsi" w:cstheme="minorHAnsi"/>
          <w:bCs/>
          <w:iCs/>
          <w:color w:val="000000"/>
        </w:rPr>
        <w:t>in a large</w:t>
      </w:r>
      <w:r w:rsidR="00A4510D" w:rsidRPr="005553DF">
        <w:rPr>
          <w:rFonts w:asciiTheme="minorHAnsi" w:hAnsiTheme="minorHAnsi" w:cstheme="minorHAnsi"/>
          <w:bCs/>
          <w:iCs/>
          <w:color w:val="000000"/>
        </w:rPr>
        <w:t xml:space="preserve"> follow up study of children and adolescents (Domazet 2016).</w:t>
      </w:r>
      <w:r w:rsidR="006B3210" w:rsidRPr="005553DF">
        <w:rPr>
          <w:rFonts w:asciiTheme="minorHAnsi" w:hAnsiTheme="minorHAnsi" w:cstheme="minorHAnsi"/>
          <w:bCs/>
          <w:iCs/>
          <w:color w:val="000000"/>
        </w:rPr>
        <w:t xml:space="preserve"> </w:t>
      </w:r>
      <w:r w:rsidR="002B6D44" w:rsidRPr="005553DF">
        <w:rPr>
          <w:rFonts w:asciiTheme="minorHAnsi" w:hAnsiTheme="minorHAnsi" w:cstheme="minorHAnsi"/>
          <w:bCs/>
          <w:iCs/>
          <w:color w:val="000000"/>
        </w:rPr>
        <w:t xml:space="preserve">Recent study (Mora, 2018) </w:t>
      </w:r>
      <w:r w:rsidR="002B6D44" w:rsidRPr="005553DF">
        <w:rPr>
          <w:rFonts w:asciiTheme="minorHAnsi" w:eastAsiaTheme="minorHAnsi" w:hAnsiTheme="minorHAnsi" w:cstheme="minorHAnsi"/>
        </w:rPr>
        <w:t>suggest</w:t>
      </w:r>
      <w:r w:rsidR="009A18BD" w:rsidRPr="005553DF">
        <w:rPr>
          <w:rFonts w:asciiTheme="minorHAnsi" w:eastAsiaTheme="minorHAnsi" w:hAnsiTheme="minorHAnsi" w:cstheme="minorHAnsi"/>
        </w:rPr>
        <w:t>s</w:t>
      </w:r>
      <w:r w:rsidR="002B6D44" w:rsidRPr="005553DF">
        <w:rPr>
          <w:rFonts w:asciiTheme="minorHAnsi" w:eastAsiaTheme="minorHAnsi" w:hAnsiTheme="minorHAnsi" w:cstheme="minorHAnsi"/>
        </w:rPr>
        <w:t xml:space="preserve"> that prenatal and mid-childhood PFAS exposure may be associated with </w:t>
      </w:r>
      <w:r w:rsidR="00F730BE" w:rsidRPr="005553DF">
        <w:rPr>
          <w:rFonts w:asciiTheme="minorHAnsi" w:eastAsiaTheme="minorHAnsi" w:hAnsiTheme="minorHAnsi" w:cstheme="minorHAnsi"/>
        </w:rPr>
        <w:t>modest, but</w:t>
      </w:r>
      <w:r w:rsidR="002B6D44" w:rsidRPr="005553DF">
        <w:rPr>
          <w:rFonts w:asciiTheme="minorHAnsi" w:eastAsiaTheme="minorHAnsi" w:hAnsiTheme="minorHAnsi" w:cstheme="minorHAnsi"/>
        </w:rPr>
        <w:t xml:space="preserve"> somewhat conflicting changes in the lipid profile and ALT levels in children.</w:t>
      </w:r>
    </w:p>
    <w:p w14:paraId="417681D6" w14:textId="77777777" w:rsidR="009A18BD" w:rsidRPr="005553DF" w:rsidRDefault="00C9039D" w:rsidP="005553DF">
      <w:pPr>
        <w:spacing w:after="240" w:line="360" w:lineRule="auto"/>
        <w:jc w:val="both"/>
        <w:rPr>
          <w:rFonts w:asciiTheme="minorHAnsi" w:hAnsiTheme="minorHAnsi" w:cstheme="minorHAnsi"/>
        </w:rPr>
      </w:pPr>
      <w:r w:rsidRPr="005553DF">
        <w:rPr>
          <w:rFonts w:asciiTheme="minorHAnsi" w:hAnsiTheme="minorHAnsi" w:cstheme="minorHAnsi"/>
        </w:rPr>
        <w:t>There is some evidence from four studies that PFAS exposures might be associated with attention deficit hyperactivity disorder (ADHD), but findings have not been consistent across studies</w:t>
      </w:r>
      <w:r w:rsidR="003A5445" w:rsidRPr="005553DF">
        <w:rPr>
          <w:rFonts w:asciiTheme="minorHAnsi" w:hAnsiTheme="minorHAnsi" w:cstheme="minorHAnsi"/>
        </w:rPr>
        <w:t xml:space="preserve"> (Stein 2011; Liew 2015; Ode 2014; Hoffman 2010)</w:t>
      </w:r>
      <w:r w:rsidR="008E50EA" w:rsidRPr="005553DF">
        <w:rPr>
          <w:rFonts w:asciiTheme="minorHAnsi" w:hAnsiTheme="minorHAnsi" w:cstheme="minorHAnsi"/>
        </w:rPr>
        <w:t>.</w:t>
      </w:r>
      <w:r w:rsidRPr="005553DF">
        <w:rPr>
          <w:rFonts w:asciiTheme="minorHAnsi" w:hAnsiTheme="minorHAnsi" w:cstheme="minorHAnsi"/>
        </w:rPr>
        <w:t xml:space="preserve"> </w:t>
      </w:r>
      <w:r w:rsidR="009A18BD" w:rsidRPr="005553DF">
        <w:rPr>
          <w:rFonts w:asciiTheme="minorHAnsi" w:hAnsiTheme="minorHAnsi" w:cstheme="minorHAnsi"/>
        </w:rPr>
        <w:t>In the Stein</w:t>
      </w:r>
      <w:r w:rsidR="00CD5AED" w:rsidRPr="005553DF">
        <w:rPr>
          <w:rFonts w:asciiTheme="minorHAnsi" w:hAnsiTheme="minorHAnsi" w:cstheme="minorHAnsi"/>
        </w:rPr>
        <w:t xml:space="preserve"> (2011)</w:t>
      </w:r>
      <w:r w:rsidR="009A18BD" w:rsidRPr="005553DF">
        <w:rPr>
          <w:rFonts w:asciiTheme="minorHAnsi" w:hAnsiTheme="minorHAnsi" w:cstheme="minorHAnsi"/>
        </w:rPr>
        <w:t xml:space="preserve"> study, the ORs for ADHD and PFOS and PFHxS were 1.3 and 1.6, so there was some evidence of an increased risk, although not strong. A study using NHANES data obtained an OR of 1.6 for PFOS and ADHD</w:t>
      </w:r>
      <w:r w:rsidR="003F478A" w:rsidRPr="005553DF">
        <w:rPr>
          <w:rFonts w:asciiTheme="minorHAnsi" w:hAnsiTheme="minorHAnsi" w:cstheme="minorHAnsi"/>
        </w:rPr>
        <w:t xml:space="preserve"> (Hoffman 2010)</w:t>
      </w:r>
      <w:r w:rsidR="009A18BD" w:rsidRPr="005553DF">
        <w:rPr>
          <w:rFonts w:asciiTheme="minorHAnsi" w:hAnsiTheme="minorHAnsi" w:cstheme="minorHAnsi"/>
        </w:rPr>
        <w:t xml:space="preserve">. Other studies have found conduct and coordination problems associated with PFOS (Fei 2011) and executive function deficits with PFOS and PFHxS (Vuong 2016). </w:t>
      </w:r>
      <w:r w:rsidRPr="005553DF">
        <w:rPr>
          <w:rFonts w:asciiTheme="minorHAnsi" w:hAnsiTheme="minorHAnsi" w:cstheme="minorHAnsi"/>
        </w:rPr>
        <w:t xml:space="preserve">Evaluating the evidence for PFAS exposures and neurobehavioral outcomes is difficult for several reasons: 1) the studies used different methods to measure the outcomes, 2) studies are inconsistent in the outcomes evaluated, and 3) too few studies exist. </w:t>
      </w:r>
      <w:r w:rsidR="009A18BD" w:rsidRPr="005553DF">
        <w:rPr>
          <w:rFonts w:asciiTheme="minorHAnsi" w:hAnsiTheme="minorHAnsi" w:cstheme="minorHAnsi"/>
        </w:rPr>
        <w:t>For example, there is little evidence that PFAS affects IQ, primarily because only two studies evaluated it;</w:t>
      </w:r>
      <w:r w:rsidR="003F478A" w:rsidRPr="005553DF">
        <w:rPr>
          <w:rFonts w:asciiTheme="minorHAnsi" w:hAnsiTheme="minorHAnsi" w:cstheme="minorHAnsi"/>
        </w:rPr>
        <w:t xml:space="preserve"> one in Taiwan,</w:t>
      </w:r>
      <w:r w:rsidR="009A18BD" w:rsidRPr="005553DF">
        <w:rPr>
          <w:rFonts w:asciiTheme="minorHAnsi" w:hAnsiTheme="minorHAnsi" w:cstheme="minorHAnsi"/>
        </w:rPr>
        <w:t xml:space="preserve"> which observed deficits (</w:t>
      </w:r>
      <w:r w:rsidR="003F478A" w:rsidRPr="005553DF">
        <w:rPr>
          <w:rFonts w:asciiTheme="minorHAnsi" w:hAnsiTheme="minorHAnsi" w:cstheme="minorHAnsi"/>
        </w:rPr>
        <w:t>L</w:t>
      </w:r>
      <w:r w:rsidR="009A18BD" w:rsidRPr="005553DF">
        <w:rPr>
          <w:rFonts w:asciiTheme="minorHAnsi" w:hAnsiTheme="minorHAnsi" w:cstheme="minorHAnsi"/>
        </w:rPr>
        <w:t>i</w:t>
      </w:r>
      <w:r w:rsidR="003F478A" w:rsidRPr="005553DF">
        <w:rPr>
          <w:rFonts w:asciiTheme="minorHAnsi" w:hAnsiTheme="minorHAnsi" w:cstheme="minorHAnsi"/>
        </w:rPr>
        <w:t>e</w:t>
      </w:r>
      <w:r w:rsidR="009A18BD" w:rsidRPr="005553DF">
        <w:rPr>
          <w:rFonts w:asciiTheme="minorHAnsi" w:hAnsiTheme="minorHAnsi" w:cstheme="minorHAnsi"/>
        </w:rPr>
        <w:t>n 2016)</w:t>
      </w:r>
      <w:r w:rsidR="003F478A" w:rsidRPr="005553DF">
        <w:rPr>
          <w:rFonts w:asciiTheme="minorHAnsi" w:hAnsiTheme="minorHAnsi" w:cstheme="minorHAnsi"/>
        </w:rPr>
        <w:t>,</w:t>
      </w:r>
      <w:r w:rsidR="009A18BD" w:rsidRPr="005553DF">
        <w:rPr>
          <w:rFonts w:asciiTheme="minorHAnsi" w:hAnsiTheme="minorHAnsi" w:cstheme="minorHAnsi"/>
        </w:rPr>
        <w:t xml:space="preserve"> and one at C8 which did not (Stein 2011)</w:t>
      </w:r>
      <w:r w:rsidR="003F478A" w:rsidRPr="005553DF">
        <w:rPr>
          <w:rFonts w:asciiTheme="minorHAnsi" w:hAnsiTheme="minorHAnsi" w:cstheme="minorHAnsi"/>
        </w:rPr>
        <w:t xml:space="preserve">. </w:t>
      </w:r>
      <w:r w:rsidR="00CD34C7" w:rsidRPr="005553DF">
        <w:rPr>
          <w:rFonts w:asciiTheme="minorHAnsi" w:hAnsiTheme="minorHAnsi" w:cstheme="minorHAnsi"/>
        </w:rPr>
        <w:t xml:space="preserve">We </w:t>
      </w:r>
      <w:r w:rsidR="00F730BE" w:rsidRPr="005553DF">
        <w:rPr>
          <w:rFonts w:asciiTheme="minorHAnsi" w:hAnsiTheme="minorHAnsi" w:cstheme="minorHAnsi"/>
        </w:rPr>
        <w:t>believe</w:t>
      </w:r>
      <w:r w:rsidR="00CD34C7" w:rsidRPr="005553DF">
        <w:rPr>
          <w:rFonts w:asciiTheme="minorHAnsi" w:hAnsiTheme="minorHAnsi" w:cstheme="minorHAnsi"/>
        </w:rPr>
        <w:t xml:space="preserve"> </w:t>
      </w:r>
      <w:r w:rsidR="00F730BE" w:rsidRPr="005553DF">
        <w:rPr>
          <w:rFonts w:asciiTheme="minorHAnsi" w:hAnsiTheme="minorHAnsi" w:cstheme="minorHAnsi"/>
        </w:rPr>
        <w:t>i</w:t>
      </w:r>
      <w:r w:rsidR="009A18BD" w:rsidRPr="005553DF">
        <w:rPr>
          <w:rFonts w:asciiTheme="minorHAnsi" w:hAnsiTheme="minorHAnsi" w:cstheme="minorHAnsi"/>
        </w:rPr>
        <w:t>t is worth evaluating whether the PFAS mixture at Pease (and other sites with contamination due to AFFF use) is associated with IQ deficits</w:t>
      </w:r>
      <w:r w:rsidR="00CD34C7" w:rsidRPr="005553DF">
        <w:rPr>
          <w:rFonts w:asciiTheme="minorHAnsi" w:hAnsiTheme="minorHAnsi" w:cstheme="minorHAnsi"/>
        </w:rPr>
        <w:t xml:space="preserve"> or other neurobehavioral outcomes.</w:t>
      </w:r>
      <w:r w:rsidR="009A18BD" w:rsidRPr="005553DF">
        <w:rPr>
          <w:rFonts w:asciiTheme="minorHAnsi" w:hAnsiTheme="minorHAnsi" w:cstheme="minorHAnsi"/>
        </w:rPr>
        <w:t xml:space="preserve">  </w:t>
      </w:r>
    </w:p>
    <w:p w14:paraId="7A5FD145" w14:textId="2E2F85E6" w:rsidR="00694714" w:rsidRPr="005553DF" w:rsidRDefault="00C9039D" w:rsidP="005553DF">
      <w:pPr>
        <w:spacing w:after="240" w:line="360" w:lineRule="auto"/>
        <w:jc w:val="both"/>
        <w:rPr>
          <w:rFonts w:asciiTheme="minorHAnsi" w:hAnsiTheme="minorHAnsi" w:cstheme="minorHAnsi"/>
        </w:rPr>
      </w:pPr>
      <w:r w:rsidRPr="005553DF">
        <w:rPr>
          <w:rFonts w:asciiTheme="minorHAnsi" w:hAnsiTheme="minorHAnsi" w:cstheme="minorHAnsi"/>
        </w:rPr>
        <w:t>A few studies have found associations between PFAS exposures and a decline in antibody response to specific vaccines</w:t>
      </w:r>
      <w:r w:rsidR="00E719A9">
        <w:rPr>
          <w:rFonts w:asciiTheme="minorHAnsi" w:hAnsiTheme="minorHAnsi" w:cstheme="minorHAnsi"/>
        </w:rPr>
        <w:t xml:space="preserve"> (Grandjean 2012, 2017</w:t>
      </w:r>
      <w:r w:rsidR="00694714" w:rsidRPr="005553DF">
        <w:rPr>
          <w:rFonts w:asciiTheme="minorHAnsi" w:hAnsiTheme="minorHAnsi" w:cstheme="minorHAnsi"/>
        </w:rPr>
        <w:t>)</w:t>
      </w:r>
      <w:r w:rsidRPr="005553DF">
        <w:rPr>
          <w:rFonts w:asciiTheme="minorHAnsi" w:hAnsiTheme="minorHAnsi" w:cstheme="minorHAnsi"/>
        </w:rPr>
        <w:t>, but only two studies evaluated the same vaccine (i.e., rubella</w:t>
      </w:r>
      <w:r w:rsidR="00694714" w:rsidRPr="005553DF">
        <w:rPr>
          <w:rFonts w:asciiTheme="minorHAnsi" w:hAnsiTheme="minorHAnsi" w:cstheme="minorHAnsi"/>
        </w:rPr>
        <w:t>; Granum 2013, Stein 2016</w:t>
      </w:r>
      <w:r w:rsidRPr="005553DF">
        <w:rPr>
          <w:rFonts w:asciiTheme="minorHAnsi" w:hAnsiTheme="minorHAnsi" w:cstheme="minorHAnsi"/>
        </w:rPr>
        <w:t xml:space="preserve">). </w:t>
      </w:r>
    </w:p>
    <w:p w14:paraId="48EC3ECC" w14:textId="77777777" w:rsidR="00C9039D" w:rsidRPr="005553DF" w:rsidRDefault="00C9039D" w:rsidP="005553DF">
      <w:pPr>
        <w:spacing w:after="240" w:line="360" w:lineRule="auto"/>
        <w:jc w:val="both"/>
        <w:rPr>
          <w:rFonts w:asciiTheme="minorHAnsi" w:hAnsiTheme="minorHAnsi" w:cstheme="minorHAnsi"/>
        </w:rPr>
      </w:pPr>
      <w:r w:rsidRPr="005553DF">
        <w:rPr>
          <w:rFonts w:asciiTheme="minorHAnsi" w:hAnsiTheme="minorHAnsi" w:cstheme="minorHAnsi"/>
        </w:rPr>
        <w:t>In summary, there are considerable data gaps concerning the health effects in children of PFAS exposures. This is because of the small number of studies conducted, inconsistencies in methods and findings across studies, and limited sample sizes in some studies. As for other adverse outcomes, few studies have evaluated the effects on children of PFHxS exposures</w:t>
      </w:r>
      <w:r w:rsidR="00FD145A" w:rsidRPr="005553DF">
        <w:rPr>
          <w:rFonts w:asciiTheme="minorHAnsi" w:hAnsiTheme="minorHAnsi" w:cstheme="minorHAnsi"/>
        </w:rPr>
        <w:t>.</w:t>
      </w:r>
    </w:p>
    <w:p w14:paraId="2A320655" w14:textId="77777777" w:rsidR="00C9039D" w:rsidRPr="005553DF" w:rsidRDefault="00C9039D" w:rsidP="005553DF">
      <w:pPr>
        <w:spacing w:after="240" w:line="360" w:lineRule="auto"/>
        <w:jc w:val="both"/>
        <w:rPr>
          <w:rFonts w:asciiTheme="minorHAnsi" w:hAnsiTheme="minorHAnsi" w:cstheme="minorHAnsi"/>
        </w:rPr>
      </w:pPr>
      <w:r w:rsidRPr="005553DF">
        <w:rPr>
          <w:rFonts w:asciiTheme="minorHAnsi" w:hAnsiTheme="minorHAnsi" w:cstheme="minorHAnsi"/>
        </w:rPr>
        <w:t>A systematic review of PFAS studies of children concluded that there was “…generally consistent evidence for PFAS’ association with dyslipidemia, immunity including vaccine response and asthma, renal function, and age at menarche” (Rappazzo 2017).  The review noted the limited number of studies for any one particular health outcome, the variability in outcome measurement, and the need for longitudinal studies.</w:t>
      </w:r>
    </w:p>
    <w:p w14:paraId="5C29A5C5" w14:textId="77777777" w:rsidR="004A6443" w:rsidRPr="005553DF" w:rsidRDefault="004A6443" w:rsidP="005553DF">
      <w:pPr>
        <w:pStyle w:val="Heading4"/>
        <w:spacing w:before="0" w:after="240" w:line="360" w:lineRule="auto"/>
        <w:rPr>
          <w:rFonts w:asciiTheme="minorHAnsi" w:hAnsiTheme="minorHAnsi" w:cstheme="minorHAnsi"/>
          <w:b/>
          <w:i w:val="0"/>
          <w:color w:val="auto"/>
        </w:rPr>
      </w:pPr>
      <w:bookmarkStart w:id="30" w:name="_Toc507589193"/>
      <w:bookmarkStart w:id="31" w:name="_Toc532224146"/>
      <w:r w:rsidRPr="005553DF">
        <w:rPr>
          <w:rFonts w:asciiTheme="minorHAnsi" w:hAnsiTheme="minorHAnsi" w:cstheme="minorHAnsi"/>
          <w:i w:val="0"/>
          <w:color w:val="auto"/>
        </w:rPr>
        <w:t xml:space="preserve">2.5.1.2 </w:t>
      </w:r>
      <w:r w:rsidR="006B3210" w:rsidRPr="005553DF">
        <w:rPr>
          <w:rFonts w:asciiTheme="minorHAnsi" w:hAnsiTheme="minorHAnsi" w:cstheme="minorHAnsi"/>
          <w:i w:val="0"/>
          <w:color w:val="auto"/>
        </w:rPr>
        <w:t>Health Effects in Adults</w:t>
      </w:r>
      <w:bookmarkEnd w:id="30"/>
      <w:bookmarkEnd w:id="31"/>
    </w:p>
    <w:p w14:paraId="44C96DED" w14:textId="43DA0869" w:rsidR="004A6443" w:rsidRPr="005553DF" w:rsidRDefault="004A6443"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Based on its detailed assessment of the epidemiological literature, ATSDR concluded that there was limited information concerning associations with PFAS exposures and most cancers and other adult diseases (ATSDR 2017a). </w:t>
      </w:r>
      <w:r w:rsidR="00EA3A7E" w:rsidRPr="005553DF">
        <w:rPr>
          <w:rFonts w:asciiTheme="minorHAnsi" w:hAnsiTheme="minorHAnsi" w:cstheme="minorHAnsi"/>
        </w:rPr>
        <w:t xml:space="preserve"> In particular</w:t>
      </w:r>
      <w:r w:rsidR="00C648FF" w:rsidRPr="005553DF">
        <w:rPr>
          <w:rFonts w:asciiTheme="minorHAnsi" w:hAnsiTheme="minorHAnsi" w:cstheme="minorHAnsi"/>
        </w:rPr>
        <w:t>, few</w:t>
      </w:r>
      <w:r w:rsidR="00EA3A7E" w:rsidRPr="005553DF">
        <w:rPr>
          <w:rFonts w:asciiTheme="minorHAnsi" w:hAnsiTheme="minorHAnsi" w:cstheme="minorHAnsi"/>
        </w:rPr>
        <w:t xml:space="preserve"> studies have evaluated PFHxS exposures and the risk of cancers and other adult diseases.</w:t>
      </w:r>
    </w:p>
    <w:p w14:paraId="7E8B047F" w14:textId="77777777" w:rsidR="00E001E8" w:rsidRPr="005553DF" w:rsidRDefault="00E001E8" w:rsidP="005553DF">
      <w:pPr>
        <w:spacing w:after="240" w:line="360" w:lineRule="auto"/>
        <w:jc w:val="both"/>
        <w:rPr>
          <w:rFonts w:asciiTheme="minorHAnsi" w:hAnsiTheme="minorHAnsi" w:cstheme="minorHAnsi"/>
        </w:rPr>
      </w:pPr>
      <w:r w:rsidRPr="005553DF">
        <w:rPr>
          <w:rFonts w:asciiTheme="minorHAnsi" w:hAnsiTheme="minorHAnsi" w:cstheme="minorHAnsi"/>
        </w:rPr>
        <w:t>Epidemiologic</w:t>
      </w:r>
      <w:r w:rsidR="004A6443" w:rsidRPr="005553DF">
        <w:rPr>
          <w:rFonts w:asciiTheme="minorHAnsi" w:hAnsiTheme="minorHAnsi" w:cstheme="minorHAnsi"/>
        </w:rPr>
        <w:t xml:space="preserve"> studies of </w:t>
      </w:r>
      <w:r w:rsidRPr="005553DF">
        <w:rPr>
          <w:rFonts w:asciiTheme="minorHAnsi" w:hAnsiTheme="minorHAnsi" w:cstheme="minorHAnsi"/>
        </w:rPr>
        <w:t>subjects</w:t>
      </w:r>
      <w:r w:rsidR="004A6443" w:rsidRPr="005553DF">
        <w:rPr>
          <w:rFonts w:asciiTheme="minorHAnsi" w:hAnsiTheme="minorHAnsi" w:cstheme="minorHAnsi"/>
        </w:rPr>
        <w:t xml:space="preserve"> exposed to PFOA and PFOS at background levels and at occupational settings have reported </w:t>
      </w:r>
      <w:r w:rsidRPr="005553DF">
        <w:rPr>
          <w:rFonts w:asciiTheme="minorHAnsi" w:hAnsiTheme="minorHAnsi" w:cstheme="minorHAnsi"/>
        </w:rPr>
        <w:t xml:space="preserve">positive </w:t>
      </w:r>
      <w:r w:rsidR="004A6443" w:rsidRPr="005553DF">
        <w:rPr>
          <w:rFonts w:asciiTheme="minorHAnsi" w:hAnsiTheme="minorHAnsi" w:cstheme="minorHAnsi"/>
        </w:rPr>
        <w:t>associations</w:t>
      </w:r>
      <w:r w:rsidRPr="005553DF">
        <w:rPr>
          <w:rFonts w:asciiTheme="minorHAnsi" w:hAnsiTheme="minorHAnsi" w:cstheme="minorHAnsi"/>
        </w:rPr>
        <w:t xml:space="preserve"> with number of health outcomes and conditions. </w:t>
      </w:r>
      <w:r w:rsidR="004A6443" w:rsidRPr="005553DF">
        <w:rPr>
          <w:rFonts w:asciiTheme="minorHAnsi" w:hAnsiTheme="minorHAnsi" w:cstheme="minorHAnsi"/>
        </w:rPr>
        <w:t xml:space="preserve"> </w:t>
      </w:r>
      <w:r w:rsidRPr="005553DF">
        <w:rPr>
          <w:rFonts w:asciiTheme="minorHAnsi" w:hAnsiTheme="minorHAnsi" w:cstheme="minorHAnsi"/>
        </w:rPr>
        <w:t>L</w:t>
      </w:r>
      <w:r w:rsidR="004A6443" w:rsidRPr="005553DF">
        <w:rPr>
          <w:rFonts w:asciiTheme="minorHAnsi" w:hAnsiTheme="minorHAnsi" w:cstheme="minorHAnsi"/>
        </w:rPr>
        <w:t>ipid and cholesterol concentrations</w:t>
      </w:r>
      <w:r w:rsidRPr="005553DF">
        <w:rPr>
          <w:rFonts w:asciiTheme="minorHAnsi" w:hAnsiTheme="minorHAnsi" w:cstheme="minorHAnsi"/>
        </w:rPr>
        <w:t xml:space="preserve"> were associated with increased PFOA or PFOS </w:t>
      </w:r>
      <w:r w:rsidR="004A6443" w:rsidRPr="005553DF">
        <w:rPr>
          <w:rFonts w:asciiTheme="minorHAnsi" w:hAnsiTheme="minorHAnsi" w:cstheme="minorHAnsi"/>
        </w:rPr>
        <w:t xml:space="preserve"> (Frisbee et</w:t>
      </w:r>
      <w:r w:rsidR="002A79D9" w:rsidRPr="005553DF">
        <w:rPr>
          <w:rFonts w:asciiTheme="minorHAnsi" w:hAnsiTheme="minorHAnsi" w:cstheme="minorHAnsi"/>
        </w:rPr>
        <w:t xml:space="preserve"> al., 2010; Nelson et al., 2010</w:t>
      </w:r>
      <w:r w:rsidR="004A6443" w:rsidRPr="005553DF">
        <w:rPr>
          <w:rFonts w:asciiTheme="minorHAnsi" w:hAnsiTheme="minorHAnsi" w:cstheme="minorHAnsi"/>
        </w:rPr>
        <w:t xml:space="preserve">; </w:t>
      </w:r>
      <w:r w:rsidR="00B03E60" w:rsidRPr="005553DF">
        <w:rPr>
          <w:rFonts w:asciiTheme="minorHAnsi" w:hAnsiTheme="minorHAnsi" w:cstheme="minorHAnsi"/>
        </w:rPr>
        <w:t xml:space="preserve">Winquist 2014b; </w:t>
      </w:r>
      <w:r w:rsidR="004A6443" w:rsidRPr="005553DF">
        <w:rPr>
          <w:rFonts w:asciiTheme="minorHAnsi" w:hAnsiTheme="minorHAnsi" w:cstheme="minorHAnsi"/>
        </w:rPr>
        <w:t xml:space="preserve">Steenland et al., 2015), </w:t>
      </w:r>
      <w:r w:rsidRPr="005553DF">
        <w:rPr>
          <w:rFonts w:asciiTheme="minorHAnsi" w:hAnsiTheme="minorHAnsi" w:cstheme="minorHAnsi"/>
        </w:rPr>
        <w:t xml:space="preserve">as were </w:t>
      </w:r>
      <w:r w:rsidR="004A6443" w:rsidRPr="005553DF">
        <w:rPr>
          <w:rFonts w:asciiTheme="minorHAnsi" w:hAnsiTheme="minorHAnsi" w:cstheme="minorHAnsi"/>
        </w:rPr>
        <w:t>increased uric acid levels (Costa et al., 2009; Steenland et al., 2010; Shankar et al., 2011; Geiger et al., 2013; Gleason et al., 2015), concentrations of thyroid and sex hormones (Olsen and Zobel, 2007; Knox et al., 2011; Jain, 2013; Wen et al.</w:t>
      </w:r>
      <w:r w:rsidR="00B03E60" w:rsidRPr="005553DF">
        <w:rPr>
          <w:rFonts w:asciiTheme="minorHAnsi" w:hAnsiTheme="minorHAnsi" w:cstheme="minorHAnsi"/>
        </w:rPr>
        <w:t xml:space="preserve">, 2013; Winquist </w:t>
      </w:r>
      <w:r w:rsidR="004A6443" w:rsidRPr="005553DF">
        <w:rPr>
          <w:rFonts w:asciiTheme="minorHAnsi" w:hAnsiTheme="minorHAnsi" w:cstheme="minorHAnsi"/>
        </w:rPr>
        <w:t>2014</w:t>
      </w:r>
      <w:r w:rsidR="00B03E60" w:rsidRPr="005553DF">
        <w:rPr>
          <w:rFonts w:asciiTheme="minorHAnsi" w:hAnsiTheme="minorHAnsi" w:cstheme="minorHAnsi"/>
        </w:rPr>
        <w:t>b</w:t>
      </w:r>
      <w:r w:rsidR="004A6443" w:rsidRPr="005553DF">
        <w:rPr>
          <w:rFonts w:asciiTheme="minorHAnsi" w:hAnsiTheme="minorHAnsi" w:cstheme="minorHAnsi"/>
        </w:rPr>
        <w:t xml:space="preserve">), immune </w:t>
      </w:r>
      <w:r w:rsidR="00F16028" w:rsidRPr="005553DF">
        <w:rPr>
          <w:rFonts w:asciiTheme="minorHAnsi" w:hAnsiTheme="minorHAnsi" w:cstheme="minorHAnsi"/>
        </w:rPr>
        <w:t>parameters</w:t>
      </w:r>
      <w:r w:rsidR="004A6443" w:rsidRPr="005553DF">
        <w:rPr>
          <w:rFonts w:asciiTheme="minorHAnsi" w:hAnsiTheme="minorHAnsi" w:cstheme="minorHAnsi"/>
        </w:rPr>
        <w:t xml:space="preserve"> (Dalsager et al., 2016), and reproductive effects (Joensen et al., 2013; Kristensen et al., 2013; Crawford et al., 2017). </w:t>
      </w:r>
    </w:p>
    <w:p w14:paraId="36386F74" w14:textId="4ED1AAD5" w:rsidR="0051711B" w:rsidRPr="005553DF" w:rsidRDefault="00E001E8" w:rsidP="005553DF">
      <w:pPr>
        <w:spacing w:after="240" w:line="360" w:lineRule="auto"/>
        <w:jc w:val="both"/>
        <w:rPr>
          <w:rFonts w:asciiTheme="minorHAnsi" w:hAnsiTheme="minorHAnsi" w:cstheme="minorHAnsi"/>
        </w:rPr>
      </w:pPr>
      <w:r w:rsidRPr="005553DF">
        <w:rPr>
          <w:rFonts w:asciiTheme="minorHAnsi" w:hAnsiTheme="minorHAnsi" w:cstheme="minorHAnsi"/>
        </w:rPr>
        <w:t>Associ</w:t>
      </w:r>
      <w:r w:rsidR="00CD5AED" w:rsidRPr="005553DF">
        <w:rPr>
          <w:rFonts w:asciiTheme="minorHAnsi" w:hAnsiTheme="minorHAnsi" w:cstheme="minorHAnsi"/>
        </w:rPr>
        <w:t>a</w:t>
      </w:r>
      <w:r w:rsidRPr="005553DF">
        <w:rPr>
          <w:rFonts w:asciiTheme="minorHAnsi" w:hAnsiTheme="minorHAnsi" w:cstheme="minorHAnsi"/>
        </w:rPr>
        <w:t>tions with</w:t>
      </w:r>
      <w:r w:rsidR="003D2140" w:rsidRPr="005553DF">
        <w:rPr>
          <w:rFonts w:asciiTheme="minorHAnsi" w:hAnsiTheme="minorHAnsi" w:cstheme="minorHAnsi"/>
        </w:rPr>
        <w:t xml:space="preserve"> elevated</w:t>
      </w:r>
      <w:r w:rsidRPr="005553DF">
        <w:rPr>
          <w:rFonts w:asciiTheme="minorHAnsi" w:hAnsiTheme="minorHAnsi" w:cstheme="minorHAnsi"/>
        </w:rPr>
        <w:t xml:space="preserve"> liver enzymes were found </w:t>
      </w:r>
      <w:r w:rsidR="00F16028" w:rsidRPr="005553DF">
        <w:rPr>
          <w:rFonts w:asciiTheme="minorHAnsi" w:hAnsiTheme="minorHAnsi" w:cstheme="minorHAnsi"/>
        </w:rPr>
        <w:t xml:space="preserve">with PFAS </w:t>
      </w:r>
      <w:r w:rsidRPr="005553DF">
        <w:rPr>
          <w:rFonts w:asciiTheme="minorHAnsi" w:hAnsiTheme="minorHAnsi" w:cstheme="minorHAnsi"/>
        </w:rPr>
        <w:t xml:space="preserve">in most cross-sectional studies </w:t>
      </w:r>
      <w:r w:rsidR="00CB012D" w:rsidRPr="005553DF">
        <w:rPr>
          <w:rFonts w:asciiTheme="minorHAnsi" w:hAnsiTheme="minorHAnsi" w:cstheme="minorHAnsi"/>
        </w:rPr>
        <w:t>(Olsen et al., 2000; Sakr et al., 2007</w:t>
      </w:r>
      <w:r w:rsidR="00450191" w:rsidRPr="005553DF">
        <w:rPr>
          <w:rFonts w:asciiTheme="minorHAnsi" w:hAnsiTheme="minorHAnsi" w:cstheme="minorHAnsi"/>
        </w:rPr>
        <w:t>a</w:t>
      </w:r>
      <w:r w:rsidR="00CB012D" w:rsidRPr="005553DF">
        <w:rPr>
          <w:rFonts w:asciiTheme="minorHAnsi" w:hAnsiTheme="minorHAnsi" w:cstheme="minorHAnsi"/>
        </w:rPr>
        <w:t xml:space="preserve">; Lin et al., 2010; Gallo et al., 2012; Gleason et al., 2015) </w:t>
      </w:r>
      <w:r w:rsidRPr="005553DF">
        <w:rPr>
          <w:rFonts w:asciiTheme="minorHAnsi" w:hAnsiTheme="minorHAnsi" w:cstheme="minorHAnsi"/>
        </w:rPr>
        <w:t xml:space="preserve">but </w:t>
      </w:r>
      <w:r w:rsidR="00F96C06" w:rsidRPr="005553DF">
        <w:rPr>
          <w:rFonts w:asciiTheme="minorHAnsi" w:hAnsiTheme="minorHAnsi" w:cstheme="minorHAnsi"/>
        </w:rPr>
        <w:t xml:space="preserve">were </w:t>
      </w:r>
      <w:r w:rsidR="00CB012D" w:rsidRPr="005553DF">
        <w:rPr>
          <w:rFonts w:asciiTheme="minorHAnsi" w:hAnsiTheme="minorHAnsi" w:cstheme="minorHAnsi"/>
        </w:rPr>
        <w:t>weaker or</w:t>
      </w:r>
      <w:r w:rsidR="00F96C06" w:rsidRPr="005553DF">
        <w:rPr>
          <w:rFonts w:asciiTheme="minorHAnsi" w:hAnsiTheme="minorHAnsi" w:cstheme="minorHAnsi"/>
        </w:rPr>
        <w:t xml:space="preserve"> found no association in the </w:t>
      </w:r>
      <w:r w:rsidR="00F730BE" w:rsidRPr="005553DF">
        <w:rPr>
          <w:rFonts w:asciiTheme="minorHAnsi" w:hAnsiTheme="minorHAnsi" w:cstheme="minorHAnsi"/>
        </w:rPr>
        <w:t>cohort</w:t>
      </w:r>
      <w:r w:rsidRPr="005553DF">
        <w:rPr>
          <w:rFonts w:asciiTheme="minorHAnsi" w:hAnsiTheme="minorHAnsi" w:cstheme="minorHAnsi"/>
        </w:rPr>
        <w:t xml:space="preserve"> studies of liver function</w:t>
      </w:r>
      <w:r w:rsidR="00CB012D" w:rsidRPr="005553DF">
        <w:rPr>
          <w:rFonts w:asciiTheme="minorHAnsi" w:hAnsiTheme="minorHAnsi" w:cstheme="minorHAnsi"/>
        </w:rPr>
        <w:t xml:space="preserve"> (</w:t>
      </w:r>
      <w:r w:rsidR="00C2288D" w:rsidRPr="005553DF">
        <w:rPr>
          <w:rFonts w:asciiTheme="minorHAnsi" w:hAnsiTheme="minorHAnsi" w:cstheme="minorHAnsi"/>
        </w:rPr>
        <w:t xml:space="preserve">Sakr 2007b, </w:t>
      </w:r>
      <w:r w:rsidR="00CB012D" w:rsidRPr="005553DF">
        <w:rPr>
          <w:rFonts w:asciiTheme="minorHAnsi" w:hAnsiTheme="minorHAnsi" w:cstheme="minorHAnsi"/>
        </w:rPr>
        <w:t>Darrow 2016</w:t>
      </w:r>
      <w:r w:rsidR="00C2288D" w:rsidRPr="005553DF">
        <w:rPr>
          <w:rFonts w:asciiTheme="minorHAnsi" w:hAnsiTheme="minorHAnsi" w:cstheme="minorHAnsi"/>
        </w:rPr>
        <w:t>).</w:t>
      </w:r>
      <w:r w:rsidR="00CB012D" w:rsidRPr="005553DF">
        <w:rPr>
          <w:rFonts w:asciiTheme="minorHAnsi" w:hAnsiTheme="minorHAnsi" w:cstheme="minorHAnsi"/>
        </w:rPr>
        <w:t xml:space="preserve"> </w:t>
      </w:r>
      <w:r w:rsidRPr="005553DF">
        <w:rPr>
          <w:rFonts w:asciiTheme="minorHAnsi" w:hAnsiTheme="minorHAnsi" w:cstheme="minorHAnsi"/>
        </w:rPr>
        <w:t xml:space="preserve"> </w:t>
      </w:r>
      <w:r w:rsidR="00852A45" w:rsidRPr="005553DF">
        <w:rPr>
          <w:rFonts w:asciiTheme="minorHAnsi" w:hAnsiTheme="minorHAnsi" w:cstheme="minorHAnsi"/>
        </w:rPr>
        <w:t>Structural protein cytokeratin 18 (CK-18) and its components have been used as a new</w:t>
      </w:r>
      <w:r w:rsidR="00F87276" w:rsidRPr="005553DF">
        <w:rPr>
          <w:rFonts w:asciiTheme="minorHAnsi" w:hAnsiTheme="minorHAnsi" w:cstheme="minorHAnsi"/>
        </w:rPr>
        <w:t xml:space="preserve"> non-invasive</w:t>
      </w:r>
      <w:r w:rsidR="00852A45" w:rsidRPr="005553DF">
        <w:rPr>
          <w:rFonts w:asciiTheme="minorHAnsi" w:hAnsiTheme="minorHAnsi" w:cstheme="minorHAnsi"/>
        </w:rPr>
        <w:t xml:space="preserve"> serum biomarker for </w:t>
      </w:r>
      <w:r w:rsidR="00684B37" w:rsidRPr="005553DF">
        <w:rPr>
          <w:rFonts w:asciiTheme="minorHAnsi" w:hAnsiTheme="minorHAnsi" w:cstheme="minorHAnsi"/>
        </w:rPr>
        <w:t xml:space="preserve">non-alcoholic </w:t>
      </w:r>
      <w:r w:rsidR="00852A45" w:rsidRPr="005553DF">
        <w:rPr>
          <w:rFonts w:asciiTheme="minorHAnsi" w:hAnsiTheme="minorHAnsi" w:cstheme="minorHAnsi"/>
        </w:rPr>
        <w:t>fatty liver disease and</w:t>
      </w:r>
      <w:r w:rsidR="00F87276" w:rsidRPr="005553DF">
        <w:rPr>
          <w:rFonts w:asciiTheme="minorHAnsi" w:hAnsiTheme="minorHAnsi" w:cstheme="minorHAnsi"/>
        </w:rPr>
        <w:t xml:space="preserve"> suspected</w:t>
      </w:r>
      <w:r w:rsidR="00852A45" w:rsidRPr="005553DF">
        <w:rPr>
          <w:rFonts w:asciiTheme="minorHAnsi" w:hAnsiTheme="minorHAnsi" w:cstheme="minorHAnsi"/>
        </w:rPr>
        <w:t xml:space="preserve"> steatohepatitis for adults and children</w:t>
      </w:r>
      <w:r w:rsidR="00821D96" w:rsidRPr="005553DF">
        <w:rPr>
          <w:rFonts w:asciiTheme="minorHAnsi" w:hAnsiTheme="minorHAnsi" w:cstheme="minorHAnsi"/>
        </w:rPr>
        <w:t xml:space="preserve"> (Fieldstein 2013</w:t>
      </w:r>
      <w:r w:rsidR="00852A45" w:rsidRPr="005553DF">
        <w:rPr>
          <w:rFonts w:asciiTheme="minorHAnsi" w:hAnsiTheme="minorHAnsi" w:cstheme="minorHAnsi"/>
        </w:rPr>
        <w:t>, Shen 2012, Vos 2008). P</w:t>
      </w:r>
      <w:r w:rsidR="00F16028" w:rsidRPr="005553DF">
        <w:rPr>
          <w:rFonts w:asciiTheme="minorHAnsi" w:hAnsiTheme="minorHAnsi" w:cstheme="minorHAnsi"/>
        </w:rPr>
        <w:t xml:space="preserve">revalent </w:t>
      </w:r>
      <w:r w:rsidR="0043376E" w:rsidRPr="005553DF">
        <w:rPr>
          <w:rFonts w:asciiTheme="minorHAnsi" w:hAnsiTheme="minorHAnsi" w:cstheme="minorHAnsi"/>
        </w:rPr>
        <w:t xml:space="preserve">coronary </w:t>
      </w:r>
      <w:r w:rsidRPr="005553DF">
        <w:rPr>
          <w:rFonts w:asciiTheme="minorHAnsi" w:hAnsiTheme="minorHAnsi" w:cstheme="minorHAnsi"/>
        </w:rPr>
        <w:t xml:space="preserve">heart disease was </w:t>
      </w:r>
      <w:r w:rsidR="0043376E" w:rsidRPr="005553DF">
        <w:rPr>
          <w:rFonts w:asciiTheme="minorHAnsi" w:hAnsiTheme="minorHAnsi" w:cstheme="minorHAnsi"/>
        </w:rPr>
        <w:t xml:space="preserve">positively associated </w:t>
      </w:r>
      <w:r w:rsidR="00800F55" w:rsidRPr="005553DF">
        <w:rPr>
          <w:rFonts w:asciiTheme="minorHAnsi" w:hAnsiTheme="minorHAnsi" w:cstheme="minorHAnsi"/>
        </w:rPr>
        <w:t xml:space="preserve">with PFAS exposure </w:t>
      </w:r>
      <w:r w:rsidR="0043376E" w:rsidRPr="005553DF">
        <w:rPr>
          <w:rFonts w:asciiTheme="minorHAnsi" w:hAnsiTheme="minorHAnsi" w:cstheme="minorHAnsi"/>
        </w:rPr>
        <w:t>in a cross sectional examination</w:t>
      </w:r>
      <w:r w:rsidR="008D4B0B" w:rsidRPr="005553DF">
        <w:rPr>
          <w:rFonts w:asciiTheme="minorHAnsi" w:hAnsiTheme="minorHAnsi" w:cstheme="minorHAnsi"/>
        </w:rPr>
        <w:t xml:space="preserve"> of NHANES </w:t>
      </w:r>
      <w:r w:rsidR="0043376E" w:rsidRPr="005553DF">
        <w:rPr>
          <w:rFonts w:asciiTheme="minorHAnsi" w:hAnsiTheme="minorHAnsi" w:cstheme="minorHAnsi"/>
        </w:rPr>
        <w:t>(Shankar 2012</w:t>
      </w:r>
      <w:r w:rsidR="0003335E" w:rsidRPr="005553DF">
        <w:rPr>
          <w:rFonts w:asciiTheme="minorHAnsi" w:hAnsiTheme="minorHAnsi" w:cstheme="minorHAnsi"/>
        </w:rPr>
        <w:t>) but not in</w:t>
      </w:r>
      <w:r w:rsidR="008D4B0B" w:rsidRPr="005553DF">
        <w:rPr>
          <w:rFonts w:asciiTheme="minorHAnsi" w:hAnsiTheme="minorHAnsi" w:cstheme="minorHAnsi"/>
        </w:rPr>
        <w:t xml:space="preserve"> </w:t>
      </w:r>
      <w:r w:rsidRPr="005553DF">
        <w:rPr>
          <w:rFonts w:asciiTheme="minorHAnsi" w:hAnsiTheme="minorHAnsi" w:cstheme="minorHAnsi"/>
        </w:rPr>
        <w:t>cohor</w:t>
      </w:r>
      <w:r w:rsidR="0043376E" w:rsidRPr="005553DF">
        <w:rPr>
          <w:rFonts w:asciiTheme="minorHAnsi" w:hAnsiTheme="minorHAnsi" w:cstheme="minorHAnsi"/>
        </w:rPr>
        <w:t>t designs</w:t>
      </w:r>
      <w:r w:rsidR="008D4B0B" w:rsidRPr="005553DF">
        <w:rPr>
          <w:rFonts w:asciiTheme="minorHAnsi" w:hAnsiTheme="minorHAnsi" w:cstheme="minorHAnsi"/>
        </w:rPr>
        <w:t xml:space="preserve"> </w:t>
      </w:r>
      <w:r w:rsidR="0043376E" w:rsidRPr="005553DF">
        <w:rPr>
          <w:rFonts w:asciiTheme="minorHAnsi" w:hAnsiTheme="minorHAnsi" w:cstheme="minorHAnsi"/>
        </w:rPr>
        <w:t>(Winquist 2014</w:t>
      </w:r>
      <w:r w:rsidR="008D4B0B" w:rsidRPr="005553DF">
        <w:rPr>
          <w:rFonts w:asciiTheme="minorHAnsi" w:hAnsiTheme="minorHAnsi" w:cstheme="minorHAnsi"/>
        </w:rPr>
        <w:t>b</w:t>
      </w:r>
      <w:r w:rsidR="0043376E" w:rsidRPr="005553DF">
        <w:rPr>
          <w:rFonts w:asciiTheme="minorHAnsi" w:hAnsiTheme="minorHAnsi" w:cstheme="minorHAnsi"/>
        </w:rPr>
        <w:t>; Ma</w:t>
      </w:r>
      <w:r w:rsidR="008D4B0B" w:rsidRPr="005553DF">
        <w:rPr>
          <w:rFonts w:asciiTheme="minorHAnsi" w:hAnsiTheme="minorHAnsi" w:cstheme="minorHAnsi"/>
        </w:rPr>
        <w:t>ttsson 2015</w:t>
      </w:r>
      <w:r w:rsidRPr="005553DF">
        <w:rPr>
          <w:rFonts w:asciiTheme="minorHAnsi" w:hAnsiTheme="minorHAnsi" w:cstheme="minorHAnsi"/>
        </w:rPr>
        <w:t xml:space="preserve">). </w:t>
      </w:r>
    </w:p>
    <w:p w14:paraId="2E187D99" w14:textId="7240C483" w:rsidR="00E001E8" w:rsidRPr="005553DF" w:rsidRDefault="00E10CCC" w:rsidP="005553DF">
      <w:pPr>
        <w:spacing w:after="240" w:line="360" w:lineRule="auto"/>
        <w:jc w:val="both"/>
        <w:rPr>
          <w:rFonts w:asciiTheme="minorHAnsi" w:hAnsiTheme="minorHAnsi" w:cstheme="minorHAnsi"/>
        </w:rPr>
      </w:pPr>
      <w:r w:rsidRPr="005553DF">
        <w:rPr>
          <w:rFonts w:asciiTheme="minorHAnsi" w:hAnsiTheme="minorHAnsi" w:cstheme="minorHAnsi"/>
        </w:rPr>
        <w:t>Two studies of osteoarthritis show association with PFOA in cross sectional analyses</w:t>
      </w:r>
      <w:r w:rsidR="00F732EE" w:rsidRPr="005553DF">
        <w:rPr>
          <w:rFonts w:asciiTheme="minorHAnsi" w:hAnsiTheme="minorHAnsi" w:cstheme="minorHAnsi"/>
        </w:rPr>
        <w:t xml:space="preserve"> (Innes 2011, </w:t>
      </w:r>
      <w:r w:rsidRPr="005553DF">
        <w:rPr>
          <w:rFonts w:asciiTheme="minorHAnsi" w:hAnsiTheme="minorHAnsi" w:cstheme="minorHAnsi"/>
        </w:rPr>
        <w:t>Uhl 2013) but no association in longitudinal analyses (Innes 2011).  Another</w:t>
      </w:r>
      <w:r w:rsidR="0051711B" w:rsidRPr="005553DF">
        <w:rPr>
          <w:rFonts w:asciiTheme="minorHAnsi" w:hAnsiTheme="minorHAnsi" w:cstheme="minorHAnsi"/>
        </w:rPr>
        <w:t xml:space="preserve"> cross-sectional </w:t>
      </w:r>
      <w:r w:rsidRPr="005553DF">
        <w:rPr>
          <w:rFonts w:asciiTheme="minorHAnsi" w:hAnsiTheme="minorHAnsi" w:cstheme="minorHAnsi"/>
        </w:rPr>
        <w:t xml:space="preserve">NHANES study (Khalil 2016) </w:t>
      </w:r>
      <w:r w:rsidR="0051711B" w:rsidRPr="005553DF">
        <w:rPr>
          <w:rFonts w:asciiTheme="minorHAnsi" w:hAnsiTheme="minorHAnsi" w:cstheme="minorHAnsi"/>
        </w:rPr>
        <w:t>found an association with osteoporosis amon</w:t>
      </w:r>
      <w:r w:rsidRPr="005553DF">
        <w:rPr>
          <w:rFonts w:asciiTheme="minorHAnsi" w:hAnsiTheme="minorHAnsi" w:cstheme="minorHAnsi"/>
        </w:rPr>
        <w:t>g women for</w:t>
      </w:r>
      <w:r w:rsidR="0051711B" w:rsidRPr="005553DF">
        <w:rPr>
          <w:rFonts w:asciiTheme="minorHAnsi" w:hAnsiTheme="minorHAnsi" w:cstheme="minorHAnsi"/>
        </w:rPr>
        <w:t xml:space="preserve"> PFHxS. T</w:t>
      </w:r>
      <w:r w:rsidRPr="005553DF">
        <w:rPr>
          <w:rFonts w:asciiTheme="minorHAnsi" w:hAnsiTheme="minorHAnsi" w:cstheme="minorHAnsi"/>
        </w:rPr>
        <w:t xml:space="preserve">wo NHANES studies (Lin 2014, </w:t>
      </w:r>
      <w:r w:rsidR="0051711B" w:rsidRPr="005553DF">
        <w:rPr>
          <w:rFonts w:asciiTheme="minorHAnsi" w:hAnsiTheme="minorHAnsi" w:cstheme="minorHAnsi"/>
        </w:rPr>
        <w:t>Khalil 2016) also found associations with bone mineral density.  Although, these studies are cross-sectional, they provide important evidence for a link between PFAS exposures and ost</w:t>
      </w:r>
      <w:r w:rsidRPr="005553DF">
        <w:rPr>
          <w:rFonts w:asciiTheme="minorHAnsi" w:hAnsiTheme="minorHAnsi" w:cstheme="minorHAnsi"/>
        </w:rPr>
        <w:t>eoarthritis and osteoporosis</w:t>
      </w:r>
      <w:r w:rsidR="0016727E" w:rsidRPr="005553DF">
        <w:rPr>
          <w:rFonts w:asciiTheme="minorHAnsi" w:hAnsiTheme="minorHAnsi" w:cstheme="minorHAnsi"/>
        </w:rPr>
        <w:t>.</w:t>
      </w:r>
      <w:r w:rsidRPr="005553DF">
        <w:rPr>
          <w:rFonts w:asciiTheme="minorHAnsi" w:hAnsiTheme="minorHAnsi" w:cstheme="minorHAnsi"/>
        </w:rPr>
        <w:t xml:space="preserve"> </w:t>
      </w:r>
    </w:p>
    <w:p w14:paraId="7C9722DB" w14:textId="77777777" w:rsidR="00F16028" w:rsidRPr="005553DF" w:rsidRDefault="00F16028" w:rsidP="005553DF">
      <w:pPr>
        <w:spacing w:after="240" w:line="360" w:lineRule="auto"/>
        <w:jc w:val="both"/>
      </w:pPr>
      <w:r w:rsidRPr="005553DF">
        <w:t xml:space="preserve">In </w:t>
      </w:r>
      <w:r w:rsidR="00F730BE" w:rsidRPr="005553DF">
        <w:t>evaluation</w:t>
      </w:r>
      <w:r w:rsidRPr="005553DF">
        <w:t xml:space="preserve"> of kidney function, data from Watkins et al. (2013) and Dhingra et al. (2017) showed that </w:t>
      </w:r>
      <w:r w:rsidR="00F96C06" w:rsidRPr="005553DF">
        <w:t>while measured PFOA showed positive association</w:t>
      </w:r>
      <w:r w:rsidR="00CD5AED" w:rsidRPr="005553DF">
        <w:t>,</w:t>
      </w:r>
      <w:r w:rsidR="00F96C06" w:rsidRPr="005553DF">
        <w:t xml:space="preserve"> </w:t>
      </w:r>
      <w:r w:rsidRPr="005553DF">
        <w:t>modeled PFOA concentrations had no relation to e</w:t>
      </w:r>
      <w:r w:rsidR="00F96C06" w:rsidRPr="005553DF">
        <w:t xml:space="preserve">GFR </w:t>
      </w:r>
      <w:r w:rsidRPr="005553DF">
        <w:t xml:space="preserve">illustrating example of </w:t>
      </w:r>
      <w:r w:rsidR="0003335E" w:rsidRPr="005553DF">
        <w:t xml:space="preserve">potential </w:t>
      </w:r>
      <w:r w:rsidRPr="005553DF">
        <w:t xml:space="preserve">reverse causality. </w:t>
      </w:r>
    </w:p>
    <w:p w14:paraId="4D212850" w14:textId="39C95862" w:rsidR="00882A7C" w:rsidRPr="005553DF" w:rsidRDefault="00882A7C" w:rsidP="005553DF">
      <w:pPr>
        <w:spacing w:after="240" w:line="360" w:lineRule="auto"/>
        <w:jc w:val="both"/>
        <w:rPr>
          <w:rFonts w:asciiTheme="minorHAnsi" w:hAnsiTheme="minorHAnsi" w:cstheme="minorHAnsi"/>
        </w:rPr>
      </w:pPr>
      <w:r w:rsidRPr="005553DF">
        <w:rPr>
          <w:rFonts w:asciiTheme="minorHAnsi" w:hAnsiTheme="minorHAnsi" w:cstheme="minorHAnsi"/>
        </w:rPr>
        <w:t>There is increasing evidence showing associations between PFAS and markers of glucose homeostasis and insulin resistance, and associations with adult type 2 diabetes risk in men and women</w:t>
      </w:r>
      <w:r w:rsidR="0003335E" w:rsidRPr="005553DF">
        <w:rPr>
          <w:rFonts w:asciiTheme="minorHAnsi" w:hAnsiTheme="minorHAnsi" w:cstheme="minorHAnsi"/>
        </w:rPr>
        <w:t xml:space="preserve"> (Cardenas </w:t>
      </w:r>
      <w:r w:rsidRPr="005553DF">
        <w:rPr>
          <w:rFonts w:asciiTheme="minorHAnsi" w:hAnsiTheme="minorHAnsi" w:cstheme="minorHAnsi"/>
        </w:rPr>
        <w:t xml:space="preserve">2017; </w:t>
      </w:r>
      <w:r w:rsidR="0003335E" w:rsidRPr="005553DF">
        <w:rPr>
          <w:rFonts w:asciiTheme="minorHAnsi" w:hAnsiTheme="minorHAnsi" w:cstheme="minorHAnsi"/>
        </w:rPr>
        <w:t xml:space="preserve">He 2018; Sun </w:t>
      </w:r>
      <w:r w:rsidRPr="005553DF">
        <w:rPr>
          <w:rFonts w:asciiTheme="minorHAnsi" w:hAnsiTheme="minorHAnsi" w:cstheme="minorHAnsi"/>
        </w:rPr>
        <w:t>2018).</w:t>
      </w:r>
    </w:p>
    <w:p w14:paraId="0C146F8A" w14:textId="69CE87BF" w:rsidR="006B3210" w:rsidRPr="005553DF" w:rsidRDefault="00F16028" w:rsidP="005553DF">
      <w:pPr>
        <w:spacing w:after="240" w:line="360" w:lineRule="auto"/>
        <w:jc w:val="both"/>
        <w:rPr>
          <w:rFonts w:asciiTheme="minorHAnsi" w:hAnsiTheme="minorHAnsi" w:cstheme="minorHAnsi"/>
        </w:rPr>
      </w:pPr>
      <w:r w:rsidRPr="005553DF">
        <w:rPr>
          <w:rFonts w:asciiTheme="minorHAnsi" w:hAnsiTheme="minorHAnsi" w:cstheme="minorHAnsi"/>
        </w:rPr>
        <w:t>R</w:t>
      </w:r>
      <w:r w:rsidR="00C54DA3" w:rsidRPr="005553DF">
        <w:rPr>
          <w:rFonts w:asciiTheme="minorHAnsi" w:hAnsiTheme="minorHAnsi" w:cstheme="minorHAnsi"/>
        </w:rPr>
        <w:t xml:space="preserve">oles of inflammatory cytokines and adipokines have been explored </w:t>
      </w:r>
      <w:r w:rsidR="0016727E" w:rsidRPr="005553DF">
        <w:rPr>
          <w:rFonts w:asciiTheme="minorHAnsi" w:hAnsiTheme="minorHAnsi" w:cstheme="minorHAnsi"/>
        </w:rPr>
        <w:t xml:space="preserve">in </w:t>
      </w:r>
      <w:r w:rsidR="00C54DA3" w:rsidRPr="005553DF">
        <w:rPr>
          <w:rFonts w:asciiTheme="minorHAnsi" w:hAnsiTheme="minorHAnsi" w:cstheme="minorHAnsi"/>
        </w:rPr>
        <w:t>several studies of liver disease</w:t>
      </w:r>
      <w:r w:rsidR="001D6792" w:rsidRPr="005553DF">
        <w:rPr>
          <w:rFonts w:asciiTheme="minorHAnsi" w:hAnsiTheme="minorHAnsi" w:cstheme="minorHAnsi"/>
        </w:rPr>
        <w:t xml:space="preserve"> such as </w:t>
      </w:r>
      <w:r w:rsidR="00E10CCC" w:rsidRPr="005553DF">
        <w:rPr>
          <w:rFonts w:asciiTheme="minorHAnsi" w:hAnsiTheme="minorHAnsi" w:cstheme="minorHAnsi"/>
        </w:rPr>
        <w:t>non-alcoholic fatty liver disease/</w:t>
      </w:r>
      <w:r w:rsidR="001D6792" w:rsidRPr="005553DF">
        <w:rPr>
          <w:rFonts w:asciiTheme="minorHAnsi" w:hAnsiTheme="minorHAnsi" w:cstheme="minorHAnsi"/>
        </w:rPr>
        <w:t>steatohepatitis</w:t>
      </w:r>
      <w:r w:rsidR="00C54DA3" w:rsidRPr="005553DF">
        <w:rPr>
          <w:rFonts w:asciiTheme="minorHAnsi" w:hAnsiTheme="minorHAnsi" w:cstheme="minorHAnsi"/>
        </w:rPr>
        <w:t xml:space="preserve"> </w:t>
      </w:r>
      <w:r w:rsidR="001D6792" w:rsidRPr="005553DF">
        <w:rPr>
          <w:rFonts w:asciiTheme="minorHAnsi" w:hAnsiTheme="minorHAnsi" w:cstheme="minorHAnsi"/>
        </w:rPr>
        <w:t xml:space="preserve">and in atherosclerosis </w:t>
      </w:r>
      <w:r w:rsidR="00DB685E" w:rsidRPr="005553DF">
        <w:rPr>
          <w:rFonts w:asciiTheme="minorHAnsi" w:hAnsiTheme="minorHAnsi" w:cstheme="minorHAnsi"/>
        </w:rPr>
        <w:t>(</w:t>
      </w:r>
      <w:r w:rsidR="00C71FE5" w:rsidRPr="005553DF">
        <w:rPr>
          <w:rFonts w:asciiTheme="minorHAnsi" w:hAnsiTheme="minorHAnsi" w:cstheme="minorHAnsi"/>
        </w:rPr>
        <w:t>Hennig</w:t>
      </w:r>
      <w:r w:rsidR="00DB685E" w:rsidRPr="005553DF">
        <w:rPr>
          <w:rFonts w:asciiTheme="minorHAnsi" w:hAnsiTheme="minorHAnsi" w:cstheme="minorHAnsi"/>
        </w:rPr>
        <w:t xml:space="preserve"> 2007, Wahlang 2016</w:t>
      </w:r>
      <w:r w:rsidR="00F96C06" w:rsidRPr="005553DF">
        <w:rPr>
          <w:rFonts w:asciiTheme="minorHAnsi" w:hAnsiTheme="minorHAnsi" w:cstheme="minorHAnsi"/>
        </w:rPr>
        <w:t xml:space="preserve">, </w:t>
      </w:r>
      <w:r w:rsidR="00C648FF" w:rsidRPr="005553DF">
        <w:rPr>
          <w:rFonts w:asciiTheme="minorHAnsi" w:hAnsiTheme="minorHAnsi" w:cstheme="minorHAnsi"/>
        </w:rPr>
        <w:t>and Clair</w:t>
      </w:r>
      <w:r w:rsidR="00F96C06" w:rsidRPr="005553DF">
        <w:rPr>
          <w:rFonts w:asciiTheme="minorHAnsi" w:hAnsiTheme="minorHAnsi" w:cstheme="minorHAnsi"/>
        </w:rPr>
        <w:t xml:space="preserve"> 2018</w:t>
      </w:r>
      <w:r w:rsidR="00DB685E" w:rsidRPr="005553DF">
        <w:rPr>
          <w:rFonts w:asciiTheme="minorHAnsi" w:hAnsiTheme="minorHAnsi" w:cstheme="minorHAnsi"/>
        </w:rPr>
        <w:t>)</w:t>
      </w:r>
      <w:r w:rsidR="001D6792" w:rsidRPr="005553DF">
        <w:rPr>
          <w:rFonts w:asciiTheme="minorHAnsi" w:hAnsiTheme="minorHAnsi" w:cstheme="minorHAnsi"/>
        </w:rPr>
        <w:t xml:space="preserve">. </w:t>
      </w:r>
      <w:r w:rsidR="00E10CCC" w:rsidRPr="005553DF">
        <w:rPr>
          <w:rFonts w:asciiTheme="minorHAnsi" w:hAnsiTheme="minorHAnsi" w:cstheme="minorHAnsi"/>
        </w:rPr>
        <w:t xml:space="preserve"> </w:t>
      </w:r>
      <w:r w:rsidR="001D6792" w:rsidRPr="005553DF">
        <w:rPr>
          <w:rFonts w:asciiTheme="minorHAnsi" w:hAnsiTheme="minorHAnsi" w:cstheme="minorHAnsi"/>
        </w:rPr>
        <w:t>P</w:t>
      </w:r>
      <w:r w:rsidR="0074640F" w:rsidRPr="005553DF">
        <w:rPr>
          <w:rFonts w:asciiTheme="minorHAnsi" w:hAnsiTheme="minorHAnsi" w:cstheme="minorHAnsi"/>
        </w:rPr>
        <w:t>roinflammatory responses, alteration</w:t>
      </w:r>
      <w:r w:rsidR="003D2140" w:rsidRPr="005553DF">
        <w:rPr>
          <w:rFonts w:asciiTheme="minorHAnsi" w:hAnsiTheme="minorHAnsi" w:cstheme="minorHAnsi"/>
        </w:rPr>
        <w:t>s</w:t>
      </w:r>
      <w:r w:rsidR="0074640F" w:rsidRPr="005553DF">
        <w:rPr>
          <w:rFonts w:asciiTheme="minorHAnsi" w:hAnsiTheme="minorHAnsi" w:cstheme="minorHAnsi"/>
        </w:rPr>
        <w:t xml:space="preserve"> in leptin signaling, and increases </w:t>
      </w:r>
      <w:r w:rsidR="001D6792" w:rsidRPr="005553DF">
        <w:rPr>
          <w:rFonts w:asciiTheme="minorHAnsi" w:hAnsiTheme="minorHAnsi" w:cstheme="minorHAnsi"/>
        </w:rPr>
        <w:t xml:space="preserve">in TNF-alpha and IL-2 were </w:t>
      </w:r>
      <w:r w:rsidR="0074640F" w:rsidRPr="005553DF">
        <w:rPr>
          <w:rFonts w:asciiTheme="minorHAnsi" w:hAnsiTheme="minorHAnsi" w:cstheme="minorHAnsi"/>
        </w:rPr>
        <w:t>reported</w:t>
      </w:r>
      <w:r w:rsidR="001D6792" w:rsidRPr="005553DF">
        <w:rPr>
          <w:rFonts w:asciiTheme="minorHAnsi" w:hAnsiTheme="minorHAnsi" w:cstheme="minorHAnsi"/>
        </w:rPr>
        <w:t xml:space="preserve"> in mechanistic studies with </w:t>
      </w:r>
      <w:r w:rsidR="005167B1" w:rsidRPr="005553DF">
        <w:rPr>
          <w:rFonts w:asciiTheme="minorHAnsi" w:hAnsiTheme="minorHAnsi" w:cstheme="minorHAnsi"/>
        </w:rPr>
        <w:t xml:space="preserve">various </w:t>
      </w:r>
      <w:r w:rsidR="00F730BE" w:rsidRPr="005553DF">
        <w:rPr>
          <w:rFonts w:asciiTheme="minorHAnsi" w:hAnsiTheme="minorHAnsi" w:cstheme="minorHAnsi"/>
        </w:rPr>
        <w:t>persistent</w:t>
      </w:r>
      <w:r w:rsidR="001D6792" w:rsidRPr="005553DF">
        <w:rPr>
          <w:rFonts w:asciiTheme="minorHAnsi" w:hAnsiTheme="minorHAnsi" w:cstheme="minorHAnsi"/>
        </w:rPr>
        <w:t xml:space="preserve"> organohalogen pollutants</w:t>
      </w:r>
      <w:r w:rsidR="00644D6F" w:rsidRPr="005553DF">
        <w:rPr>
          <w:rFonts w:asciiTheme="minorHAnsi" w:hAnsiTheme="minorHAnsi" w:cstheme="minorHAnsi"/>
        </w:rPr>
        <w:t xml:space="preserve"> in relation to diabetes and</w:t>
      </w:r>
      <w:r w:rsidR="0074640F" w:rsidRPr="005553DF">
        <w:rPr>
          <w:rFonts w:asciiTheme="minorHAnsi" w:hAnsiTheme="minorHAnsi" w:cstheme="minorHAnsi"/>
        </w:rPr>
        <w:t xml:space="preserve"> metabolic syndrom</w:t>
      </w:r>
      <w:r w:rsidR="001D6792" w:rsidRPr="005553DF">
        <w:rPr>
          <w:rFonts w:asciiTheme="minorHAnsi" w:hAnsiTheme="minorHAnsi" w:cstheme="minorHAnsi"/>
        </w:rPr>
        <w:t xml:space="preserve">e (Ferrante </w:t>
      </w:r>
      <w:r w:rsidR="0074640F" w:rsidRPr="005553DF">
        <w:rPr>
          <w:rFonts w:asciiTheme="minorHAnsi" w:hAnsiTheme="minorHAnsi" w:cstheme="minorHAnsi"/>
        </w:rPr>
        <w:t>2014; Wi</w:t>
      </w:r>
      <w:r w:rsidR="001D6792" w:rsidRPr="005553DF">
        <w:rPr>
          <w:rFonts w:asciiTheme="minorHAnsi" w:hAnsiTheme="minorHAnsi" w:cstheme="minorHAnsi"/>
        </w:rPr>
        <w:t xml:space="preserve">eser </w:t>
      </w:r>
      <w:r w:rsidR="00DB685E" w:rsidRPr="005553DF">
        <w:rPr>
          <w:rFonts w:asciiTheme="minorHAnsi" w:hAnsiTheme="minorHAnsi" w:cstheme="minorHAnsi"/>
        </w:rPr>
        <w:t xml:space="preserve">2013). </w:t>
      </w:r>
      <w:r w:rsidR="001D6792" w:rsidRPr="005553DF">
        <w:rPr>
          <w:rFonts w:asciiTheme="minorHAnsi" w:hAnsiTheme="minorHAnsi" w:cstheme="minorHAnsi"/>
        </w:rPr>
        <w:t xml:space="preserve">These </w:t>
      </w:r>
      <w:r w:rsidR="00644D6F" w:rsidRPr="005553DF">
        <w:rPr>
          <w:rFonts w:asciiTheme="minorHAnsi" w:hAnsiTheme="minorHAnsi" w:cstheme="minorHAnsi"/>
        </w:rPr>
        <w:t>associations</w:t>
      </w:r>
      <w:r w:rsidR="001D6792" w:rsidRPr="005553DF">
        <w:rPr>
          <w:rFonts w:asciiTheme="minorHAnsi" w:hAnsiTheme="minorHAnsi" w:cstheme="minorHAnsi"/>
        </w:rPr>
        <w:t xml:space="preserve"> have not yet been explored specifically with PFAS compounds.</w:t>
      </w:r>
    </w:p>
    <w:p w14:paraId="0707B8E2" w14:textId="48FE2F77" w:rsidR="005167B1" w:rsidRPr="005553DF" w:rsidRDefault="005167B1" w:rsidP="005553DF">
      <w:pPr>
        <w:spacing w:after="240" w:line="360" w:lineRule="auto"/>
        <w:jc w:val="both"/>
        <w:rPr>
          <w:rFonts w:asciiTheme="minorHAnsi" w:hAnsiTheme="minorHAnsi" w:cstheme="minorHAnsi"/>
        </w:rPr>
      </w:pPr>
      <w:r w:rsidRPr="005553DF">
        <w:rPr>
          <w:rFonts w:asciiTheme="minorHAnsi" w:hAnsiTheme="minorHAnsi" w:cstheme="minorHAnsi"/>
        </w:rPr>
        <w:t>Some positive associations have also been found for cancer outcomes; with C8 studies finding  associations</w:t>
      </w:r>
      <w:r w:rsidR="00EA3A7E" w:rsidRPr="005553DF">
        <w:rPr>
          <w:rFonts w:asciiTheme="minorHAnsi" w:hAnsiTheme="minorHAnsi" w:cstheme="minorHAnsi"/>
        </w:rPr>
        <w:t xml:space="preserve"> between PFOA and</w:t>
      </w:r>
      <w:r w:rsidRPr="005553DF">
        <w:rPr>
          <w:rFonts w:asciiTheme="minorHAnsi" w:hAnsiTheme="minorHAnsi" w:cstheme="minorHAnsi"/>
        </w:rPr>
        <w:t xml:space="preserve"> kidney and testicular cancer (Alexander and Olsen, 2007; Barry et al., 2013; Bonefeld-Jorgensen et al., 2014; Hardell et al., 2014; Steenland et al., 2015). </w:t>
      </w:r>
    </w:p>
    <w:p w14:paraId="4E4C6EF9" w14:textId="372C6E81" w:rsidR="004A6443" w:rsidRPr="005553DF" w:rsidRDefault="00EA3A7E" w:rsidP="005553DF">
      <w:pPr>
        <w:spacing w:after="240" w:line="360" w:lineRule="auto"/>
        <w:jc w:val="both"/>
        <w:rPr>
          <w:rFonts w:asciiTheme="minorHAnsi" w:hAnsiTheme="minorHAnsi" w:cstheme="minorHAnsi"/>
        </w:rPr>
      </w:pPr>
      <w:r w:rsidRPr="005553DF">
        <w:rPr>
          <w:rFonts w:asciiTheme="minorHAnsi" w:hAnsiTheme="minorHAnsi" w:cstheme="minorHAnsi"/>
        </w:rPr>
        <w:t>Some</w:t>
      </w:r>
      <w:r w:rsidR="004A6443" w:rsidRPr="005553DF">
        <w:rPr>
          <w:rFonts w:asciiTheme="minorHAnsi" w:hAnsiTheme="minorHAnsi" w:cstheme="minorHAnsi"/>
        </w:rPr>
        <w:t xml:space="preserve"> studies have </w:t>
      </w:r>
      <w:r w:rsidRPr="005553DF">
        <w:rPr>
          <w:rFonts w:asciiTheme="minorHAnsi" w:hAnsiTheme="minorHAnsi" w:cstheme="minorHAnsi"/>
        </w:rPr>
        <w:t>observed</w:t>
      </w:r>
      <w:r w:rsidR="004A6443" w:rsidRPr="005553DF">
        <w:rPr>
          <w:rFonts w:asciiTheme="minorHAnsi" w:hAnsiTheme="minorHAnsi" w:cstheme="minorHAnsi"/>
        </w:rPr>
        <w:t xml:space="preserve"> no association between PFAS exposure and health effects </w:t>
      </w:r>
      <w:r w:rsidR="003116EB" w:rsidRPr="005553DF">
        <w:rPr>
          <w:rFonts w:asciiTheme="minorHAnsi" w:hAnsiTheme="minorHAnsi" w:cstheme="minorHAnsi"/>
        </w:rPr>
        <w:t>such as</w:t>
      </w:r>
      <w:r w:rsidR="009F7E84" w:rsidRPr="005553DF">
        <w:rPr>
          <w:rFonts w:asciiTheme="minorHAnsi" w:hAnsiTheme="minorHAnsi" w:cstheme="minorHAnsi"/>
        </w:rPr>
        <w:t xml:space="preserve"> </w:t>
      </w:r>
      <w:r w:rsidR="00C928CA" w:rsidRPr="005553DF">
        <w:rPr>
          <w:rFonts w:asciiTheme="minorHAnsi" w:hAnsiTheme="minorHAnsi" w:cstheme="minorHAnsi"/>
        </w:rPr>
        <w:t>specific</w:t>
      </w:r>
      <w:r w:rsidR="00BB3BE9" w:rsidRPr="005553DF">
        <w:rPr>
          <w:rFonts w:asciiTheme="minorHAnsi" w:hAnsiTheme="minorHAnsi" w:cstheme="minorHAnsi"/>
        </w:rPr>
        <w:t xml:space="preserve"> cancers (</w:t>
      </w:r>
      <w:r w:rsidR="004A6443" w:rsidRPr="005553DF">
        <w:rPr>
          <w:rFonts w:asciiTheme="minorHAnsi" w:hAnsiTheme="minorHAnsi" w:cstheme="minorHAnsi"/>
        </w:rPr>
        <w:t>Alexander and Olsen, 2007</w:t>
      </w:r>
      <w:r w:rsidR="00BB3BE9" w:rsidRPr="005553DF">
        <w:rPr>
          <w:rFonts w:asciiTheme="minorHAnsi" w:hAnsiTheme="minorHAnsi" w:cstheme="minorHAnsi"/>
        </w:rPr>
        <w:t>; Lundin 2009)</w:t>
      </w:r>
      <w:r w:rsidR="003116EB" w:rsidRPr="005553DF">
        <w:rPr>
          <w:rFonts w:asciiTheme="minorHAnsi" w:hAnsiTheme="minorHAnsi" w:cstheme="minorHAnsi"/>
        </w:rPr>
        <w:t>,</w:t>
      </w:r>
      <w:r w:rsidR="004A6443" w:rsidRPr="005553DF">
        <w:rPr>
          <w:rFonts w:asciiTheme="minorHAnsi" w:hAnsiTheme="minorHAnsi" w:cstheme="minorHAnsi"/>
        </w:rPr>
        <w:t xml:space="preserve"> </w:t>
      </w:r>
      <w:r w:rsidR="003116EB" w:rsidRPr="005553DF">
        <w:rPr>
          <w:rFonts w:asciiTheme="minorHAnsi" w:hAnsiTheme="minorHAnsi" w:cstheme="minorHAnsi"/>
        </w:rPr>
        <w:t>lipids or</w:t>
      </w:r>
      <w:r w:rsidR="00BB3BE9" w:rsidRPr="005553DF">
        <w:rPr>
          <w:rFonts w:asciiTheme="minorHAnsi" w:hAnsiTheme="minorHAnsi" w:cstheme="minorHAnsi"/>
        </w:rPr>
        <w:t xml:space="preserve"> metabolic function (</w:t>
      </w:r>
      <w:r w:rsidR="004A6443" w:rsidRPr="005553DF">
        <w:rPr>
          <w:rFonts w:asciiTheme="minorHAnsi" w:hAnsiTheme="minorHAnsi" w:cstheme="minorHAnsi"/>
        </w:rPr>
        <w:t>Fisher, 2013</w:t>
      </w:r>
      <w:r w:rsidR="00BB3BE9" w:rsidRPr="005553DF">
        <w:rPr>
          <w:rFonts w:asciiTheme="minorHAnsi" w:hAnsiTheme="minorHAnsi" w:cstheme="minorHAnsi"/>
        </w:rPr>
        <w:t>)</w:t>
      </w:r>
      <w:r w:rsidR="003116EB" w:rsidRPr="005553DF">
        <w:rPr>
          <w:rFonts w:asciiTheme="minorHAnsi" w:hAnsiTheme="minorHAnsi" w:cstheme="minorHAnsi"/>
        </w:rPr>
        <w:t>.</w:t>
      </w:r>
      <w:r w:rsidR="008A66EA" w:rsidRPr="005553DF">
        <w:rPr>
          <w:rFonts w:asciiTheme="minorHAnsi" w:hAnsiTheme="minorHAnsi" w:cstheme="minorHAnsi"/>
        </w:rPr>
        <w:t xml:space="preserve"> </w:t>
      </w:r>
      <w:r w:rsidR="003116EB" w:rsidRPr="005553DF">
        <w:rPr>
          <w:rFonts w:asciiTheme="minorHAnsi" w:hAnsiTheme="minorHAnsi" w:cstheme="minorHAnsi"/>
        </w:rPr>
        <w:t>E</w:t>
      </w:r>
      <w:r w:rsidR="008A66EA" w:rsidRPr="005553DF">
        <w:rPr>
          <w:rFonts w:asciiTheme="minorHAnsi" w:hAnsiTheme="minorHAnsi" w:cstheme="minorHAnsi"/>
        </w:rPr>
        <w:t>ffects of c</w:t>
      </w:r>
      <w:r w:rsidR="004525FD" w:rsidRPr="005553DF">
        <w:rPr>
          <w:rFonts w:asciiTheme="minorHAnsi" w:hAnsiTheme="minorHAnsi" w:cstheme="minorHAnsi"/>
        </w:rPr>
        <w:t>ounfounding</w:t>
      </w:r>
      <w:r w:rsidR="003116EB" w:rsidRPr="005553DF">
        <w:rPr>
          <w:rFonts w:asciiTheme="minorHAnsi" w:hAnsiTheme="minorHAnsi" w:cstheme="minorHAnsi"/>
        </w:rPr>
        <w:t>, bias,</w:t>
      </w:r>
      <w:r w:rsidR="004525FD" w:rsidRPr="005553DF">
        <w:rPr>
          <w:rFonts w:asciiTheme="minorHAnsi" w:hAnsiTheme="minorHAnsi" w:cstheme="minorHAnsi"/>
        </w:rPr>
        <w:t xml:space="preserve"> and</w:t>
      </w:r>
      <w:r w:rsidR="003116EB" w:rsidRPr="005553DF">
        <w:rPr>
          <w:rFonts w:asciiTheme="minorHAnsi" w:hAnsiTheme="minorHAnsi" w:cstheme="minorHAnsi"/>
        </w:rPr>
        <w:t xml:space="preserve"> chance on</w:t>
      </w:r>
      <w:r w:rsidR="004525FD" w:rsidRPr="005553DF">
        <w:rPr>
          <w:rFonts w:asciiTheme="minorHAnsi" w:hAnsiTheme="minorHAnsi" w:cstheme="minorHAnsi"/>
        </w:rPr>
        <w:t xml:space="preserve"> </w:t>
      </w:r>
      <w:r w:rsidR="008A66EA" w:rsidRPr="005553DF">
        <w:rPr>
          <w:rFonts w:asciiTheme="minorHAnsi" w:hAnsiTheme="minorHAnsi" w:cstheme="minorHAnsi"/>
        </w:rPr>
        <w:t>observed</w:t>
      </w:r>
      <w:r w:rsidR="004525FD" w:rsidRPr="005553DF">
        <w:rPr>
          <w:rFonts w:asciiTheme="minorHAnsi" w:hAnsiTheme="minorHAnsi" w:cstheme="minorHAnsi"/>
        </w:rPr>
        <w:t xml:space="preserve"> associations</w:t>
      </w:r>
      <w:r w:rsidR="003116EB" w:rsidRPr="005553DF">
        <w:rPr>
          <w:rFonts w:asciiTheme="minorHAnsi" w:hAnsiTheme="minorHAnsi" w:cstheme="minorHAnsi"/>
        </w:rPr>
        <w:t xml:space="preserve"> with PFAS compounds</w:t>
      </w:r>
      <w:r w:rsidR="004525FD" w:rsidRPr="005553DF">
        <w:rPr>
          <w:rFonts w:asciiTheme="minorHAnsi" w:hAnsiTheme="minorHAnsi" w:cstheme="minorHAnsi"/>
        </w:rPr>
        <w:t xml:space="preserve"> </w:t>
      </w:r>
      <w:r w:rsidR="008A66EA" w:rsidRPr="005553DF">
        <w:rPr>
          <w:rFonts w:asciiTheme="minorHAnsi" w:hAnsiTheme="minorHAnsi" w:cstheme="minorHAnsi"/>
        </w:rPr>
        <w:t>were</w:t>
      </w:r>
      <w:r w:rsidR="003116EB" w:rsidRPr="005553DF">
        <w:rPr>
          <w:rFonts w:asciiTheme="minorHAnsi" w:hAnsiTheme="minorHAnsi" w:cstheme="minorHAnsi"/>
        </w:rPr>
        <w:t xml:space="preserve"> explored </w:t>
      </w:r>
      <w:r w:rsidR="008A66EA" w:rsidRPr="005553DF">
        <w:rPr>
          <w:rFonts w:asciiTheme="minorHAnsi" w:hAnsiTheme="minorHAnsi" w:cstheme="minorHAnsi"/>
        </w:rPr>
        <w:t xml:space="preserve">in </w:t>
      </w:r>
      <w:r w:rsidR="003116EB" w:rsidRPr="005553DF">
        <w:rPr>
          <w:rFonts w:asciiTheme="minorHAnsi" w:hAnsiTheme="minorHAnsi" w:cstheme="minorHAnsi"/>
        </w:rPr>
        <w:t xml:space="preserve">several reviews of immune and cancer outcomes (Chang 2014, Chang 2015) and in </w:t>
      </w:r>
      <w:r w:rsidR="008A66EA" w:rsidRPr="005553DF">
        <w:rPr>
          <w:rFonts w:asciiTheme="minorHAnsi" w:hAnsiTheme="minorHAnsi" w:cstheme="minorHAnsi"/>
        </w:rPr>
        <w:t xml:space="preserve">studies of PFAS and </w:t>
      </w:r>
      <w:r w:rsidR="00BB3BE9" w:rsidRPr="005553DF">
        <w:rPr>
          <w:rFonts w:asciiTheme="minorHAnsi" w:hAnsiTheme="minorHAnsi" w:cstheme="minorHAnsi"/>
        </w:rPr>
        <w:t>menopause and endometriosis(</w:t>
      </w:r>
      <w:r w:rsidR="0067128D" w:rsidRPr="005553DF">
        <w:rPr>
          <w:rFonts w:asciiTheme="minorHAnsi" w:hAnsiTheme="minorHAnsi" w:cstheme="minorHAnsi"/>
        </w:rPr>
        <w:t>Ruark</w:t>
      </w:r>
      <w:r w:rsidR="00BB3BE9" w:rsidRPr="005553DF">
        <w:rPr>
          <w:rFonts w:asciiTheme="minorHAnsi" w:hAnsiTheme="minorHAnsi" w:cstheme="minorHAnsi"/>
        </w:rPr>
        <w:t xml:space="preserve"> 2017</w:t>
      </w:r>
      <w:r w:rsidR="003116EB" w:rsidRPr="005553DF">
        <w:rPr>
          <w:rFonts w:asciiTheme="minorHAnsi" w:hAnsiTheme="minorHAnsi" w:cstheme="minorHAnsi"/>
        </w:rPr>
        <w:t>,</w:t>
      </w:r>
      <w:r w:rsidR="00BB3BE9" w:rsidRPr="005553DF">
        <w:rPr>
          <w:rFonts w:asciiTheme="minorHAnsi" w:hAnsiTheme="minorHAnsi" w:cstheme="minorHAnsi"/>
        </w:rPr>
        <w:t xml:space="preserve"> Ngueta 2017).</w:t>
      </w:r>
    </w:p>
    <w:p w14:paraId="654A1B20" w14:textId="6E443C03" w:rsidR="004A6443" w:rsidRPr="005553DF" w:rsidRDefault="001966E5"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In summary, most epidemiological studies of PFAS have evaluated PFOA and PFOS, but the epidemiological evidence is still limited for these two chemicals.  The epidemiological evidence for other PFAS, e.g., PFHxS and PFNA, </w:t>
      </w:r>
      <w:r w:rsidR="00DA1B5C" w:rsidRPr="005553DF">
        <w:rPr>
          <w:rFonts w:asciiTheme="minorHAnsi" w:hAnsiTheme="minorHAnsi" w:cstheme="minorHAnsi"/>
        </w:rPr>
        <w:t>is considerably more limited.</w:t>
      </w:r>
      <w:r w:rsidRPr="005553DF">
        <w:rPr>
          <w:rFonts w:asciiTheme="minorHAnsi" w:hAnsiTheme="minorHAnsi" w:cstheme="minorHAnsi"/>
        </w:rPr>
        <w:t xml:space="preserve"> </w:t>
      </w:r>
      <w:r w:rsidR="004A6443" w:rsidRPr="005553DF">
        <w:rPr>
          <w:rFonts w:asciiTheme="minorHAnsi" w:hAnsiTheme="minorHAnsi" w:cstheme="minorHAnsi"/>
          <w:bCs/>
          <w:iCs/>
          <w:color w:val="000000"/>
        </w:rPr>
        <w:t xml:space="preserve">Therefore, additional research on the effects of </w:t>
      </w:r>
      <w:r w:rsidRPr="005553DF">
        <w:rPr>
          <w:rFonts w:asciiTheme="minorHAnsi" w:hAnsiTheme="minorHAnsi" w:cstheme="minorHAnsi"/>
          <w:bCs/>
          <w:iCs/>
          <w:color w:val="000000"/>
        </w:rPr>
        <w:t xml:space="preserve">PFAS, including </w:t>
      </w:r>
      <w:r w:rsidR="004A6443" w:rsidRPr="005553DF">
        <w:rPr>
          <w:rFonts w:asciiTheme="minorHAnsi" w:hAnsiTheme="minorHAnsi" w:cstheme="minorHAnsi"/>
          <w:bCs/>
          <w:iCs/>
          <w:color w:val="000000"/>
        </w:rPr>
        <w:t xml:space="preserve">PFHxS, </w:t>
      </w:r>
      <w:r w:rsidRPr="005553DF">
        <w:rPr>
          <w:rFonts w:asciiTheme="minorHAnsi" w:hAnsiTheme="minorHAnsi" w:cstheme="minorHAnsi"/>
          <w:bCs/>
          <w:iCs/>
          <w:color w:val="000000"/>
        </w:rPr>
        <w:t xml:space="preserve">PFNA, </w:t>
      </w:r>
      <w:r w:rsidR="004A6443" w:rsidRPr="005553DF">
        <w:rPr>
          <w:rFonts w:asciiTheme="minorHAnsi" w:hAnsiTheme="minorHAnsi" w:cstheme="minorHAnsi"/>
          <w:bCs/>
          <w:iCs/>
          <w:color w:val="000000"/>
        </w:rPr>
        <w:t>PFOS, and PFOA</w:t>
      </w:r>
      <w:r w:rsidRPr="005553DF">
        <w:rPr>
          <w:rFonts w:asciiTheme="minorHAnsi" w:hAnsiTheme="minorHAnsi" w:cstheme="minorHAnsi"/>
          <w:bCs/>
          <w:iCs/>
          <w:color w:val="000000"/>
        </w:rPr>
        <w:t>,</w:t>
      </w:r>
      <w:r w:rsidR="004A6443" w:rsidRPr="005553DF">
        <w:rPr>
          <w:rFonts w:asciiTheme="minorHAnsi" w:hAnsiTheme="minorHAnsi" w:cstheme="minorHAnsi"/>
          <w:bCs/>
          <w:iCs/>
          <w:color w:val="000000"/>
        </w:rPr>
        <w:t xml:space="preserve"> is necessary to determine whether exposures increase the risk </w:t>
      </w:r>
      <w:r w:rsidR="00F96C06" w:rsidRPr="005553DF">
        <w:rPr>
          <w:rFonts w:asciiTheme="minorHAnsi" w:hAnsiTheme="minorHAnsi" w:cstheme="minorHAnsi"/>
          <w:bCs/>
          <w:iCs/>
          <w:color w:val="000000"/>
        </w:rPr>
        <w:t>of</w:t>
      </w:r>
      <w:r w:rsidR="00F730BE"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adult</w:t>
      </w:r>
      <w:r w:rsidR="004A6443" w:rsidRPr="005553DF">
        <w:rPr>
          <w:rFonts w:asciiTheme="minorHAnsi" w:hAnsiTheme="minorHAnsi" w:cstheme="minorHAnsi"/>
          <w:bCs/>
          <w:iCs/>
          <w:color w:val="000000"/>
        </w:rPr>
        <w:t xml:space="preserve"> diseases. </w:t>
      </w:r>
    </w:p>
    <w:p w14:paraId="66FF7E34" w14:textId="64C9649A" w:rsidR="004A6443" w:rsidRPr="005553DF" w:rsidRDefault="004A6443"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proposed scope of the funding and sample size estimated for this health study would be too small and insufficient to evaluate cancer health outcomes. </w:t>
      </w:r>
    </w:p>
    <w:p w14:paraId="72997A16" w14:textId="77777777" w:rsidR="00566E70" w:rsidRPr="005553DF" w:rsidRDefault="00242DE5" w:rsidP="005553DF">
      <w:pPr>
        <w:pStyle w:val="Heading3"/>
        <w:spacing w:before="0" w:after="240" w:line="360" w:lineRule="auto"/>
        <w:rPr>
          <w:rFonts w:asciiTheme="minorHAnsi" w:hAnsiTheme="minorHAnsi"/>
          <w:i/>
          <w:color w:val="auto"/>
        </w:rPr>
      </w:pPr>
      <w:bookmarkStart w:id="32" w:name="_Toc532224147"/>
      <w:r w:rsidRPr="005553DF">
        <w:rPr>
          <w:rFonts w:asciiTheme="minorHAnsi" w:hAnsiTheme="minorHAnsi" w:cstheme="minorHAnsi"/>
          <w:bCs w:val="0"/>
          <w:i/>
          <w:color w:val="auto"/>
          <w:sz w:val="24"/>
          <w:szCs w:val="24"/>
        </w:rPr>
        <w:t>2.</w:t>
      </w:r>
      <w:r w:rsidR="00C072BC" w:rsidRPr="005553DF">
        <w:rPr>
          <w:rFonts w:asciiTheme="minorHAnsi" w:hAnsiTheme="minorHAnsi" w:cstheme="minorHAnsi"/>
          <w:i/>
          <w:color w:val="auto"/>
          <w:sz w:val="24"/>
          <w:szCs w:val="24"/>
        </w:rPr>
        <w:t>5</w:t>
      </w:r>
      <w:r w:rsidR="000A1CDE" w:rsidRPr="005553DF">
        <w:rPr>
          <w:rFonts w:asciiTheme="minorHAnsi" w:hAnsiTheme="minorHAnsi" w:cstheme="minorHAnsi"/>
          <w:bCs w:val="0"/>
          <w:i/>
          <w:color w:val="auto"/>
          <w:sz w:val="24"/>
          <w:szCs w:val="24"/>
        </w:rPr>
        <w:t>.</w:t>
      </w:r>
      <w:r w:rsidRPr="005553DF">
        <w:rPr>
          <w:rFonts w:asciiTheme="minorHAnsi" w:hAnsiTheme="minorHAnsi"/>
          <w:i/>
          <w:color w:val="auto"/>
          <w:sz w:val="24"/>
        </w:rPr>
        <w:t xml:space="preserve">2 </w:t>
      </w:r>
      <w:r w:rsidR="00CA76B6" w:rsidRPr="005553DF">
        <w:rPr>
          <w:rFonts w:asciiTheme="minorHAnsi" w:hAnsiTheme="minorHAnsi"/>
          <w:i/>
          <w:color w:val="auto"/>
          <w:sz w:val="24"/>
        </w:rPr>
        <w:t>Hypotheses</w:t>
      </w:r>
      <w:bookmarkEnd w:id="32"/>
    </w:p>
    <w:p w14:paraId="04ED9F19" w14:textId="77777777"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For children (aged 4-17</w:t>
      </w:r>
      <w:r w:rsidR="00B32F14" w:rsidRPr="005553DF">
        <w:rPr>
          <w:rFonts w:asciiTheme="minorHAnsi" w:hAnsiTheme="minorHAnsi" w:cstheme="minorHAnsi"/>
          <w:bCs/>
          <w:iCs/>
          <w:color w:val="000000"/>
        </w:rPr>
        <w:t xml:space="preserve"> years</w:t>
      </w:r>
      <w:r w:rsidRPr="005553DF">
        <w:rPr>
          <w:rFonts w:asciiTheme="minorHAnsi" w:hAnsiTheme="minorHAnsi" w:cstheme="minorHAnsi"/>
          <w:bCs/>
          <w:iCs/>
          <w:color w:val="000000"/>
        </w:rPr>
        <w:t>), the</w:t>
      </w:r>
      <w:r w:rsidR="00EE4572" w:rsidRPr="005553DF">
        <w:rPr>
          <w:rFonts w:asciiTheme="minorHAnsi" w:hAnsiTheme="minorHAnsi" w:cstheme="minorHAnsi"/>
          <w:bCs/>
          <w:iCs/>
          <w:color w:val="000000"/>
        </w:rPr>
        <w:t xml:space="preserve"> </w:t>
      </w:r>
      <w:r w:rsidR="00D228C9" w:rsidRPr="005553DF">
        <w:rPr>
          <w:rFonts w:asciiTheme="minorHAnsi" w:hAnsiTheme="minorHAnsi" w:cstheme="minorHAnsi"/>
          <w:bCs/>
          <w:iCs/>
          <w:color w:val="000000"/>
        </w:rPr>
        <w:t>Pease Study</w:t>
      </w:r>
      <w:r w:rsidRPr="005553DF">
        <w:rPr>
          <w:rFonts w:asciiTheme="minorHAnsi" w:hAnsiTheme="minorHAnsi" w:cstheme="minorHAnsi"/>
          <w:bCs/>
          <w:iCs/>
          <w:color w:val="000000"/>
        </w:rPr>
        <w:t xml:space="preserve"> will evaluate the following main hypotheses</w:t>
      </w:r>
      <w:r w:rsidR="002F0FA6" w:rsidRPr="005553DF">
        <w:rPr>
          <w:rFonts w:asciiTheme="minorHAnsi" w:hAnsiTheme="minorHAnsi" w:cstheme="minorHAnsi"/>
          <w:bCs/>
          <w:iCs/>
          <w:color w:val="000000"/>
        </w:rPr>
        <w:t>, following the outline of the biochemical analytical plan (</w:t>
      </w:r>
      <w:r w:rsidR="002F0FA6" w:rsidRPr="005553DF">
        <w:rPr>
          <w:rFonts w:asciiTheme="minorHAnsi" w:hAnsiTheme="minorHAnsi" w:cstheme="minorHAnsi"/>
          <w:b/>
          <w:bCs/>
          <w:iCs/>
          <w:color w:val="000000"/>
        </w:rPr>
        <w:t>Attachment 3</w:t>
      </w:r>
      <w:r w:rsidR="002F0FA6"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2AFD345C" w14:textId="77777777" w:rsidR="003A4364" w:rsidRPr="005553DF" w:rsidRDefault="003A4364" w:rsidP="005553DF">
      <w:pPr>
        <w:spacing w:after="240" w:line="360" w:lineRule="auto"/>
        <w:rPr>
          <w:rFonts w:asciiTheme="minorHAnsi" w:hAnsiTheme="minorHAnsi" w:cstheme="minorHAnsi"/>
        </w:rPr>
      </w:pPr>
      <w:r w:rsidRPr="005553DF">
        <w:rPr>
          <w:rFonts w:asciiTheme="minorHAnsi" w:hAnsiTheme="minorHAnsi" w:cstheme="minorHAnsi"/>
        </w:rPr>
        <w:t>High</w:t>
      </w:r>
      <w:r w:rsidR="00F730BE" w:rsidRPr="005553DF">
        <w:rPr>
          <w:rFonts w:asciiTheme="minorHAnsi" w:hAnsiTheme="minorHAnsi" w:cstheme="minorHAnsi"/>
        </w:rPr>
        <w:t xml:space="preserve">er serum levels of PFOA, PFOS, </w:t>
      </w:r>
      <w:r w:rsidRPr="005553DF">
        <w:rPr>
          <w:rFonts w:asciiTheme="minorHAnsi" w:hAnsiTheme="minorHAnsi" w:cstheme="minorHAnsi"/>
        </w:rPr>
        <w:t>PFHxS</w:t>
      </w:r>
      <w:r w:rsidR="00F96C06" w:rsidRPr="005553DF">
        <w:rPr>
          <w:rFonts w:asciiTheme="minorHAnsi" w:hAnsiTheme="minorHAnsi" w:cstheme="minorHAnsi"/>
        </w:rPr>
        <w:t>, or other PFAS</w:t>
      </w:r>
      <w:r w:rsidRPr="005553DF">
        <w:rPr>
          <w:rFonts w:asciiTheme="minorHAnsi" w:hAnsiTheme="minorHAnsi" w:cstheme="minorHAnsi"/>
        </w:rPr>
        <w:t xml:space="preserve"> are associated with:</w:t>
      </w:r>
    </w:p>
    <w:p w14:paraId="4ECE82B1"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higher prevalence of hypercholesterolemia; obesity).</w:t>
      </w:r>
    </w:p>
    <w:p w14:paraId="63788EE6"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Impaired renal function (a higher level of uric acid, a higher prevalence of hyperuricemia, and a lower estimated glomerular filtration rate (eGFR).</w:t>
      </w:r>
    </w:p>
    <w:p w14:paraId="230EFC27" w14:textId="69C03D69" w:rsidR="004F1FA3" w:rsidRPr="005553DF" w:rsidRDefault="004F1FA3"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Liver function/damage biomarkers (alanine transaminase (ALT), γ-glutamyltransferase (GGT), direct bilirubin, cytokeratin-18 (CK-18)), and non-alcoholic fatty liver disease/steatohepatitis</w:t>
      </w:r>
      <w:r w:rsidR="00372AF6" w:rsidRPr="005553DF">
        <w:rPr>
          <w:rFonts w:asciiTheme="minorHAnsi" w:hAnsiTheme="minorHAnsi" w:cstheme="minorHAnsi"/>
        </w:rPr>
        <w:t xml:space="preserve"> (determined by CK-18 levels)</w:t>
      </w:r>
      <w:r w:rsidRPr="005553DF">
        <w:rPr>
          <w:rFonts w:asciiTheme="minorHAnsi" w:hAnsiTheme="minorHAnsi" w:cstheme="minorHAnsi"/>
        </w:rPr>
        <w:t>.</w:t>
      </w:r>
    </w:p>
    <w:p w14:paraId="10EC1B8B" w14:textId="77777777" w:rsidR="00CD5AED" w:rsidRPr="005553DF" w:rsidRDefault="00CD5AED"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14:paraId="4CE95FE3"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Measures of thyroid function (differences in thyroid stimulating hormone - TSH, total thyroxin - TT4, and TT3; higher prevalence of hypothyroidism).</w:t>
      </w:r>
    </w:p>
    <w:p w14:paraId="301070BE"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Differences in sex hormones, growth and sexual maturation (testosterone, estradiol, and sex hormone-binding globulin (SHBG); insulin-like growth factor - 1 (IGF-1), age at menarche, delayed puberty).</w:t>
      </w:r>
    </w:p>
    <w:p w14:paraId="01C1E45F"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Immune response including prevalence of hypersensitivity-related outcomes (e.g., asthma, atopic dermatitis; higher levels of immunoglobulins (IgG, IgA and IgM) and lower antibody responses to rubella, mumps, and diphtheria vaccines).</w:t>
      </w:r>
    </w:p>
    <w:p w14:paraId="657517E0" w14:textId="52AD1B45" w:rsidR="003A6135"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 xml:space="preserve">Neurodevelopmental outcomes (lower </w:t>
      </w:r>
      <w:r w:rsidRPr="005553DF">
        <w:rPr>
          <w:rFonts w:asciiTheme="minorHAnsi" w:eastAsia="Times New Roman" w:hAnsiTheme="minorHAnsi" w:cstheme="minorHAnsi"/>
        </w:rPr>
        <w:t xml:space="preserve">intelligence quotient (full scale </w:t>
      </w:r>
      <w:r w:rsidRPr="005553DF">
        <w:rPr>
          <w:rFonts w:asciiTheme="minorHAnsi" w:hAnsiTheme="minorHAnsi" w:cstheme="minorHAnsi"/>
        </w:rPr>
        <w:t>IQ</w:t>
      </w:r>
      <w:r w:rsidRPr="005553DF">
        <w:rPr>
          <w:rFonts w:asciiTheme="minorHAnsi" w:eastAsia="Times New Roman" w:hAnsiTheme="minorHAnsi" w:cstheme="minorHAnsi"/>
        </w:rPr>
        <w:t xml:space="preserve">), </w:t>
      </w:r>
      <w:r w:rsidRPr="005553DF">
        <w:rPr>
          <w:rFonts w:asciiTheme="minorHAnsi" w:hAnsiTheme="minorHAnsi" w:cstheme="minorHAnsi"/>
        </w:rPr>
        <w:t>attention-deficit and hyperactivity disorder (ADHD).</w:t>
      </w:r>
    </w:p>
    <w:p w14:paraId="04AE2ED5" w14:textId="77777777" w:rsidR="003A6135" w:rsidRPr="005553DF" w:rsidRDefault="003A6135" w:rsidP="005553DF">
      <w:pPr>
        <w:spacing w:after="240" w:line="360" w:lineRule="auto"/>
        <w:jc w:val="both"/>
        <w:rPr>
          <w:rFonts w:asciiTheme="minorHAnsi" w:hAnsiTheme="minorHAnsi" w:cstheme="minorHAnsi"/>
          <w:bCs/>
          <w:iCs/>
          <w:color w:val="000000"/>
        </w:rPr>
      </w:pPr>
    </w:p>
    <w:p w14:paraId="15369BE6" w14:textId="5E8A8F74"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For adults (aged ≥18</w:t>
      </w:r>
      <w:r w:rsidR="00B32F14" w:rsidRPr="005553DF">
        <w:rPr>
          <w:rFonts w:asciiTheme="minorHAnsi" w:hAnsiTheme="minorHAnsi" w:cstheme="minorHAnsi"/>
          <w:bCs/>
          <w:iCs/>
          <w:color w:val="000000"/>
        </w:rPr>
        <w:t xml:space="preserve"> years</w:t>
      </w:r>
      <w:r w:rsidRPr="005553DF">
        <w:rPr>
          <w:rFonts w:asciiTheme="minorHAnsi" w:hAnsiTheme="minorHAnsi" w:cstheme="minorHAnsi"/>
          <w:bCs/>
          <w:iCs/>
          <w:color w:val="000000"/>
        </w:rPr>
        <w:t xml:space="preserve">), the </w:t>
      </w:r>
      <w:r w:rsidR="00D228C9" w:rsidRPr="005553DF">
        <w:rPr>
          <w:rFonts w:asciiTheme="minorHAnsi" w:hAnsiTheme="minorHAnsi" w:cstheme="minorHAnsi"/>
          <w:bCs/>
          <w:iCs/>
          <w:color w:val="000000"/>
        </w:rPr>
        <w:t>Pease Study</w:t>
      </w:r>
      <w:r w:rsidRPr="005553DF">
        <w:rPr>
          <w:rFonts w:asciiTheme="minorHAnsi" w:hAnsiTheme="minorHAnsi" w:cstheme="minorHAnsi"/>
          <w:bCs/>
          <w:iCs/>
          <w:color w:val="000000"/>
        </w:rPr>
        <w:t xml:space="preserve"> will evaluate the following main hypotheses.</w:t>
      </w:r>
    </w:p>
    <w:p w14:paraId="6B078662" w14:textId="77777777" w:rsidR="003A4364" w:rsidRPr="005553DF" w:rsidRDefault="003A4364" w:rsidP="005553DF">
      <w:pPr>
        <w:spacing w:after="240" w:line="360" w:lineRule="auto"/>
        <w:rPr>
          <w:rFonts w:asciiTheme="minorHAnsi" w:hAnsiTheme="minorHAnsi" w:cstheme="minorHAnsi"/>
        </w:rPr>
      </w:pPr>
      <w:r w:rsidRPr="005553DF">
        <w:rPr>
          <w:rFonts w:asciiTheme="minorHAnsi" w:hAnsiTheme="minorHAnsi" w:cstheme="minorHAnsi"/>
        </w:rPr>
        <w:t>Higher serum levels of PFOA, PFOS, PFHxS</w:t>
      </w:r>
      <w:r w:rsidR="00F96C06" w:rsidRPr="005553DF">
        <w:rPr>
          <w:rFonts w:asciiTheme="minorHAnsi" w:hAnsiTheme="minorHAnsi" w:cstheme="minorHAnsi"/>
        </w:rPr>
        <w:t>, or other PFAS</w:t>
      </w:r>
      <w:r w:rsidRPr="005553DF">
        <w:rPr>
          <w:rFonts w:asciiTheme="minorHAnsi" w:hAnsiTheme="minorHAnsi" w:cstheme="minorHAnsi"/>
        </w:rPr>
        <w:t xml:space="preserve"> are associated with: </w:t>
      </w:r>
    </w:p>
    <w:p w14:paraId="1ABB4544"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a higher prevalence of hypercholesterolemia).</w:t>
      </w:r>
    </w:p>
    <w:p w14:paraId="1D5D13E7"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coronary artery disease and hypertension (including pregnancy induced hypertension).</w:t>
      </w:r>
    </w:p>
    <w:p w14:paraId="16D1425D"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Renal function (higher level of uric acid and a higher prevalence of hyperuricemia, lower estimated glomerular filtration rate (eGFR)) and higher prevalence of kidney disease.</w:t>
      </w:r>
    </w:p>
    <w:p w14:paraId="74EB9B29" w14:textId="77777777" w:rsidR="00CD5AED" w:rsidRPr="005553DF" w:rsidRDefault="00CD5AED"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14:paraId="0DAC68A3"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Differences in thyroid hormones (thyroid stimulating hormone (TSH), TT4, and TT3), and higher prevalence of hypothyroidism.</w:t>
      </w:r>
    </w:p>
    <w:p w14:paraId="2A36E8B1"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Liver function/damage biomarkers (alanine transaminase (ALT), γ-glutamyltransferase (GGT), direct bilirubin, cytokeratin-18 (CK-18)) and liver disease.</w:t>
      </w:r>
    </w:p>
    <w:p w14:paraId="17899FFA" w14:textId="77777777" w:rsidR="00192600"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osteoarthritis</w:t>
      </w:r>
    </w:p>
    <w:p w14:paraId="15CAECD9" w14:textId="77777777" w:rsidR="003A4364" w:rsidRPr="005553DF" w:rsidRDefault="00192600"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 xml:space="preserve">Higher prevalence of </w:t>
      </w:r>
      <w:r w:rsidR="003A4364" w:rsidRPr="005553DF">
        <w:rPr>
          <w:rFonts w:asciiTheme="minorHAnsi" w:hAnsiTheme="minorHAnsi" w:cstheme="minorHAnsi"/>
        </w:rPr>
        <w:t>osteoporosis.</w:t>
      </w:r>
    </w:p>
    <w:p w14:paraId="24ED0F0F"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endometriosis.</w:t>
      </w:r>
    </w:p>
    <w:p w14:paraId="35677E34" w14:textId="77777777" w:rsidR="003A4364" w:rsidRPr="005553DF" w:rsidRDefault="003A4364" w:rsidP="005553DF">
      <w:pPr>
        <w:numPr>
          <w:ilvl w:val="0"/>
          <w:numId w:val="14"/>
        </w:numPr>
        <w:spacing w:after="120" w:line="360" w:lineRule="auto"/>
        <w:jc w:val="both"/>
        <w:rPr>
          <w:rFonts w:asciiTheme="minorHAnsi" w:hAnsiTheme="minorHAnsi"/>
        </w:rPr>
      </w:pPr>
      <w:r w:rsidRPr="005553DF">
        <w:rPr>
          <w:rFonts w:asciiTheme="minorHAnsi" w:hAnsiTheme="minorHAnsi" w:cstheme="minorHAnsi"/>
        </w:rPr>
        <w:t>Measures of immune response and inflammation (serum levels of IgA, IgE, IgG, IgM, C - reactive protein (CRP), antinuclear antibodies (ANA), inflammatory cytokines</w:t>
      </w:r>
      <w:r w:rsidR="00B51B96" w:rsidRPr="005553DF">
        <w:rPr>
          <w:rFonts w:asciiTheme="minorHAnsi" w:hAnsiTheme="minorHAnsi" w:cstheme="minorHAnsi"/>
        </w:rPr>
        <w:t xml:space="preserve"> and adipokines (interleukin 1-β (IL-1β), interleukin 6 (IL-6), interleukin 8 (IL-8), monocyte chemotactic protein-1 (MCP-1), tumor necrosis factor α (TNFα), leptin, adiponectin, resistin, plasminogen activator inhibitor-1 (PAI-1)</w:t>
      </w:r>
      <w:r w:rsidRPr="005553DF">
        <w:rPr>
          <w:rFonts w:asciiTheme="minorHAnsi" w:hAnsiTheme="minorHAnsi" w:cstheme="minorHAnsi"/>
          <w:i/>
        </w:rPr>
        <w:t>.</w:t>
      </w:r>
    </w:p>
    <w:p w14:paraId="5E615CDE" w14:textId="77777777" w:rsidR="00C54DA3"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color w:val="000000"/>
        </w:rPr>
        <w:t>Higher prevalence of autoimmune diseases such as ulcerative colitis, rheumatoid arthritis, lupus, and multiple sclerosis.</w:t>
      </w:r>
      <w:bookmarkStart w:id="33" w:name="_Toc507589195"/>
    </w:p>
    <w:p w14:paraId="58349188" w14:textId="77777777" w:rsidR="003A4364" w:rsidRPr="005553DF" w:rsidRDefault="003A4364" w:rsidP="005553DF">
      <w:pPr>
        <w:pStyle w:val="Heading2"/>
        <w:spacing w:before="0" w:after="240" w:line="360" w:lineRule="auto"/>
        <w:rPr>
          <w:rFonts w:asciiTheme="minorHAnsi" w:hAnsiTheme="minorHAnsi" w:cstheme="minorHAnsi"/>
          <w:i w:val="0"/>
          <w:sz w:val="22"/>
          <w:szCs w:val="22"/>
        </w:rPr>
      </w:pPr>
      <w:bookmarkStart w:id="34" w:name="_Toc532224148"/>
      <w:r w:rsidRPr="005553DF">
        <w:rPr>
          <w:rFonts w:asciiTheme="minorHAnsi" w:hAnsiTheme="minorHAnsi" w:cstheme="minorHAnsi"/>
          <w:i w:val="0"/>
          <w:sz w:val="22"/>
          <w:szCs w:val="22"/>
        </w:rPr>
        <w:t>2.6 Intended Use of Study Findings</w:t>
      </w:r>
      <w:bookmarkEnd w:id="33"/>
      <w:bookmarkEnd w:id="34"/>
    </w:p>
    <w:p w14:paraId="73BFE2EC" w14:textId="77777777"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Given that epidemiological research on the health effects of PFAS is at </w:t>
      </w:r>
      <w:r w:rsidR="00F730BE" w:rsidRPr="005553DF">
        <w:rPr>
          <w:rFonts w:asciiTheme="minorHAnsi" w:hAnsiTheme="minorHAnsi" w:cstheme="minorHAnsi"/>
          <w:bCs/>
          <w:iCs/>
          <w:color w:val="000000"/>
        </w:rPr>
        <w:t>a</w:t>
      </w:r>
      <w:r w:rsidRPr="005553DF">
        <w:rPr>
          <w:rFonts w:asciiTheme="minorHAnsi" w:hAnsiTheme="minorHAnsi" w:cstheme="minorHAnsi"/>
          <w:bCs/>
          <w:iCs/>
          <w:color w:val="000000"/>
        </w:rPr>
        <w:t xml:space="preserve"> relatively early stage, these health stud</w:t>
      </w:r>
      <w:r w:rsidR="00F05EF3" w:rsidRPr="005553DF">
        <w:rPr>
          <w:rFonts w:asciiTheme="minorHAnsi" w:hAnsiTheme="minorHAnsi" w:cstheme="minorHAnsi"/>
          <w:bCs/>
          <w:iCs/>
          <w:color w:val="000000"/>
        </w:rPr>
        <w:t>ies</w:t>
      </w:r>
      <w:r w:rsidRPr="005553DF">
        <w:rPr>
          <w:rFonts w:asciiTheme="minorHAnsi" w:hAnsiTheme="minorHAnsi" w:cstheme="minorHAnsi"/>
          <w:bCs/>
          <w:iCs/>
          <w:color w:val="000000"/>
        </w:rPr>
        <w:t xml:space="preserve"> should make an important contribution to the scientific literature as the first epidemiological child and adult studies in the U.S. to evaluate potential health effects occurring in populations exposed to PFAS-contaminated drinking water caused by the use of AFFF.</w:t>
      </w:r>
    </w:p>
    <w:p w14:paraId="237173BE" w14:textId="77777777"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studies will provide the PFAS serum level and the results of the effect biomarker tests to each study participant. The participant can use this information for medical decision-making.  </w:t>
      </w:r>
    </w:p>
    <w:p w14:paraId="52720B2D" w14:textId="77777777"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health study will provide summaries of the findings to the participating affected communities</w:t>
      </w:r>
      <w:r w:rsidR="004F1FA3" w:rsidRPr="005553DF">
        <w:rPr>
          <w:rFonts w:asciiTheme="minorHAnsi" w:hAnsiTheme="minorHAnsi" w:cstheme="minorHAnsi"/>
          <w:bCs/>
          <w:iCs/>
          <w:color w:val="000000"/>
        </w:rPr>
        <w:t>.</w:t>
      </w:r>
    </w:p>
    <w:p w14:paraId="7C239E4D" w14:textId="77777777" w:rsidR="00EE4572" w:rsidRPr="005553DF" w:rsidRDefault="003D2D5E"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Finally</w:t>
      </w:r>
      <w:r w:rsidR="00EE4572" w:rsidRPr="005553DF">
        <w:rPr>
          <w:rFonts w:asciiTheme="minorHAnsi" w:hAnsiTheme="minorHAnsi" w:cstheme="minorHAnsi"/>
          <w:bCs/>
          <w:iCs/>
          <w:color w:val="000000"/>
        </w:rPr>
        <w:t xml:space="preserve">, any issues identified with the </w:t>
      </w:r>
      <w:r w:rsidRPr="005553DF">
        <w:rPr>
          <w:rFonts w:asciiTheme="minorHAnsi" w:hAnsiTheme="minorHAnsi" w:cstheme="minorHAnsi"/>
          <w:bCs/>
          <w:iCs/>
          <w:color w:val="000000"/>
        </w:rPr>
        <w:t>procedures</w:t>
      </w:r>
      <w:r w:rsidR="00EE4572" w:rsidRPr="005553DF">
        <w:rPr>
          <w:rFonts w:asciiTheme="minorHAnsi" w:hAnsiTheme="minorHAnsi" w:cstheme="minorHAnsi"/>
          <w:bCs/>
          <w:iCs/>
          <w:color w:val="000000"/>
        </w:rPr>
        <w:t xml:space="preserve">, methods and </w:t>
      </w:r>
      <w:r w:rsidRPr="005553DF">
        <w:rPr>
          <w:rFonts w:asciiTheme="minorHAnsi" w:hAnsiTheme="minorHAnsi" w:cstheme="minorHAnsi"/>
          <w:bCs/>
          <w:iCs/>
          <w:color w:val="000000"/>
        </w:rPr>
        <w:t>approaches</w:t>
      </w:r>
      <w:r w:rsidR="00F570B4" w:rsidRPr="005553DF">
        <w:rPr>
          <w:rFonts w:asciiTheme="minorHAnsi" w:hAnsiTheme="minorHAnsi" w:cstheme="minorHAnsi"/>
          <w:bCs/>
          <w:iCs/>
          <w:color w:val="000000"/>
        </w:rPr>
        <w:t xml:space="preserve"> will be addressed in the </w:t>
      </w:r>
      <w:r w:rsidRPr="005553DF">
        <w:rPr>
          <w:rFonts w:asciiTheme="minorHAnsi" w:hAnsiTheme="minorHAnsi" w:cstheme="minorHAnsi"/>
          <w:bCs/>
          <w:iCs/>
          <w:color w:val="000000"/>
        </w:rPr>
        <w:t xml:space="preserve">protocol for the multi-site study. </w:t>
      </w:r>
    </w:p>
    <w:p w14:paraId="7D7CF1D2" w14:textId="77777777" w:rsidR="00F550D8" w:rsidRPr="005553DF" w:rsidRDefault="00F550D8" w:rsidP="005553DF">
      <w:pPr>
        <w:spacing w:after="240" w:line="360" w:lineRule="auto"/>
        <w:jc w:val="both"/>
        <w:rPr>
          <w:rFonts w:asciiTheme="minorHAnsi" w:hAnsiTheme="minorHAnsi" w:cstheme="minorHAnsi"/>
          <w:bCs/>
          <w:iCs/>
          <w:color w:val="000000"/>
        </w:rPr>
      </w:pPr>
    </w:p>
    <w:p w14:paraId="3D55FD40" w14:textId="77777777" w:rsidR="000F55ED" w:rsidRPr="005553DF" w:rsidRDefault="00242DE5" w:rsidP="005553DF">
      <w:pPr>
        <w:spacing w:after="240" w:line="360" w:lineRule="auto"/>
        <w:jc w:val="both"/>
        <w:rPr>
          <w:rFonts w:asciiTheme="minorHAnsi" w:hAnsiTheme="minorHAnsi"/>
          <w:b/>
        </w:rPr>
      </w:pPr>
      <w:r w:rsidRPr="005553DF">
        <w:rPr>
          <w:rFonts w:asciiTheme="minorHAnsi" w:hAnsiTheme="minorHAnsi"/>
          <w:b/>
        </w:rPr>
        <w:t xml:space="preserve">3. </w:t>
      </w:r>
      <w:r w:rsidR="00094704" w:rsidRPr="005553DF">
        <w:rPr>
          <w:rFonts w:asciiTheme="minorHAnsi" w:hAnsiTheme="minorHAnsi"/>
          <w:b/>
        </w:rPr>
        <w:t>METHODS</w:t>
      </w:r>
    </w:p>
    <w:p w14:paraId="26E152BF" w14:textId="77777777" w:rsidR="001A4193" w:rsidRPr="005553DF" w:rsidRDefault="00242DE5" w:rsidP="005553DF">
      <w:pPr>
        <w:pStyle w:val="Heading2"/>
        <w:spacing w:before="0" w:after="240" w:line="360" w:lineRule="auto"/>
        <w:rPr>
          <w:rFonts w:asciiTheme="minorHAnsi" w:hAnsiTheme="minorHAnsi"/>
          <w:i w:val="0"/>
          <w:sz w:val="22"/>
          <w:szCs w:val="22"/>
        </w:rPr>
      </w:pPr>
      <w:bookmarkStart w:id="35" w:name="_Toc532224149"/>
      <w:r w:rsidRPr="005553DF">
        <w:rPr>
          <w:rFonts w:asciiTheme="minorHAnsi" w:hAnsiTheme="minorHAnsi"/>
          <w:i w:val="0"/>
          <w:sz w:val="22"/>
          <w:szCs w:val="22"/>
        </w:rPr>
        <w:t xml:space="preserve">3.1 </w:t>
      </w:r>
      <w:r w:rsidR="001A4193" w:rsidRPr="005553DF">
        <w:rPr>
          <w:rFonts w:asciiTheme="minorHAnsi" w:hAnsiTheme="minorHAnsi"/>
          <w:i w:val="0"/>
          <w:sz w:val="22"/>
          <w:szCs w:val="22"/>
        </w:rPr>
        <w:t xml:space="preserve">Study </w:t>
      </w:r>
      <w:r w:rsidR="003C6A23" w:rsidRPr="005553DF">
        <w:rPr>
          <w:rFonts w:asciiTheme="minorHAnsi" w:hAnsiTheme="minorHAnsi" w:cs="Calibri"/>
          <w:i w:val="0"/>
          <w:sz w:val="22"/>
          <w:szCs w:val="22"/>
        </w:rPr>
        <w:t>D</w:t>
      </w:r>
      <w:r w:rsidR="001A4193" w:rsidRPr="005553DF">
        <w:rPr>
          <w:rFonts w:asciiTheme="minorHAnsi" w:hAnsiTheme="minorHAnsi" w:cs="Calibri"/>
          <w:i w:val="0"/>
          <w:sz w:val="22"/>
          <w:szCs w:val="22"/>
        </w:rPr>
        <w:t>esign</w:t>
      </w:r>
      <w:bookmarkEnd w:id="35"/>
    </w:p>
    <w:p w14:paraId="2D3042B4" w14:textId="77777777" w:rsidR="002035BA" w:rsidRPr="005553DF" w:rsidRDefault="007C6E27"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child and adult studies will be cross-sectional with separate evaluation of children (ages 4 – 17 years) and adults (aged ≥18 years).</w:t>
      </w:r>
      <w:r w:rsidR="00707EC4" w:rsidRPr="005553DF">
        <w:rPr>
          <w:rFonts w:asciiTheme="minorHAnsi" w:hAnsiTheme="minorHAnsi" w:cstheme="minorHAnsi"/>
          <w:bCs/>
          <w:iCs/>
          <w:color w:val="000000"/>
        </w:rPr>
        <w:t xml:space="preserve"> The participants will be recruited from </w:t>
      </w:r>
      <w:r w:rsidR="00D61641" w:rsidRPr="005553DF">
        <w:rPr>
          <w:rFonts w:asciiTheme="minorHAnsi" w:hAnsiTheme="minorHAnsi" w:cstheme="minorHAnsi"/>
          <w:bCs/>
          <w:iCs/>
          <w:color w:val="000000"/>
        </w:rPr>
        <w:t xml:space="preserve">existing </w:t>
      </w:r>
      <w:r w:rsidR="00707EC4" w:rsidRPr="005553DF">
        <w:rPr>
          <w:rFonts w:asciiTheme="minorHAnsi" w:hAnsiTheme="minorHAnsi" w:cstheme="minorHAnsi"/>
          <w:bCs/>
          <w:iCs/>
          <w:color w:val="000000"/>
        </w:rPr>
        <w:t>convenience samples</w:t>
      </w:r>
      <w:r w:rsidR="00D61641" w:rsidRPr="005553DF">
        <w:rPr>
          <w:rFonts w:asciiTheme="minorHAnsi" w:hAnsiTheme="minorHAnsi" w:cstheme="minorHAnsi"/>
          <w:bCs/>
          <w:iCs/>
          <w:color w:val="000000"/>
        </w:rPr>
        <w:t xml:space="preserve"> from the Pease biomonitoring program</w:t>
      </w:r>
      <w:r w:rsidR="006C6F4F" w:rsidRPr="005553DF">
        <w:rPr>
          <w:rFonts w:asciiTheme="minorHAnsi" w:hAnsiTheme="minorHAnsi" w:cstheme="minorHAnsi"/>
          <w:bCs/>
          <w:iCs/>
          <w:color w:val="000000"/>
        </w:rPr>
        <w:t>, additional exposure groups,</w:t>
      </w:r>
      <w:r w:rsidR="00D61641" w:rsidRPr="005553DF">
        <w:rPr>
          <w:rFonts w:asciiTheme="minorHAnsi" w:hAnsiTheme="minorHAnsi" w:cstheme="minorHAnsi"/>
          <w:bCs/>
          <w:iCs/>
          <w:color w:val="000000"/>
        </w:rPr>
        <w:t xml:space="preserve"> and from the referent groups</w:t>
      </w:r>
      <w:r w:rsidR="00707EC4" w:rsidRPr="005553DF">
        <w:rPr>
          <w:rFonts w:asciiTheme="minorHAnsi" w:hAnsiTheme="minorHAnsi" w:cstheme="minorHAnsi"/>
          <w:bCs/>
          <w:iCs/>
          <w:color w:val="000000"/>
        </w:rPr>
        <w:t>.</w:t>
      </w:r>
    </w:p>
    <w:p w14:paraId="2F7BBAA6" w14:textId="77777777" w:rsidR="00F546A7" w:rsidRPr="005553DF" w:rsidRDefault="00F546A7"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general components of the data collection are as follows:</w:t>
      </w:r>
    </w:p>
    <w:p w14:paraId="38B4422E" w14:textId="77777777" w:rsidR="00F546A7" w:rsidRPr="005553DF" w:rsidRDefault="002035BA"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 will obtain adult consent</w:t>
      </w:r>
      <w:r w:rsidR="00DE202C" w:rsidRPr="005553DF">
        <w:rPr>
          <w:rFonts w:asciiTheme="minorHAnsi" w:hAnsiTheme="minorHAnsi" w:cstheme="minorHAnsi"/>
          <w:bCs/>
          <w:iCs/>
          <w:color w:val="000000"/>
        </w:rPr>
        <w:t xml:space="preserve">, and </w:t>
      </w:r>
      <w:r w:rsidRPr="005553DF">
        <w:rPr>
          <w:rFonts w:asciiTheme="minorHAnsi" w:hAnsiTheme="minorHAnsi" w:cstheme="minorHAnsi"/>
          <w:bCs/>
          <w:iCs/>
          <w:color w:val="000000"/>
        </w:rPr>
        <w:t>p</w:t>
      </w:r>
      <w:r w:rsidR="00DE202C" w:rsidRPr="005553DF">
        <w:rPr>
          <w:rFonts w:asciiTheme="minorHAnsi" w:hAnsiTheme="minorHAnsi" w:cstheme="minorHAnsi"/>
          <w:bCs/>
          <w:iCs/>
          <w:color w:val="000000"/>
        </w:rPr>
        <w:t>arental permission</w:t>
      </w:r>
      <w:r w:rsidRPr="005553DF">
        <w:rPr>
          <w:rFonts w:asciiTheme="minorHAnsi" w:hAnsiTheme="minorHAnsi" w:cstheme="minorHAnsi"/>
          <w:bCs/>
          <w:iCs/>
          <w:color w:val="000000"/>
        </w:rPr>
        <w:t xml:space="preserve"> and child assent</w:t>
      </w:r>
      <w:r w:rsidR="00F546A7" w:rsidRPr="005553DF">
        <w:rPr>
          <w:rFonts w:asciiTheme="minorHAnsi" w:hAnsiTheme="minorHAnsi" w:cstheme="minorHAnsi"/>
          <w:bCs/>
          <w:iCs/>
          <w:color w:val="000000"/>
        </w:rPr>
        <w:t xml:space="preserve"> (</w:t>
      </w:r>
      <w:r w:rsidR="002A245E" w:rsidRPr="005553DF">
        <w:rPr>
          <w:rFonts w:asciiTheme="minorHAnsi" w:hAnsiTheme="minorHAnsi" w:cstheme="minorHAnsi"/>
          <w:bCs/>
          <w:iCs/>
          <w:color w:val="000000"/>
        </w:rPr>
        <w:t xml:space="preserve">ages </w:t>
      </w:r>
      <w:r w:rsidR="00F546A7" w:rsidRPr="005553DF">
        <w:rPr>
          <w:rFonts w:asciiTheme="minorHAnsi" w:hAnsiTheme="minorHAnsi" w:cstheme="minorHAnsi"/>
          <w:bCs/>
          <w:iCs/>
          <w:color w:val="000000"/>
        </w:rPr>
        <w:t>7 years and older)</w:t>
      </w:r>
      <w:r w:rsidR="002C0773"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to participate in this research study.</w:t>
      </w:r>
    </w:p>
    <w:p w14:paraId="765BAA50" w14:textId="77777777" w:rsidR="00F546A7" w:rsidRPr="005553DF" w:rsidRDefault="00F546A7"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 will administer adult and child questionnaires, and seek medical records verification of self-reported diseases</w:t>
      </w:r>
      <w:r w:rsidR="00CE02B2" w:rsidRPr="005553DF">
        <w:rPr>
          <w:rFonts w:asciiTheme="minorHAnsi" w:hAnsiTheme="minorHAnsi" w:cstheme="minorHAnsi"/>
          <w:bCs/>
          <w:iCs/>
          <w:color w:val="000000"/>
        </w:rPr>
        <w:t xml:space="preserve"> and medical histories</w:t>
      </w:r>
      <w:r w:rsidRPr="005553DF">
        <w:rPr>
          <w:rFonts w:asciiTheme="minorHAnsi" w:hAnsiTheme="minorHAnsi" w:cstheme="minorHAnsi"/>
          <w:bCs/>
          <w:iCs/>
          <w:color w:val="000000"/>
        </w:rPr>
        <w:t>.</w:t>
      </w:r>
    </w:p>
    <w:p w14:paraId="35A1A378" w14:textId="77777777" w:rsidR="00F05DCF" w:rsidRPr="005553DF" w:rsidRDefault="00F05DCF" w:rsidP="005553DF">
      <w:pPr>
        <w:pStyle w:val="ListParagraph"/>
        <w:numPr>
          <w:ilvl w:val="0"/>
          <w:numId w:val="44"/>
        </w:numPr>
        <w:spacing w:after="240" w:line="360" w:lineRule="auto"/>
        <w:jc w:val="both"/>
      </w:pPr>
      <w:r w:rsidRPr="005553DF">
        <w:rPr>
          <w:rFonts w:asciiTheme="minorHAnsi" w:hAnsiTheme="minorHAnsi" w:cstheme="minorHAnsi"/>
          <w:bCs/>
          <w:iCs/>
          <w:color w:val="000000"/>
        </w:rPr>
        <w:t xml:space="preserve">ATSDR will administer neurobehavioral test batteries to the children and </w:t>
      </w:r>
      <w:r w:rsidR="009F7E84" w:rsidRPr="005553DF">
        <w:rPr>
          <w:rFonts w:asciiTheme="minorHAnsi" w:hAnsiTheme="minorHAnsi" w:cstheme="minorHAnsi"/>
          <w:bCs/>
          <w:iCs/>
          <w:color w:val="000000"/>
        </w:rPr>
        <w:t>their</w:t>
      </w:r>
      <w:r w:rsidRPr="005553DF">
        <w:rPr>
          <w:rFonts w:asciiTheme="minorHAnsi" w:hAnsiTheme="minorHAnsi" w:cstheme="minorHAnsi"/>
          <w:bCs/>
          <w:iCs/>
          <w:color w:val="000000"/>
        </w:rPr>
        <w:t xml:space="preserve"> parent</w:t>
      </w:r>
      <w:r w:rsidR="00556EE0" w:rsidRPr="005553DF">
        <w:rPr>
          <w:rFonts w:asciiTheme="minorHAnsi" w:hAnsiTheme="minorHAnsi" w:cstheme="minorHAnsi"/>
          <w:bCs/>
          <w:iCs/>
          <w:color w:val="000000"/>
        </w:rPr>
        <w:t>s</w:t>
      </w:r>
      <w:r w:rsidRPr="005553DF">
        <w:rPr>
          <w:rFonts w:asciiTheme="minorHAnsi" w:hAnsiTheme="minorHAnsi" w:cstheme="minorHAnsi"/>
          <w:bCs/>
          <w:iCs/>
          <w:color w:val="000000"/>
        </w:rPr>
        <w:t xml:space="preserve"> and </w:t>
      </w:r>
      <w:r w:rsidRPr="005553DF">
        <w:t>seek to abstract children’s school records, in particular, special education records.</w:t>
      </w:r>
    </w:p>
    <w:p w14:paraId="1508F55C" w14:textId="77777777" w:rsidR="002C0773" w:rsidRPr="005553DF" w:rsidRDefault="002035BA"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w:t>
      </w:r>
      <w:r w:rsidR="007C6E27" w:rsidRPr="005553DF">
        <w:rPr>
          <w:rFonts w:asciiTheme="minorHAnsi" w:hAnsiTheme="minorHAnsi" w:cstheme="minorHAnsi"/>
          <w:bCs/>
          <w:iCs/>
          <w:color w:val="000000"/>
        </w:rPr>
        <w:t xml:space="preserve"> will obtain blood samples from each participant for analyses of PFAS and </w:t>
      </w:r>
      <w:r w:rsidR="008717D2" w:rsidRPr="005553DF">
        <w:rPr>
          <w:rFonts w:asciiTheme="minorHAnsi" w:hAnsiTheme="minorHAnsi" w:cstheme="minorHAnsi"/>
          <w:bCs/>
          <w:iCs/>
          <w:color w:val="000000"/>
        </w:rPr>
        <w:t xml:space="preserve">a </w:t>
      </w:r>
      <w:r w:rsidR="007C6E27" w:rsidRPr="005553DF">
        <w:rPr>
          <w:rFonts w:asciiTheme="minorHAnsi" w:hAnsiTheme="minorHAnsi" w:cstheme="minorHAnsi"/>
          <w:bCs/>
          <w:iCs/>
          <w:color w:val="000000"/>
        </w:rPr>
        <w:t>number of effect biomarkers.</w:t>
      </w:r>
      <w:r w:rsidRPr="005553DF">
        <w:rPr>
          <w:rFonts w:asciiTheme="minorHAnsi" w:hAnsiTheme="minorHAnsi" w:cstheme="minorHAnsi"/>
          <w:bCs/>
          <w:iCs/>
          <w:color w:val="000000"/>
        </w:rPr>
        <w:t xml:space="preserve"> </w:t>
      </w:r>
    </w:p>
    <w:p w14:paraId="13B977D5" w14:textId="77777777" w:rsidR="00851177" w:rsidRPr="005553DF" w:rsidRDefault="00851177"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As part of the current protocol, both children and adults will be asked to provide a urine sample for analyses for PFAS and/or relevant effect biomarkers.</w:t>
      </w:r>
      <w:r w:rsidRPr="005553DF">
        <w:rPr>
          <w:rFonts w:asciiTheme="minorHAnsi" w:hAnsiTheme="minorHAnsi" w:cstheme="minorHAnsi"/>
          <w:bCs/>
          <w:i/>
          <w:iCs/>
          <w:color w:val="000000"/>
        </w:rPr>
        <w:t xml:space="preserve"> </w:t>
      </w:r>
      <w:r w:rsidRPr="005553DF">
        <w:rPr>
          <w:rFonts w:asciiTheme="minorHAnsi" w:hAnsiTheme="minorHAnsi" w:cstheme="minorHAnsi"/>
          <w:bCs/>
          <w:iCs/>
          <w:color w:val="000000"/>
        </w:rPr>
        <w:t>ATSDR will wait to analyze urines until more knowledge is gained about urinary PFAS and effect biomarkers and until the laboratory methods are developed.</w:t>
      </w:r>
    </w:p>
    <w:p w14:paraId="4D36DCB4" w14:textId="77777777" w:rsidR="008717D2" w:rsidRPr="005553DF" w:rsidRDefault="002035BA"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seek consent to store residual blood </w:t>
      </w:r>
      <w:r w:rsidR="00851177" w:rsidRPr="005553DF">
        <w:rPr>
          <w:rFonts w:asciiTheme="minorHAnsi" w:hAnsiTheme="minorHAnsi" w:cstheme="minorHAnsi"/>
          <w:bCs/>
          <w:iCs/>
          <w:color w:val="000000"/>
        </w:rPr>
        <w:t xml:space="preserve">and urine </w:t>
      </w:r>
      <w:r w:rsidRPr="005553DF">
        <w:rPr>
          <w:rFonts w:asciiTheme="minorHAnsi" w:hAnsiTheme="minorHAnsi" w:cstheme="minorHAnsi"/>
          <w:bCs/>
          <w:iCs/>
          <w:color w:val="000000"/>
        </w:rPr>
        <w:t xml:space="preserve">samples for future analyses of other PFAS and/or relevant effect biomarkers yet to be identified. </w:t>
      </w:r>
    </w:p>
    <w:p w14:paraId="4CBDB351" w14:textId="77777777" w:rsidR="00244490" w:rsidRPr="005553DF" w:rsidRDefault="00FA4DF1" w:rsidP="005553DF">
      <w:pPr>
        <w:pStyle w:val="Heading2"/>
        <w:spacing w:before="0" w:after="240" w:line="360" w:lineRule="auto"/>
        <w:rPr>
          <w:rFonts w:asciiTheme="minorHAnsi" w:hAnsiTheme="minorHAnsi"/>
          <w:b w:val="0"/>
          <w:i w:val="0"/>
          <w:sz w:val="22"/>
          <w:szCs w:val="22"/>
        </w:rPr>
      </w:pPr>
      <w:bookmarkStart w:id="36" w:name="_Toc532224150"/>
      <w:r w:rsidRPr="005553DF">
        <w:rPr>
          <w:rFonts w:asciiTheme="minorHAnsi" w:hAnsiTheme="minorHAnsi"/>
          <w:i w:val="0"/>
          <w:sz w:val="22"/>
          <w:szCs w:val="22"/>
        </w:rPr>
        <w:t>3.</w:t>
      </w:r>
      <w:r w:rsidR="00484B5D" w:rsidRPr="005553DF">
        <w:rPr>
          <w:rFonts w:asciiTheme="minorHAnsi" w:hAnsiTheme="minorHAnsi"/>
          <w:i w:val="0"/>
          <w:sz w:val="22"/>
          <w:szCs w:val="22"/>
        </w:rPr>
        <w:t>2</w:t>
      </w:r>
      <w:r w:rsidRPr="005553DF">
        <w:rPr>
          <w:rFonts w:asciiTheme="minorHAnsi" w:hAnsiTheme="minorHAnsi"/>
          <w:i w:val="0"/>
          <w:sz w:val="22"/>
          <w:szCs w:val="22"/>
        </w:rPr>
        <w:t xml:space="preserve"> </w:t>
      </w:r>
      <w:r w:rsidR="001F3EC6" w:rsidRPr="005553DF">
        <w:rPr>
          <w:rFonts w:asciiTheme="minorHAnsi" w:hAnsiTheme="minorHAnsi"/>
          <w:i w:val="0"/>
          <w:sz w:val="22"/>
          <w:szCs w:val="22"/>
        </w:rPr>
        <w:t xml:space="preserve">Study </w:t>
      </w:r>
      <w:r w:rsidR="00977E5E" w:rsidRPr="005553DF">
        <w:rPr>
          <w:rFonts w:asciiTheme="minorHAnsi" w:hAnsiTheme="minorHAnsi" w:cstheme="minorHAnsi"/>
          <w:i w:val="0"/>
          <w:sz w:val="22"/>
          <w:szCs w:val="22"/>
        </w:rPr>
        <w:t>P</w:t>
      </w:r>
      <w:r w:rsidR="001F3EC6" w:rsidRPr="005553DF">
        <w:rPr>
          <w:rFonts w:asciiTheme="minorHAnsi" w:hAnsiTheme="minorHAnsi" w:cstheme="minorHAnsi"/>
          <w:i w:val="0"/>
          <w:sz w:val="22"/>
          <w:szCs w:val="22"/>
        </w:rPr>
        <w:t>opulations</w:t>
      </w:r>
      <w:r w:rsidR="001F3EC6" w:rsidRPr="005553DF">
        <w:rPr>
          <w:rFonts w:asciiTheme="minorHAnsi" w:hAnsiTheme="minorHAnsi"/>
          <w:i w:val="0"/>
          <w:sz w:val="22"/>
          <w:szCs w:val="22"/>
        </w:rPr>
        <w:t xml:space="preserve"> and </w:t>
      </w:r>
      <w:r w:rsidR="00977E5E" w:rsidRPr="005553DF">
        <w:rPr>
          <w:rFonts w:asciiTheme="minorHAnsi" w:hAnsiTheme="minorHAnsi" w:cstheme="minorHAnsi"/>
          <w:i w:val="0"/>
          <w:sz w:val="22"/>
          <w:szCs w:val="22"/>
        </w:rPr>
        <w:t>E</w:t>
      </w:r>
      <w:r w:rsidR="001F3EC6" w:rsidRPr="005553DF">
        <w:rPr>
          <w:rFonts w:asciiTheme="minorHAnsi" w:hAnsiTheme="minorHAnsi" w:cstheme="minorHAnsi"/>
          <w:i w:val="0"/>
          <w:sz w:val="22"/>
          <w:szCs w:val="22"/>
        </w:rPr>
        <w:t>ligibility</w:t>
      </w:r>
      <w:bookmarkEnd w:id="36"/>
    </w:p>
    <w:p w14:paraId="249500AC" w14:textId="77777777" w:rsidR="0086619E" w:rsidRPr="005553DF" w:rsidRDefault="00DF38B2"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target area</w:t>
      </w:r>
      <w:r w:rsidR="004D1BE3" w:rsidRPr="005553DF">
        <w:rPr>
          <w:rFonts w:asciiTheme="minorHAnsi" w:hAnsiTheme="minorHAnsi" w:cstheme="minorHAnsi"/>
          <w:bCs/>
          <w:iCs/>
          <w:color w:val="000000"/>
        </w:rPr>
        <w:t xml:space="preserve"> for the </w:t>
      </w:r>
      <w:r w:rsidR="00000E03" w:rsidRPr="005553DF">
        <w:rPr>
          <w:rFonts w:asciiTheme="minorHAnsi" w:hAnsiTheme="minorHAnsi" w:cstheme="minorHAnsi"/>
          <w:bCs/>
          <w:iCs/>
          <w:color w:val="000000"/>
        </w:rPr>
        <w:t xml:space="preserve">adult and child </w:t>
      </w:r>
      <w:r w:rsidR="004D1BE3" w:rsidRPr="005553DF">
        <w:rPr>
          <w:rFonts w:asciiTheme="minorHAnsi" w:hAnsiTheme="minorHAnsi" w:cstheme="minorHAnsi"/>
          <w:bCs/>
          <w:iCs/>
          <w:color w:val="000000"/>
        </w:rPr>
        <w:t xml:space="preserve">studies is the Pease Tradeport in Portsmouth, NH, served by </w:t>
      </w:r>
      <w:r w:rsidRPr="005553DF">
        <w:rPr>
          <w:rFonts w:asciiTheme="minorHAnsi" w:hAnsiTheme="minorHAnsi" w:cstheme="minorHAnsi"/>
          <w:bCs/>
          <w:iCs/>
          <w:color w:val="000000"/>
        </w:rPr>
        <w:t xml:space="preserve">PFAS-contaminated drinking water caused by the use of AFFF at </w:t>
      </w:r>
      <w:r w:rsidR="004D1BE3" w:rsidRPr="005553DF">
        <w:rPr>
          <w:rFonts w:asciiTheme="minorHAnsi" w:hAnsiTheme="minorHAnsi" w:cstheme="minorHAnsi"/>
          <w:bCs/>
          <w:iCs/>
          <w:color w:val="000000"/>
        </w:rPr>
        <w:t>the former Pease Air Force Base</w:t>
      </w:r>
      <w:r w:rsidR="008E50EA" w:rsidRPr="005553DF">
        <w:rPr>
          <w:rFonts w:asciiTheme="minorHAnsi" w:hAnsiTheme="minorHAnsi" w:cstheme="minorHAnsi"/>
          <w:bCs/>
          <w:iCs/>
          <w:color w:val="000000"/>
        </w:rPr>
        <w:t xml:space="preserve"> (ATSDR 2017a, NH DHHS 2016)</w:t>
      </w:r>
      <w:r w:rsidRPr="005553DF">
        <w:rPr>
          <w:rFonts w:asciiTheme="minorHAnsi" w:hAnsiTheme="minorHAnsi" w:cstheme="minorHAnsi"/>
          <w:bCs/>
          <w:iCs/>
          <w:color w:val="000000"/>
        </w:rPr>
        <w:t xml:space="preserve">.  </w:t>
      </w:r>
      <w:r w:rsidR="001B07C9" w:rsidRPr="005553DF">
        <w:rPr>
          <w:rFonts w:asciiTheme="minorHAnsi" w:hAnsiTheme="minorHAnsi" w:cstheme="minorHAnsi"/>
          <w:bCs/>
          <w:iCs/>
          <w:color w:val="000000"/>
        </w:rPr>
        <w:t>The target population consists of those exposed to PFAS contaminated drinking water at Pease. Those eligible</w:t>
      </w:r>
      <w:r w:rsidR="00000E03" w:rsidRPr="005553DF">
        <w:rPr>
          <w:rFonts w:asciiTheme="minorHAnsi" w:hAnsiTheme="minorHAnsi" w:cstheme="minorHAnsi"/>
          <w:bCs/>
          <w:iCs/>
          <w:color w:val="000000"/>
        </w:rPr>
        <w:t xml:space="preserve"> include </w:t>
      </w:r>
      <w:r w:rsidR="0086619E" w:rsidRPr="005553DF">
        <w:rPr>
          <w:rFonts w:asciiTheme="minorHAnsi" w:hAnsiTheme="minorHAnsi" w:cstheme="minorHAnsi"/>
          <w:bCs/>
          <w:iCs/>
          <w:color w:val="000000"/>
        </w:rPr>
        <w:t xml:space="preserve">those </w:t>
      </w:r>
      <w:r w:rsidR="0086619E" w:rsidRPr="005553DF">
        <w:rPr>
          <w:rFonts w:asciiTheme="minorHAnsi" w:hAnsiTheme="minorHAnsi" w:cstheme="minorHAnsi"/>
        </w:rPr>
        <w:t>who work</w:t>
      </w:r>
      <w:r w:rsidR="00286743" w:rsidRPr="005553DF">
        <w:rPr>
          <w:rFonts w:asciiTheme="minorHAnsi" w:hAnsiTheme="minorHAnsi" w:cstheme="minorHAnsi"/>
        </w:rPr>
        <w:t>ed, resided,</w:t>
      </w:r>
      <w:r w:rsidR="0086619E" w:rsidRPr="005553DF">
        <w:rPr>
          <w:rFonts w:asciiTheme="minorHAnsi" w:hAnsiTheme="minorHAnsi" w:cstheme="minorHAnsi"/>
        </w:rPr>
        <w:t xml:space="preserve"> or attend</w:t>
      </w:r>
      <w:r w:rsidR="00286743" w:rsidRPr="005553DF">
        <w:rPr>
          <w:rFonts w:asciiTheme="minorHAnsi" w:hAnsiTheme="minorHAnsi" w:cstheme="minorHAnsi"/>
        </w:rPr>
        <w:t>ed</w:t>
      </w:r>
      <w:r w:rsidR="0086619E" w:rsidRPr="005553DF">
        <w:rPr>
          <w:rFonts w:asciiTheme="minorHAnsi" w:hAnsiTheme="minorHAnsi" w:cstheme="minorHAnsi"/>
        </w:rPr>
        <w:t xml:space="preserve"> childcare at the Pease Tradeport or Pease Air Force Base</w:t>
      </w:r>
      <w:r w:rsidR="00446788" w:rsidRPr="005553DF">
        <w:rPr>
          <w:rFonts w:asciiTheme="minorHAnsi" w:hAnsiTheme="minorHAnsi" w:cstheme="minorHAnsi"/>
        </w:rPr>
        <w:t xml:space="preserve"> prior to the closing of the Haven supply well in May 2014</w:t>
      </w:r>
      <w:r w:rsidR="0086619E" w:rsidRPr="005553DF">
        <w:rPr>
          <w:rFonts w:asciiTheme="minorHAnsi" w:hAnsiTheme="minorHAnsi" w:cstheme="minorHAnsi"/>
        </w:rPr>
        <w:t xml:space="preserve">, </w:t>
      </w:r>
      <w:r w:rsidR="00286743" w:rsidRPr="005553DF">
        <w:rPr>
          <w:rFonts w:asciiTheme="minorHAnsi" w:hAnsiTheme="minorHAnsi" w:cstheme="minorHAnsi"/>
        </w:rPr>
        <w:t xml:space="preserve">were exposed in utero or during breastfeeding, </w:t>
      </w:r>
      <w:r w:rsidR="0086619E" w:rsidRPr="005553DF">
        <w:rPr>
          <w:rFonts w:asciiTheme="minorHAnsi" w:hAnsiTheme="minorHAnsi" w:cstheme="minorHAnsi"/>
        </w:rPr>
        <w:t>or live</w:t>
      </w:r>
      <w:r w:rsidR="00286743" w:rsidRPr="005553DF">
        <w:rPr>
          <w:rFonts w:asciiTheme="minorHAnsi" w:hAnsiTheme="minorHAnsi" w:cstheme="minorHAnsi"/>
        </w:rPr>
        <w:t>d</w:t>
      </w:r>
      <w:r w:rsidR="0086619E" w:rsidRPr="005553DF">
        <w:rPr>
          <w:rFonts w:asciiTheme="minorHAnsi" w:hAnsiTheme="minorHAnsi" w:cstheme="minorHAnsi"/>
        </w:rPr>
        <w:t xml:space="preserve"> in a home near Pease that was served by a PFAS-contaminated private well</w:t>
      </w:r>
      <w:r w:rsidR="00446788" w:rsidRPr="005553DF">
        <w:rPr>
          <w:rFonts w:asciiTheme="minorHAnsi" w:hAnsiTheme="minorHAnsi" w:cstheme="minorHAnsi"/>
        </w:rPr>
        <w:t>.</w:t>
      </w:r>
      <w:r w:rsidR="00C52549" w:rsidRPr="005553DF">
        <w:rPr>
          <w:rFonts w:asciiTheme="minorHAnsi" w:hAnsiTheme="minorHAnsi" w:cstheme="minorHAnsi"/>
        </w:rPr>
        <w:t xml:space="preserve"> Therefore, ATSDR is recruiting adults and children who had PFAS-contaminated drinking water exposure from 2004 to May 2014.</w:t>
      </w:r>
    </w:p>
    <w:p w14:paraId="03477C96" w14:textId="77777777" w:rsidR="002D58C8" w:rsidRPr="005553DF" w:rsidRDefault="008949FB" w:rsidP="005553DF">
      <w:pPr>
        <w:spacing w:after="240" w:line="360" w:lineRule="auto"/>
        <w:jc w:val="both"/>
        <w:rPr>
          <w:rFonts w:asciiTheme="minorHAnsi" w:hAnsiTheme="minorHAnsi" w:cstheme="minorHAnsi"/>
        </w:rPr>
      </w:pPr>
      <w:r w:rsidRPr="005553DF">
        <w:rPr>
          <w:rFonts w:asciiTheme="minorHAnsi" w:hAnsiTheme="minorHAnsi" w:cstheme="minorHAnsi"/>
        </w:rPr>
        <w:t>Persons</w:t>
      </w:r>
      <w:r w:rsidR="00057A8E" w:rsidRPr="005553DF">
        <w:rPr>
          <w:rFonts w:asciiTheme="minorHAnsi" w:hAnsiTheme="minorHAnsi" w:cstheme="minorHAnsi"/>
        </w:rPr>
        <w:t xml:space="preserve"> eligible </w:t>
      </w:r>
      <w:r w:rsidRPr="005553DF">
        <w:rPr>
          <w:rFonts w:asciiTheme="minorHAnsi" w:hAnsiTheme="minorHAnsi" w:cstheme="minorHAnsi"/>
        </w:rPr>
        <w:t xml:space="preserve">to take part in this research study </w:t>
      </w:r>
      <w:r w:rsidR="00F96440" w:rsidRPr="005553DF">
        <w:rPr>
          <w:rFonts w:asciiTheme="minorHAnsi" w:hAnsiTheme="minorHAnsi" w:cstheme="minorHAnsi"/>
        </w:rPr>
        <w:t>will focus on</w:t>
      </w:r>
      <w:r w:rsidR="00057A8E" w:rsidRPr="005553DF">
        <w:rPr>
          <w:rFonts w:asciiTheme="minorHAnsi" w:hAnsiTheme="minorHAnsi" w:cstheme="minorHAnsi"/>
        </w:rPr>
        <w:t xml:space="preserve"> the 2015-2017 Pease biomonitoring program </w:t>
      </w:r>
      <w:r w:rsidRPr="005553DF">
        <w:rPr>
          <w:rFonts w:asciiTheme="minorHAnsi" w:hAnsiTheme="minorHAnsi" w:cstheme="minorHAnsi"/>
        </w:rPr>
        <w:t xml:space="preserve">participants </w:t>
      </w:r>
      <w:r w:rsidR="00057A8E" w:rsidRPr="005553DF">
        <w:rPr>
          <w:rFonts w:asciiTheme="minorHAnsi" w:hAnsiTheme="minorHAnsi" w:cstheme="minorHAnsi"/>
        </w:rPr>
        <w:t xml:space="preserve">(NH DHHS, 2016). </w:t>
      </w:r>
      <w:r w:rsidR="00494CAE" w:rsidRPr="005553DF">
        <w:rPr>
          <w:rFonts w:asciiTheme="minorHAnsi" w:hAnsiTheme="minorHAnsi" w:cstheme="minorHAnsi"/>
        </w:rPr>
        <w:t xml:space="preserve">Ever firefighters were included in the </w:t>
      </w:r>
      <w:r w:rsidR="004517FA" w:rsidRPr="005553DF">
        <w:rPr>
          <w:rFonts w:asciiTheme="minorHAnsi" w:hAnsiTheme="minorHAnsi" w:cstheme="minorHAnsi"/>
        </w:rPr>
        <w:t xml:space="preserve">Pease biomonitoring program, </w:t>
      </w:r>
      <w:r w:rsidR="002F0FA6" w:rsidRPr="005553DF">
        <w:rPr>
          <w:rFonts w:asciiTheme="minorHAnsi" w:hAnsiTheme="minorHAnsi" w:cstheme="minorHAnsi"/>
        </w:rPr>
        <w:t>but firefighters and others with occupational PFAS exposure</w:t>
      </w:r>
      <w:r w:rsidR="00C52549" w:rsidRPr="005553DF">
        <w:rPr>
          <w:rFonts w:asciiTheme="minorHAnsi" w:hAnsiTheme="minorHAnsi" w:cstheme="minorHAnsi"/>
        </w:rPr>
        <w:t xml:space="preserve"> from sources other than the drinking water</w:t>
      </w:r>
      <w:r w:rsidR="004517FA" w:rsidRPr="005553DF">
        <w:rPr>
          <w:rFonts w:asciiTheme="minorHAnsi" w:hAnsiTheme="minorHAnsi" w:cstheme="minorHAnsi"/>
        </w:rPr>
        <w:t xml:space="preserve"> will not</w:t>
      </w:r>
      <w:r w:rsidR="00494CAE" w:rsidRPr="005553DF">
        <w:rPr>
          <w:rFonts w:asciiTheme="minorHAnsi" w:hAnsiTheme="minorHAnsi" w:cstheme="minorHAnsi"/>
        </w:rPr>
        <w:t xml:space="preserve"> be included in the Pease Study</w:t>
      </w:r>
      <w:r w:rsidR="002F0FA6" w:rsidRPr="005553DF">
        <w:rPr>
          <w:rFonts w:asciiTheme="minorHAnsi" w:hAnsiTheme="minorHAnsi" w:cstheme="minorHAnsi"/>
        </w:rPr>
        <w:t xml:space="preserve">. In addition, children whose birth mothers had occupational exposures to PFAS </w:t>
      </w:r>
      <w:r w:rsidR="00C52549" w:rsidRPr="005553DF">
        <w:rPr>
          <w:rFonts w:asciiTheme="minorHAnsi" w:hAnsiTheme="minorHAnsi" w:cstheme="minorHAnsi"/>
        </w:rPr>
        <w:t xml:space="preserve">from sources other than drinking water </w:t>
      </w:r>
      <w:r w:rsidR="002F0FA6" w:rsidRPr="005553DF">
        <w:rPr>
          <w:rFonts w:asciiTheme="minorHAnsi" w:hAnsiTheme="minorHAnsi" w:cstheme="minorHAnsi"/>
        </w:rPr>
        <w:t>will be excluded</w:t>
      </w:r>
      <w:r w:rsidR="00494CAE" w:rsidRPr="005553DF">
        <w:rPr>
          <w:rFonts w:asciiTheme="minorHAnsi" w:hAnsiTheme="minorHAnsi" w:cstheme="minorHAnsi"/>
        </w:rPr>
        <w:t xml:space="preserve">. </w:t>
      </w:r>
      <w:r w:rsidR="00057A8E" w:rsidRPr="005553DF">
        <w:rPr>
          <w:rFonts w:asciiTheme="minorHAnsi" w:hAnsiTheme="minorHAnsi" w:cstheme="minorHAnsi"/>
        </w:rPr>
        <w:t>The goal is to enroll at least 350 children (ages 4-17) and 1,00</w:t>
      </w:r>
      <w:r w:rsidR="00F97567" w:rsidRPr="005553DF">
        <w:rPr>
          <w:rFonts w:asciiTheme="minorHAnsi" w:hAnsiTheme="minorHAnsi" w:cstheme="minorHAnsi"/>
        </w:rPr>
        <w:t>0 adults aged ≥18 years</w:t>
      </w:r>
      <w:r w:rsidR="002F0FA6" w:rsidRPr="005553DF">
        <w:rPr>
          <w:rFonts w:asciiTheme="minorHAnsi" w:hAnsiTheme="minorHAnsi" w:cstheme="minorHAnsi"/>
        </w:rPr>
        <w:t xml:space="preserve"> with community exposure to PFAS</w:t>
      </w:r>
      <w:r w:rsidR="00F97567" w:rsidRPr="005553DF">
        <w:rPr>
          <w:rFonts w:asciiTheme="minorHAnsi" w:hAnsiTheme="minorHAnsi" w:cstheme="minorHAnsi"/>
        </w:rPr>
        <w:t xml:space="preserve">. </w:t>
      </w:r>
      <w:r w:rsidRPr="005553DF">
        <w:rPr>
          <w:rFonts w:asciiTheme="minorHAnsi" w:hAnsiTheme="minorHAnsi" w:cstheme="minorHAnsi"/>
        </w:rPr>
        <w:t>In the event that recruitment does not reach the desired sample</w:t>
      </w:r>
      <w:r w:rsidR="004042F8" w:rsidRPr="005553DF">
        <w:rPr>
          <w:rFonts w:asciiTheme="minorHAnsi" w:hAnsiTheme="minorHAnsi" w:cstheme="minorHAnsi"/>
        </w:rPr>
        <w:t xml:space="preserve"> sizes, ATSDR will recruit </w:t>
      </w:r>
      <w:r w:rsidR="002F0FA6" w:rsidRPr="005553DF">
        <w:rPr>
          <w:rFonts w:asciiTheme="minorHAnsi" w:hAnsiTheme="minorHAnsi" w:cstheme="minorHAnsi"/>
        </w:rPr>
        <w:t xml:space="preserve">additional </w:t>
      </w:r>
      <w:r w:rsidRPr="005553DF">
        <w:rPr>
          <w:rFonts w:asciiTheme="minorHAnsi" w:hAnsiTheme="minorHAnsi" w:cstheme="minorHAnsi"/>
        </w:rPr>
        <w:t xml:space="preserve">persons who were eligible for </w:t>
      </w:r>
      <w:r w:rsidR="001A53F7" w:rsidRPr="005553DF">
        <w:rPr>
          <w:rFonts w:asciiTheme="minorHAnsi" w:hAnsiTheme="minorHAnsi" w:cstheme="minorHAnsi"/>
        </w:rPr>
        <w:t>but did not participate in the</w:t>
      </w:r>
      <w:r w:rsidRPr="005553DF">
        <w:rPr>
          <w:rFonts w:asciiTheme="minorHAnsi" w:hAnsiTheme="minorHAnsi" w:cstheme="minorHAnsi"/>
        </w:rPr>
        <w:t xml:space="preserve"> Pease biomonitoring</w:t>
      </w:r>
      <w:r w:rsidR="002F0FA6" w:rsidRPr="005553DF">
        <w:rPr>
          <w:rFonts w:asciiTheme="minorHAnsi" w:hAnsiTheme="minorHAnsi" w:cstheme="minorHAnsi"/>
        </w:rPr>
        <w:t xml:space="preserve"> program</w:t>
      </w:r>
      <w:r w:rsidRPr="005553DF">
        <w:rPr>
          <w:rFonts w:asciiTheme="minorHAnsi" w:hAnsiTheme="minorHAnsi" w:cstheme="minorHAnsi"/>
        </w:rPr>
        <w:t>.</w:t>
      </w:r>
      <w:r w:rsidR="002F0FA6" w:rsidRPr="005553DF">
        <w:rPr>
          <w:rFonts w:asciiTheme="minorHAnsi" w:hAnsiTheme="minorHAnsi" w:cstheme="minorHAnsi"/>
        </w:rPr>
        <w:t xml:space="preserve"> Again, the exclusion for </w:t>
      </w:r>
      <w:r w:rsidR="00C52549" w:rsidRPr="005553DF">
        <w:rPr>
          <w:rFonts w:asciiTheme="minorHAnsi" w:hAnsiTheme="minorHAnsi" w:cstheme="minorHAnsi"/>
        </w:rPr>
        <w:t xml:space="preserve">non-drinking water </w:t>
      </w:r>
      <w:r w:rsidR="002F0FA6" w:rsidRPr="005553DF">
        <w:rPr>
          <w:rFonts w:asciiTheme="minorHAnsi" w:hAnsiTheme="minorHAnsi" w:cstheme="minorHAnsi"/>
        </w:rPr>
        <w:t xml:space="preserve">occupational exposures </w:t>
      </w:r>
      <w:r w:rsidR="006E1B0E" w:rsidRPr="005553DF">
        <w:rPr>
          <w:rFonts w:asciiTheme="minorHAnsi" w:hAnsiTheme="minorHAnsi" w:cstheme="minorHAnsi"/>
        </w:rPr>
        <w:t>will apply.</w:t>
      </w:r>
    </w:p>
    <w:p w14:paraId="68833F83" w14:textId="77777777" w:rsidR="00057A8E" w:rsidRPr="005553DF" w:rsidRDefault="008949FB"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w:t>
      </w:r>
      <w:r w:rsidR="00244490" w:rsidRPr="005553DF">
        <w:rPr>
          <w:rFonts w:asciiTheme="minorHAnsi" w:hAnsiTheme="minorHAnsi" w:cstheme="minorHAnsi"/>
          <w:bCs/>
          <w:iCs/>
          <w:color w:val="000000"/>
        </w:rPr>
        <w:t xml:space="preserve"> will recruit a</w:t>
      </w:r>
      <w:r w:rsidR="004637E4" w:rsidRPr="005553DF">
        <w:rPr>
          <w:rFonts w:asciiTheme="minorHAnsi" w:hAnsiTheme="minorHAnsi" w:cstheme="minorHAnsi"/>
          <w:bCs/>
          <w:iCs/>
          <w:color w:val="000000"/>
        </w:rPr>
        <w:t>pproximately 175</w:t>
      </w:r>
      <w:r w:rsidR="001B07C9" w:rsidRPr="005553DF">
        <w:rPr>
          <w:rFonts w:asciiTheme="minorHAnsi" w:hAnsiTheme="minorHAnsi" w:cstheme="minorHAnsi"/>
          <w:bCs/>
          <w:iCs/>
          <w:color w:val="000000"/>
        </w:rPr>
        <w:t xml:space="preserve"> referent children </w:t>
      </w:r>
      <w:r w:rsidR="00C553C8" w:rsidRPr="005553DF">
        <w:rPr>
          <w:rFonts w:asciiTheme="minorHAnsi" w:hAnsiTheme="minorHAnsi" w:cstheme="minorHAnsi"/>
          <w:bCs/>
          <w:iCs/>
          <w:color w:val="000000"/>
        </w:rPr>
        <w:t xml:space="preserve">(ages 4 – 17 years) </w:t>
      </w:r>
      <w:r w:rsidR="001B07C9" w:rsidRPr="005553DF">
        <w:rPr>
          <w:rFonts w:asciiTheme="minorHAnsi" w:hAnsiTheme="minorHAnsi" w:cstheme="minorHAnsi"/>
          <w:bCs/>
          <w:iCs/>
          <w:color w:val="000000"/>
        </w:rPr>
        <w:t xml:space="preserve">and </w:t>
      </w:r>
      <w:r w:rsidR="004637E4" w:rsidRPr="005553DF">
        <w:rPr>
          <w:rFonts w:asciiTheme="minorHAnsi" w:hAnsiTheme="minorHAnsi" w:cstheme="minorHAnsi"/>
          <w:bCs/>
          <w:iCs/>
          <w:color w:val="000000"/>
        </w:rPr>
        <w:t xml:space="preserve">100 </w:t>
      </w:r>
      <w:r w:rsidR="001B07C9" w:rsidRPr="005553DF">
        <w:rPr>
          <w:rFonts w:asciiTheme="minorHAnsi" w:hAnsiTheme="minorHAnsi" w:cstheme="minorHAnsi"/>
          <w:bCs/>
          <w:iCs/>
          <w:color w:val="000000"/>
        </w:rPr>
        <w:t xml:space="preserve">adults </w:t>
      </w:r>
      <w:r w:rsidR="00C553C8" w:rsidRPr="005553DF">
        <w:rPr>
          <w:rFonts w:asciiTheme="minorHAnsi" w:hAnsiTheme="minorHAnsi" w:cstheme="minorHAnsi"/>
          <w:bCs/>
          <w:iCs/>
          <w:color w:val="000000"/>
        </w:rPr>
        <w:t xml:space="preserve">(aged ≥18 years) </w:t>
      </w:r>
      <w:r w:rsidR="00C250D3" w:rsidRPr="005553DF">
        <w:rPr>
          <w:rFonts w:asciiTheme="minorHAnsi" w:hAnsiTheme="minorHAnsi" w:cstheme="minorHAnsi"/>
          <w:bCs/>
          <w:iCs/>
          <w:color w:val="000000"/>
        </w:rPr>
        <w:t>from the Portsmouth area</w:t>
      </w:r>
      <w:r w:rsidR="00625186" w:rsidRPr="005553DF">
        <w:rPr>
          <w:rFonts w:asciiTheme="minorHAnsi" w:hAnsiTheme="minorHAnsi" w:cstheme="minorHAnsi"/>
          <w:bCs/>
          <w:iCs/>
          <w:color w:val="000000"/>
        </w:rPr>
        <w:t xml:space="preserve"> who were </w:t>
      </w:r>
      <w:r w:rsidRPr="005553DF">
        <w:rPr>
          <w:rFonts w:asciiTheme="minorHAnsi" w:hAnsiTheme="minorHAnsi" w:cstheme="minorHAnsi"/>
          <w:bCs/>
          <w:iCs/>
          <w:color w:val="000000"/>
        </w:rPr>
        <w:t xml:space="preserve">not </w:t>
      </w:r>
      <w:r w:rsidR="001B07C9" w:rsidRPr="005553DF">
        <w:rPr>
          <w:rFonts w:asciiTheme="minorHAnsi" w:hAnsiTheme="minorHAnsi" w:cstheme="minorHAnsi"/>
          <w:bCs/>
          <w:iCs/>
          <w:color w:val="000000"/>
        </w:rPr>
        <w:t>exposed to PFAS contaminated drinking water</w:t>
      </w:r>
      <w:r w:rsidR="00C52549" w:rsidRPr="005553DF">
        <w:rPr>
          <w:rFonts w:asciiTheme="minorHAnsi" w:hAnsiTheme="minorHAnsi" w:cstheme="minorHAnsi"/>
          <w:bCs/>
          <w:iCs/>
          <w:color w:val="000000"/>
        </w:rPr>
        <w:t xml:space="preserve"> at Pease</w:t>
      </w:r>
      <w:r w:rsidR="004042F8" w:rsidRPr="005553DF">
        <w:rPr>
          <w:rFonts w:asciiTheme="minorHAnsi" w:hAnsiTheme="minorHAnsi" w:cstheme="minorHAnsi"/>
          <w:bCs/>
          <w:iCs/>
          <w:color w:val="000000"/>
        </w:rPr>
        <w:t>, and do not have a history of occupational exposure to PFAS.</w:t>
      </w:r>
      <w:r w:rsidR="00381D4B" w:rsidRPr="005553DF">
        <w:rPr>
          <w:rFonts w:asciiTheme="minorHAnsi" w:hAnsiTheme="minorHAnsi" w:cstheme="minorHAnsi"/>
          <w:bCs/>
          <w:iCs/>
          <w:color w:val="000000"/>
        </w:rPr>
        <w:t xml:space="preserve"> </w:t>
      </w:r>
      <w:r w:rsidR="00C52549" w:rsidRPr="005553DF">
        <w:rPr>
          <w:rFonts w:asciiTheme="minorHAnsi" w:hAnsiTheme="minorHAnsi" w:cstheme="minorHAnsi"/>
          <w:bCs/>
          <w:iCs/>
          <w:color w:val="000000"/>
        </w:rPr>
        <w:t xml:space="preserve">For referent children, their birth mothers also must not have exposure to drinking water at Pease. </w:t>
      </w:r>
      <w:r w:rsidR="00582915" w:rsidRPr="005553DF">
        <w:rPr>
          <w:rFonts w:asciiTheme="minorHAnsi" w:hAnsiTheme="minorHAnsi" w:cstheme="minorHAnsi"/>
          <w:bCs/>
          <w:iCs/>
        </w:rPr>
        <w:t xml:space="preserve">From </w:t>
      </w:r>
      <w:r w:rsidR="00D51591" w:rsidRPr="005553DF">
        <w:rPr>
          <w:rFonts w:asciiTheme="minorHAnsi" w:hAnsiTheme="minorHAnsi" w:cstheme="minorHAnsi"/>
          <w:bCs/>
          <w:iCs/>
        </w:rPr>
        <w:t xml:space="preserve">an </w:t>
      </w:r>
      <w:r w:rsidR="00582915" w:rsidRPr="005553DF">
        <w:rPr>
          <w:rFonts w:asciiTheme="minorHAnsi" w:hAnsiTheme="minorHAnsi" w:cstheme="minorHAnsi"/>
          <w:bCs/>
          <w:iCs/>
        </w:rPr>
        <w:t>exposure point of view</w:t>
      </w:r>
      <w:r w:rsidR="00D51591" w:rsidRPr="005553DF">
        <w:rPr>
          <w:rFonts w:asciiTheme="minorHAnsi" w:hAnsiTheme="minorHAnsi" w:cstheme="minorHAnsi"/>
          <w:bCs/>
          <w:iCs/>
        </w:rPr>
        <w:t>,</w:t>
      </w:r>
      <w:r w:rsidR="00582915" w:rsidRPr="005553DF">
        <w:rPr>
          <w:rFonts w:asciiTheme="minorHAnsi" w:hAnsiTheme="minorHAnsi" w:cstheme="minorHAnsi"/>
          <w:bCs/>
          <w:iCs/>
        </w:rPr>
        <w:t xml:space="preserve"> a</w:t>
      </w:r>
      <w:r w:rsidR="00543AC9" w:rsidRPr="005553DF">
        <w:rPr>
          <w:rFonts w:asciiTheme="minorHAnsi" w:hAnsiTheme="minorHAnsi" w:cstheme="minorHAnsi"/>
          <w:bCs/>
          <w:iCs/>
        </w:rPr>
        <w:t xml:space="preserve"> small</w:t>
      </w:r>
      <w:r w:rsidR="00582915" w:rsidRPr="005553DF">
        <w:rPr>
          <w:rFonts w:asciiTheme="minorHAnsi" w:hAnsiTheme="minorHAnsi" w:cstheme="minorHAnsi"/>
          <w:bCs/>
          <w:iCs/>
        </w:rPr>
        <w:t>er</w:t>
      </w:r>
      <w:r w:rsidR="00543AC9" w:rsidRPr="005553DF">
        <w:rPr>
          <w:rFonts w:asciiTheme="minorHAnsi" w:hAnsiTheme="minorHAnsi" w:cstheme="minorHAnsi"/>
          <w:bCs/>
          <w:iCs/>
        </w:rPr>
        <w:t xml:space="preserve"> number of referents need to be enrolled </w:t>
      </w:r>
      <w:r w:rsidR="00D51591" w:rsidRPr="005553DF">
        <w:rPr>
          <w:rFonts w:asciiTheme="minorHAnsi" w:hAnsiTheme="minorHAnsi" w:cstheme="minorHAnsi"/>
          <w:bCs/>
          <w:iCs/>
        </w:rPr>
        <w:t xml:space="preserve">because </w:t>
      </w:r>
      <w:r w:rsidR="00543AC9" w:rsidRPr="005553DF">
        <w:rPr>
          <w:rFonts w:asciiTheme="minorHAnsi" w:hAnsiTheme="minorHAnsi" w:cstheme="minorHAnsi"/>
          <w:bCs/>
          <w:iCs/>
        </w:rPr>
        <w:t>a sizeable proportion</w:t>
      </w:r>
      <w:r w:rsidR="00C12EB8" w:rsidRPr="005553DF">
        <w:rPr>
          <w:rFonts w:asciiTheme="minorHAnsi" w:hAnsiTheme="minorHAnsi" w:cstheme="minorHAnsi"/>
          <w:bCs/>
          <w:iCs/>
        </w:rPr>
        <w:t xml:space="preserve"> (e.g. lower tertile)</w:t>
      </w:r>
      <w:r w:rsidR="00543AC9" w:rsidRPr="005553DF">
        <w:rPr>
          <w:rFonts w:asciiTheme="minorHAnsi" w:hAnsiTheme="minorHAnsi" w:cstheme="minorHAnsi"/>
          <w:bCs/>
          <w:iCs/>
        </w:rPr>
        <w:t xml:space="preserve"> of </w:t>
      </w:r>
      <w:r w:rsidR="00582915" w:rsidRPr="005553DF">
        <w:rPr>
          <w:rFonts w:asciiTheme="minorHAnsi" w:hAnsiTheme="minorHAnsi" w:cstheme="minorHAnsi"/>
          <w:bCs/>
          <w:iCs/>
        </w:rPr>
        <w:t>‘exposed’ Pease participants are expected to be in range of the</w:t>
      </w:r>
      <w:r w:rsidR="00543AC9" w:rsidRPr="005553DF">
        <w:rPr>
          <w:rFonts w:asciiTheme="minorHAnsi" w:hAnsiTheme="minorHAnsi" w:cstheme="minorHAnsi"/>
          <w:bCs/>
          <w:iCs/>
        </w:rPr>
        <w:t xml:space="preserve"> general population concentrations </w:t>
      </w:r>
      <w:r w:rsidR="00582915" w:rsidRPr="005553DF">
        <w:rPr>
          <w:rFonts w:asciiTheme="minorHAnsi" w:hAnsiTheme="minorHAnsi" w:cstheme="minorHAnsi"/>
          <w:bCs/>
          <w:iCs/>
        </w:rPr>
        <w:t xml:space="preserve">for </w:t>
      </w:r>
      <w:r w:rsidR="00D51591" w:rsidRPr="005553DF">
        <w:rPr>
          <w:rFonts w:asciiTheme="minorHAnsi" w:hAnsiTheme="minorHAnsi" w:cstheme="minorHAnsi"/>
          <w:bCs/>
          <w:iCs/>
        </w:rPr>
        <w:t xml:space="preserve">a </w:t>
      </w:r>
      <w:r w:rsidR="00582915" w:rsidRPr="005553DF">
        <w:rPr>
          <w:rFonts w:asciiTheme="minorHAnsi" w:hAnsiTheme="minorHAnsi" w:cstheme="minorHAnsi"/>
          <w:bCs/>
          <w:iCs/>
        </w:rPr>
        <w:t>number of PFAS compounds</w:t>
      </w:r>
      <w:r w:rsidR="00AF3591" w:rsidRPr="005553DF">
        <w:rPr>
          <w:rFonts w:asciiTheme="minorHAnsi" w:hAnsiTheme="minorHAnsi" w:cstheme="minorHAnsi"/>
          <w:bCs/>
          <w:iCs/>
        </w:rPr>
        <w:t xml:space="preserve"> </w:t>
      </w:r>
      <w:r w:rsidR="00C762D5" w:rsidRPr="005553DF">
        <w:rPr>
          <w:rFonts w:asciiTheme="minorHAnsi" w:hAnsiTheme="minorHAnsi"/>
        </w:rPr>
        <w:t>(</w:t>
      </w:r>
      <w:r w:rsidR="00C762D5" w:rsidRPr="005553DF">
        <w:rPr>
          <w:rFonts w:asciiTheme="minorHAnsi" w:hAnsiTheme="minorHAnsi"/>
          <w:b/>
        </w:rPr>
        <w:t>Attachment 2</w:t>
      </w:r>
      <w:r w:rsidR="00A30AAF" w:rsidRPr="005553DF">
        <w:rPr>
          <w:rFonts w:asciiTheme="minorHAnsi" w:hAnsiTheme="minorHAnsi"/>
        </w:rPr>
        <w:t>)</w:t>
      </w:r>
      <w:r w:rsidR="00582915" w:rsidRPr="005553DF">
        <w:rPr>
          <w:rFonts w:asciiTheme="minorHAnsi" w:hAnsiTheme="minorHAnsi" w:cstheme="minorHAnsi"/>
          <w:b/>
          <w:bCs/>
          <w:iCs/>
        </w:rPr>
        <w:t>.</w:t>
      </w:r>
      <w:r w:rsidR="00057A8E" w:rsidRPr="005553DF">
        <w:rPr>
          <w:rFonts w:asciiTheme="minorHAnsi" w:hAnsiTheme="minorHAnsi" w:cstheme="minorHAnsi"/>
        </w:rPr>
        <w:t xml:space="preserve"> </w:t>
      </w:r>
    </w:p>
    <w:p w14:paraId="0E286734" w14:textId="77777777" w:rsidR="004D1BE3" w:rsidRPr="005553DF" w:rsidRDefault="00FA4DF1" w:rsidP="005553DF">
      <w:pPr>
        <w:pStyle w:val="Heading3"/>
        <w:spacing w:before="0" w:after="240" w:line="360" w:lineRule="auto"/>
        <w:rPr>
          <w:rFonts w:asciiTheme="minorHAnsi" w:hAnsiTheme="minorHAnsi"/>
          <w:b w:val="0"/>
          <w:i/>
          <w:color w:val="auto"/>
        </w:rPr>
      </w:pPr>
      <w:bookmarkStart w:id="37" w:name="_Toc532224151"/>
      <w:r w:rsidRPr="005553DF">
        <w:rPr>
          <w:rFonts w:asciiTheme="minorHAnsi" w:hAnsiTheme="minorHAnsi"/>
          <w:i/>
          <w:color w:val="auto"/>
        </w:rPr>
        <w:t>3.</w:t>
      </w:r>
      <w:r w:rsidR="00484B5D" w:rsidRPr="005553DF">
        <w:rPr>
          <w:rFonts w:asciiTheme="minorHAnsi" w:hAnsiTheme="minorHAnsi" w:cstheme="minorHAnsi"/>
          <w:i/>
          <w:color w:val="auto"/>
        </w:rPr>
        <w:t>2</w:t>
      </w:r>
      <w:r w:rsidR="00CC1B1E" w:rsidRPr="005553DF">
        <w:rPr>
          <w:rFonts w:asciiTheme="minorHAnsi" w:hAnsiTheme="minorHAnsi" w:cstheme="minorHAnsi"/>
          <w:i/>
          <w:color w:val="auto"/>
        </w:rPr>
        <w:t>.</w:t>
      </w:r>
      <w:r w:rsidRPr="005553DF">
        <w:rPr>
          <w:rFonts w:asciiTheme="minorHAnsi" w:hAnsiTheme="minorHAnsi" w:cstheme="minorHAnsi"/>
          <w:i/>
          <w:color w:val="auto"/>
        </w:rPr>
        <w:t>1</w:t>
      </w:r>
      <w:r w:rsidRPr="005553DF">
        <w:rPr>
          <w:rFonts w:asciiTheme="minorHAnsi" w:hAnsiTheme="minorHAnsi"/>
          <w:i/>
          <w:color w:val="auto"/>
        </w:rPr>
        <w:t xml:space="preserve"> </w:t>
      </w:r>
      <w:r w:rsidR="001F3EC6" w:rsidRPr="005553DF">
        <w:rPr>
          <w:rFonts w:asciiTheme="minorHAnsi" w:hAnsiTheme="minorHAnsi"/>
          <w:i/>
          <w:color w:val="auto"/>
        </w:rPr>
        <w:t>Children</w:t>
      </w:r>
      <w:bookmarkEnd w:id="37"/>
    </w:p>
    <w:p w14:paraId="3F0BDB81" w14:textId="77777777" w:rsidR="00920CB4" w:rsidRPr="005553DF" w:rsidRDefault="00920CB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eligibility criteria for children is as follows:</w:t>
      </w:r>
    </w:p>
    <w:p w14:paraId="44F0C4BF" w14:textId="77777777" w:rsidR="008C0121" w:rsidRPr="005553DF" w:rsidRDefault="00920CB4" w:rsidP="005553DF">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Aged 4 – 17 years at the start of the study</w:t>
      </w:r>
      <w:r w:rsidR="008C0121" w:rsidRPr="005553DF">
        <w:rPr>
          <w:rFonts w:asciiTheme="minorHAnsi" w:hAnsiTheme="minorHAnsi" w:cstheme="minorHAnsi"/>
          <w:bCs/>
          <w:iCs/>
          <w:color w:val="000000"/>
        </w:rPr>
        <w:t>,</w:t>
      </w:r>
    </w:p>
    <w:p w14:paraId="63B8A7E7" w14:textId="77777777" w:rsidR="00920CB4" w:rsidRPr="005553DF" w:rsidRDefault="008C0121" w:rsidP="005553DF">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R</w:t>
      </w:r>
      <w:r w:rsidR="00884AF2" w:rsidRPr="005553DF">
        <w:rPr>
          <w:rFonts w:asciiTheme="minorHAnsi" w:hAnsiTheme="minorHAnsi" w:cstheme="minorHAnsi"/>
          <w:bCs/>
          <w:iCs/>
          <w:color w:val="000000"/>
        </w:rPr>
        <w:t>esided</w:t>
      </w:r>
      <w:r w:rsidR="00D51591" w:rsidRPr="005553DF">
        <w:rPr>
          <w:rFonts w:asciiTheme="minorHAnsi" w:hAnsiTheme="minorHAnsi" w:cstheme="minorHAnsi"/>
          <w:bCs/>
          <w:iCs/>
          <w:color w:val="000000"/>
        </w:rPr>
        <w:t xml:space="preserve"> or </w:t>
      </w:r>
      <w:r w:rsidR="00884AF2" w:rsidRPr="005553DF">
        <w:rPr>
          <w:rFonts w:asciiTheme="minorHAnsi" w:hAnsiTheme="minorHAnsi" w:cstheme="minorHAnsi"/>
          <w:bCs/>
          <w:iCs/>
          <w:color w:val="000000"/>
        </w:rPr>
        <w:t>attended day care</w:t>
      </w:r>
      <w:r w:rsidR="00D51591" w:rsidRPr="005553DF">
        <w:rPr>
          <w:rFonts w:asciiTheme="minorHAnsi" w:hAnsiTheme="minorHAnsi" w:cstheme="minorHAnsi"/>
          <w:bCs/>
          <w:iCs/>
          <w:color w:val="000000"/>
        </w:rPr>
        <w:t xml:space="preserve"> in areas served by PFAS-contaminated drinking water (i.e. during the period when the combined concentrations of PFOS and PFOA in the drinking water </w:t>
      </w:r>
      <w:r w:rsidR="00446788" w:rsidRPr="005553DF">
        <w:rPr>
          <w:rFonts w:asciiTheme="minorHAnsi" w:hAnsiTheme="minorHAnsi" w:cstheme="minorHAnsi"/>
          <w:bCs/>
          <w:iCs/>
          <w:color w:val="000000"/>
        </w:rPr>
        <w:t>serving the area</w:t>
      </w:r>
      <w:r w:rsidR="00D51591" w:rsidRPr="005553DF">
        <w:rPr>
          <w:rFonts w:asciiTheme="minorHAnsi" w:hAnsiTheme="minorHAnsi" w:cstheme="minorHAnsi"/>
          <w:bCs/>
          <w:iCs/>
          <w:color w:val="000000"/>
        </w:rPr>
        <w:t xml:space="preserve"> exceeded 70 parts per trillion) caused by AFFF use, </w:t>
      </w:r>
      <w:r w:rsidR="00884AF2" w:rsidRPr="005553DF">
        <w:rPr>
          <w:rFonts w:asciiTheme="minorHAnsi" w:hAnsiTheme="minorHAnsi" w:cstheme="minorHAnsi"/>
          <w:bCs/>
          <w:iCs/>
          <w:color w:val="000000"/>
        </w:rPr>
        <w:t xml:space="preserve">or were exposed in utero </w:t>
      </w:r>
      <w:r w:rsidR="00D51591" w:rsidRPr="005553DF">
        <w:rPr>
          <w:rFonts w:asciiTheme="minorHAnsi" w:hAnsiTheme="minorHAnsi" w:cstheme="minorHAnsi"/>
          <w:bCs/>
          <w:iCs/>
          <w:color w:val="000000"/>
        </w:rPr>
        <w:t>or</w:t>
      </w:r>
      <w:r w:rsidR="00884AF2" w:rsidRPr="005553DF">
        <w:rPr>
          <w:rFonts w:asciiTheme="minorHAnsi" w:hAnsiTheme="minorHAnsi" w:cstheme="minorHAnsi"/>
          <w:bCs/>
          <w:iCs/>
          <w:color w:val="000000"/>
        </w:rPr>
        <w:t xml:space="preserve"> during breastfeeding</w:t>
      </w:r>
      <w:r w:rsidR="00D51591" w:rsidRPr="005553DF">
        <w:rPr>
          <w:rFonts w:asciiTheme="minorHAnsi" w:hAnsiTheme="minorHAnsi" w:cstheme="minorHAnsi"/>
          <w:bCs/>
          <w:iCs/>
          <w:color w:val="000000"/>
        </w:rPr>
        <w:t xml:space="preserve"> when the mother consumed the contaminated drinking water</w:t>
      </w:r>
      <w:r w:rsidR="00884AF2"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3E0E44ED" w14:textId="77777777" w:rsidR="0045570A" w:rsidRPr="005553DF" w:rsidRDefault="00FC35F9" w:rsidP="005553DF">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Drinking water e</w:t>
      </w:r>
      <w:r w:rsidR="00920CB4" w:rsidRPr="005553DF">
        <w:rPr>
          <w:rFonts w:asciiTheme="minorHAnsi" w:hAnsiTheme="minorHAnsi" w:cstheme="minorHAnsi"/>
          <w:bCs/>
          <w:iCs/>
          <w:color w:val="000000"/>
        </w:rPr>
        <w:t xml:space="preserve">xposure </w:t>
      </w:r>
      <w:r w:rsidR="00FF6088" w:rsidRPr="005553DF">
        <w:rPr>
          <w:rFonts w:asciiTheme="minorHAnsi" w:hAnsiTheme="minorHAnsi" w:cstheme="minorHAnsi"/>
          <w:bCs/>
          <w:iCs/>
          <w:color w:val="000000"/>
        </w:rPr>
        <w:t xml:space="preserve">from Pease </w:t>
      </w:r>
      <w:r w:rsidR="00920CB4" w:rsidRPr="005553DF">
        <w:rPr>
          <w:rFonts w:asciiTheme="minorHAnsi" w:hAnsiTheme="minorHAnsi" w:cstheme="minorHAnsi"/>
          <w:bCs/>
          <w:iCs/>
          <w:color w:val="000000"/>
        </w:rPr>
        <w:t xml:space="preserve">occurred </w:t>
      </w:r>
      <w:r w:rsidRPr="005553DF">
        <w:rPr>
          <w:rFonts w:asciiTheme="minorHAnsi" w:hAnsiTheme="minorHAnsi" w:cstheme="minorHAnsi"/>
          <w:bCs/>
          <w:iCs/>
          <w:color w:val="000000"/>
        </w:rPr>
        <w:t>between 2004 and May 2014</w:t>
      </w:r>
      <w:r w:rsidR="00884AF2" w:rsidRPr="005553DF">
        <w:rPr>
          <w:rFonts w:asciiTheme="minorHAnsi" w:hAnsiTheme="minorHAnsi" w:cstheme="minorHAnsi"/>
          <w:bCs/>
          <w:iCs/>
          <w:color w:val="000000"/>
        </w:rPr>
        <w:t>.</w:t>
      </w:r>
    </w:p>
    <w:p w14:paraId="4477032D" w14:textId="77777777" w:rsidR="008C0121" w:rsidRPr="005553DF" w:rsidRDefault="009C75D3" w:rsidP="005553DF">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exclude children whose </w:t>
      </w:r>
      <w:r w:rsidR="001C2800" w:rsidRPr="005553DF">
        <w:rPr>
          <w:rFonts w:asciiTheme="minorHAnsi" w:hAnsiTheme="minorHAnsi" w:cstheme="minorHAnsi"/>
          <w:bCs/>
          <w:iCs/>
          <w:color w:val="000000"/>
        </w:rPr>
        <w:t xml:space="preserve">birth </w:t>
      </w:r>
      <w:r w:rsidRPr="005553DF">
        <w:rPr>
          <w:rFonts w:asciiTheme="minorHAnsi" w:hAnsiTheme="minorHAnsi" w:cstheme="minorHAnsi"/>
          <w:bCs/>
          <w:iCs/>
          <w:color w:val="000000"/>
        </w:rPr>
        <w:t>mothers</w:t>
      </w:r>
      <w:r w:rsidR="004F5A12" w:rsidRPr="005553DF">
        <w:rPr>
          <w:rFonts w:asciiTheme="minorHAnsi" w:hAnsiTheme="minorHAnsi" w:cstheme="minorHAnsi"/>
          <w:bCs/>
          <w:iCs/>
          <w:color w:val="000000"/>
        </w:rPr>
        <w:t xml:space="preserve"> were ever</w:t>
      </w:r>
      <w:r w:rsidR="00614439" w:rsidRPr="005553DF">
        <w:rPr>
          <w:rFonts w:asciiTheme="minorHAnsi" w:hAnsiTheme="minorHAnsi" w:cstheme="minorHAnsi"/>
          <w:bCs/>
          <w:iCs/>
          <w:color w:val="000000"/>
        </w:rPr>
        <w:t xml:space="preserve"> employed as a firefighter, ever</w:t>
      </w:r>
      <w:r w:rsidR="004F5A12" w:rsidRPr="005553DF">
        <w:rPr>
          <w:rFonts w:asciiTheme="minorHAnsi" w:hAnsiTheme="minorHAnsi" w:cstheme="minorHAnsi"/>
          <w:bCs/>
          <w:iCs/>
          <w:color w:val="000000"/>
        </w:rPr>
        <w:t xml:space="preserve"> participated in fire training exercises using AFFF foam</w:t>
      </w:r>
      <w:r w:rsidR="00614439" w:rsidRPr="005553DF">
        <w:rPr>
          <w:rFonts w:asciiTheme="minorHAnsi" w:hAnsiTheme="minorHAnsi" w:cstheme="minorHAnsi"/>
          <w:bCs/>
          <w:iCs/>
          <w:color w:val="000000"/>
        </w:rPr>
        <w:t>,</w:t>
      </w:r>
      <w:r w:rsidR="004F5A12" w:rsidRPr="005553DF">
        <w:rPr>
          <w:rFonts w:asciiTheme="minorHAnsi" w:hAnsiTheme="minorHAnsi" w:cstheme="minorHAnsi"/>
          <w:bCs/>
          <w:iCs/>
          <w:color w:val="000000"/>
        </w:rPr>
        <w:t xml:space="preserve"> or were ever employed at industrial facilities that used PFAS chemicals in the manufacturing process.</w:t>
      </w:r>
    </w:p>
    <w:p w14:paraId="24C1AF57" w14:textId="77777777" w:rsidR="00920CB4" w:rsidRPr="005553DF" w:rsidRDefault="00920CB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requirement that the child’s last exposure be </w:t>
      </w:r>
      <w:r w:rsidR="00FF6088" w:rsidRPr="005553DF">
        <w:rPr>
          <w:rFonts w:asciiTheme="minorHAnsi" w:hAnsiTheme="minorHAnsi" w:cstheme="minorHAnsi"/>
          <w:bCs/>
          <w:iCs/>
          <w:color w:val="000000"/>
        </w:rPr>
        <w:t>from 2004 to May 2014</w:t>
      </w:r>
      <w:r w:rsidRPr="005553DF">
        <w:rPr>
          <w:rFonts w:asciiTheme="minorHAnsi" w:hAnsiTheme="minorHAnsi" w:cstheme="minorHAnsi"/>
          <w:bCs/>
          <w:iCs/>
          <w:color w:val="000000"/>
        </w:rPr>
        <w:t xml:space="preserve"> takes into account the half-lives of about 3 years for PFOA and PFOS, and about 5 years for PFHxS, observed in a recent study of drinking water exposures caused by AFFF use at a military facility in Sweden (Li 2017).  Based on these half-lives, those last exposed more than</w:t>
      </w:r>
      <w:r w:rsidR="00A84D1C" w:rsidRPr="005553DF">
        <w:rPr>
          <w:rFonts w:asciiTheme="minorHAnsi" w:hAnsiTheme="minorHAnsi" w:cstheme="minorHAnsi"/>
          <w:bCs/>
          <w:iCs/>
          <w:color w:val="000000"/>
        </w:rPr>
        <w:t xml:space="preserve"> 15</w:t>
      </w:r>
      <w:r w:rsidRPr="005553DF">
        <w:rPr>
          <w:rFonts w:asciiTheme="minorHAnsi" w:hAnsiTheme="minorHAnsi" w:cstheme="minorHAnsi"/>
          <w:bCs/>
          <w:iCs/>
          <w:color w:val="000000"/>
        </w:rPr>
        <w:t xml:space="preserve"> years ago will have greatly diminished current serum levels of these PFAS chemicals, making the use of these serum measurements to predict past exposures more problematic.</w:t>
      </w:r>
      <w:r w:rsidR="00884AF2" w:rsidRPr="005553DF">
        <w:rPr>
          <w:rFonts w:asciiTheme="minorHAnsi" w:hAnsiTheme="minorHAnsi" w:cstheme="minorHAnsi"/>
          <w:bCs/>
          <w:iCs/>
          <w:color w:val="000000"/>
        </w:rPr>
        <w:t xml:space="preserve"> </w:t>
      </w:r>
      <w:r w:rsidR="00880A2C" w:rsidRPr="005553DF">
        <w:rPr>
          <w:rFonts w:asciiTheme="minorHAnsi" w:hAnsiTheme="minorHAnsi" w:cstheme="minorHAnsi"/>
          <w:bCs/>
          <w:iCs/>
          <w:color w:val="000000"/>
        </w:rPr>
        <w:t xml:space="preserve"> </w:t>
      </w:r>
    </w:p>
    <w:p w14:paraId="357055DA" w14:textId="77777777" w:rsidR="001F4D26" w:rsidRPr="005553DF" w:rsidRDefault="00CC4119" w:rsidP="005553DF">
      <w:pPr>
        <w:spacing w:after="240" w:line="360" w:lineRule="auto"/>
        <w:jc w:val="both"/>
        <w:rPr>
          <w:rFonts w:asciiTheme="minorHAnsi" w:hAnsiTheme="minorHAnsi"/>
        </w:rPr>
      </w:pPr>
      <w:r w:rsidRPr="005553DF">
        <w:rPr>
          <w:rFonts w:asciiTheme="minorHAnsi" w:hAnsiTheme="minorHAnsi"/>
        </w:rPr>
        <w:t>At Pease, a</w:t>
      </w:r>
      <w:r w:rsidR="001F4D26" w:rsidRPr="005553DF">
        <w:rPr>
          <w:rFonts w:asciiTheme="minorHAnsi" w:hAnsiTheme="minorHAnsi"/>
        </w:rPr>
        <w:t xml:space="preserve">bout 370 children who participated in the 2015 </w:t>
      </w:r>
      <w:r w:rsidRPr="005553DF">
        <w:rPr>
          <w:rFonts w:asciiTheme="minorHAnsi" w:hAnsiTheme="minorHAnsi"/>
        </w:rPr>
        <w:t>biomonitoring</w:t>
      </w:r>
      <w:r w:rsidR="001F4D26" w:rsidRPr="005553DF">
        <w:rPr>
          <w:rFonts w:asciiTheme="minorHAnsi" w:hAnsiTheme="minorHAnsi"/>
        </w:rPr>
        <w:t xml:space="preserve"> program at Pease and who were aged 1–13 years at the time of blood draw would be aged 4–</w:t>
      </w:r>
      <w:r w:rsidR="00F352A7" w:rsidRPr="005553DF">
        <w:rPr>
          <w:rFonts w:asciiTheme="minorHAnsi" w:hAnsiTheme="minorHAnsi"/>
        </w:rPr>
        <w:t>17</w:t>
      </w:r>
      <w:r w:rsidR="00A84D1C" w:rsidRPr="005553DF">
        <w:rPr>
          <w:rFonts w:asciiTheme="minorHAnsi" w:hAnsiTheme="minorHAnsi"/>
        </w:rPr>
        <w:t xml:space="preserve"> </w:t>
      </w:r>
      <w:r w:rsidR="001F4D26" w:rsidRPr="005553DF">
        <w:rPr>
          <w:rFonts w:asciiTheme="minorHAnsi" w:hAnsiTheme="minorHAnsi"/>
        </w:rPr>
        <w:t>years in 2018</w:t>
      </w:r>
      <w:r w:rsidRPr="005553DF">
        <w:rPr>
          <w:rFonts w:asciiTheme="minorHAnsi" w:hAnsiTheme="minorHAnsi"/>
        </w:rPr>
        <w:t xml:space="preserve"> and would be eligible for the </w:t>
      </w:r>
      <w:r w:rsidR="0002344A" w:rsidRPr="005553DF">
        <w:rPr>
          <w:rFonts w:asciiTheme="minorHAnsi" w:hAnsiTheme="minorHAnsi"/>
        </w:rPr>
        <w:t>child study</w:t>
      </w:r>
      <w:r w:rsidR="001F4D26" w:rsidRPr="005553DF">
        <w:rPr>
          <w:rFonts w:asciiTheme="minorHAnsi" w:hAnsiTheme="minorHAnsi"/>
        </w:rPr>
        <w:t xml:space="preserve">. </w:t>
      </w:r>
      <w:r w:rsidRPr="005553DF">
        <w:rPr>
          <w:rFonts w:asciiTheme="minorHAnsi" w:hAnsiTheme="minorHAnsi" w:cstheme="minorHAnsi"/>
          <w:bCs/>
          <w:iCs/>
          <w:color w:val="000000"/>
        </w:rPr>
        <w:t xml:space="preserve">Most of these children attended daycare at Pease. </w:t>
      </w:r>
      <w:r w:rsidR="001F4D26" w:rsidRPr="005553DF">
        <w:rPr>
          <w:rFonts w:asciiTheme="minorHAnsi" w:hAnsiTheme="minorHAnsi"/>
        </w:rPr>
        <w:t>We do not know exactly how many children attended daycare at the Pease Tradeport before June 2014 but the records search of two daycare centers was undertaken</w:t>
      </w:r>
      <w:r w:rsidR="0098783B" w:rsidRPr="005553DF">
        <w:rPr>
          <w:rFonts w:asciiTheme="minorHAnsi" w:hAnsiTheme="minorHAnsi"/>
        </w:rPr>
        <w:t xml:space="preserve"> (see below)</w:t>
      </w:r>
      <w:r w:rsidR="001F4D26" w:rsidRPr="005553DF">
        <w:rPr>
          <w:rFonts w:asciiTheme="minorHAnsi" w:hAnsiTheme="minorHAnsi"/>
        </w:rPr>
        <w:t xml:space="preserve">. </w:t>
      </w:r>
      <w:r w:rsidR="00811214" w:rsidRPr="005553DF">
        <w:rPr>
          <w:rFonts w:asciiTheme="minorHAnsi" w:hAnsiTheme="minorHAnsi"/>
        </w:rPr>
        <w:t>In addition, t</w:t>
      </w:r>
      <w:r w:rsidRPr="005553DF">
        <w:rPr>
          <w:rFonts w:asciiTheme="minorHAnsi" w:hAnsiTheme="minorHAnsi"/>
        </w:rPr>
        <w:t>hose children who attended daycare but didn’t participate in the 2015 biomonitoring would also be eligible</w:t>
      </w:r>
      <w:r w:rsidR="00A84D1C" w:rsidRPr="005553DF">
        <w:rPr>
          <w:rFonts w:asciiTheme="minorHAnsi" w:hAnsiTheme="minorHAnsi"/>
        </w:rPr>
        <w:t xml:space="preserve"> </w:t>
      </w:r>
      <w:r w:rsidR="002631F0" w:rsidRPr="005553DF">
        <w:rPr>
          <w:rFonts w:asciiTheme="minorHAnsi" w:hAnsiTheme="minorHAnsi"/>
        </w:rPr>
        <w:t xml:space="preserve">in order </w:t>
      </w:r>
      <w:r w:rsidR="00A84D1C" w:rsidRPr="005553DF">
        <w:rPr>
          <w:rFonts w:asciiTheme="minorHAnsi" w:hAnsiTheme="minorHAnsi"/>
        </w:rPr>
        <w:t>to reach sample size goals.</w:t>
      </w:r>
    </w:p>
    <w:p w14:paraId="319A5D58" w14:textId="77777777" w:rsidR="001F4D26" w:rsidRPr="005553DF" w:rsidRDefault="001F4D26" w:rsidP="005553DF">
      <w:pPr>
        <w:spacing w:after="240" w:line="360" w:lineRule="auto"/>
        <w:jc w:val="both"/>
        <w:rPr>
          <w:rFonts w:asciiTheme="minorHAnsi" w:hAnsiTheme="minorHAnsi"/>
        </w:rPr>
      </w:pPr>
      <w:r w:rsidRPr="005553DF">
        <w:rPr>
          <w:rFonts w:asciiTheme="minorHAnsi" w:hAnsiTheme="minorHAnsi"/>
        </w:rPr>
        <w:t>The Discovery Child Enrichment Center began operation in 1994. Its yearly enrollment was approximately 149 children ages 6 weeks to 5 years. A records search by the director of the Center identified 695 children who attended the daycare during 1996–20</w:t>
      </w:r>
      <w:r w:rsidR="00F352A7" w:rsidRPr="005553DF">
        <w:rPr>
          <w:rFonts w:asciiTheme="minorHAnsi" w:hAnsiTheme="minorHAnsi"/>
        </w:rPr>
        <w:t>15 and who would be aged of 6–17</w:t>
      </w:r>
      <w:r w:rsidRPr="005553DF">
        <w:rPr>
          <w:rFonts w:asciiTheme="minorHAnsi" w:hAnsiTheme="minorHAnsi"/>
        </w:rPr>
        <w:t xml:space="preserve"> years in 2018. The number of children who attended this day care prior to June 2014 and would</w:t>
      </w:r>
      <w:r w:rsidR="00F352A7" w:rsidRPr="005553DF">
        <w:rPr>
          <w:rFonts w:asciiTheme="minorHAnsi" w:hAnsiTheme="minorHAnsi"/>
        </w:rPr>
        <w:t xml:space="preserve"> be between the ages of 4 and 17</w:t>
      </w:r>
      <w:r w:rsidRPr="005553DF">
        <w:rPr>
          <w:rFonts w:asciiTheme="minorHAnsi" w:hAnsiTheme="minorHAnsi"/>
        </w:rPr>
        <w:t xml:space="preserve"> years in 2018 could be within the range of 250 – 450 individuals. The Great Bay Kids’ Company is also located at the Pease Tradeport and began operation in 2010. Its annual enrollment is approximately 270 children aged ≤12 years. Assuming that most of the children enrolled would be ≤5 years of age, and that most of the children attend daycare for 4 years, about 300 children might have attended this daycare during the period of</w:t>
      </w:r>
      <w:r w:rsidR="00F352A7" w:rsidRPr="005553DF">
        <w:rPr>
          <w:rFonts w:asciiTheme="minorHAnsi" w:hAnsiTheme="minorHAnsi"/>
        </w:rPr>
        <w:t xml:space="preserve"> interest and would be aged 4–17</w:t>
      </w:r>
      <w:r w:rsidRPr="005553DF">
        <w:rPr>
          <w:rFonts w:asciiTheme="minorHAnsi" w:hAnsiTheme="minorHAnsi"/>
        </w:rPr>
        <w:t xml:space="preserve"> years in 2018.</w:t>
      </w:r>
    </w:p>
    <w:p w14:paraId="09FBC7F2" w14:textId="77777777" w:rsidR="0098783B" w:rsidRPr="005553DF" w:rsidRDefault="001F4D26" w:rsidP="005553DF">
      <w:pPr>
        <w:spacing w:after="240" w:line="360" w:lineRule="auto"/>
        <w:jc w:val="both"/>
        <w:rPr>
          <w:rFonts w:asciiTheme="minorHAnsi" w:hAnsiTheme="minorHAnsi"/>
          <w:i/>
        </w:rPr>
      </w:pPr>
      <w:r w:rsidRPr="005553DF">
        <w:rPr>
          <w:rFonts w:asciiTheme="minorHAnsi" w:hAnsiTheme="minorHAnsi"/>
        </w:rPr>
        <w:t xml:space="preserve">Assuming that a minimum of about 500 children attended the two day-care centers at Pease before </w:t>
      </w:r>
      <w:r w:rsidR="00F352A7" w:rsidRPr="005553DF">
        <w:rPr>
          <w:rFonts w:asciiTheme="minorHAnsi" w:hAnsiTheme="minorHAnsi"/>
        </w:rPr>
        <w:t>June 2014 and would be aged 4–17</w:t>
      </w:r>
      <w:r w:rsidRPr="005553DF">
        <w:rPr>
          <w:rFonts w:asciiTheme="minorHAnsi" w:hAnsiTheme="minorHAnsi"/>
        </w:rPr>
        <w:t xml:space="preserve"> years in 2018, </w:t>
      </w:r>
      <w:r w:rsidR="006F5C07" w:rsidRPr="005553DF">
        <w:rPr>
          <w:rFonts w:asciiTheme="minorHAnsi" w:hAnsiTheme="minorHAnsi"/>
        </w:rPr>
        <w:t>we would require a</w:t>
      </w:r>
      <w:r w:rsidRPr="005553DF">
        <w:rPr>
          <w:rFonts w:asciiTheme="minorHAnsi" w:hAnsiTheme="minorHAnsi"/>
        </w:rPr>
        <w:t xml:space="preserve"> participation rate of</w:t>
      </w:r>
      <w:r w:rsidR="00920CB4" w:rsidRPr="005553DF">
        <w:rPr>
          <w:rFonts w:asciiTheme="minorHAnsi" w:hAnsiTheme="minorHAnsi"/>
        </w:rPr>
        <w:t xml:space="preserve"> about</w:t>
      </w:r>
      <w:r w:rsidRPr="005553DF">
        <w:rPr>
          <w:rFonts w:asciiTheme="minorHAnsi" w:hAnsiTheme="minorHAnsi"/>
        </w:rPr>
        <w:t xml:space="preserve"> 70%</w:t>
      </w:r>
      <w:r w:rsidR="006F5C07" w:rsidRPr="005553DF">
        <w:rPr>
          <w:rFonts w:asciiTheme="minorHAnsi" w:hAnsiTheme="minorHAnsi"/>
        </w:rPr>
        <w:t xml:space="preserve"> </w:t>
      </w:r>
      <w:r w:rsidRPr="005553DF">
        <w:rPr>
          <w:rFonts w:asciiTheme="minorHAnsi" w:hAnsiTheme="minorHAnsi"/>
        </w:rPr>
        <w:t>to recruit 350 Pease children into the study</w:t>
      </w:r>
      <w:r w:rsidR="006F5C07" w:rsidRPr="005553DF">
        <w:rPr>
          <w:rFonts w:asciiTheme="minorHAnsi" w:hAnsiTheme="minorHAnsi"/>
        </w:rPr>
        <w:t xml:space="preserve">. Such </w:t>
      </w:r>
      <w:r w:rsidR="00ED56BB" w:rsidRPr="005553DF">
        <w:rPr>
          <w:rFonts w:asciiTheme="minorHAnsi" w:hAnsiTheme="minorHAnsi"/>
        </w:rPr>
        <w:t xml:space="preserve">a </w:t>
      </w:r>
      <w:r w:rsidR="006F5C07" w:rsidRPr="005553DF">
        <w:rPr>
          <w:rFonts w:asciiTheme="minorHAnsi" w:hAnsiTheme="minorHAnsi"/>
        </w:rPr>
        <w:t xml:space="preserve">participation rate is </w:t>
      </w:r>
      <w:r w:rsidR="00ED56BB" w:rsidRPr="005553DF">
        <w:rPr>
          <w:rFonts w:asciiTheme="minorHAnsi" w:hAnsiTheme="minorHAnsi"/>
        </w:rPr>
        <w:t>possible given the high visibility of the study</w:t>
      </w:r>
      <w:r w:rsidR="00A17CA5" w:rsidRPr="005553DF">
        <w:rPr>
          <w:rFonts w:asciiTheme="minorHAnsi" w:hAnsiTheme="minorHAnsi"/>
        </w:rPr>
        <w:t xml:space="preserve">, strong interest in the community, </w:t>
      </w:r>
      <w:r w:rsidR="00ED56BB" w:rsidRPr="005553DF">
        <w:rPr>
          <w:rFonts w:asciiTheme="minorHAnsi" w:hAnsiTheme="minorHAnsi"/>
        </w:rPr>
        <w:t xml:space="preserve">and the commitment of the Pease CAP and associated organizations to conduct outreach for the study. </w:t>
      </w:r>
      <w:r w:rsidRPr="005553DF">
        <w:rPr>
          <w:rFonts w:asciiTheme="minorHAnsi" w:hAnsiTheme="minorHAnsi"/>
        </w:rPr>
        <w:t>It would also be feasible to recruit at least 175 children in the same age range from the schools in Portsmouth, NH, who were unexposed to the PFAS-contaminated drinking water at the Pease Tradeport and whose parents did not work at the Pease Tradeport or have occupational exposures to PFAS.</w:t>
      </w:r>
    </w:p>
    <w:p w14:paraId="1B3253A0" w14:textId="77777777" w:rsidR="00C57ED0" w:rsidRPr="005553DF" w:rsidRDefault="000F7D6C"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age range for the </w:t>
      </w:r>
      <w:r w:rsidR="0002344A" w:rsidRPr="005553DF">
        <w:rPr>
          <w:rFonts w:asciiTheme="minorHAnsi" w:hAnsiTheme="minorHAnsi" w:cstheme="minorHAnsi"/>
          <w:bCs/>
          <w:iCs/>
          <w:color w:val="000000"/>
        </w:rPr>
        <w:t>child study</w:t>
      </w:r>
      <w:r w:rsidRPr="005553DF">
        <w:rPr>
          <w:rFonts w:asciiTheme="minorHAnsi" w:hAnsiTheme="minorHAnsi" w:cstheme="minorHAnsi"/>
          <w:bCs/>
          <w:iCs/>
          <w:color w:val="000000"/>
        </w:rPr>
        <w:t xml:space="preserve"> </w:t>
      </w:r>
      <w:r w:rsidR="0042179F" w:rsidRPr="005553DF">
        <w:rPr>
          <w:rFonts w:asciiTheme="minorHAnsi" w:hAnsiTheme="minorHAnsi" w:cstheme="minorHAnsi"/>
          <w:bCs/>
          <w:iCs/>
          <w:color w:val="000000"/>
        </w:rPr>
        <w:t xml:space="preserve">(4-17 years) </w:t>
      </w:r>
      <w:r w:rsidRPr="005553DF">
        <w:rPr>
          <w:rFonts w:asciiTheme="minorHAnsi" w:hAnsiTheme="minorHAnsi" w:cstheme="minorHAnsi"/>
          <w:bCs/>
          <w:iCs/>
          <w:color w:val="000000"/>
        </w:rPr>
        <w:t>was determined by taking into account the age ranges in previous PFAS studies and the age range appropriate for the candidate endpoints. The</w:t>
      </w:r>
      <w:r w:rsidR="004D1BE3" w:rsidRPr="005553DF">
        <w:rPr>
          <w:rFonts w:asciiTheme="minorHAnsi" w:hAnsiTheme="minorHAnsi" w:cstheme="minorHAnsi"/>
          <w:bCs/>
          <w:iCs/>
          <w:color w:val="000000"/>
        </w:rPr>
        <w:t xml:space="preserve"> study will limit inclusion to those ≥4 years of age </w:t>
      </w:r>
      <w:r w:rsidRPr="005553DF">
        <w:rPr>
          <w:rFonts w:asciiTheme="minorHAnsi" w:hAnsiTheme="minorHAnsi" w:cstheme="minorHAnsi"/>
          <w:bCs/>
          <w:iCs/>
          <w:color w:val="000000"/>
        </w:rPr>
        <w:t>because</w:t>
      </w:r>
      <w:r w:rsidR="00C57ED0" w:rsidRPr="005553DF">
        <w:rPr>
          <w:rFonts w:asciiTheme="minorHAnsi" w:hAnsiTheme="minorHAnsi" w:cstheme="minorHAnsi"/>
          <w:bCs/>
          <w:iCs/>
          <w:color w:val="000000"/>
        </w:rPr>
        <w:t xml:space="preserve"> those children exposed in utero on or before the closing of the Haven Well (May 2014) would be at least 4 years of age at the start of the study.  In addition, most of the neurobehavioral tests that will be used in the study are appropriate for children aged ≥4 years of age.</w:t>
      </w:r>
    </w:p>
    <w:p w14:paraId="74BEEA41" w14:textId="77777777" w:rsidR="004235DC" w:rsidRPr="005553DF" w:rsidRDefault="006439D2" w:rsidP="005553DF">
      <w:pPr>
        <w:spacing w:after="240" w:line="360" w:lineRule="auto"/>
        <w:jc w:val="both"/>
        <w:rPr>
          <w:rFonts w:asciiTheme="minorHAnsi" w:hAnsiTheme="minorHAnsi"/>
          <w:color w:val="000000"/>
        </w:rPr>
      </w:pPr>
      <w:r w:rsidRPr="005553DF">
        <w:rPr>
          <w:rFonts w:asciiTheme="minorHAnsi" w:hAnsiTheme="minorHAnsi" w:cstheme="minorHAnsi"/>
          <w:bCs/>
          <w:iCs/>
          <w:color w:val="000000"/>
        </w:rPr>
        <w:t>The study will recruit a</w:t>
      </w:r>
      <w:r w:rsidR="00E66E32" w:rsidRPr="005553DF">
        <w:rPr>
          <w:rFonts w:asciiTheme="minorHAnsi" w:hAnsiTheme="minorHAnsi" w:cstheme="minorHAnsi"/>
          <w:bCs/>
          <w:iCs/>
          <w:color w:val="000000"/>
        </w:rPr>
        <w:t xml:space="preserve"> comparison population</w:t>
      </w:r>
      <w:r w:rsidRPr="005553DF">
        <w:rPr>
          <w:rFonts w:asciiTheme="minorHAnsi" w:hAnsiTheme="minorHAnsi" w:cstheme="minorHAnsi"/>
          <w:bCs/>
          <w:iCs/>
          <w:color w:val="000000"/>
        </w:rPr>
        <w:t xml:space="preserve"> consisting</w:t>
      </w:r>
      <w:r w:rsidR="00E66E32" w:rsidRPr="005553DF">
        <w:rPr>
          <w:rFonts w:asciiTheme="minorHAnsi" w:hAnsiTheme="minorHAnsi" w:cstheme="minorHAnsi"/>
          <w:bCs/>
          <w:iCs/>
          <w:color w:val="000000"/>
        </w:rPr>
        <w:t xml:space="preserve"> of children aged 4 – 17 years</w:t>
      </w:r>
      <w:r w:rsidRPr="005553DF">
        <w:rPr>
          <w:rFonts w:asciiTheme="minorHAnsi" w:hAnsiTheme="minorHAnsi" w:cstheme="minorHAnsi"/>
          <w:bCs/>
          <w:iCs/>
          <w:color w:val="000000"/>
        </w:rPr>
        <w:t xml:space="preserve"> </w:t>
      </w:r>
      <w:r w:rsidR="004235DC" w:rsidRPr="005553DF">
        <w:rPr>
          <w:rFonts w:asciiTheme="minorHAnsi" w:hAnsiTheme="minorHAnsi" w:cstheme="minorHAnsi"/>
          <w:bCs/>
          <w:iCs/>
          <w:color w:val="000000"/>
        </w:rPr>
        <w:t>from those attending school in Portsmouth, NH</w:t>
      </w:r>
      <w:r w:rsidR="00977326" w:rsidRPr="005553DF">
        <w:rPr>
          <w:rFonts w:asciiTheme="minorHAnsi" w:hAnsiTheme="minorHAnsi" w:cstheme="minorHAnsi"/>
          <w:bCs/>
          <w:iCs/>
          <w:color w:val="000000"/>
        </w:rPr>
        <w:t>,</w:t>
      </w:r>
      <w:r w:rsidR="004235DC" w:rsidRPr="005553DF">
        <w:rPr>
          <w:rFonts w:asciiTheme="minorHAnsi" w:hAnsiTheme="minorHAnsi" w:cstheme="minorHAnsi"/>
          <w:bCs/>
          <w:iCs/>
          <w:color w:val="000000"/>
        </w:rPr>
        <w:t xml:space="preserve"> </w:t>
      </w:r>
      <w:r w:rsidR="00E66E32" w:rsidRPr="005553DF">
        <w:rPr>
          <w:rFonts w:asciiTheme="minorHAnsi" w:hAnsiTheme="minorHAnsi" w:cstheme="minorHAnsi"/>
          <w:bCs/>
          <w:iCs/>
          <w:color w:val="000000"/>
        </w:rPr>
        <w:t>who were never exposed to PFAS-contaminated drinking water during their lifetime</w:t>
      </w:r>
      <w:r w:rsidR="009D00C1" w:rsidRPr="005553DF">
        <w:rPr>
          <w:rFonts w:asciiTheme="minorHAnsi" w:hAnsiTheme="minorHAnsi" w:cstheme="minorHAnsi"/>
          <w:bCs/>
          <w:iCs/>
          <w:color w:val="000000"/>
        </w:rPr>
        <w:t>,</w:t>
      </w:r>
      <w:r w:rsidR="00E66E32" w:rsidRPr="005553DF">
        <w:rPr>
          <w:rFonts w:asciiTheme="minorHAnsi" w:hAnsiTheme="minorHAnsi" w:cstheme="minorHAnsi"/>
          <w:bCs/>
          <w:iCs/>
          <w:color w:val="000000"/>
        </w:rPr>
        <w:t xml:space="preserve"> including in utero and during breastfeeding</w:t>
      </w:r>
      <w:r w:rsidRPr="005553DF">
        <w:rPr>
          <w:rFonts w:asciiTheme="minorHAnsi" w:hAnsiTheme="minorHAnsi" w:cstheme="minorHAnsi"/>
          <w:bCs/>
          <w:iCs/>
          <w:color w:val="000000"/>
        </w:rPr>
        <w:t xml:space="preserve">.  </w:t>
      </w:r>
      <w:r w:rsidR="006A1083" w:rsidRPr="005553DF">
        <w:rPr>
          <w:rFonts w:asciiTheme="minorHAnsi" w:hAnsiTheme="minorHAnsi" w:cstheme="minorHAnsi"/>
          <w:bCs/>
          <w:iCs/>
          <w:color w:val="000000"/>
        </w:rPr>
        <w:t xml:space="preserve">Therefore, the children’s birth mothers also must never had exposure to drinking water from the former Pease Air Force </w:t>
      </w:r>
      <w:r w:rsidR="002113C5" w:rsidRPr="005553DF">
        <w:rPr>
          <w:rFonts w:asciiTheme="minorHAnsi" w:hAnsiTheme="minorHAnsi" w:cstheme="minorHAnsi"/>
          <w:bCs/>
          <w:iCs/>
          <w:color w:val="000000"/>
        </w:rPr>
        <w:t>B</w:t>
      </w:r>
      <w:r w:rsidR="006A1083" w:rsidRPr="005553DF">
        <w:rPr>
          <w:rFonts w:asciiTheme="minorHAnsi" w:hAnsiTheme="minorHAnsi" w:cstheme="minorHAnsi"/>
          <w:bCs/>
          <w:iCs/>
          <w:color w:val="000000"/>
        </w:rPr>
        <w:t xml:space="preserve">ase or the Pease International Tradeport. </w:t>
      </w:r>
      <w:r w:rsidR="004235DC" w:rsidRPr="005553DF">
        <w:rPr>
          <w:rFonts w:asciiTheme="minorHAnsi" w:hAnsiTheme="minorHAnsi" w:cstheme="minorHAnsi"/>
          <w:bCs/>
          <w:iCs/>
          <w:color w:val="000000"/>
        </w:rPr>
        <w:t xml:space="preserve">Recruitment of the comparison population will </w:t>
      </w:r>
      <w:r w:rsidR="00B22AC9" w:rsidRPr="005553DF">
        <w:rPr>
          <w:rFonts w:asciiTheme="minorHAnsi" w:hAnsiTheme="minorHAnsi" w:cstheme="minorHAnsi"/>
          <w:bCs/>
          <w:iCs/>
          <w:color w:val="000000"/>
        </w:rPr>
        <w:t>match</w:t>
      </w:r>
      <w:r w:rsidR="004235DC" w:rsidRPr="005553DF">
        <w:rPr>
          <w:rFonts w:asciiTheme="minorHAnsi" w:hAnsiTheme="minorHAnsi" w:cstheme="minorHAnsi"/>
          <w:bCs/>
          <w:iCs/>
          <w:color w:val="000000"/>
        </w:rPr>
        <w:t xml:space="preserve"> the age distribution of children who participated in the Pease biomonitoring program. </w:t>
      </w:r>
    </w:p>
    <w:p w14:paraId="5B2DA43E" w14:textId="77777777" w:rsidR="000F7D6C" w:rsidRPr="005553DF" w:rsidRDefault="00FA4DF1" w:rsidP="005553DF">
      <w:pPr>
        <w:pStyle w:val="Heading3"/>
        <w:spacing w:before="0" w:after="240" w:line="360" w:lineRule="auto"/>
        <w:rPr>
          <w:rFonts w:asciiTheme="minorHAnsi" w:hAnsiTheme="minorHAnsi"/>
          <w:i/>
          <w:color w:val="auto"/>
        </w:rPr>
      </w:pPr>
      <w:bookmarkStart w:id="38" w:name="_Toc532224152"/>
      <w:r w:rsidRPr="005553DF">
        <w:rPr>
          <w:rFonts w:asciiTheme="minorHAnsi" w:hAnsiTheme="minorHAnsi"/>
          <w:i/>
          <w:color w:val="auto"/>
        </w:rPr>
        <w:t>3.</w:t>
      </w:r>
      <w:r w:rsidR="00484B5D" w:rsidRPr="005553DF">
        <w:rPr>
          <w:rFonts w:asciiTheme="minorHAnsi" w:hAnsiTheme="minorHAnsi" w:cs="Calibri"/>
          <w:i/>
          <w:color w:val="auto"/>
        </w:rPr>
        <w:t>2</w:t>
      </w:r>
      <w:r w:rsidR="00AE7CA7" w:rsidRPr="005553DF">
        <w:rPr>
          <w:rFonts w:asciiTheme="minorHAnsi" w:hAnsiTheme="minorHAnsi" w:cs="Calibri"/>
          <w:i/>
          <w:color w:val="auto"/>
        </w:rPr>
        <w:t>.</w:t>
      </w:r>
      <w:r w:rsidRPr="005553DF">
        <w:rPr>
          <w:rFonts w:asciiTheme="minorHAnsi" w:hAnsiTheme="minorHAnsi" w:cs="Calibri"/>
          <w:i/>
          <w:color w:val="auto"/>
        </w:rPr>
        <w:t>2</w:t>
      </w:r>
      <w:r w:rsidRPr="005553DF">
        <w:rPr>
          <w:rFonts w:asciiTheme="minorHAnsi" w:hAnsiTheme="minorHAnsi"/>
          <w:i/>
          <w:color w:val="auto"/>
        </w:rPr>
        <w:t xml:space="preserve"> </w:t>
      </w:r>
      <w:r w:rsidR="00DF38B2" w:rsidRPr="005553DF">
        <w:rPr>
          <w:rFonts w:asciiTheme="minorHAnsi" w:hAnsiTheme="minorHAnsi"/>
          <w:i/>
          <w:color w:val="auto"/>
        </w:rPr>
        <w:t>Adults</w:t>
      </w:r>
      <w:bookmarkEnd w:id="38"/>
    </w:p>
    <w:p w14:paraId="0102B645" w14:textId="77777777" w:rsidR="00291898" w:rsidRPr="005553DF" w:rsidRDefault="003072A2"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population of interest at Pease is adults aged ≥18 years who </w:t>
      </w:r>
      <w:r w:rsidRPr="005553DF">
        <w:rPr>
          <w:rFonts w:asciiTheme="minorHAnsi" w:hAnsiTheme="minorHAnsi" w:cstheme="minorHAnsi"/>
        </w:rPr>
        <w:t xml:space="preserve">worked at the Pease Tradeport prior to the closing of the Haven supply well in May 2014, resided or worked at Pease Air Force Base, or lived in a home near Pease that was served by a PFAS-contaminated private well; and who </w:t>
      </w:r>
      <w:r w:rsidRPr="005553DF">
        <w:rPr>
          <w:rFonts w:asciiTheme="minorHAnsi" w:hAnsiTheme="minorHAnsi" w:cstheme="minorHAnsi"/>
          <w:bCs/>
          <w:iCs/>
          <w:color w:val="000000"/>
        </w:rPr>
        <w:t>consumed PFAS-contaminated drinking water at Pease any time during their lifetime.</w:t>
      </w:r>
      <w:r w:rsidRPr="005553DF">
        <w:rPr>
          <w:rFonts w:asciiTheme="minorHAnsi" w:hAnsiTheme="minorHAnsi" w:cstheme="minorHAnsi"/>
          <w:bCs/>
          <w:i/>
          <w:iCs/>
          <w:color w:val="000000"/>
        </w:rPr>
        <w:t xml:space="preserve"> </w:t>
      </w:r>
      <w:r w:rsidR="00291898" w:rsidRPr="005553DF">
        <w:rPr>
          <w:rFonts w:asciiTheme="minorHAnsi" w:hAnsiTheme="minorHAnsi" w:cstheme="minorHAnsi"/>
          <w:bCs/>
          <w:iCs/>
          <w:color w:val="000000"/>
        </w:rPr>
        <w:t>The eligibility criteria for adults is as follows:</w:t>
      </w:r>
    </w:p>
    <w:p w14:paraId="60171D14" w14:textId="77777777" w:rsidR="00291898" w:rsidRPr="005553DF" w:rsidRDefault="00291898" w:rsidP="005553DF">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Aged ≥18 years at the start of the study</w:t>
      </w:r>
      <w:r w:rsidR="006E50D1" w:rsidRPr="005553DF">
        <w:rPr>
          <w:rFonts w:asciiTheme="minorHAnsi" w:hAnsiTheme="minorHAnsi" w:cstheme="minorHAnsi"/>
          <w:bCs/>
          <w:iCs/>
          <w:color w:val="000000"/>
        </w:rPr>
        <w:t>.</w:t>
      </w:r>
    </w:p>
    <w:p w14:paraId="71C361F4" w14:textId="77777777" w:rsidR="00291898" w:rsidRPr="005553DF" w:rsidRDefault="00291898" w:rsidP="005553DF">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Resided or worked in areas served by PFA</w:t>
      </w:r>
      <w:r w:rsidR="00811214" w:rsidRPr="005553DF">
        <w:rPr>
          <w:rFonts w:asciiTheme="minorHAnsi" w:hAnsiTheme="minorHAnsi" w:cstheme="minorHAnsi"/>
          <w:bCs/>
          <w:iCs/>
          <w:color w:val="000000"/>
        </w:rPr>
        <w:t>S-contaminated drinking water</w:t>
      </w:r>
      <w:r w:rsidR="00D51591" w:rsidRPr="005553DF">
        <w:rPr>
          <w:rFonts w:asciiTheme="minorHAnsi" w:hAnsiTheme="minorHAnsi" w:cstheme="minorHAnsi"/>
          <w:bCs/>
          <w:iCs/>
          <w:color w:val="000000"/>
        </w:rPr>
        <w:t xml:space="preserve"> (i.e. during the period when the combined concentrations of PFOS and PFOA in the drinking water</w:t>
      </w:r>
      <w:r w:rsidR="00446788" w:rsidRPr="005553DF">
        <w:rPr>
          <w:rFonts w:asciiTheme="minorHAnsi" w:hAnsiTheme="minorHAnsi" w:cstheme="minorHAnsi"/>
          <w:bCs/>
          <w:iCs/>
          <w:color w:val="000000"/>
        </w:rPr>
        <w:t xml:space="preserve"> serving the area</w:t>
      </w:r>
      <w:r w:rsidR="00D51591" w:rsidRPr="005553DF">
        <w:rPr>
          <w:rFonts w:asciiTheme="minorHAnsi" w:hAnsiTheme="minorHAnsi" w:cstheme="minorHAnsi"/>
          <w:bCs/>
          <w:iCs/>
          <w:color w:val="000000"/>
        </w:rPr>
        <w:t xml:space="preserve"> exceeded 70 parts per trillion) caused by AFFF use</w:t>
      </w:r>
      <w:r w:rsidR="006E50D1" w:rsidRPr="005553DF">
        <w:rPr>
          <w:rFonts w:asciiTheme="minorHAnsi" w:hAnsiTheme="minorHAnsi" w:cstheme="minorHAnsi"/>
          <w:bCs/>
          <w:iCs/>
          <w:color w:val="000000"/>
        </w:rPr>
        <w:t>.</w:t>
      </w:r>
      <w:r w:rsidR="00E71930" w:rsidRPr="005553DF">
        <w:rPr>
          <w:rFonts w:asciiTheme="minorHAnsi" w:hAnsiTheme="minorHAnsi" w:cstheme="minorHAnsi"/>
        </w:rPr>
        <w:t xml:space="preserve"> </w:t>
      </w:r>
    </w:p>
    <w:p w14:paraId="6F91C333" w14:textId="77777777" w:rsidR="006E50D1" w:rsidRPr="005553DF" w:rsidRDefault="006E50D1" w:rsidP="005553DF">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Drinking water exposure from Pease occurred between 2004 and May 2014.</w:t>
      </w:r>
    </w:p>
    <w:p w14:paraId="45FA7B94" w14:textId="77777777" w:rsidR="00291898" w:rsidRPr="005553DF" w:rsidRDefault="004F5A12" w:rsidP="005553DF">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exclude persons </w:t>
      </w:r>
      <w:r w:rsidR="00291898" w:rsidRPr="005553DF">
        <w:rPr>
          <w:rFonts w:asciiTheme="minorHAnsi" w:hAnsiTheme="minorHAnsi" w:cstheme="minorHAnsi"/>
          <w:bCs/>
          <w:iCs/>
          <w:color w:val="000000"/>
        </w:rPr>
        <w:t>ever employed as a firefighter</w:t>
      </w:r>
      <w:r w:rsidR="00614439" w:rsidRPr="005553DF">
        <w:rPr>
          <w:rFonts w:asciiTheme="minorHAnsi" w:hAnsiTheme="minorHAnsi" w:cstheme="minorHAnsi"/>
          <w:bCs/>
          <w:iCs/>
          <w:color w:val="000000"/>
        </w:rPr>
        <w:t xml:space="preserve">, ever </w:t>
      </w:r>
      <w:r w:rsidR="00291898" w:rsidRPr="005553DF">
        <w:rPr>
          <w:rFonts w:asciiTheme="minorHAnsi" w:hAnsiTheme="minorHAnsi" w:cstheme="minorHAnsi"/>
          <w:bCs/>
          <w:iCs/>
          <w:color w:val="000000"/>
        </w:rPr>
        <w:t>participated in fire training exercises using AFFF foam</w:t>
      </w:r>
      <w:r w:rsidR="00614439"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or </w:t>
      </w:r>
      <w:r w:rsidR="00291898" w:rsidRPr="005553DF">
        <w:rPr>
          <w:rFonts w:asciiTheme="minorHAnsi" w:hAnsiTheme="minorHAnsi" w:cstheme="minorHAnsi"/>
          <w:bCs/>
          <w:iCs/>
          <w:color w:val="000000"/>
        </w:rPr>
        <w:t xml:space="preserve">ever employed </w:t>
      </w:r>
      <w:r w:rsidR="00811214" w:rsidRPr="005553DF">
        <w:rPr>
          <w:rFonts w:asciiTheme="minorHAnsi" w:hAnsiTheme="minorHAnsi" w:cstheme="minorHAnsi"/>
          <w:bCs/>
          <w:iCs/>
          <w:color w:val="000000"/>
        </w:rPr>
        <w:t>at industrial facilities that used PFAS chemicals in the manufacturing process</w:t>
      </w:r>
      <w:r w:rsidR="006E50D1" w:rsidRPr="005553DF">
        <w:rPr>
          <w:rFonts w:asciiTheme="minorHAnsi" w:hAnsiTheme="minorHAnsi" w:cstheme="minorHAnsi"/>
          <w:bCs/>
          <w:iCs/>
          <w:color w:val="000000"/>
        </w:rPr>
        <w:t>.</w:t>
      </w:r>
    </w:p>
    <w:p w14:paraId="3563C6F1" w14:textId="77777777" w:rsidR="003072A2" w:rsidRPr="005553DF" w:rsidRDefault="00280FBB"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Apart </w:t>
      </w:r>
      <w:r w:rsidR="00AE6BDD" w:rsidRPr="005553DF">
        <w:rPr>
          <w:rFonts w:asciiTheme="minorHAnsi" w:hAnsiTheme="minorHAnsi" w:cstheme="minorHAnsi"/>
          <w:bCs/>
          <w:iCs/>
          <w:color w:val="000000"/>
        </w:rPr>
        <w:t>from the occupational exposure exclusion, t</w:t>
      </w:r>
      <w:r w:rsidR="004235DC" w:rsidRPr="005553DF">
        <w:rPr>
          <w:rFonts w:asciiTheme="minorHAnsi" w:hAnsiTheme="minorHAnsi" w:cstheme="minorHAnsi"/>
          <w:bCs/>
          <w:iCs/>
          <w:color w:val="000000"/>
        </w:rPr>
        <w:t>he study will recruit adults who participated in</w:t>
      </w:r>
      <w:r w:rsidR="00E71930" w:rsidRPr="005553DF">
        <w:rPr>
          <w:rFonts w:asciiTheme="minorHAnsi" w:hAnsiTheme="minorHAnsi" w:cstheme="minorHAnsi"/>
          <w:bCs/>
          <w:iCs/>
          <w:color w:val="000000"/>
        </w:rPr>
        <w:t xml:space="preserve"> the Pease biomonitoring program</w:t>
      </w:r>
      <w:r w:rsidR="003072A2" w:rsidRPr="005553DF">
        <w:rPr>
          <w:rFonts w:asciiTheme="minorHAnsi" w:hAnsiTheme="minorHAnsi" w:cstheme="minorHAnsi"/>
          <w:bCs/>
          <w:iCs/>
          <w:color w:val="000000"/>
        </w:rPr>
        <w:t>. A</w:t>
      </w:r>
      <w:r w:rsidR="00E71930" w:rsidRPr="005553DF">
        <w:rPr>
          <w:rFonts w:asciiTheme="minorHAnsi" w:hAnsiTheme="minorHAnsi" w:cstheme="minorHAnsi"/>
          <w:bCs/>
          <w:iCs/>
          <w:color w:val="000000"/>
        </w:rPr>
        <w:t>dults who</w:t>
      </w:r>
      <w:r w:rsidR="001F4D26" w:rsidRPr="005553DF">
        <w:rPr>
          <w:rFonts w:asciiTheme="minorHAnsi" w:hAnsiTheme="minorHAnsi" w:cstheme="minorHAnsi"/>
          <w:bCs/>
          <w:iCs/>
          <w:color w:val="000000"/>
        </w:rPr>
        <w:t xml:space="preserve"> did not participate in biomonitoring program </w:t>
      </w:r>
      <w:r w:rsidR="00E71930" w:rsidRPr="005553DF">
        <w:rPr>
          <w:rFonts w:asciiTheme="minorHAnsi" w:hAnsiTheme="minorHAnsi" w:cstheme="minorHAnsi"/>
          <w:bCs/>
          <w:iCs/>
          <w:color w:val="000000"/>
        </w:rPr>
        <w:t>but meet</w:t>
      </w:r>
      <w:r w:rsidR="001F4D26" w:rsidRPr="005553DF">
        <w:rPr>
          <w:rFonts w:asciiTheme="minorHAnsi" w:hAnsiTheme="minorHAnsi" w:cstheme="minorHAnsi"/>
          <w:bCs/>
          <w:iCs/>
          <w:color w:val="000000"/>
        </w:rPr>
        <w:t xml:space="preserve"> eligibility criteria </w:t>
      </w:r>
      <w:r w:rsidR="00E71930" w:rsidRPr="005553DF">
        <w:rPr>
          <w:rFonts w:asciiTheme="minorHAnsi" w:hAnsiTheme="minorHAnsi" w:cstheme="minorHAnsi"/>
          <w:bCs/>
          <w:iCs/>
          <w:color w:val="000000"/>
        </w:rPr>
        <w:t>could also</w:t>
      </w:r>
      <w:r w:rsidR="001F4D26" w:rsidRPr="005553DF">
        <w:rPr>
          <w:rFonts w:asciiTheme="minorHAnsi" w:hAnsiTheme="minorHAnsi" w:cstheme="minorHAnsi"/>
          <w:bCs/>
          <w:iCs/>
          <w:color w:val="000000"/>
        </w:rPr>
        <w:t xml:space="preserve"> enroll in the current study</w:t>
      </w:r>
      <w:r w:rsidR="003072A2" w:rsidRPr="005553DF">
        <w:rPr>
          <w:rFonts w:asciiTheme="minorHAnsi" w:hAnsiTheme="minorHAnsi" w:cstheme="minorHAnsi"/>
          <w:bCs/>
          <w:iCs/>
          <w:color w:val="000000"/>
        </w:rPr>
        <w:t xml:space="preserve"> in order to meet sample size requirements</w:t>
      </w:r>
      <w:r w:rsidR="004235DC" w:rsidRPr="005553DF">
        <w:rPr>
          <w:rFonts w:asciiTheme="minorHAnsi" w:hAnsiTheme="minorHAnsi" w:cstheme="minorHAnsi"/>
          <w:bCs/>
          <w:iCs/>
          <w:color w:val="000000"/>
        </w:rPr>
        <w:t xml:space="preserve">.  </w:t>
      </w:r>
      <w:r w:rsidR="001D1F31" w:rsidRPr="005553DF">
        <w:rPr>
          <w:rFonts w:asciiTheme="minorHAnsi" w:hAnsiTheme="minorHAnsi" w:cstheme="minorHAnsi"/>
          <w:bCs/>
          <w:iCs/>
          <w:color w:val="000000"/>
        </w:rPr>
        <w:t xml:space="preserve">About 1,430 adults have participated in this program.  A participation rate of 70% would result in a sample size of about 1,000.  In addition, for some of the outcomes of interest, e.g., serum level of total cholesterol, hyperuricemia, and cardiovascular disease, a sample size of 1,000 would be sufficient for PFAS serum levels categorized into quartiles.  </w:t>
      </w:r>
    </w:p>
    <w:p w14:paraId="4FD3CDC9" w14:textId="77777777" w:rsidR="00E10A00" w:rsidRPr="005553DF" w:rsidRDefault="00D33884" w:rsidP="005553DF">
      <w:pPr>
        <w:spacing w:after="240" w:line="360" w:lineRule="auto"/>
        <w:jc w:val="both"/>
        <w:rPr>
          <w:rFonts w:asciiTheme="minorHAnsi" w:hAnsiTheme="minorHAnsi"/>
          <w:color w:val="000000"/>
        </w:rPr>
      </w:pPr>
      <w:r w:rsidRPr="005553DF">
        <w:rPr>
          <w:rFonts w:asciiTheme="minorHAnsi" w:hAnsiTheme="minorHAnsi" w:cstheme="minorHAnsi"/>
          <w:bCs/>
          <w:iCs/>
          <w:color w:val="000000"/>
        </w:rPr>
        <w:t>The study will recruit a comparison population</w:t>
      </w:r>
      <w:r w:rsidR="001D1F31" w:rsidRPr="005553DF">
        <w:rPr>
          <w:rFonts w:asciiTheme="minorHAnsi" w:hAnsiTheme="minorHAnsi" w:cstheme="minorHAnsi"/>
          <w:bCs/>
          <w:iCs/>
          <w:color w:val="000000"/>
        </w:rPr>
        <w:t xml:space="preserve"> of 100 adults</w:t>
      </w:r>
      <w:r w:rsidR="00285577"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00285577" w:rsidRPr="005553DF">
        <w:rPr>
          <w:rFonts w:asciiTheme="minorHAnsi" w:hAnsiTheme="minorHAnsi" w:cstheme="minorHAnsi"/>
          <w:bCs/>
          <w:iCs/>
          <w:color w:val="000000"/>
        </w:rPr>
        <w:t xml:space="preserve">unexposed to the contaminated drinking water at Pease, </w:t>
      </w:r>
      <w:r w:rsidRPr="005553DF">
        <w:rPr>
          <w:rFonts w:asciiTheme="minorHAnsi" w:hAnsiTheme="minorHAnsi" w:cstheme="minorHAnsi"/>
          <w:bCs/>
          <w:iCs/>
          <w:color w:val="000000"/>
        </w:rPr>
        <w:t>consisting of adults aged ≥ 18 years</w:t>
      </w:r>
      <w:r w:rsidR="004235DC" w:rsidRPr="005553DF">
        <w:rPr>
          <w:rFonts w:asciiTheme="minorHAnsi" w:hAnsiTheme="minorHAnsi" w:cstheme="minorHAnsi"/>
          <w:bCs/>
          <w:iCs/>
          <w:color w:val="000000"/>
        </w:rPr>
        <w:t xml:space="preserve">, taking into account the age distribution of the adults who participated in the Pease biomonitoring program.  </w:t>
      </w:r>
    </w:p>
    <w:p w14:paraId="0B8A87BE" w14:textId="77777777" w:rsidR="009B1E2C" w:rsidRPr="005553DF" w:rsidRDefault="00FA4DF1" w:rsidP="005553DF">
      <w:pPr>
        <w:pStyle w:val="Heading2"/>
        <w:spacing w:before="0" w:after="240" w:line="360" w:lineRule="auto"/>
        <w:rPr>
          <w:rFonts w:asciiTheme="minorHAnsi" w:hAnsiTheme="minorHAnsi"/>
          <w:b w:val="0"/>
          <w:i w:val="0"/>
          <w:sz w:val="22"/>
          <w:szCs w:val="22"/>
        </w:rPr>
      </w:pPr>
      <w:bookmarkStart w:id="39" w:name="_Toc532224153"/>
      <w:r w:rsidRPr="005553DF">
        <w:rPr>
          <w:rFonts w:asciiTheme="minorHAnsi" w:hAnsiTheme="minorHAnsi"/>
          <w:i w:val="0"/>
          <w:sz w:val="22"/>
          <w:szCs w:val="22"/>
        </w:rPr>
        <w:t>3.</w:t>
      </w:r>
      <w:r w:rsidR="00484B5D" w:rsidRPr="005553DF">
        <w:rPr>
          <w:rFonts w:asciiTheme="minorHAnsi" w:hAnsiTheme="minorHAnsi"/>
          <w:i w:val="0"/>
          <w:sz w:val="22"/>
          <w:szCs w:val="22"/>
        </w:rPr>
        <w:t>3</w:t>
      </w:r>
      <w:r w:rsidRPr="005553DF">
        <w:rPr>
          <w:rFonts w:asciiTheme="minorHAnsi" w:hAnsiTheme="minorHAnsi"/>
          <w:i w:val="0"/>
          <w:sz w:val="22"/>
          <w:szCs w:val="22"/>
        </w:rPr>
        <w:t xml:space="preserve"> </w:t>
      </w:r>
      <w:r w:rsidR="008F33BE" w:rsidRPr="005553DF">
        <w:rPr>
          <w:rFonts w:asciiTheme="minorHAnsi" w:hAnsiTheme="minorHAnsi"/>
          <w:i w:val="0"/>
          <w:sz w:val="22"/>
          <w:szCs w:val="22"/>
        </w:rPr>
        <w:t>Sample Size Considerations</w:t>
      </w:r>
      <w:bookmarkEnd w:id="39"/>
    </w:p>
    <w:p w14:paraId="5C8630D4" w14:textId="77777777" w:rsidR="00FD66AF" w:rsidRPr="005553DF" w:rsidRDefault="00B01636"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00FD66AF" w:rsidRPr="005553DF">
        <w:rPr>
          <w:rFonts w:asciiTheme="minorHAnsi" w:hAnsiTheme="minorHAnsi" w:cstheme="minorHAnsi"/>
          <w:bCs/>
          <w:iCs/>
          <w:color w:val="000000"/>
        </w:rPr>
        <w:t xml:space="preserve">Pease </w:t>
      </w:r>
      <w:r w:rsidR="009959D0" w:rsidRPr="005553DF">
        <w:rPr>
          <w:rFonts w:asciiTheme="minorHAnsi" w:hAnsiTheme="minorHAnsi" w:cstheme="minorHAnsi"/>
          <w:bCs/>
          <w:iCs/>
          <w:color w:val="000000"/>
        </w:rPr>
        <w:t>f</w:t>
      </w:r>
      <w:r w:rsidRPr="005553DF">
        <w:rPr>
          <w:rFonts w:asciiTheme="minorHAnsi" w:hAnsiTheme="minorHAnsi" w:cstheme="minorHAnsi"/>
          <w:bCs/>
          <w:iCs/>
          <w:color w:val="000000"/>
        </w:rPr>
        <w:t xml:space="preserve">easibility </w:t>
      </w:r>
      <w:r w:rsidR="009959D0" w:rsidRPr="005553DF">
        <w:rPr>
          <w:rFonts w:asciiTheme="minorHAnsi" w:hAnsiTheme="minorHAnsi" w:cstheme="minorHAnsi"/>
          <w:bCs/>
          <w:iCs/>
          <w:color w:val="000000"/>
        </w:rPr>
        <w:t>a</w:t>
      </w:r>
      <w:r w:rsidRPr="005553DF">
        <w:rPr>
          <w:rFonts w:asciiTheme="minorHAnsi" w:hAnsiTheme="minorHAnsi" w:cstheme="minorHAnsi"/>
          <w:bCs/>
          <w:iCs/>
          <w:color w:val="000000"/>
        </w:rPr>
        <w:t xml:space="preserve">ssessment included sample size calculations for a wide range of </w:t>
      </w:r>
      <w:r w:rsidR="00FD66AF" w:rsidRPr="005553DF">
        <w:rPr>
          <w:rFonts w:asciiTheme="minorHAnsi" w:hAnsiTheme="minorHAnsi" w:cstheme="minorHAnsi"/>
          <w:bCs/>
          <w:iCs/>
          <w:color w:val="000000"/>
        </w:rPr>
        <w:t xml:space="preserve">health related </w:t>
      </w:r>
      <w:r w:rsidRPr="005553DF">
        <w:rPr>
          <w:rFonts w:asciiTheme="minorHAnsi" w:hAnsiTheme="minorHAnsi" w:cstheme="minorHAnsi"/>
          <w:bCs/>
          <w:iCs/>
          <w:color w:val="000000"/>
        </w:rPr>
        <w:t>outcomes</w:t>
      </w:r>
      <w:r w:rsidR="009959D0" w:rsidRPr="005553DF">
        <w:rPr>
          <w:rFonts w:asciiTheme="minorHAnsi" w:hAnsiTheme="minorHAnsi" w:cstheme="minorHAnsi"/>
          <w:bCs/>
          <w:iCs/>
          <w:color w:val="000000"/>
        </w:rPr>
        <w:t xml:space="preserve"> (ATSDR 2017</w:t>
      </w:r>
      <w:r w:rsidR="001426C2" w:rsidRPr="005553DF">
        <w:rPr>
          <w:rFonts w:asciiTheme="minorHAnsi" w:hAnsiTheme="minorHAnsi" w:cstheme="minorHAnsi"/>
          <w:bCs/>
          <w:iCs/>
          <w:color w:val="000000"/>
        </w:rPr>
        <w:t>a</w:t>
      </w:r>
      <w:r w:rsidR="009959D0"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00FD66AF" w:rsidRPr="005553DF">
        <w:rPr>
          <w:rFonts w:asciiTheme="minorHAnsi" w:hAnsiTheme="minorHAnsi" w:cstheme="minorHAnsi"/>
        </w:rPr>
        <w:t>Sample size calculations selected a type 1 (“α error”) of .05 and type 2 error (“β error</w:t>
      </w:r>
      <w:r w:rsidR="00330309" w:rsidRPr="005553DF">
        <w:rPr>
          <w:rFonts w:asciiTheme="minorHAnsi" w:hAnsiTheme="minorHAnsi" w:cstheme="minorHAnsi"/>
        </w:rPr>
        <w:t>”</w:t>
      </w:r>
      <w:r w:rsidR="00FD66AF" w:rsidRPr="005553DF">
        <w:rPr>
          <w:rFonts w:asciiTheme="minorHAnsi" w:hAnsiTheme="minorHAnsi" w:cstheme="minorHAnsi"/>
        </w:rPr>
        <w:t>) of .20.  The tables present sample sizes per stratum for specific outcomes for children (Table 1) and for adults (Table 2).  To determine effect sizes that are reasonable to detect, we selected epidemiological studies considered most representative of the U.S. population exposed to PFAS-contaminated drinking water caused by AFFF use at military facilities.  Studies conducted using NHANES data had PFOA and PFHxS serum levels similar to or lower than those observed at number of potential study sites. In some of the more recent NHANES studies, the PFOS serum levels were only moderately higher than at Pease or other sites. Therefore, the PFOS, PFOA and PFHxS results in the NHANES studies were used in many of the sample size calculations. For those outcomes not included in NHANES studies, the C8 studies were used.  The C8 results were considered more representative of U.S. populations (e.g., in background disease rates and prevalence of non-PFAS risk factors) than studies conducted in other countries, although the PFOS, and especially the PFOA, serum levels in the C8 studies were higher than at Pease.</w:t>
      </w:r>
      <w:r w:rsidR="00FD66AF" w:rsidRPr="005553DF">
        <w:rPr>
          <w:rFonts w:asciiTheme="minorHAnsi" w:hAnsiTheme="minorHAnsi" w:cstheme="minorHAnsi"/>
          <w:i/>
        </w:rPr>
        <w:t xml:space="preserve"> </w:t>
      </w:r>
      <w:r w:rsidR="00FD66AF" w:rsidRPr="005553DF">
        <w:rPr>
          <w:rFonts w:asciiTheme="minorHAnsi" w:hAnsiTheme="minorHAnsi" w:cstheme="minorHAnsi"/>
        </w:rPr>
        <w:t xml:space="preserve">The total sample sizes for children and adults should allow for the categorization of PFAS serum levels (or cumulative PFAS serum levels) into e.g. quartiles of exposure: reference level, low, medium and high.  </w:t>
      </w:r>
    </w:p>
    <w:p w14:paraId="230C26AF" w14:textId="77777777" w:rsidR="00FD66AF" w:rsidRPr="005553DF" w:rsidRDefault="00832E6B" w:rsidP="005553DF">
      <w:pPr>
        <w:spacing w:after="240" w:line="360" w:lineRule="auto"/>
        <w:jc w:val="both"/>
        <w:rPr>
          <w:rFonts w:asciiTheme="minorHAnsi" w:hAnsiTheme="minorHAnsi" w:cstheme="minorHAnsi"/>
          <w:bCs/>
          <w:iCs/>
          <w:color w:val="000000"/>
        </w:rPr>
      </w:pPr>
      <w:r w:rsidRPr="005553DF">
        <w:rPr>
          <w:rFonts w:asciiTheme="minorHAnsi" w:hAnsiTheme="minorHAnsi"/>
          <w:b/>
          <w:color w:val="000000"/>
        </w:rPr>
        <w:t>Attachment 4</w:t>
      </w:r>
      <w:r w:rsidR="00FD66AF" w:rsidRPr="005553DF">
        <w:rPr>
          <w:rFonts w:asciiTheme="minorHAnsi" w:hAnsiTheme="minorHAnsi" w:cstheme="minorHAnsi"/>
          <w:bCs/>
          <w:iCs/>
          <w:color w:val="000000"/>
        </w:rPr>
        <w:t xml:space="preserve"> includes additional information and assumptions pertinent to selected health outcomes to be studied.</w:t>
      </w:r>
    </w:p>
    <w:p w14:paraId="2434D01B" w14:textId="77777777" w:rsidR="001F0CBB" w:rsidRPr="005553DF" w:rsidRDefault="00FA4DF1" w:rsidP="005553DF">
      <w:pPr>
        <w:pStyle w:val="Heading3"/>
        <w:spacing w:before="0" w:after="240" w:line="360" w:lineRule="auto"/>
        <w:jc w:val="both"/>
        <w:rPr>
          <w:rFonts w:asciiTheme="minorHAnsi" w:hAnsiTheme="minorHAnsi"/>
          <w:i/>
          <w:color w:val="auto"/>
        </w:rPr>
      </w:pPr>
      <w:bookmarkStart w:id="40" w:name="_Toc532224154"/>
      <w:r w:rsidRPr="005553DF">
        <w:rPr>
          <w:rFonts w:asciiTheme="minorHAnsi" w:hAnsiTheme="minorHAnsi"/>
          <w:i/>
          <w:color w:val="auto"/>
        </w:rPr>
        <w:t>3.</w:t>
      </w:r>
      <w:r w:rsidR="00484B5D" w:rsidRPr="005553DF">
        <w:rPr>
          <w:rFonts w:asciiTheme="minorHAnsi" w:hAnsiTheme="minorHAnsi" w:cstheme="minorHAnsi"/>
          <w:i/>
          <w:color w:val="auto"/>
        </w:rPr>
        <w:t>3</w:t>
      </w:r>
      <w:r w:rsidR="001F0716" w:rsidRPr="005553DF">
        <w:rPr>
          <w:rFonts w:asciiTheme="minorHAnsi" w:hAnsiTheme="minorHAnsi" w:cstheme="minorHAnsi"/>
          <w:i/>
          <w:color w:val="auto"/>
        </w:rPr>
        <w:t>.</w:t>
      </w:r>
      <w:r w:rsidRPr="005553DF">
        <w:rPr>
          <w:rFonts w:asciiTheme="minorHAnsi" w:hAnsiTheme="minorHAnsi" w:cstheme="minorHAnsi"/>
          <w:i/>
          <w:color w:val="auto"/>
        </w:rPr>
        <w:t>1</w:t>
      </w:r>
      <w:r w:rsidRPr="005553DF">
        <w:rPr>
          <w:rFonts w:asciiTheme="minorHAnsi" w:hAnsiTheme="minorHAnsi"/>
          <w:i/>
          <w:color w:val="auto"/>
        </w:rPr>
        <w:t xml:space="preserve"> </w:t>
      </w:r>
      <w:r w:rsidR="001F0CBB" w:rsidRPr="005553DF">
        <w:rPr>
          <w:rFonts w:asciiTheme="minorHAnsi" w:hAnsiTheme="minorHAnsi"/>
          <w:i/>
          <w:color w:val="auto"/>
        </w:rPr>
        <w:t>Child</w:t>
      </w:r>
      <w:r w:rsidR="00B12B91" w:rsidRPr="005553DF">
        <w:rPr>
          <w:rFonts w:asciiTheme="minorHAnsi" w:hAnsiTheme="minorHAnsi"/>
          <w:i/>
          <w:color w:val="auto"/>
        </w:rPr>
        <w:t>ren</w:t>
      </w:r>
      <w:bookmarkEnd w:id="40"/>
    </w:p>
    <w:p w14:paraId="19206F0E"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For children, </w:t>
      </w:r>
      <w:r w:rsidRPr="005553DF">
        <w:rPr>
          <w:rFonts w:asciiTheme="minorHAnsi" w:hAnsiTheme="minorHAnsi"/>
          <w:b/>
        </w:rPr>
        <w:t>Table 1</w:t>
      </w:r>
      <w:r w:rsidRPr="005553DF">
        <w:rPr>
          <w:rFonts w:asciiTheme="minorHAnsi" w:hAnsiTheme="minorHAnsi"/>
        </w:rPr>
        <w:t xml:space="preserve"> (and </w:t>
      </w:r>
      <w:r w:rsidRPr="005553DF">
        <w:rPr>
          <w:rFonts w:asciiTheme="minorHAnsi" w:hAnsiTheme="minorHAnsi"/>
          <w:b/>
        </w:rPr>
        <w:t>A</w:t>
      </w:r>
      <w:r w:rsidR="009F0DE9" w:rsidRPr="005553DF">
        <w:rPr>
          <w:rFonts w:asciiTheme="minorHAnsi" w:hAnsiTheme="minorHAnsi"/>
          <w:b/>
        </w:rPr>
        <w:t>ttachment 4</w:t>
      </w:r>
      <w:r w:rsidR="00832E6B" w:rsidRPr="005553DF">
        <w:rPr>
          <w:rFonts w:asciiTheme="minorHAnsi" w:hAnsiTheme="minorHAnsi"/>
          <w:b/>
        </w:rPr>
        <w:t>a</w:t>
      </w:r>
      <w:r w:rsidRPr="005553DF">
        <w:rPr>
          <w:rFonts w:asciiTheme="minorHAnsi" w:hAnsiTheme="minorHAnsi"/>
        </w:rPr>
        <w:t>)</w:t>
      </w:r>
      <w:r w:rsidRPr="005553DF">
        <w:rPr>
          <w:rFonts w:asciiTheme="minorHAnsi" w:hAnsiTheme="minorHAnsi" w:cstheme="minorHAnsi"/>
        </w:rPr>
        <w:t xml:space="preserve"> provide the sample size calculations for several health outcomes of interest assuming a type 1 (“α error”) of .05 and type 2 error (“β error) of .20. </w:t>
      </w:r>
      <w:r w:rsidRPr="005553DF">
        <w:t xml:space="preserve">It was considered important that a study have a total sample size so that exposures could be categorized </w:t>
      </w:r>
      <w:r w:rsidR="00CE5CBF" w:rsidRPr="005553DF">
        <w:t>into tertiles (i.e., reference, medium, and high</w:t>
      </w:r>
      <w:r w:rsidRPr="005553DF">
        <w:t xml:space="preserve">) or preferably into </w:t>
      </w:r>
      <w:r w:rsidR="00CE5CBF" w:rsidRPr="005553DF">
        <w:t>quartiles (i.e., reference</w:t>
      </w:r>
      <w:r w:rsidRPr="005553DF">
        <w:t>, low, medium and high).</w:t>
      </w:r>
      <w:r w:rsidRPr="005553DF">
        <w:rPr>
          <w:rFonts w:asciiTheme="minorHAnsi" w:hAnsiTheme="minorHAnsi" w:cstheme="minorHAnsi"/>
        </w:rPr>
        <w:t xml:space="preserve">  Per stratum estimates of needed sample size have been calculated based on different prevalence of outcomes and detected odds ratios or mean difference.  </w:t>
      </w:r>
    </w:p>
    <w:p w14:paraId="0C513E5C"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The proposed sample size</w:t>
      </w:r>
      <w:r w:rsidR="00CE5CBF" w:rsidRPr="005553DF">
        <w:rPr>
          <w:rFonts w:asciiTheme="minorHAnsi" w:hAnsiTheme="minorHAnsi" w:cstheme="minorHAnsi"/>
        </w:rPr>
        <w:t xml:space="preserve"> (350 exposed and 175 referents)</w:t>
      </w:r>
      <w:r w:rsidRPr="005553DF">
        <w:rPr>
          <w:rFonts w:asciiTheme="minorHAnsi" w:hAnsiTheme="minorHAnsi" w:cstheme="minorHAnsi"/>
        </w:rPr>
        <w:t xml:space="preserve"> is large enough to effectively evaluate</w:t>
      </w:r>
      <w:r w:rsidR="00BE1DA7" w:rsidRPr="005553DF">
        <w:rPr>
          <w:rFonts w:asciiTheme="minorHAnsi" w:hAnsiTheme="minorHAnsi" w:cstheme="minorHAnsi"/>
        </w:rPr>
        <w:t xml:space="preserve"> some</w:t>
      </w:r>
      <w:r w:rsidRPr="005553DF">
        <w:rPr>
          <w:rFonts w:asciiTheme="minorHAnsi" w:hAnsiTheme="minorHAnsi" w:cstheme="minorHAnsi"/>
        </w:rPr>
        <w:t xml:space="preserve"> of </w:t>
      </w:r>
      <w:r w:rsidR="00BE1DA7" w:rsidRPr="005553DF">
        <w:rPr>
          <w:rFonts w:asciiTheme="minorHAnsi" w:hAnsiTheme="minorHAnsi" w:cstheme="minorHAnsi"/>
        </w:rPr>
        <w:t xml:space="preserve">the </w:t>
      </w:r>
      <w:r w:rsidRPr="005553DF">
        <w:rPr>
          <w:rFonts w:asciiTheme="minorHAnsi" w:hAnsiTheme="minorHAnsi" w:cstheme="minorHAnsi"/>
        </w:rPr>
        <w:t>health outcomes identified in</w:t>
      </w:r>
      <w:r w:rsidR="00BE1DA7" w:rsidRPr="005553DF">
        <w:rPr>
          <w:rFonts w:asciiTheme="minorHAnsi" w:hAnsiTheme="minorHAnsi" w:cstheme="minorHAnsi"/>
        </w:rPr>
        <w:t xml:space="preserve"> the</w:t>
      </w:r>
      <w:r w:rsidRPr="005553DF">
        <w:rPr>
          <w:rFonts w:asciiTheme="minorHAnsi" w:hAnsiTheme="minorHAnsi" w:cstheme="minorHAnsi"/>
        </w:rPr>
        <w:t xml:space="preserve"> literature review and the recent systematic review (Rapazzo 2017) as potentially associated with PFAS in children</w:t>
      </w:r>
      <w:r w:rsidR="00CE5CBF" w:rsidRPr="005553DF">
        <w:rPr>
          <w:rFonts w:asciiTheme="minorHAnsi" w:hAnsiTheme="minorHAnsi" w:cstheme="minorHAnsi"/>
        </w:rPr>
        <w:t xml:space="preserve"> (i.e.</w:t>
      </w:r>
      <w:r w:rsidR="004F397C" w:rsidRPr="005553DF">
        <w:rPr>
          <w:rFonts w:asciiTheme="minorHAnsi" w:hAnsiTheme="minorHAnsi" w:cstheme="minorHAnsi"/>
        </w:rPr>
        <w:t xml:space="preserve"> difference in lipids or renal</w:t>
      </w:r>
      <w:r w:rsidR="00CE5CBF" w:rsidRPr="005553DF">
        <w:rPr>
          <w:rFonts w:asciiTheme="minorHAnsi" w:hAnsiTheme="minorHAnsi" w:cstheme="minorHAnsi"/>
        </w:rPr>
        <w:t xml:space="preserve"> function). </w:t>
      </w:r>
      <w:r w:rsidR="00BE1DA7" w:rsidRPr="005553DF">
        <w:rPr>
          <w:rFonts w:asciiTheme="minorHAnsi" w:hAnsiTheme="minorHAnsi" w:cstheme="minorHAnsi"/>
        </w:rPr>
        <w:t>A</w:t>
      </w:r>
      <w:r w:rsidRPr="005553DF">
        <w:rPr>
          <w:rFonts w:asciiTheme="minorHAnsi" w:hAnsiTheme="minorHAnsi" w:cstheme="minorHAnsi"/>
        </w:rPr>
        <w:t xml:space="preserve"> </w:t>
      </w:r>
      <w:r w:rsidR="00BE1DA7" w:rsidRPr="005553DF">
        <w:rPr>
          <w:rFonts w:asciiTheme="minorHAnsi" w:hAnsiTheme="minorHAnsi" w:cstheme="minorHAnsi"/>
        </w:rPr>
        <w:t>l</w:t>
      </w:r>
      <w:r w:rsidR="00CE5CBF" w:rsidRPr="005553DF">
        <w:rPr>
          <w:rFonts w:asciiTheme="minorHAnsi" w:hAnsiTheme="minorHAnsi" w:cstheme="minorHAnsi"/>
        </w:rPr>
        <w:t>arger multi-</w:t>
      </w:r>
      <w:r w:rsidR="009E1567" w:rsidRPr="005553DF">
        <w:rPr>
          <w:rFonts w:asciiTheme="minorHAnsi" w:hAnsiTheme="minorHAnsi" w:cstheme="minorHAnsi"/>
        </w:rPr>
        <w:t>site study</w:t>
      </w:r>
      <w:r w:rsidR="004F397C" w:rsidRPr="005553DF">
        <w:rPr>
          <w:rFonts w:asciiTheme="minorHAnsi" w:hAnsiTheme="minorHAnsi" w:cstheme="minorHAnsi"/>
        </w:rPr>
        <w:t xml:space="preserve"> (</w:t>
      </w:r>
      <w:r w:rsidR="00BE1DA7" w:rsidRPr="005553DF">
        <w:rPr>
          <w:rFonts w:asciiTheme="minorHAnsi" w:hAnsiTheme="minorHAnsi" w:cstheme="minorHAnsi"/>
        </w:rPr>
        <w:t>≥</w:t>
      </w:r>
      <w:r w:rsidR="004F397C" w:rsidRPr="005553DF">
        <w:rPr>
          <w:rFonts w:asciiTheme="minorHAnsi" w:hAnsiTheme="minorHAnsi" w:cstheme="minorHAnsi"/>
        </w:rPr>
        <w:t>2,000 children)</w:t>
      </w:r>
      <w:r w:rsidR="009E1567" w:rsidRPr="005553DF">
        <w:rPr>
          <w:rFonts w:asciiTheme="minorHAnsi" w:hAnsiTheme="minorHAnsi" w:cstheme="minorHAnsi"/>
        </w:rPr>
        <w:t xml:space="preserve"> </w:t>
      </w:r>
      <w:r w:rsidR="00CE5CBF" w:rsidRPr="005553DF">
        <w:rPr>
          <w:rFonts w:asciiTheme="minorHAnsi" w:hAnsiTheme="minorHAnsi" w:cstheme="minorHAnsi"/>
        </w:rPr>
        <w:t>is</w:t>
      </w:r>
      <w:r w:rsidR="009E1567" w:rsidRPr="005553DF">
        <w:rPr>
          <w:rFonts w:asciiTheme="minorHAnsi" w:hAnsiTheme="minorHAnsi" w:cstheme="minorHAnsi"/>
        </w:rPr>
        <w:t xml:space="preserve"> needed to </w:t>
      </w:r>
      <w:r w:rsidR="00334ECF" w:rsidRPr="005553DF">
        <w:rPr>
          <w:rFonts w:asciiTheme="minorHAnsi" w:hAnsiTheme="minorHAnsi" w:cstheme="minorHAnsi"/>
        </w:rPr>
        <w:t xml:space="preserve">effectively </w:t>
      </w:r>
      <w:r w:rsidR="009E1567" w:rsidRPr="005553DF">
        <w:rPr>
          <w:rFonts w:asciiTheme="minorHAnsi" w:hAnsiTheme="minorHAnsi" w:cstheme="minorHAnsi"/>
        </w:rPr>
        <w:t>evaluate other health outcomes</w:t>
      </w:r>
      <w:r w:rsidR="004F397C" w:rsidRPr="005553DF">
        <w:rPr>
          <w:rFonts w:asciiTheme="minorHAnsi" w:hAnsiTheme="minorHAnsi" w:cstheme="minorHAnsi"/>
        </w:rPr>
        <w:t xml:space="preserve"> of interest (ATSDR 2017a).</w:t>
      </w:r>
    </w:p>
    <w:p w14:paraId="23D213D5"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Th</w:t>
      </w:r>
      <w:r w:rsidR="00F732EE" w:rsidRPr="005553DF">
        <w:rPr>
          <w:rFonts w:asciiTheme="minorHAnsi" w:hAnsiTheme="minorHAnsi" w:cstheme="minorHAnsi"/>
        </w:rPr>
        <w:t>e health outcomes and biom</w:t>
      </w:r>
      <w:r w:rsidR="00330309" w:rsidRPr="005553DF">
        <w:rPr>
          <w:rFonts w:asciiTheme="minorHAnsi" w:hAnsiTheme="minorHAnsi" w:cstheme="minorHAnsi"/>
        </w:rPr>
        <w:t>arkers studied</w:t>
      </w:r>
      <w:r w:rsidRPr="005553DF">
        <w:rPr>
          <w:rFonts w:asciiTheme="minorHAnsi" w:hAnsiTheme="minorHAnsi" w:cstheme="minorHAnsi"/>
        </w:rPr>
        <w:t xml:space="preserve"> would include mean difference in total cholesterol (ranging from 156 to 637 per stratum), uric acid levels (556 per stratum), estimated glomerular filtration rate (eGFR; 275 per stratum), testosterone (about 400 per stratum) and insulin growth factor-1 (IGF-1; 146 per stratum).  Based on our estimations, we would also be able to detect mean differences for TT4 (1,080 per stratum), obesity, atopic dermatitis,</w:t>
      </w:r>
      <w:r w:rsidR="007448ED" w:rsidRPr="005553DF">
        <w:rPr>
          <w:rFonts w:asciiTheme="minorHAnsi" w:hAnsiTheme="minorHAnsi" w:cstheme="minorHAnsi"/>
        </w:rPr>
        <w:t xml:space="preserve"> </w:t>
      </w:r>
      <w:r w:rsidRPr="005553DF">
        <w:rPr>
          <w:rFonts w:asciiTheme="minorHAnsi" w:hAnsiTheme="minorHAnsi" w:cstheme="minorHAnsi"/>
        </w:rPr>
        <w:t>and in full scale IQ that are similar</w:t>
      </w:r>
      <w:r w:rsidR="00330309" w:rsidRPr="005553DF">
        <w:rPr>
          <w:rFonts w:asciiTheme="minorHAnsi" w:hAnsiTheme="minorHAnsi" w:cstheme="minorHAnsi"/>
        </w:rPr>
        <w:t xml:space="preserve"> to</w:t>
      </w:r>
      <w:r w:rsidRPr="005553DF">
        <w:rPr>
          <w:rFonts w:asciiTheme="minorHAnsi" w:hAnsiTheme="minorHAnsi" w:cstheme="minorHAnsi"/>
        </w:rPr>
        <w:t xml:space="preserve"> or </w:t>
      </w:r>
      <w:r w:rsidR="00330309" w:rsidRPr="005553DF">
        <w:rPr>
          <w:rFonts w:asciiTheme="minorHAnsi" w:hAnsiTheme="minorHAnsi" w:cstheme="minorHAnsi"/>
        </w:rPr>
        <w:t xml:space="preserve">smaller </w:t>
      </w:r>
      <w:r w:rsidRPr="005553DF">
        <w:rPr>
          <w:rFonts w:asciiTheme="minorHAnsi" w:hAnsiTheme="minorHAnsi" w:cstheme="minorHAnsi"/>
        </w:rPr>
        <w:t xml:space="preserve"> than those reported in some studies of children exposed to PFAS compounds (</w:t>
      </w:r>
      <w:r w:rsidR="00A2302A" w:rsidRPr="005553DF">
        <w:rPr>
          <w:rFonts w:asciiTheme="minorHAnsi" w:hAnsiTheme="minorHAnsi" w:cstheme="minorHAnsi"/>
        </w:rPr>
        <w:t>Wang 2011, Karlsen 2017</w:t>
      </w:r>
      <w:r w:rsidRPr="005553DF">
        <w:rPr>
          <w:rFonts w:asciiTheme="minorHAnsi" w:hAnsiTheme="minorHAnsi" w:cstheme="minorHAnsi"/>
        </w:rPr>
        <w:t xml:space="preserve">, Lin 2013; Stein 2014). </w:t>
      </w:r>
    </w:p>
    <w:p w14:paraId="4D4FA600"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An NHANES study of estimated glomerular filtration rate observed statistically significant findings with a total sample size of just under 2,000 children (Kataria 2015).  For thyroid function, estradiol, delayed puberty, and asthma, a total sample sizes of 2</w:t>
      </w:r>
      <w:r w:rsidR="008C6B07" w:rsidRPr="005553DF">
        <w:rPr>
          <w:rFonts w:asciiTheme="minorHAnsi" w:hAnsiTheme="minorHAnsi" w:cstheme="minorHAnsi"/>
        </w:rPr>
        <w:t>,</w:t>
      </w:r>
      <w:r w:rsidRPr="005553DF">
        <w:rPr>
          <w:rFonts w:asciiTheme="minorHAnsi" w:hAnsiTheme="minorHAnsi" w:cstheme="minorHAnsi"/>
        </w:rPr>
        <w:t xml:space="preserve">000 children may be sufficient, although larger sample sizes would be optimal (Lopez-Espinosa 2011, 2012; Stein 2016).  </w:t>
      </w:r>
    </w:p>
    <w:p w14:paraId="03A01CC1" w14:textId="3099D730" w:rsidR="00662901" w:rsidRPr="005553DF" w:rsidRDefault="004F397C" w:rsidP="005553DF">
      <w:pPr>
        <w:spacing w:after="240" w:line="360" w:lineRule="auto"/>
        <w:jc w:val="both"/>
        <w:rPr>
          <w:rFonts w:asciiTheme="minorHAnsi" w:hAnsiTheme="minorHAnsi" w:cstheme="minorHAnsi"/>
        </w:rPr>
      </w:pPr>
      <w:r w:rsidRPr="005553DF">
        <w:rPr>
          <w:rFonts w:asciiTheme="minorHAnsi" w:hAnsiTheme="minorHAnsi" w:cstheme="minorHAnsi"/>
        </w:rPr>
        <w:t>We should note that</w:t>
      </w:r>
      <w:r w:rsidR="00662901" w:rsidRPr="005553DF">
        <w:rPr>
          <w:rFonts w:asciiTheme="minorHAnsi" w:hAnsiTheme="minorHAnsi" w:cstheme="minorHAnsi"/>
        </w:rPr>
        <w:t xml:space="preserve"> several well designed epidemiological studies of children exposed to PFAS that reported robust associations with these health outcomes had similar or smaller sample sizes</w:t>
      </w:r>
      <w:r w:rsidRPr="005553DF">
        <w:rPr>
          <w:rFonts w:asciiTheme="minorHAnsi" w:hAnsiTheme="minorHAnsi" w:cstheme="minorHAnsi"/>
        </w:rPr>
        <w:t xml:space="preserve"> than the one proposed for </w:t>
      </w:r>
      <w:r w:rsidR="009F4E59" w:rsidRPr="005553DF">
        <w:rPr>
          <w:rFonts w:asciiTheme="minorHAnsi" w:hAnsiTheme="minorHAnsi" w:cstheme="minorHAnsi"/>
        </w:rPr>
        <w:t>Pease Study</w:t>
      </w:r>
      <w:r w:rsidR="00662901" w:rsidRPr="005553DF">
        <w:rPr>
          <w:rFonts w:asciiTheme="minorHAnsi" w:hAnsiTheme="minorHAnsi" w:cstheme="minorHAnsi"/>
        </w:rPr>
        <w:t>, e.g., studies conducted in Taiwan (Zeng 2015, Lin 2013), Avon, UK (Maisonet 2015a</w:t>
      </w:r>
      <w:r w:rsidR="00F730BE" w:rsidRPr="005553DF">
        <w:rPr>
          <w:rFonts w:asciiTheme="minorHAnsi" w:hAnsiTheme="minorHAnsi" w:cstheme="minorHAnsi"/>
        </w:rPr>
        <w:t>, b</w:t>
      </w:r>
      <w:r w:rsidR="00662901" w:rsidRPr="005553DF">
        <w:rPr>
          <w:rFonts w:asciiTheme="minorHAnsi" w:hAnsiTheme="minorHAnsi" w:cstheme="minorHAnsi"/>
        </w:rPr>
        <w:t xml:space="preserve">), and C8 studies of IQ (Stein 2013) and ADHD behaviors (Stein 2014). </w:t>
      </w:r>
      <w:r w:rsidRPr="005553DF">
        <w:rPr>
          <w:rFonts w:asciiTheme="minorHAnsi" w:hAnsiTheme="minorHAnsi" w:cstheme="minorHAnsi"/>
        </w:rPr>
        <w:t xml:space="preserve"> Valuable findings on </w:t>
      </w:r>
      <w:r w:rsidR="00BE1DA7" w:rsidRPr="005553DF">
        <w:rPr>
          <w:rFonts w:asciiTheme="minorHAnsi" w:hAnsiTheme="minorHAnsi" w:cstheme="minorHAnsi"/>
        </w:rPr>
        <w:t>i</w:t>
      </w:r>
      <w:r w:rsidRPr="005553DF">
        <w:rPr>
          <w:rFonts w:asciiTheme="minorHAnsi" w:hAnsiTheme="minorHAnsi" w:cstheme="minorHAnsi"/>
        </w:rPr>
        <w:t xml:space="preserve">mmune function including vaccine response that we would also like to study were also reported from studies of similar sample sizes </w:t>
      </w:r>
      <w:r w:rsidR="00E719A9">
        <w:rPr>
          <w:rFonts w:asciiTheme="minorHAnsi" w:hAnsiTheme="minorHAnsi" w:cstheme="minorHAnsi"/>
        </w:rPr>
        <w:t>(Grandjean 2012, 2017</w:t>
      </w:r>
      <w:r w:rsidR="00662901" w:rsidRPr="005553DF">
        <w:rPr>
          <w:rFonts w:asciiTheme="minorHAnsi" w:hAnsiTheme="minorHAnsi" w:cstheme="minorHAnsi"/>
        </w:rPr>
        <w:t xml:space="preserve">; Granum 2013, Stein 2016). </w:t>
      </w:r>
    </w:p>
    <w:p w14:paraId="307BC7EB"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In summary, a total sample size of </w:t>
      </w:r>
      <w:r w:rsidR="00BE1DA7" w:rsidRPr="005553DF">
        <w:rPr>
          <w:rFonts w:asciiTheme="minorHAnsi" w:hAnsiTheme="minorHAnsi" w:cstheme="minorHAnsi"/>
        </w:rPr>
        <w:t>≥</w:t>
      </w:r>
      <w:r w:rsidRPr="005553DF">
        <w:rPr>
          <w:rFonts w:asciiTheme="minorHAnsi" w:hAnsiTheme="minorHAnsi" w:cstheme="minorHAnsi"/>
        </w:rPr>
        <w:t>2,000 would be sufficient to evaluate a wide range of biomarkers and outcomes including lipids (and hypercholesterolemia), uric acid (and hyperuricemia), estimated glomerular filtration rate, testosterone, IGF</w:t>
      </w:r>
      <w:r w:rsidR="004F397C" w:rsidRPr="005553DF">
        <w:rPr>
          <w:rFonts w:asciiTheme="minorHAnsi" w:hAnsiTheme="minorHAnsi" w:cstheme="minorHAnsi"/>
        </w:rPr>
        <w:t xml:space="preserve">-1, </w:t>
      </w:r>
      <w:r w:rsidRPr="005553DF">
        <w:rPr>
          <w:rFonts w:asciiTheme="minorHAnsi" w:hAnsiTheme="minorHAnsi" w:cstheme="minorHAnsi"/>
        </w:rPr>
        <w:t>neurobehavioral measures (executive function, attention, I</w:t>
      </w:r>
      <w:r w:rsidR="004F397C" w:rsidRPr="005553DF">
        <w:rPr>
          <w:rFonts w:asciiTheme="minorHAnsi" w:hAnsiTheme="minorHAnsi" w:cstheme="minorHAnsi"/>
        </w:rPr>
        <w:t>Q) and ADHD, rhinitis,</w:t>
      </w:r>
      <w:r w:rsidRPr="005553DF">
        <w:rPr>
          <w:rFonts w:asciiTheme="minorHAnsi" w:hAnsiTheme="minorHAnsi" w:cstheme="minorHAnsi"/>
        </w:rPr>
        <w:t xml:space="preserve"> and obesity.</w:t>
      </w:r>
      <w:r w:rsidR="00CE5CBF" w:rsidRPr="005553DF">
        <w:rPr>
          <w:rFonts w:asciiTheme="minorHAnsi" w:hAnsiTheme="minorHAnsi" w:cstheme="minorHAnsi"/>
        </w:rPr>
        <w:t xml:space="preserve"> </w:t>
      </w:r>
      <w:r w:rsidR="00334ECF" w:rsidRPr="005553DF">
        <w:rPr>
          <w:rFonts w:asciiTheme="minorHAnsi" w:hAnsiTheme="minorHAnsi" w:cstheme="minorHAnsi"/>
        </w:rPr>
        <w:t xml:space="preserve"> </w:t>
      </w:r>
      <w:r w:rsidR="00BE1DA7" w:rsidRPr="005553DF">
        <w:rPr>
          <w:rFonts w:asciiTheme="minorHAnsi" w:hAnsiTheme="minorHAnsi" w:cstheme="minorHAnsi"/>
        </w:rPr>
        <w:t xml:space="preserve">The </w:t>
      </w:r>
      <w:r w:rsidR="0002344A" w:rsidRPr="005553DF">
        <w:rPr>
          <w:rFonts w:asciiTheme="minorHAnsi" w:hAnsiTheme="minorHAnsi" w:cstheme="minorHAnsi"/>
        </w:rPr>
        <w:t>child study</w:t>
      </w:r>
      <w:r w:rsidR="00CE5CBF" w:rsidRPr="005553DF">
        <w:rPr>
          <w:rFonts w:asciiTheme="minorHAnsi" w:hAnsiTheme="minorHAnsi" w:cstheme="minorHAnsi"/>
        </w:rPr>
        <w:t xml:space="preserve"> at Pease would provide</w:t>
      </w:r>
      <w:r w:rsidR="00276A57" w:rsidRPr="005553DF">
        <w:rPr>
          <w:rFonts w:asciiTheme="minorHAnsi" w:hAnsiTheme="minorHAnsi" w:cstheme="minorHAnsi"/>
        </w:rPr>
        <w:t xml:space="preserve"> an</w:t>
      </w:r>
      <w:r w:rsidR="00CE5CBF" w:rsidRPr="005553DF">
        <w:rPr>
          <w:rFonts w:asciiTheme="minorHAnsi" w:hAnsiTheme="minorHAnsi" w:cstheme="minorHAnsi"/>
        </w:rPr>
        <w:t xml:space="preserve"> important contribution towards that goal and would be able to address at least some of the mo</w:t>
      </w:r>
      <w:r w:rsidR="004F397C" w:rsidRPr="005553DF">
        <w:rPr>
          <w:rFonts w:asciiTheme="minorHAnsi" w:hAnsiTheme="minorHAnsi" w:cstheme="minorHAnsi"/>
        </w:rPr>
        <w:t xml:space="preserve">re prevalent outcomes as a </w:t>
      </w:r>
      <w:r w:rsidR="00F730BE" w:rsidRPr="005553DF">
        <w:rPr>
          <w:rFonts w:asciiTheme="minorHAnsi" w:hAnsiTheme="minorHAnsi" w:cstheme="minorHAnsi"/>
        </w:rPr>
        <w:t>stand-alone</w:t>
      </w:r>
      <w:r w:rsidR="00BE1DA7" w:rsidRPr="005553DF">
        <w:rPr>
          <w:rFonts w:asciiTheme="minorHAnsi" w:hAnsiTheme="minorHAnsi" w:cstheme="minorHAnsi"/>
        </w:rPr>
        <w:t xml:space="preserve"> or “pilot”</w:t>
      </w:r>
      <w:r w:rsidR="004F397C" w:rsidRPr="005553DF">
        <w:rPr>
          <w:rFonts w:asciiTheme="minorHAnsi" w:hAnsiTheme="minorHAnsi" w:cstheme="minorHAnsi"/>
        </w:rPr>
        <w:t xml:space="preserve"> study</w:t>
      </w:r>
      <w:r w:rsidR="00CE5CBF" w:rsidRPr="005553DF">
        <w:rPr>
          <w:rFonts w:asciiTheme="minorHAnsi" w:hAnsiTheme="minorHAnsi" w:cstheme="minorHAnsi"/>
        </w:rPr>
        <w:t xml:space="preserve">. </w:t>
      </w:r>
    </w:p>
    <w:p w14:paraId="17B157DE" w14:textId="77777777" w:rsidR="00662901" w:rsidRPr="005553DF" w:rsidRDefault="00662901" w:rsidP="005553DF">
      <w:pPr>
        <w:rPr>
          <w:rFonts w:asciiTheme="minorHAnsi" w:hAnsiTheme="minorHAnsi" w:cstheme="minorHAnsi"/>
          <w:vertAlign w:val="superscript"/>
        </w:rPr>
      </w:pPr>
      <w:r w:rsidRPr="005553DF">
        <w:rPr>
          <w:rFonts w:asciiTheme="minorHAnsi" w:hAnsiTheme="minorHAnsi" w:cstheme="minorHAnsi"/>
          <w:b/>
        </w:rPr>
        <w:t xml:space="preserve">Table 1. </w:t>
      </w:r>
      <w:r w:rsidR="00F730BE" w:rsidRPr="005553DF">
        <w:rPr>
          <w:rFonts w:asciiTheme="minorHAnsi" w:hAnsiTheme="minorHAnsi"/>
        </w:rPr>
        <w:t xml:space="preserve">Child </w:t>
      </w:r>
      <w:r w:rsidRPr="005553DF">
        <w:rPr>
          <w:rFonts w:asciiTheme="minorHAnsi" w:hAnsiTheme="minorHAnsi"/>
        </w:rPr>
        <w:t>Study (ages 4-17 years)</w:t>
      </w:r>
    </w:p>
    <w:tbl>
      <w:tblPr>
        <w:tblStyle w:val="TableGrid"/>
        <w:tblW w:w="9450" w:type="dxa"/>
        <w:tblInd w:w="-5" w:type="dxa"/>
        <w:tblLook w:val="04A0" w:firstRow="1" w:lastRow="0" w:firstColumn="1" w:lastColumn="0" w:noHBand="0" w:noVBand="1"/>
      </w:tblPr>
      <w:tblGrid>
        <w:gridCol w:w="1437"/>
        <w:gridCol w:w="1966"/>
        <w:gridCol w:w="2313"/>
        <w:gridCol w:w="1934"/>
        <w:gridCol w:w="1800"/>
      </w:tblGrid>
      <w:tr w:rsidR="00662901" w:rsidRPr="005553DF" w14:paraId="0E1D421D" w14:textId="77777777" w:rsidTr="00B321E7">
        <w:tc>
          <w:tcPr>
            <w:tcW w:w="1437" w:type="dxa"/>
            <w:tcBorders>
              <w:bottom w:val="single" w:sz="18" w:space="0" w:color="auto"/>
            </w:tcBorders>
            <w:vAlign w:val="center"/>
          </w:tcPr>
          <w:p w14:paraId="09849CCB" w14:textId="77777777" w:rsidR="00662901" w:rsidRPr="005553DF" w:rsidRDefault="00662901" w:rsidP="005553DF">
            <w:pPr>
              <w:jc w:val="center"/>
              <w:rPr>
                <w:rFonts w:asciiTheme="minorHAnsi" w:hAnsiTheme="minorHAnsi"/>
              </w:rPr>
            </w:pPr>
            <w:r w:rsidRPr="005553DF">
              <w:rPr>
                <w:rFonts w:asciiTheme="minorHAnsi" w:hAnsiTheme="minorHAnsi"/>
              </w:rPr>
              <w:t>Health-related Endpoint</w:t>
            </w:r>
          </w:p>
        </w:tc>
        <w:tc>
          <w:tcPr>
            <w:tcW w:w="1966" w:type="dxa"/>
            <w:tcBorders>
              <w:bottom w:val="single" w:sz="18" w:space="0" w:color="auto"/>
            </w:tcBorders>
            <w:vAlign w:val="center"/>
          </w:tcPr>
          <w:p w14:paraId="3F7FD39D" w14:textId="77777777" w:rsidR="00662901" w:rsidRPr="005553DF" w:rsidRDefault="00662901" w:rsidP="005553DF">
            <w:pPr>
              <w:jc w:val="center"/>
              <w:rPr>
                <w:rFonts w:asciiTheme="minorHAnsi" w:hAnsiTheme="minorHAnsi"/>
              </w:rPr>
            </w:pPr>
            <w:r w:rsidRPr="005553DF">
              <w:rPr>
                <w:rFonts w:asciiTheme="minorHAnsi" w:hAnsiTheme="minorHAnsi"/>
              </w:rPr>
              <w:t>Relevant Study</w:t>
            </w:r>
          </w:p>
        </w:tc>
        <w:tc>
          <w:tcPr>
            <w:tcW w:w="2313" w:type="dxa"/>
            <w:tcBorders>
              <w:bottom w:val="single" w:sz="18" w:space="0" w:color="auto"/>
            </w:tcBorders>
            <w:vAlign w:val="center"/>
          </w:tcPr>
          <w:p w14:paraId="25E60CE5" w14:textId="77777777" w:rsidR="00662901" w:rsidRPr="005553DF" w:rsidRDefault="00662901" w:rsidP="005553DF">
            <w:pPr>
              <w:jc w:val="center"/>
              <w:rPr>
                <w:rFonts w:asciiTheme="minorHAnsi" w:hAnsiTheme="minorHAnsi"/>
              </w:rPr>
            </w:pPr>
            <w:r w:rsidRPr="005553DF">
              <w:rPr>
                <w:rFonts w:asciiTheme="minorHAnsi" w:hAnsiTheme="minorHAnsi"/>
              </w:rPr>
              <w:t>Observed Effect Size</w:t>
            </w:r>
          </w:p>
        </w:tc>
        <w:tc>
          <w:tcPr>
            <w:tcW w:w="1934" w:type="dxa"/>
            <w:tcBorders>
              <w:bottom w:val="single" w:sz="18" w:space="0" w:color="auto"/>
            </w:tcBorders>
            <w:vAlign w:val="center"/>
          </w:tcPr>
          <w:p w14:paraId="05898563" w14:textId="77777777" w:rsidR="00662901" w:rsidRPr="005553DF" w:rsidRDefault="00662901" w:rsidP="005553DF">
            <w:pPr>
              <w:jc w:val="center"/>
              <w:rPr>
                <w:rFonts w:asciiTheme="minorHAnsi" w:hAnsiTheme="minorHAnsi"/>
              </w:rPr>
            </w:pPr>
            <w:r w:rsidRPr="005553DF">
              <w:rPr>
                <w:rFonts w:asciiTheme="minorHAnsi" w:hAnsiTheme="minorHAnsi"/>
              </w:rPr>
              <w:t>Assumptions</w:t>
            </w:r>
          </w:p>
        </w:tc>
        <w:tc>
          <w:tcPr>
            <w:tcW w:w="1800" w:type="dxa"/>
            <w:tcBorders>
              <w:bottom w:val="single" w:sz="18" w:space="0" w:color="auto"/>
            </w:tcBorders>
            <w:vAlign w:val="center"/>
          </w:tcPr>
          <w:p w14:paraId="07CED26D" w14:textId="77777777" w:rsidR="00662901" w:rsidRPr="005553DF" w:rsidRDefault="00662901" w:rsidP="005553DF">
            <w:pPr>
              <w:jc w:val="center"/>
              <w:rPr>
                <w:rFonts w:asciiTheme="minorHAnsi" w:hAnsiTheme="minorHAnsi"/>
              </w:rPr>
            </w:pPr>
            <w:r w:rsidRPr="005553DF">
              <w:rPr>
                <w:rFonts w:asciiTheme="minorHAnsi" w:hAnsiTheme="minorHAnsi"/>
              </w:rPr>
              <w:t>Sample Size/Stratum</w:t>
            </w:r>
          </w:p>
          <w:p w14:paraId="246B6090" w14:textId="77777777" w:rsidR="00662901" w:rsidRPr="005553DF" w:rsidRDefault="00662901" w:rsidP="005553DF">
            <w:pPr>
              <w:jc w:val="center"/>
              <w:rPr>
                <w:rFonts w:asciiTheme="minorHAnsi" w:hAnsiTheme="minorHAnsi"/>
              </w:rPr>
            </w:pPr>
            <w:r w:rsidRPr="005553DF">
              <w:rPr>
                <w:rFonts w:asciiTheme="minorHAnsi" w:hAnsiTheme="minorHAnsi"/>
              </w:rPr>
              <w:t>α error = .05</w:t>
            </w:r>
          </w:p>
          <w:p w14:paraId="46643A4C" w14:textId="77777777" w:rsidR="00662901" w:rsidRPr="005553DF" w:rsidRDefault="00662901" w:rsidP="005553DF">
            <w:pPr>
              <w:jc w:val="center"/>
              <w:rPr>
                <w:rFonts w:asciiTheme="minorHAnsi" w:hAnsiTheme="minorHAnsi"/>
              </w:rPr>
            </w:pPr>
            <w:r w:rsidRPr="005553DF">
              <w:rPr>
                <w:rFonts w:asciiTheme="minorHAnsi" w:hAnsiTheme="minorHAnsi"/>
              </w:rPr>
              <w:t>β error = .20</w:t>
            </w:r>
          </w:p>
        </w:tc>
      </w:tr>
      <w:tr w:rsidR="00662901" w:rsidRPr="005553DF" w14:paraId="66DE2855" w14:textId="77777777" w:rsidTr="00B321E7">
        <w:tc>
          <w:tcPr>
            <w:tcW w:w="1437" w:type="dxa"/>
            <w:tcBorders>
              <w:top w:val="single" w:sz="18" w:space="0" w:color="auto"/>
            </w:tcBorders>
          </w:tcPr>
          <w:p w14:paraId="137E1779" w14:textId="77777777" w:rsidR="00662901" w:rsidRPr="005553DF" w:rsidRDefault="00662901" w:rsidP="005553DF">
            <w:pPr>
              <w:rPr>
                <w:rFonts w:asciiTheme="minorHAnsi" w:hAnsiTheme="minorHAnsi"/>
              </w:rPr>
            </w:pPr>
            <w:r w:rsidRPr="005553DF">
              <w:rPr>
                <w:rFonts w:asciiTheme="minorHAnsi" w:hAnsiTheme="minorHAnsi"/>
              </w:rPr>
              <w:t>Total Cholesterol (mg/dL)</w:t>
            </w:r>
          </w:p>
          <w:p w14:paraId="675734A0" w14:textId="77777777" w:rsidR="00D92A73" w:rsidRPr="005553DF" w:rsidRDefault="00D92A73" w:rsidP="005553DF">
            <w:pPr>
              <w:rPr>
                <w:rFonts w:asciiTheme="minorHAnsi" w:hAnsiTheme="minorHAnsi"/>
              </w:rPr>
            </w:pPr>
          </w:p>
          <w:p w14:paraId="178ADCC2" w14:textId="77777777" w:rsidR="00D92A73" w:rsidRPr="005553DF" w:rsidRDefault="00D92A73" w:rsidP="005553DF">
            <w:pPr>
              <w:rPr>
                <w:rFonts w:asciiTheme="minorHAnsi" w:hAnsiTheme="minorHAnsi"/>
              </w:rPr>
            </w:pPr>
          </w:p>
          <w:p w14:paraId="4543B0E7" w14:textId="77777777" w:rsidR="00D92A73" w:rsidRPr="005553DF" w:rsidRDefault="00D92A73" w:rsidP="005553DF">
            <w:pPr>
              <w:rPr>
                <w:rFonts w:asciiTheme="minorHAnsi" w:hAnsiTheme="minorHAnsi"/>
              </w:rPr>
            </w:pPr>
          </w:p>
          <w:p w14:paraId="50E6711F" w14:textId="77777777" w:rsidR="00D92A73" w:rsidRPr="005553DF" w:rsidRDefault="00D92A73" w:rsidP="005553DF">
            <w:pPr>
              <w:rPr>
                <w:rFonts w:asciiTheme="minorHAnsi" w:hAnsiTheme="minorHAnsi"/>
              </w:rPr>
            </w:pPr>
            <w:r w:rsidRPr="005553DF">
              <w:rPr>
                <w:rFonts w:asciiTheme="minorHAnsi" w:hAnsiTheme="minorHAnsi"/>
              </w:rPr>
              <w:t>High cholesterol</w:t>
            </w:r>
          </w:p>
        </w:tc>
        <w:tc>
          <w:tcPr>
            <w:tcW w:w="1966" w:type="dxa"/>
            <w:tcBorders>
              <w:top w:val="single" w:sz="18" w:space="0" w:color="auto"/>
            </w:tcBorders>
          </w:tcPr>
          <w:p w14:paraId="338E9EFC" w14:textId="77777777" w:rsidR="00662901" w:rsidRPr="005553DF" w:rsidRDefault="00662901" w:rsidP="005553DF">
            <w:pPr>
              <w:rPr>
                <w:rFonts w:asciiTheme="minorHAnsi" w:hAnsiTheme="minorHAnsi"/>
              </w:rPr>
            </w:pPr>
            <w:r w:rsidRPr="005553DF">
              <w:rPr>
                <w:rFonts w:asciiTheme="minorHAnsi" w:hAnsiTheme="minorHAnsi"/>
              </w:rPr>
              <w:t>Frisbee 2010, C8 Study</w:t>
            </w:r>
          </w:p>
          <w:p w14:paraId="0175F288" w14:textId="77777777" w:rsidR="00662901" w:rsidRPr="005553DF" w:rsidRDefault="00662901" w:rsidP="005553DF">
            <w:pPr>
              <w:rPr>
                <w:rFonts w:asciiTheme="minorHAnsi" w:hAnsiTheme="minorHAnsi"/>
              </w:rPr>
            </w:pPr>
            <w:r w:rsidRPr="005553DF">
              <w:rPr>
                <w:rFonts w:asciiTheme="minorHAnsi" w:hAnsiTheme="minorHAnsi"/>
              </w:rPr>
              <w:t>1,971 boys &lt;12 yrs</w:t>
            </w:r>
          </w:p>
          <w:p w14:paraId="24E5FBBD" w14:textId="77777777" w:rsidR="00662901" w:rsidRPr="005553DF" w:rsidRDefault="00662901" w:rsidP="005553DF">
            <w:pPr>
              <w:rPr>
                <w:rFonts w:asciiTheme="minorHAnsi" w:hAnsiTheme="minorHAnsi"/>
              </w:rPr>
            </w:pPr>
            <w:r w:rsidRPr="005553DF">
              <w:rPr>
                <w:rFonts w:asciiTheme="minorHAnsi" w:hAnsiTheme="minorHAnsi"/>
              </w:rPr>
              <w:t>2,773 boys 12-18 yrs</w:t>
            </w:r>
          </w:p>
          <w:p w14:paraId="25F73B35" w14:textId="77777777" w:rsidR="00662901" w:rsidRPr="005553DF" w:rsidRDefault="00662901" w:rsidP="005553DF">
            <w:pPr>
              <w:rPr>
                <w:rFonts w:asciiTheme="minorHAnsi" w:hAnsiTheme="minorHAnsi"/>
              </w:rPr>
            </w:pPr>
            <w:r w:rsidRPr="005553DF">
              <w:rPr>
                <w:rFonts w:asciiTheme="minorHAnsi" w:hAnsiTheme="minorHAnsi"/>
              </w:rPr>
              <w:t>1,886 girls &lt;12 yrs</w:t>
            </w:r>
          </w:p>
          <w:p w14:paraId="18A7326A" w14:textId="77777777" w:rsidR="00662901" w:rsidRPr="005553DF" w:rsidRDefault="00662901" w:rsidP="005553DF">
            <w:pPr>
              <w:rPr>
                <w:rFonts w:asciiTheme="minorHAnsi" w:hAnsiTheme="minorHAnsi"/>
              </w:rPr>
            </w:pPr>
            <w:r w:rsidRPr="005553DF">
              <w:rPr>
                <w:rFonts w:asciiTheme="minorHAnsi" w:hAnsiTheme="minorHAnsi"/>
              </w:rPr>
              <w:t>2,520 girls 12-18 yrs</w:t>
            </w:r>
          </w:p>
        </w:tc>
        <w:tc>
          <w:tcPr>
            <w:tcW w:w="2313" w:type="dxa"/>
            <w:tcBorders>
              <w:top w:val="single" w:sz="18" w:space="0" w:color="auto"/>
            </w:tcBorders>
          </w:tcPr>
          <w:p w14:paraId="6145D9A5" w14:textId="77777777" w:rsidR="00662901" w:rsidRPr="005553DF" w:rsidRDefault="00662901" w:rsidP="005553DF">
            <w:pPr>
              <w:rPr>
                <w:rFonts w:asciiTheme="minorHAnsi" w:hAnsiTheme="minorHAnsi"/>
              </w:rPr>
            </w:pPr>
            <w:r w:rsidRPr="005553DF">
              <w:rPr>
                <w:rFonts w:asciiTheme="minorHAnsi" w:hAnsiTheme="minorHAnsi"/>
              </w:rPr>
              <w:t>PFOS: 5</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quintile</w:t>
            </w:r>
          </w:p>
          <w:p w14:paraId="4FBB7BED" w14:textId="77777777" w:rsidR="00662901" w:rsidRPr="005553DF" w:rsidRDefault="00662901" w:rsidP="005553DF">
            <w:pPr>
              <w:rPr>
                <w:rFonts w:asciiTheme="minorHAnsi" w:hAnsiTheme="minorHAnsi"/>
              </w:rPr>
            </w:pPr>
            <w:r w:rsidRPr="005553DF">
              <w:rPr>
                <w:rFonts w:asciiTheme="minorHAnsi" w:hAnsiTheme="minorHAnsi"/>
              </w:rPr>
              <w:t>Age:   &lt;12 yrs         12-18</w:t>
            </w:r>
          </w:p>
          <w:p w14:paraId="668E0152" w14:textId="77777777" w:rsidR="00662901" w:rsidRPr="005553DF" w:rsidRDefault="00662901" w:rsidP="005553DF">
            <w:pPr>
              <w:rPr>
                <w:rFonts w:asciiTheme="minorHAnsi" w:hAnsiTheme="minorHAnsi"/>
              </w:rPr>
            </w:pPr>
            <w:r w:rsidRPr="005553DF">
              <w:rPr>
                <w:rFonts w:asciiTheme="minorHAnsi" w:hAnsiTheme="minorHAnsi"/>
              </w:rPr>
              <w:t>Boys:  +6.2              +9.3</w:t>
            </w:r>
          </w:p>
          <w:p w14:paraId="70D598E7" w14:textId="77777777" w:rsidR="00662901" w:rsidRPr="005553DF" w:rsidRDefault="00662901" w:rsidP="005553DF">
            <w:pPr>
              <w:rPr>
                <w:rFonts w:asciiTheme="minorHAnsi" w:hAnsiTheme="minorHAnsi"/>
              </w:rPr>
            </w:pPr>
            <w:r w:rsidRPr="005553DF">
              <w:rPr>
                <w:rFonts w:asciiTheme="minorHAnsi" w:hAnsiTheme="minorHAnsi"/>
              </w:rPr>
              <w:t>Girls:  +4.6              +9.4</w:t>
            </w:r>
          </w:p>
          <w:p w14:paraId="4D57C842" w14:textId="77777777" w:rsidR="00662901" w:rsidRPr="005553DF" w:rsidRDefault="00662901" w:rsidP="005553DF">
            <w:pPr>
              <w:rPr>
                <w:rFonts w:asciiTheme="minorHAnsi" w:hAnsiTheme="minorHAnsi"/>
              </w:rPr>
            </w:pPr>
          </w:p>
          <w:p w14:paraId="3BAA6D02" w14:textId="77777777" w:rsidR="00D92A73" w:rsidRPr="005553DF" w:rsidRDefault="00D92A73" w:rsidP="005553DF">
            <w:pPr>
              <w:rPr>
                <w:rFonts w:asciiTheme="minorHAnsi" w:hAnsiTheme="minorHAnsi"/>
              </w:rPr>
            </w:pPr>
          </w:p>
          <w:p w14:paraId="1424C82F" w14:textId="77777777" w:rsidR="00D92A73" w:rsidRPr="005553DF" w:rsidRDefault="00D92A73" w:rsidP="005553DF">
            <w:pPr>
              <w:rPr>
                <w:rFonts w:asciiTheme="minorHAnsi" w:hAnsiTheme="minorHAnsi"/>
              </w:rPr>
            </w:pPr>
          </w:p>
          <w:p w14:paraId="62208079" w14:textId="77777777" w:rsidR="00662901" w:rsidRPr="005553DF" w:rsidRDefault="00662901" w:rsidP="005553DF">
            <w:pPr>
              <w:rPr>
                <w:rFonts w:asciiTheme="minorHAnsi" w:hAnsiTheme="minorHAnsi"/>
              </w:rPr>
            </w:pPr>
            <w:r w:rsidRPr="005553DF">
              <w:rPr>
                <w:rFonts w:asciiTheme="minorHAnsi" w:hAnsiTheme="minorHAnsi"/>
              </w:rPr>
              <w:t>OR = 1.6</w:t>
            </w:r>
          </w:p>
        </w:tc>
        <w:tc>
          <w:tcPr>
            <w:tcW w:w="1934" w:type="dxa"/>
            <w:tcBorders>
              <w:top w:val="single" w:sz="18" w:space="0" w:color="auto"/>
            </w:tcBorders>
          </w:tcPr>
          <w:p w14:paraId="13ED9427" w14:textId="77777777" w:rsidR="00662901" w:rsidRPr="005553DF" w:rsidRDefault="00662901" w:rsidP="005553DF">
            <w:pPr>
              <w:rPr>
                <w:rFonts w:asciiTheme="minorHAnsi" w:hAnsiTheme="minorHAnsi"/>
              </w:rPr>
            </w:pPr>
            <w:r w:rsidRPr="005553DF">
              <w:rPr>
                <w:rFonts w:asciiTheme="minorHAnsi" w:hAnsiTheme="minorHAnsi"/>
              </w:rPr>
              <w:t xml:space="preserve">Mean PFOS serum levels were about 20 µg/L. </w:t>
            </w:r>
          </w:p>
          <w:p w14:paraId="1C5948C1" w14:textId="77777777" w:rsidR="00D92A73" w:rsidRPr="005553DF" w:rsidRDefault="00662901" w:rsidP="005553DF">
            <w:pPr>
              <w:rPr>
                <w:rFonts w:asciiTheme="minorHAnsi" w:hAnsiTheme="minorHAnsi"/>
              </w:rPr>
            </w:pPr>
            <w:r w:rsidRPr="005553DF">
              <w:rPr>
                <w:rFonts w:asciiTheme="minorHAnsi" w:hAnsiTheme="minorHAnsi"/>
              </w:rPr>
              <w:t>SD for total cholesterol=29.3 mg/d</w:t>
            </w:r>
            <w:r w:rsidR="00D92A73" w:rsidRPr="005553DF">
              <w:rPr>
                <w:rFonts w:asciiTheme="minorHAnsi" w:hAnsiTheme="minorHAnsi"/>
              </w:rPr>
              <w:t>L</w:t>
            </w:r>
          </w:p>
          <w:p w14:paraId="2848CA83" w14:textId="77777777" w:rsidR="00D92A73" w:rsidRPr="005553DF" w:rsidRDefault="00D92A73" w:rsidP="005553DF">
            <w:pPr>
              <w:rPr>
                <w:rFonts w:asciiTheme="minorHAnsi" w:hAnsiTheme="minorHAnsi"/>
              </w:rPr>
            </w:pPr>
          </w:p>
          <w:p w14:paraId="0B8DD87D" w14:textId="77777777" w:rsidR="00662901" w:rsidRPr="005553DF" w:rsidRDefault="00662901" w:rsidP="005553DF">
            <w:pPr>
              <w:rPr>
                <w:rFonts w:asciiTheme="minorHAnsi" w:hAnsiTheme="minorHAnsi"/>
              </w:rPr>
            </w:pPr>
            <w:r w:rsidRPr="005553DF">
              <w:rPr>
                <w:rFonts w:asciiTheme="minorHAnsi" w:hAnsiTheme="minorHAnsi"/>
              </w:rPr>
              <w:t>Prevalence=34.2%</w:t>
            </w:r>
          </w:p>
        </w:tc>
        <w:tc>
          <w:tcPr>
            <w:tcW w:w="1800" w:type="dxa"/>
            <w:tcBorders>
              <w:top w:val="single" w:sz="18" w:space="0" w:color="auto"/>
            </w:tcBorders>
          </w:tcPr>
          <w:p w14:paraId="5BB6DF2B" w14:textId="77777777" w:rsidR="00662901" w:rsidRPr="005553DF" w:rsidRDefault="00662901" w:rsidP="005553DF">
            <w:pPr>
              <w:rPr>
                <w:rFonts w:asciiTheme="minorHAnsi" w:hAnsiTheme="minorHAnsi"/>
              </w:rPr>
            </w:pPr>
            <w:r w:rsidRPr="005553DF">
              <w:rPr>
                <w:rFonts w:asciiTheme="minorHAnsi" w:hAnsiTheme="minorHAnsi"/>
              </w:rPr>
              <w:t>+4.6: 637/stratum</w:t>
            </w:r>
          </w:p>
          <w:p w14:paraId="119C5176" w14:textId="77777777" w:rsidR="00662901" w:rsidRPr="005553DF" w:rsidRDefault="00662901" w:rsidP="005553DF">
            <w:pPr>
              <w:rPr>
                <w:rFonts w:asciiTheme="minorHAnsi" w:hAnsiTheme="minorHAnsi"/>
              </w:rPr>
            </w:pPr>
          </w:p>
          <w:p w14:paraId="34EDD15E" w14:textId="77777777" w:rsidR="00662901" w:rsidRPr="005553DF" w:rsidRDefault="00662901" w:rsidP="005553DF">
            <w:pPr>
              <w:rPr>
                <w:rFonts w:asciiTheme="minorHAnsi" w:hAnsiTheme="minorHAnsi"/>
              </w:rPr>
            </w:pPr>
            <w:r w:rsidRPr="005553DF">
              <w:rPr>
                <w:rFonts w:asciiTheme="minorHAnsi" w:hAnsiTheme="minorHAnsi"/>
              </w:rPr>
              <w:t>+9.3: 156/stratum</w:t>
            </w:r>
          </w:p>
          <w:p w14:paraId="2285D127" w14:textId="77777777" w:rsidR="00662901" w:rsidRPr="005553DF" w:rsidRDefault="00662901" w:rsidP="005553DF">
            <w:pPr>
              <w:rPr>
                <w:rFonts w:asciiTheme="minorHAnsi" w:hAnsiTheme="minorHAnsi"/>
              </w:rPr>
            </w:pPr>
          </w:p>
          <w:p w14:paraId="02B57C05" w14:textId="77777777" w:rsidR="00662901" w:rsidRPr="005553DF" w:rsidRDefault="00662901" w:rsidP="005553DF">
            <w:pPr>
              <w:rPr>
                <w:rFonts w:asciiTheme="minorHAnsi" w:hAnsiTheme="minorHAnsi"/>
              </w:rPr>
            </w:pPr>
          </w:p>
          <w:p w14:paraId="07637DCC" w14:textId="77777777" w:rsidR="00662901" w:rsidRPr="005553DF" w:rsidRDefault="00662901" w:rsidP="005553DF">
            <w:pPr>
              <w:rPr>
                <w:rFonts w:asciiTheme="minorHAnsi" w:hAnsiTheme="minorHAnsi"/>
              </w:rPr>
            </w:pPr>
          </w:p>
          <w:p w14:paraId="0EDDB483" w14:textId="77777777" w:rsidR="00662901" w:rsidRPr="005553DF" w:rsidRDefault="00662901" w:rsidP="005553DF">
            <w:pPr>
              <w:rPr>
                <w:rFonts w:asciiTheme="minorHAnsi" w:hAnsiTheme="minorHAnsi"/>
              </w:rPr>
            </w:pPr>
          </w:p>
          <w:p w14:paraId="6A62AEF0" w14:textId="77777777" w:rsidR="00662901" w:rsidRPr="005553DF" w:rsidRDefault="00662901" w:rsidP="005553DF">
            <w:pPr>
              <w:rPr>
                <w:rFonts w:asciiTheme="minorHAnsi" w:hAnsiTheme="minorHAnsi"/>
              </w:rPr>
            </w:pPr>
            <w:r w:rsidRPr="005553DF">
              <w:rPr>
                <w:rFonts w:asciiTheme="minorHAnsi" w:hAnsiTheme="minorHAnsi"/>
              </w:rPr>
              <w:t>300/stratum</w:t>
            </w:r>
          </w:p>
        </w:tc>
      </w:tr>
      <w:tr w:rsidR="00662901" w:rsidRPr="005553DF" w14:paraId="4B814108" w14:textId="77777777" w:rsidTr="00B321E7">
        <w:tc>
          <w:tcPr>
            <w:tcW w:w="1437" w:type="dxa"/>
          </w:tcPr>
          <w:p w14:paraId="73BE1FB0" w14:textId="77777777" w:rsidR="00662901" w:rsidRPr="005553DF" w:rsidRDefault="00662901" w:rsidP="005553DF">
            <w:pPr>
              <w:rPr>
                <w:rFonts w:asciiTheme="minorHAnsi" w:hAnsiTheme="minorHAnsi"/>
              </w:rPr>
            </w:pPr>
            <w:r w:rsidRPr="005553DF">
              <w:rPr>
                <w:rFonts w:asciiTheme="minorHAnsi" w:hAnsiTheme="minorHAnsi"/>
              </w:rPr>
              <w:t>Thyroid function</w:t>
            </w:r>
          </w:p>
          <w:p w14:paraId="5FD2A8D5" w14:textId="77777777" w:rsidR="00662901" w:rsidRPr="005553DF" w:rsidRDefault="00662901" w:rsidP="005553DF">
            <w:pPr>
              <w:rPr>
                <w:rFonts w:asciiTheme="minorHAnsi" w:hAnsiTheme="minorHAnsi"/>
              </w:rPr>
            </w:pPr>
            <w:r w:rsidRPr="005553DF">
              <w:rPr>
                <w:rFonts w:asciiTheme="minorHAnsi" w:hAnsiTheme="minorHAnsi"/>
              </w:rPr>
              <w:t>TT</w:t>
            </w:r>
            <w:r w:rsidRPr="005553DF">
              <w:rPr>
                <w:rFonts w:asciiTheme="minorHAnsi" w:hAnsiTheme="minorHAnsi"/>
                <w:vertAlign w:val="subscript"/>
              </w:rPr>
              <w:t>4</w:t>
            </w:r>
          </w:p>
          <w:p w14:paraId="2FA3E3FF" w14:textId="77777777" w:rsidR="00662901" w:rsidRPr="005553DF" w:rsidRDefault="00662901" w:rsidP="005553DF">
            <w:pPr>
              <w:rPr>
                <w:rFonts w:asciiTheme="minorHAnsi" w:hAnsiTheme="minorHAnsi"/>
              </w:rPr>
            </w:pPr>
          </w:p>
          <w:p w14:paraId="3D6E87B3" w14:textId="77777777" w:rsidR="00662901" w:rsidRPr="005553DF" w:rsidRDefault="00662901" w:rsidP="005553DF">
            <w:pPr>
              <w:rPr>
                <w:rFonts w:asciiTheme="minorHAnsi" w:hAnsiTheme="minorHAnsi"/>
              </w:rPr>
            </w:pPr>
          </w:p>
          <w:p w14:paraId="5458C49A" w14:textId="77777777" w:rsidR="00662901" w:rsidRPr="005553DF" w:rsidRDefault="00662901" w:rsidP="005553DF">
            <w:pPr>
              <w:rPr>
                <w:rFonts w:asciiTheme="minorHAnsi" w:hAnsiTheme="minorHAnsi"/>
              </w:rPr>
            </w:pPr>
          </w:p>
          <w:p w14:paraId="6C7B3B55" w14:textId="77777777" w:rsidR="00662901" w:rsidRPr="005553DF" w:rsidRDefault="00662901" w:rsidP="005553DF">
            <w:pPr>
              <w:rPr>
                <w:rFonts w:asciiTheme="minorHAnsi" w:hAnsiTheme="minorHAnsi"/>
              </w:rPr>
            </w:pPr>
          </w:p>
          <w:p w14:paraId="4EA02197" w14:textId="77777777" w:rsidR="00662901" w:rsidRPr="005553DF" w:rsidRDefault="00662901" w:rsidP="005553DF">
            <w:pPr>
              <w:rPr>
                <w:rFonts w:asciiTheme="minorHAnsi" w:hAnsiTheme="minorHAnsi"/>
              </w:rPr>
            </w:pPr>
          </w:p>
          <w:p w14:paraId="7035857B" w14:textId="77777777" w:rsidR="00662901" w:rsidRPr="005553DF" w:rsidRDefault="00662901" w:rsidP="005553DF">
            <w:pPr>
              <w:rPr>
                <w:rFonts w:asciiTheme="minorHAnsi" w:hAnsiTheme="minorHAnsi"/>
              </w:rPr>
            </w:pPr>
          </w:p>
          <w:p w14:paraId="504EA18A" w14:textId="77777777" w:rsidR="00662901" w:rsidRPr="005553DF" w:rsidRDefault="00662901" w:rsidP="005553DF">
            <w:pPr>
              <w:rPr>
                <w:rFonts w:asciiTheme="minorHAnsi" w:hAnsiTheme="minorHAnsi"/>
              </w:rPr>
            </w:pPr>
          </w:p>
          <w:p w14:paraId="73980DA9" w14:textId="77777777" w:rsidR="00662901" w:rsidRPr="005553DF" w:rsidRDefault="00662901" w:rsidP="005553DF">
            <w:pPr>
              <w:rPr>
                <w:rFonts w:asciiTheme="minorHAnsi" w:hAnsiTheme="minorHAnsi"/>
              </w:rPr>
            </w:pPr>
            <w:r w:rsidRPr="005553DF">
              <w:rPr>
                <w:rFonts w:asciiTheme="minorHAnsi" w:hAnsiTheme="minorHAnsi"/>
              </w:rPr>
              <w:t>Thyroid disease</w:t>
            </w:r>
          </w:p>
        </w:tc>
        <w:tc>
          <w:tcPr>
            <w:tcW w:w="1966" w:type="dxa"/>
          </w:tcPr>
          <w:p w14:paraId="2B510721" w14:textId="77777777" w:rsidR="00662901" w:rsidRPr="005553DF" w:rsidRDefault="00662901" w:rsidP="005553DF">
            <w:pPr>
              <w:rPr>
                <w:rFonts w:asciiTheme="minorHAnsi" w:hAnsiTheme="minorHAnsi"/>
              </w:rPr>
            </w:pPr>
            <w:r w:rsidRPr="005553DF">
              <w:rPr>
                <w:rFonts w:asciiTheme="minorHAnsi" w:hAnsiTheme="minorHAnsi"/>
              </w:rPr>
              <w:t>Lopez-Espinosa 2012, C8</w:t>
            </w:r>
          </w:p>
          <w:p w14:paraId="5E8B44D8" w14:textId="77777777" w:rsidR="00662901" w:rsidRPr="005553DF" w:rsidRDefault="00662901" w:rsidP="005553DF">
            <w:pPr>
              <w:rPr>
                <w:rFonts w:asciiTheme="minorHAnsi" w:hAnsiTheme="minorHAnsi"/>
              </w:rPr>
            </w:pPr>
            <w:r w:rsidRPr="005553DF">
              <w:rPr>
                <w:rFonts w:asciiTheme="minorHAnsi" w:hAnsiTheme="minorHAnsi"/>
              </w:rPr>
              <w:t>1,078   1-5 yrs</w:t>
            </w:r>
          </w:p>
          <w:p w14:paraId="1FDCF3BA" w14:textId="77777777" w:rsidR="00662901" w:rsidRPr="005553DF" w:rsidRDefault="00662901" w:rsidP="005553DF">
            <w:pPr>
              <w:rPr>
                <w:rFonts w:asciiTheme="minorHAnsi" w:hAnsiTheme="minorHAnsi"/>
              </w:rPr>
            </w:pPr>
            <w:r w:rsidRPr="005553DF">
              <w:rPr>
                <w:rFonts w:asciiTheme="minorHAnsi" w:hAnsiTheme="minorHAnsi"/>
              </w:rPr>
              <w:t>3,132   6-10 yrs</w:t>
            </w:r>
          </w:p>
          <w:p w14:paraId="7A7EF791" w14:textId="77777777" w:rsidR="00662901" w:rsidRPr="005553DF" w:rsidRDefault="00662901" w:rsidP="005553DF">
            <w:pPr>
              <w:rPr>
                <w:rFonts w:asciiTheme="minorHAnsi" w:hAnsiTheme="minorHAnsi"/>
              </w:rPr>
            </w:pPr>
            <w:r w:rsidRPr="005553DF">
              <w:rPr>
                <w:rFonts w:asciiTheme="minorHAnsi" w:hAnsiTheme="minorHAnsi"/>
              </w:rPr>
              <w:t>6,447   &gt;10 – 17 yrs</w:t>
            </w:r>
          </w:p>
        </w:tc>
        <w:tc>
          <w:tcPr>
            <w:tcW w:w="2313" w:type="dxa"/>
          </w:tcPr>
          <w:p w14:paraId="73EC5D13" w14:textId="77777777" w:rsidR="00662901" w:rsidRPr="005553DF" w:rsidRDefault="00662901" w:rsidP="005553DF">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 quartile:</w:t>
            </w:r>
          </w:p>
          <w:p w14:paraId="4DBB9537" w14:textId="77777777" w:rsidR="00662901" w:rsidRPr="005553DF" w:rsidRDefault="00662901" w:rsidP="005553DF">
            <w:pPr>
              <w:rPr>
                <w:rFonts w:asciiTheme="minorHAnsi" w:hAnsiTheme="minorHAnsi"/>
              </w:rPr>
            </w:pPr>
            <w:r w:rsidRPr="005553DF">
              <w:rPr>
                <w:rFonts w:asciiTheme="minorHAnsi" w:hAnsiTheme="minorHAnsi"/>
              </w:rPr>
              <w:t>2.3% change (mean difference = 0.17 µg/dL)</w:t>
            </w:r>
          </w:p>
          <w:p w14:paraId="30584DCD" w14:textId="77777777" w:rsidR="00662901" w:rsidRPr="005553DF" w:rsidRDefault="00662901" w:rsidP="005553DF">
            <w:pPr>
              <w:rPr>
                <w:rFonts w:asciiTheme="minorHAnsi" w:hAnsiTheme="minorHAnsi"/>
              </w:rPr>
            </w:pPr>
          </w:p>
          <w:p w14:paraId="46AD7DC0" w14:textId="77777777" w:rsidR="00662901" w:rsidRPr="005553DF" w:rsidRDefault="00662901" w:rsidP="005553DF">
            <w:pPr>
              <w:rPr>
                <w:rFonts w:asciiTheme="minorHAnsi" w:hAnsiTheme="minorHAnsi"/>
              </w:rPr>
            </w:pPr>
          </w:p>
          <w:p w14:paraId="08BE0525" w14:textId="77777777" w:rsidR="00662901" w:rsidRPr="005553DF" w:rsidRDefault="00662901" w:rsidP="005553DF">
            <w:pPr>
              <w:rPr>
                <w:rFonts w:asciiTheme="minorHAnsi" w:hAnsiTheme="minorHAnsi"/>
              </w:rPr>
            </w:pPr>
          </w:p>
          <w:p w14:paraId="7CD82079" w14:textId="77777777" w:rsidR="00662901" w:rsidRPr="005553DF" w:rsidRDefault="00662901" w:rsidP="005553DF">
            <w:pPr>
              <w:rPr>
                <w:rFonts w:asciiTheme="minorHAnsi" w:hAnsiTheme="minorHAnsi"/>
              </w:rPr>
            </w:pPr>
          </w:p>
          <w:p w14:paraId="0A62BF77" w14:textId="77777777" w:rsidR="00D92A73" w:rsidRPr="005553DF" w:rsidRDefault="00D92A73" w:rsidP="005553DF">
            <w:pPr>
              <w:rPr>
                <w:rFonts w:asciiTheme="minorHAnsi" w:hAnsiTheme="minorHAnsi"/>
              </w:rPr>
            </w:pPr>
          </w:p>
          <w:p w14:paraId="0957F54D" w14:textId="77777777" w:rsidR="00D92A73" w:rsidRPr="005553DF" w:rsidRDefault="00D92A73" w:rsidP="005553DF">
            <w:pPr>
              <w:rPr>
                <w:rFonts w:asciiTheme="minorHAnsi" w:hAnsiTheme="minorHAnsi"/>
              </w:rPr>
            </w:pPr>
          </w:p>
          <w:p w14:paraId="0E6A3FE0" w14:textId="77777777" w:rsidR="00D92A73" w:rsidRPr="005553DF" w:rsidRDefault="00D92A73" w:rsidP="005553DF">
            <w:pPr>
              <w:rPr>
                <w:rFonts w:asciiTheme="minorHAnsi" w:hAnsiTheme="minorHAnsi"/>
              </w:rPr>
            </w:pPr>
          </w:p>
          <w:p w14:paraId="1D2130FF" w14:textId="77777777" w:rsidR="00662901" w:rsidRPr="005553DF" w:rsidRDefault="00662901" w:rsidP="005553DF">
            <w:pPr>
              <w:rPr>
                <w:rFonts w:asciiTheme="minorHAnsi" w:hAnsiTheme="minorHAnsi"/>
              </w:rPr>
            </w:pPr>
            <w:r w:rsidRPr="005553DF">
              <w:rPr>
                <w:rFonts w:asciiTheme="minorHAnsi" w:hAnsiTheme="minorHAnsi"/>
              </w:rPr>
              <w:t>PFOA: OR=1.44</w:t>
            </w:r>
          </w:p>
          <w:p w14:paraId="1D615818" w14:textId="77777777" w:rsidR="00662901" w:rsidRPr="005553DF" w:rsidRDefault="00662901" w:rsidP="005553DF">
            <w:pPr>
              <w:rPr>
                <w:rFonts w:asciiTheme="minorHAnsi" w:hAnsiTheme="minorHAnsi"/>
              </w:rPr>
            </w:pPr>
            <w:r w:rsidRPr="005553DF">
              <w:rPr>
                <w:rFonts w:asciiTheme="minorHAnsi" w:hAnsiTheme="minorHAnsi"/>
              </w:rPr>
              <w:t>(PFOS: OR &lt; 1.0)</w:t>
            </w:r>
          </w:p>
        </w:tc>
        <w:tc>
          <w:tcPr>
            <w:tcW w:w="1934" w:type="dxa"/>
          </w:tcPr>
          <w:p w14:paraId="3A7D3FB3" w14:textId="77777777" w:rsidR="00662901" w:rsidRPr="005553DF" w:rsidRDefault="00662901" w:rsidP="005553DF">
            <w:pPr>
              <w:rPr>
                <w:rFonts w:asciiTheme="minorHAnsi" w:hAnsiTheme="minorHAnsi"/>
              </w:rPr>
            </w:pPr>
            <w:r w:rsidRPr="005553DF">
              <w:rPr>
                <w:rFonts w:asciiTheme="minorHAnsi" w:hAnsiTheme="minorHAnsi"/>
              </w:rPr>
              <w:t>Mean PFOS serum levels were about 20 µg/L. SD for TT</w:t>
            </w:r>
            <w:r w:rsidRPr="005553DF">
              <w:rPr>
                <w:rFonts w:asciiTheme="minorHAnsi" w:hAnsiTheme="minorHAnsi"/>
                <w:vertAlign w:val="subscript"/>
              </w:rPr>
              <w:t>4</w:t>
            </w:r>
            <w:r w:rsidRPr="005553DF">
              <w:rPr>
                <w:rFonts w:asciiTheme="minorHAnsi" w:hAnsiTheme="minorHAnsi"/>
              </w:rPr>
              <w:t xml:space="preserve"> as estimated at 1.4. Percent change in TT</w:t>
            </w:r>
            <w:r w:rsidRPr="005553DF">
              <w:rPr>
                <w:rFonts w:asciiTheme="minorHAnsi" w:hAnsiTheme="minorHAnsi"/>
                <w:vertAlign w:val="subscript"/>
              </w:rPr>
              <w:t>4</w:t>
            </w:r>
            <w:r w:rsidRPr="005553DF">
              <w:rPr>
                <w:rFonts w:asciiTheme="minorHAnsi" w:hAnsiTheme="minorHAnsi"/>
              </w:rPr>
              <w:t xml:space="preserve"> was converted to mean difference assuming the median TT</w:t>
            </w:r>
            <w:r w:rsidRPr="005553DF">
              <w:rPr>
                <w:rFonts w:asciiTheme="minorHAnsi" w:hAnsiTheme="minorHAnsi"/>
                <w:vertAlign w:val="subscript"/>
              </w:rPr>
              <w:t>4</w:t>
            </w:r>
            <w:r w:rsidRPr="005553DF">
              <w:rPr>
                <w:rFonts w:asciiTheme="minorHAnsi" w:hAnsiTheme="minorHAnsi"/>
              </w:rPr>
              <w:t xml:space="preserve"> was ref. level.</w:t>
            </w:r>
          </w:p>
          <w:p w14:paraId="72018B98" w14:textId="77777777" w:rsidR="00662901" w:rsidRPr="005553DF" w:rsidRDefault="00662901" w:rsidP="005553DF">
            <w:pPr>
              <w:rPr>
                <w:rFonts w:asciiTheme="minorHAnsi" w:hAnsiTheme="minorHAnsi"/>
              </w:rPr>
            </w:pPr>
            <w:r w:rsidRPr="005553DF">
              <w:rPr>
                <w:rFonts w:asciiTheme="minorHAnsi" w:hAnsiTheme="minorHAnsi"/>
              </w:rPr>
              <w:t>Prevalence=0.6%</w:t>
            </w:r>
          </w:p>
          <w:p w14:paraId="405530B1" w14:textId="77777777" w:rsidR="00662901" w:rsidRPr="005553DF" w:rsidRDefault="00662901" w:rsidP="005553DF">
            <w:pPr>
              <w:rPr>
                <w:rFonts w:asciiTheme="minorHAnsi" w:hAnsiTheme="minorHAnsi"/>
              </w:rPr>
            </w:pPr>
            <w:r w:rsidRPr="005553DF">
              <w:rPr>
                <w:rFonts w:asciiTheme="minorHAnsi" w:hAnsiTheme="minorHAnsi"/>
              </w:rPr>
              <w:t>(used PFOA results)</w:t>
            </w:r>
          </w:p>
        </w:tc>
        <w:tc>
          <w:tcPr>
            <w:tcW w:w="1800" w:type="dxa"/>
          </w:tcPr>
          <w:p w14:paraId="1F39D47D" w14:textId="77777777" w:rsidR="00662901" w:rsidRPr="005553DF" w:rsidRDefault="00662901" w:rsidP="005553DF">
            <w:pPr>
              <w:rPr>
                <w:rFonts w:asciiTheme="minorHAnsi" w:hAnsiTheme="minorHAnsi"/>
              </w:rPr>
            </w:pPr>
            <w:r w:rsidRPr="005553DF">
              <w:rPr>
                <w:rFonts w:asciiTheme="minorHAnsi" w:hAnsiTheme="minorHAnsi"/>
              </w:rPr>
              <w:t>1,080/stratum</w:t>
            </w:r>
          </w:p>
          <w:p w14:paraId="08997F41" w14:textId="77777777" w:rsidR="00662901" w:rsidRPr="005553DF" w:rsidRDefault="00662901" w:rsidP="005553DF">
            <w:pPr>
              <w:rPr>
                <w:rFonts w:asciiTheme="minorHAnsi" w:hAnsiTheme="minorHAnsi"/>
              </w:rPr>
            </w:pPr>
          </w:p>
          <w:p w14:paraId="03B38ACD" w14:textId="77777777" w:rsidR="00662901" w:rsidRPr="005553DF" w:rsidRDefault="00662901" w:rsidP="005553DF">
            <w:pPr>
              <w:rPr>
                <w:rFonts w:asciiTheme="minorHAnsi" w:hAnsiTheme="minorHAnsi"/>
              </w:rPr>
            </w:pPr>
          </w:p>
          <w:p w14:paraId="19E09811" w14:textId="77777777" w:rsidR="00662901" w:rsidRPr="005553DF" w:rsidRDefault="00662901" w:rsidP="005553DF">
            <w:pPr>
              <w:rPr>
                <w:rFonts w:asciiTheme="minorHAnsi" w:hAnsiTheme="minorHAnsi"/>
              </w:rPr>
            </w:pPr>
          </w:p>
          <w:p w14:paraId="5836837D" w14:textId="77777777" w:rsidR="00662901" w:rsidRPr="005553DF" w:rsidRDefault="00662901" w:rsidP="005553DF">
            <w:pPr>
              <w:rPr>
                <w:rFonts w:asciiTheme="minorHAnsi" w:hAnsiTheme="minorHAnsi"/>
              </w:rPr>
            </w:pPr>
          </w:p>
          <w:p w14:paraId="3E5F3EE8" w14:textId="77777777" w:rsidR="00662901" w:rsidRPr="005553DF" w:rsidRDefault="00662901" w:rsidP="005553DF">
            <w:pPr>
              <w:rPr>
                <w:rFonts w:asciiTheme="minorHAnsi" w:hAnsiTheme="minorHAnsi"/>
              </w:rPr>
            </w:pPr>
          </w:p>
          <w:p w14:paraId="66FD24B8" w14:textId="77777777" w:rsidR="00662901" w:rsidRPr="005553DF" w:rsidRDefault="00662901" w:rsidP="005553DF">
            <w:pPr>
              <w:rPr>
                <w:rFonts w:asciiTheme="minorHAnsi" w:hAnsiTheme="minorHAnsi"/>
              </w:rPr>
            </w:pPr>
          </w:p>
          <w:p w14:paraId="187689E7" w14:textId="77777777" w:rsidR="00662901" w:rsidRPr="005553DF" w:rsidRDefault="00662901" w:rsidP="005553DF">
            <w:pPr>
              <w:rPr>
                <w:rFonts w:asciiTheme="minorHAnsi" w:hAnsiTheme="minorHAnsi"/>
              </w:rPr>
            </w:pPr>
          </w:p>
          <w:p w14:paraId="16951B58" w14:textId="77777777" w:rsidR="00662901" w:rsidRPr="005553DF" w:rsidRDefault="00662901" w:rsidP="005553DF">
            <w:pPr>
              <w:rPr>
                <w:rFonts w:asciiTheme="minorHAnsi" w:hAnsiTheme="minorHAnsi"/>
              </w:rPr>
            </w:pPr>
          </w:p>
          <w:p w14:paraId="7146A9D3" w14:textId="77777777" w:rsidR="00D92A73" w:rsidRPr="005553DF" w:rsidRDefault="00D92A73" w:rsidP="005553DF">
            <w:pPr>
              <w:rPr>
                <w:rFonts w:asciiTheme="minorHAnsi" w:hAnsiTheme="minorHAnsi"/>
              </w:rPr>
            </w:pPr>
          </w:p>
          <w:p w14:paraId="3EEDFFF5" w14:textId="77777777" w:rsidR="00662901" w:rsidRPr="005553DF" w:rsidRDefault="00662901" w:rsidP="005553DF">
            <w:pPr>
              <w:rPr>
                <w:rFonts w:asciiTheme="minorHAnsi" w:hAnsiTheme="minorHAnsi"/>
              </w:rPr>
            </w:pPr>
            <w:r w:rsidRPr="005553DF">
              <w:rPr>
                <w:rFonts w:asciiTheme="minorHAnsi" w:hAnsiTheme="minorHAnsi"/>
              </w:rPr>
              <w:t>&gt;16,000/stratum</w:t>
            </w:r>
          </w:p>
        </w:tc>
      </w:tr>
      <w:tr w:rsidR="00662901" w:rsidRPr="005553DF" w14:paraId="0955B856" w14:textId="77777777" w:rsidTr="00B321E7">
        <w:tc>
          <w:tcPr>
            <w:tcW w:w="1437" w:type="dxa"/>
          </w:tcPr>
          <w:p w14:paraId="38A8A061" w14:textId="77777777" w:rsidR="00662901" w:rsidRPr="005553DF" w:rsidRDefault="00662901" w:rsidP="005553DF">
            <w:pPr>
              <w:rPr>
                <w:rFonts w:asciiTheme="minorHAnsi" w:hAnsiTheme="minorHAnsi"/>
              </w:rPr>
            </w:pPr>
            <w:r w:rsidRPr="005553DF">
              <w:rPr>
                <w:rFonts w:asciiTheme="minorHAnsi" w:hAnsiTheme="minorHAnsi"/>
              </w:rPr>
              <w:t>Uric Acid</w:t>
            </w:r>
          </w:p>
        </w:tc>
        <w:tc>
          <w:tcPr>
            <w:tcW w:w="1966" w:type="dxa"/>
          </w:tcPr>
          <w:p w14:paraId="381D863A" w14:textId="77777777" w:rsidR="00662901" w:rsidRPr="005553DF" w:rsidRDefault="00662901" w:rsidP="005553DF">
            <w:pPr>
              <w:rPr>
                <w:rFonts w:asciiTheme="minorHAnsi" w:hAnsiTheme="minorHAnsi"/>
              </w:rPr>
            </w:pPr>
            <w:r w:rsidRPr="005553DF">
              <w:rPr>
                <w:rFonts w:asciiTheme="minorHAnsi" w:hAnsiTheme="minorHAnsi"/>
              </w:rPr>
              <w:t>Kataria 2015, NHANES</w:t>
            </w:r>
          </w:p>
          <w:p w14:paraId="5FB32281" w14:textId="77777777" w:rsidR="00662901" w:rsidRPr="005553DF" w:rsidRDefault="00662901" w:rsidP="005553DF">
            <w:pPr>
              <w:rPr>
                <w:rFonts w:asciiTheme="minorHAnsi" w:hAnsiTheme="minorHAnsi"/>
              </w:rPr>
            </w:pPr>
            <w:r w:rsidRPr="005553DF">
              <w:rPr>
                <w:rFonts w:asciiTheme="minorHAnsi" w:hAnsiTheme="minorHAnsi"/>
              </w:rPr>
              <w:t>1,960</w:t>
            </w:r>
            <w:r w:rsidR="00787A08" w:rsidRPr="005553DF">
              <w:rPr>
                <w:rFonts w:asciiTheme="minorHAnsi" w:hAnsiTheme="minorHAnsi"/>
              </w:rPr>
              <w:t>;</w:t>
            </w:r>
            <w:r w:rsidRPr="005553DF">
              <w:rPr>
                <w:rFonts w:asciiTheme="minorHAnsi" w:hAnsiTheme="minorHAnsi"/>
              </w:rPr>
              <w:t xml:space="preserve"> 12-18 yrs</w:t>
            </w:r>
          </w:p>
        </w:tc>
        <w:tc>
          <w:tcPr>
            <w:tcW w:w="2313" w:type="dxa"/>
          </w:tcPr>
          <w:p w14:paraId="763F9AFB" w14:textId="77777777" w:rsidR="00662901" w:rsidRPr="005553DF" w:rsidRDefault="00662901" w:rsidP="005553DF">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 +0.19 mg/dL</w:t>
            </w:r>
          </w:p>
        </w:tc>
        <w:tc>
          <w:tcPr>
            <w:tcW w:w="1934" w:type="dxa"/>
          </w:tcPr>
          <w:p w14:paraId="01299383" w14:textId="77777777" w:rsidR="00662901" w:rsidRPr="005553DF" w:rsidRDefault="00662901" w:rsidP="005553DF">
            <w:pPr>
              <w:rPr>
                <w:rFonts w:asciiTheme="minorHAnsi" w:hAnsiTheme="minorHAnsi"/>
              </w:rPr>
            </w:pPr>
            <w:r w:rsidRPr="005553DF">
              <w:rPr>
                <w:rFonts w:asciiTheme="minorHAnsi" w:hAnsiTheme="minorHAnsi"/>
              </w:rPr>
              <w:t>Mean PFOS serum level = 12.8 µg/L. SD = 1.19.</w:t>
            </w:r>
          </w:p>
        </w:tc>
        <w:tc>
          <w:tcPr>
            <w:tcW w:w="1800" w:type="dxa"/>
          </w:tcPr>
          <w:p w14:paraId="330CB3AD" w14:textId="77777777" w:rsidR="00662901" w:rsidRPr="005553DF" w:rsidRDefault="00662901" w:rsidP="005553DF">
            <w:pPr>
              <w:rPr>
                <w:rFonts w:asciiTheme="minorHAnsi" w:hAnsiTheme="minorHAnsi"/>
              </w:rPr>
            </w:pPr>
            <w:r w:rsidRPr="005553DF">
              <w:rPr>
                <w:rFonts w:asciiTheme="minorHAnsi" w:hAnsiTheme="minorHAnsi"/>
              </w:rPr>
              <w:t>556/stratum</w:t>
            </w:r>
          </w:p>
        </w:tc>
      </w:tr>
      <w:tr w:rsidR="00662901" w:rsidRPr="005553DF" w14:paraId="0304D9FA" w14:textId="77777777" w:rsidTr="00B321E7">
        <w:tc>
          <w:tcPr>
            <w:tcW w:w="1437" w:type="dxa"/>
            <w:tcBorders>
              <w:bottom w:val="single" w:sz="4" w:space="0" w:color="auto"/>
            </w:tcBorders>
          </w:tcPr>
          <w:p w14:paraId="388D7AF8" w14:textId="77777777" w:rsidR="00662901" w:rsidRPr="005553DF" w:rsidRDefault="00662901" w:rsidP="005553DF">
            <w:pPr>
              <w:rPr>
                <w:rFonts w:asciiTheme="minorHAnsi" w:hAnsiTheme="minorHAnsi"/>
              </w:rPr>
            </w:pPr>
            <w:r w:rsidRPr="005553DF">
              <w:rPr>
                <w:rFonts w:asciiTheme="minorHAnsi" w:hAnsiTheme="minorHAnsi"/>
              </w:rPr>
              <w:t>Hyperuricemia</w:t>
            </w:r>
          </w:p>
        </w:tc>
        <w:tc>
          <w:tcPr>
            <w:tcW w:w="1966" w:type="dxa"/>
            <w:tcBorders>
              <w:bottom w:val="single" w:sz="4" w:space="0" w:color="auto"/>
            </w:tcBorders>
          </w:tcPr>
          <w:p w14:paraId="26B3555F" w14:textId="77777777" w:rsidR="00662901" w:rsidRPr="005553DF" w:rsidRDefault="00662901" w:rsidP="005553DF">
            <w:pPr>
              <w:rPr>
                <w:rFonts w:asciiTheme="minorHAnsi" w:hAnsiTheme="minorHAnsi"/>
              </w:rPr>
            </w:pPr>
            <w:r w:rsidRPr="005553DF">
              <w:rPr>
                <w:rFonts w:asciiTheme="minorHAnsi" w:hAnsiTheme="minorHAnsi"/>
              </w:rPr>
              <w:t>Geiger 2013, NHANES</w:t>
            </w:r>
          </w:p>
          <w:p w14:paraId="48DEF46E" w14:textId="77777777" w:rsidR="00662901" w:rsidRPr="005553DF" w:rsidRDefault="00662901" w:rsidP="005553DF">
            <w:pPr>
              <w:rPr>
                <w:rFonts w:asciiTheme="minorHAnsi" w:hAnsiTheme="minorHAnsi"/>
              </w:rPr>
            </w:pPr>
            <w:r w:rsidRPr="005553DF">
              <w:rPr>
                <w:rFonts w:asciiTheme="minorHAnsi" w:hAnsiTheme="minorHAnsi"/>
              </w:rPr>
              <w:t>1,772</w:t>
            </w:r>
            <w:r w:rsidR="00787A08" w:rsidRPr="005553DF">
              <w:rPr>
                <w:rFonts w:asciiTheme="minorHAnsi" w:hAnsiTheme="minorHAnsi"/>
              </w:rPr>
              <w:t>;</w:t>
            </w:r>
            <w:r w:rsidRPr="005553DF">
              <w:rPr>
                <w:rFonts w:asciiTheme="minorHAnsi" w:hAnsiTheme="minorHAnsi"/>
              </w:rPr>
              <w:t xml:space="preserve"> 12-18 years</w:t>
            </w:r>
          </w:p>
          <w:p w14:paraId="2C53EE6A" w14:textId="77777777" w:rsidR="00662901" w:rsidRPr="005553DF" w:rsidRDefault="00662901" w:rsidP="005553DF">
            <w:pPr>
              <w:rPr>
                <w:rFonts w:asciiTheme="minorHAnsi" w:hAnsiTheme="minorHAnsi"/>
              </w:rPr>
            </w:pPr>
          </w:p>
        </w:tc>
        <w:tc>
          <w:tcPr>
            <w:tcW w:w="2313" w:type="dxa"/>
            <w:tcBorders>
              <w:bottom w:val="single" w:sz="4" w:space="0" w:color="auto"/>
            </w:tcBorders>
          </w:tcPr>
          <w:p w14:paraId="2AEE12CE" w14:textId="77777777" w:rsidR="00662901" w:rsidRPr="005553DF" w:rsidRDefault="00662901" w:rsidP="005553DF">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OR=1.65</w:t>
            </w:r>
          </w:p>
        </w:tc>
        <w:tc>
          <w:tcPr>
            <w:tcW w:w="1934" w:type="dxa"/>
            <w:tcBorders>
              <w:bottom w:val="single" w:sz="4" w:space="0" w:color="auto"/>
            </w:tcBorders>
          </w:tcPr>
          <w:p w14:paraId="0A542874" w14:textId="77777777" w:rsidR="00662901" w:rsidRPr="005553DF" w:rsidRDefault="00662901" w:rsidP="005553DF">
            <w:pPr>
              <w:rPr>
                <w:rFonts w:asciiTheme="minorHAnsi" w:hAnsiTheme="minorHAnsi"/>
              </w:rPr>
            </w:pPr>
            <w:r w:rsidRPr="005553DF">
              <w:rPr>
                <w:rFonts w:asciiTheme="minorHAnsi" w:hAnsiTheme="minorHAnsi"/>
              </w:rPr>
              <w:t>Mean PFOS serum level =16.6. Prevalence=16%</w:t>
            </w:r>
          </w:p>
        </w:tc>
        <w:tc>
          <w:tcPr>
            <w:tcW w:w="1800" w:type="dxa"/>
            <w:tcBorders>
              <w:bottom w:val="single" w:sz="4" w:space="0" w:color="auto"/>
            </w:tcBorders>
          </w:tcPr>
          <w:p w14:paraId="59A0A5C8" w14:textId="77777777" w:rsidR="00662901" w:rsidRPr="005553DF" w:rsidRDefault="00662901" w:rsidP="005553DF">
            <w:pPr>
              <w:rPr>
                <w:rFonts w:asciiTheme="minorHAnsi" w:hAnsiTheme="minorHAnsi"/>
              </w:rPr>
            </w:pPr>
            <w:r w:rsidRPr="005553DF">
              <w:rPr>
                <w:rFonts w:asciiTheme="minorHAnsi" w:hAnsiTheme="minorHAnsi"/>
              </w:rPr>
              <w:t>400/stratum</w:t>
            </w:r>
          </w:p>
        </w:tc>
      </w:tr>
      <w:tr w:rsidR="00662901" w:rsidRPr="005553DF" w14:paraId="1169530A" w14:textId="77777777" w:rsidTr="00B321E7">
        <w:tc>
          <w:tcPr>
            <w:tcW w:w="1437" w:type="dxa"/>
            <w:tcBorders>
              <w:bottom w:val="single" w:sz="4" w:space="0" w:color="auto"/>
            </w:tcBorders>
          </w:tcPr>
          <w:p w14:paraId="6C2B0A02" w14:textId="77777777" w:rsidR="00662901" w:rsidRPr="005553DF" w:rsidRDefault="00662901" w:rsidP="005553DF">
            <w:pPr>
              <w:rPr>
                <w:rFonts w:asciiTheme="minorHAnsi" w:hAnsiTheme="minorHAnsi"/>
              </w:rPr>
            </w:pPr>
            <w:r w:rsidRPr="005553DF">
              <w:rPr>
                <w:rFonts w:asciiTheme="minorHAnsi" w:hAnsiTheme="minorHAnsi"/>
              </w:rPr>
              <w:t>eGFR</w:t>
            </w:r>
          </w:p>
        </w:tc>
        <w:tc>
          <w:tcPr>
            <w:tcW w:w="1966" w:type="dxa"/>
            <w:tcBorders>
              <w:bottom w:val="single" w:sz="4" w:space="0" w:color="auto"/>
            </w:tcBorders>
          </w:tcPr>
          <w:p w14:paraId="4A2BE5CA" w14:textId="77777777" w:rsidR="00662901" w:rsidRPr="005553DF" w:rsidRDefault="00662901" w:rsidP="005553DF">
            <w:pPr>
              <w:rPr>
                <w:rFonts w:asciiTheme="minorHAnsi" w:hAnsiTheme="minorHAnsi"/>
              </w:rPr>
            </w:pPr>
            <w:r w:rsidRPr="005553DF">
              <w:rPr>
                <w:rFonts w:asciiTheme="minorHAnsi" w:hAnsiTheme="minorHAnsi"/>
              </w:rPr>
              <w:t>Kataria 2015</w:t>
            </w:r>
          </w:p>
          <w:p w14:paraId="111B58EB" w14:textId="77777777" w:rsidR="00787A08" w:rsidRPr="005553DF" w:rsidRDefault="00787A08" w:rsidP="005553DF">
            <w:pPr>
              <w:rPr>
                <w:rFonts w:asciiTheme="minorHAnsi" w:hAnsiTheme="minorHAnsi"/>
              </w:rPr>
            </w:pPr>
            <w:r w:rsidRPr="005553DF">
              <w:rPr>
                <w:rFonts w:asciiTheme="minorHAnsi" w:hAnsiTheme="minorHAnsi"/>
              </w:rPr>
              <w:t>1,960; 12-18 yrs</w:t>
            </w:r>
          </w:p>
        </w:tc>
        <w:tc>
          <w:tcPr>
            <w:tcW w:w="2313" w:type="dxa"/>
            <w:tcBorders>
              <w:bottom w:val="single" w:sz="4" w:space="0" w:color="auto"/>
            </w:tcBorders>
          </w:tcPr>
          <w:p w14:paraId="612EDD60" w14:textId="77777777" w:rsidR="00662901" w:rsidRPr="005553DF" w:rsidRDefault="00662901" w:rsidP="005553DF">
            <w:pPr>
              <w:rPr>
                <w:rFonts w:asciiTheme="minorHAnsi" w:hAnsiTheme="minorHAnsi"/>
              </w:rPr>
            </w:pPr>
            <w:r w:rsidRPr="005553DF">
              <w:rPr>
                <w:rFonts w:asciiTheme="minorHAnsi" w:hAnsiTheme="minorHAnsi"/>
              </w:rPr>
              <w:t>PFOA mean serum level =3.5 µg/L. mean difference= -6.6</w:t>
            </w:r>
          </w:p>
        </w:tc>
        <w:tc>
          <w:tcPr>
            <w:tcW w:w="1934" w:type="dxa"/>
            <w:tcBorders>
              <w:bottom w:val="single" w:sz="4" w:space="0" w:color="auto"/>
            </w:tcBorders>
          </w:tcPr>
          <w:p w14:paraId="5DEF99F1" w14:textId="77777777" w:rsidR="00662901" w:rsidRPr="005553DF" w:rsidRDefault="00662901" w:rsidP="005553DF">
            <w:pPr>
              <w:rPr>
                <w:rFonts w:asciiTheme="minorHAnsi" w:hAnsiTheme="minorHAnsi"/>
              </w:rPr>
            </w:pPr>
            <w:r w:rsidRPr="005553DF">
              <w:rPr>
                <w:rFonts w:asciiTheme="minorHAnsi" w:hAnsiTheme="minorHAnsi"/>
              </w:rPr>
              <w:t>Standard deviation=27.6</w:t>
            </w:r>
          </w:p>
        </w:tc>
        <w:tc>
          <w:tcPr>
            <w:tcW w:w="1800" w:type="dxa"/>
            <w:tcBorders>
              <w:bottom w:val="single" w:sz="4" w:space="0" w:color="auto"/>
            </w:tcBorders>
          </w:tcPr>
          <w:p w14:paraId="4BF1AC3C" w14:textId="77777777" w:rsidR="00662901" w:rsidRPr="005553DF" w:rsidRDefault="00662901" w:rsidP="005553DF">
            <w:pPr>
              <w:rPr>
                <w:rFonts w:asciiTheme="minorHAnsi" w:hAnsiTheme="minorHAnsi"/>
              </w:rPr>
            </w:pPr>
            <w:r w:rsidRPr="005553DF">
              <w:rPr>
                <w:rFonts w:asciiTheme="minorHAnsi" w:hAnsiTheme="minorHAnsi"/>
              </w:rPr>
              <w:t>275/stratum</w:t>
            </w:r>
          </w:p>
        </w:tc>
      </w:tr>
      <w:tr w:rsidR="00662901" w:rsidRPr="005553DF" w14:paraId="707958BA" w14:textId="77777777" w:rsidTr="00B321E7">
        <w:tc>
          <w:tcPr>
            <w:tcW w:w="1437" w:type="dxa"/>
            <w:tcBorders>
              <w:top w:val="single" w:sz="18" w:space="0" w:color="auto"/>
            </w:tcBorders>
          </w:tcPr>
          <w:p w14:paraId="10A366ED" w14:textId="77777777" w:rsidR="00662901" w:rsidRPr="005553DF" w:rsidRDefault="00662901" w:rsidP="005553DF">
            <w:pPr>
              <w:rPr>
                <w:rFonts w:asciiTheme="minorHAnsi" w:hAnsiTheme="minorHAnsi"/>
              </w:rPr>
            </w:pPr>
            <w:r w:rsidRPr="005553DF">
              <w:rPr>
                <w:rFonts w:asciiTheme="minorHAnsi" w:hAnsiTheme="minorHAnsi"/>
              </w:rPr>
              <w:t>Testosterone</w:t>
            </w:r>
          </w:p>
        </w:tc>
        <w:tc>
          <w:tcPr>
            <w:tcW w:w="1966" w:type="dxa"/>
            <w:tcBorders>
              <w:top w:val="single" w:sz="18" w:space="0" w:color="auto"/>
            </w:tcBorders>
          </w:tcPr>
          <w:p w14:paraId="67B03FBA" w14:textId="77777777" w:rsidR="00662901" w:rsidRPr="005553DF" w:rsidRDefault="00662901" w:rsidP="005553DF">
            <w:pPr>
              <w:rPr>
                <w:rFonts w:asciiTheme="minorHAnsi" w:hAnsiTheme="minorHAnsi"/>
              </w:rPr>
            </w:pPr>
            <w:r w:rsidRPr="005553DF">
              <w:rPr>
                <w:rFonts w:asciiTheme="minorHAnsi" w:hAnsiTheme="minorHAnsi"/>
              </w:rPr>
              <w:t>Lopez-Espinosa 2016, C8</w:t>
            </w:r>
          </w:p>
          <w:p w14:paraId="6F89B429" w14:textId="77777777" w:rsidR="00662901" w:rsidRPr="005553DF" w:rsidRDefault="00787A08" w:rsidP="005553DF">
            <w:pPr>
              <w:rPr>
                <w:rFonts w:asciiTheme="minorHAnsi" w:hAnsiTheme="minorHAnsi"/>
              </w:rPr>
            </w:pPr>
            <w:r w:rsidRPr="005553DF">
              <w:rPr>
                <w:rFonts w:asciiTheme="minorHAnsi" w:hAnsiTheme="minorHAnsi"/>
              </w:rPr>
              <w:t>1,169 boys;</w:t>
            </w:r>
            <w:r w:rsidR="00662901" w:rsidRPr="005553DF">
              <w:rPr>
                <w:rFonts w:asciiTheme="minorHAnsi" w:hAnsiTheme="minorHAnsi"/>
              </w:rPr>
              <w:t xml:space="preserve"> 6-9 yrs</w:t>
            </w:r>
          </w:p>
          <w:p w14:paraId="10D170D3" w14:textId="77777777" w:rsidR="00662901" w:rsidRPr="005553DF" w:rsidRDefault="00787A08" w:rsidP="005553DF">
            <w:pPr>
              <w:rPr>
                <w:rFonts w:asciiTheme="minorHAnsi" w:hAnsiTheme="minorHAnsi"/>
              </w:rPr>
            </w:pPr>
            <w:r w:rsidRPr="005553DF">
              <w:rPr>
                <w:rFonts w:asciiTheme="minorHAnsi" w:hAnsiTheme="minorHAnsi"/>
              </w:rPr>
              <w:t>1,123 girl;</w:t>
            </w:r>
            <w:r w:rsidR="00662901" w:rsidRPr="005553DF">
              <w:rPr>
                <w:rFonts w:asciiTheme="minorHAnsi" w:hAnsiTheme="minorHAnsi"/>
              </w:rPr>
              <w:t xml:space="preserve"> 6-9 yrs</w:t>
            </w:r>
          </w:p>
        </w:tc>
        <w:tc>
          <w:tcPr>
            <w:tcW w:w="2313" w:type="dxa"/>
            <w:tcBorders>
              <w:top w:val="single" w:sz="18" w:space="0" w:color="auto"/>
            </w:tcBorders>
          </w:tcPr>
          <w:p w14:paraId="4DE1FFBB" w14:textId="77777777" w:rsidR="00662901" w:rsidRPr="005553DF" w:rsidRDefault="00662901" w:rsidP="005553DF">
            <w:pPr>
              <w:rPr>
                <w:rFonts w:asciiTheme="minorHAnsi" w:hAnsiTheme="minorHAnsi"/>
              </w:rPr>
            </w:pPr>
            <w:r w:rsidRPr="005553DF">
              <w:rPr>
                <w:rFonts w:asciiTheme="minorHAnsi" w:hAnsiTheme="minorHAnsi"/>
              </w:rPr>
              <w:t>PFOS (IQR):</w:t>
            </w:r>
          </w:p>
          <w:p w14:paraId="721C81CC" w14:textId="77777777" w:rsidR="00662901" w:rsidRPr="005553DF" w:rsidRDefault="00662901" w:rsidP="005553DF">
            <w:pPr>
              <w:rPr>
                <w:rFonts w:asciiTheme="minorHAnsi" w:hAnsiTheme="minorHAnsi"/>
              </w:rPr>
            </w:pPr>
            <w:r w:rsidRPr="005553DF">
              <w:rPr>
                <w:rFonts w:asciiTheme="minorHAnsi" w:hAnsiTheme="minorHAnsi"/>
              </w:rPr>
              <w:t>-5.8% boys (diff=1.9)</w:t>
            </w:r>
          </w:p>
          <w:p w14:paraId="4AAC5948" w14:textId="77777777" w:rsidR="00662901" w:rsidRPr="005553DF" w:rsidRDefault="00662901" w:rsidP="005553DF">
            <w:pPr>
              <w:rPr>
                <w:rFonts w:asciiTheme="minorHAnsi" w:hAnsiTheme="minorHAnsi"/>
              </w:rPr>
            </w:pPr>
            <w:r w:rsidRPr="005553DF">
              <w:rPr>
                <w:rFonts w:asciiTheme="minorHAnsi" w:hAnsiTheme="minorHAnsi"/>
              </w:rPr>
              <w:t>-6.6% girls (diff=2.45)</w:t>
            </w:r>
          </w:p>
        </w:tc>
        <w:tc>
          <w:tcPr>
            <w:tcW w:w="1934" w:type="dxa"/>
            <w:tcBorders>
              <w:top w:val="single" w:sz="18" w:space="0" w:color="auto"/>
            </w:tcBorders>
          </w:tcPr>
          <w:p w14:paraId="50EA07D5" w14:textId="77777777" w:rsidR="00662901" w:rsidRPr="005553DF" w:rsidRDefault="00662901" w:rsidP="005553DF">
            <w:pPr>
              <w:rPr>
                <w:rFonts w:asciiTheme="minorHAnsi" w:hAnsiTheme="minorHAnsi"/>
              </w:rPr>
            </w:pPr>
            <w:r w:rsidRPr="005553DF">
              <w:rPr>
                <w:rFonts w:asciiTheme="minorHAnsi" w:hAnsiTheme="minorHAnsi"/>
              </w:rPr>
              <w:t>Percent change was converted to mean difference assuming median testosterone level was ref. level. SD estimated at 11.85 for girls and 9.63 for boys.</w:t>
            </w:r>
          </w:p>
        </w:tc>
        <w:tc>
          <w:tcPr>
            <w:tcW w:w="1800" w:type="dxa"/>
            <w:tcBorders>
              <w:top w:val="single" w:sz="18" w:space="0" w:color="auto"/>
            </w:tcBorders>
          </w:tcPr>
          <w:p w14:paraId="3D3B46B4" w14:textId="77777777" w:rsidR="00662901" w:rsidRPr="005553DF" w:rsidRDefault="00662901" w:rsidP="005553DF">
            <w:pPr>
              <w:rPr>
                <w:rFonts w:asciiTheme="minorHAnsi" w:hAnsiTheme="minorHAnsi"/>
              </w:rPr>
            </w:pPr>
            <w:r w:rsidRPr="005553DF">
              <w:rPr>
                <w:rFonts w:asciiTheme="minorHAnsi" w:hAnsiTheme="minorHAnsi"/>
              </w:rPr>
              <w:t>Boys: 404/stratum</w:t>
            </w:r>
          </w:p>
          <w:p w14:paraId="26143671" w14:textId="77777777" w:rsidR="00662901" w:rsidRPr="005553DF" w:rsidRDefault="00662901" w:rsidP="005553DF">
            <w:pPr>
              <w:rPr>
                <w:rFonts w:asciiTheme="minorHAnsi" w:hAnsiTheme="minorHAnsi"/>
              </w:rPr>
            </w:pPr>
            <w:r w:rsidRPr="005553DF">
              <w:rPr>
                <w:rFonts w:asciiTheme="minorHAnsi" w:hAnsiTheme="minorHAnsi"/>
              </w:rPr>
              <w:t>Girls: 368/stratum</w:t>
            </w:r>
          </w:p>
        </w:tc>
      </w:tr>
      <w:tr w:rsidR="00662901" w:rsidRPr="005553DF" w14:paraId="32B43D03" w14:textId="77777777" w:rsidTr="00B321E7">
        <w:tc>
          <w:tcPr>
            <w:tcW w:w="1437" w:type="dxa"/>
          </w:tcPr>
          <w:p w14:paraId="7A4DC2F0" w14:textId="77777777" w:rsidR="00662901" w:rsidRPr="005553DF" w:rsidRDefault="00662901" w:rsidP="005553DF">
            <w:pPr>
              <w:rPr>
                <w:rFonts w:asciiTheme="minorHAnsi" w:hAnsiTheme="minorHAnsi"/>
              </w:rPr>
            </w:pPr>
            <w:r w:rsidRPr="005553DF">
              <w:rPr>
                <w:rFonts w:asciiTheme="minorHAnsi" w:hAnsiTheme="minorHAnsi"/>
              </w:rPr>
              <w:t>IGF-1 (Insulin-like growth factor – 1)</w:t>
            </w:r>
          </w:p>
        </w:tc>
        <w:tc>
          <w:tcPr>
            <w:tcW w:w="1966" w:type="dxa"/>
          </w:tcPr>
          <w:p w14:paraId="143C7CA2" w14:textId="77777777" w:rsidR="00662901" w:rsidRPr="005553DF" w:rsidRDefault="00662901" w:rsidP="005553DF">
            <w:pPr>
              <w:rPr>
                <w:rFonts w:asciiTheme="minorHAnsi" w:hAnsiTheme="minorHAnsi"/>
              </w:rPr>
            </w:pPr>
            <w:r w:rsidRPr="005553DF">
              <w:rPr>
                <w:rFonts w:asciiTheme="minorHAnsi" w:hAnsiTheme="minorHAnsi"/>
              </w:rPr>
              <w:t>Lopez-Espinosa 2016, C8</w:t>
            </w:r>
          </w:p>
          <w:p w14:paraId="6F8607AC" w14:textId="77777777" w:rsidR="00787A08" w:rsidRPr="005553DF" w:rsidRDefault="00787A08" w:rsidP="005553DF">
            <w:pPr>
              <w:rPr>
                <w:rFonts w:asciiTheme="minorHAnsi" w:hAnsiTheme="minorHAnsi"/>
              </w:rPr>
            </w:pPr>
          </w:p>
        </w:tc>
        <w:tc>
          <w:tcPr>
            <w:tcW w:w="2313" w:type="dxa"/>
          </w:tcPr>
          <w:p w14:paraId="03E153DD" w14:textId="77777777" w:rsidR="00662901" w:rsidRPr="005553DF" w:rsidRDefault="00662901" w:rsidP="005553DF">
            <w:pPr>
              <w:rPr>
                <w:rFonts w:asciiTheme="minorHAnsi" w:hAnsiTheme="minorHAnsi"/>
              </w:rPr>
            </w:pPr>
            <w:r w:rsidRPr="005553DF">
              <w:rPr>
                <w:rFonts w:asciiTheme="minorHAnsi" w:hAnsiTheme="minorHAnsi"/>
              </w:rPr>
              <w:t>PFHxS (IQR):</w:t>
            </w:r>
          </w:p>
          <w:p w14:paraId="765AFADB" w14:textId="77777777" w:rsidR="00662901" w:rsidRPr="005553DF" w:rsidRDefault="00662901" w:rsidP="005553DF">
            <w:pPr>
              <w:rPr>
                <w:rFonts w:asciiTheme="minorHAnsi" w:hAnsiTheme="minorHAnsi"/>
              </w:rPr>
            </w:pPr>
            <w:r w:rsidRPr="005553DF">
              <w:rPr>
                <w:rFonts w:asciiTheme="minorHAnsi" w:hAnsiTheme="minorHAnsi"/>
              </w:rPr>
              <w:t>Boys: -2.5% (diff=17.3</w:t>
            </w:r>
            <w:r w:rsidR="00D92A73" w:rsidRPr="005553DF">
              <w:rPr>
                <w:rFonts w:asciiTheme="minorHAnsi" w:hAnsiTheme="minorHAnsi"/>
              </w:rPr>
              <w:t>)</w:t>
            </w:r>
          </w:p>
          <w:p w14:paraId="1B569EE5" w14:textId="77777777" w:rsidR="00662901" w:rsidRPr="005553DF" w:rsidRDefault="00662901" w:rsidP="005553DF">
            <w:pPr>
              <w:rPr>
                <w:rFonts w:asciiTheme="minorHAnsi" w:hAnsiTheme="minorHAnsi"/>
              </w:rPr>
            </w:pPr>
            <w:r w:rsidRPr="005553DF">
              <w:rPr>
                <w:rFonts w:asciiTheme="minorHAnsi" w:hAnsiTheme="minorHAnsi"/>
              </w:rPr>
              <w:t>Girls: -2.1%</w:t>
            </w:r>
          </w:p>
        </w:tc>
        <w:tc>
          <w:tcPr>
            <w:tcW w:w="1934" w:type="dxa"/>
          </w:tcPr>
          <w:p w14:paraId="651A6A11" w14:textId="77777777" w:rsidR="00662901" w:rsidRPr="005553DF" w:rsidRDefault="00662901" w:rsidP="005553DF">
            <w:pPr>
              <w:rPr>
                <w:rFonts w:asciiTheme="minorHAnsi" w:hAnsiTheme="minorHAnsi"/>
              </w:rPr>
            </w:pPr>
            <w:r w:rsidRPr="005553DF">
              <w:rPr>
                <w:rFonts w:asciiTheme="minorHAnsi" w:hAnsiTheme="minorHAnsi"/>
              </w:rPr>
              <w:t>Percent change was converted to mean difference assuming median IGF-1 in boys as ref. level. SD estimated as 52.6</w:t>
            </w:r>
          </w:p>
        </w:tc>
        <w:tc>
          <w:tcPr>
            <w:tcW w:w="1800" w:type="dxa"/>
          </w:tcPr>
          <w:p w14:paraId="4163F4D4" w14:textId="77777777" w:rsidR="00662901" w:rsidRPr="005553DF" w:rsidRDefault="00662901" w:rsidP="005553DF">
            <w:pPr>
              <w:rPr>
                <w:rFonts w:asciiTheme="minorHAnsi" w:hAnsiTheme="minorHAnsi"/>
              </w:rPr>
            </w:pPr>
            <w:r w:rsidRPr="005553DF">
              <w:rPr>
                <w:rFonts w:asciiTheme="minorHAnsi" w:hAnsiTheme="minorHAnsi"/>
              </w:rPr>
              <w:t>146/stratum</w:t>
            </w:r>
          </w:p>
        </w:tc>
      </w:tr>
      <w:tr w:rsidR="00662901" w:rsidRPr="005553DF" w14:paraId="40A693ED" w14:textId="77777777" w:rsidTr="00B321E7">
        <w:tc>
          <w:tcPr>
            <w:tcW w:w="1437" w:type="dxa"/>
          </w:tcPr>
          <w:p w14:paraId="47956751" w14:textId="77777777" w:rsidR="00662901" w:rsidRPr="005553DF" w:rsidRDefault="00662901" w:rsidP="005553DF">
            <w:pPr>
              <w:rPr>
                <w:rFonts w:asciiTheme="minorHAnsi" w:hAnsiTheme="minorHAnsi"/>
              </w:rPr>
            </w:pPr>
            <w:r w:rsidRPr="005553DF">
              <w:rPr>
                <w:rFonts w:asciiTheme="minorHAnsi" w:hAnsiTheme="minorHAnsi"/>
              </w:rPr>
              <w:t>Delayed Puberty</w:t>
            </w:r>
          </w:p>
        </w:tc>
        <w:tc>
          <w:tcPr>
            <w:tcW w:w="1966" w:type="dxa"/>
          </w:tcPr>
          <w:p w14:paraId="49A9765A" w14:textId="77777777" w:rsidR="00662901" w:rsidRPr="005553DF" w:rsidRDefault="00662901" w:rsidP="005553DF">
            <w:pPr>
              <w:rPr>
                <w:rFonts w:asciiTheme="minorHAnsi" w:hAnsiTheme="minorHAnsi"/>
              </w:rPr>
            </w:pPr>
            <w:r w:rsidRPr="005553DF">
              <w:rPr>
                <w:rFonts w:asciiTheme="minorHAnsi" w:hAnsiTheme="minorHAnsi"/>
              </w:rPr>
              <w:t>Lopez-Espinosa 2011. C8</w:t>
            </w:r>
          </w:p>
          <w:p w14:paraId="052E3211" w14:textId="77777777" w:rsidR="00662901" w:rsidRPr="005553DF" w:rsidRDefault="00662901" w:rsidP="005553DF">
            <w:pPr>
              <w:rPr>
                <w:rFonts w:asciiTheme="minorHAnsi" w:hAnsiTheme="minorHAnsi"/>
              </w:rPr>
            </w:pPr>
            <w:r w:rsidRPr="005553DF">
              <w:rPr>
                <w:rFonts w:asciiTheme="minorHAnsi" w:hAnsiTheme="minorHAnsi"/>
              </w:rPr>
              <w:t>3,072 boys, 8-18 yrs</w:t>
            </w:r>
          </w:p>
          <w:p w14:paraId="584361B5" w14:textId="77777777" w:rsidR="00662901" w:rsidRPr="005553DF" w:rsidRDefault="00662901" w:rsidP="005553DF">
            <w:pPr>
              <w:rPr>
                <w:rFonts w:asciiTheme="minorHAnsi" w:hAnsiTheme="minorHAnsi"/>
              </w:rPr>
            </w:pPr>
            <w:r w:rsidRPr="005553DF">
              <w:rPr>
                <w:rFonts w:asciiTheme="minorHAnsi" w:hAnsiTheme="minorHAnsi"/>
              </w:rPr>
              <w:t>2,903 girls, 8-18 yrs</w:t>
            </w:r>
          </w:p>
        </w:tc>
        <w:tc>
          <w:tcPr>
            <w:tcW w:w="2313" w:type="dxa"/>
          </w:tcPr>
          <w:p w14:paraId="2C084B0D" w14:textId="77777777" w:rsidR="00662901" w:rsidRPr="005553DF" w:rsidRDefault="00662901" w:rsidP="005553DF">
            <w:pPr>
              <w:rPr>
                <w:rFonts w:asciiTheme="minorHAnsi" w:hAnsiTheme="minorHAnsi"/>
              </w:rPr>
            </w:pPr>
            <w:r w:rsidRPr="005553DF">
              <w:rPr>
                <w:rFonts w:asciiTheme="minorHAnsi" w:hAnsiTheme="minorHAnsi"/>
              </w:rPr>
              <w:t>PFOS: mean serum level was about 19 µg/L.</w:t>
            </w:r>
          </w:p>
        </w:tc>
        <w:tc>
          <w:tcPr>
            <w:tcW w:w="1934" w:type="dxa"/>
          </w:tcPr>
          <w:p w14:paraId="5533F395" w14:textId="77777777" w:rsidR="00662901" w:rsidRPr="005553DF" w:rsidRDefault="00662901" w:rsidP="005553DF">
            <w:pPr>
              <w:rPr>
                <w:rFonts w:asciiTheme="minorHAnsi" w:hAnsiTheme="minorHAnsi"/>
              </w:rPr>
            </w:pPr>
            <w:r w:rsidRPr="005553DF">
              <w:rPr>
                <w:rFonts w:asciiTheme="minorHAnsi" w:hAnsiTheme="minorHAnsi"/>
              </w:rPr>
              <w:t>OR for delayed puberty and the number of days delayed puberty had narrow CIs</w:t>
            </w:r>
          </w:p>
        </w:tc>
        <w:tc>
          <w:tcPr>
            <w:tcW w:w="1800" w:type="dxa"/>
          </w:tcPr>
          <w:p w14:paraId="45148E5E" w14:textId="77777777" w:rsidR="00662901" w:rsidRPr="005553DF" w:rsidRDefault="00662901" w:rsidP="005553DF">
            <w:pPr>
              <w:rPr>
                <w:rFonts w:asciiTheme="minorHAnsi" w:hAnsiTheme="minorHAnsi"/>
                <w:sz w:val="16"/>
              </w:rPr>
            </w:pPr>
            <w:r w:rsidRPr="005553DF">
              <w:rPr>
                <w:rFonts w:asciiTheme="minorHAnsi" w:hAnsiTheme="minorHAnsi"/>
                <w:sz w:val="16"/>
              </w:rPr>
              <w:t xml:space="preserve">Insufficient information to calculate sample size, but sample sizes </w:t>
            </w:r>
            <w:r w:rsidR="001F47E7" w:rsidRPr="005553DF">
              <w:rPr>
                <w:rFonts w:asciiTheme="minorHAnsi" w:hAnsiTheme="minorHAnsi"/>
                <w:sz w:val="16"/>
              </w:rPr>
              <w:t>in this study were enough for sufficient precision.</w:t>
            </w:r>
          </w:p>
        </w:tc>
      </w:tr>
      <w:tr w:rsidR="00662901" w:rsidRPr="005553DF" w14:paraId="25E0679D" w14:textId="77777777" w:rsidTr="00B321E7">
        <w:tc>
          <w:tcPr>
            <w:tcW w:w="1437" w:type="dxa"/>
            <w:tcBorders>
              <w:bottom w:val="single" w:sz="4" w:space="0" w:color="auto"/>
            </w:tcBorders>
          </w:tcPr>
          <w:p w14:paraId="5185B487" w14:textId="77777777" w:rsidR="00662901" w:rsidRPr="005553DF" w:rsidRDefault="00662901" w:rsidP="005553DF">
            <w:pPr>
              <w:rPr>
                <w:rFonts w:asciiTheme="minorHAnsi" w:hAnsiTheme="minorHAnsi"/>
              </w:rPr>
            </w:pPr>
            <w:r w:rsidRPr="005553DF">
              <w:rPr>
                <w:rFonts w:asciiTheme="minorHAnsi" w:hAnsiTheme="minorHAnsi"/>
              </w:rPr>
              <w:t>ADHD</w:t>
            </w:r>
          </w:p>
        </w:tc>
        <w:tc>
          <w:tcPr>
            <w:tcW w:w="1966" w:type="dxa"/>
            <w:tcBorders>
              <w:bottom w:val="single" w:sz="4" w:space="0" w:color="auto"/>
            </w:tcBorders>
          </w:tcPr>
          <w:p w14:paraId="116B792F" w14:textId="77777777" w:rsidR="00662901" w:rsidRPr="005553DF" w:rsidRDefault="00662901" w:rsidP="005553DF">
            <w:pPr>
              <w:rPr>
                <w:rFonts w:asciiTheme="minorHAnsi" w:hAnsiTheme="minorHAnsi"/>
              </w:rPr>
            </w:pPr>
            <w:r w:rsidRPr="005553DF">
              <w:rPr>
                <w:rFonts w:asciiTheme="minorHAnsi" w:hAnsiTheme="minorHAnsi"/>
              </w:rPr>
              <w:t>Stein 2011, C8</w:t>
            </w:r>
          </w:p>
          <w:p w14:paraId="6314C741" w14:textId="77777777" w:rsidR="00662901" w:rsidRPr="005553DF" w:rsidRDefault="00662901" w:rsidP="005553DF">
            <w:pPr>
              <w:rPr>
                <w:rFonts w:asciiTheme="minorHAnsi" w:hAnsiTheme="minorHAnsi"/>
              </w:rPr>
            </w:pPr>
            <w:r w:rsidRPr="005553DF">
              <w:rPr>
                <w:rFonts w:asciiTheme="minorHAnsi" w:hAnsiTheme="minorHAnsi"/>
              </w:rPr>
              <w:t>10,546</w:t>
            </w:r>
            <w:r w:rsidR="00787A08" w:rsidRPr="005553DF">
              <w:rPr>
                <w:rFonts w:asciiTheme="minorHAnsi" w:hAnsiTheme="minorHAnsi"/>
              </w:rPr>
              <w:t>;</w:t>
            </w:r>
            <w:r w:rsidRPr="005553DF">
              <w:rPr>
                <w:rFonts w:asciiTheme="minorHAnsi" w:hAnsiTheme="minorHAnsi"/>
              </w:rPr>
              <w:t xml:space="preserve"> aged 5-18 yrs.</w:t>
            </w:r>
          </w:p>
        </w:tc>
        <w:tc>
          <w:tcPr>
            <w:tcW w:w="2313" w:type="dxa"/>
            <w:tcBorders>
              <w:bottom w:val="single" w:sz="4" w:space="0" w:color="auto"/>
            </w:tcBorders>
          </w:tcPr>
          <w:p w14:paraId="2F2CF7E2" w14:textId="77777777" w:rsidR="00662901" w:rsidRPr="005553DF" w:rsidRDefault="00662901" w:rsidP="005553DF">
            <w:pPr>
              <w:rPr>
                <w:rFonts w:asciiTheme="minorHAnsi" w:hAnsiTheme="minorHAnsi"/>
              </w:rPr>
            </w:pPr>
            <w:r w:rsidRPr="005553DF">
              <w:rPr>
                <w:rFonts w:asciiTheme="minorHAnsi" w:hAnsiTheme="minorHAnsi"/>
              </w:rPr>
              <w:t>PFHxS mean serum level was 5.2 µg/L.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w:t>
            </w:r>
          </w:p>
          <w:p w14:paraId="6B2E68D3" w14:textId="77777777" w:rsidR="00662901" w:rsidRPr="005553DF" w:rsidRDefault="00662901" w:rsidP="005553DF">
            <w:pPr>
              <w:rPr>
                <w:rFonts w:asciiTheme="minorHAnsi" w:hAnsiTheme="minorHAnsi"/>
              </w:rPr>
            </w:pPr>
            <w:r w:rsidRPr="005553DF">
              <w:rPr>
                <w:rFonts w:asciiTheme="minorHAnsi" w:hAnsiTheme="minorHAnsi"/>
              </w:rPr>
              <w:t>OR=1.5</w:t>
            </w:r>
          </w:p>
          <w:p w14:paraId="6E784AAE" w14:textId="77777777" w:rsidR="00662901" w:rsidRPr="005553DF" w:rsidRDefault="00662901" w:rsidP="005553DF">
            <w:pPr>
              <w:rPr>
                <w:rFonts w:asciiTheme="minorHAnsi" w:hAnsiTheme="minorHAnsi"/>
              </w:rPr>
            </w:pPr>
          </w:p>
        </w:tc>
        <w:tc>
          <w:tcPr>
            <w:tcW w:w="1934" w:type="dxa"/>
            <w:tcBorders>
              <w:bottom w:val="single" w:sz="4" w:space="0" w:color="auto"/>
            </w:tcBorders>
          </w:tcPr>
          <w:p w14:paraId="17D5E1EF" w14:textId="77777777" w:rsidR="00662901" w:rsidRPr="005553DF" w:rsidRDefault="00662901" w:rsidP="005553DF">
            <w:pPr>
              <w:rPr>
                <w:rFonts w:asciiTheme="minorHAnsi" w:hAnsiTheme="minorHAnsi"/>
              </w:rPr>
            </w:pPr>
          </w:p>
          <w:p w14:paraId="034956E2" w14:textId="77777777" w:rsidR="00662901" w:rsidRPr="005553DF" w:rsidRDefault="00662901" w:rsidP="005553DF">
            <w:pPr>
              <w:rPr>
                <w:rFonts w:asciiTheme="minorHAnsi" w:hAnsiTheme="minorHAnsi"/>
              </w:rPr>
            </w:pPr>
          </w:p>
          <w:p w14:paraId="2F96D366" w14:textId="77777777" w:rsidR="00662901" w:rsidRPr="005553DF" w:rsidRDefault="00662901" w:rsidP="005553DF">
            <w:pPr>
              <w:rPr>
                <w:rFonts w:asciiTheme="minorHAnsi" w:hAnsiTheme="minorHAnsi"/>
              </w:rPr>
            </w:pPr>
            <w:r w:rsidRPr="005553DF">
              <w:rPr>
                <w:rFonts w:asciiTheme="minorHAnsi" w:hAnsiTheme="minorHAnsi"/>
              </w:rPr>
              <w:t>Prevalence:</w:t>
            </w:r>
          </w:p>
          <w:p w14:paraId="4838CBD8" w14:textId="77777777" w:rsidR="00662901" w:rsidRPr="005553DF" w:rsidRDefault="00662901" w:rsidP="005553DF">
            <w:pPr>
              <w:rPr>
                <w:rFonts w:asciiTheme="minorHAnsi" w:hAnsiTheme="minorHAnsi"/>
              </w:rPr>
            </w:pPr>
            <w:r w:rsidRPr="005553DF">
              <w:rPr>
                <w:rFonts w:asciiTheme="minorHAnsi" w:hAnsiTheme="minorHAnsi"/>
              </w:rPr>
              <w:t>ADHD Dx: 12.4%</w:t>
            </w:r>
          </w:p>
          <w:p w14:paraId="45F0FB81" w14:textId="77777777" w:rsidR="00662901" w:rsidRPr="005553DF" w:rsidRDefault="00662901" w:rsidP="005553DF">
            <w:pPr>
              <w:rPr>
                <w:rFonts w:asciiTheme="minorHAnsi" w:hAnsiTheme="minorHAnsi"/>
              </w:rPr>
            </w:pPr>
          </w:p>
        </w:tc>
        <w:tc>
          <w:tcPr>
            <w:tcW w:w="1800" w:type="dxa"/>
            <w:tcBorders>
              <w:bottom w:val="single" w:sz="4" w:space="0" w:color="auto"/>
            </w:tcBorders>
          </w:tcPr>
          <w:p w14:paraId="48ED5C21" w14:textId="77777777" w:rsidR="00662901" w:rsidRPr="005553DF" w:rsidRDefault="00662901" w:rsidP="005553DF">
            <w:pPr>
              <w:rPr>
                <w:rFonts w:asciiTheme="minorHAnsi" w:hAnsiTheme="minorHAnsi"/>
              </w:rPr>
            </w:pPr>
          </w:p>
          <w:p w14:paraId="54F436C7" w14:textId="77777777" w:rsidR="00662901" w:rsidRPr="005553DF" w:rsidRDefault="00662901" w:rsidP="005553DF">
            <w:pPr>
              <w:rPr>
                <w:rFonts w:asciiTheme="minorHAnsi" w:hAnsiTheme="minorHAnsi"/>
              </w:rPr>
            </w:pPr>
          </w:p>
          <w:p w14:paraId="37E65380" w14:textId="77777777" w:rsidR="00662901" w:rsidRPr="005553DF" w:rsidRDefault="00662901" w:rsidP="005553DF">
            <w:pPr>
              <w:rPr>
                <w:rFonts w:asciiTheme="minorHAnsi" w:hAnsiTheme="minorHAnsi"/>
              </w:rPr>
            </w:pPr>
          </w:p>
          <w:p w14:paraId="1A1E1BDC" w14:textId="77777777" w:rsidR="00662901" w:rsidRPr="005553DF" w:rsidRDefault="00662901" w:rsidP="005553DF">
            <w:pPr>
              <w:rPr>
                <w:rFonts w:asciiTheme="minorHAnsi" w:hAnsiTheme="minorHAnsi"/>
              </w:rPr>
            </w:pPr>
            <w:r w:rsidRPr="005553DF">
              <w:rPr>
                <w:rFonts w:asciiTheme="minorHAnsi" w:hAnsiTheme="minorHAnsi"/>
              </w:rPr>
              <w:t>764/stratum</w:t>
            </w:r>
          </w:p>
          <w:p w14:paraId="101F8FE8" w14:textId="77777777" w:rsidR="00662901" w:rsidRPr="005553DF" w:rsidRDefault="00662901" w:rsidP="005553DF">
            <w:pPr>
              <w:rPr>
                <w:rFonts w:asciiTheme="minorHAnsi" w:hAnsiTheme="minorHAnsi"/>
              </w:rPr>
            </w:pPr>
          </w:p>
        </w:tc>
      </w:tr>
      <w:tr w:rsidR="00662901" w:rsidRPr="005553DF" w14:paraId="39C23520" w14:textId="77777777" w:rsidTr="00B321E7">
        <w:tc>
          <w:tcPr>
            <w:tcW w:w="1437" w:type="dxa"/>
            <w:tcBorders>
              <w:top w:val="single" w:sz="18" w:space="0" w:color="auto"/>
            </w:tcBorders>
          </w:tcPr>
          <w:p w14:paraId="2CF3AB95" w14:textId="77777777" w:rsidR="00662901" w:rsidRPr="005553DF" w:rsidRDefault="00662901" w:rsidP="005553DF">
            <w:pPr>
              <w:rPr>
                <w:rFonts w:asciiTheme="minorHAnsi" w:hAnsiTheme="minorHAnsi"/>
              </w:rPr>
            </w:pPr>
            <w:r w:rsidRPr="005553DF">
              <w:rPr>
                <w:rFonts w:asciiTheme="minorHAnsi" w:hAnsiTheme="minorHAnsi"/>
              </w:rPr>
              <w:t>Asthma</w:t>
            </w:r>
          </w:p>
        </w:tc>
        <w:tc>
          <w:tcPr>
            <w:tcW w:w="1966" w:type="dxa"/>
            <w:tcBorders>
              <w:top w:val="single" w:sz="18" w:space="0" w:color="auto"/>
            </w:tcBorders>
          </w:tcPr>
          <w:p w14:paraId="1B0A39CA" w14:textId="77777777" w:rsidR="00662901" w:rsidRPr="005553DF" w:rsidRDefault="00662901" w:rsidP="005553DF">
            <w:pPr>
              <w:rPr>
                <w:rFonts w:asciiTheme="minorHAnsi" w:hAnsiTheme="minorHAnsi"/>
              </w:rPr>
            </w:pPr>
            <w:r w:rsidRPr="005553DF">
              <w:rPr>
                <w:rFonts w:asciiTheme="minorHAnsi" w:hAnsiTheme="minorHAnsi"/>
              </w:rPr>
              <w:t>Stein 2016, NHANES</w:t>
            </w:r>
          </w:p>
          <w:p w14:paraId="7257B8DF" w14:textId="77777777" w:rsidR="00662901" w:rsidRPr="005553DF" w:rsidRDefault="00662901" w:rsidP="005553DF">
            <w:pPr>
              <w:rPr>
                <w:rFonts w:asciiTheme="minorHAnsi" w:hAnsiTheme="minorHAnsi"/>
              </w:rPr>
            </w:pPr>
            <w:r w:rsidRPr="005553DF">
              <w:rPr>
                <w:rFonts w:asciiTheme="minorHAnsi" w:hAnsiTheme="minorHAnsi"/>
              </w:rPr>
              <w:t>640</w:t>
            </w:r>
            <w:r w:rsidR="00787A08" w:rsidRPr="005553DF">
              <w:rPr>
                <w:rFonts w:asciiTheme="minorHAnsi" w:hAnsiTheme="minorHAnsi"/>
              </w:rPr>
              <w:t>;</w:t>
            </w:r>
            <w:r w:rsidRPr="005553DF">
              <w:rPr>
                <w:rFonts w:asciiTheme="minorHAnsi" w:hAnsiTheme="minorHAnsi"/>
              </w:rPr>
              <w:t xml:space="preserve"> 12-19 yrs</w:t>
            </w:r>
          </w:p>
        </w:tc>
        <w:tc>
          <w:tcPr>
            <w:tcW w:w="2313" w:type="dxa"/>
            <w:tcBorders>
              <w:top w:val="single" w:sz="18" w:space="0" w:color="auto"/>
            </w:tcBorders>
          </w:tcPr>
          <w:p w14:paraId="2A5C2F96" w14:textId="77777777" w:rsidR="00662901" w:rsidRPr="005553DF" w:rsidRDefault="00662901" w:rsidP="005553DF">
            <w:pPr>
              <w:rPr>
                <w:rFonts w:asciiTheme="minorHAnsi" w:hAnsiTheme="minorHAnsi"/>
              </w:rPr>
            </w:pPr>
            <w:r w:rsidRPr="005553DF">
              <w:rPr>
                <w:rFonts w:asciiTheme="minorHAnsi" w:hAnsiTheme="minorHAnsi"/>
              </w:rPr>
              <w:t>PFOA mean serum level = 3.6 µg/L.</w:t>
            </w:r>
          </w:p>
          <w:p w14:paraId="2D9A489D" w14:textId="77777777" w:rsidR="00662901" w:rsidRPr="005553DF" w:rsidRDefault="00662901" w:rsidP="005553DF">
            <w:pPr>
              <w:rPr>
                <w:rFonts w:asciiTheme="minorHAnsi" w:hAnsiTheme="minorHAnsi"/>
              </w:rPr>
            </w:pPr>
            <w:r w:rsidRPr="005553DF">
              <w:rPr>
                <w:rFonts w:asciiTheme="minorHAnsi" w:hAnsiTheme="minorHAnsi"/>
              </w:rPr>
              <w:t>OR=1.2</w:t>
            </w:r>
          </w:p>
        </w:tc>
        <w:tc>
          <w:tcPr>
            <w:tcW w:w="1934" w:type="dxa"/>
            <w:tcBorders>
              <w:top w:val="single" w:sz="18" w:space="0" w:color="auto"/>
            </w:tcBorders>
          </w:tcPr>
          <w:p w14:paraId="12E06E94" w14:textId="77777777" w:rsidR="00662901" w:rsidRPr="005553DF" w:rsidRDefault="00662901" w:rsidP="005553DF">
            <w:pPr>
              <w:rPr>
                <w:rFonts w:asciiTheme="minorHAnsi" w:hAnsiTheme="minorHAnsi"/>
              </w:rPr>
            </w:pPr>
            <w:r w:rsidRPr="005553DF">
              <w:rPr>
                <w:rFonts w:asciiTheme="minorHAnsi" w:hAnsiTheme="minorHAnsi"/>
              </w:rPr>
              <w:t>Prevalence = 11%</w:t>
            </w:r>
          </w:p>
        </w:tc>
        <w:tc>
          <w:tcPr>
            <w:tcW w:w="1800" w:type="dxa"/>
            <w:tcBorders>
              <w:top w:val="single" w:sz="18" w:space="0" w:color="auto"/>
            </w:tcBorders>
          </w:tcPr>
          <w:p w14:paraId="46FED871" w14:textId="77777777" w:rsidR="00662901" w:rsidRPr="005553DF" w:rsidRDefault="00662901" w:rsidP="005553DF">
            <w:pPr>
              <w:rPr>
                <w:rFonts w:asciiTheme="minorHAnsi" w:hAnsiTheme="minorHAnsi"/>
              </w:rPr>
            </w:pPr>
            <w:r w:rsidRPr="005553DF">
              <w:rPr>
                <w:rFonts w:asciiTheme="minorHAnsi" w:hAnsiTheme="minorHAnsi"/>
              </w:rPr>
              <w:t>2,400/stratum</w:t>
            </w:r>
          </w:p>
        </w:tc>
      </w:tr>
      <w:tr w:rsidR="00662901" w:rsidRPr="005553DF" w14:paraId="7648CF2E" w14:textId="77777777" w:rsidTr="00B321E7">
        <w:tc>
          <w:tcPr>
            <w:tcW w:w="1437" w:type="dxa"/>
          </w:tcPr>
          <w:p w14:paraId="6A7CF0CD" w14:textId="77777777" w:rsidR="00662901" w:rsidRPr="005553DF" w:rsidRDefault="00662901" w:rsidP="005553DF">
            <w:pPr>
              <w:rPr>
                <w:rFonts w:asciiTheme="minorHAnsi" w:hAnsiTheme="minorHAnsi"/>
              </w:rPr>
            </w:pPr>
            <w:r w:rsidRPr="005553DF">
              <w:rPr>
                <w:rFonts w:asciiTheme="minorHAnsi" w:hAnsiTheme="minorHAnsi"/>
              </w:rPr>
              <w:t>Atopic dermatitis</w:t>
            </w:r>
          </w:p>
        </w:tc>
        <w:tc>
          <w:tcPr>
            <w:tcW w:w="1966" w:type="dxa"/>
          </w:tcPr>
          <w:p w14:paraId="562EE30E" w14:textId="77777777" w:rsidR="00662901" w:rsidRPr="005553DF" w:rsidRDefault="00662901" w:rsidP="005553DF">
            <w:pPr>
              <w:rPr>
                <w:rFonts w:asciiTheme="minorHAnsi" w:hAnsiTheme="minorHAnsi"/>
              </w:rPr>
            </w:pPr>
            <w:r w:rsidRPr="005553DF">
              <w:rPr>
                <w:rFonts w:asciiTheme="minorHAnsi" w:hAnsiTheme="minorHAnsi"/>
              </w:rPr>
              <w:t>Wang 2011 (Taiwan)</w:t>
            </w:r>
          </w:p>
          <w:p w14:paraId="5FC97038" w14:textId="77777777" w:rsidR="00787A08" w:rsidRPr="005553DF" w:rsidRDefault="00787A08" w:rsidP="005553DF">
            <w:pPr>
              <w:rPr>
                <w:rFonts w:asciiTheme="minorHAnsi" w:hAnsiTheme="minorHAnsi"/>
              </w:rPr>
            </w:pPr>
            <w:r w:rsidRPr="005553DF">
              <w:rPr>
                <w:rFonts w:asciiTheme="minorHAnsi" w:hAnsiTheme="minorHAnsi"/>
              </w:rPr>
              <w:t xml:space="preserve">244; </w:t>
            </w:r>
            <w:r w:rsidR="00A2302A" w:rsidRPr="005553DF">
              <w:rPr>
                <w:rFonts w:asciiTheme="minorHAnsi" w:hAnsiTheme="minorHAnsi"/>
              </w:rPr>
              <w:t>infants,</w:t>
            </w:r>
            <w:r w:rsidRPr="005553DF">
              <w:rPr>
                <w:rFonts w:asciiTheme="minorHAnsi" w:hAnsiTheme="minorHAnsi"/>
              </w:rPr>
              <w:t xml:space="preserve"> 2 yrs</w:t>
            </w:r>
          </w:p>
        </w:tc>
        <w:tc>
          <w:tcPr>
            <w:tcW w:w="2313" w:type="dxa"/>
          </w:tcPr>
          <w:p w14:paraId="4DE2EFE8" w14:textId="77777777" w:rsidR="00662901" w:rsidRPr="005553DF" w:rsidRDefault="00662901" w:rsidP="005553DF">
            <w:pPr>
              <w:rPr>
                <w:rFonts w:asciiTheme="minorHAnsi" w:hAnsiTheme="minorHAnsi"/>
              </w:rPr>
            </w:pPr>
            <w:r w:rsidRPr="005553DF">
              <w:rPr>
                <w:rFonts w:asciiTheme="minorHAnsi" w:hAnsiTheme="minorHAnsi"/>
              </w:rPr>
              <w:t>PFOS mean serum level=5.5 µg/L., 4</w:t>
            </w:r>
            <w:r w:rsidRPr="005553DF">
              <w:rPr>
                <w:rFonts w:asciiTheme="minorHAnsi" w:hAnsiTheme="minorHAnsi"/>
                <w:vertAlign w:val="superscript"/>
              </w:rPr>
              <w:t>th</w:t>
            </w:r>
            <w:r w:rsidRPr="005553DF">
              <w:rPr>
                <w:rFonts w:asciiTheme="minorHAnsi" w:hAnsiTheme="minorHAnsi"/>
              </w:rPr>
              <w:t xml:space="preserve"> quartile OR=2.19</w:t>
            </w:r>
          </w:p>
        </w:tc>
        <w:tc>
          <w:tcPr>
            <w:tcW w:w="1934" w:type="dxa"/>
          </w:tcPr>
          <w:p w14:paraId="161A6FC6" w14:textId="77777777" w:rsidR="00662901" w:rsidRPr="005553DF" w:rsidRDefault="00662901" w:rsidP="005553DF">
            <w:pPr>
              <w:rPr>
                <w:rFonts w:asciiTheme="minorHAnsi" w:hAnsiTheme="minorHAnsi"/>
              </w:rPr>
            </w:pPr>
            <w:r w:rsidRPr="005553DF">
              <w:rPr>
                <w:rFonts w:asciiTheme="minorHAnsi" w:hAnsiTheme="minorHAnsi"/>
              </w:rPr>
              <w:t>Prevalence=10.7%</w:t>
            </w:r>
          </w:p>
        </w:tc>
        <w:tc>
          <w:tcPr>
            <w:tcW w:w="1800" w:type="dxa"/>
          </w:tcPr>
          <w:p w14:paraId="0F3EC644" w14:textId="77777777" w:rsidR="00662901" w:rsidRPr="005553DF" w:rsidRDefault="00662901" w:rsidP="005553DF">
            <w:pPr>
              <w:rPr>
                <w:rFonts w:asciiTheme="minorHAnsi" w:hAnsiTheme="minorHAnsi"/>
              </w:rPr>
            </w:pPr>
            <w:r w:rsidRPr="005553DF">
              <w:rPr>
                <w:rFonts w:asciiTheme="minorHAnsi" w:hAnsiTheme="minorHAnsi"/>
              </w:rPr>
              <w:t>220/stratum</w:t>
            </w:r>
          </w:p>
        </w:tc>
      </w:tr>
      <w:tr w:rsidR="00662901" w:rsidRPr="005553DF" w14:paraId="6C2B6B3A" w14:textId="77777777" w:rsidTr="00B321E7">
        <w:tc>
          <w:tcPr>
            <w:tcW w:w="1437" w:type="dxa"/>
          </w:tcPr>
          <w:p w14:paraId="6241058E" w14:textId="77777777" w:rsidR="00662901" w:rsidRPr="005553DF" w:rsidRDefault="00662901" w:rsidP="005553DF">
            <w:pPr>
              <w:rPr>
                <w:rFonts w:asciiTheme="minorHAnsi" w:hAnsiTheme="minorHAnsi"/>
              </w:rPr>
            </w:pPr>
            <w:r w:rsidRPr="005553DF">
              <w:rPr>
                <w:rFonts w:asciiTheme="minorHAnsi" w:hAnsiTheme="minorHAnsi"/>
              </w:rPr>
              <w:t>Obesity</w:t>
            </w:r>
          </w:p>
        </w:tc>
        <w:tc>
          <w:tcPr>
            <w:tcW w:w="1966" w:type="dxa"/>
          </w:tcPr>
          <w:p w14:paraId="737EFD83" w14:textId="77777777" w:rsidR="00662901" w:rsidRPr="005553DF" w:rsidRDefault="00A2302A" w:rsidP="005553DF">
            <w:pPr>
              <w:rPr>
                <w:rFonts w:asciiTheme="minorHAnsi" w:hAnsiTheme="minorHAnsi"/>
              </w:rPr>
            </w:pPr>
            <w:r w:rsidRPr="005553DF">
              <w:rPr>
                <w:rFonts w:asciiTheme="minorHAnsi" w:hAnsiTheme="minorHAnsi"/>
              </w:rPr>
              <w:t>Karlsen 2017</w:t>
            </w:r>
            <w:r w:rsidR="00662901" w:rsidRPr="005553DF">
              <w:rPr>
                <w:rFonts w:asciiTheme="minorHAnsi" w:hAnsiTheme="minorHAnsi"/>
              </w:rPr>
              <w:t xml:space="preserve"> (Faroes)</w:t>
            </w:r>
          </w:p>
        </w:tc>
        <w:tc>
          <w:tcPr>
            <w:tcW w:w="2313" w:type="dxa"/>
          </w:tcPr>
          <w:p w14:paraId="69D07E21" w14:textId="77777777" w:rsidR="00662901" w:rsidRPr="005553DF" w:rsidRDefault="00662901" w:rsidP="005553DF">
            <w:pPr>
              <w:rPr>
                <w:rFonts w:asciiTheme="minorHAnsi" w:hAnsiTheme="minorHAnsi"/>
              </w:rPr>
            </w:pPr>
            <w:r w:rsidRPr="005553DF">
              <w:rPr>
                <w:rFonts w:asciiTheme="minorHAnsi" w:hAnsiTheme="minorHAnsi"/>
              </w:rPr>
              <w:t>PFOA mean serum level=2.22 µg/L. OR=1.88</w:t>
            </w:r>
          </w:p>
        </w:tc>
        <w:tc>
          <w:tcPr>
            <w:tcW w:w="1934" w:type="dxa"/>
          </w:tcPr>
          <w:p w14:paraId="7E83956C" w14:textId="77777777" w:rsidR="00662901" w:rsidRPr="005553DF" w:rsidRDefault="00662901" w:rsidP="005553DF">
            <w:pPr>
              <w:rPr>
                <w:rFonts w:asciiTheme="minorHAnsi" w:hAnsiTheme="minorHAnsi"/>
              </w:rPr>
            </w:pPr>
            <w:r w:rsidRPr="005553DF">
              <w:rPr>
                <w:rFonts w:asciiTheme="minorHAnsi" w:hAnsiTheme="minorHAnsi"/>
              </w:rPr>
              <w:t>Prevalence=17%</w:t>
            </w:r>
          </w:p>
        </w:tc>
        <w:tc>
          <w:tcPr>
            <w:tcW w:w="1800" w:type="dxa"/>
          </w:tcPr>
          <w:p w14:paraId="19083D7C" w14:textId="77777777" w:rsidR="00662901" w:rsidRPr="005553DF" w:rsidRDefault="00662901" w:rsidP="005553DF">
            <w:pPr>
              <w:rPr>
                <w:rFonts w:asciiTheme="minorHAnsi" w:hAnsiTheme="minorHAnsi"/>
              </w:rPr>
            </w:pPr>
            <w:r w:rsidRPr="005553DF">
              <w:rPr>
                <w:rFonts w:asciiTheme="minorHAnsi" w:hAnsiTheme="minorHAnsi"/>
              </w:rPr>
              <w:t>250/stratum</w:t>
            </w:r>
          </w:p>
        </w:tc>
      </w:tr>
    </w:tbl>
    <w:p w14:paraId="58BD7E37" w14:textId="77777777" w:rsidR="00662901" w:rsidRPr="005553DF" w:rsidRDefault="00662901" w:rsidP="005553DF">
      <w:pPr>
        <w:spacing w:before="240" w:after="0"/>
        <w:rPr>
          <w:rFonts w:asciiTheme="minorHAnsi" w:hAnsiTheme="minorHAnsi"/>
          <w:sz w:val="18"/>
          <w:szCs w:val="18"/>
        </w:rPr>
      </w:pPr>
      <w:r w:rsidRPr="005553DF">
        <w:rPr>
          <w:rFonts w:asciiTheme="minorHAnsi" w:hAnsiTheme="minorHAnsi"/>
          <w:sz w:val="18"/>
          <w:szCs w:val="18"/>
        </w:rPr>
        <w:t xml:space="preserve">Note: Observed effect sizes focused on the results for serum levels of PFOS and/or PFHxS. </w:t>
      </w:r>
    </w:p>
    <w:p w14:paraId="789FDE6A" w14:textId="77777777" w:rsidR="00662901" w:rsidRPr="005553DF" w:rsidRDefault="00662901" w:rsidP="005553DF">
      <w:pPr>
        <w:spacing w:after="0" w:line="240" w:lineRule="auto"/>
        <w:rPr>
          <w:rFonts w:asciiTheme="minorHAnsi" w:hAnsiTheme="minorHAnsi" w:cstheme="minorHAnsi"/>
          <w:sz w:val="18"/>
        </w:rPr>
      </w:pPr>
      <w:r w:rsidRPr="005553DF">
        <w:rPr>
          <w:rFonts w:asciiTheme="minorHAnsi" w:hAnsiTheme="minorHAnsi" w:cstheme="minorHAnsi"/>
          <w:sz w:val="18"/>
          <w:vertAlign w:val="superscript"/>
        </w:rPr>
        <w:t>¶</w:t>
      </w:r>
      <w:r w:rsidRPr="005553DF">
        <w:rPr>
          <w:rFonts w:asciiTheme="minorHAnsi" w:hAnsiTheme="minorHAnsi" w:cstheme="minorHAnsi"/>
          <w:sz w:val="18"/>
        </w:rPr>
        <w:t xml:space="preserve"> eGFR –estimated glomerular filtration rate, TT4 – total thyroxine; IGF-1 – insulin-like growth factor 1; ADHD – attention-deficit and hyperactivity disorder.</w:t>
      </w:r>
    </w:p>
    <w:p w14:paraId="282491EE" w14:textId="77777777" w:rsidR="00873707" w:rsidRPr="005553DF" w:rsidRDefault="00873707" w:rsidP="005553DF">
      <w:pPr>
        <w:spacing w:after="0" w:line="360" w:lineRule="auto"/>
        <w:rPr>
          <w:rFonts w:asciiTheme="minorHAnsi" w:hAnsiTheme="minorHAnsi" w:cstheme="minorHAnsi"/>
          <w:sz w:val="18"/>
        </w:rPr>
      </w:pPr>
    </w:p>
    <w:p w14:paraId="1DFF1009" w14:textId="77777777" w:rsidR="00705A33" w:rsidRPr="005553DF" w:rsidRDefault="00FA4DF1" w:rsidP="005553DF">
      <w:pPr>
        <w:pStyle w:val="Heading3"/>
        <w:spacing w:before="0" w:after="240" w:line="360" w:lineRule="auto"/>
        <w:rPr>
          <w:rFonts w:asciiTheme="minorHAnsi" w:hAnsiTheme="minorHAnsi" w:cstheme="minorHAnsi"/>
          <w:i/>
          <w:color w:val="auto"/>
        </w:rPr>
      </w:pPr>
      <w:bookmarkStart w:id="41" w:name="_Toc532224155"/>
      <w:r w:rsidRPr="005553DF">
        <w:rPr>
          <w:rFonts w:asciiTheme="minorHAnsi" w:hAnsiTheme="minorHAnsi" w:cstheme="minorHAnsi"/>
          <w:i/>
          <w:color w:val="auto"/>
        </w:rPr>
        <w:t>3.</w:t>
      </w:r>
      <w:r w:rsidR="00484B5D" w:rsidRPr="005553DF">
        <w:rPr>
          <w:rFonts w:asciiTheme="minorHAnsi" w:hAnsiTheme="minorHAnsi" w:cstheme="minorHAnsi"/>
          <w:i/>
          <w:color w:val="auto"/>
        </w:rPr>
        <w:t>3</w:t>
      </w:r>
      <w:r w:rsidR="00890A63" w:rsidRPr="005553DF">
        <w:rPr>
          <w:rFonts w:asciiTheme="minorHAnsi" w:hAnsiTheme="minorHAnsi" w:cstheme="minorHAnsi"/>
          <w:i/>
          <w:color w:val="auto"/>
        </w:rPr>
        <w:t>.</w:t>
      </w:r>
      <w:r w:rsidRPr="005553DF">
        <w:rPr>
          <w:rFonts w:asciiTheme="minorHAnsi" w:hAnsiTheme="minorHAnsi" w:cstheme="minorHAnsi"/>
          <w:i/>
          <w:color w:val="auto"/>
        </w:rPr>
        <w:t xml:space="preserve">2 </w:t>
      </w:r>
      <w:r w:rsidR="00705A33" w:rsidRPr="005553DF">
        <w:rPr>
          <w:rFonts w:asciiTheme="minorHAnsi" w:hAnsiTheme="minorHAnsi" w:cstheme="minorHAnsi"/>
          <w:i/>
          <w:color w:val="auto"/>
        </w:rPr>
        <w:t>Adult</w:t>
      </w:r>
      <w:r w:rsidR="00B12B91" w:rsidRPr="005553DF">
        <w:rPr>
          <w:rFonts w:asciiTheme="minorHAnsi" w:hAnsiTheme="minorHAnsi" w:cstheme="minorHAnsi"/>
          <w:i/>
          <w:color w:val="auto"/>
        </w:rPr>
        <w:t>s</w:t>
      </w:r>
      <w:bookmarkEnd w:id="41"/>
    </w:p>
    <w:p w14:paraId="5D16E210" w14:textId="77777777"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For adults, </w:t>
      </w:r>
      <w:r w:rsidRPr="005553DF">
        <w:rPr>
          <w:rFonts w:asciiTheme="minorHAnsi" w:hAnsiTheme="minorHAnsi"/>
          <w:b/>
        </w:rPr>
        <w:t>Table 2</w:t>
      </w:r>
      <w:r w:rsidRPr="005553DF">
        <w:rPr>
          <w:rFonts w:asciiTheme="minorHAnsi" w:hAnsiTheme="minorHAnsi"/>
        </w:rPr>
        <w:t xml:space="preserve"> (and </w:t>
      </w:r>
      <w:r w:rsidRPr="005553DF">
        <w:rPr>
          <w:rFonts w:asciiTheme="minorHAnsi" w:hAnsiTheme="minorHAnsi"/>
          <w:b/>
        </w:rPr>
        <w:t>A</w:t>
      </w:r>
      <w:r w:rsidR="00832E6B" w:rsidRPr="005553DF">
        <w:rPr>
          <w:rFonts w:asciiTheme="minorHAnsi" w:hAnsiTheme="minorHAnsi"/>
          <w:b/>
        </w:rPr>
        <w:t>ttachment 4b</w:t>
      </w:r>
      <w:r w:rsidRPr="005553DF">
        <w:rPr>
          <w:rFonts w:asciiTheme="minorHAnsi" w:hAnsiTheme="minorHAnsi"/>
        </w:rPr>
        <w:t>)</w:t>
      </w:r>
      <w:r w:rsidRPr="005553DF">
        <w:rPr>
          <w:rFonts w:asciiTheme="minorHAnsi" w:hAnsiTheme="minorHAnsi" w:cstheme="minorHAnsi"/>
        </w:rPr>
        <w:t xml:space="preserve"> provide the sample size calculations for several health outcomes of interest assuming a type 1 (“α error”) of .05 and type 2 error (“β error) of .20. In this exposure based study we assume an appropriate coverage of range of exposures that will enable stratification/categorization to tertiles or quartiles of exposure. Per stratum estimates of needed sample size (e.g. first vs. fourth quartile) have been calculated based on different </w:t>
      </w:r>
      <w:r w:rsidR="001F47E7" w:rsidRPr="005553DF">
        <w:rPr>
          <w:rFonts w:asciiTheme="minorHAnsi" w:hAnsiTheme="minorHAnsi" w:cstheme="minorHAnsi"/>
        </w:rPr>
        <w:t xml:space="preserve">measures of </w:t>
      </w:r>
      <w:r w:rsidR="00F730BE" w:rsidRPr="005553DF">
        <w:rPr>
          <w:rFonts w:asciiTheme="minorHAnsi" w:hAnsiTheme="minorHAnsi" w:cstheme="minorHAnsi"/>
        </w:rPr>
        <w:t>association such</w:t>
      </w:r>
      <w:r w:rsidRPr="005553DF">
        <w:rPr>
          <w:rFonts w:asciiTheme="minorHAnsi" w:hAnsiTheme="minorHAnsi" w:cstheme="minorHAnsi"/>
        </w:rPr>
        <w:t xml:space="preserve"> as odds ratios or detected mean difference. </w:t>
      </w:r>
    </w:p>
    <w:p w14:paraId="51EB73E0" w14:textId="77777777" w:rsidR="00334ECF" w:rsidRPr="005553DF" w:rsidRDefault="00E97FD2"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We propose to enroll </w:t>
      </w:r>
      <w:r w:rsidR="002E7FD5" w:rsidRPr="005553DF">
        <w:rPr>
          <w:rFonts w:asciiTheme="minorHAnsi" w:hAnsiTheme="minorHAnsi" w:cstheme="minorHAnsi"/>
        </w:rPr>
        <w:t xml:space="preserve">at least </w:t>
      </w:r>
      <w:r w:rsidRPr="005553DF">
        <w:rPr>
          <w:rFonts w:asciiTheme="minorHAnsi" w:hAnsiTheme="minorHAnsi" w:cstheme="minorHAnsi"/>
        </w:rPr>
        <w:t xml:space="preserve">1,000 in the Pease adult study which would have enough power to effectively evaluate some health outcomes of interest described below. To effectively evaluate broader spectrum of PFAS exposure related health outcomes of interest, a sample size of </w:t>
      </w:r>
      <w:r w:rsidR="00BE1DA7" w:rsidRPr="005553DF">
        <w:rPr>
          <w:rFonts w:asciiTheme="minorHAnsi" w:hAnsiTheme="minorHAnsi" w:cstheme="minorHAnsi"/>
        </w:rPr>
        <w:t>≥</w:t>
      </w:r>
      <w:r w:rsidRPr="005553DF">
        <w:rPr>
          <w:rFonts w:asciiTheme="minorHAnsi" w:hAnsiTheme="minorHAnsi" w:cstheme="minorHAnsi"/>
        </w:rPr>
        <w:t xml:space="preserve">6,000 participants would be needed for a multi-site study. </w:t>
      </w:r>
    </w:p>
    <w:p w14:paraId="50C94013" w14:textId="77777777"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For more prevalent outcomes like elevated lipids levels (cholesterol) or uric acid, the range of 229 to 660 </w:t>
      </w:r>
      <w:r w:rsidR="001F47E7" w:rsidRPr="005553DF">
        <w:rPr>
          <w:rFonts w:asciiTheme="minorHAnsi" w:hAnsiTheme="minorHAnsi" w:cstheme="minorHAnsi"/>
        </w:rPr>
        <w:t xml:space="preserve">participants </w:t>
      </w:r>
      <w:r w:rsidRPr="005553DF">
        <w:rPr>
          <w:rFonts w:asciiTheme="minorHAnsi" w:hAnsiTheme="minorHAnsi" w:cstheme="minorHAnsi"/>
        </w:rPr>
        <w:t xml:space="preserve">per stratum (i.e. quartile) or 200 to 550 per stratum, respectively, given observed differences would be needed. That would translate to overall sample size of about 800 to 2,600 participants being sufficient to detect differences at the specified level of precision and power (Steenland, 2009, 2010; Fisher 2013; Shankar 2011). Similar sample sizes would also be required to compare other </w:t>
      </w:r>
      <w:r w:rsidR="001F47E7" w:rsidRPr="005553DF">
        <w:rPr>
          <w:rFonts w:asciiTheme="minorHAnsi" w:hAnsiTheme="minorHAnsi" w:cstheme="minorHAnsi"/>
        </w:rPr>
        <w:t>common</w:t>
      </w:r>
      <w:r w:rsidRPr="005553DF">
        <w:rPr>
          <w:rFonts w:asciiTheme="minorHAnsi" w:hAnsiTheme="minorHAnsi" w:cstheme="minorHAnsi"/>
        </w:rPr>
        <w:t xml:space="preserve"> health outcomes such as cardiovascular disease (Shankar 2012). Larger samples sizes would be needed for liver function or osteoarthritis, with a total sample in the range of 3,000 to 4,000 subjects (Uhl 2013; Gallo 2012; Steenland 2010). </w:t>
      </w:r>
    </w:p>
    <w:p w14:paraId="53AC01BA" w14:textId="77777777"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For thyroid disease and thyroid function, a total sample size of 6,000 may be sufficient although probably not optimal. However, NHANES studies of thyroid function and thyroid disease obtained statistically significant findings with total sample sizes considerably less than 6,000 (Melzer 2010; Wen 2013).  NHANES studies of liver function also obtained statistically significant findings with total sample sizes considerably less than 6,000 (Gleason 2015; n=4333).  For biomarkers of immune function (e.g., immunoglobulins, C-reactive protein and cytokines) and fatty liver disease, there was insufficient information to calculate sample sizes.  However, a total sample size of 6,000 should be sufficient to evaluate these biomarkers</w:t>
      </w:r>
      <w:r w:rsidR="001F47E7" w:rsidRPr="005553DF">
        <w:rPr>
          <w:rFonts w:asciiTheme="minorHAnsi" w:hAnsiTheme="minorHAnsi" w:cstheme="minorHAnsi"/>
        </w:rPr>
        <w:t xml:space="preserve"> as we assumed similar</w:t>
      </w:r>
      <w:r w:rsidR="00E729C7" w:rsidRPr="005553DF">
        <w:rPr>
          <w:rFonts w:asciiTheme="minorHAnsi" w:hAnsiTheme="minorHAnsi" w:cstheme="minorHAnsi"/>
        </w:rPr>
        <w:t xml:space="preserve"> endpoint</w:t>
      </w:r>
      <w:r w:rsidR="001F47E7" w:rsidRPr="005553DF">
        <w:rPr>
          <w:rFonts w:asciiTheme="minorHAnsi" w:hAnsiTheme="minorHAnsi" w:cstheme="minorHAnsi"/>
        </w:rPr>
        <w:t xml:space="preserve"> differences of those outcomes</w:t>
      </w:r>
      <w:r w:rsidRPr="005553DF">
        <w:rPr>
          <w:rFonts w:asciiTheme="minorHAnsi" w:hAnsiTheme="minorHAnsi" w:cstheme="minorHAnsi"/>
        </w:rPr>
        <w:t>.</w:t>
      </w:r>
    </w:p>
    <w:p w14:paraId="08CB1AD5" w14:textId="77777777"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For ulcerative colitis, a sample size of 6,000 might be sufficient if the effect size in the C8 study (i.e., OR=3.05) was </w:t>
      </w:r>
      <w:r w:rsidR="00F730BE" w:rsidRPr="005553DF">
        <w:rPr>
          <w:rFonts w:asciiTheme="minorHAnsi" w:hAnsiTheme="minorHAnsi" w:cstheme="minorHAnsi"/>
        </w:rPr>
        <w:t>consistent for</w:t>
      </w:r>
      <w:r w:rsidRPr="005553DF">
        <w:rPr>
          <w:rFonts w:asciiTheme="minorHAnsi" w:hAnsiTheme="minorHAnsi" w:cstheme="minorHAnsi"/>
        </w:rPr>
        <w:t xml:space="preserve"> PFOA serum levels considerably lower than those in the C8 study. For more </w:t>
      </w:r>
      <w:r w:rsidR="001F47E7" w:rsidRPr="005553DF">
        <w:rPr>
          <w:rFonts w:asciiTheme="minorHAnsi" w:hAnsiTheme="minorHAnsi" w:cstheme="minorHAnsi"/>
        </w:rPr>
        <w:t>modest</w:t>
      </w:r>
      <w:r w:rsidRPr="005553DF">
        <w:rPr>
          <w:rFonts w:asciiTheme="minorHAnsi" w:hAnsiTheme="minorHAnsi" w:cstheme="minorHAnsi"/>
        </w:rPr>
        <w:t xml:space="preserve"> effect sizes (e.g., ORs &lt; 2.75), a total sample size of 6,000 would not be adequate to evaluate </w:t>
      </w:r>
      <w:r w:rsidR="001F47E7" w:rsidRPr="005553DF">
        <w:rPr>
          <w:rFonts w:asciiTheme="minorHAnsi" w:hAnsiTheme="minorHAnsi" w:cstheme="minorHAnsi"/>
        </w:rPr>
        <w:t xml:space="preserve">associations with </w:t>
      </w:r>
      <w:r w:rsidRPr="005553DF">
        <w:rPr>
          <w:rFonts w:asciiTheme="minorHAnsi" w:hAnsiTheme="minorHAnsi" w:cstheme="minorHAnsi"/>
        </w:rPr>
        <w:t xml:space="preserve">ulcerative colitis.  </w:t>
      </w:r>
    </w:p>
    <w:p w14:paraId="72D1242F" w14:textId="77777777" w:rsidR="00334ECF" w:rsidRPr="005553DF" w:rsidRDefault="00334ECF" w:rsidP="005553DF">
      <w:pPr>
        <w:spacing w:after="240" w:line="360" w:lineRule="auto"/>
        <w:jc w:val="both"/>
        <w:rPr>
          <w:rFonts w:asciiTheme="minorHAnsi" w:hAnsiTheme="minorHAnsi" w:cstheme="minorHAnsi"/>
          <w:i/>
        </w:rPr>
      </w:pPr>
      <w:r w:rsidRPr="005553DF">
        <w:rPr>
          <w:rFonts w:asciiTheme="minorHAnsi" w:hAnsiTheme="minorHAnsi" w:cstheme="minorHAnsi"/>
        </w:rPr>
        <w:t xml:space="preserve">In addition, several epidemiological studies of adults exposed to PFAS that reported robust statistical associations with these health outcomes had similar or smaller sample sizes than the one proposed for </w:t>
      </w:r>
      <w:r w:rsidR="009F4E59" w:rsidRPr="005553DF">
        <w:rPr>
          <w:rFonts w:asciiTheme="minorHAnsi" w:hAnsiTheme="minorHAnsi" w:cstheme="minorHAnsi"/>
        </w:rPr>
        <w:t>Pease Study</w:t>
      </w:r>
      <w:r w:rsidRPr="005553DF">
        <w:rPr>
          <w:rFonts w:asciiTheme="minorHAnsi" w:hAnsiTheme="minorHAnsi" w:cstheme="minorHAnsi"/>
        </w:rPr>
        <w:t>, e.g., NHANES studies (Nelson 2010, Wen 2013), a C8 longitudinal study (Fitz-Simon 2013), a C8 immune study (Looker 2014), and studies in China (Fu 2014) and Korea (Ji 2012).</w:t>
      </w:r>
      <w:r w:rsidRPr="005553DF">
        <w:rPr>
          <w:rFonts w:asciiTheme="minorHAnsi" w:hAnsiTheme="minorHAnsi" w:cstheme="minorHAnsi"/>
          <w:i/>
        </w:rPr>
        <w:t xml:space="preserve">  </w:t>
      </w:r>
    </w:p>
    <w:p w14:paraId="5C6611DD" w14:textId="153B2F53"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In summary, a total sample size of </w:t>
      </w:r>
      <w:r w:rsidR="00BE1DA7" w:rsidRPr="005553DF">
        <w:rPr>
          <w:rFonts w:asciiTheme="minorHAnsi" w:hAnsiTheme="minorHAnsi" w:cstheme="minorHAnsi"/>
        </w:rPr>
        <w:t>≥</w:t>
      </w:r>
      <w:r w:rsidRPr="005553DF">
        <w:rPr>
          <w:rFonts w:asciiTheme="minorHAnsi" w:hAnsiTheme="minorHAnsi" w:cstheme="minorHAnsi"/>
        </w:rPr>
        <w:t xml:space="preserve">6,000 </w:t>
      </w:r>
      <w:r w:rsidR="004F06A8" w:rsidRPr="005553DF">
        <w:rPr>
          <w:rFonts w:asciiTheme="minorHAnsi" w:hAnsiTheme="minorHAnsi" w:cstheme="minorHAnsi"/>
        </w:rPr>
        <w:t xml:space="preserve">in multi-site study </w:t>
      </w:r>
      <w:r w:rsidRPr="005553DF">
        <w:rPr>
          <w:rFonts w:asciiTheme="minorHAnsi" w:hAnsiTheme="minorHAnsi" w:cstheme="minorHAnsi"/>
        </w:rPr>
        <w:t xml:space="preserve">should be sufficient to evaluate a broad range of biomarkers and outcomes such as lipids (and hypercholesterolemia), uric acid (and hyperuricemia), cardiovascular disease, osteoarthritis, immune biomarkers and biomarkers for fatty liver disease. </w:t>
      </w:r>
      <w:r w:rsidR="00DF54E7" w:rsidRPr="005553DF">
        <w:rPr>
          <w:rFonts w:asciiTheme="minorHAnsi" w:hAnsiTheme="minorHAnsi" w:cstheme="minorHAnsi"/>
        </w:rPr>
        <w:t xml:space="preserve"> </w:t>
      </w:r>
      <w:r w:rsidRPr="005553DF">
        <w:rPr>
          <w:rFonts w:asciiTheme="minorHAnsi" w:hAnsiTheme="minorHAnsi" w:cstheme="minorHAnsi"/>
        </w:rPr>
        <w:t xml:space="preserve">It also may be sufficient to evaluate thyroid disease, thyroid function and liver function.  </w:t>
      </w:r>
      <w:r w:rsidR="00276A57" w:rsidRPr="005553DF">
        <w:rPr>
          <w:rFonts w:asciiTheme="minorHAnsi" w:hAnsiTheme="minorHAnsi" w:cstheme="minorHAnsi"/>
        </w:rPr>
        <w:t>The a</w:t>
      </w:r>
      <w:r w:rsidRPr="005553DF">
        <w:rPr>
          <w:rFonts w:asciiTheme="minorHAnsi" w:hAnsiTheme="minorHAnsi" w:cstheme="minorHAnsi"/>
        </w:rPr>
        <w:t xml:space="preserve">dult study at Pease would provide </w:t>
      </w:r>
      <w:r w:rsidR="00276A57" w:rsidRPr="005553DF">
        <w:rPr>
          <w:rFonts w:asciiTheme="minorHAnsi" w:hAnsiTheme="minorHAnsi" w:cstheme="minorHAnsi"/>
        </w:rPr>
        <w:t xml:space="preserve">an </w:t>
      </w:r>
      <w:r w:rsidRPr="005553DF">
        <w:rPr>
          <w:rFonts w:asciiTheme="minorHAnsi" w:hAnsiTheme="minorHAnsi" w:cstheme="minorHAnsi"/>
        </w:rPr>
        <w:t xml:space="preserve">important contribution towards that goal and would be able to address at least some of the more prevalent outcomes as a </w:t>
      </w:r>
      <w:r w:rsidR="00F730BE" w:rsidRPr="005553DF">
        <w:rPr>
          <w:rFonts w:asciiTheme="minorHAnsi" w:hAnsiTheme="minorHAnsi" w:cstheme="minorHAnsi"/>
        </w:rPr>
        <w:t>stand-alone</w:t>
      </w:r>
      <w:r w:rsidR="00DF54E7" w:rsidRPr="005553DF">
        <w:rPr>
          <w:rFonts w:asciiTheme="minorHAnsi" w:hAnsiTheme="minorHAnsi" w:cstheme="minorHAnsi"/>
        </w:rPr>
        <w:t xml:space="preserve"> or “pilot”</w:t>
      </w:r>
      <w:r w:rsidRPr="005553DF">
        <w:rPr>
          <w:rFonts w:asciiTheme="minorHAnsi" w:hAnsiTheme="minorHAnsi" w:cstheme="minorHAnsi"/>
        </w:rPr>
        <w:t xml:space="preserve"> study.</w:t>
      </w:r>
    </w:p>
    <w:p w14:paraId="52C82F9D" w14:textId="77777777" w:rsidR="00334ECF" w:rsidRPr="005553DF" w:rsidRDefault="00334ECF" w:rsidP="005553DF">
      <w:pPr>
        <w:spacing w:after="240" w:line="360" w:lineRule="auto"/>
        <w:rPr>
          <w:bCs/>
          <w:sz w:val="20"/>
          <w:szCs w:val="20"/>
        </w:rPr>
      </w:pPr>
      <w:r w:rsidRPr="005553DF">
        <w:rPr>
          <w:rFonts w:asciiTheme="minorHAnsi" w:hAnsiTheme="minorHAnsi" w:cstheme="minorHAnsi"/>
          <w:b/>
        </w:rPr>
        <w:t xml:space="preserve">Table 2.  </w:t>
      </w:r>
      <w:r w:rsidR="00E57514" w:rsidRPr="005553DF">
        <w:rPr>
          <w:rFonts w:asciiTheme="minorHAnsi" w:hAnsiTheme="minorHAnsi" w:cstheme="minorHAnsi"/>
        </w:rPr>
        <w:t>Adult</w:t>
      </w:r>
      <w:r w:rsidRPr="005553DF">
        <w:rPr>
          <w:rFonts w:asciiTheme="minorHAnsi" w:hAnsiTheme="minorHAnsi" w:cstheme="minorHAnsi"/>
        </w:rPr>
        <w:t xml:space="preserve"> Study.</w:t>
      </w:r>
      <w:r w:rsidRPr="005553DF">
        <w:rPr>
          <w:rFonts w:asciiTheme="minorHAnsi" w:hAnsiTheme="minorHAnsi" w:cstheme="minorHAnsi"/>
          <w:b/>
        </w:rPr>
        <w:t xml:space="preserve"> </w:t>
      </w:r>
    </w:p>
    <w:tbl>
      <w:tblPr>
        <w:tblStyle w:val="TableGrid"/>
        <w:tblW w:w="9450" w:type="dxa"/>
        <w:tblInd w:w="-5" w:type="dxa"/>
        <w:tblLook w:val="04A0" w:firstRow="1" w:lastRow="0" w:firstColumn="1" w:lastColumn="0" w:noHBand="0" w:noVBand="1"/>
      </w:tblPr>
      <w:tblGrid>
        <w:gridCol w:w="1598"/>
        <w:gridCol w:w="1914"/>
        <w:gridCol w:w="2894"/>
        <w:gridCol w:w="1606"/>
        <w:gridCol w:w="1438"/>
      </w:tblGrid>
      <w:tr w:rsidR="00334ECF" w:rsidRPr="005553DF" w14:paraId="782DA930" w14:textId="77777777" w:rsidTr="00B321E7">
        <w:tc>
          <w:tcPr>
            <w:tcW w:w="1601" w:type="dxa"/>
            <w:tcBorders>
              <w:bottom w:val="single" w:sz="18" w:space="0" w:color="auto"/>
            </w:tcBorders>
            <w:vAlign w:val="center"/>
          </w:tcPr>
          <w:p w14:paraId="64D77C30" w14:textId="77777777" w:rsidR="00334ECF" w:rsidRPr="005553DF" w:rsidRDefault="00334ECF" w:rsidP="005553DF">
            <w:pPr>
              <w:jc w:val="center"/>
            </w:pPr>
            <w:r w:rsidRPr="005553DF">
              <w:t>Health-related Endpoint</w:t>
            </w:r>
          </w:p>
        </w:tc>
        <w:tc>
          <w:tcPr>
            <w:tcW w:w="1939" w:type="dxa"/>
            <w:tcBorders>
              <w:bottom w:val="single" w:sz="18" w:space="0" w:color="auto"/>
            </w:tcBorders>
            <w:vAlign w:val="center"/>
          </w:tcPr>
          <w:p w14:paraId="39C43BB1" w14:textId="77777777" w:rsidR="00334ECF" w:rsidRPr="005553DF" w:rsidRDefault="00334ECF" w:rsidP="005553DF">
            <w:pPr>
              <w:jc w:val="center"/>
            </w:pPr>
            <w:r w:rsidRPr="005553DF">
              <w:t>Relevant Study</w:t>
            </w:r>
          </w:p>
        </w:tc>
        <w:tc>
          <w:tcPr>
            <w:tcW w:w="2940" w:type="dxa"/>
            <w:tcBorders>
              <w:bottom w:val="single" w:sz="18" w:space="0" w:color="auto"/>
            </w:tcBorders>
            <w:vAlign w:val="center"/>
          </w:tcPr>
          <w:p w14:paraId="3832D19D" w14:textId="77777777" w:rsidR="00334ECF" w:rsidRPr="005553DF" w:rsidRDefault="00334ECF" w:rsidP="005553DF">
            <w:pPr>
              <w:jc w:val="center"/>
            </w:pPr>
            <w:r w:rsidRPr="005553DF">
              <w:t>Observed Effect Size</w:t>
            </w:r>
          </w:p>
        </w:tc>
        <w:tc>
          <w:tcPr>
            <w:tcW w:w="1530" w:type="dxa"/>
            <w:tcBorders>
              <w:bottom w:val="single" w:sz="18" w:space="0" w:color="auto"/>
            </w:tcBorders>
            <w:vAlign w:val="center"/>
          </w:tcPr>
          <w:p w14:paraId="10A0457C" w14:textId="77777777" w:rsidR="00334ECF" w:rsidRPr="005553DF" w:rsidRDefault="00334ECF" w:rsidP="005553DF">
            <w:pPr>
              <w:jc w:val="center"/>
            </w:pPr>
            <w:r w:rsidRPr="005553DF">
              <w:t>Assumptions</w:t>
            </w:r>
          </w:p>
        </w:tc>
        <w:tc>
          <w:tcPr>
            <w:tcW w:w="1440" w:type="dxa"/>
            <w:tcBorders>
              <w:bottom w:val="single" w:sz="18" w:space="0" w:color="auto"/>
            </w:tcBorders>
            <w:vAlign w:val="center"/>
          </w:tcPr>
          <w:p w14:paraId="6F966A87" w14:textId="77777777" w:rsidR="00334ECF" w:rsidRPr="005553DF" w:rsidRDefault="00334ECF" w:rsidP="005553DF">
            <w:pPr>
              <w:jc w:val="center"/>
            </w:pPr>
            <w:r w:rsidRPr="005553DF">
              <w:t>Sample Size/Stratum</w:t>
            </w:r>
          </w:p>
          <w:p w14:paraId="7881BDFE" w14:textId="77777777" w:rsidR="00334ECF" w:rsidRPr="005553DF" w:rsidRDefault="00334ECF" w:rsidP="005553DF">
            <w:pPr>
              <w:jc w:val="center"/>
            </w:pPr>
            <w:r w:rsidRPr="005553DF">
              <w:t>α error = .05</w:t>
            </w:r>
          </w:p>
          <w:p w14:paraId="2462AA58" w14:textId="77777777" w:rsidR="00334ECF" w:rsidRPr="005553DF" w:rsidRDefault="00334ECF" w:rsidP="005553DF">
            <w:pPr>
              <w:jc w:val="center"/>
            </w:pPr>
            <w:r w:rsidRPr="005553DF">
              <w:t>β error = .20</w:t>
            </w:r>
          </w:p>
        </w:tc>
      </w:tr>
      <w:tr w:rsidR="00334ECF" w:rsidRPr="005553DF" w14:paraId="6A929C14" w14:textId="77777777" w:rsidTr="00B321E7">
        <w:tc>
          <w:tcPr>
            <w:tcW w:w="1601" w:type="dxa"/>
            <w:tcBorders>
              <w:top w:val="single" w:sz="18" w:space="0" w:color="auto"/>
              <w:bottom w:val="single" w:sz="4" w:space="0" w:color="auto"/>
            </w:tcBorders>
          </w:tcPr>
          <w:p w14:paraId="0AC091A0" w14:textId="77777777" w:rsidR="00334ECF" w:rsidRPr="005553DF" w:rsidRDefault="00334ECF" w:rsidP="005553DF">
            <w:r w:rsidRPr="005553DF">
              <w:t>Total Cholesterol (mg/dL)</w:t>
            </w:r>
          </w:p>
          <w:p w14:paraId="189F4BEB" w14:textId="77777777" w:rsidR="00E46654" w:rsidRPr="005553DF" w:rsidRDefault="00E46654" w:rsidP="005553DF"/>
          <w:p w14:paraId="323030F7" w14:textId="77777777" w:rsidR="00E46654" w:rsidRPr="005553DF" w:rsidRDefault="00E46654" w:rsidP="005553DF">
            <w:r w:rsidRPr="005553DF">
              <w:t>High cholesterol</w:t>
            </w:r>
          </w:p>
        </w:tc>
        <w:tc>
          <w:tcPr>
            <w:tcW w:w="1939" w:type="dxa"/>
            <w:tcBorders>
              <w:top w:val="single" w:sz="18" w:space="0" w:color="auto"/>
              <w:bottom w:val="single" w:sz="4" w:space="0" w:color="auto"/>
            </w:tcBorders>
          </w:tcPr>
          <w:p w14:paraId="7DD34F37" w14:textId="77777777" w:rsidR="00334ECF" w:rsidRPr="005553DF" w:rsidRDefault="00334ECF" w:rsidP="005553DF">
            <w:r w:rsidRPr="005553DF">
              <w:t>Steenland 2009, C8</w:t>
            </w:r>
          </w:p>
          <w:p w14:paraId="2E92E8DE" w14:textId="77777777" w:rsidR="00334ECF" w:rsidRPr="005553DF" w:rsidRDefault="00334ECF" w:rsidP="005553DF">
            <w:r w:rsidRPr="005553DF">
              <w:t>46,294 aged ≥18 yrs</w:t>
            </w:r>
          </w:p>
        </w:tc>
        <w:tc>
          <w:tcPr>
            <w:tcW w:w="2940" w:type="dxa"/>
            <w:tcBorders>
              <w:top w:val="single" w:sz="18" w:space="0" w:color="auto"/>
              <w:bottom w:val="single" w:sz="4" w:space="0" w:color="auto"/>
            </w:tcBorders>
          </w:tcPr>
          <w:p w14:paraId="54FC581A" w14:textId="77777777" w:rsidR="00334ECF" w:rsidRPr="005553DF" w:rsidRDefault="00334ECF" w:rsidP="005553DF">
            <w:r w:rsidRPr="005553DF">
              <w:t>PFOS, mean serum level = 19.6 µg/L, 10</w:t>
            </w:r>
            <w:r w:rsidRPr="005553DF">
              <w:rPr>
                <w:vertAlign w:val="superscript"/>
              </w:rPr>
              <w:t>th</w:t>
            </w:r>
            <w:r w:rsidRPr="005553DF">
              <w:t xml:space="preserve"> vs 1</w:t>
            </w:r>
            <w:r w:rsidRPr="005553DF">
              <w:rPr>
                <w:vertAlign w:val="superscript"/>
              </w:rPr>
              <w:t>st</w:t>
            </w:r>
            <w:r w:rsidRPr="005553DF">
              <w:t xml:space="preserve"> decile:+11 mg/dL </w:t>
            </w:r>
          </w:p>
          <w:p w14:paraId="6FCCB3E9" w14:textId="77777777" w:rsidR="00E46654" w:rsidRPr="005553DF" w:rsidRDefault="00E46654" w:rsidP="005553DF"/>
          <w:p w14:paraId="1B1EE303" w14:textId="77777777" w:rsidR="00E46654" w:rsidRPr="005553DF" w:rsidRDefault="00E46654" w:rsidP="005553DF"/>
          <w:p w14:paraId="0AF7BD30" w14:textId="77777777" w:rsidR="00334ECF" w:rsidRPr="005553DF" w:rsidRDefault="00334ECF" w:rsidP="005553DF">
            <w:r w:rsidRPr="005553DF">
              <w:t>4</w:t>
            </w:r>
            <w:r w:rsidRPr="005553DF">
              <w:rPr>
                <w:vertAlign w:val="superscript"/>
              </w:rPr>
              <w:t>th</w:t>
            </w:r>
            <w:r w:rsidRPr="005553DF">
              <w:t xml:space="preserve"> vs 1</w:t>
            </w:r>
            <w:r w:rsidRPr="005553DF">
              <w:rPr>
                <w:vertAlign w:val="superscript"/>
              </w:rPr>
              <w:t>st</w:t>
            </w:r>
            <w:r w:rsidRPr="005553DF">
              <w:t xml:space="preserve"> quartile, OR=1.51</w:t>
            </w:r>
          </w:p>
        </w:tc>
        <w:tc>
          <w:tcPr>
            <w:tcW w:w="1530" w:type="dxa"/>
            <w:tcBorders>
              <w:top w:val="single" w:sz="18" w:space="0" w:color="auto"/>
              <w:bottom w:val="single" w:sz="4" w:space="0" w:color="auto"/>
            </w:tcBorders>
          </w:tcPr>
          <w:p w14:paraId="5D219EC5" w14:textId="77777777" w:rsidR="00334ECF" w:rsidRPr="005553DF" w:rsidRDefault="00334ECF" w:rsidP="005553DF">
            <w:r w:rsidRPr="005553DF">
              <w:t>SD=41.9</w:t>
            </w:r>
          </w:p>
          <w:p w14:paraId="6DD4DE94" w14:textId="77777777" w:rsidR="00334ECF" w:rsidRPr="005553DF" w:rsidRDefault="00334ECF" w:rsidP="005553DF"/>
          <w:p w14:paraId="1A6BCD01" w14:textId="77777777" w:rsidR="00E46654" w:rsidRPr="005553DF" w:rsidRDefault="00E46654" w:rsidP="005553DF"/>
          <w:p w14:paraId="34A44EF2" w14:textId="77777777" w:rsidR="00E46654" w:rsidRPr="005553DF" w:rsidRDefault="00E46654" w:rsidP="005553DF"/>
          <w:p w14:paraId="1E755A81" w14:textId="77777777" w:rsidR="00334ECF" w:rsidRPr="005553DF" w:rsidRDefault="00334ECF" w:rsidP="005553DF">
            <w:r w:rsidRPr="005553DF">
              <w:t>Prevalence=15%</w:t>
            </w:r>
          </w:p>
        </w:tc>
        <w:tc>
          <w:tcPr>
            <w:tcW w:w="1440" w:type="dxa"/>
            <w:tcBorders>
              <w:top w:val="single" w:sz="18" w:space="0" w:color="auto"/>
              <w:bottom w:val="single" w:sz="4" w:space="0" w:color="auto"/>
            </w:tcBorders>
          </w:tcPr>
          <w:p w14:paraId="171DD05F" w14:textId="77777777" w:rsidR="00334ECF" w:rsidRPr="005553DF" w:rsidRDefault="00334ECF" w:rsidP="005553DF">
            <w:r w:rsidRPr="005553DF">
              <w:t>228/stratum</w:t>
            </w:r>
          </w:p>
          <w:p w14:paraId="6DCF8741" w14:textId="77777777" w:rsidR="00334ECF" w:rsidRPr="005553DF" w:rsidRDefault="00334ECF" w:rsidP="005553DF"/>
          <w:p w14:paraId="4D84B209" w14:textId="77777777" w:rsidR="00E46654" w:rsidRPr="005553DF" w:rsidRDefault="00E46654" w:rsidP="005553DF"/>
          <w:p w14:paraId="76AEF2FC" w14:textId="77777777" w:rsidR="00E46654" w:rsidRPr="005553DF" w:rsidRDefault="00E46654" w:rsidP="005553DF"/>
          <w:p w14:paraId="30ACA715" w14:textId="77777777" w:rsidR="00334ECF" w:rsidRPr="005553DF" w:rsidRDefault="00334ECF" w:rsidP="005553DF">
            <w:r w:rsidRPr="005553DF">
              <w:t>660/stratum</w:t>
            </w:r>
          </w:p>
        </w:tc>
      </w:tr>
      <w:tr w:rsidR="00334ECF" w:rsidRPr="005553DF" w14:paraId="02D73FC2" w14:textId="77777777" w:rsidTr="00B321E7">
        <w:tc>
          <w:tcPr>
            <w:tcW w:w="1601" w:type="dxa"/>
            <w:tcBorders>
              <w:top w:val="single" w:sz="4" w:space="0" w:color="auto"/>
              <w:bottom w:val="single" w:sz="4" w:space="0" w:color="auto"/>
            </w:tcBorders>
          </w:tcPr>
          <w:p w14:paraId="157AA819" w14:textId="77777777" w:rsidR="00334ECF" w:rsidRPr="005553DF" w:rsidRDefault="00E46654" w:rsidP="005553DF">
            <w:r w:rsidRPr="005553DF">
              <w:t>High</w:t>
            </w:r>
            <w:r w:rsidR="00334ECF" w:rsidRPr="005553DF">
              <w:t xml:space="preserve"> Cholesterol </w:t>
            </w:r>
          </w:p>
        </w:tc>
        <w:tc>
          <w:tcPr>
            <w:tcW w:w="1939" w:type="dxa"/>
            <w:tcBorders>
              <w:top w:val="single" w:sz="4" w:space="0" w:color="auto"/>
              <w:bottom w:val="single" w:sz="4" w:space="0" w:color="auto"/>
            </w:tcBorders>
          </w:tcPr>
          <w:p w14:paraId="1D8F9216" w14:textId="77777777" w:rsidR="00334ECF" w:rsidRPr="005553DF" w:rsidRDefault="00334ECF" w:rsidP="005553DF">
            <w:r w:rsidRPr="005553DF">
              <w:t>Fisher 2013, Canada</w:t>
            </w:r>
          </w:p>
        </w:tc>
        <w:tc>
          <w:tcPr>
            <w:tcW w:w="2940" w:type="dxa"/>
            <w:tcBorders>
              <w:top w:val="single" w:sz="4" w:space="0" w:color="auto"/>
              <w:bottom w:val="single" w:sz="4" w:space="0" w:color="auto"/>
            </w:tcBorders>
          </w:tcPr>
          <w:p w14:paraId="27E42904" w14:textId="77777777" w:rsidR="00334ECF" w:rsidRPr="005553DF" w:rsidRDefault="00334ECF" w:rsidP="005553DF">
            <w:r w:rsidRPr="005553DF">
              <w:t>PFHxS, mean serum level = 2.2 µg/L,</w:t>
            </w:r>
          </w:p>
          <w:p w14:paraId="77063BD1" w14:textId="77777777" w:rsidR="00334ECF" w:rsidRPr="005553DF" w:rsidRDefault="00334ECF" w:rsidP="005553DF">
            <w:r w:rsidRPr="005553DF">
              <w:t>4</w:t>
            </w:r>
            <w:r w:rsidRPr="005553DF">
              <w:rPr>
                <w:vertAlign w:val="superscript"/>
              </w:rPr>
              <w:t>th</w:t>
            </w:r>
            <w:r w:rsidRPr="005553DF">
              <w:t xml:space="preserve"> vs 1</w:t>
            </w:r>
            <w:r w:rsidRPr="005553DF">
              <w:rPr>
                <w:vertAlign w:val="superscript"/>
              </w:rPr>
              <w:t>st</w:t>
            </w:r>
            <w:r w:rsidRPr="005553DF">
              <w:t xml:space="preserve"> quartile, OR=1.57</w:t>
            </w:r>
          </w:p>
        </w:tc>
        <w:tc>
          <w:tcPr>
            <w:tcW w:w="1530" w:type="dxa"/>
            <w:tcBorders>
              <w:top w:val="single" w:sz="4" w:space="0" w:color="auto"/>
              <w:bottom w:val="single" w:sz="4" w:space="0" w:color="auto"/>
            </w:tcBorders>
          </w:tcPr>
          <w:p w14:paraId="4531B810" w14:textId="77777777" w:rsidR="00334ECF" w:rsidRPr="005553DF" w:rsidRDefault="00334ECF" w:rsidP="005553DF">
            <w:r w:rsidRPr="005553DF">
              <w:t>Prevalence=44%</w:t>
            </w:r>
          </w:p>
        </w:tc>
        <w:tc>
          <w:tcPr>
            <w:tcW w:w="1440" w:type="dxa"/>
            <w:tcBorders>
              <w:top w:val="single" w:sz="4" w:space="0" w:color="auto"/>
              <w:bottom w:val="single" w:sz="4" w:space="0" w:color="auto"/>
            </w:tcBorders>
          </w:tcPr>
          <w:p w14:paraId="1F6F1076" w14:textId="77777777" w:rsidR="00334ECF" w:rsidRPr="005553DF" w:rsidRDefault="00334ECF" w:rsidP="005553DF">
            <w:r w:rsidRPr="005553DF">
              <w:t>290/stratum</w:t>
            </w:r>
          </w:p>
        </w:tc>
      </w:tr>
      <w:tr w:rsidR="00334ECF" w:rsidRPr="005553DF" w14:paraId="177FDC9C" w14:textId="77777777" w:rsidTr="00B321E7">
        <w:tc>
          <w:tcPr>
            <w:tcW w:w="1601" w:type="dxa"/>
            <w:tcBorders>
              <w:top w:val="single" w:sz="4" w:space="0" w:color="auto"/>
              <w:bottom w:val="single" w:sz="4" w:space="0" w:color="auto"/>
            </w:tcBorders>
          </w:tcPr>
          <w:p w14:paraId="16B5B47E" w14:textId="77777777" w:rsidR="00334ECF" w:rsidRPr="005553DF" w:rsidRDefault="00334ECF" w:rsidP="005553DF"/>
        </w:tc>
        <w:tc>
          <w:tcPr>
            <w:tcW w:w="1939" w:type="dxa"/>
            <w:tcBorders>
              <w:top w:val="single" w:sz="4" w:space="0" w:color="auto"/>
              <w:bottom w:val="single" w:sz="4" w:space="0" w:color="auto"/>
            </w:tcBorders>
          </w:tcPr>
          <w:p w14:paraId="53DA1666" w14:textId="77777777" w:rsidR="00334ECF" w:rsidRPr="005553DF" w:rsidRDefault="00334ECF" w:rsidP="005553DF"/>
        </w:tc>
        <w:tc>
          <w:tcPr>
            <w:tcW w:w="2940" w:type="dxa"/>
            <w:tcBorders>
              <w:top w:val="single" w:sz="4" w:space="0" w:color="auto"/>
              <w:bottom w:val="single" w:sz="4" w:space="0" w:color="auto"/>
            </w:tcBorders>
          </w:tcPr>
          <w:p w14:paraId="709A229D" w14:textId="77777777" w:rsidR="00334ECF" w:rsidRPr="005553DF" w:rsidRDefault="00334ECF" w:rsidP="005553DF"/>
        </w:tc>
        <w:tc>
          <w:tcPr>
            <w:tcW w:w="1530" w:type="dxa"/>
            <w:tcBorders>
              <w:top w:val="single" w:sz="4" w:space="0" w:color="auto"/>
              <w:bottom w:val="single" w:sz="4" w:space="0" w:color="auto"/>
            </w:tcBorders>
          </w:tcPr>
          <w:p w14:paraId="642EDFE3" w14:textId="77777777" w:rsidR="00334ECF" w:rsidRPr="005553DF" w:rsidRDefault="00334ECF" w:rsidP="005553DF"/>
        </w:tc>
        <w:tc>
          <w:tcPr>
            <w:tcW w:w="1440" w:type="dxa"/>
            <w:tcBorders>
              <w:top w:val="single" w:sz="4" w:space="0" w:color="auto"/>
              <w:bottom w:val="single" w:sz="4" w:space="0" w:color="auto"/>
            </w:tcBorders>
          </w:tcPr>
          <w:p w14:paraId="754FF53B" w14:textId="77777777" w:rsidR="00334ECF" w:rsidRPr="005553DF" w:rsidRDefault="00334ECF" w:rsidP="005553DF"/>
        </w:tc>
      </w:tr>
      <w:tr w:rsidR="00334ECF" w:rsidRPr="005553DF" w14:paraId="32060CB4" w14:textId="77777777" w:rsidTr="00B321E7">
        <w:tc>
          <w:tcPr>
            <w:tcW w:w="1601" w:type="dxa"/>
            <w:tcBorders>
              <w:top w:val="single" w:sz="4" w:space="0" w:color="auto"/>
              <w:bottom w:val="single" w:sz="4" w:space="0" w:color="auto"/>
            </w:tcBorders>
          </w:tcPr>
          <w:p w14:paraId="1F3F1009" w14:textId="77777777" w:rsidR="00334ECF" w:rsidRPr="005553DF" w:rsidRDefault="00334ECF" w:rsidP="005553DF">
            <w:r w:rsidRPr="005553DF">
              <w:t>Cardiovascular disease</w:t>
            </w:r>
          </w:p>
        </w:tc>
        <w:tc>
          <w:tcPr>
            <w:tcW w:w="1939" w:type="dxa"/>
            <w:tcBorders>
              <w:top w:val="single" w:sz="4" w:space="0" w:color="auto"/>
              <w:bottom w:val="single" w:sz="4" w:space="0" w:color="auto"/>
            </w:tcBorders>
          </w:tcPr>
          <w:p w14:paraId="5156E80F" w14:textId="77777777" w:rsidR="00334ECF" w:rsidRPr="005553DF" w:rsidRDefault="00334ECF" w:rsidP="005553DF">
            <w:r w:rsidRPr="005553DF">
              <w:t>Shankar 2012, NHANES</w:t>
            </w:r>
          </w:p>
          <w:p w14:paraId="0E116989" w14:textId="77777777" w:rsidR="00334ECF" w:rsidRPr="005553DF" w:rsidRDefault="00334ECF" w:rsidP="005553DF">
            <w:r w:rsidRPr="005553DF">
              <w:t>1,216 aged ≥40 years</w:t>
            </w:r>
          </w:p>
        </w:tc>
        <w:tc>
          <w:tcPr>
            <w:tcW w:w="2940" w:type="dxa"/>
            <w:tcBorders>
              <w:top w:val="single" w:sz="4" w:space="0" w:color="auto"/>
              <w:bottom w:val="single" w:sz="4" w:space="0" w:color="auto"/>
            </w:tcBorders>
          </w:tcPr>
          <w:p w14:paraId="4D0A5754" w14:textId="77777777" w:rsidR="00334ECF" w:rsidRPr="005553DF" w:rsidRDefault="00334ECF" w:rsidP="005553DF">
            <w:r w:rsidRPr="005553DF">
              <w:t>PFOA mean serum level = 4.2 µg/L, 4</w:t>
            </w:r>
            <w:r w:rsidRPr="005553DF">
              <w:rPr>
                <w:vertAlign w:val="superscript"/>
              </w:rPr>
              <w:t>th</w:t>
            </w:r>
            <w:r w:rsidRPr="005553DF">
              <w:t xml:space="preserve"> vs 1</w:t>
            </w:r>
            <w:r w:rsidRPr="005553DF">
              <w:rPr>
                <w:vertAlign w:val="superscript"/>
              </w:rPr>
              <w:t>st</w:t>
            </w:r>
            <w:r w:rsidRPr="005553DF">
              <w:t xml:space="preserve"> quartile: OR=2.01</w:t>
            </w:r>
          </w:p>
        </w:tc>
        <w:tc>
          <w:tcPr>
            <w:tcW w:w="1530" w:type="dxa"/>
            <w:tcBorders>
              <w:top w:val="single" w:sz="4" w:space="0" w:color="auto"/>
              <w:bottom w:val="single" w:sz="4" w:space="0" w:color="auto"/>
            </w:tcBorders>
          </w:tcPr>
          <w:p w14:paraId="20C511F3" w14:textId="77777777" w:rsidR="00334ECF" w:rsidRPr="005553DF" w:rsidRDefault="00334ECF" w:rsidP="005553DF">
            <w:r w:rsidRPr="005553DF">
              <w:t>Prevalence = 13%</w:t>
            </w:r>
          </w:p>
        </w:tc>
        <w:tc>
          <w:tcPr>
            <w:tcW w:w="1440" w:type="dxa"/>
            <w:tcBorders>
              <w:top w:val="single" w:sz="4" w:space="0" w:color="auto"/>
              <w:bottom w:val="single" w:sz="4" w:space="0" w:color="auto"/>
            </w:tcBorders>
          </w:tcPr>
          <w:p w14:paraId="434E685A" w14:textId="77777777" w:rsidR="00334ECF" w:rsidRPr="005553DF" w:rsidRDefault="00334ECF" w:rsidP="005553DF">
            <w:r w:rsidRPr="005553DF">
              <w:t>250/stratum</w:t>
            </w:r>
          </w:p>
        </w:tc>
      </w:tr>
      <w:tr w:rsidR="00334ECF" w:rsidRPr="005553DF" w14:paraId="231DAEDE" w14:textId="77777777" w:rsidTr="00B321E7">
        <w:tc>
          <w:tcPr>
            <w:tcW w:w="1601" w:type="dxa"/>
            <w:tcBorders>
              <w:top w:val="single" w:sz="4" w:space="0" w:color="auto"/>
              <w:bottom w:val="single" w:sz="4" w:space="0" w:color="auto"/>
            </w:tcBorders>
          </w:tcPr>
          <w:p w14:paraId="2D221E39" w14:textId="77777777" w:rsidR="00334ECF" w:rsidRPr="005553DF" w:rsidRDefault="00334ECF" w:rsidP="005553DF"/>
        </w:tc>
        <w:tc>
          <w:tcPr>
            <w:tcW w:w="1939" w:type="dxa"/>
            <w:tcBorders>
              <w:top w:val="single" w:sz="4" w:space="0" w:color="auto"/>
              <w:bottom w:val="single" w:sz="4" w:space="0" w:color="auto"/>
            </w:tcBorders>
          </w:tcPr>
          <w:p w14:paraId="10EE3977" w14:textId="77777777" w:rsidR="00334ECF" w:rsidRPr="005553DF" w:rsidRDefault="00334ECF" w:rsidP="005553DF"/>
        </w:tc>
        <w:tc>
          <w:tcPr>
            <w:tcW w:w="2940" w:type="dxa"/>
            <w:tcBorders>
              <w:top w:val="single" w:sz="4" w:space="0" w:color="auto"/>
              <w:bottom w:val="single" w:sz="4" w:space="0" w:color="auto"/>
            </w:tcBorders>
          </w:tcPr>
          <w:p w14:paraId="1E1F4C05" w14:textId="77777777" w:rsidR="00334ECF" w:rsidRPr="005553DF" w:rsidRDefault="00334ECF" w:rsidP="005553DF"/>
        </w:tc>
        <w:tc>
          <w:tcPr>
            <w:tcW w:w="1530" w:type="dxa"/>
            <w:tcBorders>
              <w:top w:val="single" w:sz="4" w:space="0" w:color="auto"/>
              <w:bottom w:val="single" w:sz="4" w:space="0" w:color="auto"/>
            </w:tcBorders>
          </w:tcPr>
          <w:p w14:paraId="31B421BA" w14:textId="77777777" w:rsidR="00334ECF" w:rsidRPr="005553DF" w:rsidRDefault="00334ECF" w:rsidP="005553DF"/>
        </w:tc>
        <w:tc>
          <w:tcPr>
            <w:tcW w:w="1440" w:type="dxa"/>
            <w:tcBorders>
              <w:top w:val="single" w:sz="4" w:space="0" w:color="auto"/>
              <w:bottom w:val="single" w:sz="4" w:space="0" w:color="auto"/>
            </w:tcBorders>
          </w:tcPr>
          <w:p w14:paraId="667EA21A" w14:textId="77777777" w:rsidR="00334ECF" w:rsidRPr="005553DF" w:rsidRDefault="00334ECF" w:rsidP="005553DF"/>
        </w:tc>
      </w:tr>
      <w:tr w:rsidR="00334ECF" w:rsidRPr="005553DF" w14:paraId="0B88BD3F" w14:textId="77777777" w:rsidTr="00B321E7">
        <w:tc>
          <w:tcPr>
            <w:tcW w:w="1601" w:type="dxa"/>
            <w:tcBorders>
              <w:top w:val="single" w:sz="4" w:space="0" w:color="auto"/>
              <w:bottom w:val="single" w:sz="4" w:space="0" w:color="auto"/>
            </w:tcBorders>
          </w:tcPr>
          <w:p w14:paraId="44CA31F2" w14:textId="77777777" w:rsidR="00334ECF" w:rsidRPr="005553DF" w:rsidRDefault="00334ECF" w:rsidP="005553DF">
            <w:r w:rsidRPr="005553DF">
              <w:t>Uric Acid</w:t>
            </w:r>
          </w:p>
        </w:tc>
        <w:tc>
          <w:tcPr>
            <w:tcW w:w="1939" w:type="dxa"/>
            <w:tcBorders>
              <w:top w:val="single" w:sz="4" w:space="0" w:color="auto"/>
              <w:bottom w:val="single" w:sz="4" w:space="0" w:color="auto"/>
            </w:tcBorders>
          </w:tcPr>
          <w:p w14:paraId="1BEAECB4" w14:textId="77777777" w:rsidR="00334ECF" w:rsidRPr="005553DF" w:rsidRDefault="00334ECF" w:rsidP="005553DF">
            <w:r w:rsidRPr="005553DF">
              <w:t>Steenland 2010, C8</w:t>
            </w:r>
          </w:p>
          <w:p w14:paraId="1E877C6D" w14:textId="77777777" w:rsidR="00334ECF" w:rsidRPr="005553DF" w:rsidRDefault="00334ECF" w:rsidP="005553DF">
            <w:r w:rsidRPr="005553DF">
              <w:t>53,458 aged ≥20 yrs</w:t>
            </w:r>
          </w:p>
        </w:tc>
        <w:tc>
          <w:tcPr>
            <w:tcW w:w="2940" w:type="dxa"/>
            <w:tcBorders>
              <w:top w:val="single" w:sz="4" w:space="0" w:color="auto"/>
              <w:bottom w:val="single" w:sz="4" w:space="0" w:color="auto"/>
            </w:tcBorders>
          </w:tcPr>
          <w:p w14:paraId="4EBD1C91" w14:textId="77777777" w:rsidR="00334ECF" w:rsidRPr="005553DF" w:rsidRDefault="00334ECF" w:rsidP="005553DF">
            <w:r w:rsidRPr="005553DF">
              <w:t>PFOS mean serum level = 20.2 µg/L, 10</w:t>
            </w:r>
            <w:r w:rsidRPr="005553DF">
              <w:rPr>
                <w:vertAlign w:val="superscript"/>
              </w:rPr>
              <w:t>th</w:t>
            </w:r>
            <w:r w:rsidRPr="005553DF">
              <w:t xml:space="preserve"> vs 1</w:t>
            </w:r>
            <w:r w:rsidRPr="005553DF">
              <w:rPr>
                <w:vertAlign w:val="superscript"/>
              </w:rPr>
              <w:t>st</w:t>
            </w:r>
            <w:r w:rsidRPr="005553DF">
              <w:t xml:space="preserve"> decile: +0.22 mg/dL</w:t>
            </w:r>
          </w:p>
          <w:p w14:paraId="47FDBEA4" w14:textId="77777777" w:rsidR="00334ECF" w:rsidRPr="005553DF" w:rsidRDefault="00334ECF" w:rsidP="005553DF">
            <w:r w:rsidRPr="005553DF">
              <w:t>Hyperuricemia, 5</w:t>
            </w:r>
            <w:r w:rsidRPr="005553DF">
              <w:rPr>
                <w:vertAlign w:val="superscript"/>
              </w:rPr>
              <w:t>th</w:t>
            </w:r>
            <w:r w:rsidRPr="005553DF">
              <w:t xml:space="preserve"> vs 1</w:t>
            </w:r>
            <w:r w:rsidRPr="005553DF">
              <w:rPr>
                <w:vertAlign w:val="superscript"/>
              </w:rPr>
              <w:t>st</w:t>
            </w:r>
            <w:r w:rsidRPr="005553DF">
              <w:t xml:space="preserve"> quintile: OR=1.26</w:t>
            </w:r>
          </w:p>
        </w:tc>
        <w:tc>
          <w:tcPr>
            <w:tcW w:w="1530" w:type="dxa"/>
            <w:tcBorders>
              <w:top w:val="single" w:sz="4" w:space="0" w:color="auto"/>
              <w:bottom w:val="single" w:sz="4" w:space="0" w:color="auto"/>
            </w:tcBorders>
          </w:tcPr>
          <w:p w14:paraId="6C877CDB" w14:textId="77777777" w:rsidR="00334ECF" w:rsidRPr="005553DF" w:rsidRDefault="00334ECF" w:rsidP="005553DF">
            <w:r w:rsidRPr="005553DF">
              <w:t>SD=1.55</w:t>
            </w:r>
          </w:p>
          <w:p w14:paraId="24CDD140" w14:textId="77777777" w:rsidR="00334ECF" w:rsidRPr="005553DF" w:rsidRDefault="00334ECF" w:rsidP="005553DF"/>
          <w:p w14:paraId="06E1491D" w14:textId="77777777" w:rsidR="00E46654" w:rsidRPr="005553DF" w:rsidRDefault="00E46654" w:rsidP="005553DF"/>
          <w:p w14:paraId="0BBE8E3E" w14:textId="77777777" w:rsidR="00334ECF" w:rsidRPr="005553DF" w:rsidRDefault="00334ECF" w:rsidP="005553DF">
            <w:r w:rsidRPr="005553DF">
              <w:t>Prevalence:24%</w:t>
            </w:r>
          </w:p>
        </w:tc>
        <w:tc>
          <w:tcPr>
            <w:tcW w:w="1440" w:type="dxa"/>
            <w:tcBorders>
              <w:top w:val="single" w:sz="4" w:space="0" w:color="auto"/>
              <w:bottom w:val="single" w:sz="4" w:space="0" w:color="auto"/>
            </w:tcBorders>
          </w:tcPr>
          <w:p w14:paraId="2863968C" w14:textId="77777777" w:rsidR="00334ECF" w:rsidRPr="005553DF" w:rsidRDefault="00334ECF" w:rsidP="005553DF">
            <w:r w:rsidRPr="005553DF">
              <w:t>780/stratum</w:t>
            </w:r>
          </w:p>
          <w:p w14:paraId="0F935147" w14:textId="77777777" w:rsidR="00334ECF" w:rsidRPr="005553DF" w:rsidRDefault="00334ECF" w:rsidP="005553DF"/>
          <w:p w14:paraId="21A1D129" w14:textId="77777777" w:rsidR="00334ECF" w:rsidRPr="005553DF" w:rsidRDefault="00334ECF" w:rsidP="005553DF"/>
          <w:p w14:paraId="57E1C67E" w14:textId="77777777" w:rsidR="00334ECF" w:rsidRPr="005553DF" w:rsidRDefault="00334ECF" w:rsidP="005553DF">
            <w:r w:rsidRPr="005553DF">
              <w:t>1,525/stratum</w:t>
            </w:r>
          </w:p>
        </w:tc>
      </w:tr>
      <w:tr w:rsidR="00334ECF" w:rsidRPr="005553DF" w14:paraId="36E32371" w14:textId="77777777" w:rsidTr="00B321E7">
        <w:tc>
          <w:tcPr>
            <w:tcW w:w="1601" w:type="dxa"/>
            <w:tcBorders>
              <w:top w:val="single" w:sz="4" w:space="0" w:color="auto"/>
              <w:bottom w:val="single" w:sz="4" w:space="0" w:color="auto"/>
            </w:tcBorders>
          </w:tcPr>
          <w:p w14:paraId="17D0DBD4" w14:textId="77777777" w:rsidR="00334ECF" w:rsidRPr="005553DF" w:rsidRDefault="00334ECF" w:rsidP="005553DF">
            <w:r w:rsidRPr="005553DF">
              <w:t>Uric Acid</w:t>
            </w:r>
          </w:p>
        </w:tc>
        <w:tc>
          <w:tcPr>
            <w:tcW w:w="1939" w:type="dxa"/>
            <w:tcBorders>
              <w:top w:val="single" w:sz="4" w:space="0" w:color="auto"/>
              <w:bottom w:val="single" w:sz="4" w:space="0" w:color="auto"/>
            </w:tcBorders>
          </w:tcPr>
          <w:p w14:paraId="428E017F" w14:textId="77777777" w:rsidR="00334ECF" w:rsidRPr="005553DF" w:rsidRDefault="00334ECF" w:rsidP="005553DF">
            <w:r w:rsidRPr="005553DF">
              <w:t>Shankar 2011, NHANES</w:t>
            </w:r>
          </w:p>
          <w:p w14:paraId="5CDC48CA" w14:textId="77777777" w:rsidR="00334ECF" w:rsidRPr="005553DF" w:rsidRDefault="00334ECF" w:rsidP="005553DF">
            <w:r w:rsidRPr="005553DF">
              <w:t>3,883 aged ≥20 yrs</w:t>
            </w:r>
          </w:p>
        </w:tc>
        <w:tc>
          <w:tcPr>
            <w:tcW w:w="2940" w:type="dxa"/>
            <w:tcBorders>
              <w:top w:val="single" w:sz="4" w:space="0" w:color="auto"/>
              <w:bottom w:val="single" w:sz="4" w:space="0" w:color="auto"/>
            </w:tcBorders>
          </w:tcPr>
          <w:p w14:paraId="09E15D8E" w14:textId="77777777" w:rsidR="00334ECF" w:rsidRPr="005553DF" w:rsidRDefault="00334ECF" w:rsidP="005553DF">
            <w:r w:rsidRPr="005553DF">
              <w:t>PFOA mean serum level = 3.5 µg/L, 4</w:t>
            </w:r>
            <w:r w:rsidRPr="005553DF">
              <w:rPr>
                <w:vertAlign w:val="superscript"/>
              </w:rPr>
              <w:t>th</w:t>
            </w:r>
            <w:r w:rsidRPr="005553DF">
              <w:t xml:space="preserve"> vs 1</w:t>
            </w:r>
            <w:r w:rsidRPr="005553DF">
              <w:rPr>
                <w:vertAlign w:val="superscript"/>
              </w:rPr>
              <w:t>st</w:t>
            </w:r>
            <w:r w:rsidRPr="005553DF">
              <w:t xml:space="preserve"> quartile:</w:t>
            </w:r>
            <w:r w:rsidR="00E46654" w:rsidRPr="005553DF">
              <w:t xml:space="preserve"> </w:t>
            </w:r>
            <w:r w:rsidRPr="005553DF">
              <w:t>+0.44 mg/dL</w:t>
            </w:r>
          </w:p>
          <w:p w14:paraId="25CEC0D7" w14:textId="77777777" w:rsidR="00334ECF" w:rsidRPr="005553DF" w:rsidRDefault="00334ECF" w:rsidP="005553DF"/>
          <w:p w14:paraId="07C8D10D" w14:textId="77777777" w:rsidR="00334ECF" w:rsidRPr="005553DF" w:rsidRDefault="00334ECF" w:rsidP="005553DF">
            <w:r w:rsidRPr="005553DF">
              <w:t>Hyperuricemia, 4</w:t>
            </w:r>
            <w:r w:rsidRPr="005553DF">
              <w:rPr>
                <w:vertAlign w:val="superscript"/>
              </w:rPr>
              <w:t>th</w:t>
            </w:r>
            <w:r w:rsidRPr="005553DF">
              <w:t xml:space="preserve"> vs 1</w:t>
            </w:r>
            <w:r w:rsidRPr="005553DF">
              <w:rPr>
                <w:vertAlign w:val="superscript"/>
              </w:rPr>
              <w:t>st</w:t>
            </w:r>
            <w:r w:rsidRPr="005553DF">
              <w:t xml:space="preserve"> quartile:</w:t>
            </w:r>
            <w:r w:rsidR="00E46654" w:rsidRPr="005553DF">
              <w:t xml:space="preserve"> </w:t>
            </w:r>
            <w:r w:rsidRPr="005553DF">
              <w:t>OR=1.97</w:t>
            </w:r>
          </w:p>
          <w:p w14:paraId="3E088423" w14:textId="77777777" w:rsidR="00334ECF" w:rsidRPr="005553DF" w:rsidRDefault="00334ECF" w:rsidP="005553DF"/>
          <w:p w14:paraId="67C21731" w14:textId="77777777" w:rsidR="00334ECF" w:rsidRPr="005553DF" w:rsidRDefault="00334ECF" w:rsidP="005553DF">
            <w:r w:rsidRPr="005553DF">
              <w:t>PFOS mean serum level = 17.9 µg/L</w:t>
            </w:r>
          </w:p>
          <w:p w14:paraId="1C00A2E5" w14:textId="77777777" w:rsidR="00334ECF" w:rsidRPr="005553DF" w:rsidRDefault="00334ECF" w:rsidP="005553DF">
            <w:r w:rsidRPr="005553DF">
              <w:t>Hyperuricemia, 4</w:t>
            </w:r>
            <w:r w:rsidRPr="005553DF">
              <w:rPr>
                <w:vertAlign w:val="superscript"/>
              </w:rPr>
              <w:t>th</w:t>
            </w:r>
            <w:r w:rsidRPr="005553DF">
              <w:t xml:space="preserve"> vs 1</w:t>
            </w:r>
            <w:r w:rsidRPr="005553DF">
              <w:rPr>
                <w:vertAlign w:val="superscript"/>
              </w:rPr>
              <w:t>st</w:t>
            </w:r>
            <w:r w:rsidRPr="005553DF">
              <w:t xml:space="preserve"> quartile:</w:t>
            </w:r>
          </w:p>
          <w:p w14:paraId="5F75FAD7" w14:textId="77777777" w:rsidR="00334ECF" w:rsidRPr="005553DF" w:rsidRDefault="00334ECF" w:rsidP="005553DF">
            <w:r w:rsidRPr="005553DF">
              <w:t>OR=1.5</w:t>
            </w:r>
          </w:p>
          <w:p w14:paraId="4C24E72A" w14:textId="77777777" w:rsidR="00334ECF" w:rsidRPr="005553DF" w:rsidRDefault="00334ECF" w:rsidP="005553DF"/>
        </w:tc>
        <w:tc>
          <w:tcPr>
            <w:tcW w:w="1530" w:type="dxa"/>
            <w:tcBorders>
              <w:top w:val="single" w:sz="4" w:space="0" w:color="auto"/>
              <w:bottom w:val="single" w:sz="4" w:space="0" w:color="auto"/>
            </w:tcBorders>
          </w:tcPr>
          <w:p w14:paraId="3EC52706" w14:textId="77777777" w:rsidR="00334ECF" w:rsidRPr="005553DF" w:rsidRDefault="00334ECF" w:rsidP="005553DF">
            <w:r w:rsidRPr="005553DF">
              <w:t>SD = 2.5</w:t>
            </w:r>
          </w:p>
          <w:p w14:paraId="2C76F92F" w14:textId="77777777" w:rsidR="00334ECF" w:rsidRPr="005553DF" w:rsidRDefault="00334ECF" w:rsidP="005553DF"/>
          <w:p w14:paraId="6B42380B" w14:textId="77777777" w:rsidR="00334ECF" w:rsidRPr="005553DF" w:rsidRDefault="00334ECF" w:rsidP="005553DF"/>
          <w:p w14:paraId="666CF222" w14:textId="77777777" w:rsidR="00334ECF" w:rsidRPr="005553DF" w:rsidRDefault="00334ECF" w:rsidP="005553DF"/>
          <w:p w14:paraId="7C91F12B" w14:textId="77777777" w:rsidR="00334ECF" w:rsidRPr="005553DF" w:rsidRDefault="00334ECF" w:rsidP="005553DF">
            <w:r w:rsidRPr="005553DF">
              <w:t>Prevalence:</w:t>
            </w:r>
          </w:p>
          <w:p w14:paraId="05DDF144" w14:textId="77777777" w:rsidR="00334ECF" w:rsidRPr="005553DF" w:rsidRDefault="00334ECF" w:rsidP="005553DF">
            <w:r w:rsidRPr="005553DF">
              <w:t>19.2%</w:t>
            </w:r>
          </w:p>
        </w:tc>
        <w:tc>
          <w:tcPr>
            <w:tcW w:w="1440" w:type="dxa"/>
            <w:tcBorders>
              <w:top w:val="single" w:sz="4" w:space="0" w:color="auto"/>
              <w:bottom w:val="single" w:sz="4" w:space="0" w:color="auto"/>
            </w:tcBorders>
          </w:tcPr>
          <w:p w14:paraId="2E7D6DE2" w14:textId="77777777" w:rsidR="00334ECF" w:rsidRPr="005553DF" w:rsidRDefault="00334ECF" w:rsidP="005553DF">
            <w:r w:rsidRPr="005553DF">
              <w:t>507/stratum</w:t>
            </w:r>
          </w:p>
          <w:p w14:paraId="1CED4913" w14:textId="77777777" w:rsidR="00334ECF" w:rsidRPr="005553DF" w:rsidRDefault="00334ECF" w:rsidP="005553DF"/>
          <w:p w14:paraId="56192CCD" w14:textId="77777777" w:rsidR="00334ECF" w:rsidRPr="005553DF" w:rsidRDefault="00334ECF" w:rsidP="005553DF"/>
          <w:p w14:paraId="1ED89894" w14:textId="77777777" w:rsidR="00334ECF" w:rsidRPr="005553DF" w:rsidRDefault="00334ECF" w:rsidP="005553DF"/>
          <w:p w14:paraId="76623304" w14:textId="77777777" w:rsidR="00334ECF" w:rsidRPr="005553DF" w:rsidRDefault="00334ECF" w:rsidP="005553DF">
            <w:r w:rsidRPr="005553DF">
              <w:t>200/stratum</w:t>
            </w:r>
          </w:p>
          <w:p w14:paraId="304C04B5" w14:textId="77777777" w:rsidR="00334ECF" w:rsidRPr="005553DF" w:rsidRDefault="00334ECF" w:rsidP="005553DF"/>
          <w:p w14:paraId="6F5D6F17" w14:textId="77777777" w:rsidR="00334ECF" w:rsidRPr="005553DF" w:rsidRDefault="00334ECF" w:rsidP="005553DF"/>
          <w:p w14:paraId="6E7BAF4D" w14:textId="77777777" w:rsidR="00334ECF" w:rsidRPr="005553DF" w:rsidRDefault="00334ECF" w:rsidP="005553DF"/>
          <w:p w14:paraId="1A01172F" w14:textId="77777777" w:rsidR="00334ECF" w:rsidRPr="005553DF" w:rsidRDefault="00334ECF" w:rsidP="005553DF">
            <w:r w:rsidRPr="005553DF">
              <w:t>550/stratum</w:t>
            </w:r>
          </w:p>
        </w:tc>
      </w:tr>
      <w:tr w:rsidR="00334ECF" w:rsidRPr="005553DF" w14:paraId="25B72B68" w14:textId="77777777" w:rsidTr="00B321E7">
        <w:tc>
          <w:tcPr>
            <w:tcW w:w="1601" w:type="dxa"/>
            <w:tcBorders>
              <w:top w:val="single" w:sz="4" w:space="0" w:color="auto"/>
              <w:bottom w:val="single" w:sz="4" w:space="0" w:color="auto"/>
            </w:tcBorders>
          </w:tcPr>
          <w:p w14:paraId="42D376D3" w14:textId="77777777" w:rsidR="00334ECF" w:rsidRPr="005553DF" w:rsidRDefault="00334ECF" w:rsidP="005553DF"/>
        </w:tc>
        <w:tc>
          <w:tcPr>
            <w:tcW w:w="1939" w:type="dxa"/>
            <w:tcBorders>
              <w:top w:val="single" w:sz="4" w:space="0" w:color="auto"/>
              <w:bottom w:val="single" w:sz="4" w:space="0" w:color="auto"/>
            </w:tcBorders>
          </w:tcPr>
          <w:p w14:paraId="45824F26" w14:textId="77777777" w:rsidR="00334ECF" w:rsidRPr="005553DF" w:rsidRDefault="00334ECF" w:rsidP="005553DF"/>
        </w:tc>
        <w:tc>
          <w:tcPr>
            <w:tcW w:w="2940" w:type="dxa"/>
            <w:tcBorders>
              <w:top w:val="single" w:sz="4" w:space="0" w:color="auto"/>
              <w:bottom w:val="single" w:sz="4" w:space="0" w:color="auto"/>
            </w:tcBorders>
          </w:tcPr>
          <w:p w14:paraId="33233E1F" w14:textId="77777777" w:rsidR="00334ECF" w:rsidRPr="005553DF" w:rsidRDefault="00334ECF" w:rsidP="005553DF"/>
        </w:tc>
        <w:tc>
          <w:tcPr>
            <w:tcW w:w="1530" w:type="dxa"/>
            <w:tcBorders>
              <w:top w:val="single" w:sz="4" w:space="0" w:color="auto"/>
              <w:bottom w:val="single" w:sz="4" w:space="0" w:color="auto"/>
            </w:tcBorders>
          </w:tcPr>
          <w:p w14:paraId="6A12F284" w14:textId="77777777" w:rsidR="00334ECF" w:rsidRPr="005553DF" w:rsidRDefault="00334ECF" w:rsidP="005553DF"/>
        </w:tc>
        <w:tc>
          <w:tcPr>
            <w:tcW w:w="1440" w:type="dxa"/>
            <w:tcBorders>
              <w:top w:val="single" w:sz="4" w:space="0" w:color="auto"/>
              <w:bottom w:val="single" w:sz="4" w:space="0" w:color="auto"/>
            </w:tcBorders>
          </w:tcPr>
          <w:p w14:paraId="73EEA830" w14:textId="77777777" w:rsidR="00334ECF" w:rsidRPr="005553DF" w:rsidRDefault="00334ECF" w:rsidP="005553DF"/>
        </w:tc>
      </w:tr>
      <w:tr w:rsidR="00334ECF" w:rsidRPr="005553DF" w14:paraId="0C00EE81" w14:textId="77777777" w:rsidTr="00B321E7">
        <w:tc>
          <w:tcPr>
            <w:tcW w:w="1601" w:type="dxa"/>
            <w:tcBorders>
              <w:top w:val="single" w:sz="4" w:space="0" w:color="auto"/>
              <w:bottom w:val="single" w:sz="4" w:space="0" w:color="auto"/>
            </w:tcBorders>
          </w:tcPr>
          <w:p w14:paraId="7F08F2E5" w14:textId="77777777" w:rsidR="00334ECF" w:rsidRPr="005553DF" w:rsidRDefault="00334ECF" w:rsidP="005553DF">
            <w:r w:rsidRPr="005553DF">
              <w:t>Liver function</w:t>
            </w:r>
          </w:p>
          <w:p w14:paraId="155B2B49" w14:textId="77777777" w:rsidR="00334ECF" w:rsidRPr="005553DF" w:rsidRDefault="00334ECF" w:rsidP="005553DF">
            <w:r w:rsidRPr="005553DF">
              <w:t>Elevated ALT</w:t>
            </w:r>
          </w:p>
        </w:tc>
        <w:tc>
          <w:tcPr>
            <w:tcW w:w="1939" w:type="dxa"/>
            <w:tcBorders>
              <w:top w:val="single" w:sz="4" w:space="0" w:color="auto"/>
              <w:bottom w:val="single" w:sz="4" w:space="0" w:color="auto"/>
            </w:tcBorders>
          </w:tcPr>
          <w:p w14:paraId="65985F2B" w14:textId="77777777" w:rsidR="00334ECF" w:rsidRPr="005553DF" w:rsidRDefault="00334ECF" w:rsidP="005553DF">
            <w:r w:rsidRPr="005553DF">
              <w:t>Gallo 2012, C8</w:t>
            </w:r>
          </w:p>
          <w:p w14:paraId="2187D1AF" w14:textId="77777777" w:rsidR="00334ECF" w:rsidRPr="005553DF" w:rsidRDefault="00334ECF" w:rsidP="005553DF">
            <w:r w:rsidRPr="005553DF">
              <w:t>46,452 aged ≥18 yrs</w:t>
            </w:r>
          </w:p>
        </w:tc>
        <w:tc>
          <w:tcPr>
            <w:tcW w:w="2940" w:type="dxa"/>
            <w:tcBorders>
              <w:top w:val="single" w:sz="4" w:space="0" w:color="auto"/>
              <w:bottom w:val="single" w:sz="4" w:space="0" w:color="auto"/>
            </w:tcBorders>
          </w:tcPr>
          <w:p w14:paraId="7283F0FA" w14:textId="77777777" w:rsidR="00334ECF" w:rsidRPr="005553DF" w:rsidRDefault="00334ECF" w:rsidP="005553DF">
            <w:r w:rsidRPr="005553DF">
              <w:t xml:space="preserve">PFOA and PFOS mean serum levels were 28 µg/L and 20.3 µg/L, respectively. </w:t>
            </w:r>
          </w:p>
          <w:p w14:paraId="4AC08ED2" w14:textId="77777777" w:rsidR="00334ECF" w:rsidRPr="005553DF" w:rsidRDefault="00334ECF" w:rsidP="005553DF">
            <w:r w:rsidRPr="005553DF">
              <w:t>PFOA: OR=1.54</w:t>
            </w:r>
          </w:p>
          <w:p w14:paraId="5833EC9F" w14:textId="77777777" w:rsidR="00334ECF" w:rsidRPr="005553DF" w:rsidRDefault="00334ECF" w:rsidP="005553DF">
            <w:r w:rsidRPr="005553DF">
              <w:t>PFOS:  OR=1.25</w:t>
            </w:r>
          </w:p>
        </w:tc>
        <w:tc>
          <w:tcPr>
            <w:tcW w:w="1530" w:type="dxa"/>
            <w:tcBorders>
              <w:top w:val="single" w:sz="4" w:space="0" w:color="auto"/>
              <w:bottom w:val="single" w:sz="4" w:space="0" w:color="auto"/>
            </w:tcBorders>
          </w:tcPr>
          <w:p w14:paraId="5B0983E6" w14:textId="77777777" w:rsidR="00334ECF" w:rsidRPr="005553DF" w:rsidRDefault="00334ECF" w:rsidP="005553DF">
            <w:r w:rsidRPr="005553DF">
              <w:t>Prevalence = 11.2%</w:t>
            </w:r>
          </w:p>
        </w:tc>
        <w:tc>
          <w:tcPr>
            <w:tcW w:w="1440" w:type="dxa"/>
            <w:tcBorders>
              <w:top w:val="single" w:sz="4" w:space="0" w:color="auto"/>
              <w:bottom w:val="single" w:sz="4" w:space="0" w:color="auto"/>
            </w:tcBorders>
          </w:tcPr>
          <w:p w14:paraId="1715FD3A" w14:textId="77777777" w:rsidR="00334ECF" w:rsidRPr="005553DF" w:rsidRDefault="00334ECF" w:rsidP="005553DF"/>
          <w:p w14:paraId="41A05869" w14:textId="77777777" w:rsidR="00334ECF" w:rsidRPr="005553DF" w:rsidRDefault="00334ECF" w:rsidP="005553DF"/>
          <w:p w14:paraId="3F6C92C8" w14:textId="77777777" w:rsidR="00334ECF" w:rsidRPr="005553DF" w:rsidRDefault="00334ECF" w:rsidP="005553DF"/>
          <w:p w14:paraId="4347C5F1" w14:textId="77777777" w:rsidR="00334ECF" w:rsidRPr="005553DF" w:rsidRDefault="00334ECF" w:rsidP="005553DF">
            <w:r w:rsidRPr="005553DF">
              <w:t xml:space="preserve">   725/stratum</w:t>
            </w:r>
          </w:p>
          <w:p w14:paraId="33818CBD" w14:textId="77777777" w:rsidR="00334ECF" w:rsidRPr="005553DF" w:rsidRDefault="00334ECF" w:rsidP="005553DF">
            <w:r w:rsidRPr="005553DF">
              <w:t>2,917/stratum</w:t>
            </w:r>
          </w:p>
        </w:tc>
      </w:tr>
      <w:tr w:rsidR="00334ECF" w:rsidRPr="005553DF" w14:paraId="4871A114" w14:textId="77777777" w:rsidTr="00B321E7">
        <w:tc>
          <w:tcPr>
            <w:tcW w:w="1601" w:type="dxa"/>
            <w:tcBorders>
              <w:top w:val="single" w:sz="4" w:space="0" w:color="auto"/>
              <w:bottom w:val="single" w:sz="4" w:space="0" w:color="auto"/>
            </w:tcBorders>
          </w:tcPr>
          <w:p w14:paraId="1ACA750D" w14:textId="77777777" w:rsidR="00334ECF" w:rsidRPr="005553DF" w:rsidRDefault="00334ECF" w:rsidP="005553DF">
            <w:r w:rsidRPr="005553DF">
              <w:t>Liver function</w:t>
            </w:r>
          </w:p>
          <w:p w14:paraId="63F93150" w14:textId="77777777" w:rsidR="00334ECF" w:rsidRPr="005553DF" w:rsidRDefault="00334ECF" w:rsidP="005553DF">
            <w:r w:rsidRPr="005553DF">
              <w:t>ALT (µIU/mL)</w:t>
            </w:r>
          </w:p>
        </w:tc>
        <w:tc>
          <w:tcPr>
            <w:tcW w:w="1939" w:type="dxa"/>
            <w:tcBorders>
              <w:top w:val="single" w:sz="4" w:space="0" w:color="auto"/>
              <w:bottom w:val="single" w:sz="4" w:space="0" w:color="auto"/>
            </w:tcBorders>
          </w:tcPr>
          <w:p w14:paraId="69E5AFBD" w14:textId="77777777" w:rsidR="00334ECF" w:rsidRPr="005553DF" w:rsidRDefault="00334ECF" w:rsidP="005553DF">
            <w:r w:rsidRPr="005553DF">
              <w:t>Gallo 2012, C8</w:t>
            </w:r>
          </w:p>
          <w:p w14:paraId="2B93D228" w14:textId="77777777" w:rsidR="00334ECF" w:rsidRPr="005553DF" w:rsidRDefault="00334ECF" w:rsidP="005553DF">
            <w:r w:rsidRPr="005553DF">
              <w:t>46,452 aged ≥18 yrs</w:t>
            </w:r>
          </w:p>
        </w:tc>
        <w:tc>
          <w:tcPr>
            <w:tcW w:w="2940" w:type="dxa"/>
            <w:tcBorders>
              <w:top w:val="single" w:sz="4" w:space="0" w:color="auto"/>
              <w:bottom w:val="single" w:sz="4" w:space="0" w:color="auto"/>
            </w:tcBorders>
          </w:tcPr>
          <w:p w14:paraId="60F222F8" w14:textId="77777777" w:rsidR="00334ECF" w:rsidRPr="005553DF" w:rsidRDefault="00334ECF" w:rsidP="005553DF">
            <w:r w:rsidRPr="005553DF">
              <w:t>The top quintile of serum PFOS in the Pease population was 15 µg/L. This would approximately correspond to a mean difference in ALT of +1.8 µIU/mL</w:t>
            </w:r>
          </w:p>
        </w:tc>
        <w:tc>
          <w:tcPr>
            <w:tcW w:w="1530" w:type="dxa"/>
            <w:tcBorders>
              <w:top w:val="single" w:sz="4" w:space="0" w:color="auto"/>
              <w:bottom w:val="single" w:sz="4" w:space="0" w:color="auto"/>
            </w:tcBorders>
          </w:tcPr>
          <w:p w14:paraId="44346726" w14:textId="77777777" w:rsidR="00334ECF" w:rsidRPr="005553DF" w:rsidRDefault="00334ECF" w:rsidP="005553DF">
            <w:r w:rsidRPr="005553DF">
              <w:t>SD=1.47</w:t>
            </w:r>
          </w:p>
        </w:tc>
        <w:tc>
          <w:tcPr>
            <w:tcW w:w="1440" w:type="dxa"/>
            <w:tcBorders>
              <w:top w:val="single" w:sz="4" w:space="0" w:color="auto"/>
              <w:bottom w:val="single" w:sz="4" w:space="0" w:color="auto"/>
            </w:tcBorders>
          </w:tcPr>
          <w:p w14:paraId="2965FB97" w14:textId="77777777" w:rsidR="00334ECF" w:rsidRPr="005553DF" w:rsidRDefault="00334ECF" w:rsidP="005553DF">
            <w:r w:rsidRPr="005553DF">
              <w:t>1,958/stratum</w:t>
            </w:r>
          </w:p>
        </w:tc>
      </w:tr>
      <w:tr w:rsidR="00334ECF" w:rsidRPr="005553DF" w14:paraId="5AF4EAC0" w14:textId="77777777" w:rsidTr="00B321E7">
        <w:tc>
          <w:tcPr>
            <w:tcW w:w="1601" w:type="dxa"/>
            <w:tcBorders>
              <w:top w:val="single" w:sz="4" w:space="0" w:color="auto"/>
              <w:bottom w:val="single" w:sz="4" w:space="0" w:color="auto"/>
            </w:tcBorders>
          </w:tcPr>
          <w:p w14:paraId="4A3D5235" w14:textId="77777777" w:rsidR="00334ECF" w:rsidRPr="005553DF" w:rsidRDefault="00334ECF" w:rsidP="005553DF">
            <w:r w:rsidRPr="005553DF">
              <w:t>Liver function</w:t>
            </w:r>
          </w:p>
          <w:p w14:paraId="2D87A235" w14:textId="77777777" w:rsidR="00334ECF" w:rsidRPr="005553DF" w:rsidRDefault="00334ECF" w:rsidP="005553DF">
            <w:r w:rsidRPr="005553DF">
              <w:t>Elevated ALT</w:t>
            </w:r>
          </w:p>
        </w:tc>
        <w:tc>
          <w:tcPr>
            <w:tcW w:w="1939" w:type="dxa"/>
            <w:tcBorders>
              <w:top w:val="single" w:sz="4" w:space="0" w:color="auto"/>
              <w:bottom w:val="single" w:sz="4" w:space="0" w:color="auto"/>
            </w:tcBorders>
          </w:tcPr>
          <w:p w14:paraId="476694C2" w14:textId="77777777" w:rsidR="00334ECF" w:rsidRPr="005553DF" w:rsidRDefault="00334ECF" w:rsidP="005553DF">
            <w:r w:rsidRPr="005553DF">
              <w:t>Gleason 2015, NHANES</w:t>
            </w:r>
          </w:p>
          <w:p w14:paraId="4565B795" w14:textId="77777777" w:rsidR="00334ECF" w:rsidRPr="005553DF" w:rsidRDefault="00334ECF" w:rsidP="005553DF">
            <w:r w:rsidRPr="005553DF">
              <w:t>4,333 aged ≥12 yrs</w:t>
            </w:r>
          </w:p>
        </w:tc>
        <w:tc>
          <w:tcPr>
            <w:tcW w:w="2940" w:type="dxa"/>
            <w:tcBorders>
              <w:top w:val="single" w:sz="4" w:space="0" w:color="auto"/>
              <w:bottom w:val="single" w:sz="4" w:space="0" w:color="auto"/>
            </w:tcBorders>
          </w:tcPr>
          <w:p w14:paraId="6A40B88D" w14:textId="77777777" w:rsidR="00334ECF" w:rsidRPr="005553DF" w:rsidRDefault="00334ECF" w:rsidP="005553DF">
            <w:r w:rsidRPr="005553DF">
              <w:t>PFHxS mean serum level = 1.8 µg/L.</w:t>
            </w:r>
          </w:p>
          <w:p w14:paraId="4FF4E8DD" w14:textId="77777777" w:rsidR="00334ECF" w:rsidRPr="005553DF" w:rsidRDefault="00334ECF" w:rsidP="005553DF">
            <w:r w:rsidRPr="005553DF">
              <w:t>4</w:t>
            </w:r>
            <w:r w:rsidRPr="005553DF">
              <w:rPr>
                <w:vertAlign w:val="superscript"/>
              </w:rPr>
              <w:t>th</w:t>
            </w:r>
            <w:r w:rsidRPr="005553DF">
              <w:t xml:space="preserve"> vs 1</w:t>
            </w:r>
            <w:r w:rsidRPr="005553DF">
              <w:rPr>
                <w:vertAlign w:val="superscript"/>
              </w:rPr>
              <w:t>st</w:t>
            </w:r>
            <w:r w:rsidRPr="005553DF">
              <w:t xml:space="preserve"> quartile: OR=1.37</w:t>
            </w:r>
          </w:p>
        </w:tc>
        <w:tc>
          <w:tcPr>
            <w:tcW w:w="1530" w:type="dxa"/>
            <w:tcBorders>
              <w:top w:val="single" w:sz="4" w:space="0" w:color="auto"/>
              <w:bottom w:val="single" w:sz="4" w:space="0" w:color="auto"/>
            </w:tcBorders>
          </w:tcPr>
          <w:p w14:paraId="019658DB" w14:textId="77777777" w:rsidR="00334ECF" w:rsidRPr="005553DF" w:rsidRDefault="00334ECF" w:rsidP="005553DF">
            <w:r w:rsidRPr="005553DF">
              <w:t>Assumed similar prevalence as in the C8 study</w:t>
            </w:r>
          </w:p>
        </w:tc>
        <w:tc>
          <w:tcPr>
            <w:tcW w:w="1440" w:type="dxa"/>
            <w:tcBorders>
              <w:top w:val="single" w:sz="4" w:space="0" w:color="auto"/>
              <w:bottom w:val="single" w:sz="4" w:space="0" w:color="auto"/>
            </w:tcBorders>
          </w:tcPr>
          <w:p w14:paraId="7FDB729E" w14:textId="77777777" w:rsidR="00334ECF" w:rsidRPr="005553DF" w:rsidRDefault="00334ECF" w:rsidP="005553DF"/>
          <w:p w14:paraId="20C905EC" w14:textId="77777777" w:rsidR="00334ECF" w:rsidRPr="005553DF" w:rsidRDefault="00334ECF" w:rsidP="005553DF">
            <w:r w:rsidRPr="005553DF">
              <w:t>1,570/stratum</w:t>
            </w:r>
          </w:p>
        </w:tc>
      </w:tr>
      <w:tr w:rsidR="00334ECF" w:rsidRPr="005553DF" w14:paraId="3930444A" w14:textId="77777777" w:rsidTr="00B321E7">
        <w:tc>
          <w:tcPr>
            <w:tcW w:w="1601" w:type="dxa"/>
            <w:tcBorders>
              <w:top w:val="single" w:sz="4" w:space="0" w:color="auto"/>
              <w:bottom w:val="single" w:sz="4" w:space="0" w:color="auto"/>
            </w:tcBorders>
          </w:tcPr>
          <w:p w14:paraId="00DEB48D" w14:textId="77777777" w:rsidR="00334ECF" w:rsidRPr="005553DF" w:rsidRDefault="00334ECF" w:rsidP="005553DF"/>
        </w:tc>
        <w:tc>
          <w:tcPr>
            <w:tcW w:w="1939" w:type="dxa"/>
            <w:tcBorders>
              <w:top w:val="single" w:sz="4" w:space="0" w:color="auto"/>
              <w:bottom w:val="single" w:sz="4" w:space="0" w:color="auto"/>
            </w:tcBorders>
          </w:tcPr>
          <w:p w14:paraId="7AC12ECE" w14:textId="77777777" w:rsidR="00334ECF" w:rsidRPr="005553DF" w:rsidRDefault="00334ECF" w:rsidP="005553DF"/>
        </w:tc>
        <w:tc>
          <w:tcPr>
            <w:tcW w:w="2940" w:type="dxa"/>
            <w:tcBorders>
              <w:top w:val="single" w:sz="4" w:space="0" w:color="auto"/>
              <w:bottom w:val="single" w:sz="4" w:space="0" w:color="auto"/>
            </w:tcBorders>
          </w:tcPr>
          <w:p w14:paraId="602D8DC5" w14:textId="77777777" w:rsidR="00334ECF" w:rsidRPr="005553DF" w:rsidRDefault="00334ECF" w:rsidP="005553DF"/>
        </w:tc>
        <w:tc>
          <w:tcPr>
            <w:tcW w:w="1530" w:type="dxa"/>
            <w:tcBorders>
              <w:top w:val="single" w:sz="4" w:space="0" w:color="auto"/>
              <w:bottom w:val="single" w:sz="4" w:space="0" w:color="auto"/>
            </w:tcBorders>
          </w:tcPr>
          <w:p w14:paraId="4EA4AA63" w14:textId="77777777" w:rsidR="00334ECF" w:rsidRPr="005553DF" w:rsidRDefault="00334ECF" w:rsidP="005553DF"/>
        </w:tc>
        <w:tc>
          <w:tcPr>
            <w:tcW w:w="1440" w:type="dxa"/>
            <w:tcBorders>
              <w:top w:val="single" w:sz="4" w:space="0" w:color="auto"/>
              <w:bottom w:val="single" w:sz="4" w:space="0" w:color="auto"/>
            </w:tcBorders>
          </w:tcPr>
          <w:p w14:paraId="1E29806B" w14:textId="77777777" w:rsidR="00334ECF" w:rsidRPr="005553DF" w:rsidRDefault="00334ECF" w:rsidP="005553DF"/>
        </w:tc>
      </w:tr>
      <w:tr w:rsidR="00334ECF" w:rsidRPr="005553DF" w14:paraId="4BD0D290" w14:textId="77777777" w:rsidTr="00B321E7">
        <w:tc>
          <w:tcPr>
            <w:tcW w:w="1601" w:type="dxa"/>
            <w:tcBorders>
              <w:top w:val="single" w:sz="4" w:space="0" w:color="auto"/>
              <w:bottom w:val="single" w:sz="4" w:space="0" w:color="auto"/>
            </w:tcBorders>
          </w:tcPr>
          <w:p w14:paraId="0BB8A64D" w14:textId="77777777" w:rsidR="00334ECF" w:rsidRPr="005553DF" w:rsidRDefault="00334ECF" w:rsidP="005553DF">
            <w:r w:rsidRPr="005553DF">
              <w:t>Thyroid disease</w:t>
            </w:r>
          </w:p>
        </w:tc>
        <w:tc>
          <w:tcPr>
            <w:tcW w:w="1939" w:type="dxa"/>
            <w:tcBorders>
              <w:top w:val="single" w:sz="4" w:space="0" w:color="auto"/>
              <w:bottom w:val="single" w:sz="4" w:space="0" w:color="auto"/>
            </w:tcBorders>
          </w:tcPr>
          <w:p w14:paraId="45D07C2A" w14:textId="77777777" w:rsidR="00334ECF" w:rsidRPr="005553DF" w:rsidRDefault="00334ECF" w:rsidP="005553DF">
            <w:r w:rsidRPr="005553DF">
              <w:t>Melzer 2010, NHANES</w:t>
            </w:r>
          </w:p>
          <w:p w14:paraId="6A3826D4" w14:textId="77777777" w:rsidR="00334ECF" w:rsidRPr="005553DF" w:rsidRDefault="00334ECF" w:rsidP="005553DF">
            <w:r w:rsidRPr="005553DF">
              <w:t>1,900 men, aged ≥20 yrs</w:t>
            </w:r>
          </w:p>
          <w:p w14:paraId="07368F7A" w14:textId="77777777" w:rsidR="00334ECF" w:rsidRPr="005553DF" w:rsidRDefault="00334ECF" w:rsidP="005553DF">
            <w:r w:rsidRPr="005553DF">
              <w:t>2,066 women, aged ≥20 yrs</w:t>
            </w:r>
          </w:p>
        </w:tc>
        <w:tc>
          <w:tcPr>
            <w:tcW w:w="2940" w:type="dxa"/>
            <w:tcBorders>
              <w:top w:val="single" w:sz="4" w:space="0" w:color="auto"/>
              <w:bottom w:val="single" w:sz="4" w:space="0" w:color="auto"/>
            </w:tcBorders>
          </w:tcPr>
          <w:p w14:paraId="532AE37B" w14:textId="77777777" w:rsidR="00334ECF" w:rsidRPr="005553DF" w:rsidRDefault="00334ECF" w:rsidP="005553DF">
            <w:r w:rsidRPr="005553DF">
              <w:t>PFOA, mean serum level=3.5 µg/L, 4</w:t>
            </w:r>
            <w:r w:rsidRPr="005553DF">
              <w:rPr>
                <w:vertAlign w:val="superscript"/>
              </w:rPr>
              <w:t>th</w:t>
            </w:r>
            <w:r w:rsidRPr="005553DF">
              <w:t xml:space="preserve"> vs 1</w:t>
            </w:r>
            <w:r w:rsidRPr="005553DF">
              <w:rPr>
                <w:vertAlign w:val="superscript"/>
              </w:rPr>
              <w:t>st</w:t>
            </w:r>
            <w:r w:rsidRPr="005553DF">
              <w:t xml:space="preserve"> quartile:</w:t>
            </w:r>
          </w:p>
          <w:p w14:paraId="2F65CD50" w14:textId="77777777" w:rsidR="00334ECF" w:rsidRPr="005553DF" w:rsidRDefault="00334ECF" w:rsidP="005553DF">
            <w:r w:rsidRPr="005553DF">
              <w:t>Thyroid disease ever:</w:t>
            </w:r>
          </w:p>
          <w:p w14:paraId="6F82318E" w14:textId="77777777" w:rsidR="00334ECF" w:rsidRPr="005553DF" w:rsidRDefault="00334ECF" w:rsidP="005553DF">
            <w:r w:rsidRPr="005553DF">
              <w:t>Women, OR=1.64</w:t>
            </w:r>
          </w:p>
          <w:p w14:paraId="70B3F6F7" w14:textId="77777777" w:rsidR="00334ECF" w:rsidRPr="005553DF" w:rsidRDefault="00334ECF" w:rsidP="005553DF">
            <w:r w:rsidRPr="005553DF">
              <w:t>Men, OR=1.58</w:t>
            </w:r>
          </w:p>
          <w:p w14:paraId="43164E9A" w14:textId="77777777" w:rsidR="00334ECF" w:rsidRPr="005553DF" w:rsidRDefault="00334ECF" w:rsidP="005553DF">
            <w:r w:rsidRPr="005553DF">
              <w:t>Thyroid disease with current meds</w:t>
            </w:r>
          </w:p>
          <w:p w14:paraId="49D240F0" w14:textId="77777777" w:rsidR="00334ECF" w:rsidRPr="005553DF" w:rsidRDefault="00334ECF" w:rsidP="005553DF">
            <w:r w:rsidRPr="005553DF">
              <w:t>Women, OR=1.86</w:t>
            </w:r>
          </w:p>
          <w:p w14:paraId="22120C9C" w14:textId="77777777" w:rsidR="00334ECF" w:rsidRPr="005553DF" w:rsidRDefault="00334ECF" w:rsidP="005553DF">
            <w:r w:rsidRPr="005553DF">
              <w:t>Men, OR=1.89</w:t>
            </w:r>
          </w:p>
        </w:tc>
        <w:tc>
          <w:tcPr>
            <w:tcW w:w="1530" w:type="dxa"/>
            <w:tcBorders>
              <w:top w:val="single" w:sz="4" w:space="0" w:color="auto"/>
              <w:bottom w:val="single" w:sz="4" w:space="0" w:color="auto"/>
            </w:tcBorders>
          </w:tcPr>
          <w:p w14:paraId="297A72D9" w14:textId="77777777" w:rsidR="00334ECF" w:rsidRPr="005553DF" w:rsidRDefault="00334ECF" w:rsidP="005553DF"/>
          <w:p w14:paraId="5994AED2" w14:textId="77777777" w:rsidR="00334ECF" w:rsidRPr="005553DF" w:rsidRDefault="00334ECF" w:rsidP="005553DF"/>
          <w:p w14:paraId="38038CC6" w14:textId="77777777" w:rsidR="00334ECF" w:rsidRPr="005553DF" w:rsidRDefault="00334ECF" w:rsidP="005553DF">
            <w:r w:rsidRPr="005553DF">
              <w:t>Prevalences:</w:t>
            </w:r>
          </w:p>
          <w:p w14:paraId="7B3C63A3" w14:textId="77777777" w:rsidR="00334ECF" w:rsidRPr="005553DF" w:rsidRDefault="00334ECF" w:rsidP="005553DF">
            <w:r w:rsidRPr="005553DF">
              <w:t>16.18%</w:t>
            </w:r>
          </w:p>
          <w:p w14:paraId="56C77101" w14:textId="77777777" w:rsidR="00334ECF" w:rsidRPr="005553DF" w:rsidRDefault="00334ECF" w:rsidP="005553DF">
            <w:r w:rsidRPr="005553DF">
              <w:t xml:space="preserve">  3.06%</w:t>
            </w:r>
          </w:p>
          <w:p w14:paraId="3C4718E4" w14:textId="77777777" w:rsidR="00334ECF" w:rsidRPr="005553DF" w:rsidRDefault="00334ECF" w:rsidP="005553DF"/>
          <w:p w14:paraId="0E92C164" w14:textId="77777777" w:rsidR="00E46654" w:rsidRPr="005553DF" w:rsidRDefault="00334ECF" w:rsidP="005553DF">
            <w:r w:rsidRPr="005553DF">
              <w:t xml:space="preserve">  </w:t>
            </w:r>
          </w:p>
          <w:p w14:paraId="2F11D5A6" w14:textId="77777777" w:rsidR="00334ECF" w:rsidRPr="005553DF" w:rsidRDefault="00E46654" w:rsidP="005553DF">
            <w:r w:rsidRPr="005553DF">
              <w:t xml:space="preserve">  </w:t>
            </w:r>
            <w:r w:rsidR="00334ECF" w:rsidRPr="005553DF">
              <w:t>9.89%</w:t>
            </w:r>
          </w:p>
          <w:p w14:paraId="5A3DFD3F" w14:textId="77777777" w:rsidR="00334ECF" w:rsidRPr="005553DF" w:rsidRDefault="00334ECF" w:rsidP="005553DF">
            <w:r w:rsidRPr="005553DF">
              <w:t xml:space="preserve">  1.88%</w:t>
            </w:r>
          </w:p>
        </w:tc>
        <w:tc>
          <w:tcPr>
            <w:tcW w:w="1440" w:type="dxa"/>
            <w:tcBorders>
              <w:top w:val="single" w:sz="4" w:space="0" w:color="auto"/>
              <w:bottom w:val="single" w:sz="4" w:space="0" w:color="auto"/>
            </w:tcBorders>
          </w:tcPr>
          <w:p w14:paraId="17293FB8" w14:textId="77777777" w:rsidR="00334ECF" w:rsidRPr="005553DF" w:rsidRDefault="00334ECF" w:rsidP="005553DF"/>
          <w:p w14:paraId="247E238D" w14:textId="77777777" w:rsidR="00334ECF" w:rsidRPr="005553DF" w:rsidRDefault="00334ECF" w:rsidP="005553DF"/>
          <w:p w14:paraId="1626AA6C" w14:textId="77777777" w:rsidR="00334ECF" w:rsidRPr="005553DF" w:rsidRDefault="00334ECF" w:rsidP="005553DF"/>
          <w:p w14:paraId="6464AEAC" w14:textId="77777777" w:rsidR="00334ECF" w:rsidRPr="005553DF" w:rsidRDefault="00334ECF" w:rsidP="005553DF">
            <w:r w:rsidRPr="005553DF">
              <w:t>410/stratum</w:t>
            </w:r>
          </w:p>
          <w:p w14:paraId="058DFA98" w14:textId="77777777" w:rsidR="00334ECF" w:rsidRPr="005553DF" w:rsidRDefault="00334ECF" w:rsidP="005553DF">
            <w:r w:rsidRPr="005553DF">
              <w:t>2,035/stratum</w:t>
            </w:r>
          </w:p>
          <w:p w14:paraId="32D3413B" w14:textId="77777777" w:rsidR="00334ECF" w:rsidRPr="005553DF" w:rsidRDefault="00334ECF" w:rsidP="005553DF"/>
          <w:p w14:paraId="6D7A4E1F" w14:textId="77777777" w:rsidR="00E46654" w:rsidRPr="005553DF" w:rsidRDefault="00E46654" w:rsidP="005553DF"/>
          <w:p w14:paraId="0813E55D" w14:textId="77777777" w:rsidR="00334ECF" w:rsidRPr="005553DF" w:rsidRDefault="00334ECF" w:rsidP="005553DF">
            <w:r w:rsidRPr="005553DF">
              <w:t>365/stratum</w:t>
            </w:r>
          </w:p>
          <w:p w14:paraId="7E52DC0D" w14:textId="77777777" w:rsidR="00334ECF" w:rsidRPr="005553DF" w:rsidRDefault="00334ECF" w:rsidP="005553DF">
            <w:r w:rsidRPr="005553DF">
              <w:t>1,575/stratum</w:t>
            </w:r>
          </w:p>
        </w:tc>
      </w:tr>
      <w:tr w:rsidR="00334ECF" w:rsidRPr="005553DF" w14:paraId="45B63EEF" w14:textId="77777777" w:rsidTr="00B321E7">
        <w:tc>
          <w:tcPr>
            <w:tcW w:w="1601" w:type="dxa"/>
            <w:tcBorders>
              <w:top w:val="single" w:sz="4" w:space="0" w:color="auto"/>
              <w:bottom w:val="single" w:sz="4" w:space="0" w:color="auto"/>
            </w:tcBorders>
          </w:tcPr>
          <w:p w14:paraId="252AB143" w14:textId="77777777" w:rsidR="00334ECF" w:rsidRPr="005553DF" w:rsidRDefault="00334ECF" w:rsidP="005553DF">
            <w:r w:rsidRPr="005553DF">
              <w:t>Subclinical hypothyroidism</w:t>
            </w:r>
          </w:p>
          <w:p w14:paraId="71DF0DBC" w14:textId="77777777" w:rsidR="00334ECF" w:rsidRPr="005553DF" w:rsidRDefault="00334ECF" w:rsidP="005553DF"/>
        </w:tc>
        <w:tc>
          <w:tcPr>
            <w:tcW w:w="1939" w:type="dxa"/>
            <w:tcBorders>
              <w:top w:val="single" w:sz="4" w:space="0" w:color="auto"/>
              <w:bottom w:val="single" w:sz="4" w:space="0" w:color="auto"/>
            </w:tcBorders>
          </w:tcPr>
          <w:p w14:paraId="151EE08F" w14:textId="77777777" w:rsidR="00334ECF" w:rsidRPr="005553DF" w:rsidRDefault="00334ECF" w:rsidP="005553DF">
            <w:r w:rsidRPr="005553DF">
              <w:t>Wen 2013, NHANES</w:t>
            </w:r>
          </w:p>
          <w:p w14:paraId="5C9979C8" w14:textId="77777777" w:rsidR="00334ECF" w:rsidRPr="005553DF" w:rsidRDefault="00334ECF" w:rsidP="005553DF">
            <w:r w:rsidRPr="005553DF">
              <w:t>672 males aged ≥20 yrs</w:t>
            </w:r>
          </w:p>
          <w:p w14:paraId="06E1D177" w14:textId="77777777" w:rsidR="00334ECF" w:rsidRPr="005553DF" w:rsidRDefault="00334ECF" w:rsidP="005553DF">
            <w:r w:rsidRPr="005553DF">
              <w:t>509 females aged ≥20 yrs</w:t>
            </w:r>
          </w:p>
        </w:tc>
        <w:tc>
          <w:tcPr>
            <w:tcW w:w="2940" w:type="dxa"/>
            <w:tcBorders>
              <w:top w:val="single" w:sz="4" w:space="0" w:color="auto"/>
              <w:bottom w:val="single" w:sz="4" w:space="0" w:color="auto"/>
            </w:tcBorders>
          </w:tcPr>
          <w:p w14:paraId="202D739C" w14:textId="77777777" w:rsidR="00334ECF" w:rsidRPr="005553DF" w:rsidRDefault="00334ECF" w:rsidP="005553DF">
            <w:r w:rsidRPr="005553DF">
              <w:t>PFHxS mean serum level averaged about 2 µg/L. Unit increase in Ln(PFHxS):</w:t>
            </w:r>
          </w:p>
          <w:p w14:paraId="0AB8F60D" w14:textId="77777777" w:rsidR="00334ECF" w:rsidRPr="005553DF" w:rsidRDefault="00334ECF" w:rsidP="005553DF">
            <w:r w:rsidRPr="005553DF">
              <w:t>Women, OR=3.10</w:t>
            </w:r>
          </w:p>
          <w:p w14:paraId="74C4040C" w14:textId="77777777" w:rsidR="00334ECF" w:rsidRPr="005553DF" w:rsidRDefault="00334ECF" w:rsidP="005553DF">
            <w:r w:rsidRPr="005553DF">
              <w:t>Men, OR=1.57</w:t>
            </w:r>
          </w:p>
        </w:tc>
        <w:tc>
          <w:tcPr>
            <w:tcW w:w="1530" w:type="dxa"/>
            <w:tcBorders>
              <w:top w:val="single" w:sz="4" w:space="0" w:color="auto"/>
              <w:bottom w:val="single" w:sz="4" w:space="0" w:color="auto"/>
            </w:tcBorders>
          </w:tcPr>
          <w:p w14:paraId="1EDC2A76" w14:textId="77777777" w:rsidR="00334ECF" w:rsidRPr="005553DF" w:rsidRDefault="00334ECF" w:rsidP="005553DF"/>
          <w:p w14:paraId="7F55AC22" w14:textId="77777777" w:rsidR="00334ECF" w:rsidRPr="005553DF" w:rsidRDefault="00334ECF" w:rsidP="005553DF"/>
          <w:p w14:paraId="14B98832" w14:textId="77777777" w:rsidR="00334ECF" w:rsidRPr="005553DF" w:rsidRDefault="00334ECF" w:rsidP="005553DF">
            <w:r w:rsidRPr="005553DF">
              <w:t>Prevalences:</w:t>
            </w:r>
          </w:p>
          <w:p w14:paraId="2CAA92BF" w14:textId="77777777" w:rsidR="00334ECF" w:rsidRPr="005553DF" w:rsidRDefault="00334ECF" w:rsidP="005553DF">
            <w:r w:rsidRPr="005553DF">
              <w:t>1.6%</w:t>
            </w:r>
          </w:p>
          <w:p w14:paraId="26CC8626" w14:textId="77777777" w:rsidR="00334ECF" w:rsidRPr="005553DF" w:rsidRDefault="00334ECF" w:rsidP="005553DF">
            <w:r w:rsidRPr="005553DF">
              <w:t>2.2%</w:t>
            </w:r>
          </w:p>
        </w:tc>
        <w:tc>
          <w:tcPr>
            <w:tcW w:w="1440" w:type="dxa"/>
            <w:tcBorders>
              <w:top w:val="single" w:sz="4" w:space="0" w:color="auto"/>
              <w:bottom w:val="single" w:sz="4" w:space="0" w:color="auto"/>
            </w:tcBorders>
          </w:tcPr>
          <w:p w14:paraId="0F4334B4" w14:textId="77777777" w:rsidR="00334ECF" w:rsidRPr="005553DF" w:rsidRDefault="00334ECF" w:rsidP="005553DF"/>
          <w:p w14:paraId="20498927" w14:textId="77777777" w:rsidR="00334ECF" w:rsidRPr="005553DF" w:rsidRDefault="00334ECF" w:rsidP="005553DF"/>
          <w:p w14:paraId="401F53A4" w14:textId="77777777" w:rsidR="00334ECF" w:rsidRPr="005553DF" w:rsidRDefault="00334ECF" w:rsidP="005553DF"/>
          <w:p w14:paraId="0CD89672" w14:textId="77777777" w:rsidR="00334ECF" w:rsidRPr="005553DF" w:rsidRDefault="00334ECF" w:rsidP="005553DF">
            <w:r w:rsidRPr="005553DF">
              <w:t>475/stratum</w:t>
            </w:r>
          </w:p>
          <w:p w14:paraId="6C103B0C" w14:textId="77777777" w:rsidR="00334ECF" w:rsidRPr="005553DF" w:rsidRDefault="00334ECF" w:rsidP="005553DF">
            <w:r w:rsidRPr="005553DF">
              <w:t>2,918/stratum</w:t>
            </w:r>
          </w:p>
        </w:tc>
      </w:tr>
      <w:tr w:rsidR="00334ECF" w:rsidRPr="005553DF" w14:paraId="66180067" w14:textId="77777777" w:rsidTr="00B321E7">
        <w:tc>
          <w:tcPr>
            <w:tcW w:w="1601" w:type="dxa"/>
            <w:tcBorders>
              <w:top w:val="single" w:sz="4" w:space="0" w:color="auto"/>
              <w:bottom w:val="single" w:sz="4" w:space="0" w:color="auto"/>
            </w:tcBorders>
          </w:tcPr>
          <w:p w14:paraId="7B992F29" w14:textId="77777777" w:rsidR="00334ECF" w:rsidRPr="005553DF" w:rsidRDefault="00334ECF" w:rsidP="005553DF"/>
        </w:tc>
        <w:tc>
          <w:tcPr>
            <w:tcW w:w="1939" w:type="dxa"/>
            <w:tcBorders>
              <w:top w:val="single" w:sz="4" w:space="0" w:color="auto"/>
              <w:bottom w:val="single" w:sz="4" w:space="0" w:color="auto"/>
            </w:tcBorders>
          </w:tcPr>
          <w:p w14:paraId="3EB33E04" w14:textId="77777777" w:rsidR="00334ECF" w:rsidRPr="005553DF" w:rsidRDefault="00334ECF" w:rsidP="005553DF"/>
        </w:tc>
        <w:tc>
          <w:tcPr>
            <w:tcW w:w="2940" w:type="dxa"/>
            <w:tcBorders>
              <w:top w:val="single" w:sz="4" w:space="0" w:color="auto"/>
              <w:bottom w:val="single" w:sz="4" w:space="0" w:color="auto"/>
            </w:tcBorders>
          </w:tcPr>
          <w:p w14:paraId="7D5EFEAF" w14:textId="77777777" w:rsidR="00334ECF" w:rsidRPr="005553DF" w:rsidRDefault="00334ECF" w:rsidP="005553DF"/>
        </w:tc>
        <w:tc>
          <w:tcPr>
            <w:tcW w:w="1530" w:type="dxa"/>
            <w:tcBorders>
              <w:top w:val="single" w:sz="4" w:space="0" w:color="auto"/>
              <w:bottom w:val="single" w:sz="4" w:space="0" w:color="auto"/>
            </w:tcBorders>
          </w:tcPr>
          <w:p w14:paraId="405D7A9B" w14:textId="77777777" w:rsidR="00334ECF" w:rsidRPr="005553DF" w:rsidRDefault="00334ECF" w:rsidP="005553DF"/>
        </w:tc>
        <w:tc>
          <w:tcPr>
            <w:tcW w:w="1440" w:type="dxa"/>
            <w:tcBorders>
              <w:top w:val="single" w:sz="4" w:space="0" w:color="auto"/>
              <w:bottom w:val="single" w:sz="4" w:space="0" w:color="auto"/>
            </w:tcBorders>
          </w:tcPr>
          <w:p w14:paraId="5D357009" w14:textId="77777777" w:rsidR="00334ECF" w:rsidRPr="005553DF" w:rsidRDefault="00334ECF" w:rsidP="005553DF"/>
        </w:tc>
      </w:tr>
      <w:tr w:rsidR="00334ECF" w:rsidRPr="005553DF" w14:paraId="47EC8FA3" w14:textId="77777777" w:rsidTr="00B321E7">
        <w:tc>
          <w:tcPr>
            <w:tcW w:w="1601" w:type="dxa"/>
            <w:tcBorders>
              <w:top w:val="single" w:sz="4" w:space="0" w:color="auto"/>
              <w:bottom w:val="single" w:sz="4" w:space="0" w:color="auto"/>
            </w:tcBorders>
          </w:tcPr>
          <w:p w14:paraId="41D46847" w14:textId="77777777" w:rsidR="00334ECF" w:rsidRPr="005553DF" w:rsidRDefault="00334ECF" w:rsidP="005553DF">
            <w:r w:rsidRPr="005553DF">
              <w:t>Osteoarthritis</w:t>
            </w:r>
          </w:p>
        </w:tc>
        <w:tc>
          <w:tcPr>
            <w:tcW w:w="1939" w:type="dxa"/>
            <w:tcBorders>
              <w:top w:val="single" w:sz="4" w:space="0" w:color="auto"/>
              <w:bottom w:val="single" w:sz="4" w:space="0" w:color="auto"/>
            </w:tcBorders>
          </w:tcPr>
          <w:p w14:paraId="0CB1451C" w14:textId="77777777" w:rsidR="00334ECF" w:rsidRPr="005553DF" w:rsidRDefault="00334ECF" w:rsidP="005553DF">
            <w:r w:rsidRPr="005553DF">
              <w:t>Innes 2011, C8</w:t>
            </w:r>
          </w:p>
          <w:p w14:paraId="07B50A6F" w14:textId="77777777" w:rsidR="00334ECF" w:rsidRPr="005553DF" w:rsidRDefault="00334ECF" w:rsidP="005553DF">
            <w:r w:rsidRPr="005553DF">
              <w:t>49,432 aged &gt;20 yrs</w:t>
            </w:r>
          </w:p>
        </w:tc>
        <w:tc>
          <w:tcPr>
            <w:tcW w:w="2940" w:type="dxa"/>
            <w:tcBorders>
              <w:top w:val="single" w:sz="4" w:space="0" w:color="auto"/>
              <w:bottom w:val="single" w:sz="4" w:space="0" w:color="auto"/>
            </w:tcBorders>
          </w:tcPr>
          <w:p w14:paraId="475DEDD6" w14:textId="77777777" w:rsidR="00334ECF" w:rsidRPr="005553DF" w:rsidRDefault="00334ECF" w:rsidP="005553DF">
            <w:r w:rsidRPr="005553DF">
              <w:t>OR=1.42</w:t>
            </w:r>
          </w:p>
        </w:tc>
        <w:tc>
          <w:tcPr>
            <w:tcW w:w="1530" w:type="dxa"/>
            <w:tcBorders>
              <w:top w:val="single" w:sz="4" w:space="0" w:color="auto"/>
              <w:bottom w:val="single" w:sz="4" w:space="0" w:color="auto"/>
            </w:tcBorders>
          </w:tcPr>
          <w:p w14:paraId="7979F657" w14:textId="77777777" w:rsidR="00334ECF" w:rsidRPr="005553DF" w:rsidRDefault="00334ECF" w:rsidP="005553DF">
            <w:r w:rsidRPr="005553DF">
              <w:t>Prevalence=7.6%</w:t>
            </w:r>
          </w:p>
        </w:tc>
        <w:tc>
          <w:tcPr>
            <w:tcW w:w="1440" w:type="dxa"/>
            <w:tcBorders>
              <w:top w:val="single" w:sz="4" w:space="0" w:color="auto"/>
              <w:bottom w:val="single" w:sz="4" w:space="0" w:color="auto"/>
            </w:tcBorders>
          </w:tcPr>
          <w:p w14:paraId="56EC725F" w14:textId="77777777" w:rsidR="00334ECF" w:rsidRPr="005553DF" w:rsidRDefault="00334ECF" w:rsidP="005553DF">
            <w:r w:rsidRPr="005553DF">
              <w:t>1,580/stratum</w:t>
            </w:r>
          </w:p>
        </w:tc>
      </w:tr>
      <w:tr w:rsidR="00334ECF" w:rsidRPr="005553DF" w14:paraId="5ED95F48" w14:textId="77777777" w:rsidTr="00B321E7">
        <w:tc>
          <w:tcPr>
            <w:tcW w:w="1601" w:type="dxa"/>
            <w:tcBorders>
              <w:top w:val="single" w:sz="4" w:space="0" w:color="auto"/>
              <w:bottom w:val="single" w:sz="4" w:space="0" w:color="auto"/>
            </w:tcBorders>
          </w:tcPr>
          <w:p w14:paraId="594F33FC" w14:textId="77777777" w:rsidR="00334ECF" w:rsidRPr="005553DF" w:rsidRDefault="00334ECF" w:rsidP="005553DF">
            <w:r w:rsidRPr="005553DF">
              <w:t>Osteoarthritis</w:t>
            </w:r>
          </w:p>
        </w:tc>
        <w:tc>
          <w:tcPr>
            <w:tcW w:w="1939" w:type="dxa"/>
            <w:tcBorders>
              <w:top w:val="single" w:sz="4" w:space="0" w:color="auto"/>
              <w:bottom w:val="single" w:sz="4" w:space="0" w:color="auto"/>
            </w:tcBorders>
          </w:tcPr>
          <w:p w14:paraId="4E8A273C" w14:textId="77777777" w:rsidR="00334ECF" w:rsidRPr="005553DF" w:rsidRDefault="00334ECF" w:rsidP="005553DF">
            <w:r w:rsidRPr="005553DF">
              <w:t>Uhl 2013, NHANES</w:t>
            </w:r>
          </w:p>
          <w:p w14:paraId="250FF6B9" w14:textId="77777777" w:rsidR="00334ECF" w:rsidRPr="005553DF" w:rsidRDefault="00334ECF" w:rsidP="005553DF">
            <w:r w:rsidRPr="005553DF">
              <w:t>4,102 aged 20-84</w:t>
            </w:r>
          </w:p>
        </w:tc>
        <w:tc>
          <w:tcPr>
            <w:tcW w:w="2940" w:type="dxa"/>
            <w:tcBorders>
              <w:top w:val="single" w:sz="4" w:space="0" w:color="auto"/>
              <w:bottom w:val="single" w:sz="4" w:space="0" w:color="auto"/>
            </w:tcBorders>
          </w:tcPr>
          <w:p w14:paraId="7078ED72" w14:textId="77777777" w:rsidR="00334ECF" w:rsidRPr="005553DF" w:rsidRDefault="00334ECF" w:rsidP="005553DF">
            <w:r w:rsidRPr="005553DF">
              <w:t>PFOA mean serum level = 5.4 µg/L , 4</w:t>
            </w:r>
            <w:r w:rsidRPr="005553DF">
              <w:rPr>
                <w:vertAlign w:val="superscript"/>
              </w:rPr>
              <w:t>th</w:t>
            </w:r>
            <w:r w:rsidRPr="005553DF">
              <w:t xml:space="preserve"> vs 1</w:t>
            </w:r>
            <w:r w:rsidRPr="005553DF">
              <w:rPr>
                <w:vertAlign w:val="superscript"/>
              </w:rPr>
              <w:t>st</w:t>
            </w:r>
            <w:r w:rsidRPr="005553DF">
              <w:t xml:space="preserve"> quartile: OR=1.55</w:t>
            </w:r>
          </w:p>
          <w:p w14:paraId="6A3A313D" w14:textId="77777777" w:rsidR="00334ECF" w:rsidRPr="005553DF" w:rsidRDefault="00334ECF" w:rsidP="005553DF"/>
          <w:p w14:paraId="557FD0B1" w14:textId="77777777" w:rsidR="00334ECF" w:rsidRPr="005553DF" w:rsidRDefault="00334ECF" w:rsidP="005553DF">
            <w:r w:rsidRPr="005553DF">
              <w:t>PFOS mean serum level = 24.6 µg/L, 4</w:t>
            </w:r>
            <w:r w:rsidRPr="005553DF">
              <w:rPr>
                <w:vertAlign w:val="superscript"/>
              </w:rPr>
              <w:t>th</w:t>
            </w:r>
            <w:r w:rsidRPr="005553DF">
              <w:t xml:space="preserve"> vs 1</w:t>
            </w:r>
            <w:r w:rsidRPr="005553DF">
              <w:rPr>
                <w:vertAlign w:val="superscript"/>
              </w:rPr>
              <w:t>st</w:t>
            </w:r>
            <w:r w:rsidRPr="005553DF">
              <w:t xml:space="preserve"> quartile: OR=1.77</w:t>
            </w:r>
          </w:p>
        </w:tc>
        <w:tc>
          <w:tcPr>
            <w:tcW w:w="1530" w:type="dxa"/>
            <w:tcBorders>
              <w:top w:val="single" w:sz="4" w:space="0" w:color="auto"/>
              <w:bottom w:val="single" w:sz="4" w:space="0" w:color="auto"/>
            </w:tcBorders>
          </w:tcPr>
          <w:p w14:paraId="237606D8" w14:textId="77777777" w:rsidR="00334ECF" w:rsidRPr="005553DF" w:rsidRDefault="00334ECF" w:rsidP="005553DF">
            <w:r w:rsidRPr="005553DF">
              <w:t>Assumed similar prevalence as in the C8 study</w:t>
            </w:r>
          </w:p>
        </w:tc>
        <w:tc>
          <w:tcPr>
            <w:tcW w:w="1440" w:type="dxa"/>
            <w:tcBorders>
              <w:top w:val="single" w:sz="4" w:space="0" w:color="auto"/>
              <w:bottom w:val="single" w:sz="4" w:space="0" w:color="auto"/>
            </w:tcBorders>
          </w:tcPr>
          <w:p w14:paraId="01F15F91" w14:textId="77777777" w:rsidR="00334ECF" w:rsidRPr="005553DF" w:rsidRDefault="00334ECF" w:rsidP="005553DF">
            <w:r w:rsidRPr="005553DF">
              <w:t>978/stratum</w:t>
            </w:r>
          </w:p>
          <w:p w14:paraId="23EC0203" w14:textId="77777777" w:rsidR="00334ECF" w:rsidRPr="005553DF" w:rsidRDefault="00334ECF" w:rsidP="005553DF"/>
          <w:p w14:paraId="3015F9BF" w14:textId="77777777" w:rsidR="00334ECF" w:rsidRPr="005553DF" w:rsidRDefault="00334ECF" w:rsidP="005553DF"/>
          <w:p w14:paraId="561AD7E5" w14:textId="77777777" w:rsidR="00334ECF" w:rsidRPr="005553DF" w:rsidRDefault="00334ECF" w:rsidP="005553DF">
            <w:r w:rsidRPr="005553DF">
              <w:t>550/stratum</w:t>
            </w:r>
          </w:p>
        </w:tc>
      </w:tr>
      <w:tr w:rsidR="00334ECF" w:rsidRPr="005553DF" w14:paraId="406A5314" w14:textId="77777777" w:rsidTr="00B321E7">
        <w:tc>
          <w:tcPr>
            <w:tcW w:w="1601" w:type="dxa"/>
            <w:tcBorders>
              <w:top w:val="single" w:sz="4" w:space="0" w:color="auto"/>
              <w:bottom w:val="single" w:sz="4" w:space="0" w:color="auto"/>
            </w:tcBorders>
          </w:tcPr>
          <w:p w14:paraId="542926FF" w14:textId="77777777" w:rsidR="00334ECF" w:rsidRPr="005553DF" w:rsidRDefault="00334ECF" w:rsidP="005553DF"/>
        </w:tc>
        <w:tc>
          <w:tcPr>
            <w:tcW w:w="1939" w:type="dxa"/>
            <w:tcBorders>
              <w:top w:val="single" w:sz="4" w:space="0" w:color="auto"/>
              <w:bottom w:val="single" w:sz="4" w:space="0" w:color="auto"/>
            </w:tcBorders>
          </w:tcPr>
          <w:p w14:paraId="49C9D64F" w14:textId="77777777" w:rsidR="00334ECF" w:rsidRPr="005553DF" w:rsidRDefault="00334ECF" w:rsidP="005553DF"/>
        </w:tc>
        <w:tc>
          <w:tcPr>
            <w:tcW w:w="2940" w:type="dxa"/>
            <w:tcBorders>
              <w:top w:val="single" w:sz="4" w:space="0" w:color="auto"/>
              <w:bottom w:val="single" w:sz="4" w:space="0" w:color="auto"/>
            </w:tcBorders>
          </w:tcPr>
          <w:p w14:paraId="5F2F6E16" w14:textId="77777777" w:rsidR="00334ECF" w:rsidRPr="005553DF" w:rsidRDefault="00334ECF" w:rsidP="005553DF"/>
        </w:tc>
        <w:tc>
          <w:tcPr>
            <w:tcW w:w="1530" w:type="dxa"/>
            <w:tcBorders>
              <w:top w:val="single" w:sz="4" w:space="0" w:color="auto"/>
              <w:bottom w:val="single" w:sz="4" w:space="0" w:color="auto"/>
            </w:tcBorders>
          </w:tcPr>
          <w:p w14:paraId="399F3695" w14:textId="77777777" w:rsidR="00334ECF" w:rsidRPr="005553DF" w:rsidRDefault="00334ECF" w:rsidP="005553DF"/>
        </w:tc>
        <w:tc>
          <w:tcPr>
            <w:tcW w:w="1440" w:type="dxa"/>
            <w:tcBorders>
              <w:top w:val="single" w:sz="4" w:space="0" w:color="auto"/>
              <w:bottom w:val="single" w:sz="4" w:space="0" w:color="auto"/>
            </w:tcBorders>
          </w:tcPr>
          <w:p w14:paraId="2BFDBDE2" w14:textId="77777777" w:rsidR="00334ECF" w:rsidRPr="005553DF" w:rsidRDefault="00334ECF" w:rsidP="005553DF"/>
        </w:tc>
      </w:tr>
      <w:tr w:rsidR="00334ECF" w:rsidRPr="005553DF" w14:paraId="49C08967" w14:textId="77777777" w:rsidTr="00B321E7">
        <w:tc>
          <w:tcPr>
            <w:tcW w:w="1601" w:type="dxa"/>
            <w:tcBorders>
              <w:top w:val="single" w:sz="4" w:space="0" w:color="auto"/>
            </w:tcBorders>
          </w:tcPr>
          <w:p w14:paraId="4A020726" w14:textId="77777777" w:rsidR="00334ECF" w:rsidRPr="005553DF" w:rsidRDefault="00334ECF" w:rsidP="005553DF">
            <w:r w:rsidRPr="005553DF">
              <w:t>Ulcerative colitis</w:t>
            </w:r>
          </w:p>
        </w:tc>
        <w:tc>
          <w:tcPr>
            <w:tcW w:w="1939" w:type="dxa"/>
            <w:tcBorders>
              <w:top w:val="single" w:sz="4" w:space="0" w:color="auto"/>
            </w:tcBorders>
          </w:tcPr>
          <w:p w14:paraId="4AD91153" w14:textId="77777777" w:rsidR="00334ECF" w:rsidRPr="005553DF" w:rsidRDefault="00334ECF" w:rsidP="005553DF">
            <w:r w:rsidRPr="005553DF">
              <w:t>Steenland 2013, C8</w:t>
            </w:r>
          </w:p>
          <w:p w14:paraId="047A72CD" w14:textId="77777777" w:rsidR="00334ECF" w:rsidRPr="005553DF" w:rsidRDefault="00334ECF" w:rsidP="005553DF">
            <w:r w:rsidRPr="005553DF">
              <w:t>28,541 community and 3,713 worker cohorts</w:t>
            </w:r>
          </w:p>
        </w:tc>
        <w:tc>
          <w:tcPr>
            <w:tcW w:w="2940" w:type="dxa"/>
            <w:tcBorders>
              <w:top w:val="single" w:sz="4" w:space="0" w:color="auto"/>
            </w:tcBorders>
          </w:tcPr>
          <w:p w14:paraId="6892C72F" w14:textId="77777777" w:rsidR="00334ECF" w:rsidRPr="005553DF" w:rsidRDefault="00334ECF" w:rsidP="005553DF">
            <w:r w:rsidRPr="005553DF">
              <w:t>OR=3.05</w:t>
            </w:r>
          </w:p>
        </w:tc>
        <w:tc>
          <w:tcPr>
            <w:tcW w:w="1530" w:type="dxa"/>
            <w:tcBorders>
              <w:top w:val="single" w:sz="4" w:space="0" w:color="auto"/>
            </w:tcBorders>
          </w:tcPr>
          <w:p w14:paraId="61F0566D" w14:textId="77777777" w:rsidR="00334ECF" w:rsidRPr="005553DF" w:rsidRDefault="00334ECF" w:rsidP="005553DF">
            <w:r w:rsidRPr="005553DF">
              <w:t>Prevalence=0.5%</w:t>
            </w:r>
          </w:p>
        </w:tc>
        <w:tc>
          <w:tcPr>
            <w:tcW w:w="1440" w:type="dxa"/>
            <w:tcBorders>
              <w:top w:val="single" w:sz="4" w:space="0" w:color="auto"/>
            </w:tcBorders>
          </w:tcPr>
          <w:p w14:paraId="5C307334" w14:textId="77777777" w:rsidR="00334ECF" w:rsidRPr="005553DF" w:rsidRDefault="00334ECF" w:rsidP="005553DF">
            <w:r w:rsidRPr="005553DF">
              <w:t>1,480/stratum</w:t>
            </w:r>
          </w:p>
        </w:tc>
      </w:tr>
    </w:tbl>
    <w:p w14:paraId="7A640364" w14:textId="77777777" w:rsidR="00334ECF" w:rsidRPr="005553DF" w:rsidRDefault="00334ECF"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For rare health outcomes such ulcerative colitis, other autoimmune diseases, or cancer the sample size is too small to detect reasonably expected increases in ORs and those outcomes cannot be effectively studied at one site or even at multiple sites combined (i.e. about 6,000).  We should note that we don’t know actual differences in clinical or research parameters at Pease or any other sites and there is considerable variability between studies and populations; sample size estimates provide guidance but should be interpreted with caution and in the context of scientific literature.  </w:t>
      </w:r>
    </w:p>
    <w:p w14:paraId="69E2FE66" w14:textId="77777777" w:rsidR="00334ECF" w:rsidRPr="005553DF" w:rsidRDefault="00334ECF" w:rsidP="005553DF">
      <w:pPr>
        <w:spacing w:before="100" w:beforeAutospacing="1" w:after="240" w:line="360" w:lineRule="auto"/>
        <w:jc w:val="both"/>
        <w:rPr>
          <w:rFonts w:asciiTheme="minorHAnsi" w:hAnsiTheme="minorHAnsi" w:cstheme="minorHAnsi"/>
          <w:i/>
        </w:rPr>
      </w:pPr>
      <w:r w:rsidRPr="005553DF">
        <w:rPr>
          <w:rFonts w:asciiTheme="minorHAnsi" w:hAnsiTheme="minorHAnsi"/>
          <w:b/>
        </w:rPr>
        <w:t>A</w:t>
      </w:r>
      <w:r w:rsidR="00832E6B" w:rsidRPr="005553DF">
        <w:rPr>
          <w:rFonts w:asciiTheme="minorHAnsi" w:hAnsiTheme="minorHAnsi"/>
          <w:b/>
        </w:rPr>
        <w:t>ttachment 4</w:t>
      </w:r>
      <w:r w:rsidRPr="005553DF">
        <w:rPr>
          <w:rFonts w:asciiTheme="minorHAnsi" w:hAnsiTheme="minorHAnsi" w:cstheme="minorHAnsi"/>
        </w:rPr>
        <w:t xml:space="preserve"> provides further information and details on the derivation of the sample size calculations for Table 2 and also estimates of detectable mean difference and odds ratios for selected clinical tests and health outcomes.</w:t>
      </w:r>
      <w:r w:rsidRPr="005553DF">
        <w:rPr>
          <w:rFonts w:asciiTheme="minorHAnsi" w:hAnsiTheme="minorHAnsi" w:cstheme="minorHAnsi"/>
          <w:i/>
        </w:rPr>
        <w:t xml:space="preserve"> </w:t>
      </w:r>
    </w:p>
    <w:p w14:paraId="44467E9F" w14:textId="77777777" w:rsidR="00166ABA" w:rsidRPr="005553DF" w:rsidRDefault="00166ABA" w:rsidP="005553DF">
      <w:pPr>
        <w:pStyle w:val="Heading2"/>
        <w:spacing w:before="100" w:beforeAutospacing="1" w:after="240" w:line="360" w:lineRule="auto"/>
        <w:rPr>
          <w:rFonts w:asciiTheme="minorHAnsi" w:hAnsiTheme="minorHAnsi" w:cstheme="minorHAnsi"/>
          <w:i w:val="0"/>
          <w:sz w:val="22"/>
          <w:szCs w:val="22"/>
        </w:rPr>
      </w:pPr>
      <w:bookmarkStart w:id="42" w:name="_Toc532224156"/>
      <w:r w:rsidRPr="005553DF">
        <w:rPr>
          <w:rFonts w:asciiTheme="minorHAnsi" w:hAnsiTheme="minorHAnsi" w:cstheme="minorHAnsi"/>
          <w:i w:val="0"/>
          <w:sz w:val="22"/>
          <w:szCs w:val="22"/>
        </w:rPr>
        <w:t>3.4 Study Roll Out</w:t>
      </w:r>
      <w:r w:rsidR="00677493" w:rsidRPr="005553DF">
        <w:rPr>
          <w:rFonts w:asciiTheme="minorHAnsi" w:hAnsiTheme="minorHAnsi" w:cstheme="minorHAnsi"/>
          <w:i w:val="0"/>
          <w:sz w:val="22"/>
          <w:szCs w:val="22"/>
        </w:rPr>
        <w:t xml:space="preserve"> and Communication Plan</w:t>
      </w:r>
      <w:bookmarkEnd w:id="42"/>
    </w:p>
    <w:p w14:paraId="5F74855B" w14:textId="77777777" w:rsidR="00181758" w:rsidRPr="005553DF" w:rsidRDefault="00181758"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ATSDR will work with NH DHHS and the Pease CAP to conduct outreach to encourage participation. </w:t>
      </w:r>
      <w:r w:rsidR="001420F2" w:rsidRPr="005553DF">
        <w:rPr>
          <w:rFonts w:asciiTheme="minorHAnsi" w:hAnsiTheme="minorHAnsi" w:cstheme="minorHAnsi"/>
          <w:bCs/>
          <w:iCs/>
          <w:color w:val="000000"/>
        </w:rPr>
        <w:t xml:space="preserve">The Pease CAP has offered to assist in recruitment of Pease and referent children and adults, and CAP involvement will be crucial in conducting outreach for the study. </w:t>
      </w:r>
      <w:r w:rsidR="001420F2" w:rsidRPr="005553DF">
        <w:rPr>
          <w:rFonts w:asciiTheme="minorHAnsi" w:hAnsiTheme="minorHAnsi" w:cstheme="minorHAnsi"/>
        </w:rPr>
        <w:t xml:space="preserve"> </w:t>
      </w:r>
      <w:r w:rsidR="00D75C98" w:rsidRPr="005553DF">
        <w:rPr>
          <w:rFonts w:asciiTheme="minorHAnsi" w:hAnsiTheme="minorHAnsi" w:cstheme="minorHAnsi"/>
          <w:bCs/>
          <w:iCs/>
          <w:color w:val="000000"/>
        </w:rPr>
        <w:t>To</w:t>
      </w:r>
      <w:r w:rsidR="00166ABA" w:rsidRPr="005553DF">
        <w:rPr>
          <w:rFonts w:asciiTheme="minorHAnsi" w:hAnsiTheme="minorHAnsi" w:cstheme="minorHAnsi"/>
          <w:bCs/>
          <w:iCs/>
          <w:color w:val="000000"/>
        </w:rPr>
        <w:t xml:space="preserve"> increase community awareness of the study and to encourage participation, </w:t>
      </w:r>
      <w:r w:rsidR="006D4AA7" w:rsidRPr="005553DF">
        <w:rPr>
          <w:rFonts w:asciiTheme="minorHAnsi" w:hAnsiTheme="minorHAnsi" w:cstheme="minorHAnsi"/>
          <w:bCs/>
          <w:iCs/>
          <w:color w:val="000000"/>
        </w:rPr>
        <w:t xml:space="preserve">study investigators </w:t>
      </w:r>
      <w:r w:rsidR="00166ABA" w:rsidRPr="005553DF">
        <w:rPr>
          <w:rFonts w:asciiTheme="minorHAnsi" w:hAnsiTheme="minorHAnsi" w:cstheme="minorHAnsi"/>
          <w:bCs/>
          <w:iCs/>
          <w:color w:val="000000"/>
        </w:rPr>
        <w:t xml:space="preserve">will work with </w:t>
      </w:r>
      <w:r w:rsidRPr="005553DF">
        <w:rPr>
          <w:rFonts w:asciiTheme="minorHAnsi" w:hAnsiTheme="minorHAnsi" w:cstheme="minorHAnsi"/>
          <w:bCs/>
          <w:iCs/>
          <w:color w:val="000000"/>
        </w:rPr>
        <w:t xml:space="preserve">NH DHHS and the </w:t>
      </w:r>
      <w:r w:rsidR="00166ABA" w:rsidRPr="005553DF">
        <w:rPr>
          <w:rFonts w:asciiTheme="minorHAnsi" w:hAnsiTheme="minorHAnsi" w:cstheme="minorHAnsi"/>
          <w:bCs/>
          <w:iCs/>
          <w:color w:val="000000"/>
        </w:rPr>
        <w:t>Pease CAP to ensure that outreach about the study is effective.  In advance of the start of the study, outreach will involve announcements to local elected officials, local media, community organizations, and the Portsmouth schools</w:t>
      </w:r>
      <w:r w:rsidR="00A235D0" w:rsidRPr="005553DF">
        <w:rPr>
          <w:rFonts w:asciiTheme="minorHAnsi" w:hAnsiTheme="minorHAnsi" w:cstheme="minorHAnsi"/>
          <w:bCs/>
          <w:iCs/>
          <w:color w:val="000000"/>
        </w:rPr>
        <w:t xml:space="preserve"> (</w:t>
      </w:r>
      <w:r w:rsidR="00A235D0" w:rsidRPr="005553DF">
        <w:rPr>
          <w:rFonts w:asciiTheme="minorHAnsi" w:hAnsiTheme="minorHAnsi" w:cstheme="minorHAnsi"/>
          <w:b/>
          <w:bCs/>
          <w:iCs/>
          <w:color w:val="000000"/>
        </w:rPr>
        <w:t>A</w:t>
      </w:r>
      <w:r w:rsidR="00AF7177" w:rsidRPr="005553DF">
        <w:rPr>
          <w:rFonts w:asciiTheme="minorHAnsi" w:hAnsiTheme="minorHAnsi" w:cstheme="minorHAnsi"/>
          <w:b/>
          <w:bCs/>
          <w:iCs/>
          <w:color w:val="000000"/>
        </w:rPr>
        <w:t xml:space="preserve">ttachment </w:t>
      </w:r>
      <w:r w:rsidR="00FD71DE" w:rsidRPr="005553DF">
        <w:rPr>
          <w:rFonts w:asciiTheme="minorHAnsi" w:hAnsiTheme="minorHAnsi" w:cstheme="minorHAnsi"/>
          <w:b/>
          <w:bCs/>
          <w:iCs/>
          <w:color w:val="000000"/>
        </w:rPr>
        <w:t>5</w:t>
      </w:r>
      <w:r w:rsidR="00A235D0" w:rsidRPr="005553DF">
        <w:rPr>
          <w:rFonts w:asciiTheme="minorHAnsi" w:hAnsiTheme="minorHAnsi" w:cstheme="minorHAnsi"/>
          <w:bCs/>
          <w:iCs/>
          <w:color w:val="000000"/>
        </w:rPr>
        <w:t>)</w:t>
      </w:r>
      <w:r w:rsidR="00166ABA" w:rsidRPr="005553DF">
        <w:rPr>
          <w:rFonts w:asciiTheme="minorHAnsi" w:hAnsiTheme="minorHAnsi" w:cstheme="minorHAnsi"/>
          <w:bCs/>
          <w:iCs/>
          <w:color w:val="000000"/>
        </w:rPr>
        <w:t>. Outreach may also involve meetings with community representatives</w:t>
      </w:r>
      <w:r w:rsidR="00065804" w:rsidRPr="005553DF">
        <w:rPr>
          <w:rFonts w:asciiTheme="minorHAnsi" w:hAnsiTheme="minorHAnsi" w:cstheme="minorHAnsi"/>
          <w:bCs/>
          <w:iCs/>
          <w:color w:val="000000"/>
        </w:rPr>
        <w:t>, medical societies, school officials,</w:t>
      </w:r>
      <w:r w:rsidR="00166ABA" w:rsidRPr="005553DF">
        <w:rPr>
          <w:rFonts w:asciiTheme="minorHAnsi" w:hAnsiTheme="minorHAnsi" w:cstheme="minorHAnsi"/>
          <w:bCs/>
          <w:iCs/>
          <w:color w:val="000000"/>
        </w:rPr>
        <w:t xml:space="preserve"> and/or public meetings. </w:t>
      </w:r>
      <w:r w:rsidR="0088772E" w:rsidRPr="005553DF">
        <w:rPr>
          <w:rFonts w:asciiTheme="minorHAnsi" w:hAnsiTheme="minorHAnsi" w:cstheme="minorHAnsi"/>
          <w:bCs/>
          <w:iCs/>
          <w:color w:val="000000"/>
        </w:rPr>
        <w:t>Although active in outreach, b</w:t>
      </w:r>
      <w:r w:rsidR="00F41621" w:rsidRPr="005553DF">
        <w:rPr>
          <w:rFonts w:asciiTheme="minorHAnsi" w:hAnsiTheme="minorHAnsi" w:cstheme="minorHAnsi"/>
          <w:bCs/>
          <w:iCs/>
          <w:color w:val="000000"/>
        </w:rPr>
        <w:t xml:space="preserve">oth NH DHHS and the Pease CAP will not directly </w:t>
      </w:r>
      <w:r w:rsidR="002113C5" w:rsidRPr="005553DF">
        <w:rPr>
          <w:rFonts w:asciiTheme="minorHAnsi" w:hAnsiTheme="minorHAnsi" w:cstheme="minorHAnsi"/>
          <w:bCs/>
          <w:iCs/>
          <w:color w:val="000000"/>
        </w:rPr>
        <w:t xml:space="preserve">obtain </w:t>
      </w:r>
      <w:r w:rsidR="00F41621" w:rsidRPr="005553DF">
        <w:rPr>
          <w:rFonts w:asciiTheme="minorHAnsi" w:hAnsiTheme="minorHAnsi" w:cstheme="minorHAnsi"/>
          <w:bCs/>
          <w:iCs/>
          <w:color w:val="000000"/>
        </w:rPr>
        <w:t>consent, intervene, or interact with research participants.</w:t>
      </w:r>
    </w:p>
    <w:p w14:paraId="142CEDF8" w14:textId="77777777" w:rsidR="00166ABA" w:rsidRPr="005553DF" w:rsidRDefault="001234E6"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As part of the outreach, </w:t>
      </w:r>
      <w:r w:rsidR="00166ABA" w:rsidRPr="005553DF">
        <w:rPr>
          <w:rFonts w:asciiTheme="minorHAnsi" w:hAnsiTheme="minorHAnsi" w:cstheme="minorHAnsi"/>
          <w:bCs/>
          <w:iCs/>
          <w:color w:val="000000"/>
        </w:rPr>
        <w:t xml:space="preserve">ATSDR will provide </w:t>
      </w:r>
      <w:r w:rsidR="00CE1D6B" w:rsidRPr="005553DF">
        <w:rPr>
          <w:rFonts w:asciiTheme="minorHAnsi" w:hAnsiTheme="minorHAnsi" w:cstheme="minorHAnsi"/>
          <w:bCs/>
          <w:iCs/>
          <w:color w:val="000000"/>
        </w:rPr>
        <w:t>a</w:t>
      </w:r>
      <w:r w:rsidR="00C30B6E" w:rsidRPr="005553DF">
        <w:rPr>
          <w:rFonts w:asciiTheme="minorHAnsi" w:hAnsiTheme="minorHAnsi" w:cstheme="minorHAnsi"/>
          <w:bCs/>
          <w:iCs/>
          <w:color w:val="000000"/>
        </w:rPr>
        <w:t xml:space="preserve"> factsheet</w:t>
      </w:r>
      <w:r w:rsidR="00166ABA" w:rsidRPr="005553DF">
        <w:rPr>
          <w:rFonts w:asciiTheme="minorHAnsi" w:hAnsiTheme="minorHAnsi" w:cstheme="minorHAnsi"/>
          <w:bCs/>
          <w:iCs/>
          <w:color w:val="000000"/>
        </w:rPr>
        <w:t xml:space="preserve"> to the</w:t>
      </w:r>
      <w:r w:rsidR="00371B5A" w:rsidRPr="005553DF">
        <w:rPr>
          <w:rFonts w:asciiTheme="minorHAnsi" w:hAnsiTheme="minorHAnsi" w:cstheme="minorHAnsi"/>
          <w:bCs/>
          <w:iCs/>
          <w:color w:val="000000"/>
        </w:rPr>
        <w:t xml:space="preserve"> Pease Developmen</w:t>
      </w:r>
      <w:r w:rsidR="0058079A" w:rsidRPr="005553DF">
        <w:rPr>
          <w:rFonts w:asciiTheme="minorHAnsi" w:hAnsiTheme="minorHAnsi" w:cstheme="minorHAnsi"/>
          <w:bCs/>
          <w:iCs/>
          <w:color w:val="000000"/>
        </w:rPr>
        <w:t>t</w:t>
      </w:r>
      <w:r w:rsidR="00371B5A" w:rsidRPr="005553DF">
        <w:rPr>
          <w:rFonts w:asciiTheme="minorHAnsi" w:hAnsiTheme="minorHAnsi" w:cstheme="minorHAnsi"/>
          <w:bCs/>
          <w:iCs/>
          <w:color w:val="000000"/>
        </w:rPr>
        <w:t xml:space="preserve"> Authority (</w:t>
      </w:r>
      <w:r w:rsidR="00166ABA" w:rsidRPr="005553DF">
        <w:rPr>
          <w:rFonts w:asciiTheme="minorHAnsi" w:hAnsiTheme="minorHAnsi" w:cstheme="minorHAnsi"/>
          <w:bCs/>
          <w:iCs/>
          <w:color w:val="000000"/>
        </w:rPr>
        <w:t>PDA</w:t>
      </w:r>
      <w:r w:rsidR="00371B5A" w:rsidRPr="005553DF">
        <w:rPr>
          <w:rFonts w:asciiTheme="minorHAnsi" w:hAnsiTheme="minorHAnsi" w:cstheme="minorHAnsi"/>
          <w:bCs/>
          <w:iCs/>
          <w:color w:val="000000"/>
        </w:rPr>
        <w:t>)</w:t>
      </w:r>
      <w:r w:rsidR="00166ABA" w:rsidRPr="005553DF">
        <w:rPr>
          <w:rFonts w:asciiTheme="minorHAnsi" w:hAnsiTheme="minorHAnsi" w:cstheme="minorHAnsi"/>
          <w:color w:val="000000"/>
        </w:rPr>
        <w:t xml:space="preserve"> and</w:t>
      </w:r>
      <w:r w:rsidR="00371B5A" w:rsidRPr="005553DF">
        <w:rPr>
          <w:rFonts w:asciiTheme="minorHAnsi" w:hAnsiTheme="minorHAnsi" w:cstheme="minorHAnsi"/>
          <w:color w:val="000000"/>
        </w:rPr>
        <w:t xml:space="preserve"> </w:t>
      </w:r>
      <w:r w:rsidR="00F730BE" w:rsidRPr="005553DF">
        <w:rPr>
          <w:rFonts w:asciiTheme="minorHAnsi" w:hAnsiTheme="minorHAnsi" w:cstheme="minorHAnsi"/>
          <w:color w:val="000000"/>
        </w:rPr>
        <w:t>Tenants</w:t>
      </w:r>
      <w:r w:rsidR="00371B5A" w:rsidRPr="005553DF">
        <w:rPr>
          <w:rFonts w:asciiTheme="minorHAnsi" w:hAnsiTheme="minorHAnsi" w:cstheme="minorHAnsi"/>
          <w:color w:val="000000"/>
        </w:rPr>
        <w:t xml:space="preserve"> Association of Pease Tradeport</w:t>
      </w:r>
      <w:r w:rsidR="00166ABA" w:rsidRPr="005553DF">
        <w:rPr>
          <w:rFonts w:asciiTheme="minorHAnsi" w:hAnsiTheme="minorHAnsi" w:cstheme="minorHAnsi"/>
          <w:color w:val="000000"/>
        </w:rPr>
        <w:t xml:space="preserve"> </w:t>
      </w:r>
      <w:r w:rsidR="00371B5A" w:rsidRPr="005553DF">
        <w:rPr>
          <w:rFonts w:asciiTheme="minorHAnsi" w:hAnsiTheme="minorHAnsi" w:cstheme="minorHAnsi"/>
          <w:color w:val="000000"/>
        </w:rPr>
        <w:t>(</w:t>
      </w:r>
      <w:r w:rsidR="00166ABA" w:rsidRPr="005553DF">
        <w:rPr>
          <w:rFonts w:asciiTheme="minorHAnsi" w:hAnsiTheme="minorHAnsi" w:cstheme="minorHAnsi"/>
          <w:color w:val="000000"/>
        </w:rPr>
        <w:t>TAP</w:t>
      </w:r>
      <w:r w:rsidR="00371B5A" w:rsidRPr="005553DF">
        <w:rPr>
          <w:rFonts w:asciiTheme="minorHAnsi" w:hAnsiTheme="minorHAnsi" w:cstheme="minorHAnsi"/>
          <w:color w:val="000000"/>
        </w:rPr>
        <w:t>)</w:t>
      </w:r>
      <w:r w:rsidR="00166ABA" w:rsidRPr="005553DF">
        <w:rPr>
          <w:rFonts w:asciiTheme="minorHAnsi" w:hAnsiTheme="minorHAnsi" w:cstheme="minorHAnsi"/>
          <w:color w:val="000000"/>
        </w:rPr>
        <w:t xml:space="preserve"> </w:t>
      </w:r>
      <w:r w:rsidR="00166ABA" w:rsidRPr="005553DF">
        <w:rPr>
          <w:rFonts w:asciiTheme="minorHAnsi" w:hAnsiTheme="minorHAnsi" w:cstheme="minorHAnsi"/>
          <w:bCs/>
          <w:iCs/>
          <w:color w:val="000000"/>
        </w:rPr>
        <w:t>so that it is included in newsletters and email notices to subscribing firms at the Pease Tradeport</w:t>
      </w:r>
      <w:r w:rsidR="003146CD" w:rsidRPr="005553DF">
        <w:rPr>
          <w:rFonts w:asciiTheme="minorHAnsi" w:hAnsiTheme="minorHAnsi" w:cstheme="minorHAnsi"/>
          <w:bCs/>
          <w:iCs/>
          <w:color w:val="000000"/>
        </w:rPr>
        <w:t xml:space="preserve"> (</w:t>
      </w:r>
      <w:r w:rsidR="003146CD" w:rsidRPr="005553DF">
        <w:rPr>
          <w:rFonts w:asciiTheme="minorHAnsi" w:hAnsiTheme="minorHAnsi" w:cstheme="minorHAnsi"/>
          <w:b/>
          <w:bCs/>
          <w:iCs/>
          <w:color w:val="000000"/>
        </w:rPr>
        <w:t>Attachment 5</w:t>
      </w:r>
      <w:r w:rsidR="00A57705" w:rsidRPr="005553DF">
        <w:rPr>
          <w:rFonts w:asciiTheme="minorHAnsi" w:hAnsiTheme="minorHAnsi" w:cstheme="minorHAnsi"/>
          <w:b/>
          <w:bCs/>
          <w:iCs/>
          <w:color w:val="000000"/>
        </w:rPr>
        <w:t>, Attachment 7a&amp;b, Attachment 9c</w:t>
      </w:r>
      <w:r w:rsidR="003146CD" w:rsidRPr="005553DF">
        <w:rPr>
          <w:rFonts w:asciiTheme="minorHAnsi" w:hAnsiTheme="minorHAnsi" w:cstheme="minorHAnsi"/>
          <w:bCs/>
          <w:iCs/>
          <w:color w:val="000000"/>
        </w:rPr>
        <w:t>)</w:t>
      </w:r>
      <w:r w:rsidR="00166ABA" w:rsidRPr="005553DF">
        <w:rPr>
          <w:rFonts w:asciiTheme="minorHAnsi" w:hAnsiTheme="minorHAnsi" w:cstheme="minorHAnsi"/>
          <w:bCs/>
          <w:iCs/>
          <w:color w:val="000000"/>
        </w:rPr>
        <w:t xml:space="preserve">.  </w:t>
      </w:r>
      <w:r w:rsidR="00EB47E9" w:rsidRPr="005553DF">
        <w:rPr>
          <w:rFonts w:asciiTheme="minorHAnsi" w:hAnsiTheme="minorHAnsi" w:cstheme="minorHAnsi"/>
          <w:bCs/>
          <w:iCs/>
          <w:color w:val="000000"/>
        </w:rPr>
        <w:t>ATSDR and study investigators may request employers at Pease, PDA and</w:t>
      </w:r>
      <w:r w:rsidR="006D4AA7" w:rsidRPr="005553DF">
        <w:rPr>
          <w:rFonts w:asciiTheme="minorHAnsi" w:hAnsiTheme="minorHAnsi" w:cstheme="minorHAnsi"/>
          <w:bCs/>
          <w:iCs/>
          <w:color w:val="000000"/>
        </w:rPr>
        <w:t xml:space="preserve"> TAP for rosters</w:t>
      </w:r>
      <w:r w:rsidR="00EB47E9" w:rsidRPr="005553DF">
        <w:rPr>
          <w:rFonts w:asciiTheme="minorHAnsi" w:hAnsiTheme="minorHAnsi" w:cstheme="minorHAnsi"/>
          <w:bCs/>
          <w:iCs/>
          <w:color w:val="000000"/>
        </w:rPr>
        <w:t xml:space="preserve"> of current and former employees at the Pease Tradeport to assist with recruitment efforts.  </w:t>
      </w:r>
      <w:r w:rsidR="00166ABA" w:rsidRPr="005553DF">
        <w:rPr>
          <w:rFonts w:asciiTheme="minorHAnsi" w:hAnsiTheme="minorHAnsi" w:cstheme="minorHAnsi"/>
          <w:bCs/>
          <w:iCs/>
          <w:color w:val="000000"/>
        </w:rPr>
        <w:t xml:space="preserve">The study will also provide the </w:t>
      </w:r>
      <w:r w:rsidR="00C30B6E" w:rsidRPr="005553DF">
        <w:rPr>
          <w:rFonts w:asciiTheme="minorHAnsi" w:hAnsiTheme="minorHAnsi" w:cstheme="minorHAnsi"/>
          <w:bCs/>
          <w:iCs/>
          <w:color w:val="000000"/>
        </w:rPr>
        <w:t>factsheet</w:t>
      </w:r>
      <w:r w:rsidR="00166ABA" w:rsidRPr="005553DF">
        <w:rPr>
          <w:rFonts w:asciiTheme="minorHAnsi" w:hAnsiTheme="minorHAnsi" w:cstheme="minorHAnsi"/>
          <w:bCs/>
          <w:iCs/>
          <w:color w:val="000000"/>
        </w:rPr>
        <w:t xml:space="preserve"> to the Portsmouth schools, local media outlets, and to community organizations in Portsmouth</w:t>
      </w:r>
      <w:r w:rsidR="00B307A5" w:rsidRPr="005553DF">
        <w:rPr>
          <w:rFonts w:asciiTheme="minorHAnsi" w:hAnsiTheme="minorHAnsi" w:cstheme="minorHAnsi"/>
          <w:bCs/>
          <w:iCs/>
          <w:color w:val="000000"/>
        </w:rPr>
        <w:t xml:space="preserve"> (</w:t>
      </w:r>
      <w:r w:rsidR="00B307A5" w:rsidRPr="005553DF">
        <w:rPr>
          <w:rFonts w:asciiTheme="minorHAnsi" w:hAnsiTheme="minorHAnsi" w:cstheme="minorHAnsi"/>
          <w:b/>
          <w:bCs/>
          <w:iCs/>
          <w:color w:val="000000"/>
        </w:rPr>
        <w:t xml:space="preserve">Attachment </w:t>
      </w:r>
      <w:r w:rsidR="00FD71DE" w:rsidRPr="005553DF">
        <w:rPr>
          <w:rFonts w:asciiTheme="minorHAnsi" w:hAnsiTheme="minorHAnsi" w:cstheme="minorHAnsi"/>
          <w:b/>
          <w:bCs/>
          <w:iCs/>
          <w:color w:val="000000"/>
        </w:rPr>
        <w:t>5</w:t>
      </w:r>
      <w:r w:rsidR="00A57705" w:rsidRPr="005553DF">
        <w:rPr>
          <w:rFonts w:asciiTheme="minorHAnsi" w:hAnsiTheme="minorHAnsi" w:cstheme="minorHAnsi"/>
          <w:b/>
          <w:bCs/>
          <w:iCs/>
          <w:color w:val="000000"/>
        </w:rPr>
        <w:t>, Attachment 7d&amp;e, Attachment 9c</w:t>
      </w:r>
      <w:r w:rsidR="00B307A5" w:rsidRPr="005553DF">
        <w:rPr>
          <w:rFonts w:asciiTheme="minorHAnsi" w:hAnsiTheme="minorHAnsi" w:cstheme="minorHAnsi"/>
          <w:bCs/>
          <w:iCs/>
          <w:color w:val="000000"/>
        </w:rPr>
        <w:t>)</w:t>
      </w:r>
      <w:r w:rsidR="00FC0A56" w:rsidRPr="005553DF">
        <w:rPr>
          <w:rFonts w:asciiTheme="minorHAnsi" w:hAnsiTheme="minorHAnsi" w:cstheme="minorHAnsi"/>
          <w:bCs/>
          <w:iCs/>
          <w:color w:val="000000"/>
        </w:rPr>
        <w:t>.</w:t>
      </w:r>
    </w:p>
    <w:p w14:paraId="1AB20AE1" w14:textId="77777777" w:rsidR="006D4AA7" w:rsidRPr="005553DF" w:rsidRDefault="008D412A" w:rsidP="005553DF">
      <w:pPr>
        <w:pStyle w:val="Heading2"/>
        <w:spacing w:before="100" w:beforeAutospacing="1" w:after="240" w:line="360" w:lineRule="auto"/>
        <w:rPr>
          <w:rFonts w:asciiTheme="minorHAnsi" w:hAnsiTheme="minorHAnsi" w:cstheme="minorHAnsi"/>
          <w:b w:val="0"/>
          <w:i w:val="0"/>
          <w:sz w:val="22"/>
          <w:szCs w:val="22"/>
        </w:rPr>
      </w:pPr>
      <w:bookmarkStart w:id="43" w:name="_Toc532224157"/>
      <w:r w:rsidRPr="005553DF">
        <w:rPr>
          <w:rFonts w:asciiTheme="minorHAnsi" w:hAnsiTheme="minorHAnsi" w:cstheme="minorHAnsi"/>
          <w:i w:val="0"/>
          <w:sz w:val="22"/>
          <w:szCs w:val="22"/>
        </w:rPr>
        <w:t>3.</w:t>
      </w:r>
      <w:r w:rsidR="00166ABA" w:rsidRPr="005553DF">
        <w:rPr>
          <w:rFonts w:asciiTheme="minorHAnsi" w:hAnsiTheme="minorHAnsi" w:cstheme="minorHAnsi"/>
          <w:i w:val="0"/>
          <w:sz w:val="22"/>
          <w:szCs w:val="22"/>
        </w:rPr>
        <w:t>5</w:t>
      </w:r>
      <w:r w:rsidRPr="005553DF">
        <w:rPr>
          <w:rFonts w:asciiTheme="minorHAnsi" w:hAnsiTheme="minorHAnsi" w:cstheme="minorHAnsi"/>
          <w:i w:val="0"/>
          <w:sz w:val="22"/>
          <w:szCs w:val="22"/>
        </w:rPr>
        <w:t xml:space="preserve"> Recruitmen</w:t>
      </w:r>
      <w:r w:rsidR="00662A8C" w:rsidRPr="005553DF">
        <w:rPr>
          <w:rFonts w:asciiTheme="minorHAnsi" w:hAnsiTheme="minorHAnsi" w:cstheme="minorHAnsi"/>
          <w:i w:val="0"/>
          <w:sz w:val="22"/>
          <w:szCs w:val="22"/>
        </w:rPr>
        <w:t>t</w:t>
      </w:r>
      <w:bookmarkEnd w:id="43"/>
    </w:p>
    <w:p w14:paraId="3B580DAA" w14:textId="77777777" w:rsidR="00580CD1" w:rsidRPr="005553DF" w:rsidRDefault="00580CD1" w:rsidP="005553DF">
      <w:pPr>
        <w:pStyle w:val="Heading3"/>
        <w:spacing w:before="100" w:beforeAutospacing="1" w:after="240" w:line="360" w:lineRule="auto"/>
        <w:rPr>
          <w:rFonts w:asciiTheme="minorHAnsi" w:hAnsiTheme="minorHAnsi" w:cstheme="minorHAnsi"/>
          <w:b w:val="0"/>
          <w:i/>
          <w:color w:val="auto"/>
        </w:rPr>
      </w:pPr>
      <w:bookmarkStart w:id="44" w:name="_Toc532224158"/>
      <w:r w:rsidRPr="005553DF">
        <w:rPr>
          <w:rFonts w:asciiTheme="minorHAnsi" w:hAnsiTheme="minorHAnsi" w:cstheme="minorHAnsi"/>
          <w:i/>
          <w:color w:val="auto"/>
        </w:rPr>
        <w:t xml:space="preserve">3.5.1 Wave One Recruitment from Biomonitoring </w:t>
      </w:r>
      <w:r w:rsidR="00BB5C7A" w:rsidRPr="005553DF">
        <w:rPr>
          <w:rFonts w:asciiTheme="minorHAnsi" w:hAnsiTheme="minorHAnsi" w:cstheme="minorHAnsi"/>
          <w:i/>
          <w:color w:val="auto"/>
        </w:rPr>
        <w:t>Recruitment F</w:t>
      </w:r>
      <w:r w:rsidR="009E167D" w:rsidRPr="005553DF">
        <w:rPr>
          <w:rFonts w:asciiTheme="minorHAnsi" w:hAnsiTheme="minorHAnsi" w:cstheme="minorHAnsi"/>
          <w:i/>
          <w:color w:val="auto"/>
        </w:rPr>
        <w:t>rame</w:t>
      </w:r>
      <w:bookmarkEnd w:id="44"/>
    </w:p>
    <w:p w14:paraId="3C1107E0" w14:textId="77777777" w:rsidR="009F3C73" w:rsidRPr="005553DF" w:rsidRDefault="00D6435F"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w:t>
      </w:r>
      <w:r w:rsidR="009F3C73" w:rsidRPr="005553DF">
        <w:rPr>
          <w:rFonts w:asciiTheme="minorHAnsi" w:hAnsiTheme="minorHAnsi" w:cstheme="minorHAnsi"/>
          <w:bCs/>
          <w:iCs/>
          <w:color w:val="000000"/>
        </w:rPr>
        <w:t xml:space="preserve">TSDR will first recruit from those who participated in the NH DHHS Pease biomonitoring program in 2015-7. </w:t>
      </w:r>
      <w:r w:rsidR="009F3C73" w:rsidRPr="005553DF">
        <w:rPr>
          <w:rFonts w:asciiTheme="minorHAnsi" w:hAnsiTheme="minorHAnsi" w:cstheme="minorHAnsi"/>
        </w:rPr>
        <w:t xml:space="preserve">The NH DHHS biomonitoring program consent form did not obtain permission to recontact the participant for future studies. Therefore, ATSDR will not directly contact the biomonitoring </w:t>
      </w:r>
      <w:r w:rsidR="00242C6D" w:rsidRPr="005553DF">
        <w:rPr>
          <w:rFonts w:asciiTheme="minorHAnsi" w:hAnsiTheme="minorHAnsi" w:cstheme="minorHAnsi"/>
        </w:rPr>
        <w:t>program participants for</w:t>
      </w:r>
      <w:r w:rsidR="009F3C73" w:rsidRPr="005553DF">
        <w:rPr>
          <w:rFonts w:asciiTheme="minorHAnsi" w:hAnsiTheme="minorHAnsi" w:cstheme="minorHAnsi"/>
        </w:rPr>
        <w:t xml:space="preserve"> Pease Study</w:t>
      </w:r>
      <w:r w:rsidR="00242C6D" w:rsidRPr="005553DF">
        <w:rPr>
          <w:rFonts w:asciiTheme="minorHAnsi" w:hAnsiTheme="minorHAnsi" w:cstheme="minorHAnsi"/>
        </w:rPr>
        <w:t xml:space="preserve"> recruitment</w:t>
      </w:r>
      <w:r w:rsidR="009F3C73" w:rsidRPr="005553DF">
        <w:rPr>
          <w:rFonts w:asciiTheme="minorHAnsi" w:hAnsiTheme="minorHAnsi" w:cstheme="minorHAnsi"/>
        </w:rPr>
        <w:t xml:space="preserve">. </w:t>
      </w:r>
      <w:r w:rsidR="00580CD1" w:rsidRPr="005553DF">
        <w:rPr>
          <w:rFonts w:asciiTheme="minorHAnsi" w:hAnsiTheme="minorHAnsi" w:cstheme="minorHAnsi"/>
        </w:rPr>
        <w:t xml:space="preserve">Instead, </w:t>
      </w:r>
      <w:r w:rsidR="009F3C73" w:rsidRPr="005553DF">
        <w:rPr>
          <w:rFonts w:asciiTheme="minorHAnsi" w:hAnsiTheme="minorHAnsi" w:cstheme="minorHAnsi"/>
          <w:bCs/>
          <w:iCs/>
          <w:color w:val="000000"/>
        </w:rPr>
        <w:t xml:space="preserve">NH DHHS, which manages the Pease biomonitoring records and possesses </w:t>
      </w:r>
      <w:r w:rsidR="009E167D" w:rsidRPr="005553DF">
        <w:rPr>
          <w:rFonts w:asciiTheme="minorHAnsi" w:hAnsiTheme="minorHAnsi" w:cstheme="minorHAnsi"/>
          <w:bCs/>
          <w:iCs/>
          <w:color w:val="000000"/>
        </w:rPr>
        <w:t>the recruitment</w:t>
      </w:r>
      <w:r w:rsidR="009F3C73" w:rsidRPr="005553DF">
        <w:rPr>
          <w:rFonts w:asciiTheme="minorHAnsi" w:hAnsiTheme="minorHAnsi" w:cstheme="minorHAnsi"/>
          <w:bCs/>
          <w:iCs/>
          <w:color w:val="000000"/>
        </w:rPr>
        <w:t xml:space="preserve"> frame for the Pease Study, will send out an introductory letter indicating its support for, and encouraging its former participants to contact ATSDR to </w:t>
      </w:r>
      <w:r w:rsidR="00242C6D" w:rsidRPr="005553DF">
        <w:rPr>
          <w:rFonts w:asciiTheme="minorHAnsi" w:hAnsiTheme="minorHAnsi" w:cstheme="minorHAnsi"/>
          <w:bCs/>
          <w:iCs/>
          <w:color w:val="000000"/>
        </w:rPr>
        <w:t>take part in</w:t>
      </w:r>
      <w:r w:rsidR="009F3C73" w:rsidRPr="005553DF">
        <w:rPr>
          <w:rFonts w:asciiTheme="minorHAnsi" w:hAnsiTheme="minorHAnsi" w:cstheme="minorHAnsi"/>
          <w:bCs/>
          <w:iCs/>
          <w:color w:val="000000"/>
        </w:rPr>
        <w:t xml:space="preserve"> the ATSDR Pease Study (</w:t>
      </w:r>
      <w:r w:rsidR="009F3C73" w:rsidRPr="005553DF">
        <w:rPr>
          <w:rFonts w:asciiTheme="minorHAnsi" w:hAnsiTheme="minorHAnsi" w:cstheme="minorHAnsi"/>
          <w:b/>
          <w:bCs/>
          <w:iCs/>
          <w:color w:val="000000"/>
        </w:rPr>
        <w:t>Attachment</w:t>
      </w:r>
      <w:r w:rsidR="008A681C" w:rsidRPr="005553DF">
        <w:rPr>
          <w:rFonts w:asciiTheme="minorHAnsi" w:hAnsiTheme="minorHAnsi" w:cstheme="minorHAnsi"/>
          <w:b/>
          <w:bCs/>
          <w:iCs/>
          <w:color w:val="000000"/>
        </w:rPr>
        <w:t>s</w:t>
      </w:r>
      <w:r w:rsidR="00FD71DE" w:rsidRPr="005553DF">
        <w:rPr>
          <w:rFonts w:asciiTheme="minorHAnsi" w:hAnsiTheme="minorHAnsi" w:cstheme="minorHAnsi"/>
          <w:b/>
          <w:bCs/>
          <w:iCs/>
          <w:color w:val="000000"/>
        </w:rPr>
        <w:t xml:space="preserve"> 6a&amp;6</w:t>
      </w:r>
      <w:r w:rsidR="008A681C" w:rsidRPr="005553DF">
        <w:rPr>
          <w:rFonts w:asciiTheme="minorHAnsi" w:hAnsiTheme="minorHAnsi" w:cstheme="minorHAnsi"/>
          <w:b/>
          <w:bCs/>
          <w:iCs/>
          <w:color w:val="000000"/>
        </w:rPr>
        <w:t>b</w:t>
      </w:r>
      <w:r w:rsidR="009F3C73" w:rsidRPr="005553DF">
        <w:rPr>
          <w:rFonts w:asciiTheme="minorHAnsi" w:hAnsiTheme="minorHAnsi" w:cstheme="minorHAnsi"/>
          <w:bCs/>
          <w:iCs/>
          <w:color w:val="000000"/>
        </w:rPr>
        <w:t>).</w:t>
      </w:r>
      <w:r w:rsidR="00240AAF"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The lett</w:t>
      </w:r>
      <w:r w:rsidR="001358A4" w:rsidRPr="005553DF">
        <w:rPr>
          <w:rFonts w:asciiTheme="minorHAnsi" w:hAnsiTheme="minorHAnsi" w:cstheme="minorHAnsi"/>
          <w:bCs/>
          <w:iCs/>
          <w:color w:val="000000"/>
        </w:rPr>
        <w:t>er will provide a toll-free line</w:t>
      </w:r>
      <w:r w:rsidRPr="005553DF">
        <w:rPr>
          <w:rFonts w:asciiTheme="minorHAnsi" w:hAnsiTheme="minorHAnsi" w:cstheme="minorHAnsi"/>
          <w:bCs/>
          <w:iCs/>
          <w:color w:val="000000"/>
        </w:rPr>
        <w:t xml:space="preserve"> that </w:t>
      </w:r>
      <w:r w:rsidR="001358A4" w:rsidRPr="005553DF">
        <w:rPr>
          <w:rFonts w:asciiTheme="minorHAnsi" w:hAnsiTheme="minorHAnsi" w:cstheme="minorHAnsi"/>
          <w:bCs/>
          <w:iCs/>
          <w:color w:val="000000"/>
        </w:rPr>
        <w:t xml:space="preserve">the interested person </w:t>
      </w:r>
      <w:r w:rsidRPr="005553DF">
        <w:rPr>
          <w:rFonts w:asciiTheme="minorHAnsi" w:hAnsiTheme="minorHAnsi" w:cstheme="minorHAnsi"/>
          <w:bCs/>
          <w:iCs/>
          <w:color w:val="000000"/>
        </w:rPr>
        <w:t xml:space="preserve">can call </w:t>
      </w:r>
      <w:r w:rsidR="001358A4" w:rsidRPr="005553DF">
        <w:rPr>
          <w:rFonts w:asciiTheme="minorHAnsi" w:hAnsiTheme="minorHAnsi" w:cstheme="minorHAnsi"/>
          <w:bCs/>
          <w:iCs/>
          <w:color w:val="000000"/>
        </w:rPr>
        <w:t xml:space="preserve">ATSDR </w:t>
      </w:r>
      <w:r w:rsidRPr="005553DF">
        <w:rPr>
          <w:rFonts w:asciiTheme="minorHAnsi" w:hAnsiTheme="minorHAnsi" w:cstheme="minorHAnsi"/>
          <w:bCs/>
          <w:iCs/>
          <w:color w:val="000000"/>
        </w:rPr>
        <w:t xml:space="preserve">to request participation in the study and/or ask any questions about the study. </w:t>
      </w:r>
      <w:r w:rsidR="00240AAF" w:rsidRPr="005553DF">
        <w:rPr>
          <w:rFonts w:asciiTheme="minorHAnsi" w:hAnsiTheme="minorHAnsi" w:cstheme="minorHAnsi"/>
          <w:bCs/>
          <w:iCs/>
          <w:color w:val="000000"/>
        </w:rPr>
        <w:t>ATSDR will screen each interested caller usin</w:t>
      </w:r>
      <w:r w:rsidR="00116101" w:rsidRPr="005553DF">
        <w:rPr>
          <w:rFonts w:asciiTheme="minorHAnsi" w:hAnsiTheme="minorHAnsi" w:cstheme="minorHAnsi"/>
          <w:bCs/>
          <w:iCs/>
          <w:color w:val="000000"/>
        </w:rPr>
        <w:t>g a Wave One</w:t>
      </w:r>
      <w:r w:rsidRPr="005553DF">
        <w:rPr>
          <w:rFonts w:asciiTheme="minorHAnsi" w:hAnsiTheme="minorHAnsi" w:cstheme="minorHAnsi"/>
          <w:bCs/>
          <w:iCs/>
          <w:color w:val="000000"/>
        </w:rPr>
        <w:t xml:space="preserve"> eligibility</w:t>
      </w:r>
      <w:r w:rsidR="00240AAF" w:rsidRPr="005553DF">
        <w:rPr>
          <w:rFonts w:asciiTheme="minorHAnsi" w:hAnsiTheme="minorHAnsi" w:cstheme="minorHAnsi"/>
          <w:bCs/>
          <w:iCs/>
          <w:color w:val="000000"/>
        </w:rPr>
        <w:t xml:space="preserve"> screening script (</w:t>
      </w:r>
      <w:r w:rsidR="00B43E93" w:rsidRPr="005553DF">
        <w:rPr>
          <w:rFonts w:asciiTheme="minorHAnsi" w:hAnsiTheme="minorHAnsi" w:cstheme="minorHAnsi"/>
          <w:b/>
          <w:bCs/>
          <w:iCs/>
          <w:color w:val="000000"/>
        </w:rPr>
        <w:t>Attachm</w:t>
      </w:r>
      <w:r w:rsidR="00FD71DE" w:rsidRPr="005553DF">
        <w:rPr>
          <w:rFonts w:asciiTheme="minorHAnsi" w:hAnsiTheme="minorHAnsi" w:cstheme="minorHAnsi"/>
          <w:b/>
          <w:bCs/>
          <w:iCs/>
          <w:color w:val="000000"/>
        </w:rPr>
        <w:t>ent 6c</w:t>
      </w:r>
      <w:r w:rsidR="00240AAF"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74680366" w14:textId="77777777" w:rsidR="00580CD1" w:rsidRPr="005553DF" w:rsidRDefault="00580CD1" w:rsidP="005553DF">
      <w:pPr>
        <w:pStyle w:val="Heading3"/>
        <w:spacing w:before="100" w:beforeAutospacing="1" w:after="240" w:line="360" w:lineRule="auto"/>
        <w:rPr>
          <w:rFonts w:asciiTheme="minorHAnsi" w:hAnsiTheme="minorHAnsi" w:cstheme="minorHAnsi"/>
          <w:b w:val="0"/>
          <w:i/>
          <w:color w:val="auto"/>
        </w:rPr>
      </w:pPr>
      <w:bookmarkStart w:id="45" w:name="_Toc532224159"/>
      <w:r w:rsidRPr="005553DF">
        <w:rPr>
          <w:rFonts w:asciiTheme="minorHAnsi" w:hAnsiTheme="minorHAnsi" w:cstheme="minorHAnsi"/>
          <w:i/>
          <w:color w:val="auto"/>
        </w:rPr>
        <w:t>3.5.2 Wave Two Recruitment of Additional Exposed Children and Adults</w:t>
      </w:r>
      <w:bookmarkEnd w:id="45"/>
    </w:p>
    <w:p w14:paraId="555756E4" w14:textId="77777777" w:rsidR="0079727F" w:rsidRPr="005553DF" w:rsidRDefault="000D433D" w:rsidP="005553DF">
      <w:pPr>
        <w:autoSpaceDE w:val="0"/>
        <w:autoSpaceDN w:val="0"/>
        <w:adjustRightInd w:val="0"/>
        <w:spacing w:before="240" w:beforeAutospacing="1" w:after="240" w:line="360" w:lineRule="auto"/>
        <w:jc w:val="both"/>
        <w:rPr>
          <w:rFonts w:asciiTheme="minorHAnsi" w:hAnsiTheme="minorHAnsi" w:cstheme="minorHAnsi"/>
        </w:rPr>
      </w:pPr>
      <w:r w:rsidRPr="005553DF">
        <w:rPr>
          <w:rFonts w:asciiTheme="minorHAnsi" w:hAnsiTheme="minorHAnsi" w:cstheme="minorHAnsi"/>
        </w:rPr>
        <w:t xml:space="preserve">Given that the Pease biomonitoring program recruited a convenience sample, </w:t>
      </w:r>
      <w:r w:rsidR="00E01F29" w:rsidRPr="005553DF">
        <w:rPr>
          <w:rFonts w:asciiTheme="minorHAnsi" w:hAnsiTheme="minorHAnsi" w:cstheme="minorHAnsi"/>
        </w:rPr>
        <w:t>no statistical sampling will be required. A</w:t>
      </w:r>
      <w:r w:rsidRPr="005553DF">
        <w:rPr>
          <w:rFonts w:asciiTheme="minorHAnsi" w:hAnsiTheme="minorHAnsi" w:cstheme="minorHAnsi"/>
        </w:rPr>
        <w:t xml:space="preserve">ll biomonitoring participants in the </w:t>
      </w:r>
      <w:r w:rsidR="009E167D" w:rsidRPr="005553DF">
        <w:rPr>
          <w:rFonts w:asciiTheme="minorHAnsi" w:hAnsiTheme="minorHAnsi" w:cstheme="minorHAnsi"/>
        </w:rPr>
        <w:t>recruitment frame</w:t>
      </w:r>
      <w:r w:rsidRPr="005553DF">
        <w:rPr>
          <w:rFonts w:asciiTheme="minorHAnsi" w:hAnsiTheme="minorHAnsi" w:cstheme="minorHAnsi"/>
        </w:rPr>
        <w:t xml:space="preserve"> will be recruited until the list is exhausted or until the required sample size is reached. </w:t>
      </w:r>
      <w:r w:rsidR="00D6435F" w:rsidRPr="005553DF">
        <w:rPr>
          <w:rFonts w:asciiTheme="minorHAnsi" w:hAnsiTheme="minorHAnsi" w:cstheme="minorHAnsi"/>
          <w:bCs/>
          <w:iCs/>
          <w:color w:val="000000"/>
        </w:rPr>
        <w:t>If sample size requirements are not met in Wave One, ATSDR will further recruit individuals who were eligible but did not participate in the biomonitoring program. ATSDR will launch a media campaign to announce Wave Two</w:t>
      </w:r>
      <w:r w:rsidR="00116101" w:rsidRPr="005553DF">
        <w:rPr>
          <w:rFonts w:asciiTheme="minorHAnsi" w:hAnsiTheme="minorHAnsi" w:cstheme="minorHAnsi"/>
          <w:bCs/>
          <w:iCs/>
          <w:color w:val="000000"/>
        </w:rPr>
        <w:t xml:space="preserve"> (</w:t>
      </w:r>
      <w:r w:rsidR="00116101" w:rsidRPr="005553DF">
        <w:rPr>
          <w:rFonts w:asciiTheme="minorHAnsi" w:hAnsiTheme="minorHAnsi" w:cstheme="minorHAnsi"/>
          <w:b/>
          <w:bCs/>
          <w:iCs/>
          <w:color w:val="000000"/>
        </w:rPr>
        <w:t>Attachment 5</w:t>
      </w:r>
      <w:r w:rsidR="00116101" w:rsidRPr="005553DF">
        <w:rPr>
          <w:rFonts w:asciiTheme="minorHAnsi" w:hAnsiTheme="minorHAnsi" w:cstheme="minorHAnsi"/>
          <w:bCs/>
          <w:iCs/>
          <w:color w:val="000000"/>
        </w:rPr>
        <w:t>)</w:t>
      </w:r>
      <w:r w:rsidR="0079727F" w:rsidRPr="005553DF">
        <w:rPr>
          <w:rFonts w:asciiTheme="minorHAnsi" w:hAnsiTheme="minorHAnsi" w:cstheme="minorHAnsi"/>
        </w:rPr>
        <w:t xml:space="preserve">.  </w:t>
      </w:r>
      <w:r w:rsidR="00D6435F" w:rsidRPr="005553DF">
        <w:rPr>
          <w:rFonts w:asciiTheme="minorHAnsi" w:hAnsiTheme="minorHAnsi" w:cstheme="minorHAnsi"/>
          <w:bCs/>
          <w:iCs/>
          <w:color w:val="000000"/>
        </w:rPr>
        <w:t>A recruitment flyer will be sent to parents of other children identified as attending daycare centers at Pease before 2014 who didn’t participate in biomonitoring in 2015-7 (</w:t>
      </w:r>
      <w:r w:rsidR="0008657F" w:rsidRPr="005553DF">
        <w:rPr>
          <w:rFonts w:asciiTheme="minorHAnsi" w:hAnsiTheme="minorHAnsi" w:cstheme="minorHAnsi"/>
          <w:b/>
          <w:bCs/>
          <w:iCs/>
          <w:color w:val="000000"/>
        </w:rPr>
        <w:t>Attachment 7</w:t>
      </w:r>
      <w:r w:rsidR="00D6435F" w:rsidRPr="005553DF">
        <w:rPr>
          <w:rFonts w:asciiTheme="minorHAnsi" w:hAnsiTheme="minorHAnsi" w:cstheme="minorHAnsi"/>
          <w:b/>
          <w:bCs/>
          <w:iCs/>
          <w:color w:val="000000"/>
        </w:rPr>
        <w:t>a</w:t>
      </w:r>
      <w:r w:rsidR="00D6435F" w:rsidRPr="005553DF">
        <w:rPr>
          <w:rFonts w:asciiTheme="minorHAnsi" w:hAnsiTheme="minorHAnsi" w:cstheme="minorHAnsi"/>
          <w:bCs/>
          <w:iCs/>
          <w:color w:val="000000"/>
        </w:rPr>
        <w:t>).  Advertisement in local public media and through PDA and TAP would encourage other eligible adults to participate in the study (</w:t>
      </w:r>
      <w:r w:rsidR="00116101" w:rsidRPr="005553DF">
        <w:rPr>
          <w:rFonts w:asciiTheme="minorHAnsi" w:hAnsiTheme="minorHAnsi" w:cstheme="minorHAnsi"/>
          <w:b/>
          <w:bCs/>
          <w:iCs/>
          <w:color w:val="000000"/>
        </w:rPr>
        <w:t>Attachment 5</w:t>
      </w:r>
      <w:r w:rsidR="00134853" w:rsidRPr="005553DF">
        <w:rPr>
          <w:rFonts w:asciiTheme="minorHAnsi" w:hAnsiTheme="minorHAnsi" w:cstheme="minorHAnsi"/>
          <w:bCs/>
          <w:iCs/>
          <w:color w:val="000000"/>
        </w:rPr>
        <w:t>)</w:t>
      </w:r>
      <w:r w:rsidR="00D6435F" w:rsidRPr="005553DF">
        <w:rPr>
          <w:rFonts w:asciiTheme="minorHAnsi" w:hAnsiTheme="minorHAnsi" w:cstheme="minorHAnsi"/>
          <w:bCs/>
          <w:iCs/>
          <w:color w:val="000000"/>
        </w:rPr>
        <w:t xml:space="preserve">. </w:t>
      </w:r>
      <w:r w:rsidR="005F00D5" w:rsidRPr="005553DF">
        <w:rPr>
          <w:rFonts w:asciiTheme="minorHAnsi" w:hAnsiTheme="minorHAnsi" w:cstheme="minorHAnsi"/>
          <w:bCs/>
          <w:iCs/>
          <w:color w:val="000000"/>
        </w:rPr>
        <w:t xml:space="preserve">The flyers </w:t>
      </w:r>
      <w:r w:rsidR="00325595" w:rsidRPr="005553DF">
        <w:rPr>
          <w:rFonts w:asciiTheme="minorHAnsi" w:hAnsiTheme="minorHAnsi" w:cstheme="minorHAnsi"/>
          <w:bCs/>
          <w:iCs/>
          <w:color w:val="000000"/>
        </w:rPr>
        <w:t>will provide a toll-free number</w:t>
      </w:r>
      <w:r w:rsidR="005F00D5" w:rsidRPr="005553DF">
        <w:rPr>
          <w:rFonts w:asciiTheme="minorHAnsi" w:hAnsiTheme="minorHAnsi" w:cstheme="minorHAnsi"/>
          <w:bCs/>
          <w:iCs/>
          <w:color w:val="000000"/>
        </w:rPr>
        <w:t xml:space="preserve"> that interested recruits</w:t>
      </w:r>
      <w:r w:rsidR="00D6435F" w:rsidRPr="005553DF">
        <w:rPr>
          <w:rFonts w:asciiTheme="minorHAnsi" w:hAnsiTheme="minorHAnsi" w:cstheme="minorHAnsi"/>
          <w:bCs/>
          <w:iCs/>
          <w:color w:val="000000"/>
        </w:rPr>
        <w:t xml:space="preserve"> can call </w:t>
      </w:r>
      <w:r w:rsidR="00325595" w:rsidRPr="005553DF">
        <w:rPr>
          <w:rFonts w:asciiTheme="minorHAnsi" w:hAnsiTheme="minorHAnsi" w:cstheme="minorHAnsi"/>
          <w:bCs/>
          <w:iCs/>
          <w:color w:val="000000"/>
        </w:rPr>
        <w:t xml:space="preserve">ATSDR </w:t>
      </w:r>
      <w:r w:rsidR="00D6435F" w:rsidRPr="005553DF">
        <w:rPr>
          <w:rFonts w:asciiTheme="minorHAnsi" w:hAnsiTheme="minorHAnsi" w:cstheme="minorHAnsi"/>
          <w:bCs/>
          <w:iCs/>
          <w:color w:val="000000"/>
        </w:rPr>
        <w:t>to request participation in the study and ask any questions about the study</w:t>
      </w:r>
      <w:r w:rsidR="0008657F" w:rsidRPr="005553DF">
        <w:rPr>
          <w:rFonts w:asciiTheme="minorHAnsi" w:hAnsiTheme="minorHAnsi" w:cstheme="minorHAnsi"/>
          <w:bCs/>
          <w:iCs/>
          <w:color w:val="000000"/>
        </w:rPr>
        <w:t xml:space="preserve"> (</w:t>
      </w:r>
      <w:r w:rsidR="0008657F" w:rsidRPr="005553DF">
        <w:rPr>
          <w:rFonts w:asciiTheme="minorHAnsi" w:hAnsiTheme="minorHAnsi" w:cstheme="minorHAnsi"/>
          <w:b/>
          <w:bCs/>
          <w:iCs/>
          <w:color w:val="000000"/>
        </w:rPr>
        <w:t>Attachment 7b</w:t>
      </w:r>
      <w:r w:rsidR="0008657F" w:rsidRPr="005553DF">
        <w:rPr>
          <w:rFonts w:asciiTheme="minorHAnsi" w:hAnsiTheme="minorHAnsi" w:cstheme="minorHAnsi"/>
          <w:bCs/>
          <w:iCs/>
          <w:color w:val="000000"/>
        </w:rPr>
        <w:t>)</w:t>
      </w:r>
      <w:r w:rsidR="00D6435F" w:rsidRPr="005553DF">
        <w:rPr>
          <w:rFonts w:asciiTheme="minorHAnsi" w:hAnsiTheme="minorHAnsi" w:cstheme="minorHAnsi"/>
          <w:bCs/>
          <w:iCs/>
          <w:color w:val="000000"/>
        </w:rPr>
        <w:t>.</w:t>
      </w:r>
      <w:r w:rsidR="00D6435F" w:rsidRPr="005553DF">
        <w:rPr>
          <w:rFonts w:asciiTheme="minorHAnsi" w:hAnsiTheme="minorHAnsi" w:cstheme="minorHAnsi"/>
        </w:rPr>
        <w:t xml:space="preserve"> </w:t>
      </w:r>
      <w:r w:rsidR="00580CD1" w:rsidRPr="005553DF">
        <w:rPr>
          <w:rFonts w:asciiTheme="minorHAnsi" w:hAnsiTheme="minorHAnsi" w:cstheme="minorHAnsi"/>
          <w:bCs/>
          <w:iCs/>
          <w:color w:val="000000"/>
        </w:rPr>
        <w:t>ATSDR will screen each interested caller usin</w:t>
      </w:r>
      <w:r w:rsidR="00D6435F" w:rsidRPr="005553DF">
        <w:rPr>
          <w:rFonts w:asciiTheme="minorHAnsi" w:hAnsiTheme="minorHAnsi" w:cstheme="minorHAnsi"/>
          <w:bCs/>
          <w:iCs/>
          <w:color w:val="000000"/>
        </w:rPr>
        <w:t>g an eligibility</w:t>
      </w:r>
      <w:r w:rsidR="00580CD1" w:rsidRPr="005553DF">
        <w:rPr>
          <w:rFonts w:asciiTheme="minorHAnsi" w:hAnsiTheme="minorHAnsi" w:cstheme="minorHAnsi"/>
          <w:bCs/>
          <w:iCs/>
          <w:color w:val="000000"/>
        </w:rPr>
        <w:t xml:space="preserve"> screening script (</w:t>
      </w:r>
      <w:r w:rsidR="00580CD1" w:rsidRPr="005553DF">
        <w:rPr>
          <w:rFonts w:asciiTheme="minorHAnsi" w:hAnsiTheme="minorHAnsi" w:cstheme="minorHAnsi"/>
          <w:b/>
          <w:bCs/>
          <w:iCs/>
          <w:color w:val="000000"/>
        </w:rPr>
        <w:t>Attachment</w:t>
      </w:r>
      <w:r w:rsidR="0008657F" w:rsidRPr="005553DF">
        <w:rPr>
          <w:rFonts w:asciiTheme="minorHAnsi" w:hAnsiTheme="minorHAnsi" w:cstheme="minorHAnsi"/>
          <w:b/>
          <w:bCs/>
          <w:iCs/>
          <w:color w:val="000000"/>
        </w:rPr>
        <w:t xml:space="preserve"> 7c</w:t>
      </w:r>
      <w:r w:rsidR="00580CD1" w:rsidRPr="005553DF">
        <w:rPr>
          <w:rFonts w:asciiTheme="minorHAnsi" w:hAnsiTheme="minorHAnsi" w:cstheme="minorHAnsi"/>
          <w:bCs/>
          <w:iCs/>
          <w:color w:val="000000"/>
        </w:rPr>
        <w:t>).</w:t>
      </w:r>
    </w:p>
    <w:p w14:paraId="12AD45F8" w14:textId="77777777" w:rsidR="00580CD1" w:rsidRPr="005553DF" w:rsidRDefault="00580CD1" w:rsidP="005553DF">
      <w:pPr>
        <w:pStyle w:val="Heading3"/>
        <w:spacing w:before="100" w:beforeAutospacing="1" w:after="240" w:line="360" w:lineRule="auto"/>
        <w:rPr>
          <w:rFonts w:asciiTheme="minorHAnsi" w:hAnsiTheme="minorHAnsi" w:cstheme="minorHAnsi"/>
          <w:bCs w:val="0"/>
          <w:i/>
          <w:color w:val="auto"/>
        </w:rPr>
      </w:pPr>
      <w:bookmarkStart w:id="46" w:name="_Toc532224160"/>
      <w:r w:rsidRPr="005553DF">
        <w:rPr>
          <w:rFonts w:asciiTheme="minorHAnsi" w:hAnsiTheme="minorHAnsi" w:cstheme="minorHAnsi"/>
          <w:i/>
          <w:color w:val="auto"/>
        </w:rPr>
        <w:t>3.5.3 Wave Three Recruitment of Referent Children and Adults</w:t>
      </w:r>
      <w:bookmarkEnd w:id="46"/>
    </w:p>
    <w:p w14:paraId="1C61E61B" w14:textId="77777777" w:rsidR="00426B52" w:rsidRPr="005553DF" w:rsidRDefault="00016592" w:rsidP="005553DF">
      <w:pPr>
        <w:autoSpaceDE w:val="0"/>
        <w:autoSpaceDN w:val="0"/>
        <w:adjustRightInd w:val="0"/>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For efficiency, Wave Three may occur concurrently with Waves One and Two. </w:t>
      </w:r>
      <w:r w:rsidR="001420F2" w:rsidRPr="005553DF">
        <w:rPr>
          <w:rFonts w:asciiTheme="minorHAnsi" w:hAnsiTheme="minorHAnsi" w:cstheme="minorHAnsi"/>
          <w:bCs/>
          <w:iCs/>
          <w:color w:val="000000"/>
        </w:rPr>
        <w:t xml:space="preserve">ATSDR will recruit a small referent group of </w:t>
      </w:r>
      <w:r w:rsidR="000158D9" w:rsidRPr="005553DF">
        <w:rPr>
          <w:rFonts w:asciiTheme="minorHAnsi" w:hAnsiTheme="minorHAnsi" w:cstheme="minorHAnsi"/>
          <w:bCs/>
          <w:iCs/>
          <w:color w:val="000000"/>
        </w:rPr>
        <w:t xml:space="preserve">175 </w:t>
      </w:r>
      <w:r w:rsidR="001420F2" w:rsidRPr="005553DF">
        <w:rPr>
          <w:rFonts w:asciiTheme="minorHAnsi" w:hAnsiTheme="minorHAnsi" w:cstheme="minorHAnsi"/>
          <w:bCs/>
          <w:iCs/>
          <w:color w:val="000000"/>
        </w:rPr>
        <w:t>children</w:t>
      </w:r>
      <w:r w:rsidR="00E81E0F" w:rsidRPr="005553DF">
        <w:rPr>
          <w:rFonts w:asciiTheme="minorHAnsi" w:hAnsiTheme="minorHAnsi" w:cstheme="minorHAnsi"/>
          <w:bCs/>
          <w:iCs/>
          <w:color w:val="000000"/>
        </w:rPr>
        <w:t xml:space="preserve"> and </w:t>
      </w:r>
      <w:r w:rsidR="000158D9" w:rsidRPr="005553DF">
        <w:rPr>
          <w:rFonts w:asciiTheme="minorHAnsi" w:hAnsiTheme="minorHAnsi" w:cstheme="minorHAnsi"/>
          <w:bCs/>
          <w:iCs/>
          <w:color w:val="000000"/>
        </w:rPr>
        <w:t xml:space="preserve">100 </w:t>
      </w:r>
      <w:r w:rsidR="00E81E0F" w:rsidRPr="005553DF">
        <w:rPr>
          <w:rFonts w:asciiTheme="minorHAnsi" w:hAnsiTheme="minorHAnsi" w:cstheme="minorHAnsi"/>
          <w:bCs/>
          <w:iCs/>
          <w:color w:val="000000"/>
        </w:rPr>
        <w:t>adults</w:t>
      </w:r>
      <w:r w:rsidR="00777F32" w:rsidRPr="005553DF">
        <w:rPr>
          <w:rFonts w:asciiTheme="minorHAnsi" w:hAnsiTheme="minorHAnsi" w:cstheme="minorHAnsi"/>
          <w:bCs/>
          <w:iCs/>
          <w:color w:val="000000"/>
        </w:rPr>
        <w:t xml:space="preserve"> not </w:t>
      </w:r>
      <w:r w:rsidR="001420F2" w:rsidRPr="005553DF">
        <w:rPr>
          <w:rFonts w:asciiTheme="minorHAnsi" w:hAnsiTheme="minorHAnsi" w:cstheme="minorHAnsi"/>
          <w:bCs/>
          <w:iCs/>
          <w:color w:val="000000"/>
        </w:rPr>
        <w:t>exposed to PFAS-contaminated drinking water</w:t>
      </w:r>
      <w:r w:rsidR="00E81E0F" w:rsidRPr="005553DF">
        <w:rPr>
          <w:rFonts w:asciiTheme="minorHAnsi" w:hAnsiTheme="minorHAnsi" w:cstheme="minorHAnsi"/>
          <w:bCs/>
          <w:iCs/>
          <w:color w:val="000000"/>
        </w:rPr>
        <w:t xml:space="preserve">. </w:t>
      </w:r>
    </w:p>
    <w:p w14:paraId="72C55752" w14:textId="77777777" w:rsidR="003978B3" w:rsidRPr="005553DF" w:rsidRDefault="00426B52"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ATSDR will work with school officials to approve this school-based recruitment. ATSDR will also request that the schools distribute a flyer describing the study to students and instruct the students to give the flyer to their parents. </w:t>
      </w:r>
      <w:r w:rsidR="00E81E0F" w:rsidRPr="005553DF">
        <w:rPr>
          <w:rFonts w:asciiTheme="minorHAnsi" w:hAnsiTheme="minorHAnsi" w:cstheme="minorHAnsi"/>
          <w:bCs/>
          <w:iCs/>
          <w:color w:val="000000"/>
        </w:rPr>
        <w:t>Children will be recruited</w:t>
      </w:r>
      <w:r w:rsidR="001420F2" w:rsidRPr="005553DF">
        <w:rPr>
          <w:rFonts w:asciiTheme="minorHAnsi" w:hAnsiTheme="minorHAnsi" w:cstheme="minorHAnsi"/>
          <w:bCs/>
          <w:iCs/>
          <w:color w:val="000000"/>
        </w:rPr>
        <w:t xml:space="preserve"> through outreach to Portsmouth schools and day care centers (for those 4-5 year old)</w:t>
      </w:r>
      <w:r w:rsidR="00AF30CB" w:rsidRPr="005553DF">
        <w:rPr>
          <w:rFonts w:asciiTheme="minorHAnsi" w:hAnsiTheme="minorHAnsi" w:cstheme="minorHAnsi"/>
          <w:bCs/>
          <w:iCs/>
          <w:color w:val="000000"/>
        </w:rPr>
        <w:t xml:space="preserve"> (</w:t>
      </w:r>
      <w:r w:rsidR="006768A8" w:rsidRPr="005553DF">
        <w:rPr>
          <w:rFonts w:asciiTheme="minorHAnsi" w:hAnsiTheme="minorHAnsi" w:cstheme="minorHAnsi"/>
          <w:b/>
          <w:bCs/>
          <w:iCs/>
          <w:color w:val="000000"/>
        </w:rPr>
        <w:t>Attachment 7d</w:t>
      </w:r>
      <w:r w:rsidR="00AF30CB" w:rsidRPr="005553DF">
        <w:rPr>
          <w:rFonts w:asciiTheme="minorHAnsi" w:hAnsiTheme="minorHAnsi" w:cstheme="minorHAnsi"/>
          <w:bCs/>
          <w:iCs/>
          <w:color w:val="000000"/>
        </w:rPr>
        <w:t>)</w:t>
      </w:r>
      <w:r w:rsidR="001420F2" w:rsidRPr="005553DF">
        <w:rPr>
          <w:rFonts w:asciiTheme="minorHAnsi" w:hAnsiTheme="minorHAnsi" w:cstheme="minorHAnsi"/>
          <w:bCs/>
          <w:iCs/>
          <w:color w:val="000000"/>
        </w:rPr>
        <w:t xml:space="preserve">.  </w:t>
      </w:r>
      <w:r w:rsidR="000158D9" w:rsidRPr="005553DF">
        <w:rPr>
          <w:rFonts w:asciiTheme="minorHAnsi" w:hAnsiTheme="minorHAnsi" w:cstheme="minorHAnsi"/>
        </w:rPr>
        <w:t>Recruitment</w:t>
      </w:r>
      <w:r w:rsidR="001420F2" w:rsidRPr="005553DF">
        <w:rPr>
          <w:rFonts w:asciiTheme="minorHAnsi" w:hAnsiTheme="minorHAnsi" w:cstheme="minorHAnsi"/>
        </w:rPr>
        <w:t xml:space="preserve"> of adult referents will include outreach to current adult education students among the five colleges at Pease (i.e., students who first attended these schools after closure of the Haven Well), Portsmouth government employees (AFSCME Local #1386), Portsmouth community organizations, and/or specific Portsmouth neighborhoods</w:t>
      </w:r>
      <w:r w:rsidR="00DF5518" w:rsidRPr="005553DF">
        <w:rPr>
          <w:rFonts w:asciiTheme="minorHAnsi" w:hAnsiTheme="minorHAnsi" w:cstheme="minorHAnsi"/>
        </w:rPr>
        <w:t xml:space="preserve"> (</w:t>
      </w:r>
      <w:r w:rsidR="006768A8" w:rsidRPr="005553DF">
        <w:rPr>
          <w:rFonts w:asciiTheme="minorHAnsi" w:hAnsiTheme="minorHAnsi" w:cstheme="minorHAnsi"/>
          <w:b/>
        </w:rPr>
        <w:t>Attac</w:t>
      </w:r>
      <w:r w:rsidR="009F7E84" w:rsidRPr="005553DF">
        <w:rPr>
          <w:rFonts w:asciiTheme="minorHAnsi" w:hAnsiTheme="minorHAnsi" w:cstheme="minorHAnsi"/>
          <w:b/>
        </w:rPr>
        <w:t>h</w:t>
      </w:r>
      <w:r w:rsidR="006768A8" w:rsidRPr="005553DF">
        <w:rPr>
          <w:rFonts w:asciiTheme="minorHAnsi" w:hAnsiTheme="minorHAnsi" w:cstheme="minorHAnsi"/>
          <w:b/>
        </w:rPr>
        <w:t>ment 7e</w:t>
      </w:r>
      <w:r w:rsidR="00DF5518" w:rsidRPr="005553DF">
        <w:rPr>
          <w:rFonts w:asciiTheme="minorHAnsi" w:hAnsiTheme="minorHAnsi" w:cstheme="minorHAnsi"/>
        </w:rPr>
        <w:t>)</w:t>
      </w:r>
      <w:r w:rsidR="001420F2" w:rsidRPr="005553DF">
        <w:rPr>
          <w:rFonts w:asciiTheme="minorHAnsi" w:hAnsiTheme="minorHAnsi" w:cstheme="minorHAnsi"/>
        </w:rPr>
        <w:t>.</w:t>
      </w:r>
      <w:r w:rsidR="000D433D" w:rsidRPr="005553DF">
        <w:rPr>
          <w:rFonts w:asciiTheme="minorHAnsi" w:hAnsiTheme="minorHAnsi" w:cstheme="minorHAnsi"/>
        </w:rPr>
        <w:t xml:space="preserve"> </w:t>
      </w:r>
      <w:r w:rsidR="00580CD1" w:rsidRPr="005553DF">
        <w:rPr>
          <w:rFonts w:asciiTheme="minorHAnsi" w:hAnsiTheme="minorHAnsi" w:cstheme="minorHAnsi"/>
          <w:bCs/>
          <w:iCs/>
          <w:color w:val="000000"/>
        </w:rPr>
        <w:t>ATSDR will screen each interested caller usin</w:t>
      </w:r>
      <w:r w:rsidR="005F00D5" w:rsidRPr="005553DF">
        <w:rPr>
          <w:rFonts w:asciiTheme="minorHAnsi" w:hAnsiTheme="minorHAnsi" w:cstheme="minorHAnsi"/>
          <w:bCs/>
          <w:iCs/>
          <w:color w:val="000000"/>
        </w:rPr>
        <w:t>g an eligibility</w:t>
      </w:r>
      <w:r w:rsidR="00580CD1" w:rsidRPr="005553DF">
        <w:rPr>
          <w:rFonts w:asciiTheme="minorHAnsi" w:hAnsiTheme="minorHAnsi" w:cstheme="minorHAnsi"/>
          <w:bCs/>
          <w:iCs/>
          <w:color w:val="000000"/>
        </w:rPr>
        <w:t xml:space="preserve"> screening script (</w:t>
      </w:r>
      <w:r w:rsidR="006768A8" w:rsidRPr="005553DF">
        <w:rPr>
          <w:rFonts w:asciiTheme="minorHAnsi" w:hAnsiTheme="minorHAnsi" w:cstheme="minorHAnsi"/>
          <w:b/>
          <w:bCs/>
          <w:iCs/>
          <w:color w:val="000000"/>
        </w:rPr>
        <w:t>Attachment 7</w:t>
      </w:r>
      <w:r w:rsidR="009656F3" w:rsidRPr="005553DF">
        <w:rPr>
          <w:rFonts w:asciiTheme="minorHAnsi" w:hAnsiTheme="minorHAnsi" w:cstheme="minorHAnsi"/>
          <w:b/>
          <w:bCs/>
          <w:iCs/>
          <w:color w:val="000000"/>
        </w:rPr>
        <w:t>c</w:t>
      </w:r>
      <w:r w:rsidR="00580CD1" w:rsidRPr="005553DF">
        <w:rPr>
          <w:rFonts w:asciiTheme="minorHAnsi" w:hAnsiTheme="minorHAnsi" w:cstheme="minorHAnsi"/>
          <w:bCs/>
          <w:iCs/>
          <w:color w:val="000000"/>
        </w:rPr>
        <w:t>).</w:t>
      </w:r>
    </w:p>
    <w:p w14:paraId="17B3E9DD" w14:textId="77777777" w:rsidR="00D6435F" w:rsidRPr="005553DF" w:rsidRDefault="002C232C"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Both expos</w:t>
      </w:r>
      <w:r w:rsidR="00586712" w:rsidRPr="005553DF">
        <w:rPr>
          <w:rFonts w:asciiTheme="minorHAnsi" w:hAnsiTheme="minorHAnsi" w:cstheme="minorHAnsi"/>
        </w:rPr>
        <w:t>ure and referent</w:t>
      </w:r>
      <w:r w:rsidR="00D6435F" w:rsidRPr="005553DF">
        <w:rPr>
          <w:rFonts w:asciiTheme="minorHAnsi" w:hAnsiTheme="minorHAnsi" w:cstheme="minorHAnsi"/>
          <w:bCs/>
          <w:iCs/>
          <w:color w:val="000000"/>
        </w:rPr>
        <w:t xml:space="preserve"> households may have more than one eligible adult and/or child, and some parents may want to enroll in both of the adult and child studies. Trained study staff will use the recruitment tracking form (</w:t>
      </w:r>
      <w:r w:rsidR="0046037F" w:rsidRPr="005553DF">
        <w:rPr>
          <w:rFonts w:asciiTheme="minorHAnsi" w:hAnsiTheme="minorHAnsi" w:cstheme="minorHAnsi"/>
          <w:b/>
          <w:bCs/>
          <w:iCs/>
          <w:color w:val="000000"/>
        </w:rPr>
        <w:t>Attachment 8</w:t>
      </w:r>
      <w:r w:rsidR="00D6435F" w:rsidRPr="005553DF">
        <w:rPr>
          <w:rFonts w:asciiTheme="minorHAnsi" w:hAnsiTheme="minorHAnsi" w:cstheme="minorHAnsi"/>
          <w:bCs/>
          <w:iCs/>
          <w:color w:val="000000"/>
        </w:rPr>
        <w:t>) to track recruitment success and to calculate non-response bias.</w:t>
      </w:r>
    </w:p>
    <w:p w14:paraId="6C1F8D89" w14:textId="77777777" w:rsidR="00B0085F" w:rsidRPr="005553DF" w:rsidRDefault="00B0085F" w:rsidP="005553DF">
      <w:pPr>
        <w:pStyle w:val="Heading3"/>
        <w:spacing w:before="0" w:after="240" w:line="360" w:lineRule="auto"/>
        <w:rPr>
          <w:rFonts w:asciiTheme="minorHAnsi" w:hAnsiTheme="minorHAnsi" w:cstheme="minorHAnsi"/>
          <w:i/>
          <w:color w:val="auto"/>
        </w:rPr>
      </w:pPr>
      <w:bookmarkStart w:id="47" w:name="_Toc532224161"/>
      <w:r w:rsidRPr="005553DF">
        <w:rPr>
          <w:rFonts w:asciiTheme="minorHAnsi" w:hAnsiTheme="minorHAnsi" w:cstheme="minorHAnsi"/>
          <w:i/>
          <w:color w:val="auto"/>
        </w:rPr>
        <w:t>3.5.3 Enrollment Procedures</w:t>
      </w:r>
      <w:bookmarkEnd w:id="47"/>
    </w:p>
    <w:p w14:paraId="1185C133" w14:textId="77777777" w:rsidR="00ED1DB4" w:rsidRPr="005553DF" w:rsidRDefault="007B2B9D"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Once potential recruits</w:t>
      </w:r>
      <w:r w:rsidR="00E75637" w:rsidRPr="005553DF">
        <w:rPr>
          <w:rFonts w:asciiTheme="minorHAnsi" w:hAnsiTheme="minorHAnsi" w:cstheme="minorHAnsi"/>
          <w:bCs/>
          <w:iCs/>
          <w:color w:val="000000"/>
        </w:rPr>
        <w:t xml:space="preserve"> express interest and are screened for eligibility, </w:t>
      </w:r>
      <w:r w:rsidR="00AE04E3" w:rsidRPr="005553DF">
        <w:rPr>
          <w:rFonts w:asciiTheme="minorHAnsi" w:hAnsiTheme="minorHAnsi" w:cstheme="minorHAnsi"/>
          <w:bCs/>
          <w:iCs/>
          <w:color w:val="000000"/>
        </w:rPr>
        <w:t>s</w:t>
      </w:r>
      <w:r w:rsidR="00ED1DB4" w:rsidRPr="005553DF">
        <w:rPr>
          <w:rFonts w:asciiTheme="minorHAnsi" w:hAnsiTheme="minorHAnsi" w:cstheme="minorHAnsi"/>
          <w:bCs/>
          <w:iCs/>
          <w:color w:val="000000"/>
        </w:rPr>
        <w:t xml:space="preserve">tudy staff will schedule appointments for </w:t>
      </w:r>
      <w:r w:rsidRPr="005553DF">
        <w:rPr>
          <w:rFonts w:asciiTheme="minorHAnsi" w:hAnsiTheme="minorHAnsi" w:cstheme="minorHAnsi"/>
          <w:bCs/>
          <w:iCs/>
          <w:color w:val="000000"/>
        </w:rPr>
        <w:t>them</w:t>
      </w:r>
      <w:r w:rsidR="00ED1DB4" w:rsidRPr="005553DF">
        <w:rPr>
          <w:rFonts w:asciiTheme="minorHAnsi" w:hAnsiTheme="minorHAnsi" w:cstheme="minorHAnsi"/>
          <w:bCs/>
          <w:iCs/>
          <w:color w:val="000000"/>
        </w:rPr>
        <w:t xml:space="preserve"> at the </w:t>
      </w:r>
      <w:r w:rsidR="00AA567B" w:rsidRPr="005553DF">
        <w:rPr>
          <w:rFonts w:asciiTheme="minorHAnsi" w:hAnsiTheme="minorHAnsi" w:cstheme="minorHAnsi"/>
          <w:bCs/>
          <w:iCs/>
          <w:color w:val="000000"/>
        </w:rPr>
        <w:t xml:space="preserve">central </w:t>
      </w:r>
      <w:r w:rsidR="00ED1DB4" w:rsidRPr="005553DF">
        <w:rPr>
          <w:rFonts w:asciiTheme="minorHAnsi" w:hAnsiTheme="minorHAnsi" w:cstheme="minorHAnsi"/>
          <w:bCs/>
          <w:iCs/>
          <w:color w:val="000000"/>
        </w:rPr>
        <w:t xml:space="preserve">study office, or alternatively for a home visit for </w:t>
      </w:r>
      <w:r w:rsidR="00E57F87" w:rsidRPr="005553DF">
        <w:rPr>
          <w:rFonts w:asciiTheme="minorHAnsi" w:hAnsiTheme="minorHAnsi" w:cstheme="minorHAnsi"/>
          <w:bCs/>
          <w:iCs/>
          <w:color w:val="000000"/>
        </w:rPr>
        <w:t>some</w:t>
      </w:r>
      <w:r w:rsidR="00ED1DB4" w:rsidRPr="005553DF">
        <w:rPr>
          <w:rFonts w:asciiTheme="minorHAnsi" w:hAnsiTheme="minorHAnsi" w:cstheme="minorHAnsi"/>
          <w:bCs/>
          <w:iCs/>
          <w:color w:val="000000"/>
        </w:rPr>
        <w:t xml:space="preserve"> who are unable or unwilling to attend an office visit</w:t>
      </w:r>
      <w:r w:rsidR="00DA5A38" w:rsidRPr="005553DF">
        <w:rPr>
          <w:rFonts w:asciiTheme="minorHAnsi" w:hAnsiTheme="minorHAnsi" w:cstheme="minorHAnsi"/>
          <w:bCs/>
          <w:iCs/>
          <w:color w:val="000000"/>
        </w:rPr>
        <w:t xml:space="preserve"> and </w:t>
      </w:r>
      <w:r w:rsidR="00E57F87" w:rsidRPr="005553DF">
        <w:rPr>
          <w:rFonts w:asciiTheme="minorHAnsi" w:hAnsiTheme="minorHAnsi" w:cstheme="minorHAnsi"/>
          <w:bCs/>
          <w:iCs/>
          <w:color w:val="000000"/>
        </w:rPr>
        <w:t xml:space="preserve">who </w:t>
      </w:r>
      <w:r w:rsidR="00DA5A38" w:rsidRPr="005553DF">
        <w:rPr>
          <w:rFonts w:asciiTheme="minorHAnsi" w:hAnsiTheme="minorHAnsi" w:cstheme="minorHAnsi"/>
          <w:bCs/>
          <w:iCs/>
          <w:color w:val="000000"/>
        </w:rPr>
        <w:t>liv</w:t>
      </w:r>
      <w:r w:rsidR="000527E7" w:rsidRPr="005553DF">
        <w:rPr>
          <w:rFonts w:asciiTheme="minorHAnsi" w:hAnsiTheme="minorHAnsi" w:cstheme="minorHAnsi"/>
          <w:bCs/>
          <w:iCs/>
          <w:color w:val="000000"/>
        </w:rPr>
        <w:t>e a reasonable distance to the office</w:t>
      </w:r>
      <w:r w:rsidR="00ED1DB4" w:rsidRPr="005553DF">
        <w:rPr>
          <w:rFonts w:asciiTheme="minorHAnsi" w:hAnsiTheme="minorHAnsi" w:cstheme="minorHAnsi"/>
          <w:bCs/>
          <w:iCs/>
          <w:color w:val="000000"/>
        </w:rPr>
        <w:t xml:space="preserve">.  The study staff will establish a toll-free telephone line for </w:t>
      </w:r>
      <w:r w:rsidR="004315BB" w:rsidRPr="005553DF">
        <w:rPr>
          <w:rFonts w:asciiTheme="minorHAnsi" w:hAnsiTheme="minorHAnsi" w:cstheme="minorHAnsi"/>
          <w:bCs/>
          <w:iCs/>
          <w:color w:val="000000"/>
        </w:rPr>
        <w:t>interested recruit</w:t>
      </w:r>
      <w:r w:rsidR="00ED1DB4" w:rsidRPr="005553DF">
        <w:rPr>
          <w:rFonts w:asciiTheme="minorHAnsi" w:hAnsiTheme="minorHAnsi" w:cstheme="minorHAnsi"/>
          <w:bCs/>
          <w:iCs/>
          <w:color w:val="000000"/>
        </w:rPr>
        <w:t xml:space="preserve">s to schedule appointments at their convenience.  Once the appointment is scheduled, study staff will mail an Appointment Packet </w:t>
      </w:r>
      <w:r w:rsidR="000A7CBC" w:rsidRPr="005553DF">
        <w:rPr>
          <w:rFonts w:asciiTheme="minorHAnsi" w:hAnsiTheme="minorHAnsi" w:cstheme="minorHAnsi"/>
          <w:bCs/>
          <w:iCs/>
          <w:color w:val="000000"/>
        </w:rPr>
        <w:t>(</w:t>
      </w:r>
      <w:r w:rsidR="00ED1DB4" w:rsidRPr="005553DF">
        <w:rPr>
          <w:rFonts w:asciiTheme="minorHAnsi" w:hAnsiTheme="minorHAnsi" w:cstheme="minorHAnsi"/>
          <w:bCs/>
          <w:iCs/>
          <w:color w:val="000000"/>
        </w:rPr>
        <w:t xml:space="preserve">containing an Appointment Reminder Card </w:t>
      </w:r>
      <w:r w:rsidR="000F0911" w:rsidRPr="005553DF">
        <w:rPr>
          <w:rFonts w:asciiTheme="minorHAnsi" w:hAnsiTheme="minorHAnsi" w:cstheme="minorHAnsi"/>
          <w:bCs/>
          <w:iCs/>
          <w:color w:val="000000"/>
        </w:rPr>
        <w:t>(</w:t>
      </w:r>
      <w:r w:rsidR="000F0911" w:rsidRPr="005553DF">
        <w:rPr>
          <w:rFonts w:asciiTheme="minorHAnsi" w:hAnsiTheme="minorHAnsi" w:cstheme="minorHAnsi"/>
          <w:b/>
          <w:bCs/>
          <w:iCs/>
          <w:color w:val="000000"/>
        </w:rPr>
        <w:t xml:space="preserve">Attachment </w:t>
      </w:r>
      <w:r w:rsidR="000A7CBC" w:rsidRPr="005553DF">
        <w:rPr>
          <w:rFonts w:asciiTheme="minorHAnsi" w:hAnsiTheme="minorHAnsi" w:cstheme="minorHAnsi"/>
          <w:b/>
          <w:bCs/>
          <w:iCs/>
          <w:color w:val="000000"/>
        </w:rPr>
        <w:t>9</w:t>
      </w:r>
      <w:r w:rsidR="000F0911" w:rsidRPr="005553DF">
        <w:rPr>
          <w:rFonts w:asciiTheme="minorHAnsi" w:hAnsiTheme="minorHAnsi" w:cstheme="minorHAnsi"/>
          <w:b/>
          <w:bCs/>
          <w:iCs/>
          <w:color w:val="000000"/>
        </w:rPr>
        <w:t>a</w:t>
      </w:r>
      <w:r w:rsidR="000F0911" w:rsidRPr="005553DF">
        <w:rPr>
          <w:rFonts w:asciiTheme="minorHAnsi" w:hAnsiTheme="minorHAnsi" w:cstheme="minorHAnsi"/>
          <w:bCs/>
          <w:iCs/>
          <w:color w:val="000000"/>
        </w:rPr>
        <w:t>)</w:t>
      </w:r>
      <w:r w:rsidR="00ED1DB4" w:rsidRPr="005553DF">
        <w:rPr>
          <w:rFonts w:asciiTheme="minorHAnsi" w:hAnsiTheme="minorHAnsi" w:cstheme="minorHAnsi"/>
          <w:bCs/>
          <w:iCs/>
          <w:color w:val="000000"/>
        </w:rPr>
        <w:t xml:space="preserve">, the </w:t>
      </w:r>
      <w:r w:rsidR="00545DD3" w:rsidRPr="005553DF">
        <w:rPr>
          <w:rFonts w:asciiTheme="minorHAnsi" w:hAnsiTheme="minorHAnsi" w:cstheme="minorHAnsi"/>
          <w:bCs/>
          <w:iCs/>
          <w:color w:val="000000"/>
        </w:rPr>
        <w:t>Informed Consent materials</w:t>
      </w:r>
      <w:r w:rsidR="00ED1DB4" w:rsidRPr="005553DF">
        <w:rPr>
          <w:rFonts w:asciiTheme="minorHAnsi" w:hAnsiTheme="minorHAnsi" w:cstheme="minorHAnsi"/>
          <w:bCs/>
          <w:iCs/>
          <w:color w:val="000000"/>
        </w:rPr>
        <w:t xml:space="preserve"> </w:t>
      </w:r>
      <w:r w:rsidR="000F0911" w:rsidRPr="005553DF">
        <w:rPr>
          <w:rFonts w:asciiTheme="minorHAnsi" w:hAnsiTheme="minorHAnsi"/>
          <w:color w:val="000000"/>
        </w:rPr>
        <w:t>(</w:t>
      </w:r>
      <w:r w:rsidR="00AF7177" w:rsidRPr="005553DF">
        <w:rPr>
          <w:rFonts w:asciiTheme="minorHAnsi" w:hAnsiTheme="minorHAnsi" w:cstheme="minorHAnsi"/>
          <w:b/>
          <w:bCs/>
          <w:iCs/>
          <w:color w:val="000000"/>
        </w:rPr>
        <w:t xml:space="preserve">Attachment </w:t>
      </w:r>
      <w:r w:rsidR="000A7CBC" w:rsidRPr="005553DF">
        <w:rPr>
          <w:rFonts w:asciiTheme="minorHAnsi" w:hAnsiTheme="minorHAnsi" w:cstheme="minorHAnsi"/>
          <w:b/>
          <w:bCs/>
          <w:iCs/>
          <w:color w:val="000000"/>
        </w:rPr>
        <w:t>9</w:t>
      </w:r>
      <w:r w:rsidR="008626E7" w:rsidRPr="005553DF">
        <w:rPr>
          <w:rFonts w:asciiTheme="minorHAnsi" w:hAnsiTheme="minorHAnsi" w:cstheme="minorHAnsi"/>
          <w:b/>
          <w:bCs/>
          <w:iCs/>
          <w:color w:val="000000"/>
        </w:rPr>
        <w:t>b</w:t>
      </w:r>
      <w:r w:rsidR="000F0911" w:rsidRPr="005553DF">
        <w:rPr>
          <w:rFonts w:asciiTheme="minorHAnsi" w:hAnsiTheme="minorHAnsi" w:cstheme="minorHAnsi"/>
          <w:bCs/>
          <w:iCs/>
          <w:color w:val="000000"/>
        </w:rPr>
        <w:t>), a Study Fact Sheet (</w:t>
      </w:r>
      <w:r w:rsidR="00AF7177" w:rsidRPr="005553DF">
        <w:rPr>
          <w:rFonts w:asciiTheme="minorHAnsi" w:hAnsiTheme="minorHAnsi" w:cstheme="minorHAnsi"/>
          <w:b/>
          <w:bCs/>
          <w:iCs/>
          <w:color w:val="000000"/>
        </w:rPr>
        <w:t xml:space="preserve">Attachment </w:t>
      </w:r>
      <w:r w:rsidR="000A7CBC" w:rsidRPr="005553DF">
        <w:rPr>
          <w:rFonts w:asciiTheme="minorHAnsi" w:hAnsiTheme="minorHAnsi" w:cstheme="minorHAnsi"/>
          <w:b/>
          <w:bCs/>
          <w:iCs/>
          <w:color w:val="000000"/>
        </w:rPr>
        <w:t>9</w:t>
      </w:r>
      <w:r w:rsidR="000F0911" w:rsidRPr="005553DF">
        <w:rPr>
          <w:rFonts w:asciiTheme="minorHAnsi" w:hAnsiTheme="minorHAnsi" w:cstheme="minorHAnsi"/>
          <w:b/>
          <w:bCs/>
          <w:iCs/>
          <w:color w:val="000000"/>
        </w:rPr>
        <w:t>c</w:t>
      </w:r>
      <w:r w:rsidR="000F0911" w:rsidRPr="005553DF">
        <w:rPr>
          <w:rFonts w:asciiTheme="minorHAnsi" w:hAnsiTheme="minorHAnsi" w:cstheme="minorHAnsi"/>
          <w:bCs/>
          <w:iCs/>
          <w:color w:val="000000"/>
        </w:rPr>
        <w:t>)</w:t>
      </w:r>
      <w:r w:rsidR="004E0B20" w:rsidRPr="005553DF">
        <w:rPr>
          <w:rFonts w:asciiTheme="minorHAnsi" w:hAnsiTheme="minorHAnsi" w:cstheme="minorHAnsi"/>
          <w:bCs/>
          <w:iCs/>
          <w:color w:val="000000"/>
        </w:rPr>
        <w:t xml:space="preserve"> with</w:t>
      </w:r>
      <w:r w:rsidR="00765A72" w:rsidRPr="005553DF">
        <w:rPr>
          <w:rFonts w:asciiTheme="minorHAnsi" w:hAnsiTheme="minorHAnsi" w:cstheme="minorHAnsi"/>
          <w:bCs/>
          <w:iCs/>
          <w:color w:val="000000"/>
        </w:rPr>
        <w:t xml:space="preserve"> a description </w:t>
      </w:r>
      <w:r w:rsidR="00613E10" w:rsidRPr="005553DF">
        <w:rPr>
          <w:rFonts w:asciiTheme="minorHAnsi" w:hAnsiTheme="minorHAnsi" w:cstheme="minorHAnsi"/>
          <w:bCs/>
          <w:iCs/>
          <w:color w:val="000000"/>
        </w:rPr>
        <w:t>to arrive fasting</w:t>
      </w:r>
      <w:r w:rsidR="00765A72" w:rsidRPr="005553DF">
        <w:rPr>
          <w:rFonts w:asciiTheme="minorHAnsi" w:hAnsiTheme="minorHAnsi" w:cstheme="minorHAnsi"/>
          <w:bCs/>
          <w:iCs/>
          <w:color w:val="000000"/>
        </w:rPr>
        <w:t>, and</w:t>
      </w:r>
      <w:r w:rsidR="00613E10" w:rsidRPr="005553DF">
        <w:rPr>
          <w:rFonts w:asciiTheme="minorHAnsi" w:hAnsiTheme="minorHAnsi" w:cstheme="minorHAnsi"/>
          <w:bCs/>
          <w:iCs/>
          <w:color w:val="000000"/>
        </w:rPr>
        <w:t xml:space="preserve"> to </w:t>
      </w:r>
      <w:r w:rsidR="004315BB" w:rsidRPr="005553DF">
        <w:rPr>
          <w:rFonts w:asciiTheme="minorHAnsi" w:hAnsiTheme="minorHAnsi" w:cstheme="minorHAnsi"/>
          <w:bCs/>
          <w:iCs/>
          <w:color w:val="000000"/>
        </w:rPr>
        <w:t xml:space="preserve">bring </w:t>
      </w:r>
      <w:r w:rsidR="006B43B9" w:rsidRPr="005553DF">
        <w:rPr>
          <w:rFonts w:asciiTheme="minorHAnsi" w:hAnsiTheme="minorHAnsi" w:cstheme="minorHAnsi"/>
          <w:bCs/>
          <w:iCs/>
          <w:color w:val="000000"/>
        </w:rPr>
        <w:t xml:space="preserve">medications and a </w:t>
      </w:r>
      <w:r w:rsidR="004E0B20" w:rsidRPr="005553DF">
        <w:rPr>
          <w:rFonts w:asciiTheme="minorHAnsi" w:hAnsiTheme="minorHAnsi" w:cstheme="minorHAnsi"/>
          <w:bCs/>
          <w:iCs/>
          <w:color w:val="000000"/>
        </w:rPr>
        <w:t>urine sample</w:t>
      </w:r>
      <w:r w:rsidR="004315BB" w:rsidRPr="005553DF">
        <w:rPr>
          <w:rFonts w:asciiTheme="minorHAnsi" w:hAnsiTheme="minorHAnsi" w:cstheme="minorHAnsi"/>
          <w:bCs/>
          <w:iCs/>
          <w:color w:val="000000"/>
        </w:rPr>
        <w:t xml:space="preserve"> to the appointment</w:t>
      </w:r>
      <w:r w:rsidR="00ED1DB4" w:rsidRPr="005553DF">
        <w:rPr>
          <w:rFonts w:asciiTheme="minorHAnsi" w:hAnsiTheme="minorHAnsi" w:cstheme="minorHAnsi"/>
          <w:b/>
          <w:bCs/>
          <w:iCs/>
          <w:color w:val="000000"/>
        </w:rPr>
        <w:t>.</w:t>
      </w:r>
      <w:r w:rsidR="00ED1DB4" w:rsidRPr="005553DF">
        <w:rPr>
          <w:rFonts w:asciiTheme="minorHAnsi" w:hAnsiTheme="minorHAnsi" w:cstheme="minorHAnsi"/>
          <w:bCs/>
          <w:iCs/>
          <w:color w:val="000000"/>
        </w:rPr>
        <w:t xml:space="preserve"> </w:t>
      </w:r>
      <w:r w:rsidRPr="005553DF">
        <w:rPr>
          <w:rFonts w:asciiTheme="minorHAnsi" w:hAnsiTheme="minorHAnsi" w:cstheme="minorHAnsi"/>
        </w:rPr>
        <w:t>Interes</w:t>
      </w:r>
      <w:r w:rsidR="0091133A" w:rsidRPr="005553DF">
        <w:rPr>
          <w:rFonts w:asciiTheme="minorHAnsi" w:hAnsiTheme="minorHAnsi" w:cstheme="minorHAnsi"/>
        </w:rPr>
        <w:t>ted recruits will be mailed urine collection supplies</w:t>
      </w:r>
      <w:r w:rsidRPr="005553DF">
        <w:rPr>
          <w:rFonts w:asciiTheme="minorHAnsi" w:hAnsiTheme="minorHAnsi" w:cstheme="minorHAnsi"/>
        </w:rPr>
        <w:t xml:space="preserve">. They will be instructed to collect a first-morning </w:t>
      </w:r>
      <w:r w:rsidR="00BD6EFA" w:rsidRPr="005553DF">
        <w:rPr>
          <w:rFonts w:asciiTheme="minorHAnsi" w:hAnsiTheme="minorHAnsi" w:cstheme="minorHAnsi"/>
        </w:rPr>
        <w:t xml:space="preserve">voided </w:t>
      </w:r>
      <w:r w:rsidRPr="005553DF">
        <w:rPr>
          <w:rFonts w:asciiTheme="minorHAnsi" w:hAnsiTheme="minorHAnsi" w:cstheme="minorHAnsi"/>
        </w:rPr>
        <w:t xml:space="preserve">urine sample on the day of their appointment. </w:t>
      </w:r>
      <w:r w:rsidR="00ED1DB4" w:rsidRPr="005553DF">
        <w:rPr>
          <w:rFonts w:asciiTheme="minorHAnsi" w:hAnsiTheme="minorHAnsi" w:cstheme="minorHAnsi"/>
          <w:bCs/>
          <w:iCs/>
          <w:color w:val="000000"/>
        </w:rPr>
        <w:t xml:space="preserve">An advance copy of the Informed Consent Form will provide an extra opportunity for the interested recruit to read and more fully understand his or her rights in the study and to ask any questions before the scheduled appointment. </w:t>
      </w:r>
    </w:p>
    <w:p w14:paraId="535181E4" w14:textId="77777777" w:rsidR="00AA6272" w:rsidRPr="005553DF" w:rsidRDefault="00ED1DB4" w:rsidP="005553DF">
      <w:pPr>
        <w:spacing w:before="100" w:beforeAutospacing="1" w:after="240" w:line="360" w:lineRule="auto"/>
        <w:jc w:val="both"/>
        <w:rPr>
          <w:rFonts w:asciiTheme="minorHAnsi" w:hAnsiTheme="minorHAnsi" w:cstheme="minorHAnsi"/>
          <w:b/>
        </w:rPr>
      </w:pPr>
      <w:r w:rsidRPr="005553DF">
        <w:rPr>
          <w:rFonts w:asciiTheme="minorHAnsi" w:hAnsiTheme="minorHAnsi" w:cstheme="minorHAnsi"/>
          <w:bCs/>
          <w:iCs/>
          <w:color w:val="000000"/>
        </w:rPr>
        <w:t>Study staff will give the interested recruit a reminder telephone call one to two days before the scheduled appointment</w:t>
      </w:r>
      <w:r w:rsidR="000F0911" w:rsidRPr="005553DF">
        <w:rPr>
          <w:rFonts w:asciiTheme="minorHAnsi" w:hAnsiTheme="minorHAnsi" w:cstheme="minorHAnsi"/>
          <w:bCs/>
          <w:iCs/>
          <w:color w:val="000000"/>
        </w:rPr>
        <w:t xml:space="preserve"> (</w:t>
      </w:r>
      <w:r w:rsidR="00AF7177" w:rsidRPr="005553DF">
        <w:rPr>
          <w:rFonts w:asciiTheme="minorHAnsi" w:hAnsiTheme="minorHAnsi" w:cstheme="minorHAnsi"/>
          <w:b/>
          <w:bCs/>
          <w:iCs/>
          <w:color w:val="000000"/>
        </w:rPr>
        <w:t xml:space="preserve">Attachment </w:t>
      </w:r>
      <w:r w:rsidR="000A7CBC" w:rsidRPr="005553DF">
        <w:rPr>
          <w:rFonts w:asciiTheme="minorHAnsi" w:hAnsiTheme="minorHAnsi" w:cstheme="minorHAnsi"/>
          <w:b/>
          <w:bCs/>
          <w:iCs/>
          <w:color w:val="000000"/>
        </w:rPr>
        <w:t>10</w:t>
      </w:r>
      <w:r w:rsidR="000F0911" w:rsidRPr="005553DF">
        <w:rPr>
          <w:rFonts w:asciiTheme="minorHAnsi" w:hAnsiTheme="minorHAnsi" w:cstheme="minorHAnsi"/>
          <w:bCs/>
          <w:iCs/>
          <w:color w:val="000000"/>
        </w:rPr>
        <w:t>)</w:t>
      </w:r>
      <w:r w:rsidRPr="005553DF">
        <w:rPr>
          <w:rFonts w:asciiTheme="minorHAnsi" w:hAnsiTheme="minorHAnsi" w:cstheme="minorHAnsi"/>
          <w:bCs/>
          <w:iCs/>
          <w:color w:val="000000"/>
        </w:rPr>
        <w:t>. The study protocol will provide the flexibility to schedule or re-schedule office or home visits</w:t>
      </w:r>
      <w:r w:rsidR="00AE1651" w:rsidRPr="005553DF">
        <w:rPr>
          <w:rFonts w:asciiTheme="minorHAnsi" w:hAnsiTheme="minorHAnsi" w:cstheme="minorHAnsi"/>
          <w:bCs/>
          <w:iCs/>
          <w:color w:val="000000"/>
        </w:rPr>
        <w:t xml:space="preserve"> within the study period</w:t>
      </w:r>
      <w:r w:rsidRPr="005553DF">
        <w:rPr>
          <w:rFonts w:asciiTheme="minorHAnsi" w:hAnsiTheme="minorHAnsi" w:cstheme="minorHAnsi"/>
          <w:bCs/>
          <w:iCs/>
          <w:color w:val="000000"/>
        </w:rPr>
        <w:t xml:space="preserve">. </w:t>
      </w:r>
      <w:r w:rsidR="00AE1651" w:rsidRPr="005553DF">
        <w:rPr>
          <w:rFonts w:asciiTheme="minorHAnsi" w:hAnsiTheme="minorHAnsi" w:cstheme="minorHAnsi"/>
          <w:bCs/>
          <w:iCs/>
          <w:color w:val="000000"/>
        </w:rPr>
        <w:t>I</w:t>
      </w:r>
      <w:r w:rsidR="001F36E0" w:rsidRPr="005553DF">
        <w:rPr>
          <w:rFonts w:asciiTheme="minorHAnsi" w:hAnsiTheme="minorHAnsi" w:cstheme="minorHAnsi"/>
          <w:bCs/>
          <w:iCs/>
          <w:color w:val="000000"/>
        </w:rPr>
        <w:t>nterested recruit</w:t>
      </w:r>
      <w:r w:rsidRPr="005553DF">
        <w:rPr>
          <w:rFonts w:asciiTheme="minorHAnsi" w:hAnsiTheme="minorHAnsi" w:cstheme="minorHAnsi"/>
          <w:bCs/>
          <w:iCs/>
          <w:color w:val="000000"/>
        </w:rPr>
        <w:t>s who are unable or unwilling to come to the study office</w:t>
      </w:r>
      <w:r w:rsidR="00F53BF4" w:rsidRPr="005553DF">
        <w:rPr>
          <w:rFonts w:asciiTheme="minorHAnsi" w:hAnsiTheme="minorHAnsi" w:cstheme="minorHAnsi"/>
          <w:bCs/>
          <w:iCs/>
          <w:color w:val="000000"/>
        </w:rPr>
        <w:t>, and live within a one-hour drive of the study office,</w:t>
      </w:r>
      <w:r w:rsidRPr="005553DF">
        <w:rPr>
          <w:rFonts w:asciiTheme="minorHAnsi" w:hAnsiTheme="minorHAnsi" w:cstheme="minorHAnsi"/>
          <w:bCs/>
          <w:iCs/>
          <w:color w:val="000000"/>
        </w:rPr>
        <w:t xml:space="preserve"> will be offered an in-home appointment by trained study staff to complete the study. </w:t>
      </w:r>
      <w:r w:rsidR="001F36E0" w:rsidRPr="005553DF">
        <w:rPr>
          <w:rFonts w:asciiTheme="minorHAnsi" w:hAnsiTheme="minorHAnsi" w:cstheme="minorHAnsi"/>
          <w:bCs/>
          <w:iCs/>
          <w:color w:val="000000"/>
        </w:rPr>
        <w:t>Interested recruit</w:t>
      </w:r>
      <w:r w:rsidRPr="005553DF">
        <w:rPr>
          <w:rFonts w:asciiTheme="minorHAnsi" w:hAnsiTheme="minorHAnsi" w:cstheme="minorHAnsi"/>
          <w:bCs/>
          <w:iCs/>
          <w:color w:val="000000"/>
        </w:rPr>
        <w:t>s who request or require a home interview</w:t>
      </w:r>
      <w:r w:rsidR="003820FC"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blood draw</w:t>
      </w:r>
      <w:r w:rsidR="003820FC"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00D03D23" w:rsidRPr="005553DF">
        <w:rPr>
          <w:rFonts w:asciiTheme="minorHAnsi" w:hAnsiTheme="minorHAnsi" w:cstheme="minorHAnsi"/>
          <w:bCs/>
          <w:iCs/>
          <w:color w:val="000000"/>
        </w:rPr>
        <w:t>and urine collection</w:t>
      </w:r>
      <w:r w:rsidR="008E7527" w:rsidRPr="005553DF">
        <w:rPr>
          <w:rFonts w:asciiTheme="minorHAnsi" w:hAnsiTheme="minorHAnsi" w:cstheme="minorHAnsi"/>
          <w:bCs/>
          <w:iCs/>
          <w:color w:val="000000"/>
        </w:rPr>
        <w:t>,</w:t>
      </w:r>
      <w:r w:rsidR="00D03D23"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must reside within a one-hour drive from </w:t>
      </w:r>
      <w:r w:rsidRPr="005553DF">
        <w:rPr>
          <w:rFonts w:asciiTheme="minorHAnsi" w:hAnsiTheme="minorHAnsi" w:cstheme="minorHAnsi"/>
        </w:rPr>
        <w:t xml:space="preserve">the study office. </w:t>
      </w:r>
      <w:r w:rsidR="00362069" w:rsidRPr="005553DF">
        <w:rPr>
          <w:rFonts w:asciiTheme="minorHAnsi" w:hAnsiTheme="minorHAnsi" w:cstheme="minorHAnsi"/>
        </w:rPr>
        <w:t xml:space="preserve"> The study staff will make up to five contact attempts to a</w:t>
      </w:r>
      <w:r w:rsidR="001F36E0" w:rsidRPr="005553DF">
        <w:rPr>
          <w:rFonts w:asciiTheme="minorHAnsi" w:hAnsiTheme="minorHAnsi" w:cstheme="minorHAnsi"/>
        </w:rPr>
        <w:t xml:space="preserve">n </w:t>
      </w:r>
      <w:r w:rsidR="001F36E0" w:rsidRPr="005553DF">
        <w:rPr>
          <w:rFonts w:asciiTheme="minorHAnsi" w:hAnsiTheme="minorHAnsi" w:cstheme="minorHAnsi"/>
          <w:bCs/>
          <w:iCs/>
          <w:color w:val="000000"/>
        </w:rPr>
        <w:t>interested recruit</w:t>
      </w:r>
      <w:r w:rsidR="00362069" w:rsidRPr="005553DF">
        <w:rPr>
          <w:rFonts w:asciiTheme="minorHAnsi" w:hAnsiTheme="minorHAnsi" w:cstheme="minorHAnsi"/>
        </w:rPr>
        <w:t xml:space="preserve"> who misses an appointment in order to reschedule the appointment and maximize the number of completed </w:t>
      </w:r>
      <w:r w:rsidR="00F730BE" w:rsidRPr="005553DF">
        <w:rPr>
          <w:rFonts w:asciiTheme="minorHAnsi" w:hAnsiTheme="minorHAnsi" w:cstheme="minorHAnsi"/>
        </w:rPr>
        <w:t>appointments (</w:t>
      </w:r>
      <w:r w:rsidR="00514940" w:rsidRPr="005553DF">
        <w:rPr>
          <w:rFonts w:asciiTheme="minorHAnsi" w:hAnsiTheme="minorHAnsi" w:cstheme="minorHAnsi"/>
          <w:b/>
          <w:bCs/>
          <w:iCs/>
        </w:rPr>
        <w:t>A</w:t>
      </w:r>
      <w:r w:rsidR="000F0911" w:rsidRPr="005553DF">
        <w:rPr>
          <w:rFonts w:asciiTheme="minorHAnsi" w:hAnsiTheme="minorHAnsi" w:cstheme="minorHAnsi"/>
          <w:b/>
          <w:bCs/>
          <w:iCs/>
        </w:rPr>
        <w:t>ttachment</w:t>
      </w:r>
      <w:r w:rsidR="00B00AB6" w:rsidRPr="005553DF">
        <w:rPr>
          <w:rFonts w:asciiTheme="minorHAnsi" w:hAnsiTheme="minorHAnsi" w:cstheme="minorHAnsi"/>
          <w:b/>
          <w:bCs/>
          <w:iCs/>
        </w:rPr>
        <w:t xml:space="preserve"> </w:t>
      </w:r>
      <w:r w:rsidR="00C87C28" w:rsidRPr="005553DF">
        <w:rPr>
          <w:rFonts w:asciiTheme="minorHAnsi" w:hAnsiTheme="minorHAnsi" w:cstheme="minorHAnsi"/>
          <w:b/>
          <w:bCs/>
          <w:iCs/>
        </w:rPr>
        <w:t>11</w:t>
      </w:r>
      <w:r w:rsidR="000F0911" w:rsidRPr="005553DF">
        <w:rPr>
          <w:rFonts w:asciiTheme="minorHAnsi" w:hAnsiTheme="minorHAnsi" w:cstheme="minorHAnsi"/>
          <w:bCs/>
          <w:iCs/>
        </w:rPr>
        <w:t>)</w:t>
      </w:r>
      <w:r w:rsidRPr="005553DF">
        <w:rPr>
          <w:rFonts w:asciiTheme="minorHAnsi" w:hAnsiTheme="minorHAnsi" w:cstheme="minorHAnsi"/>
          <w:bCs/>
          <w:iCs/>
        </w:rPr>
        <w:t>.</w:t>
      </w:r>
      <w:r w:rsidR="00AE04E3" w:rsidRPr="005553DF">
        <w:rPr>
          <w:rFonts w:asciiTheme="minorHAnsi" w:hAnsiTheme="minorHAnsi" w:cstheme="minorHAnsi"/>
          <w:bCs/>
          <w:iCs/>
        </w:rPr>
        <w:t xml:space="preserve"> </w:t>
      </w:r>
    </w:p>
    <w:p w14:paraId="78F0E2CA" w14:textId="77777777" w:rsidR="00D1129E" w:rsidRPr="005553DF" w:rsidRDefault="00FA4DF1" w:rsidP="005553DF">
      <w:pPr>
        <w:pStyle w:val="Heading2"/>
        <w:spacing w:before="100" w:beforeAutospacing="1" w:after="240" w:line="360" w:lineRule="auto"/>
        <w:rPr>
          <w:rFonts w:asciiTheme="minorHAnsi" w:hAnsiTheme="minorHAnsi" w:cstheme="minorHAnsi"/>
          <w:b w:val="0"/>
          <w:i w:val="0"/>
          <w:sz w:val="22"/>
          <w:szCs w:val="22"/>
        </w:rPr>
      </w:pPr>
      <w:bookmarkStart w:id="48" w:name="_Toc532224162"/>
      <w:r w:rsidRPr="005553DF">
        <w:rPr>
          <w:rFonts w:asciiTheme="minorHAnsi" w:hAnsiTheme="minorHAnsi" w:cstheme="minorHAnsi"/>
          <w:i w:val="0"/>
          <w:sz w:val="22"/>
          <w:szCs w:val="22"/>
        </w:rPr>
        <w:t>3.</w:t>
      </w:r>
      <w:r w:rsidR="00B630A2" w:rsidRPr="005553DF">
        <w:rPr>
          <w:rFonts w:asciiTheme="minorHAnsi" w:hAnsiTheme="minorHAnsi" w:cstheme="minorHAnsi"/>
          <w:i w:val="0"/>
          <w:sz w:val="22"/>
          <w:szCs w:val="22"/>
        </w:rPr>
        <w:t>6</w:t>
      </w:r>
      <w:r w:rsidRPr="005553DF">
        <w:rPr>
          <w:rFonts w:asciiTheme="minorHAnsi" w:hAnsiTheme="minorHAnsi" w:cstheme="minorHAnsi"/>
          <w:i w:val="0"/>
          <w:sz w:val="22"/>
          <w:szCs w:val="22"/>
        </w:rPr>
        <w:t xml:space="preserve"> </w:t>
      </w:r>
      <w:r w:rsidR="00810EDC" w:rsidRPr="005553DF">
        <w:rPr>
          <w:rFonts w:asciiTheme="minorHAnsi" w:hAnsiTheme="minorHAnsi" w:cstheme="minorHAnsi"/>
          <w:i w:val="0"/>
          <w:sz w:val="22"/>
          <w:szCs w:val="22"/>
        </w:rPr>
        <w:t>Data Collection</w:t>
      </w:r>
      <w:r w:rsidR="00D8480C" w:rsidRPr="005553DF">
        <w:rPr>
          <w:rFonts w:asciiTheme="minorHAnsi" w:hAnsiTheme="minorHAnsi" w:cstheme="minorHAnsi"/>
          <w:i w:val="0"/>
          <w:sz w:val="22"/>
          <w:szCs w:val="22"/>
        </w:rPr>
        <w:t xml:space="preserve"> Procedures</w:t>
      </w:r>
      <w:bookmarkEnd w:id="48"/>
    </w:p>
    <w:p w14:paraId="4C394CDA" w14:textId="77777777" w:rsidR="00DB72B0" w:rsidRPr="005553DF" w:rsidRDefault="00C84D8B"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The st</w:t>
      </w:r>
      <w:r w:rsidR="00D815E0" w:rsidRPr="005553DF">
        <w:rPr>
          <w:rFonts w:asciiTheme="minorHAnsi" w:hAnsiTheme="minorHAnsi" w:cstheme="minorHAnsi"/>
        </w:rPr>
        <w:t>udy will establish a</w:t>
      </w:r>
      <w:r w:rsidR="00DD568F" w:rsidRPr="005553DF">
        <w:rPr>
          <w:rFonts w:asciiTheme="minorHAnsi" w:hAnsiTheme="minorHAnsi" w:cstheme="minorHAnsi"/>
        </w:rPr>
        <w:t xml:space="preserve"> central</w:t>
      </w:r>
      <w:r w:rsidR="00D815E0" w:rsidRPr="005553DF">
        <w:rPr>
          <w:rFonts w:asciiTheme="minorHAnsi" w:hAnsiTheme="minorHAnsi" w:cstheme="minorHAnsi"/>
        </w:rPr>
        <w:t xml:space="preserve"> office in Portsmouth </w:t>
      </w:r>
      <w:r w:rsidR="004345A6" w:rsidRPr="005553DF">
        <w:rPr>
          <w:rFonts w:asciiTheme="minorHAnsi" w:hAnsiTheme="minorHAnsi" w:cstheme="minorHAnsi"/>
        </w:rPr>
        <w:t>to</w:t>
      </w:r>
      <w:r w:rsidRPr="005553DF">
        <w:rPr>
          <w:rFonts w:asciiTheme="minorHAnsi" w:hAnsiTheme="minorHAnsi" w:cstheme="minorHAnsi"/>
        </w:rPr>
        <w:t xml:space="preserve"> obtain </w:t>
      </w:r>
      <w:r w:rsidR="00095385" w:rsidRPr="005553DF">
        <w:rPr>
          <w:rFonts w:asciiTheme="minorHAnsi" w:hAnsiTheme="minorHAnsi" w:cstheme="minorHAnsi"/>
        </w:rPr>
        <w:t xml:space="preserve">informed consent, </w:t>
      </w:r>
      <w:r w:rsidR="00A537E4" w:rsidRPr="005553DF">
        <w:rPr>
          <w:rFonts w:asciiTheme="minorHAnsi" w:hAnsiTheme="minorHAnsi" w:cstheme="minorHAnsi"/>
        </w:rPr>
        <w:t xml:space="preserve">blood </w:t>
      </w:r>
      <w:r w:rsidR="001A2654" w:rsidRPr="005553DF">
        <w:rPr>
          <w:rFonts w:asciiTheme="minorHAnsi" w:hAnsiTheme="minorHAnsi" w:cstheme="minorHAnsi"/>
        </w:rPr>
        <w:t xml:space="preserve">and urine </w:t>
      </w:r>
      <w:r w:rsidR="00A537E4" w:rsidRPr="005553DF">
        <w:rPr>
          <w:rFonts w:asciiTheme="minorHAnsi" w:hAnsiTheme="minorHAnsi" w:cstheme="minorHAnsi"/>
          <w:bCs/>
          <w:iCs/>
        </w:rPr>
        <w:t>specimen</w:t>
      </w:r>
      <w:r w:rsidRPr="005553DF">
        <w:rPr>
          <w:rFonts w:asciiTheme="minorHAnsi" w:hAnsiTheme="minorHAnsi" w:cstheme="minorHAnsi"/>
          <w:bCs/>
          <w:iCs/>
        </w:rPr>
        <w:t>s</w:t>
      </w:r>
      <w:r w:rsidRPr="005553DF">
        <w:rPr>
          <w:rFonts w:asciiTheme="minorHAnsi" w:hAnsiTheme="minorHAnsi" w:cstheme="minorHAnsi"/>
        </w:rPr>
        <w:t xml:space="preserve">, administering the neurobehavioral batteries </w:t>
      </w:r>
      <w:r w:rsidR="001A2654" w:rsidRPr="005553DF">
        <w:rPr>
          <w:rFonts w:asciiTheme="minorHAnsi" w:hAnsiTheme="minorHAnsi" w:cstheme="minorHAnsi"/>
        </w:rPr>
        <w:t xml:space="preserve">to parents and children, </w:t>
      </w:r>
      <w:r w:rsidRPr="005553DF">
        <w:rPr>
          <w:rFonts w:asciiTheme="minorHAnsi" w:hAnsiTheme="minorHAnsi" w:cstheme="minorHAnsi"/>
        </w:rPr>
        <w:t>and providing a space for completion of the questionnaire</w:t>
      </w:r>
      <w:r w:rsidR="001A2654" w:rsidRPr="005553DF">
        <w:rPr>
          <w:rFonts w:asciiTheme="minorHAnsi" w:hAnsiTheme="minorHAnsi" w:cstheme="minorHAnsi"/>
        </w:rPr>
        <w:t>. Study s</w:t>
      </w:r>
      <w:r w:rsidRPr="005553DF">
        <w:rPr>
          <w:rFonts w:asciiTheme="minorHAnsi" w:hAnsiTheme="minorHAnsi" w:cstheme="minorHAnsi"/>
        </w:rPr>
        <w:t xml:space="preserve">taff </w:t>
      </w:r>
      <w:r w:rsidR="001A2654" w:rsidRPr="005553DF">
        <w:rPr>
          <w:rFonts w:asciiTheme="minorHAnsi" w:hAnsiTheme="minorHAnsi" w:cstheme="minorHAnsi"/>
        </w:rPr>
        <w:t xml:space="preserve">will be available </w:t>
      </w:r>
      <w:r w:rsidRPr="005553DF">
        <w:rPr>
          <w:rFonts w:asciiTheme="minorHAnsi" w:hAnsiTheme="minorHAnsi" w:cstheme="minorHAnsi"/>
        </w:rPr>
        <w:t xml:space="preserve">to answer any questions concerning the study. All study staff will </w:t>
      </w:r>
      <w:r w:rsidR="00D815E0" w:rsidRPr="005553DF">
        <w:rPr>
          <w:rFonts w:asciiTheme="minorHAnsi" w:hAnsiTheme="minorHAnsi" w:cstheme="minorHAnsi"/>
        </w:rPr>
        <w:t>receive training</w:t>
      </w:r>
      <w:r w:rsidRPr="005553DF">
        <w:rPr>
          <w:rFonts w:asciiTheme="minorHAnsi" w:hAnsiTheme="minorHAnsi" w:cstheme="minorHAnsi"/>
        </w:rPr>
        <w:t xml:space="preserve"> on the goals and purposes of informed consent</w:t>
      </w:r>
      <w:r w:rsidRPr="005553DF">
        <w:rPr>
          <w:rFonts w:asciiTheme="minorHAnsi" w:hAnsiTheme="minorHAnsi" w:cstheme="minorHAnsi"/>
          <w:bCs/>
          <w:iCs/>
          <w:color w:val="000000"/>
        </w:rPr>
        <w:t xml:space="preserve">, </w:t>
      </w:r>
      <w:r w:rsidR="00D815E0" w:rsidRPr="005553DF">
        <w:rPr>
          <w:rFonts w:asciiTheme="minorHAnsi" w:hAnsiTheme="minorHAnsi" w:cstheme="minorHAnsi"/>
          <w:bCs/>
          <w:iCs/>
          <w:color w:val="000000"/>
        </w:rPr>
        <w:t>administration of the</w:t>
      </w:r>
      <w:r w:rsidRPr="005553DF">
        <w:rPr>
          <w:rFonts w:asciiTheme="minorHAnsi" w:hAnsiTheme="minorHAnsi" w:cstheme="minorHAnsi"/>
          <w:bCs/>
          <w:iCs/>
          <w:color w:val="000000"/>
        </w:rPr>
        <w:t xml:space="preserve"> questionnaire, </w:t>
      </w:r>
      <w:r w:rsidR="00D815E0" w:rsidRPr="005553DF">
        <w:rPr>
          <w:rFonts w:asciiTheme="minorHAnsi" w:hAnsiTheme="minorHAnsi" w:cstheme="minorHAnsi"/>
          <w:bCs/>
          <w:iCs/>
          <w:color w:val="000000"/>
        </w:rPr>
        <w:t xml:space="preserve">administration of the neurobehavioral test batteries, collection methods for the </w:t>
      </w:r>
      <w:r w:rsidRPr="005553DF">
        <w:rPr>
          <w:rFonts w:asciiTheme="minorHAnsi" w:hAnsiTheme="minorHAnsi" w:cstheme="minorHAnsi"/>
          <w:bCs/>
          <w:iCs/>
          <w:color w:val="000000"/>
        </w:rPr>
        <w:t>blood specimen</w:t>
      </w:r>
      <w:r w:rsidR="00D815E0" w:rsidRPr="005553DF">
        <w:rPr>
          <w:rFonts w:asciiTheme="minorHAnsi" w:hAnsiTheme="minorHAnsi" w:cstheme="minorHAnsi"/>
          <w:bCs/>
          <w:iCs/>
          <w:color w:val="000000"/>
        </w:rPr>
        <w:t>s</w:t>
      </w:r>
      <w:r w:rsidRPr="005553DF">
        <w:rPr>
          <w:rFonts w:asciiTheme="minorHAnsi" w:hAnsiTheme="minorHAnsi" w:cstheme="minorHAnsi"/>
          <w:bCs/>
          <w:iCs/>
          <w:color w:val="000000"/>
        </w:rPr>
        <w:t>, and on proper documentation of data collection procedures. Study s</w:t>
      </w:r>
      <w:r w:rsidRPr="005553DF">
        <w:rPr>
          <w:rFonts w:asciiTheme="minorHAnsi" w:hAnsiTheme="minorHAnsi" w:cstheme="minorHAnsi"/>
        </w:rPr>
        <w:t xml:space="preserve">taff will receive </w:t>
      </w:r>
      <w:r w:rsidR="00E44382" w:rsidRPr="005553DF">
        <w:rPr>
          <w:rFonts w:asciiTheme="minorHAnsi" w:hAnsiTheme="minorHAnsi" w:cstheme="minorHAnsi"/>
        </w:rPr>
        <w:t>certified</w:t>
      </w:r>
      <w:r w:rsidRPr="005553DF">
        <w:rPr>
          <w:rFonts w:asciiTheme="minorHAnsi" w:hAnsiTheme="minorHAnsi" w:cstheme="minorHAnsi"/>
        </w:rPr>
        <w:t xml:space="preserve"> training on Human Subjects Protection</w:t>
      </w:r>
      <w:r w:rsidR="00E44382" w:rsidRPr="005553DF">
        <w:rPr>
          <w:rFonts w:asciiTheme="minorHAnsi" w:hAnsiTheme="minorHAnsi" w:cstheme="minorHAnsi"/>
        </w:rPr>
        <w:t xml:space="preserve"> (e.g., Collaborative Institutional Training Initiative [CITI] Program)</w:t>
      </w:r>
      <w:r w:rsidRPr="005553DF">
        <w:rPr>
          <w:rFonts w:asciiTheme="minorHAnsi" w:hAnsiTheme="minorHAnsi" w:cstheme="minorHAnsi"/>
        </w:rPr>
        <w:t xml:space="preserve"> and sign a confidentiality agreement prior to contact with potential recruits and enrolled participants.</w:t>
      </w:r>
    </w:p>
    <w:p w14:paraId="4D462F92" w14:textId="77777777" w:rsidR="00C84D8B" w:rsidRPr="005553DF" w:rsidRDefault="00C84D8B"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Trained </w:t>
      </w:r>
      <w:r w:rsidR="00D30E3D" w:rsidRPr="005553DF">
        <w:rPr>
          <w:rFonts w:asciiTheme="minorHAnsi" w:hAnsiTheme="minorHAnsi" w:cstheme="minorHAnsi"/>
        </w:rPr>
        <w:t xml:space="preserve">study </w:t>
      </w:r>
      <w:r w:rsidRPr="005553DF">
        <w:rPr>
          <w:rFonts w:asciiTheme="minorHAnsi" w:hAnsiTheme="minorHAnsi" w:cstheme="minorHAnsi"/>
        </w:rPr>
        <w:t>staff will attend dedicated telephone lines to respond to questions and to address concerns from potential recruits, enrolled participants, and the public.</w:t>
      </w:r>
      <w:r w:rsidRPr="005553DF">
        <w:rPr>
          <w:rFonts w:asciiTheme="minorHAnsi" w:hAnsiTheme="minorHAnsi" w:cstheme="minorHAnsi"/>
          <w:b/>
        </w:rPr>
        <w:t xml:space="preserve"> </w:t>
      </w:r>
      <w:r w:rsidR="00D815E0" w:rsidRPr="005553DF">
        <w:rPr>
          <w:rFonts w:asciiTheme="minorHAnsi" w:hAnsiTheme="minorHAnsi" w:cstheme="minorHAnsi"/>
        </w:rPr>
        <w:t>Study staff will ask p</w:t>
      </w:r>
      <w:r w:rsidRPr="005553DF">
        <w:rPr>
          <w:rFonts w:asciiTheme="minorHAnsi" w:hAnsiTheme="minorHAnsi" w:cstheme="minorHAnsi"/>
        </w:rPr>
        <w:t xml:space="preserve">articipants to attend their appointment in at least an eight-hour fasting state; therefore, most recruits </w:t>
      </w:r>
      <w:r w:rsidR="00D815E0" w:rsidRPr="005553DF">
        <w:rPr>
          <w:rFonts w:asciiTheme="minorHAnsi" w:hAnsiTheme="minorHAnsi" w:cstheme="minorHAnsi"/>
        </w:rPr>
        <w:t xml:space="preserve">will likely </w:t>
      </w:r>
      <w:r w:rsidRPr="005553DF">
        <w:rPr>
          <w:rFonts w:asciiTheme="minorHAnsi" w:hAnsiTheme="minorHAnsi" w:cstheme="minorHAnsi"/>
        </w:rPr>
        <w:t>schedule appointments in the early morning. The steps of the data collection will include:</w:t>
      </w:r>
    </w:p>
    <w:p w14:paraId="189BCEDB" w14:textId="77777777" w:rsidR="00C84D8B" w:rsidRPr="005553DF" w:rsidRDefault="00C84D8B" w:rsidP="005553DF">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Check-in procedures;</w:t>
      </w:r>
    </w:p>
    <w:p w14:paraId="2C5B60BB" w14:textId="77777777" w:rsidR="00D24268" w:rsidRPr="005553DF" w:rsidRDefault="00D24268" w:rsidP="005553DF">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Informed consent</w:t>
      </w:r>
      <w:r w:rsidR="00633295" w:rsidRPr="005553DF">
        <w:rPr>
          <w:rFonts w:asciiTheme="minorHAnsi" w:hAnsiTheme="minorHAnsi" w:cstheme="minorHAnsi"/>
        </w:rPr>
        <w:t>;</w:t>
      </w:r>
    </w:p>
    <w:p w14:paraId="489AB01D" w14:textId="77777777" w:rsidR="00C84D8B" w:rsidRPr="005553DF" w:rsidRDefault="00C84D8B" w:rsidP="005553DF">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Data collection</w:t>
      </w:r>
      <w:r w:rsidR="00CC6309" w:rsidRPr="005553DF">
        <w:rPr>
          <w:rFonts w:asciiTheme="minorHAnsi" w:hAnsiTheme="minorHAnsi" w:cstheme="minorHAnsi"/>
        </w:rPr>
        <w:t xml:space="preserve"> procedures</w:t>
      </w:r>
      <w:r w:rsidRPr="005553DF">
        <w:rPr>
          <w:rFonts w:asciiTheme="minorHAnsi" w:hAnsiTheme="minorHAnsi" w:cstheme="minorHAnsi"/>
        </w:rPr>
        <w:t>;</w:t>
      </w:r>
    </w:p>
    <w:p w14:paraId="71631BA1" w14:textId="77777777" w:rsidR="00C84D8B" w:rsidRPr="005553DF" w:rsidRDefault="00C84D8B" w:rsidP="005553DF">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 xml:space="preserve">Exit procedures; </w:t>
      </w:r>
      <w:r w:rsidR="00E33645" w:rsidRPr="005553DF">
        <w:rPr>
          <w:rFonts w:asciiTheme="minorHAnsi" w:hAnsiTheme="minorHAnsi" w:cstheme="minorHAnsi"/>
        </w:rPr>
        <w:t>including p</w:t>
      </w:r>
      <w:r w:rsidRPr="005553DF">
        <w:rPr>
          <w:rFonts w:asciiTheme="minorHAnsi" w:hAnsiTheme="minorHAnsi" w:cstheme="minorHAnsi"/>
        </w:rPr>
        <w:t xml:space="preserve">rovision of a gift card as a token of appreciation for participation.  </w:t>
      </w:r>
    </w:p>
    <w:p w14:paraId="0227DA31" w14:textId="77777777" w:rsidR="009210EE" w:rsidRPr="005553DF" w:rsidRDefault="009210EE" w:rsidP="005553DF">
      <w:pPr>
        <w:pStyle w:val="Heading3"/>
        <w:spacing w:before="100" w:beforeAutospacing="1" w:after="240" w:line="360" w:lineRule="auto"/>
        <w:rPr>
          <w:rFonts w:asciiTheme="minorHAnsi" w:hAnsiTheme="minorHAnsi" w:cstheme="minorHAnsi"/>
          <w:i/>
        </w:rPr>
      </w:pPr>
      <w:bookmarkStart w:id="49" w:name="_Toc532224163"/>
      <w:r w:rsidRPr="005553DF">
        <w:rPr>
          <w:rFonts w:asciiTheme="minorHAnsi" w:hAnsiTheme="minorHAnsi" w:cstheme="minorHAnsi"/>
          <w:i/>
          <w:color w:val="auto"/>
        </w:rPr>
        <w:t>3.6.1 Check-in Procedures</w:t>
      </w:r>
      <w:bookmarkEnd w:id="49"/>
    </w:p>
    <w:p w14:paraId="4DEA3017" w14:textId="77777777" w:rsidR="00166ABA" w:rsidRPr="005553DF" w:rsidRDefault="00C84D8B"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Trained study staff will document the completion of each step from check-in to the provision of gift cards on a hard copy form</w:t>
      </w:r>
      <w:r w:rsidR="00B61222" w:rsidRPr="005553DF">
        <w:rPr>
          <w:rFonts w:asciiTheme="minorHAnsi" w:hAnsiTheme="minorHAnsi" w:cstheme="minorHAnsi"/>
        </w:rPr>
        <w:t xml:space="preserve"> </w:t>
      </w:r>
      <w:r w:rsidR="00503895" w:rsidRPr="005553DF">
        <w:rPr>
          <w:rFonts w:asciiTheme="minorHAnsi" w:hAnsiTheme="minorHAnsi" w:cstheme="minorHAnsi"/>
          <w:bCs/>
        </w:rPr>
        <w:t>(</w:t>
      </w:r>
      <w:r w:rsidR="004F7564" w:rsidRPr="005553DF">
        <w:rPr>
          <w:rFonts w:asciiTheme="minorHAnsi" w:hAnsiTheme="minorHAnsi" w:cstheme="minorHAnsi"/>
          <w:b/>
          <w:bCs/>
        </w:rPr>
        <w:t xml:space="preserve">Attachment </w:t>
      </w:r>
      <w:r w:rsidR="009B1923" w:rsidRPr="005553DF">
        <w:rPr>
          <w:rFonts w:asciiTheme="minorHAnsi" w:hAnsiTheme="minorHAnsi" w:cstheme="minorHAnsi"/>
          <w:b/>
          <w:bCs/>
        </w:rPr>
        <w:t>11</w:t>
      </w:r>
      <w:r w:rsidR="00503895" w:rsidRPr="005553DF">
        <w:rPr>
          <w:rFonts w:asciiTheme="minorHAnsi" w:hAnsiTheme="minorHAnsi" w:cstheme="minorHAnsi"/>
          <w:bCs/>
        </w:rPr>
        <w:t>)</w:t>
      </w:r>
      <w:r w:rsidRPr="005553DF">
        <w:rPr>
          <w:rFonts w:asciiTheme="minorHAnsi" w:hAnsiTheme="minorHAnsi" w:cstheme="minorHAnsi"/>
        </w:rPr>
        <w:t xml:space="preserve">. This hardcopy form will be stored with the participant’s signed Informed Consent Form </w:t>
      </w:r>
      <w:r w:rsidR="00B12F4A" w:rsidRPr="005553DF">
        <w:rPr>
          <w:rFonts w:asciiTheme="minorHAnsi" w:hAnsiTheme="minorHAnsi" w:cstheme="minorHAnsi"/>
        </w:rPr>
        <w:t>(</w:t>
      </w:r>
      <w:r w:rsidR="00B12F4A" w:rsidRPr="005553DF">
        <w:rPr>
          <w:rFonts w:asciiTheme="minorHAnsi" w:hAnsiTheme="minorHAnsi" w:cstheme="minorHAnsi"/>
          <w:b/>
        </w:rPr>
        <w:t xml:space="preserve">Attachment </w:t>
      </w:r>
      <w:r w:rsidR="009B1923" w:rsidRPr="005553DF">
        <w:rPr>
          <w:rFonts w:asciiTheme="minorHAnsi" w:hAnsiTheme="minorHAnsi" w:cstheme="minorHAnsi"/>
          <w:b/>
        </w:rPr>
        <w:t>9</w:t>
      </w:r>
      <w:r w:rsidR="00B12F4A" w:rsidRPr="005553DF">
        <w:rPr>
          <w:rFonts w:asciiTheme="minorHAnsi" w:hAnsiTheme="minorHAnsi" w:cstheme="minorHAnsi"/>
          <w:b/>
        </w:rPr>
        <w:t>b</w:t>
      </w:r>
      <w:r w:rsidR="00B12F4A" w:rsidRPr="005553DF">
        <w:rPr>
          <w:rFonts w:asciiTheme="minorHAnsi" w:hAnsiTheme="minorHAnsi" w:cstheme="minorHAnsi"/>
        </w:rPr>
        <w:t>)</w:t>
      </w:r>
      <w:r w:rsidRPr="005553DF">
        <w:rPr>
          <w:rFonts w:asciiTheme="minorHAnsi" w:hAnsiTheme="minorHAnsi" w:cstheme="minorHAnsi"/>
        </w:rPr>
        <w:t xml:space="preserve"> in locked files and in secure rooms. </w:t>
      </w:r>
      <w:r w:rsidR="008639A6" w:rsidRPr="005553DF">
        <w:rPr>
          <w:rFonts w:asciiTheme="minorHAnsi" w:hAnsiTheme="minorHAnsi" w:cstheme="minorHAnsi"/>
        </w:rPr>
        <w:t xml:space="preserve">Staff will </w:t>
      </w:r>
      <w:r w:rsidR="003B11A4" w:rsidRPr="005553DF">
        <w:rPr>
          <w:rFonts w:asciiTheme="minorHAnsi" w:hAnsiTheme="minorHAnsi" w:cstheme="minorHAnsi"/>
        </w:rPr>
        <w:t xml:space="preserve">securely </w:t>
      </w:r>
      <w:r w:rsidR="008639A6" w:rsidRPr="005553DF">
        <w:rPr>
          <w:rFonts w:asciiTheme="minorHAnsi" w:hAnsiTheme="minorHAnsi" w:cstheme="minorHAnsi"/>
        </w:rPr>
        <w:t>ship a</w:t>
      </w:r>
      <w:r w:rsidRPr="005553DF">
        <w:rPr>
          <w:rFonts w:asciiTheme="minorHAnsi" w:hAnsiTheme="minorHAnsi" w:cstheme="minorHAnsi"/>
        </w:rPr>
        <w:t xml:space="preserve">ll files to </w:t>
      </w:r>
      <w:r w:rsidR="00D24268" w:rsidRPr="005553DF">
        <w:rPr>
          <w:rFonts w:asciiTheme="minorHAnsi" w:hAnsiTheme="minorHAnsi" w:cstheme="minorHAnsi"/>
        </w:rPr>
        <w:t>ATSDR at the end of data collection. A</w:t>
      </w:r>
      <w:r w:rsidRPr="005553DF">
        <w:rPr>
          <w:rFonts w:asciiTheme="minorHAnsi" w:hAnsiTheme="minorHAnsi" w:cstheme="minorHAnsi"/>
        </w:rPr>
        <w:t xml:space="preserve">ll </w:t>
      </w:r>
      <w:r w:rsidR="00B7540C" w:rsidRPr="005553DF">
        <w:rPr>
          <w:rFonts w:asciiTheme="minorHAnsi" w:hAnsiTheme="minorHAnsi" w:cstheme="minorHAnsi"/>
        </w:rPr>
        <w:t xml:space="preserve">files and </w:t>
      </w:r>
      <w:r w:rsidRPr="005553DF">
        <w:rPr>
          <w:rFonts w:asciiTheme="minorHAnsi" w:hAnsiTheme="minorHAnsi" w:cstheme="minorHAnsi"/>
        </w:rPr>
        <w:t xml:space="preserve">biological samples will be </w:t>
      </w:r>
      <w:r w:rsidR="00017BBB" w:rsidRPr="005553DF">
        <w:rPr>
          <w:rFonts w:asciiTheme="minorHAnsi" w:hAnsiTheme="minorHAnsi" w:cstheme="minorHAnsi"/>
        </w:rPr>
        <w:t xml:space="preserve">securely </w:t>
      </w:r>
      <w:r w:rsidR="00D24268" w:rsidRPr="005553DF">
        <w:rPr>
          <w:rFonts w:asciiTheme="minorHAnsi" w:hAnsiTheme="minorHAnsi" w:cstheme="minorHAnsi"/>
        </w:rPr>
        <w:t>stored at the study off</w:t>
      </w:r>
      <w:r w:rsidR="00B7540C" w:rsidRPr="005553DF">
        <w:rPr>
          <w:rFonts w:asciiTheme="minorHAnsi" w:hAnsiTheme="minorHAnsi" w:cstheme="minorHAnsi"/>
        </w:rPr>
        <w:t>ice</w:t>
      </w:r>
      <w:r w:rsidR="00E463E7" w:rsidRPr="005553DF">
        <w:rPr>
          <w:rFonts w:asciiTheme="minorHAnsi" w:hAnsiTheme="minorHAnsi" w:cstheme="minorHAnsi"/>
        </w:rPr>
        <w:t xml:space="preserve"> </w:t>
      </w:r>
      <w:r w:rsidR="00D24268" w:rsidRPr="005553DF">
        <w:rPr>
          <w:rFonts w:asciiTheme="minorHAnsi" w:hAnsiTheme="minorHAnsi" w:cstheme="minorHAnsi"/>
        </w:rPr>
        <w:t xml:space="preserve">prior to shipment. </w:t>
      </w:r>
      <w:r w:rsidRPr="005553DF">
        <w:rPr>
          <w:rFonts w:asciiTheme="minorHAnsi" w:hAnsiTheme="minorHAnsi" w:cstheme="minorHAnsi"/>
        </w:rPr>
        <w:t xml:space="preserve"> </w:t>
      </w:r>
    </w:p>
    <w:p w14:paraId="2C43B53B" w14:textId="77777777" w:rsidR="00FA4DF1" w:rsidRPr="005553DF" w:rsidRDefault="00484B5D" w:rsidP="005553DF">
      <w:pPr>
        <w:pStyle w:val="Heading3"/>
        <w:spacing w:before="100" w:beforeAutospacing="1" w:after="240" w:line="360" w:lineRule="auto"/>
        <w:rPr>
          <w:rFonts w:asciiTheme="minorHAnsi" w:hAnsiTheme="minorHAnsi" w:cstheme="minorHAnsi"/>
          <w:i/>
          <w:color w:val="auto"/>
        </w:rPr>
      </w:pPr>
      <w:bookmarkStart w:id="50" w:name="_Toc532224164"/>
      <w:r w:rsidRPr="005553DF">
        <w:rPr>
          <w:rFonts w:asciiTheme="minorHAnsi" w:hAnsiTheme="minorHAnsi" w:cstheme="minorHAnsi"/>
          <w:i/>
          <w:color w:val="auto"/>
        </w:rPr>
        <w:t>3.</w:t>
      </w:r>
      <w:r w:rsidR="00B630A2" w:rsidRPr="005553DF">
        <w:rPr>
          <w:rFonts w:asciiTheme="minorHAnsi" w:hAnsiTheme="minorHAnsi" w:cstheme="minorHAnsi"/>
          <w:i/>
          <w:color w:val="auto"/>
        </w:rPr>
        <w:t>6</w:t>
      </w:r>
      <w:r w:rsidR="001B0046" w:rsidRPr="005553DF">
        <w:rPr>
          <w:rFonts w:asciiTheme="minorHAnsi" w:hAnsiTheme="minorHAnsi" w:cstheme="minorHAnsi"/>
          <w:i/>
          <w:color w:val="auto"/>
        </w:rPr>
        <w:t>.</w:t>
      </w:r>
      <w:r w:rsidR="009210EE" w:rsidRPr="005553DF">
        <w:rPr>
          <w:rFonts w:asciiTheme="minorHAnsi" w:hAnsiTheme="minorHAnsi" w:cstheme="minorHAnsi"/>
          <w:i/>
          <w:color w:val="auto"/>
        </w:rPr>
        <w:t>2</w:t>
      </w:r>
      <w:r w:rsidR="00FA4DF1" w:rsidRPr="005553DF">
        <w:rPr>
          <w:rFonts w:asciiTheme="minorHAnsi" w:hAnsiTheme="minorHAnsi" w:cstheme="minorHAnsi"/>
          <w:i/>
          <w:color w:val="auto"/>
        </w:rPr>
        <w:t xml:space="preserve"> </w:t>
      </w:r>
      <w:r w:rsidR="00D24268" w:rsidRPr="005553DF">
        <w:rPr>
          <w:rFonts w:asciiTheme="minorHAnsi" w:hAnsiTheme="minorHAnsi" w:cstheme="minorHAnsi"/>
          <w:i/>
          <w:color w:val="auto"/>
        </w:rPr>
        <w:t xml:space="preserve">Informed </w:t>
      </w:r>
      <w:r w:rsidR="00976C05" w:rsidRPr="005553DF">
        <w:rPr>
          <w:rFonts w:asciiTheme="minorHAnsi" w:hAnsiTheme="minorHAnsi" w:cstheme="minorHAnsi"/>
          <w:i/>
          <w:color w:val="auto"/>
        </w:rPr>
        <w:t>C</w:t>
      </w:r>
      <w:r w:rsidR="00D24268" w:rsidRPr="005553DF">
        <w:rPr>
          <w:rFonts w:asciiTheme="minorHAnsi" w:hAnsiTheme="minorHAnsi" w:cstheme="minorHAnsi"/>
          <w:i/>
          <w:color w:val="auto"/>
        </w:rPr>
        <w:t>onsent</w:t>
      </w:r>
      <w:r w:rsidR="00721A26" w:rsidRPr="005553DF">
        <w:rPr>
          <w:rFonts w:asciiTheme="minorHAnsi" w:hAnsiTheme="minorHAnsi" w:cstheme="minorHAnsi"/>
          <w:i/>
          <w:color w:val="auto"/>
        </w:rPr>
        <w:t xml:space="preserve"> Process</w:t>
      </w:r>
      <w:bookmarkEnd w:id="50"/>
    </w:p>
    <w:p w14:paraId="3C8C5EDE" w14:textId="77777777" w:rsidR="00B630A2" w:rsidRPr="005553DF" w:rsidRDefault="00B630A2" w:rsidP="005553DF">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iCs/>
        </w:rPr>
        <w:t>The informed consent includes a description of study procedures and risks and benefits of participation (</w:t>
      </w:r>
      <w:r w:rsidR="00F9018D" w:rsidRPr="005553DF">
        <w:rPr>
          <w:rFonts w:asciiTheme="minorHAnsi" w:hAnsiTheme="minorHAnsi" w:cstheme="minorHAnsi"/>
          <w:b/>
          <w:iCs/>
        </w:rPr>
        <w:t>Attachment 9</w:t>
      </w:r>
      <w:r w:rsidR="000F5C00" w:rsidRPr="005553DF">
        <w:rPr>
          <w:rFonts w:asciiTheme="minorHAnsi" w:hAnsiTheme="minorHAnsi" w:cstheme="minorHAnsi"/>
          <w:b/>
          <w:iCs/>
        </w:rPr>
        <w:t>b</w:t>
      </w:r>
      <w:r w:rsidRPr="005553DF">
        <w:rPr>
          <w:rFonts w:asciiTheme="minorHAnsi" w:hAnsiTheme="minorHAnsi" w:cstheme="minorHAnsi"/>
          <w:iCs/>
        </w:rPr>
        <w:t>)</w:t>
      </w:r>
      <w:r w:rsidR="00E74898" w:rsidRPr="005553DF">
        <w:rPr>
          <w:rFonts w:asciiTheme="minorHAnsi" w:hAnsiTheme="minorHAnsi" w:cstheme="minorHAnsi"/>
          <w:iCs/>
        </w:rPr>
        <w:t xml:space="preserve">, </w:t>
      </w:r>
      <w:r w:rsidR="00E74898" w:rsidRPr="005553DF">
        <w:rPr>
          <w:rFonts w:asciiTheme="minorHAnsi" w:hAnsiTheme="minorHAnsi" w:cstheme="minorHAnsi"/>
          <w:bCs/>
          <w:iCs/>
        </w:rPr>
        <w:t>including a Privacy Act Statement (</w:t>
      </w:r>
      <w:r w:rsidR="00F9018D" w:rsidRPr="005553DF">
        <w:rPr>
          <w:rFonts w:asciiTheme="minorHAnsi" w:hAnsiTheme="minorHAnsi" w:cstheme="minorHAnsi"/>
          <w:b/>
          <w:bCs/>
          <w:iCs/>
        </w:rPr>
        <w:t>Attachment 9</w:t>
      </w:r>
      <w:r w:rsidR="00E74898" w:rsidRPr="005553DF">
        <w:rPr>
          <w:rFonts w:asciiTheme="minorHAnsi" w:hAnsiTheme="minorHAnsi" w:cstheme="minorHAnsi"/>
          <w:b/>
          <w:bCs/>
          <w:iCs/>
        </w:rPr>
        <w:t>b1</w:t>
      </w:r>
      <w:r w:rsidR="00E74898" w:rsidRPr="005553DF">
        <w:rPr>
          <w:rFonts w:asciiTheme="minorHAnsi" w:hAnsiTheme="minorHAnsi" w:cstheme="minorHAnsi"/>
          <w:bCs/>
          <w:iCs/>
        </w:rPr>
        <w:t>)</w:t>
      </w:r>
      <w:r w:rsidRPr="005553DF">
        <w:rPr>
          <w:rFonts w:asciiTheme="minorHAnsi" w:hAnsiTheme="minorHAnsi" w:cstheme="minorHAnsi"/>
          <w:iCs/>
        </w:rPr>
        <w:t xml:space="preserve">. </w:t>
      </w:r>
      <w:r w:rsidRPr="005553DF">
        <w:rPr>
          <w:rFonts w:asciiTheme="minorHAnsi" w:hAnsiTheme="minorHAnsi" w:cstheme="minorHAnsi"/>
          <w:bCs/>
          <w:iCs/>
        </w:rPr>
        <w:t>A study factsheet will inform the adult participant and the c</w:t>
      </w:r>
      <w:r w:rsidR="008A5134" w:rsidRPr="005553DF">
        <w:rPr>
          <w:rFonts w:asciiTheme="minorHAnsi" w:hAnsiTheme="minorHAnsi" w:cstheme="minorHAnsi"/>
          <w:bCs/>
          <w:iCs/>
        </w:rPr>
        <w:t>hild</w:t>
      </w:r>
      <w:r w:rsidRPr="005553DF">
        <w:rPr>
          <w:rFonts w:asciiTheme="minorHAnsi" w:hAnsiTheme="minorHAnsi" w:cstheme="minorHAnsi"/>
          <w:bCs/>
          <w:iCs/>
        </w:rPr>
        <w:t xml:space="preserve"> participant</w:t>
      </w:r>
      <w:r w:rsidR="008A5134" w:rsidRPr="005553DF">
        <w:rPr>
          <w:rFonts w:asciiTheme="minorHAnsi" w:hAnsiTheme="minorHAnsi" w:cstheme="minorHAnsi"/>
          <w:bCs/>
          <w:iCs/>
        </w:rPr>
        <w:t xml:space="preserve"> and parent</w:t>
      </w:r>
      <w:r w:rsidRPr="005553DF">
        <w:rPr>
          <w:rFonts w:asciiTheme="minorHAnsi" w:hAnsiTheme="minorHAnsi" w:cstheme="minorHAnsi"/>
          <w:bCs/>
          <w:iCs/>
        </w:rPr>
        <w:t xml:space="preserve"> of the chemical tests and clinical outcomes to be measured (</w:t>
      </w:r>
      <w:r w:rsidR="00F9018D" w:rsidRPr="005553DF">
        <w:rPr>
          <w:rFonts w:asciiTheme="minorHAnsi" w:hAnsiTheme="minorHAnsi" w:cstheme="minorHAnsi"/>
          <w:b/>
          <w:bCs/>
          <w:iCs/>
        </w:rPr>
        <w:t>Attachment 9</w:t>
      </w:r>
      <w:r w:rsidRPr="005553DF">
        <w:rPr>
          <w:rFonts w:asciiTheme="minorHAnsi" w:hAnsiTheme="minorHAnsi" w:cstheme="minorHAnsi"/>
          <w:b/>
          <w:bCs/>
          <w:iCs/>
        </w:rPr>
        <w:t>c</w:t>
      </w:r>
      <w:r w:rsidRPr="005553DF">
        <w:rPr>
          <w:rFonts w:asciiTheme="minorHAnsi" w:hAnsiTheme="minorHAnsi" w:cstheme="minorHAnsi"/>
          <w:bCs/>
          <w:iCs/>
        </w:rPr>
        <w:t>). Study staff will emphasize the voluntary nature of participation and will answer any questions the participant, or parent of the child participant, has prior to obtaining signatures.</w:t>
      </w:r>
    </w:p>
    <w:p w14:paraId="70203A98" w14:textId="77777777" w:rsidR="00B630A2" w:rsidRPr="005553DF" w:rsidRDefault="00B630A2" w:rsidP="005553DF">
      <w:pPr>
        <w:pStyle w:val="Heading4"/>
        <w:rPr>
          <w:rFonts w:asciiTheme="minorHAnsi" w:hAnsiTheme="minorHAnsi" w:cstheme="minorHAnsi"/>
          <w:i w:val="0"/>
          <w:color w:val="auto"/>
        </w:rPr>
      </w:pPr>
      <w:bookmarkStart w:id="51" w:name="_Toc532224165"/>
      <w:r w:rsidRPr="005553DF">
        <w:rPr>
          <w:rFonts w:asciiTheme="minorHAnsi" w:hAnsiTheme="minorHAnsi" w:cstheme="minorHAnsi"/>
          <w:i w:val="0"/>
          <w:color w:val="auto"/>
        </w:rPr>
        <w:t>3.6</w:t>
      </w:r>
      <w:r w:rsidR="009210EE" w:rsidRPr="005553DF">
        <w:rPr>
          <w:rFonts w:asciiTheme="minorHAnsi" w:hAnsiTheme="minorHAnsi" w:cstheme="minorHAnsi"/>
          <w:i w:val="0"/>
          <w:color w:val="auto"/>
        </w:rPr>
        <w:t>.2</w:t>
      </w:r>
      <w:r w:rsidRPr="005553DF">
        <w:rPr>
          <w:rFonts w:asciiTheme="minorHAnsi" w:hAnsiTheme="minorHAnsi" w:cstheme="minorHAnsi"/>
          <w:i w:val="0"/>
          <w:color w:val="auto"/>
        </w:rPr>
        <w:t>.1 Consent for Specimens and</w:t>
      </w:r>
      <w:r w:rsidR="0051636F" w:rsidRPr="005553DF">
        <w:rPr>
          <w:rFonts w:asciiTheme="minorHAnsi" w:hAnsiTheme="minorHAnsi" w:cstheme="minorHAnsi"/>
          <w:i w:val="0"/>
          <w:color w:val="auto"/>
        </w:rPr>
        <w:t xml:space="preserve"> </w:t>
      </w:r>
      <w:r w:rsidRPr="005553DF">
        <w:rPr>
          <w:rFonts w:asciiTheme="minorHAnsi" w:hAnsiTheme="minorHAnsi" w:cstheme="minorHAnsi"/>
          <w:i w:val="0"/>
          <w:color w:val="auto"/>
        </w:rPr>
        <w:t>Data</w:t>
      </w:r>
      <w:bookmarkEnd w:id="51"/>
    </w:p>
    <w:p w14:paraId="1F74D228" w14:textId="77777777" w:rsidR="00B630A2" w:rsidRPr="005553DF" w:rsidRDefault="00B630A2"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ATSDR will obtain</w:t>
      </w:r>
      <w:r w:rsidR="001A2654" w:rsidRPr="005553DF">
        <w:rPr>
          <w:rFonts w:asciiTheme="minorHAnsi" w:hAnsiTheme="minorHAnsi" w:cstheme="minorHAnsi"/>
          <w:bCs/>
          <w:iCs/>
        </w:rPr>
        <w:t xml:space="preserve"> </w:t>
      </w:r>
      <w:r w:rsidRPr="005553DF">
        <w:rPr>
          <w:rFonts w:asciiTheme="minorHAnsi" w:hAnsiTheme="minorHAnsi" w:cstheme="minorHAnsi"/>
          <w:bCs/>
          <w:iCs/>
        </w:rPr>
        <w:t>fasting bl</w:t>
      </w:r>
      <w:r w:rsidR="001A2654" w:rsidRPr="005553DF">
        <w:rPr>
          <w:rFonts w:asciiTheme="minorHAnsi" w:hAnsiTheme="minorHAnsi" w:cstheme="minorHAnsi"/>
          <w:bCs/>
          <w:iCs/>
        </w:rPr>
        <w:t>ood</w:t>
      </w:r>
      <w:r w:rsidRPr="005553DF">
        <w:rPr>
          <w:rFonts w:asciiTheme="minorHAnsi" w:hAnsiTheme="minorHAnsi" w:cstheme="minorHAnsi"/>
          <w:bCs/>
          <w:iCs/>
        </w:rPr>
        <w:t xml:space="preserve"> specimens from each participant for analyses of PFAS and several effect biomarkers. In addition, all participants will be asked to provide a morning void urine sample on the same day as their blood draw.</w:t>
      </w:r>
      <w:r w:rsidR="00DA1B9E" w:rsidRPr="005553DF">
        <w:rPr>
          <w:rFonts w:asciiTheme="minorHAnsi" w:hAnsiTheme="minorHAnsi" w:cstheme="minorHAnsi"/>
          <w:bCs/>
          <w:iCs/>
        </w:rPr>
        <w:t xml:space="preserve"> </w:t>
      </w:r>
      <w:r w:rsidR="0051636F" w:rsidRPr="005553DF">
        <w:rPr>
          <w:rFonts w:asciiTheme="minorHAnsi" w:hAnsiTheme="minorHAnsi" w:cstheme="minorHAnsi"/>
          <w:bCs/>
          <w:iCs/>
        </w:rPr>
        <w:t>After all the current laboratory analyses on blood</w:t>
      </w:r>
      <w:r w:rsidR="001A2654" w:rsidRPr="005553DF">
        <w:rPr>
          <w:rFonts w:asciiTheme="minorHAnsi" w:hAnsiTheme="minorHAnsi" w:cstheme="minorHAnsi"/>
          <w:bCs/>
          <w:iCs/>
        </w:rPr>
        <w:t xml:space="preserve"> are completed</w:t>
      </w:r>
      <w:r w:rsidR="0051636F" w:rsidRPr="005553DF">
        <w:rPr>
          <w:rFonts w:asciiTheme="minorHAnsi" w:hAnsiTheme="minorHAnsi" w:cstheme="minorHAnsi"/>
          <w:bCs/>
          <w:iCs/>
        </w:rPr>
        <w:t xml:space="preserve">, </w:t>
      </w:r>
      <w:r w:rsidR="00DA1B9E" w:rsidRPr="005553DF">
        <w:rPr>
          <w:rFonts w:asciiTheme="minorHAnsi" w:hAnsiTheme="minorHAnsi" w:cstheme="minorHAnsi"/>
          <w:bCs/>
          <w:iCs/>
        </w:rPr>
        <w:t xml:space="preserve">ATSDR will ask for </w:t>
      </w:r>
      <w:r w:rsidR="0051636F" w:rsidRPr="005553DF">
        <w:rPr>
          <w:rFonts w:asciiTheme="minorHAnsi" w:hAnsiTheme="minorHAnsi" w:cstheme="minorHAnsi"/>
          <w:bCs/>
          <w:iCs/>
        </w:rPr>
        <w:t>permission to archive any</w:t>
      </w:r>
      <w:r w:rsidR="00DA1B9E" w:rsidRPr="005553DF">
        <w:rPr>
          <w:rFonts w:asciiTheme="minorHAnsi" w:hAnsiTheme="minorHAnsi" w:cstheme="minorHAnsi"/>
          <w:bCs/>
          <w:iCs/>
        </w:rPr>
        <w:t xml:space="preserve"> </w:t>
      </w:r>
      <w:r w:rsidR="0051636F" w:rsidRPr="005553DF">
        <w:rPr>
          <w:rFonts w:asciiTheme="minorHAnsi" w:hAnsiTheme="minorHAnsi" w:cstheme="minorHAnsi"/>
          <w:bCs/>
          <w:iCs/>
        </w:rPr>
        <w:t xml:space="preserve">residual </w:t>
      </w:r>
      <w:r w:rsidR="00DA1B9E" w:rsidRPr="005553DF">
        <w:rPr>
          <w:rFonts w:asciiTheme="minorHAnsi" w:hAnsiTheme="minorHAnsi" w:cstheme="minorHAnsi"/>
          <w:bCs/>
          <w:iCs/>
        </w:rPr>
        <w:t>blood specimen</w:t>
      </w:r>
      <w:r w:rsidR="0051636F" w:rsidRPr="005553DF">
        <w:rPr>
          <w:rFonts w:asciiTheme="minorHAnsi" w:hAnsiTheme="minorHAnsi" w:cstheme="minorHAnsi"/>
          <w:bCs/>
          <w:iCs/>
        </w:rPr>
        <w:t>s and the urines</w:t>
      </w:r>
      <w:r w:rsidR="00DA1B9E" w:rsidRPr="005553DF">
        <w:rPr>
          <w:rFonts w:asciiTheme="minorHAnsi" w:hAnsiTheme="minorHAnsi" w:cstheme="minorHAnsi"/>
          <w:bCs/>
          <w:iCs/>
        </w:rPr>
        <w:t xml:space="preserve"> for future analyses of PFAS and/or effect biomarkers</w:t>
      </w:r>
      <w:r w:rsidR="0051636F" w:rsidRPr="005553DF">
        <w:rPr>
          <w:rFonts w:asciiTheme="minorHAnsi" w:hAnsiTheme="minorHAnsi" w:cstheme="minorHAnsi"/>
          <w:bCs/>
          <w:iCs/>
        </w:rPr>
        <w:t>.</w:t>
      </w:r>
    </w:p>
    <w:p w14:paraId="5FAF0299" w14:textId="77777777" w:rsidR="004A0231" w:rsidRPr="005553DF" w:rsidRDefault="004A023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ATSDR will also enter into an agreement with NH DHHS for conditional access to the Pease biomonitoring program data and residual specimens. The access is conditional because health study participants must consent to allow </w:t>
      </w:r>
      <w:r w:rsidR="00EA4E3A" w:rsidRPr="005553DF">
        <w:rPr>
          <w:rFonts w:asciiTheme="minorHAnsi" w:hAnsiTheme="minorHAnsi" w:cstheme="minorHAnsi"/>
        </w:rPr>
        <w:t>ATSDR to obtain</w:t>
      </w:r>
      <w:r w:rsidRPr="005553DF">
        <w:rPr>
          <w:rFonts w:asciiTheme="minorHAnsi" w:hAnsiTheme="minorHAnsi" w:cstheme="minorHAnsi"/>
        </w:rPr>
        <w:t xml:space="preserve"> their existing residual </w:t>
      </w:r>
      <w:r w:rsidR="001A2654" w:rsidRPr="005553DF">
        <w:rPr>
          <w:rFonts w:asciiTheme="minorHAnsi" w:hAnsiTheme="minorHAnsi" w:cstheme="minorHAnsi"/>
        </w:rPr>
        <w:t xml:space="preserve">biomonitoring </w:t>
      </w:r>
      <w:r w:rsidRPr="005553DF">
        <w:rPr>
          <w:rFonts w:asciiTheme="minorHAnsi" w:hAnsiTheme="minorHAnsi" w:cstheme="minorHAnsi"/>
        </w:rPr>
        <w:t>specimens</w:t>
      </w:r>
      <w:r w:rsidR="001A2654" w:rsidRPr="005553DF">
        <w:rPr>
          <w:rFonts w:asciiTheme="minorHAnsi" w:hAnsiTheme="minorHAnsi" w:cstheme="minorHAnsi"/>
        </w:rPr>
        <w:t xml:space="preserve"> for</w:t>
      </w:r>
      <w:r w:rsidR="00DA1B9E" w:rsidRPr="005553DF">
        <w:rPr>
          <w:rFonts w:asciiTheme="minorHAnsi" w:hAnsiTheme="minorHAnsi" w:cstheme="minorHAnsi"/>
        </w:rPr>
        <w:t xml:space="preserve"> current </w:t>
      </w:r>
      <w:r w:rsidR="001A2654" w:rsidRPr="005553DF">
        <w:rPr>
          <w:rFonts w:asciiTheme="minorHAnsi" w:hAnsiTheme="minorHAnsi" w:cstheme="minorHAnsi"/>
        </w:rPr>
        <w:t xml:space="preserve">or future </w:t>
      </w:r>
      <w:r w:rsidR="00DA1B9E" w:rsidRPr="005553DF">
        <w:rPr>
          <w:rFonts w:asciiTheme="minorHAnsi" w:hAnsiTheme="minorHAnsi" w:cstheme="minorHAnsi"/>
        </w:rPr>
        <w:t xml:space="preserve">research purposes. </w:t>
      </w:r>
      <w:r w:rsidRPr="005553DF">
        <w:rPr>
          <w:rFonts w:asciiTheme="minorHAnsi" w:hAnsiTheme="minorHAnsi" w:cstheme="minorHAnsi"/>
        </w:rPr>
        <w:t>ATSDR will reconsent participants to allow further PFAS and effect biomarker analyses</w:t>
      </w:r>
      <w:r w:rsidR="00DA1B9E" w:rsidRPr="005553DF">
        <w:rPr>
          <w:rFonts w:asciiTheme="minorHAnsi" w:hAnsiTheme="minorHAnsi" w:cstheme="minorHAnsi"/>
        </w:rPr>
        <w:t xml:space="preserve"> using any r</w:t>
      </w:r>
      <w:r w:rsidR="00C44E4C" w:rsidRPr="005553DF">
        <w:rPr>
          <w:rFonts w:asciiTheme="minorHAnsi" w:hAnsiTheme="minorHAnsi" w:cstheme="minorHAnsi"/>
        </w:rPr>
        <w:t>emaining residual specimens for research</w:t>
      </w:r>
      <w:r w:rsidR="00B01AA0" w:rsidRPr="005553DF">
        <w:rPr>
          <w:rFonts w:asciiTheme="minorHAnsi" w:hAnsiTheme="minorHAnsi" w:cstheme="minorHAnsi"/>
        </w:rPr>
        <w:t xml:space="preserve">. </w:t>
      </w:r>
      <w:r w:rsidRPr="005553DF">
        <w:rPr>
          <w:rFonts w:asciiTheme="minorHAnsi" w:hAnsiTheme="minorHAnsi" w:cstheme="minorHAnsi"/>
        </w:rPr>
        <w:t>ATSDR will also seek consent from participants to link t</w:t>
      </w:r>
      <w:r w:rsidR="00491F34" w:rsidRPr="005553DF">
        <w:rPr>
          <w:rFonts w:asciiTheme="minorHAnsi" w:hAnsiTheme="minorHAnsi" w:cstheme="minorHAnsi"/>
        </w:rPr>
        <w:t>heir existing laboratory results</w:t>
      </w:r>
      <w:r w:rsidRPr="005553DF">
        <w:rPr>
          <w:rFonts w:asciiTheme="minorHAnsi" w:hAnsiTheme="minorHAnsi" w:cstheme="minorHAnsi"/>
        </w:rPr>
        <w:t xml:space="preserve"> from the NH </w:t>
      </w:r>
      <w:r w:rsidR="001A2654" w:rsidRPr="005553DF">
        <w:rPr>
          <w:rFonts w:asciiTheme="minorHAnsi" w:hAnsiTheme="minorHAnsi" w:cstheme="minorHAnsi"/>
        </w:rPr>
        <w:t xml:space="preserve">biomonitoring </w:t>
      </w:r>
      <w:r w:rsidRPr="005553DF">
        <w:rPr>
          <w:rFonts w:asciiTheme="minorHAnsi" w:hAnsiTheme="minorHAnsi" w:cstheme="minorHAnsi"/>
        </w:rPr>
        <w:t>program for this new research purpose.</w:t>
      </w:r>
    </w:p>
    <w:p w14:paraId="58039F04" w14:textId="77777777" w:rsidR="00696C0D" w:rsidRPr="005553DF" w:rsidRDefault="009210EE" w:rsidP="005553DF">
      <w:pPr>
        <w:pStyle w:val="Heading4"/>
        <w:rPr>
          <w:rFonts w:asciiTheme="minorHAnsi" w:hAnsiTheme="minorHAnsi" w:cstheme="minorHAnsi"/>
          <w:i w:val="0"/>
          <w:color w:val="auto"/>
        </w:rPr>
      </w:pPr>
      <w:bookmarkStart w:id="52" w:name="_Toc532224166"/>
      <w:r w:rsidRPr="005553DF">
        <w:rPr>
          <w:rFonts w:asciiTheme="minorHAnsi" w:hAnsiTheme="minorHAnsi" w:cstheme="minorHAnsi"/>
          <w:i w:val="0"/>
          <w:color w:val="auto"/>
        </w:rPr>
        <w:t>3.6.2</w:t>
      </w:r>
      <w:r w:rsidR="00A76265" w:rsidRPr="005553DF">
        <w:rPr>
          <w:rFonts w:asciiTheme="minorHAnsi" w:hAnsiTheme="minorHAnsi" w:cstheme="minorHAnsi"/>
          <w:i w:val="0"/>
          <w:color w:val="auto"/>
        </w:rPr>
        <w:t>.2</w:t>
      </w:r>
      <w:r w:rsidR="00696C0D" w:rsidRPr="005553DF">
        <w:rPr>
          <w:rFonts w:asciiTheme="minorHAnsi" w:hAnsiTheme="minorHAnsi" w:cstheme="minorHAnsi"/>
          <w:i w:val="0"/>
          <w:color w:val="auto"/>
        </w:rPr>
        <w:t xml:space="preserve"> </w:t>
      </w:r>
      <w:r w:rsidR="00A76265" w:rsidRPr="005553DF">
        <w:rPr>
          <w:rFonts w:asciiTheme="minorHAnsi" w:hAnsiTheme="minorHAnsi" w:cstheme="minorHAnsi"/>
          <w:i w:val="0"/>
          <w:color w:val="auto"/>
        </w:rPr>
        <w:t>C</w:t>
      </w:r>
      <w:r w:rsidR="00AD24EB" w:rsidRPr="005553DF">
        <w:rPr>
          <w:rFonts w:asciiTheme="minorHAnsi" w:hAnsiTheme="minorHAnsi" w:cstheme="minorHAnsi"/>
          <w:i w:val="0"/>
          <w:color w:val="auto"/>
        </w:rPr>
        <w:t>hild Consent</w:t>
      </w:r>
      <w:bookmarkEnd w:id="52"/>
    </w:p>
    <w:p w14:paraId="1DF84AD3" w14:textId="77777777" w:rsidR="00696C0D" w:rsidRPr="005553DF" w:rsidRDefault="00696C0D"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Before any data collection can begin in the </w:t>
      </w:r>
      <w:r w:rsidR="0002344A" w:rsidRPr="005553DF">
        <w:rPr>
          <w:rFonts w:asciiTheme="minorHAnsi" w:hAnsiTheme="minorHAnsi" w:cstheme="minorHAnsi"/>
          <w:bCs/>
          <w:iCs/>
        </w:rPr>
        <w:t>child study</w:t>
      </w:r>
      <w:r w:rsidRPr="005553DF">
        <w:rPr>
          <w:rFonts w:asciiTheme="minorHAnsi" w:hAnsiTheme="minorHAnsi" w:cstheme="minorHAnsi"/>
        </w:rPr>
        <w:t>, trained study staff will revi</w:t>
      </w:r>
      <w:r w:rsidR="00A76265" w:rsidRPr="005553DF">
        <w:rPr>
          <w:rFonts w:asciiTheme="minorHAnsi" w:hAnsiTheme="minorHAnsi" w:cstheme="minorHAnsi"/>
        </w:rPr>
        <w:t xml:space="preserve">ew the hardcopy </w:t>
      </w:r>
      <w:r w:rsidR="00B7664A" w:rsidRPr="005553DF">
        <w:rPr>
          <w:rFonts w:asciiTheme="minorHAnsi" w:hAnsiTheme="minorHAnsi" w:cstheme="minorHAnsi"/>
        </w:rPr>
        <w:t xml:space="preserve">Parental </w:t>
      </w:r>
      <w:r w:rsidR="00B7664A" w:rsidRPr="005553DF">
        <w:rPr>
          <w:rFonts w:asciiTheme="minorHAnsi" w:hAnsiTheme="minorHAnsi" w:cstheme="minorHAnsi"/>
          <w:bCs/>
          <w:iCs/>
        </w:rPr>
        <w:t>Permission and Assent Form</w:t>
      </w:r>
      <w:r w:rsidRPr="005553DF">
        <w:rPr>
          <w:rFonts w:asciiTheme="minorHAnsi" w:hAnsiTheme="minorHAnsi" w:cstheme="minorHAnsi"/>
          <w:bCs/>
          <w:iCs/>
        </w:rPr>
        <w:t xml:space="preserve"> (</w:t>
      </w:r>
      <w:r w:rsidR="00B865F2" w:rsidRPr="005553DF">
        <w:rPr>
          <w:rFonts w:asciiTheme="minorHAnsi" w:hAnsiTheme="minorHAnsi" w:cstheme="minorHAnsi"/>
          <w:b/>
          <w:bCs/>
          <w:iCs/>
        </w:rPr>
        <w:t>Attachment 9</w:t>
      </w:r>
      <w:r w:rsidR="00D50A64" w:rsidRPr="005553DF">
        <w:rPr>
          <w:rFonts w:asciiTheme="minorHAnsi" w:hAnsiTheme="minorHAnsi" w:cstheme="minorHAnsi"/>
          <w:b/>
          <w:bCs/>
          <w:iCs/>
        </w:rPr>
        <w:t>b2</w:t>
      </w:r>
      <w:r w:rsidRPr="005553DF">
        <w:rPr>
          <w:rFonts w:asciiTheme="minorHAnsi" w:hAnsiTheme="minorHAnsi" w:cstheme="minorHAnsi"/>
          <w:bCs/>
          <w:iCs/>
        </w:rPr>
        <w:t>)</w:t>
      </w:r>
      <w:r w:rsidRPr="005553DF">
        <w:rPr>
          <w:rFonts w:asciiTheme="minorHAnsi" w:hAnsiTheme="minorHAnsi" w:cstheme="minorHAnsi"/>
        </w:rPr>
        <w:t xml:space="preserve"> with the </w:t>
      </w:r>
      <w:r w:rsidRPr="005553DF">
        <w:rPr>
          <w:rFonts w:asciiTheme="minorHAnsi" w:hAnsiTheme="minorHAnsi" w:cstheme="minorHAnsi"/>
          <w:bCs/>
          <w:iCs/>
        </w:rPr>
        <w:t>parent who is interested in having the child participate.  The study staff will explain to the parent and child the purpose of the study a</w:t>
      </w:r>
      <w:r w:rsidR="00A76265" w:rsidRPr="005553DF">
        <w:rPr>
          <w:rFonts w:asciiTheme="minorHAnsi" w:hAnsiTheme="minorHAnsi" w:cstheme="minorHAnsi"/>
          <w:bCs/>
          <w:iCs/>
        </w:rPr>
        <w:t>nd request that the parent sign</w:t>
      </w:r>
      <w:r w:rsidRPr="005553DF">
        <w:rPr>
          <w:rFonts w:asciiTheme="minorHAnsi" w:hAnsiTheme="minorHAnsi" w:cstheme="minorHAnsi"/>
          <w:bCs/>
          <w:iCs/>
          <w:color w:val="000000"/>
        </w:rPr>
        <w:t xml:space="preserve"> the permission forms.  If the child is seven years of age or older, the study staff will request that the child give an assent to participate in the study.</w:t>
      </w:r>
    </w:p>
    <w:p w14:paraId="595B497B" w14:textId="77777777" w:rsidR="00696C0D" w:rsidRPr="005553DF" w:rsidRDefault="00BA422B" w:rsidP="005553DF">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color w:val="000000"/>
        </w:rPr>
        <w:t>ATSDR</w:t>
      </w:r>
      <w:r w:rsidR="00696C0D" w:rsidRPr="005553DF">
        <w:rPr>
          <w:rFonts w:asciiTheme="minorHAnsi" w:hAnsiTheme="minorHAnsi" w:cstheme="minorHAnsi"/>
          <w:bCs/>
          <w:iCs/>
          <w:color w:val="000000"/>
        </w:rPr>
        <w:t xml:space="preserve"> will request that the parent complete a questionnaire about the child and complete a parental neurobehavioral test battery</w:t>
      </w:r>
      <w:r w:rsidRPr="005553DF">
        <w:rPr>
          <w:rFonts w:asciiTheme="minorHAnsi" w:hAnsiTheme="minorHAnsi" w:cstheme="minorHAnsi"/>
          <w:bCs/>
          <w:iCs/>
          <w:color w:val="000000"/>
        </w:rPr>
        <w:t xml:space="preserve"> on behalf of the child</w:t>
      </w:r>
      <w:r w:rsidR="00696C0D" w:rsidRPr="005553DF">
        <w:rPr>
          <w:rFonts w:asciiTheme="minorHAnsi" w:hAnsiTheme="minorHAnsi" w:cstheme="minorHAnsi"/>
          <w:bCs/>
          <w:iCs/>
          <w:color w:val="000000"/>
        </w:rPr>
        <w:t>. The permission form will request that the parent</w:t>
      </w:r>
      <w:r w:rsidR="00B7664A" w:rsidRPr="005553DF">
        <w:rPr>
          <w:rFonts w:asciiTheme="minorHAnsi" w:hAnsiTheme="minorHAnsi" w:cstheme="minorHAnsi"/>
          <w:bCs/>
          <w:iCs/>
          <w:color w:val="000000"/>
        </w:rPr>
        <w:t xml:space="preserve"> allow the child to donate a</w:t>
      </w:r>
      <w:r w:rsidR="00696C0D" w:rsidRPr="005553DF">
        <w:rPr>
          <w:rFonts w:asciiTheme="minorHAnsi" w:hAnsiTheme="minorHAnsi" w:cstheme="minorHAnsi"/>
          <w:bCs/>
          <w:iCs/>
          <w:color w:val="000000"/>
        </w:rPr>
        <w:t xml:space="preserve"> fas</w:t>
      </w:r>
      <w:r w:rsidR="00B7664A" w:rsidRPr="005553DF">
        <w:rPr>
          <w:rFonts w:asciiTheme="minorHAnsi" w:hAnsiTheme="minorHAnsi" w:cstheme="minorHAnsi"/>
          <w:bCs/>
          <w:iCs/>
          <w:color w:val="000000"/>
        </w:rPr>
        <w:t>ting blood specimen and store any residual</w:t>
      </w:r>
      <w:r w:rsidR="00696C0D" w:rsidRPr="005553DF">
        <w:rPr>
          <w:rFonts w:asciiTheme="minorHAnsi" w:hAnsiTheme="minorHAnsi" w:cstheme="minorHAnsi"/>
          <w:bCs/>
          <w:iCs/>
          <w:color w:val="000000"/>
        </w:rPr>
        <w:t xml:space="preserve"> </w:t>
      </w:r>
      <w:r w:rsidR="00B7664A" w:rsidRPr="005553DF">
        <w:rPr>
          <w:rFonts w:asciiTheme="minorHAnsi" w:hAnsiTheme="minorHAnsi" w:cstheme="minorHAnsi"/>
          <w:bCs/>
          <w:iCs/>
          <w:color w:val="000000"/>
        </w:rPr>
        <w:t xml:space="preserve">specimens </w:t>
      </w:r>
      <w:r w:rsidR="00696C0D" w:rsidRPr="005553DF">
        <w:rPr>
          <w:rFonts w:asciiTheme="minorHAnsi" w:hAnsiTheme="minorHAnsi" w:cstheme="minorHAnsi"/>
          <w:bCs/>
          <w:iCs/>
          <w:color w:val="000000"/>
        </w:rPr>
        <w:t>for future analyses</w:t>
      </w:r>
      <w:r w:rsidR="00B7664A" w:rsidRPr="005553DF">
        <w:rPr>
          <w:rFonts w:asciiTheme="minorHAnsi" w:hAnsiTheme="minorHAnsi" w:cstheme="minorHAnsi"/>
          <w:bCs/>
          <w:iCs/>
          <w:color w:val="000000"/>
        </w:rPr>
        <w:t>.</w:t>
      </w:r>
      <w:r w:rsidR="00696C0D" w:rsidRPr="005553DF">
        <w:rPr>
          <w:rFonts w:asciiTheme="minorHAnsi" w:hAnsiTheme="minorHAnsi" w:cstheme="minorHAnsi"/>
          <w:bCs/>
          <w:iCs/>
          <w:color w:val="000000"/>
        </w:rPr>
        <w:t xml:space="preserve"> The parental permission form will allow the investigators to administer a neurobehavioral test battery to the child, access the child’s medical and school records (including special education records)</w:t>
      </w:r>
      <w:r w:rsidR="00901564" w:rsidRPr="005553DF">
        <w:rPr>
          <w:rFonts w:asciiTheme="minorHAnsi" w:hAnsiTheme="minorHAnsi" w:cstheme="minorHAnsi"/>
          <w:bCs/>
          <w:iCs/>
          <w:color w:val="000000"/>
        </w:rPr>
        <w:t xml:space="preserve"> (</w:t>
      </w:r>
      <w:r w:rsidR="00B7664A" w:rsidRPr="005553DF">
        <w:rPr>
          <w:rFonts w:asciiTheme="minorHAnsi" w:hAnsiTheme="minorHAnsi" w:cstheme="minorHAnsi"/>
          <w:b/>
          <w:bCs/>
          <w:iCs/>
          <w:color w:val="000000"/>
        </w:rPr>
        <w:t xml:space="preserve">Attachments </w:t>
      </w:r>
      <w:r w:rsidR="00B865F2" w:rsidRPr="005553DF">
        <w:rPr>
          <w:rFonts w:asciiTheme="minorHAnsi" w:hAnsiTheme="minorHAnsi" w:cstheme="minorHAnsi"/>
          <w:b/>
          <w:bCs/>
          <w:iCs/>
          <w:color w:val="000000"/>
        </w:rPr>
        <w:t>9</w:t>
      </w:r>
      <w:r w:rsidR="00B7664A" w:rsidRPr="005553DF">
        <w:rPr>
          <w:rFonts w:asciiTheme="minorHAnsi" w:hAnsiTheme="minorHAnsi" w:cstheme="minorHAnsi"/>
          <w:b/>
          <w:bCs/>
          <w:iCs/>
          <w:color w:val="000000"/>
        </w:rPr>
        <w:t xml:space="preserve">b2, </w:t>
      </w:r>
      <w:r w:rsidR="00B865F2" w:rsidRPr="005553DF">
        <w:rPr>
          <w:rFonts w:asciiTheme="minorHAnsi" w:hAnsiTheme="minorHAnsi" w:cstheme="minorHAnsi"/>
          <w:b/>
          <w:bCs/>
          <w:iCs/>
          <w:color w:val="000000"/>
        </w:rPr>
        <w:t>9</w:t>
      </w:r>
      <w:r w:rsidR="00B7664A" w:rsidRPr="005553DF">
        <w:rPr>
          <w:rFonts w:asciiTheme="minorHAnsi" w:hAnsiTheme="minorHAnsi" w:cstheme="minorHAnsi"/>
          <w:b/>
          <w:bCs/>
          <w:iCs/>
          <w:color w:val="000000"/>
        </w:rPr>
        <w:t xml:space="preserve">b3 </w:t>
      </w:r>
      <w:r w:rsidR="00901564" w:rsidRPr="005553DF">
        <w:rPr>
          <w:rFonts w:asciiTheme="minorHAnsi" w:hAnsiTheme="minorHAnsi" w:cstheme="minorHAnsi"/>
          <w:b/>
          <w:bCs/>
          <w:iCs/>
          <w:color w:val="000000"/>
        </w:rPr>
        <w:t>&amp;</w:t>
      </w:r>
      <w:r w:rsidR="00B7664A" w:rsidRPr="005553DF">
        <w:rPr>
          <w:rFonts w:asciiTheme="minorHAnsi" w:hAnsiTheme="minorHAnsi" w:cstheme="minorHAnsi"/>
          <w:b/>
          <w:bCs/>
          <w:iCs/>
          <w:color w:val="000000"/>
        </w:rPr>
        <w:t xml:space="preserve"> </w:t>
      </w:r>
      <w:r w:rsidR="00B865F2" w:rsidRPr="005553DF">
        <w:rPr>
          <w:rFonts w:asciiTheme="minorHAnsi" w:hAnsiTheme="minorHAnsi" w:cstheme="minorHAnsi"/>
          <w:b/>
          <w:bCs/>
          <w:iCs/>
          <w:color w:val="000000"/>
        </w:rPr>
        <w:t>9</w:t>
      </w:r>
      <w:r w:rsidR="00B7664A" w:rsidRPr="005553DF">
        <w:rPr>
          <w:rFonts w:asciiTheme="minorHAnsi" w:hAnsiTheme="minorHAnsi" w:cstheme="minorHAnsi"/>
          <w:b/>
          <w:bCs/>
          <w:iCs/>
          <w:color w:val="000000"/>
        </w:rPr>
        <w:t>b</w:t>
      </w:r>
      <w:r w:rsidR="000866C4" w:rsidRPr="005553DF">
        <w:rPr>
          <w:rFonts w:asciiTheme="minorHAnsi" w:hAnsiTheme="minorHAnsi" w:cstheme="minorHAnsi"/>
          <w:b/>
          <w:bCs/>
          <w:iCs/>
          <w:color w:val="000000"/>
        </w:rPr>
        <w:t>5</w:t>
      </w:r>
      <w:r w:rsidR="00901564" w:rsidRPr="005553DF">
        <w:rPr>
          <w:rFonts w:asciiTheme="minorHAnsi" w:hAnsiTheme="minorHAnsi" w:cstheme="minorHAnsi"/>
          <w:bCs/>
          <w:iCs/>
          <w:color w:val="000000"/>
        </w:rPr>
        <w:t>)</w:t>
      </w:r>
      <w:r w:rsidR="00696C0D" w:rsidRPr="005553DF">
        <w:rPr>
          <w:rFonts w:asciiTheme="minorHAnsi" w:hAnsiTheme="minorHAnsi" w:cstheme="minorHAnsi"/>
          <w:bCs/>
          <w:iCs/>
          <w:color w:val="000000"/>
        </w:rPr>
        <w:t>, and to contact the</w:t>
      </w:r>
      <w:r w:rsidR="00AD24EB" w:rsidRPr="005553DF">
        <w:rPr>
          <w:rFonts w:asciiTheme="minorHAnsi" w:hAnsiTheme="minorHAnsi" w:cstheme="minorHAnsi"/>
          <w:bCs/>
          <w:iCs/>
          <w:color w:val="000000"/>
        </w:rPr>
        <w:t xml:space="preserve"> child and parent for </w:t>
      </w:r>
      <w:r w:rsidR="002E790F" w:rsidRPr="005553DF">
        <w:rPr>
          <w:rFonts w:asciiTheme="minorHAnsi" w:hAnsiTheme="minorHAnsi" w:cstheme="minorHAnsi"/>
          <w:bCs/>
          <w:iCs/>
          <w:color w:val="000000"/>
        </w:rPr>
        <w:t>poss</w:t>
      </w:r>
      <w:r w:rsidR="00AD24EB" w:rsidRPr="005553DF">
        <w:rPr>
          <w:rFonts w:asciiTheme="minorHAnsi" w:hAnsiTheme="minorHAnsi" w:cstheme="minorHAnsi"/>
          <w:bCs/>
          <w:iCs/>
          <w:color w:val="000000"/>
        </w:rPr>
        <w:t>ible future</w:t>
      </w:r>
      <w:r w:rsidR="002E790F" w:rsidRPr="005553DF">
        <w:rPr>
          <w:rFonts w:asciiTheme="minorHAnsi" w:hAnsiTheme="minorHAnsi" w:cstheme="minorHAnsi"/>
          <w:bCs/>
          <w:iCs/>
          <w:color w:val="000000"/>
        </w:rPr>
        <w:t xml:space="preserve"> </w:t>
      </w:r>
      <w:r w:rsidR="00AD24EB" w:rsidRPr="005553DF">
        <w:rPr>
          <w:rFonts w:asciiTheme="minorHAnsi" w:hAnsiTheme="minorHAnsi" w:cstheme="minorHAnsi"/>
          <w:bCs/>
          <w:iCs/>
          <w:color w:val="000000"/>
        </w:rPr>
        <w:t>studies</w:t>
      </w:r>
      <w:r w:rsidR="00696C0D" w:rsidRPr="005553DF">
        <w:rPr>
          <w:rFonts w:asciiTheme="minorHAnsi" w:hAnsiTheme="minorHAnsi" w:cstheme="minorHAnsi"/>
          <w:bCs/>
          <w:iCs/>
          <w:color w:val="000000"/>
        </w:rPr>
        <w:t xml:space="preserve">. </w:t>
      </w:r>
      <w:r w:rsidR="00696C0D" w:rsidRPr="005553DF">
        <w:rPr>
          <w:rFonts w:asciiTheme="minorHAnsi" w:hAnsiTheme="minorHAnsi" w:cstheme="minorHAnsi"/>
          <w:bCs/>
          <w:iCs/>
        </w:rPr>
        <w:t>Once the parent signs the consent and permission forms (and the child aged ≥7 years gives assent to participate), the parent and/or the child become study participants.</w:t>
      </w:r>
    </w:p>
    <w:p w14:paraId="1E1EE2CE" w14:textId="77777777" w:rsidR="004A0231" w:rsidRPr="005553DF" w:rsidRDefault="004A0231" w:rsidP="005553DF">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color w:val="000000"/>
        </w:rPr>
        <w:t xml:space="preserve">For those children who participated in the Pease biomonitoring program, the consent form will </w:t>
      </w:r>
      <w:r w:rsidRPr="005553DF">
        <w:rPr>
          <w:rFonts w:asciiTheme="minorHAnsi" w:hAnsiTheme="minorHAnsi" w:cstheme="minorHAnsi"/>
          <w:bCs/>
          <w:iCs/>
        </w:rPr>
        <w:t xml:space="preserve">request permission from the parent to access the child’s residual </w:t>
      </w:r>
      <w:r w:rsidR="00BC5CF5" w:rsidRPr="005553DF">
        <w:rPr>
          <w:rFonts w:asciiTheme="minorHAnsi" w:hAnsiTheme="minorHAnsi" w:cstheme="minorHAnsi"/>
          <w:bCs/>
          <w:iCs/>
        </w:rPr>
        <w:t xml:space="preserve">biomonitoring </w:t>
      </w:r>
      <w:r w:rsidRPr="005553DF">
        <w:rPr>
          <w:rFonts w:asciiTheme="minorHAnsi" w:hAnsiTheme="minorHAnsi" w:cstheme="minorHAnsi"/>
          <w:bCs/>
          <w:iCs/>
        </w:rPr>
        <w:t xml:space="preserve">blood specimen for the analysis of additional PFAS chemicals and immune biomarkers. The consent form will also permit NH DHHS to provide the child’s PFAS serum results from the biomonitoring program for </w:t>
      </w:r>
      <w:r w:rsidR="00501C86" w:rsidRPr="005553DF">
        <w:rPr>
          <w:rFonts w:asciiTheme="minorHAnsi" w:hAnsiTheme="minorHAnsi" w:cstheme="minorHAnsi"/>
          <w:bCs/>
          <w:iCs/>
        </w:rPr>
        <w:t>use in this research study</w:t>
      </w:r>
      <w:r w:rsidRPr="005553DF">
        <w:rPr>
          <w:rFonts w:asciiTheme="minorHAnsi" w:hAnsiTheme="minorHAnsi" w:cstheme="minorHAnsi"/>
          <w:bCs/>
          <w:iCs/>
        </w:rPr>
        <w:t>.</w:t>
      </w:r>
    </w:p>
    <w:p w14:paraId="21EFBAA0" w14:textId="77777777" w:rsidR="00AD24EB" w:rsidRPr="005553DF" w:rsidRDefault="009210EE" w:rsidP="005553DF">
      <w:pPr>
        <w:pStyle w:val="Heading4"/>
        <w:rPr>
          <w:rFonts w:asciiTheme="minorHAnsi" w:hAnsiTheme="minorHAnsi" w:cstheme="minorHAnsi"/>
          <w:i w:val="0"/>
          <w:color w:val="auto"/>
        </w:rPr>
      </w:pPr>
      <w:bookmarkStart w:id="53" w:name="_Toc532224167"/>
      <w:r w:rsidRPr="005553DF">
        <w:rPr>
          <w:rFonts w:asciiTheme="minorHAnsi" w:hAnsiTheme="minorHAnsi" w:cstheme="minorHAnsi"/>
          <w:i w:val="0"/>
          <w:color w:val="auto"/>
        </w:rPr>
        <w:t>3.6.2</w:t>
      </w:r>
      <w:r w:rsidR="00AD24EB" w:rsidRPr="005553DF">
        <w:rPr>
          <w:rFonts w:asciiTheme="minorHAnsi" w:hAnsiTheme="minorHAnsi" w:cstheme="minorHAnsi"/>
          <w:i w:val="0"/>
          <w:color w:val="auto"/>
        </w:rPr>
        <w:t>.3 Adult Consent</w:t>
      </w:r>
      <w:bookmarkEnd w:id="53"/>
    </w:p>
    <w:p w14:paraId="04D75209" w14:textId="77777777" w:rsidR="00696C0D" w:rsidRPr="005553DF" w:rsidRDefault="00696C0D"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rPr>
        <w:t xml:space="preserve">Before any data collection can begin in the adult study, trained study staff will review the hardcopy Adult Consent </w:t>
      </w:r>
      <w:r w:rsidRPr="005553DF">
        <w:rPr>
          <w:rFonts w:asciiTheme="minorHAnsi" w:hAnsiTheme="minorHAnsi" w:cstheme="minorHAnsi"/>
          <w:bCs/>
          <w:iCs/>
          <w:color w:val="000000"/>
        </w:rPr>
        <w:t>Form with the interested recruit (</w:t>
      </w:r>
      <w:r w:rsidR="00BF146C" w:rsidRPr="005553DF">
        <w:rPr>
          <w:rFonts w:asciiTheme="minorHAnsi" w:hAnsiTheme="minorHAnsi" w:cstheme="minorHAnsi"/>
          <w:b/>
          <w:bCs/>
          <w:iCs/>
          <w:color w:val="000000"/>
        </w:rPr>
        <w:t>Attachment 9</w:t>
      </w:r>
      <w:r w:rsidR="00B7664A" w:rsidRPr="005553DF">
        <w:rPr>
          <w:rFonts w:asciiTheme="minorHAnsi" w:hAnsiTheme="minorHAnsi" w:cstheme="minorHAnsi"/>
          <w:b/>
          <w:bCs/>
          <w:iCs/>
          <w:color w:val="000000"/>
        </w:rPr>
        <w:t>b</w:t>
      </w:r>
      <w:r w:rsidR="000866C4" w:rsidRPr="005553DF">
        <w:rPr>
          <w:rFonts w:asciiTheme="minorHAnsi" w:hAnsiTheme="minorHAnsi" w:cstheme="minorHAnsi"/>
          <w:b/>
          <w:bCs/>
          <w:iCs/>
          <w:color w:val="000000"/>
        </w:rPr>
        <w:t>4</w:t>
      </w:r>
      <w:r w:rsidRPr="005553DF">
        <w:rPr>
          <w:rFonts w:asciiTheme="minorHAnsi" w:hAnsiTheme="minorHAnsi" w:cstheme="minorHAnsi"/>
          <w:bCs/>
          <w:iCs/>
          <w:color w:val="000000"/>
        </w:rPr>
        <w:t>). The study staff will explain the purpose of the study and obtain written informed consent for the completion of a questionnaire, the collection of a new fasting blood specimen, the storage of this blood specimen for future analyses, access to medical records</w:t>
      </w:r>
      <w:r w:rsidR="00B7664A" w:rsidRPr="005553DF">
        <w:rPr>
          <w:rFonts w:asciiTheme="minorHAnsi" w:hAnsiTheme="minorHAnsi" w:cstheme="minorHAnsi"/>
          <w:bCs/>
          <w:iCs/>
          <w:color w:val="000000"/>
        </w:rPr>
        <w:t xml:space="preserve"> (</w:t>
      </w:r>
      <w:r w:rsidR="00BF146C" w:rsidRPr="005553DF">
        <w:rPr>
          <w:rFonts w:asciiTheme="minorHAnsi" w:hAnsiTheme="minorHAnsi" w:cstheme="minorHAnsi"/>
          <w:b/>
          <w:bCs/>
          <w:iCs/>
          <w:color w:val="000000"/>
        </w:rPr>
        <w:t>Attachment 9</w:t>
      </w:r>
      <w:r w:rsidR="00BD14D1" w:rsidRPr="005553DF">
        <w:rPr>
          <w:rFonts w:asciiTheme="minorHAnsi" w:hAnsiTheme="minorHAnsi" w:cstheme="minorHAnsi"/>
          <w:b/>
          <w:bCs/>
          <w:iCs/>
          <w:color w:val="000000"/>
        </w:rPr>
        <w:t>b</w:t>
      </w:r>
      <w:r w:rsidR="000866C4" w:rsidRPr="005553DF">
        <w:rPr>
          <w:rFonts w:asciiTheme="minorHAnsi" w:hAnsiTheme="minorHAnsi" w:cstheme="minorHAnsi"/>
          <w:b/>
          <w:bCs/>
          <w:iCs/>
          <w:color w:val="000000"/>
        </w:rPr>
        <w:t>5</w:t>
      </w:r>
      <w:r w:rsidR="00B7664A" w:rsidRPr="005553DF">
        <w:rPr>
          <w:rFonts w:asciiTheme="minorHAnsi" w:hAnsiTheme="minorHAnsi" w:cstheme="minorHAnsi"/>
          <w:bCs/>
          <w:iCs/>
          <w:color w:val="000000"/>
        </w:rPr>
        <w:t>)</w:t>
      </w:r>
      <w:r w:rsidRPr="005553DF">
        <w:rPr>
          <w:rFonts w:asciiTheme="minorHAnsi" w:hAnsiTheme="minorHAnsi" w:cstheme="minorHAnsi"/>
          <w:bCs/>
          <w:iCs/>
          <w:color w:val="000000"/>
        </w:rPr>
        <w:t>, and permission to contact the participant in the fut</w:t>
      </w:r>
      <w:r w:rsidR="008C4CDD" w:rsidRPr="005553DF">
        <w:rPr>
          <w:rFonts w:asciiTheme="minorHAnsi" w:hAnsiTheme="minorHAnsi" w:cstheme="minorHAnsi"/>
          <w:bCs/>
          <w:iCs/>
          <w:color w:val="000000"/>
        </w:rPr>
        <w:t xml:space="preserve">ure for a possible </w:t>
      </w:r>
      <w:r w:rsidRPr="005553DF">
        <w:rPr>
          <w:rFonts w:asciiTheme="minorHAnsi" w:hAnsiTheme="minorHAnsi" w:cstheme="minorHAnsi"/>
          <w:bCs/>
          <w:iCs/>
          <w:color w:val="000000"/>
        </w:rPr>
        <w:t>study .  After signing the consent form, the adult will become a study participant.</w:t>
      </w:r>
    </w:p>
    <w:p w14:paraId="5372E8CD" w14:textId="77777777" w:rsidR="004A0231" w:rsidRPr="005553DF" w:rsidRDefault="004A0231"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For those adults who participated in the Pease biomonitoring program, the consent form will request permission to access the individual’s residual blood specimen for the analysis of additional PFAS chemicals. The consent form will also permit NH DHHS to provide his/her PFAS serum results from the biomonitoring program for </w:t>
      </w:r>
      <w:r w:rsidR="00955D99" w:rsidRPr="005553DF">
        <w:rPr>
          <w:rFonts w:asciiTheme="minorHAnsi" w:hAnsiTheme="minorHAnsi" w:cstheme="minorHAnsi"/>
          <w:bCs/>
          <w:iCs/>
          <w:color w:val="000000"/>
        </w:rPr>
        <w:t>use in this research study</w:t>
      </w:r>
      <w:r w:rsidRPr="005553DF">
        <w:rPr>
          <w:rFonts w:asciiTheme="minorHAnsi" w:hAnsiTheme="minorHAnsi" w:cstheme="minorHAnsi"/>
          <w:bCs/>
          <w:iCs/>
          <w:color w:val="000000"/>
        </w:rPr>
        <w:t>.</w:t>
      </w:r>
    </w:p>
    <w:p w14:paraId="7A59EFE3" w14:textId="77777777" w:rsidR="00B630A2" w:rsidRPr="005553DF" w:rsidRDefault="00B630A2" w:rsidP="005553DF">
      <w:pPr>
        <w:pStyle w:val="Heading4"/>
        <w:rPr>
          <w:rFonts w:asciiTheme="minorHAnsi" w:hAnsiTheme="minorHAnsi" w:cstheme="minorHAnsi"/>
          <w:i w:val="0"/>
          <w:color w:val="auto"/>
        </w:rPr>
      </w:pPr>
      <w:bookmarkStart w:id="54" w:name="_Toc532224168"/>
      <w:r w:rsidRPr="005553DF">
        <w:rPr>
          <w:rFonts w:asciiTheme="minorHAnsi" w:hAnsiTheme="minorHAnsi" w:cstheme="minorHAnsi"/>
          <w:i w:val="0"/>
          <w:color w:val="auto"/>
        </w:rPr>
        <w:t>3.6.</w:t>
      </w:r>
      <w:r w:rsidR="009210EE" w:rsidRPr="005553DF">
        <w:rPr>
          <w:rFonts w:asciiTheme="minorHAnsi" w:hAnsiTheme="minorHAnsi" w:cstheme="minorHAnsi"/>
          <w:i w:val="0"/>
          <w:color w:val="auto"/>
        </w:rPr>
        <w:t>2</w:t>
      </w:r>
      <w:r w:rsidRPr="005553DF">
        <w:rPr>
          <w:rFonts w:asciiTheme="minorHAnsi" w:hAnsiTheme="minorHAnsi" w:cstheme="minorHAnsi"/>
          <w:i w:val="0"/>
          <w:color w:val="auto"/>
        </w:rPr>
        <w:t>.</w:t>
      </w:r>
      <w:r w:rsidR="00AD24EB" w:rsidRPr="005553DF">
        <w:rPr>
          <w:rFonts w:asciiTheme="minorHAnsi" w:hAnsiTheme="minorHAnsi" w:cstheme="minorHAnsi"/>
          <w:i w:val="0"/>
          <w:color w:val="auto"/>
        </w:rPr>
        <w:t>4</w:t>
      </w:r>
      <w:r w:rsidRPr="005553DF">
        <w:rPr>
          <w:rFonts w:asciiTheme="minorHAnsi" w:hAnsiTheme="minorHAnsi" w:cstheme="minorHAnsi"/>
          <w:i w:val="0"/>
          <w:color w:val="auto"/>
        </w:rPr>
        <w:t xml:space="preserve"> Risks and Benefits</w:t>
      </w:r>
      <w:bookmarkEnd w:id="54"/>
    </w:p>
    <w:p w14:paraId="6754DB7D" w14:textId="5E3ECCC1" w:rsidR="00FC7CC4" w:rsidRPr="005553DF" w:rsidRDefault="00FC7CC4" w:rsidP="00172F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As </w:t>
      </w:r>
      <w:r w:rsidR="002B34CF" w:rsidRPr="005553DF">
        <w:rPr>
          <w:rFonts w:asciiTheme="minorHAnsi" w:hAnsiTheme="minorHAnsi" w:cstheme="minorHAnsi"/>
        </w:rPr>
        <w:t xml:space="preserve">further </w:t>
      </w:r>
      <w:r w:rsidRPr="005553DF">
        <w:rPr>
          <w:rFonts w:asciiTheme="minorHAnsi" w:hAnsiTheme="minorHAnsi" w:cstheme="minorHAnsi"/>
        </w:rPr>
        <w:t xml:space="preserve">described in </w:t>
      </w:r>
      <w:r w:rsidRPr="005553DF">
        <w:rPr>
          <w:rFonts w:asciiTheme="minorHAnsi" w:hAnsiTheme="minorHAnsi" w:cstheme="minorHAnsi"/>
          <w:b/>
        </w:rPr>
        <w:t>Se</w:t>
      </w:r>
      <w:r w:rsidR="001E76DC" w:rsidRPr="005553DF">
        <w:rPr>
          <w:rFonts w:asciiTheme="minorHAnsi" w:hAnsiTheme="minorHAnsi" w:cstheme="minorHAnsi"/>
          <w:b/>
        </w:rPr>
        <w:t>c</w:t>
      </w:r>
      <w:r w:rsidRPr="005553DF">
        <w:rPr>
          <w:rFonts w:asciiTheme="minorHAnsi" w:hAnsiTheme="minorHAnsi" w:cstheme="minorHAnsi"/>
          <w:b/>
        </w:rPr>
        <w:t>tion 3.8.1</w:t>
      </w:r>
      <w:r w:rsidRPr="005553DF">
        <w:rPr>
          <w:rFonts w:asciiTheme="minorHAnsi" w:hAnsiTheme="minorHAnsi" w:cstheme="minorHAnsi"/>
        </w:rPr>
        <w:t>, ATSDR</w:t>
      </w:r>
      <w:r w:rsidR="001E76DC" w:rsidRPr="005553DF">
        <w:rPr>
          <w:rFonts w:asciiTheme="minorHAnsi" w:hAnsiTheme="minorHAnsi" w:cstheme="minorHAnsi"/>
        </w:rPr>
        <w:t xml:space="preserve"> will i</w:t>
      </w:r>
      <w:r w:rsidR="000A1B97" w:rsidRPr="005553DF">
        <w:rPr>
          <w:rFonts w:asciiTheme="minorHAnsi" w:hAnsiTheme="minorHAnsi" w:cstheme="minorHAnsi"/>
        </w:rPr>
        <w:t>n</w:t>
      </w:r>
      <w:r w:rsidR="001E76DC" w:rsidRPr="005553DF">
        <w:rPr>
          <w:rFonts w:asciiTheme="minorHAnsi" w:hAnsiTheme="minorHAnsi" w:cstheme="minorHAnsi"/>
        </w:rPr>
        <w:t xml:space="preserve">form the participant that his or her participation is protected </w:t>
      </w:r>
      <w:r w:rsidR="004345A6" w:rsidRPr="005553DF">
        <w:rPr>
          <w:rFonts w:asciiTheme="minorHAnsi" w:hAnsiTheme="minorHAnsi" w:cstheme="minorHAnsi"/>
        </w:rPr>
        <w:t>by</w:t>
      </w:r>
      <w:r w:rsidRPr="005553DF">
        <w:rPr>
          <w:rFonts w:asciiTheme="minorHAnsi" w:hAnsiTheme="minorHAnsi" w:cstheme="minorHAnsi"/>
        </w:rPr>
        <w:t xml:space="preserve"> a Certificate of Confidentiality under Section 301(d) of the Public Health Service Act</w:t>
      </w:r>
      <w:r w:rsidR="00172FDF">
        <w:rPr>
          <w:rFonts w:asciiTheme="minorHAnsi" w:hAnsiTheme="minorHAnsi" w:cstheme="minorHAnsi"/>
        </w:rPr>
        <w:t xml:space="preserve"> (PHSA)</w:t>
      </w:r>
      <w:r w:rsidRPr="005553DF">
        <w:rPr>
          <w:rFonts w:asciiTheme="minorHAnsi" w:hAnsiTheme="minorHAnsi" w:cstheme="minorHAnsi"/>
        </w:rPr>
        <w:t xml:space="preserve"> as amended by Section 2012 of the 21</w:t>
      </w:r>
      <w:r w:rsidRPr="005553DF">
        <w:rPr>
          <w:rFonts w:asciiTheme="minorHAnsi" w:hAnsiTheme="minorHAnsi" w:cstheme="minorHAnsi"/>
          <w:vertAlign w:val="superscript"/>
        </w:rPr>
        <w:t>st</w:t>
      </w:r>
      <w:r w:rsidR="001E76DC" w:rsidRPr="005553DF">
        <w:rPr>
          <w:rFonts w:asciiTheme="minorHAnsi" w:hAnsiTheme="minorHAnsi" w:cstheme="minorHAnsi"/>
        </w:rPr>
        <w:t xml:space="preserve"> Century Cures Act.</w:t>
      </w:r>
      <w:r w:rsidR="000A1B97" w:rsidRPr="005553DF">
        <w:rPr>
          <w:rFonts w:asciiTheme="minorHAnsi" w:hAnsiTheme="minorHAnsi" w:cstheme="minorHAnsi"/>
        </w:rPr>
        <w:t xml:space="preserve"> </w:t>
      </w:r>
      <w:r w:rsidR="00172FDF">
        <w:rPr>
          <w:rFonts w:asciiTheme="minorHAnsi" w:hAnsiTheme="minorHAnsi" w:cstheme="minorHAnsi"/>
        </w:rPr>
        <w:t>ATSDR will further inform the participant that</w:t>
      </w:r>
      <w:r w:rsidR="00172FDF" w:rsidRPr="00D7351F">
        <w:rPr>
          <w:rFonts w:asciiTheme="minorHAnsi" w:hAnsiTheme="minorHAnsi" w:cstheme="minorHAnsi"/>
        </w:rPr>
        <w:t xml:space="preserve"> </w:t>
      </w:r>
      <w:r w:rsidR="00172FDF">
        <w:rPr>
          <w:rFonts w:asciiTheme="minorHAnsi" w:hAnsiTheme="minorHAnsi" w:cstheme="minorHAnsi"/>
        </w:rPr>
        <w:t xml:space="preserve">identifiable occupational history, </w:t>
      </w:r>
      <w:r w:rsidR="00172FDF" w:rsidRPr="00D7351F">
        <w:rPr>
          <w:rFonts w:asciiTheme="minorHAnsi" w:hAnsiTheme="minorHAnsi" w:cstheme="minorHAnsi"/>
        </w:rPr>
        <w:t>private medical</w:t>
      </w:r>
      <w:r w:rsidR="00172FDF">
        <w:rPr>
          <w:rFonts w:asciiTheme="minorHAnsi" w:hAnsiTheme="minorHAnsi" w:cstheme="minorHAnsi"/>
        </w:rPr>
        <w:t xml:space="preserve"> records,</w:t>
      </w:r>
      <w:r w:rsidR="00172FDF" w:rsidRPr="00D7351F">
        <w:rPr>
          <w:rFonts w:asciiTheme="minorHAnsi" w:hAnsiTheme="minorHAnsi" w:cstheme="minorHAnsi"/>
        </w:rPr>
        <w:t xml:space="preserve"> and to school records</w:t>
      </w:r>
      <w:r w:rsidR="00172FDF">
        <w:rPr>
          <w:rFonts w:asciiTheme="minorHAnsi" w:hAnsiTheme="minorHAnsi" w:cstheme="minorHAnsi"/>
        </w:rPr>
        <w:t xml:space="preserve"> are protected from certain disclosures under Section 301(d) of the PHSA.</w:t>
      </w:r>
    </w:p>
    <w:p w14:paraId="3D752659" w14:textId="77777777" w:rsidR="00B630A2" w:rsidRPr="005553DF" w:rsidRDefault="00B630A2" w:rsidP="005553DF">
      <w:pPr>
        <w:tabs>
          <w:tab w:val="left" w:pos="270"/>
        </w:tabs>
        <w:autoSpaceDE w:val="0"/>
        <w:autoSpaceDN w:val="0"/>
        <w:adjustRightInd w:val="0"/>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 risks of participation in </w:t>
      </w:r>
      <w:r w:rsidRPr="005553DF">
        <w:rPr>
          <w:rFonts w:asciiTheme="minorHAnsi" w:hAnsiTheme="minorHAnsi" w:cstheme="minorHAnsi"/>
          <w:bCs/>
          <w:iCs/>
        </w:rPr>
        <w:t xml:space="preserve">this </w:t>
      </w:r>
      <w:r w:rsidRPr="005553DF">
        <w:rPr>
          <w:rFonts w:asciiTheme="minorHAnsi" w:hAnsiTheme="minorHAnsi" w:cstheme="minorHAnsi"/>
          <w:bCs/>
          <w:iCs/>
          <w:color w:val="000000"/>
        </w:rPr>
        <w:t>study are minimal (defined in 45 CFR 46.110). In-home urine collections are minimal risk. This study plans for a one-time 2</w:t>
      </w:r>
      <w:r w:rsidR="00CE204C" w:rsidRPr="005553DF">
        <w:rPr>
          <w:rFonts w:asciiTheme="minorHAnsi" w:hAnsiTheme="minorHAnsi" w:cstheme="minorHAnsi"/>
          <w:bCs/>
          <w:iCs/>
          <w:color w:val="000000"/>
        </w:rPr>
        <w:t>3</w:t>
      </w:r>
      <w:r w:rsidRPr="005553DF">
        <w:rPr>
          <w:rFonts w:asciiTheme="minorHAnsi" w:hAnsiTheme="minorHAnsi" w:cstheme="minorHAnsi"/>
          <w:bCs/>
          <w:iCs/>
          <w:color w:val="000000"/>
        </w:rPr>
        <w:t xml:space="preserve">-ml </w:t>
      </w:r>
      <w:r w:rsidR="00CE204C" w:rsidRPr="005553DF">
        <w:rPr>
          <w:rFonts w:asciiTheme="minorHAnsi" w:hAnsiTheme="minorHAnsi" w:cstheme="minorHAnsi"/>
          <w:bCs/>
          <w:iCs/>
          <w:color w:val="000000"/>
        </w:rPr>
        <w:t xml:space="preserve">(5 teaspoons) </w:t>
      </w:r>
      <w:r w:rsidRPr="005553DF">
        <w:rPr>
          <w:rFonts w:asciiTheme="minorHAnsi" w:hAnsiTheme="minorHAnsi" w:cstheme="minorHAnsi"/>
          <w:bCs/>
          <w:iCs/>
          <w:color w:val="000000"/>
        </w:rPr>
        <w:t>volume of fasting blood collected from the child and a one-time 3</w:t>
      </w:r>
      <w:r w:rsidR="00D32D14" w:rsidRPr="005553DF">
        <w:rPr>
          <w:rFonts w:asciiTheme="minorHAnsi" w:hAnsiTheme="minorHAnsi" w:cstheme="minorHAnsi"/>
          <w:bCs/>
          <w:iCs/>
          <w:color w:val="000000"/>
        </w:rPr>
        <w:t>3</w:t>
      </w:r>
      <w:r w:rsidRPr="005553DF">
        <w:rPr>
          <w:rFonts w:asciiTheme="minorHAnsi" w:hAnsiTheme="minorHAnsi" w:cstheme="minorHAnsi"/>
          <w:bCs/>
          <w:iCs/>
          <w:color w:val="000000"/>
        </w:rPr>
        <w:t>-ml volume of fasting blood collected from the adult.  These amounts of blood are the minimum necessary to conduct analyses for PFAS and the effect biomarkers (</w:t>
      </w:r>
      <w:r w:rsidR="00FD27F5" w:rsidRPr="005553DF">
        <w:rPr>
          <w:rFonts w:asciiTheme="minorHAnsi" w:hAnsiTheme="minorHAnsi" w:cstheme="minorHAnsi"/>
          <w:b/>
          <w:bCs/>
          <w:iCs/>
          <w:color w:val="000000"/>
        </w:rPr>
        <w:t>Attachment 3</w:t>
      </w:r>
      <w:r w:rsidR="00A30AAF"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Pr="005553DF">
        <w:rPr>
          <w:rFonts w:asciiTheme="minorHAnsi" w:hAnsiTheme="minorHAnsi" w:cstheme="minorHAnsi"/>
          <w:bCs/>
        </w:rPr>
        <w:t xml:space="preserve">After the blood draw, the participant will be offered a small snack, thereby allowing monitoring of adverse events due to phlebotomy. </w:t>
      </w:r>
    </w:p>
    <w:p w14:paraId="524CF94D" w14:textId="77777777" w:rsidR="00B630A2" w:rsidRPr="005553DF" w:rsidRDefault="00B630A2"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rPr>
        <w:t>Participants in this study will not receive any direct benefit from taking part in this research. Their taking part in this research will provide the scientific community and the public a better understanding of how exposures to PFAS-contaminated drinking water may affect human health.  Each adult participant and the parent of the child participant will receive the results of the analyses of serum PFAS levels and effect biomarkers.</w:t>
      </w:r>
      <w:r w:rsidRPr="005553DF">
        <w:rPr>
          <w:rFonts w:asciiTheme="minorHAnsi" w:hAnsiTheme="minorHAnsi" w:cstheme="minorHAnsi"/>
        </w:rPr>
        <w:t xml:space="preserve"> </w:t>
      </w:r>
      <w:r w:rsidR="00A63A3B" w:rsidRPr="005553DF">
        <w:rPr>
          <w:rFonts w:asciiTheme="minorHAnsi" w:hAnsiTheme="minorHAnsi" w:cstheme="minorHAnsi"/>
        </w:rPr>
        <w:t>They will receive the results of their urine PFAS and effect biomarker levels, if ATSDR identifies meaningful urinary analyses to perform.</w:t>
      </w:r>
    </w:p>
    <w:p w14:paraId="6E04D80F" w14:textId="77777777" w:rsidR="000966B9" w:rsidRPr="005553DF" w:rsidRDefault="000966B9" w:rsidP="005553DF">
      <w:pPr>
        <w:pStyle w:val="Heading3"/>
        <w:spacing w:before="100" w:beforeAutospacing="1" w:after="240" w:line="360" w:lineRule="auto"/>
        <w:rPr>
          <w:rFonts w:asciiTheme="minorHAnsi" w:hAnsiTheme="minorHAnsi" w:cstheme="minorHAnsi"/>
          <w:i/>
          <w:color w:val="auto"/>
        </w:rPr>
      </w:pPr>
      <w:bookmarkStart w:id="55" w:name="_Toc532224169"/>
      <w:r w:rsidRPr="005553DF">
        <w:rPr>
          <w:rFonts w:asciiTheme="minorHAnsi" w:hAnsiTheme="minorHAnsi" w:cstheme="minorHAnsi"/>
          <w:i/>
          <w:color w:val="auto"/>
        </w:rPr>
        <w:t>3.</w:t>
      </w:r>
      <w:r w:rsidR="00B630A2" w:rsidRPr="005553DF">
        <w:rPr>
          <w:rFonts w:asciiTheme="minorHAnsi" w:hAnsiTheme="minorHAnsi" w:cstheme="minorHAnsi"/>
          <w:i/>
          <w:color w:val="auto"/>
        </w:rPr>
        <w:t>6</w:t>
      </w:r>
      <w:r w:rsidRPr="005553DF">
        <w:rPr>
          <w:rFonts w:asciiTheme="minorHAnsi" w:hAnsiTheme="minorHAnsi" w:cstheme="minorHAnsi"/>
          <w:i/>
          <w:color w:val="auto"/>
        </w:rPr>
        <w:t>.</w:t>
      </w:r>
      <w:r w:rsidR="009210EE" w:rsidRPr="005553DF">
        <w:rPr>
          <w:rFonts w:asciiTheme="minorHAnsi" w:hAnsiTheme="minorHAnsi" w:cstheme="minorHAnsi"/>
          <w:i/>
          <w:color w:val="auto"/>
        </w:rPr>
        <w:t>3</w:t>
      </w:r>
      <w:r w:rsidRPr="005553DF">
        <w:rPr>
          <w:rFonts w:asciiTheme="minorHAnsi" w:hAnsiTheme="minorHAnsi" w:cstheme="minorHAnsi"/>
          <w:i/>
          <w:color w:val="auto"/>
        </w:rPr>
        <w:t xml:space="preserve"> Update Contact Information</w:t>
      </w:r>
      <w:r w:rsidR="00D7787D" w:rsidRPr="005553DF">
        <w:rPr>
          <w:rFonts w:asciiTheme="minorHAnsi" w:hAnsiTheme="minorHAnsi" w:cstheme="minorHAnsi"/>
          <w:i/>
          <w:color w:val="auto"/>
        </w:rPr>
        <w:t xml:space="preserve"> and Medication List</w:t>
      </w:r>
      <w:bookmarkEnd w:id="55"/>
    </w:p>
    <w:p w14:paraId="4AE1B687" w14:textId="77777777" w:rsidR="00DB72B0" w:rsidRPr="005553DF" w:rsidRDefault="009F028B" w:rsidP="005553DF">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bCs/>
        </w:rPr>
        <w:t xml:space="preserve">The adult participant and the parent of the child participant </w:t>
      </w:r>
      <w:r w:rsidR="007B4F84" w:rsidRPr="005553DF">
        <w:rPr>
          <w:rFonts w:asciiTheme="minorHAnsi" w:hAnsiTheme="minorHAnsi" w:cstheme="minorHAnsi"/>
          <w:bCs/>
        </w:rPr>
        <w:t xml:space="preserve">will be asked to verify and update </w:t>
      </w:r>
      <w:r w:rsidR="007B4F84" w:rsidRPr="005553DF">
        <w:rPr>
          <w:rFonts w:asciiTheme="minorHAnsi" w:hAnsiTheme="minorHAnsi" w:cstheme="minorHAnsi"/>
        </w:rPr>
        <w:t xml:space="preserve">his or her current contact information </w:t>
      </w:r>
      <w:r w:rsidR="00FA374A" w:rsidRPr="005553DF">
        <w:rPr>
          <w:rFonts w:asciiTheme="minorHAnsi" w:hAnsiTheme="minorHAnsi" w:cstheme="minorHAnsi"/>
        </w:rPr>
        <w:t>for results reporting</w:t>
      </w:r>
      <w:r w:rsidR="00A57705" w:rsidRPr="005553DF">
        <w:rPr>
          <w:rFonts w:asciiTheme="minorHAnsi" w:hAnsiTheme="minorHAnsi" w:cstheme="minorHAnsi"/>
        </w:rPr>
        <w:t xml:space="preserve"> and potential future contact</w:t>
      </w:r>
      <w:r w:rsidR="006305E8" w:rsidRPr="005553DF">
        <w:rPr>
          <w:rFonts w:asciiTheme="minorHAnsi" w:hAnsiTheme="minorHAnsi" w:cstheme="minorHAnsi"/>
        </w:rPr>
        <w:t xml:space="preserve"> </w:t>
      </w:r>
      <w:r w:rsidR="006305E8" w:rsidRPr="005553DF">
        <w:rPr>
          <w:rFonts w:asciiTheme="minorHAnsi" w:hAnsiTheme="minorHAnsi" w:cstheme="minorHAnsi"/>
          <w:bCs/>
        </w:rPr>
        <w:t>(</w:t>
      </w:r>
      <w:r w:rsidR="006305E8" w:rsidRPr="005553DF">
        <w:rPr>
          <w:rFonts w:asciiTheme="minorHAnsi" w:hAnsiTheme="minorHAnsi" w:cstheme="minorHAnsi"/>
          <w:b/>
          <w:bCs/>
        </w:rPr>
        <w:t>Attachment</w:t>
      </w:r>
      <w:r w:rsidR="00A071E8" w:rsidRPr="005553DF">
        <w:rPr>
          <w:rFonts w:asciiTheme="minorHAnsi" w:hAnsiTheme="minorHAnsi" w:cstheme="minorHAnsi"/>
          <w:b/>
          <w:bCs/>
        </w:rPr>
        <w:t xml:space="preserve"> 12</w:t>
      </w:r>
      <w:r w:rsidR="006305E8" w:rsidRPr="005553DF">
        <w:rPr>
          <w:rFonts w:asciiTheme="minorHAnsi" w:hAnsiTheme="minorHAnsi" w:cstheme="minorHAnsi"/>
          <w:bCs/>
        </w:rPr>
        <w:t>)</w:t>
      </w:r>
      <w:r w:rsidR="007B4F84" w:rsidRPr="005553DF">
        <w:rPr>
          <w:rFonts w:asciiTheme="minorHAnsi" w:hAnsiTheme="minorHAnsi" w:cstheme="minorHAnsi"/>
          <w:bCs/>
        </w:rPr>
        <w:t>.</w:t>
      </w:r>
      <w:r w:rsidR="00CB4185" w:rsidRPr="005553DF">
        <w:rPr>
          <w:rFonts w:asciiTheme="minorHAnsi" w:hAnsiTheme="minorHAnsi" w:cstheme="minorHAnsi"/>
          <w:bCs/>
        </w:rPr>
        <w:t xml:space="preserve"> </w:t>
      </w:r>
    </w:p>
    <w:p w14:paraId="50243547" w14:textId="77777777" w:rsidR="00DB72B0" w:rsidRPr="005553DF" w:rsidRDefault="009F028B"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The study staff will request that the adult participant and the parent of the child participant </w:t>
      </w:r>
      <w:r w:rsidR="009234AF" w:rsidRPr="005553DF">
        <w:rPr>
          <w:rFonts w:asciiTheme="minorHAnsi" w:hAnsiTheme="minorHAnsi" w:cstheme="minorHAnsi"/>
        </w:rPr>
        <w:t xml:space="preserve">bring </w:t>
      </w:r>
      <w:r w:rsidR="0075449A" w:rsidRPr="005553DF">
        <w:rPr>
          <w:rFonts w:asciiTheme="minorHAnsi" w:hAnsiTheme="minorHAnsi" w:cstheme="minorHAnsi"/>
        </w:rPr>
        <w:t>all current prescription and over the counter medications prior to the study offi</w:t>
      </w:r>
      <w:r w:rsidR="00FA374A" w:rsidRPr="005553DF">
        <w:rPr>
          <w:rFonts w:asciiTheme="minorHAnsi" w:hAnsiTheme="minorHAnsi" w:cstheme="minorHAnsi"/>
        </w:rPr>
        <w:t>ce</w:t>
      </w:r>
      <w:r w:rsidR="009234AF" w:rsidRPr="005553DF">
        <w:rPr>
          <w:rFonts w:asciiTheme="minorHAnsi" w:hAnsiTheme="minorHAnsi" w:cstheme="minorHAnsi"/>
        </w:rPr>
        <w:t>.</w:t>
      </w:r>
      <w:r w:rsidR="00FA374A" w:rsidRPr="005553DF">
        <w:rPr>
          <w:rFonts w:asciiTheme="minorHAnsi" w:hAnsiTheme="minorHAnsi" w:cstheme="minorHAnsi"/>
        </w:rPr>
        <w:t xml:space="preserve"> </w:t>
      </w:r>
      <w:r w:rsidR="0075449A" w:rsidRPr="005553DF">
        <w:rPr>
          <w:rFonts w:asciiTheme="minorHAnsi" w:hAnsiTheme="minorHAnsi" w:cstheme="minorHAnsi"/>
        </w:rPr>
        <w:t xml:space="preserve">This will help </w:t>
      </w:r>
      <w:r w:rsidR="009234AF" w:rsidRPr="005553DF">
        <w:rPr>
          <w:rFonts w:asciiTheme="minorHAnsi" w:hAnsiTheme="minorHAnsi" w:cstheme="minorHAnsi"/>
        </w:rPr>
        <w:t xml:space="preserve">the study staff to complete the medications list </w:t>
      </w:r>
      <w:r w:rsidR="009234AF" w:rsidRPr="005553DF">
        <w:rPr>
          <w:rFonts w:asciiTheme="minorHAnsi" w:hAnsiTheme="minorHAnsi" w:cstheme="minorHAnsi"/>
          <w:bCs/>
          <w:iCs/>
        </w:rPr>
        <w:t>(</w:t>
      </w:r>
      <w:r w:rsidR="009234AF" w:rsidRPr="005553DF">
        <w:rPr>
          <w:rFonts w:asciiTheme="minorHAnsi" w:hAnsiTheme="minorHAnsi" w:cstheme="minorHAnsi"/>
          <w:b/>
          <w:bCs/>
          <w:iCs/>
        </w:rPr>
        <w:t>Attachment 13</w:t>
      </w:r>
      <w:r w:rsidR="009234AF" w:rsidRPr="005553DF">
        <w:rPr>
          <w:rFonts w:asciiTheme="minorHAnsi" w:hAnsiTheme="minorHAnsi" w:cstheme="minorHAnsi"/>
          <w:bCs/>
          <w:iCs/>
        </w:rPr>
        <w:t>)</w:t>
      </w:r>
      <w:r w:rsidR="0075449A" w:rsidRPr="005553DF">
        <w:rPr>
          <w:rFonts w:asciiTheme="minorHAnsi" w:hAnsiTheme="minorHAnsi" w:cstheme="minorHAnsi"/>
        </w:rPr>
        <w:t>.</w:t>
      </w:r>
    </w:p>
    <w:p w14:paraId="181CD5A3" w14:textId="77777777" w:rsidR="00FA4DF1" w:rsidRPr="005553DF" w:rsidRDefault="00FA4DF1" w:rsidP="005553DF">
      <w:pPr>
        <w:pStyle w:val="Heading3"/>
        <w:spacing w:before="100" w:beforeAutospacing="1" w:after="240" w:line="360" w:lineRule="auto"/>
        <w:rPr>
          <w:rFonts w:asciiTheme="minorHAnsi" w:hAnsiTheme="minorHAnsi" w:cstheme="minorHAnsi"/>
          <w:i/>
        </w:rPr>
      </w:pPr>
      <w:bookmarkStart w:id="56" w:name="_Toc532224170"/>
      <w:r w:rsidRPr="005553DF">
        <w:rPr>
          <w:rFonts w:asciiTheme="minorHAnsi" w:hAnsiTheme="minorHAnsi" w:cstheme="minorHAnsi"/>
          <w:i/>
          <w:color w:val="auto"/>
        </w:rPr>
        <w:t>3.</w:t>
      </w:r>
      <w:r w:rsidR="00B630A2" w:rsidRPr="005553DF">
        <w:rPr>
          <w:rFonts w:asciiTheme="minorHAnsi" w:hAnsiTheme="minorHAnsi" w:cstheme="minorHAnsi"/>
          <w:i/>
          <w:color w:val="auto"/>
        </w:rPr>
        <w:t>6</w:t>
      </w:r>
      <w:r w:rsidR="00DC2A8D" w:rsidRPr="005553DF">
        <w:rPr>
          <w:rFonts w:asciiTheme="minorHAnsi" w:hAnsiTheme="minorHAnsi" w:cstheme="minorHAnsi"/>
          <w:i/>
          <w:color w:val="auto"/>
        </w:rPr>
        <w:t>.</w:t>
      </w:r>
      <w:r w:rsidR="009210EE" w:rsidRPr="005553DF">
        <w:rPr>
          <w:rFonts w:asciiTheme="minorHAnsi" w:hAnsiTheme="minorHAnsi" w:cstheme="minorHAnsi"/>
          <w:i/>
          <w:color w:val="auto"/>
        </w:rPr>
        <w:t>4</w:t>
      </w:r>
      <w:r w:rsidRPr="005553DF">
        <w:rPr>
          <w:rFonts w:asciiTheme="minorHAnsi" w:hAnsiTheme="minorHAnsi" w:cstheme="minorHAnsi"/>
          <w:i/>
          <w:color w:val="auto"/>
        </w:rPr>
        <w:t xml:space="preserve"> </w:t>
      </w:r>
      <w:r w:rsidR="0075449A" w:rsidRPr="005553DF">
        <w:rPr>
          <w:rFonts w:asciiTheme="minorHAnsi" w:hAnsiTheme="minorHAnsi" w:cstheme="minorHAnsi"/>
          <w:i/>
          <w:color w:val="auto"/>
        </w:rPr>
        <w:t xml:space="preserve">Body and </w:t>
      </w:r>
      <w:r w:rsidR="00A64292" w:rsidRPr="005553DF">
        <w:rPr>
          <w:rFonts w:asciiTheme="minorHAnsi" w:hAnsiTheme="minorHAnsi" w:cstheme="minorHAnsi"/>
          <w:i/>
          <w:color w:val="auto"/>
        </w:rPr>
        <w:t>C</w:t>
      </w:r>
      <w:r w:rsidR="0075449A" w:rsidRPr="005553DF">
        <w:rPr>
          <w:rFonts w:asciiTheme="minorHAnsi" w:hAnsiTheme="minorHAnsi" w:cstheme="minorHAnsi"/>
          <w:i/>
          <w:color w:val="auto"/>
        </w:rPr>
        <w:t xml:space="preserve">linical </w:t>
      </w:r>
      <w:r w:rsidR="00A64292" w:rsidRPr="005553DF">
        <w:rPr>
          <w:rFonts w:asciiTheme="minorHAnsi" w:hAnsiTheme="minorHAnsi" w:cstheme="minorHAnsi"/>
          <w:i/>
          <w:color w:val="auto"/>
        </w:rPr>
        <w:t>M</w:t>
      </w:r>
      <w:r w:rsidR="0075449A" w:rsidRPr="005553DF">
        <w:rPr>
          <w:rFonts w:asciiTheme="minorHAnsi" w:hAnsiTheme="minorHAnsi" w:cstheme="minorHAnsi"/>
          <w:i/>
          <w:color w:val="auto"/>
        </w:rPr>
        <w:t>easurements</w:t>
      </w:r>
      <w:bookmarkEnd w:id="56"/>
      <w:r w:rsidR="0075449A" w:rsidRPr="005553DF">
        <w:rPr>
          <w:rFonts w:asciiTheme="minorHAnsi" w:hAnsiTheme="minorHAnsi" w:cstheme="minorHAnsi"/>
          <w:i/>
          <w:color w:val="auto"/>
        </w:rPr>
        <w:t xml:space="preserve"> </w:t>
      </w:r>
    </w:p>
    <w:p w14:paraId="253C96D3" w14:textId="77777777" w:rsidR="0075449A" w:rsidRPr="005553DF" w:rsidRDefault="0075449A"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Trained study staff will perform the body and clinical measurements</w:t>
      </w:r>
      <w:r w:rsidR="00B75356" w:rsidRPr="005553DF">
        <w:rPr>
          <w:rFonts w:asciiTheme="minorHAnsi" w:hAnsiTheme="minorHAnsi" w:cstheme="minorHAnsi"/>
        </w:rPr>
        <w:t xml:space="preserve"> and specimen collections</w:t>
      </w:r>
      <w:r w:rsidRPr="005553DF">
        <w:rPr>
          <w:rFonts w:asciiTheme="minorHAnsi" w:hAnsiTheme="minorHAnsi" w:cstheme="minorHAnsi"/>
        </w:rPr>
        <w:t xml:space="preserve"> as described in the</w:t>
      </w:r>
      <w:r w:rsidR="00C11B42" w:rsidRPr="005553DF">
        <w:rPr>
          <w:rFonts w:asciiTheme="minorHAnsi" w:hAnsiTheme="minorHAnsi" w:cstheme="minorHAnsi"/>
        </w:rPr>
        <w:t xml:space="preserve"> Manual of Procedure</w:t>
      </w:r>
      <w:r w:rsidR="00601EC4" w:rsidRPr="005553DF">
        <w:rPr>
          <w:rFonts w:asciiTheme="minorHAnsi" w:hAnsiTheme="minorHAnsi" w:cstheme="minorHAnsi"/>
        </w:rPr>
        <w:t>s (</w:t>
      </w:r>
      <w:r w:rsidR="00601EC4" w:rsidRPr="005553DF">
        <w:rPr>
          <w:rFonts w:asciiTheme="minorHAnsi" w:hAnsiTheme="minorHAnsi" w:cstheme="minorHAnsi"/>
          <w:b/>
        </w:rPr>
        <w:t>Attachment 1</w:t>
      </w:r>
      <w:r w:rsidR="009234AF" w:rsidRPr="005553DF">
        <w:rPr>
          <w:rFonts w:asciiTheme="minorHAnsi" w:hAnsiTheme="minorHAnsi" w:cstheme="minorHAnsi"/>
          <w:b/>
        </w:rPr>
        <w:t>4</w:t>
      </w:r>
      <w:r w:rsidR="00601EC4" w:rsidRPr="005553DF">
        <w:rPr>
          <w:rFonts w:asciiTheme="minorHAnsi" w:hAnsiTheme="minorHAnsi" w:cstheme="minorHAnsi"/>
        </w:rPr>
        <w:t>).</w:t>
      </w:r>
      <w:r w:rsidRPr="005553DF">
        <w:rPr>
          <w:rFonts w:asciiTheme="minorHAnsi" w:hAnsiTheme="minorHAnsi" w:cstheme="minorHAnsi"/>
        </w:rPr>
        <w:t xml:space="preserve"> </w:t>
      </w:r>
    </w:p>
    <w:p w14:paraId="2072D081" w14:textId="77777777" w:rsidR="0075449A" w:rsidRPr="005553DF" w:rsidRDefault="00FE3BFA"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 xml:space="preserve">Body Measurements: </w:t>
      </w:r>
      <w:r w:rsidR="00C55587" w:rsidRPr="005553DF">
        <w:rPr>
          <w:rFonts w:asciiTheme="minorHAnsi" w:hAnsiTheme="minorHAnsi" w:cstheme="minorHAnsi"/>
        </w:rPr>
        <w:t xml:space="preserve">Trained study staff will perform body measurements, blood pressure measurements, and blood draws. Three blood pressure (BP) measurements will be taken and averaged. The measured BP level is subject to biological and observer variability; therefore, the study will use three different sizes of the manual cuffs in the measurements; the appropriate cuff size will be selected for each participant and administered 3 times.  The purpose of a specific measurement protocol, or training and certifications of technicians and of ongoing quality control is to minimize variability due to known exogenous factors and to reduce imprecision and biases in measurement. </w:t>
      </w:r>
      <w:r w:rsidR="00EA4B9A" w:rsidRPr="005553DF">
        <w:rPr>
          <w:rFonts w:asciiTheme="minorHAnsi" w:hAnsiTheme="minorHAnsi" w:cstheme="minorHAnsi"/>
        </w:rPr>
        <w:t>Measurement of r</w:t>
      </w:r>
      <w:r w:rsidR="0075449A" w:rsidRPr="005553DF">
        <w:rPr>
          <w:rFonts w:asciiTheme="minorHAnsi" w:hAnsiTheme="minorHAnsi" w:cstheme="minorHAnsi"/>
        </w:rPr>
        <w:t xml:space="preserve">esting blood pressure, height, weight, and waist and hip circumference </w:t>
      </w:r>
      <w:r w:rsidR="00EA4B9A" w:rsidRPr="005553DF">
        <w:rPr>
          <w:rFonts w:asciiTheme="minorHAnsi" w:hAnsiTheme="minorHAnsi" w:cstheme="minorHAnsi"/>
        </w:rPr>
        <w:t xml:space="preserve">can occur </w:t>
      </w:r>
      <w:r w:rsidR="0075449A" w:rsidRPr="005553DF">
        <w:rPr>
          <w:rFonts w:asciiTheme="minorHAnsi" w:hAnsiTheme="minorHAnsi" w:cstheme="minorHAnsi"/>
        </w:rPr>
        <w:t xml:space="preserve">in any order, but the BP </w:t>
      </w:r>
      <w:r w:rsidR="00EA4B9A" w:rsidRPr="005553DF">
        <w:rPr>
          <w:rFonts w:asciiTheme="minorHAnsi" w:hAnsiTheme="minorHAnsi" w:cstheme="minorHAnsi"/>
        </w:rPr>
        <w:t xml:space="preserve">measurement </w:t>
      </w:r>
      <w:r w:rsidR="0075449A" w:rsidRPr="005553DF">
        <w:rPr>
          <w:rFonts w:asciiTheme="minorHAnsi" w:hAnsiTheme="minorHAnsi" w:cstheme="minorHAnsi"/>
        </w:rPr>
        <w:t xml:space="preserve">should </w:t>
      </w:r>
      <w:r w:rsidR="00EA4B9A" w:rsidRPr="005553DF">
        <w:rPr>
          <w:rFonts w:asciiTheme="minorHAnsi" w:hAnsiTheme="minorHAnsi" w:cstheme="minorHAnsi"/>
        </w:rPr>
        <w:t>occur</w:t>
      </w:r>
      <w:r w:rsidR="0075449A" w:rsidRPr="005553DF">
        <w:rPr>
          <w:rFonts w:asciiTheme="minorHAnsi" w:hAnsiTheme="minorHAnsi" w:cstheme="minorHAnsi"/>
        </w:rPr>
        <w:t xml:space="preserve"> after the subject has been in the seated position for at least five minutes. BP</w:t>
      </w:r>
      <w:r w:rsidR="00EA4B9A" w:rsidRPr="005553DF">
        <w:rPr>
          <w:rFonts w:asciiTheme="minorHAnsi" w:hAnsiTheme="minorHAnsi" w:cstheme="minorHAnsi"/>
        </w:rPr>
        <w:t xml:space="preserve"> measurement will occur </w:t>
      </w:r>
      <w:r w:rsidR="0075449A" w:rsidRPr="005553DF">
        <w:rPr>
          <w:rFonts w:asciiTheme="minorHAnsi" w:hAnsiTheme="minorHAnsi" w:cstheme="minorHAnsi"/>
        </w:rPr>
        <w:t>before venipuncture if the activities are scheduled consecutively. Trained study staff will record the measurements in the Body and Blood P</w:t>
      </w:r>
      <w:r w:rsidR="00601EC4" w:rsidRPr="005553DF">
        <w:rPr>
          <w:rFonts w:asciiTheme="minorHAnsi" w:hAnsiTheme="minorHAnsi" w:cstheme="minorHAnsi"/>
        </w:rPr>
        <w:t>ressure Measures Form (</w:t>
      </w:r>
      <w:r w:rsidR="00601EC4" w:rsidRPr="005553DF">
        <w:rPr>
          <w:rFonts w:asciiTheme="minorHAnsi" w:hAnsiTheme="minorHAnsi" w:cstheme="minorHAnsi"/>
          <w:b/>
        </w:rPr>
        <w:t>Attachment 1</w:t>
      </w:r>
      <w:r w:rsidR="00F4392A" w:rsidRPr="005553DF">
        <w:rPr>
          <w:rFonts w:asciiTheme="minorHAnsi" w:hAnsiTheme="minorHAnsi" w:cstheme="minorHAnsi"/>
          <w:b/>
        </w:rPr>
        <w:t>5</w:t>
      </w:r>
      <w:r w:rsidR="00601EC4" w:rsidRPr="005553DF">
        <w:rPr>
          <w:rFonts w:asciiTheme="minorHAnsi" w:hAnsiTheme="minorHAnsi" w:cstheme="minorHAnsi"/>
        </w:rPr>
        <w:t>)</w:t>
      </w:r>
      <w:r w:rsidR="0075449A" w:rsidRPr="005553DF">
        <w:rPr>
          <w:rFonts w:asciiTheme="minorHAnsi" w:hAnsiTheme="minorHAnsi" w:cstheme="minorHAnsi"/>
        </w:rPr>
        <w:t>.</w:t>
      </w:r>
    </w:p>
    <w:p w14:paraId="6FB5B303" w14:textId="77777777" w:rsidR="00E93F46" w:rsidRPr="005553DF" w:rsidRDefault="00FE3BFA"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i/>
          <w:sz w:val="22"/>
          <w:szCs w:val="22"/>
        </w:rPr>
        <w:t xml:space="preserve">Fasting Blood Specimen </w:t>
      </w:r>
      <w:r w:rsidR="00067F71" w:rsidRPr="005553DF">
        <w:rPr>
          <w:rFonts w:asciiTheme="minorHAnsi" w:hAnsiTheme="minorHAnsi" w:cstheme="minorHAnsi"/>
          <w:i/>
          <w:sz w:val="22"/>
          <w:szCs w:val="22"/>
        </w:rPr>
        <w:t xml:space="preserve">and First Morning Urine Void </w:t>
      </w:r>
      <w:r w:rsidRPr="005553DF">
        <w:rPr>
          <w:rFonts w:asciiTheme="minorHAnsi" w:hAnsiTheme="minorHAnsi" w:cstheme="minorHAnsi"/>
          <w:i/>
          <w:sz w:val="22"/>
          <w:szCs w:val="22"/>
        </w:rPr>
        <w:t>C</w:t>
      </w:r>
      <w:r w:rsidR="0075449A" w:rsidRPr="005553DF">
        <w:rPr>
          <w:rFonts w:asciiTheme="minorHAnsi" w:hAnsiTheme="minorHAnsi" w:cstheme="minorHAnsi"/>
          <w:i/>
          <w:sz w:val="22"/>
          <w:szCs w:val="22"/>
        </w:rPr>
        <w:t>ollection:</w:t>
      </w:r>
      <w:r w:rsidR="0075449A" w:rsidRPr="005553DF">
        <w:rPr>
          <w:rFonts w:asciiTheme="minorHAnsi" w:hAnsiTheme="minorHAnsi" w:cstheme="minorHAnsi"/>
          <w:sz w:val="22"/>
          <w:szCs w:val="22"/>
        </w:rPr>
        <w:t xml:space="preserve"> </w:t>
      </w:r>
      <w:r w:rsidR="00C7200C" w:rsidRPr="005553DF">
        <w:rPr>
          <w:rFonts w:asciiTheme="minorHAnsi" w:hAnsiTheme="minorHAnsi" w:cstheme="minorHAnsi"/>
          <w:sz w:val="22"/>
          <w:szCs w:val="22"/>
        </w:rPr>
        <w:t xml:space="preserve">Participants will transport their urine sample to study office for collection. </w:t>
      </w:r>
      <w:r w:rsidR="00C234D8" w:rsidRPr="005553DF">
        <w:rPr>
          <w:rFonts w:asciiTheme="minorHAnsi" w:hAnsiTheme="minorHAnsi" w:cstheme="minorHAnsi"/>
          <w:sz w:val="22"/>
          <w:szCs w:val="22"/>
        </w:rPr>
        <w:t xml:space="preserve">Trained staff will collect </w:t>
      </w:r>
      <w:r w:rsidR="00BE1E45" w:rsidRPr="005553DF">
        <w:rPr>
          <w:rFonts w:asciiTheme="minorHAnsi" w:hAnsiTheme="minorHAnsi" w:cstheme="minorHAnsi"/>
          <w:sz w:val="22"/>
          <w:szCs w:val="22"/>
        </w:rPr>
        <w:t xml:space="preserve">and record </w:t>
      </w:r>
      <w:r w:rsidR="00C234D8" w:rsidRPr="005553DF">
        <w:rPr>
          <w:rFonts w:asciiTheme="minorHAnsi" w:hAnsiTheme="minorHAnsi" w:cstheme="minorHAnsi"/>
          <w:sz w:val="22"/>
          <w:szCs w:val="22"/>
        </w:rPr>
        <w:t>the urine specimen</w:t>
      </w:r>
      <w:r w:rsidR="00BE1E45" w:rsidRPr="005553DF">
        <w:rPr>
          <w:rFonts w:asciiTheme="minorHAnsi" w:hAnsiTheme="minorHAnsi" w:cstheme="minorHAnsi"/>
          <w:sz w:val="22"/>
          <w:szCs w:val="22"/>
        </w:rPr>
        <w:t xml:space="preserve"> </w:t>
      </w:r>
      <w:r w:rsidR="00F4392A" w:rsidRPr="005553DF">
        <w:rPr>
          <w:rFonts w:asciiTheme="minorHAnsi" w:hAnsiTheme="minorHAnsi" w:cstheme="minorHAnsi"/>
          <w:sz w:val="22"/>
          <w:szCs w:val="22"/>
        </w:rPr>
        <w:t>intake</w:t>
      </w:r>
      <w:r w:rsidR="00BE1E45" w:rsidRPr="005553DF">
        <w:rPr>
          <w:rFonts w:asciiTheme="minorHAnsi" w:hAnsiTheme="minorHAnsi" w:cstheme="minorHAnsi"/>
          <w:sz w:val="22"/>
          <w:szCs w:val="22"/>
        </w:rPr>
        <w:t xml:space="preserve"> (</w:t>
      </w:r>
      <w:r w:rsidR="00F4392A" w:rsidRPr="005553DF">
        <w:rPr>
          <w:rFonts w:asciiTheme="minorHAnsi" w:hAnsiTheme="minorHAnsi" w:cstheme="minorHAnsi"/>
          <w:b/>
          <w:sz w:val="22"/>
          <w:szCs w:val="22"/>
        </w:rPr>
        <w:t>Attachment 16</w:t>
      </w:r>
      <w:r w:rsidR="00BE1E45" w:rsidRPr="005553DF">
        <w:rPr>
          <w:rFonts w:asciiTheme="minorHAnsi" w:hAnsiTheme="minorHAnsi" w:cstheme="minorHAnsi"/>
          <w:b/>
          <w:sz w:val="22"/>
          <w:szCs w:val="22"/>
        </w:rPr>
        <w:t>)</w:t>
      </w:r>
      <w:r w:rsidR="00C234D8" w:rsidRPr="005553DF">
        <w:rPr>
          <w:rFonts w:asciiTheme="minorHAnsi" w:hAnsiTheme="minorHAnsi" w:cstheme="minorHAnsi"/>
          <w:sz w:val="22"/>
          <w:szCs w:val="22"/>
        </w:rPr>
        <w:t xml:space="preserve">. </w:t>
      </w:r>
      <w:r w:rsidR="0075449A" w:rsidRPr="005553DF">
        <w:rPr>
          <w:rFonts w:asciiTheme="minorHAnsi" w:hAnsiTheme="minorHAnsi" w:cstheme="minorHAnsi"/>
          <w:sz w:val="22"/>
          <w:szCs w:val="22"/>
        </w:rPr>
        <w:t xml:space="preserve">The blood collection procedure consists of administering and recording responses to a blood draw screening questionnaire for conditions that exclude the </w:t>
      </w:r>
      <w:r w:rsidR="00EE753B" w:rsidRPr="005553DF">
        <w:rPr>
          <w:rFonts w:asciiTheme="minorHAnsi" w:hAnsiTheme="minorHAnsi" w:cstheme="minorHAnsi"/>
          <w:sz w:val="22"/>
          <w:szCs w:val="22"/>
        </w:rPr>
        <w:t>participant</w:t>
      </w:r>
      <w:r w:rsidR="0075449A" w:rsidRPr="005553DF">
        <w:rPr>
          <w:rFonts w:asciiTheme="minorHAnsi" w:hAnsiTheme="minorHAnsi" w:cstheme="minorHAnsi"/>
          <w:sz w:val="22"/>
          <w:szCs w:val="22"/>
        </w:rPr>
        <w:t xml:space="preserve"> from the blood draw (hemophilia, skin condition, or chemotherapy in the past four weeks, and pregnancy), ask about having diabetes, taking blood thinning medications, </w:t>
      </w:r>
      <w:r w:rsidR="00EE753B" w:rsidRPr="005553DF">
        <w:rPr>
          <w:rFonts w:asciiTheme="minorHAnsi" w:hAnsiTheme="minorHAnsi" w:cstheme="minorHAnsi"/>
          <w:sz w:val="22"/>
          <w:szCs w:val="22"/>
        </w:rPr>
        <w:t>participant’s</w:t>
      </w:r>
      <w:r w:rsidR="0075449A" w:rsidRPr="005553DF">
        <w:rPr>
          <w:rFonts w:asciiTheme="minorHAnsi" w:hAnsiTheme="minorHAnsi" w:cstheme="minorHAnsi"/>
          <w:sz w:val="22"/>
          <w:szCs w:val="22"/>
        </w:rPr>
        <w:t xml:space="preserve"> wei</w:t>
      </w:r>
      <w:r w:rsidR="00277D72" w:rsidRPr="005553DF">
        <w:rPr>
          <w:rFonts w:asciiTheme="minorHAnsi" w:hAnsiTheme="minorHAnsi" w:cstheme="minorHAnsi"/>
          <w:sz w:val="22"/>
          <w:szCs w:val="22"/>
        </w:rPr>
        <w:t>ght, and fasting status (</w:t>
      </w:r>
      <w:r w:rsidR="00277D72" w:rsidRPr="005553DF">
        <w:rPr>
          <w:rFonts w:asciiTheme="minorHAnsi" w:hAnsiTheme="minorHAnsi" w:cstheme="minorHAnsi"/>
          <w:b/>
          <w:sz w:val="22"/>
          <w:szCs w:val="22"/>
        </w:rPr>
        <w:t>Attachment 1</w:t>
      </w:r>
      <w:r w:rsidR="00F4392A" w:rsidRPr="005553DF">
        <w:rPr>
          <w:rFonts w:asciiTheme="minorHAnsi" w:hAnsiTheme="minorHAnsi" w:cstheme="minorHAnsi"/>
          <w:b/>
          <w:sz w:val="22"/>
          <w:szCs w:val="22"/>
        </w:rPr>
        <w:t>6</w:t>
      </w:r>
      <w:r w:rsidR="00277D72" w:rsidRPr="005553DF">
        <w:rPr>
          <w:rFonts w:asciiTheme="minorHAnsi" w:hAnsiTheme="minorHAnsi" w:cstheme="minorHAnsi"/>
          <w:sz w:val="22"/>
          <w:szCs w:val="22"/>
        </w:rPr>
        <w:t>)</w:t>
      </w:r>
      <w:r w:rsidR="0075449A" w:rsidRPr="005553DF">
        <w:rPr>
          <w:rFonts w:asciiTheme="minorHAnsi" w:hAnsiTheme="minorHAnsi" w:cstheme="minorHAnsi"/>
          <w:sz w:val="22"/>
          <w:szCs w:val="22"/>
        </w:rPr>
        <w:t xml:space="preserve">. Next, phlebotomists will draw </w:t>
      </w:r>
      <w:r w:rsidR="00097CF3" w:rsidRPr="005553DF">
        <w:rPr>
          <w:rFonts w:asciiTheme="minorHAnsi" w:hAnsiTheme="minorHAnsi" w:cstheme="minorHAnsi"/>
          <w:sz w:val="22"/>
          <w:szCs w:val="22"/>
        </w:rPr>
        <w:t>2</w:t>
      </w:r>
      <w:r w:rsidR="00CE204C" w:rsidRPr="005553DF">
        <w:rPr>
          <w:rFonts w:asciiTheme="minorHAnsi" w:hAnsiTheme="minorHAnsi" w:cstheme="minorHAnsi"/>
          <w:sz w:val="22"/>
          <w:szCs w:val="22"/>
        </w:rPr>
        <w:t>3</w:t>
      </w:r>
      <w:r w:rsidR="00097CF3" w:rsidRPr="005553DF">
        <w:rPr>
          <w:rFonts w:asciiTheme="minorHAnsi" w:hAnsiTheme="minorHAnsi" w:cstheme="minorHAnsi"/>
          <w:sz w:val="22"/>
          <w:szCs w:val="22"/>
        </w:rPr>
        <w:t>-ml (</w:t>
      </w:r>
      <w:r w:rsidR="00CC4961" w:rsidRPr="005553DF">
        <w:rPr>
          <w:rFonts w:asciiTheme="minorHAnsi" w:hAnsiTheme="minorHAnsi" w:cstheme="minorHAnsi"/>
          <w:sz w:val="22"/>
          <w:szCs w:val="22"/>
        </w:rPr>
        <w:t>0.</w:t>
      </w:r>
      <w:r w:rsidR="00CE204C" w:rsidRPr="005553DF">
        <w:rPr>
          <w:rFonts w:asciiTheme="minorHAnsi" w:hAnsiTheme="minorHAnsi" w:cstheme="minorHAnsi"/>
          <w:sz w:val="22"/>
          <w:szCs w:val="22"/>
        </w:rPr>
        <w:t>8</w:t>
      </w:r>
      <w:r w:rsidR="00CC4961" w:rsidRPr="005553DF">
        <w:rPr>
          <w:rFonts w:asciiTheme="minorHAnsi" w:hAnsiTheme="minorHAnsi" w:cstheme="minorHAnsi"/>
          <w:sz w:val="22"/>
          <w:szCs w:val="22"/>
        </w:rPr>
        <w:t xml:space="preserve"> ounces or </w:t>
      </w:r>
      <w:r w:rsidR="00097CF3" w:rsidRPr="005553DF">
        <w:rPr>
          <w:rFonts w:asciiTheme="minorHAnsi" w:hAnsiTheme="minorHAnsi" w:cstheme="minorHAnsi"/>
          <w:sz w:val="22"/>
          <w:szCs w:val="22"/>
        </w:rPr>
        <w:t xml:space="preserve">about </w:t>
      </w:r>
      <w:r w:rsidR="00CE204C" w:rsidRPr="005553DF">
        <w:rPr>
          <w:rFonts w:asciiTheme="minorHAnsi" w:hAnsiTheme="minorHAnsi" w:cstheme="minorHAnsi"/>
          <w:sz w:val="22"/>
          <w:szCs w:val="22"/>
        </w:rPr>
        <w:t>5</w:t>
      </w:r>
      <w:r w:rsidR="00097CF3" w:rsidRPr="005553DF">
        <w:rPr>
          <w:rFonts w:asciiTheme="minorHAnsi" w:hAnsiTheme="minorHAnsi" w:cstheme="minorHAnsi"/>
          <w:sz w:val="22"/>
          <w:szCs w:val="22"/>
        </w:rPr>
        <w:t xml:space="preserve"> teaspoons)</w:t>
      </w:r>
      <w:r w:rsidR="0075449A" w:rsidRPr="005553DF">
        <w:rPr>
          <w:rFonts w:asciiTheme="minorHAnsi" w:hAnsiTheme="minorHAnsi" w:cstheme="minorHAnsi"/>
          <w:sz w:val="22"/>
          <w:szCs w:val="22"/>
        </w:rPr>
        <w:t xml:space="preserve"> </w:t>
      </w:r>
      <w:r w:rsidR="00097CF3" w:rsidRPr="005553DF">
        <w:rPr>
          <w:rFonts w:asciiTheme="minorHAnsi" w:hAnsiTheme="minorHAnsi" w:cstheme="minorHAnsi"/>
          <w:sz w:val="22"/>
          <w:szCs w:val="22"/>
        </w:rPr>
        <w:t xml:space="preserve">of blood from the child participant </w:t>
      </w:r>
      <w:r w:rsidR="00277D72" w:rsidRPr="005553DF">
        <w:rPr>
          <w:rFonts w:asciiTheme="minorHAnsi" w:hAnsiTheme="minorHAnsi" w:cstheme="minorHAnsi"/>
          <w:sz w:val="22"/>
          <w:szCs w:val="22"/>
        </w:rPr>
        <w:t>and 3</w:t>
      </w:r>
      <w:r w:rsidR="00CE204C" w:rsidRPr="005553DF">
        <w:rPr>
          <w:rFonts w:asciiTheme="minorHAnsi" w:hAnsiTheme="minorHAnsi" w:cstheme="minorHAnsi"/>
          <w:sz w:val="22"/>
          <w:szCs w:val="22"/>
        </w:rPr>
        <w:t>3</w:t>
      </w:r>
      <w:r w:rsidR="00277D72" w:rsidRPr="005553DF">
        <w:rPr>
          <w:rFonts w:asciiTheme="minorHAnsi" w:hAnsiTheme="minorHAnsi" w:cstheme="minorHAnsi"/>
          <w:sz w:val="22"/>
          <w:szCs w:val="22"/>
        </w:rPr>
        <w:t>-ml (1.</w:t>
      </w:r>
      <w:r w:rsidR="00CE204C" w:rsidRPr="005553DF">
        <w:rPr>
          <w:rFonts w:asciiTheme="minorHAnsi" w:hAnsiTheme="minorHAnsi" w:cstheme="minorHAnsi"/>
          <w:sz w:val="22"/>
          <w:szCs w:val="22"/>
        </w:rPr>
        <w:t>1</w:t>
      </w:r>
      <w:r w:rsidR="00277D72" w:rsidRPr="005553DF">
        <w:rPr>
          <w:rFonts w:asciiTheme="minorHAnsi" w:hAnsiTheme="minorHAnsi" w:cstheme="minorHAnsi"/>
          <w:sz w:val="22"/>
          <w:szCs w:val="22"/>
        </w:rPr>
        <w:t xml:space="preserve"> ounces</w:t>
      </w:r>
      <w:r w:rsidR="00CC4961" w:rsidRPr="005553DF">
        <w:rPr>
          <w:rFonts w:asciiTheme="minorHAnsi" w:hAnsiTheme="minorHAnsi" w:cstheme="minorHAnsi"/>
          <w:sz w:val="22"/>
          <w:szCs w:val="22"/>
        </w:rPr>
        <w:t xml:space="preserve"> or about 7 teaspoons</w:t>
      </w:r>
      <w:r w:rsidR="00277D72" w:rsidRPr="005553DF">
        <w:rPr>
          <w:rFonts w:asciiTheme="minorHAnsi" w:hAnsiTheme="minorHAnsi" w:cstheme="minorHAnsi"/>
          <w:sz w:val="22"/>
          <w:szCs w:val="22"/>
        </w:rPr>
        <w:t xml:space="preserve">) of blood from the adult participant </w:t>
      </w:r>
      <w:r w:rsidR="0075449A" w:rsidRPr="005553DF">
        <w:rPr>
          <w:rFonts w:asciiTheme="minorHAnsi" w:hAnsiTheme="minorHAnsi" w:cstheme="minorHAnsi"/>
          <w:sz w:val="22"/>
          <w:szCs w:val="22"/>
        </w:rPr>
        <w:t>using standard ve</w:t>
      </w:r>
      <w:r w:rsidR="004733CE" w:rsidRPr="005553DF">
        <w:rPr>
          <w:rFonts w:asciiTheme="minorHAnsi" w:hAnsiTheme="minorHAnsi" w:cstheme="minorHAnsi"/>
          <w:sz w:val="22"/>
          <w:szCs w:val="22"/>
        </w:rPr>
        <w:t>nipuncture techniques (</w:t>
      </w:r>
      <w:r w:rsidR="004733CE" w:rsidRPr="005553DF">
        <w:rPr>
          <w:rFonts w:asciiTheme="minorHAnsi" w:hAnsiTheme="minorHAnsi" w:cstheme="minorHAnsi"/>
          <w:b/>
          <w:sz w:val="22"/>
          <w:szCs w:val="22"/>
        </w:rPr>
        <w:t>Attachment 1</w:t>
      </w:r>
      <w:r w:rsidR="00F4392A" w:rsidRPr="005553DF">
        <w:rPr>
          <w:rFonts w:asciiTheme="minorHAnsi" w:hAnsiTheme="minorHAnsi" w:cstheme="minorHAnsi"/>
          <w:b/>
          <w:sz w:val="22"/>
          <w:szCs w:val="22"/>
        </w:rPr>
        <w:t>4</w:t>
      </w:r>
      <w:r w:rsidR="004733CE" w:rsidRPr="005553DF">
        <w:rPr>
          <w:rFonts w:asciiTheme="minorHAnsi" w:hAnsiTheme="minorHAnsi" w:cstheme="minorHAnsi"/>
          <w:sz w:val="22"/>
          <w:szCs w:val="22"/>
        </w:rPr>
        <w:t>)</w:t>
      </w:r>
      <w:r w:rsidR="001D3DA7" w:rsidRPr="005553DF">
        <w:rPr>
          <w:rFonts w:asciiTheme="minorHAnsi" w:hAnsiTheme="minorHAnsi" w:cstheme="minorHAnsi"/>
          <w:sz w:val="22"/>
          <w:szCs w:val="22"/>
        </w:rPr>
        <w:t xml:space="preserve"> and record the outcome (</w:t>
      </w:r>
      <w:r w:rsidR="00F4392A" w:rsidRPr="005553DF">
        <w:rPr>
          <w:rFonts w:asciiTheme="minorHAnsi" w:hAnsiTheme="minorHAnsi" w:cstheme="minorHAnsi"/>
          <w:b/>
          <w:sz w:val="22"/>
          <w:szCs w:val="22"/>
        </w:rPr>
        <w:t>Attachment 16</w:t>
      </w:r>
      <w:r w:rsidR="001D3DA7" w:rsidRPr="005553DF">
        <w:rPr>
          <w:rFonts w:asciiTheme="minorHAnsi" w:hAnsiTheme="minorHAnsi" w:cstheme="minorHAnsi"/>
          <w:sz w:val="22"/>
          <w:szCs w:val="22"/>
        </w:rPr>
        <w:t>)</w:t>
      </w:r>
      <w:r w:rsidR="00097CF3" w:rsidRPr="005553DF">
        <w:rPr>
          <w:rFonts w:asciiTheme="minorHAnsi" w:hAnsiTheme="minorHAnsi" w:cstheme="minorHAnsi"/>
          <w:sz w:val="22"/>
          <w:szCs w:val="22"/>
        </w:rPr>
        <w:t>.</w:t>
      </w:r>
      <w:r w:rsidR="0075449A" w:rsidRPr="005553DF">
        <w:rPr>
          <w:rFonts w:asciiTheme="minorHAnsi" w:hAnsiTheme="minorHAnsi" w:cstheme="minorHAnsi"/>
          <w:sz w:val="22"/>
          <w:szCs w:val="22"/>
        </w:rPr>
        <w:t xml:space="preserve"> If a person is unable to provide the desir</w:t>
      </w:r>
      <w:r w:rsidR="001D3DA7" w:rsidRPr="005553DF">
        <w:rPr>
          <w:rFonts w:asciiTheme="minorHAnsi" w:hAnsiTheme="minorHAnsi" w:cstheme="minorHAnsi"/>
          <w:sz w:val="22"/>
          <w:szCs w:val="22"/>
        </w:rPr>
        <w:t>ed</w:t>
      </w:r>
      <w:r w:rsidR="0075449A" w:rsidRPr="005553DF">
        <w:rPr>
          <w:rFonts w:asciiTheme="minorHAnsi" w:hAnsiTheme="minorHAnsi" w:cstheme="minorHAnsi"/>
          <w:sz w:val="22"/>
          <w:szCs w:val="22"/>
        </w:rPr>
        <w:t xml:space="preserve"> volume of blood, a smaller amount can be drawn and documented.</w:t>
      </w:r>
      <w:r w:rsidR="00E93F46" w:rsidRPr="005553DF">
        <w:rPr>
          <w:rFonts w:asciiTheme="minorHAnsi" w:hAnsiTheme="minorHAnsi" w:cstheme="minorHAnsi"/>
          <w:sz w:val="22"/>
          <w:szCs w:val="22"/>
        </w:rPr>
        <w:t xml:space="preserve"> </w:t>
      </w:r>
      <w:r w:rsidR="0075449A" w:rsidRPr="005553DF">
        <w:rPr>
          <w:rFonts w:asciiTheme="minorHAnsi" w:hAnsiTheme="minorHAnsi" w:cstheme="minorHAnsi"/>
          <w:sz w:val="22"/>
          <w:szCs w:val="22"/>
        </w:rPr>
        <w:t xml:space="preserve">Trained study staff will record the phlebotomy </w:t>
      </w:r>
      <w:r w:rsidR="00292822" w:rsidRPr="005553DF">
        <w:rPr>
          <w:rFonts w:asciiTheme="minorHAnsi" w:hAnsiTheme="minorHAnsi" w:cstheme="minorHAnsi"/>
          <w:sz w:val="22"/>
          <w:szCs w:val="22"/>
        </w:rPr>
        <w:t xml:space="preserve">and urine collection </w:t>
      </w:r>
      <w:r w:rsidR="0075449A" w:rsidRPr="005553DF">
        <w:rPr>
          <w:rFonts w:asciiTheme="minorHAnsi" w:hAnsiTheme="minorHAnsi" w:cstheme="minorHAnsi"/>
          <w:sz w:val="22"/>
          <w:szCs w:val="22"/>
        </w:rPr>
        <w:t>result o</w:t>
      </w:r>
      <w:r w:rsidR="002511C2" w:rsidRPr="005553DF">
        <w:rPr>
          <w:rFonts w:asciiTheme="minorHAnsi" w:hAnsiTheme="minorHAnsi" w:cstheme="minorHAnsi"/>
          <w:sz w:val="22"/>
          <w:szCs w:val="22"/>
        </w:rPr>
        <w:t xml:space="preserve">n the Blood Draw </w:t>
      </w:r>
      <w:r w:rsidR="00324F0A" w:rsidRPr="005553DF">
        <w:rPr>
          <w:rFonts w:asciiTheme="minorHAnsi" w:hAnsiTheme="minorHAnsi" w:cstheme="minorHAnsi"/>
          <w:sz w:val="22"/>
          <w:szCs w:val="22"/>
        </w:rPr>
        <w:t xml:space="preserve">and Urine Collection </w:t>
      </w:r>
      <w:r w:rsidR="002511C2" w:rsidRPr="005553DF">
        <w:rPr>
          <w:rFonts w:asciiTheme="minorHAnsi" w:hAnsiTheme="minorHAnsi" w:cstheme="minorHAnsi"/>
          <w:sz w:val="22"/>
          <w:szCs w:val="22"/>
        </w:rPr>
        <w:t>Form (</w:t>
      </w:r>
      <w:r w:rsidR="002511C2" w:rsidRPr="005553DF">
        <w:rPr>
          <w:rFonts w:asciiTheme="minorHAnsi" w:hAnsiTheme="minorHAnsi" w:cstheme="minorHAnsi"/>
          <w:b/>
          <w:sz w:val="22"/>
          <w:szCs w:val="22"/>
        </w:rPr>
        <w:t>Attachment 1</w:t>
      </w:r>
      <w:r w:rsidR="00F4392A" w:rsidRPr="005553DF">
        <w:rPr>
          <w:rFonts w:asciiTheme="minorHAnsi" w:hAnsiTheme="minorHAnsi" w:cstheme="minorHAnsi"/>
          <w:b/>
          <w:sz w:val="22"/>
          <w:szCs w:val="22"/>
        </w:rPr>
        <w:t>6</w:t>
      </w:r>
      <w:r w:rsidR="002511C2" w:rsidRPr="005553DF">
        <w:rPr>
          <w:rFonts w:asciiTheme="minorHAnsi" w:hAnsiTheme="minorHAnsi" w:cstheme="minorHAnsi"/>
          <w:sz w:val="22"/>
          <w:szCs w:val="22"/>
        </w:rPr>
        <w:t>)</w:t>
      </w:r>
      <w:r w:rsidR="0075449A" w:rsidRPr="005553DF">
        <w:rPr>
          <w:rFonts w:asciiTheme="minorHAnsi" w:hAnsiTheme="minorHAnsi" w:cstheme="minorHAnsi"/>
          <w:sz w:val="22"/>
          <w:szCs w:val="22"/>
        </w:rPr>
        <w:t xml:space="preserve">. </w:t>
      </w:r>
    </w:p>
    <w:p w14:paraId="28A1653D" w14:textId="77777777" w:rsidR="003923C3" w:rsidRPr="005553DF" w:rsidRDefault="0075449A"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Common adverse events from blood draws include bruising, bleeding, and fainting. No serious adverse event</w:t>
      </w:r>
      <w:r w:rsidR="00097CF3" w:rsidRPr="005553DF">
        <w:rPr>
          <w:rFonts w:asciiTheme="minorHAnsi" w:hAnsiTheme="minorHAnsi" w:cstheme="minorHAnsi"/>
          <w:sz w:val="22"/>
          <w:szCs w:val="22"/>
        </w:rPr>
        <w:t>s are anticipated in drawing the</w:t>
      </w:r>
      <w:r w:rsidRPr="005553DF">
        <w:rPr>
          <w:rFonts w:asciiTheme="minorHAnsi" w:hAnsiTheme="minorHAnsi" w:cstheme="minorHAnsi"/>
          <w:sz w:val="22"/>
          <w:szCs w:val="22"/>
        </w:rPr>
        <w:t>s</w:t>
      </w:r>
      <w:r w:rsidR="00097CF3" w:rsidRPr="005553DF">
        <w:rPr>
          <w:rFonts w:asciiTheme="minorHAnsi" w:hAnsiTheme="minorHAnsi" w:cstheme="minorHAnsi"/>
          <w:sz w:val="22"/>
          <w:szCs w:val="22"/>
        </w:rPr>
        <w:t>e</w:t>
      </w:r>
      <w:r w:rsidRPr="005553DF">
        <w:rPr>
          <w:rFonts w:asciiTheme="minorHAnsi" w:hAnsiTheme="minorHAnsi" w:cstheme="minorHAnsi"/>
          <w:sz w:val="22"/>
          <w:szCs w:val="22"/>
        </w:rPr>
        <w:t xml:space="preserve"> volume</w:t>
      </w:r>
      <w:r w:rsidR="00097CF3" w:rsidRPr="005553DF">
        <w:rPr>
          <w:rFonts w:asciiTheme="minorHAnsi" w:hAnsiTheme="minorHAnsi" w:cstheme="minorHAnsi"/>
          <w:sz w:val="22"/>
          <w:szCs w:val="22"/>
        </w:rPr>
        <w:t>s</w:t>
      </w:r>
      <w:r w:rsidRPr="005553DF">
        <w:rPr>
          <w:rFonts w:asciiTheme="minorHAnsi" w:hAnsiTheme="minorHAnsi" w:cstheme="minorHAnsi"/>
          <w:sz w:val="22"/>
          <w:szCs w:val="22"/>
        </w:rPr>
        <w:t xml:space="preserve"> of blood. Fasting diabetic </w:t>
      </w:r>
      <w:r w:rsidR="008202F2" w:rsidRPr="005553DF">
        <w:rPr>
          <w:rFonts w:asciiTheme="minorHAnsi" w:hAnsiTheme="minorHAnsi" w:cstheme="minorHAnsi"/>
          <w:sz w:val="22"/>
          <w:szCs w:val="22"/>
        </w:rPr>
        <w:t>participant</w:t>
      </w:r>
      <w:r w:rsidRPr="005553DF">
        <w:rPr>
          <w:rFonts w:asciiTheme="minorHAnsi" w:hAnsiTheme="minorHAnsi" w:cstheme="minorHAnsi"/>
          <w:sz w:val="22"/>
          <w:szCs w:val="22"/>
        </w:rPr>
        <w:t xml:space="preserve">s who use insulin will </w:t>
      </w:r>
      <w:r w:rsidR="00EE753B" w:rsidRPr="005553DF">
        <w:rPr>
          <w:rFonts w:asciiTheme="minorHAnsi" w:hAnsiTheme="minorHAnsi" w:cstheme="minorHAnsi"/>
          <w:sz w:val="22"/>
          <w:szCs w:val="22"/>
        </w:rPr>
        <w:t>receive</w:t>
      </w:r>
      <w:r w:rsidRPr="005553DF">
        <w:rPr>
          <w:rFonts w:asciiTheme="minorHAnsi" w:hAnsiTheme="minorHAnsi" w:cstheme="minorHAnsi"/>
          <w:sz w:val="22"/>
          <w:szCs w:val="22"/>
        </w:rPr>
        <w:t xml:space="preserve"> priority appointments for their blood draw. Light snacks will be provided following blood collection.  </w:t>
      </w:r>
      <w:r w:rsidR="00EC0F40" w:rsidRPr="005553DF">
        <w:rPr>
          <w:rFonts w:asciiTheme="minorHAnsi" w:hAnsiTheme="minorHAnsi" w:cstheme="minorHAnsi"/>
          <w:sz w:val="22"/>
          <w:szCs w:val="22"/>
        </w:rPr>
        <w:t xml:space="preserve">While we ask participants to provide fasting sample, we realize that some may not be able to fast. As PFAS are bound to proteins that will affect measured levels less than measurements </w:t>
      </w:r>
      <w:r w:rsidR="00100176" w:rsidRPr="005553DF">
        <w:rPr>
          <w:rFonts w:asciiTheme="minorHAnsi" w:hAnsiTheme="minorHAnsi" w:cstheme="minorHAnsi"/>
          <w:sz w:val="22"/>
          <w:szCs w:val="22"/>
        </w:rPr>
        <w:t>affected by</w:t>
      </w:r>
      <w:r w:rsidR="00EC0F40" w:rsidRPr="005553DF">
        <w:rPr>
          <w:rFonts w:asciiTheme="minorHAnsi" w:hAnsiTheme="minorHAnsi" w:cstheme="minorHAnsi"/>
          <w:sz w:val="22"/>
          <w:szCs w:val="22"/>
        </w:rPr>
        <w:t xml:space="preserve"> lipid</w:t>
      </w:r>
      <w:r w:rsidR="007907CF" w:rsidRPr="005553DF">
        <w:rPr>
          <w:rFonts w:asciiTheme="minorHAnsi" w:hAnsiTheme="minorHAnsi" w:cstheme="minorHAnsi"/>
          <w:sz w:val="22"/>
          <w:szCs w:val="22"/>
        </w:rPr>
        <w:t xml:space="preserve"> level</w:t>
      </w:r>
      <w:r w:rsidR="00EC0F40" w:rsidRPr="005553DF">
        <w:rPr>
          <w:rFonts w:asciiTheme="minorHAnsi" w:hAnsiTheme="minorHAnsi" w:cstheme="minorHAnsi"/>
          <w:sz w:val="22"/>
          <w:szCs w:val="22"/>
        </w:rPr>
        <w:t>s. In the C8 Science Panel studies</w:t>
      </w:r>
      <w:r w:rsidR="00100176" w:rsidRPr="005553DF">
        <w:rPr>
          <w:rFonts w:asciiTheme="minorHAnsi" w:hAnsiTheme="minorHAnsi" w:cstheme="minorHAnsi"/>
          <w:sz w:val="22"/>
          <w:szCs w:val="22"/>
        </w:rPr>
        <w:t>,</w:t>
      </w:r>
      <w:r w:rsidR="00EC0F40" w:rsidRPr="005553DF">
        <w:rPr>
          <w:rFonts w:asciiTheme="minorHAnsi" w:hAnsiTheme="minorHAnsi" w:cstheme="minorHAnsi"/>
          <w:sz w:val="22"/>
          <w:szCs w:val="22"/>
        </w:rPr>
        <w:t xml:space="preserve"> about 25% of participants fasted – but they were not asked to do so (Frisbee 2009).</w:t>
      </w:r>
    </w:p>
    <w:p w14:paraId="52B5A568" w14:textId="77777777" w:rsidR="0059283B" w:rsidRPr="005553DF" w:rsidRDefault="003923C3"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Phlebotomists will extract serum, and label and prepare the serum</w:t>
      </w:r>
      <w:r w:rsidR="0059283B" w:rsidRPr="005553DF">
        <w:rPr>
          <w:rFonts w:asciiTheme="minorHAnsi" w:hAnsiTheme="minorHAnsi" w:cstheme="minorHAnsi"/>
        </w:rPr>
        <w:t xml:space="preserve"> and urine</w:t>
      </w:r>
      <w:r w:rsidRPr="005553DF">
        <w:rPr>
          <w:rFonts w:asciiTheme="minorHAnsi" w:hAnsiTheme="minorHAnsi" w:cstheme="minorHAnsi"/>
        </w:rPr>
        <w:t xml:space="preserve"> specimens for </w:t>
      </w:r>
      <w:r w:rsidR="00BD439A" w:rsidRPr="005553DF">
        <w:rPr>
          <w:rFonts w:asciiTheme="minorHAnsi" w:hAnsiTheme="minorHAnsi" w:cstheme="minorHAnsi"/>
        </w:rPr>
        <w:t xml:space="preserve">secure </w:t>
      </w:r>
      <w:r w:rsidRPr="005553DF">
        <w:rPr>
          <w:rFonts w:asciiTheme="minorHAnsi" w:hAnsiTheme="minorHAnsi" w:cstheme="minorHAnsi"/>
        </w:rPr>
        <w:t>storage and transport from the study office to the CDC NCEH laboratory in Atlanta, GA</w:t>
      </w:r>
      <w:r w:rsidR="00052E8F" w:rsidRPr="005553DF">
        <w:rPr>
          <w:rFonts w:asciiTheme="minorHAnsi" w:hAnsiTheme="minorHAnsi" w:cstheme="minorHAnsi"/>
        </w:rPr>
        <w:t xml:space="preserve"> (</w:t>
      </w:r>
      <w:r w:rsidR="00052E8F" w:rsidRPr="005553DF">
        <w:rPr>
          <w:rFonts w:asciiTheme="minorHAnsi" w:hAnsiTheme="minorHAnsi" w:cstheme="minorHAnsi"/>
          <w:b/>
        </w:rPr>
        <w:t>Attachment 14</w:t>
      </w:r>
      <w:r w:rsidR="00052E8F" w:rsidRPr="005553DF">
        <w:rPr>
          <w:rFonts w:asciiTheme="minorHAnsi" w:hAnsiTheme="minorHAnsi" w:cstheme="minorHAnsi"/>
        </w:rPr>
        <w:t>)</w:t>
      </w:r>
      <w:r w:rsidRPr="005553DF">
        <w:rPr>
          <w:rFonts w:asciiTheme="minorHAnsi" w:hAnsiTheme="minorHAnsi" w:cstheme="minorHAnsi"/>
        </w:rPr>
        <w:t xml:space="preserve">.  </w:t>
      </w:r>
    </w:p>
    <w:p w14:paraId="1D97753A" w14:textId="77777777" w:rsidR="00484B5D" w:rsidRPr="005553DF" w:rsidRDefault="003923C3" w:rsidP="005553DF">
      <w:pPr>
        <w:spacing w:before="100" w:beforeAutospacing="1" w:after="240" w:line="360" w:lineRule="auto"/>
        <w:jc w:val="both"/>
      </w:pPr>
      <w:r w:rsidRPr="005553DF">
        <w:rPr>
          <w:rFonts w:asciiTheme="minorHAnsi" w:hAnsiTheme="minorHAnsi" w:cstheme="minorHAnsi"/>
          <w:bCs/>
          <w:iCs/>
          <w:color w:val="000000"/>
        </w:rPr>
        <w:t>The NCEH laboratory will perform the analyses of serum PFAS</w:t>
      </w:r>
      <w:r w:rsidR="006B43B9" w:rsidRPr="005553DF">
        <w:rPr>
          <w:rFonts w:asciiTheme="minorHAnsi" w:hAnsiTheme="minorHAnsi" w:cstheme="minorHAnsi"/>
          <w:bCs/>
          <w:iCs/>
          <w:color w:val="000000"/>
        </w:rPr>
        <w:t xml:space="preserve"> according to the biochemical analytical plan (</w:t>
      </w:r>
      <w:r w:rsidR="00052E8F" w:rsidRPr="005553DF">
        <w:rPr>
          <w:rFonts w:asciiTheme="minorHAnsi" w:hAnsiTheme="minorHAnsi" w:cstheme="minorHAnsi"/>
          <w:b/>
          <w:bCs/>
          <w:iCs/>
          <w:color w:val="000000"/>
        </w:rPr>
        <w:t>Attachment 3</w:t>
      </w:r>
      <w:r w:rsidR="00052E8F"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006E2880" w:rsidRPr="005553DF">
        <w:rPr>
          <w:rFonts w:asciiTheme="minorHAnsi" w:hAnsiTheme="minorHAnsi" w:cstheme="minorHAnsi"/>
          <w:bCs/>
          <w:iCs/>
          <w:color w:val="000000"/>
        </w:rPr>
        <w:t xml:space="preserve">and </w:t>
      </w:r>
      <w:r w:rsidR="00CF01B1" w:rsidRPr="005553DF">
        <w:rPr>
          <w:rFonts w:asciiTheme="minorHAnsi" w:hAnsiTheme="minorHAnsi" w:cstheme="minorHAnsi"/>
          <w:bCs/>
          <w:iCs/>
          <w:color w:val="000000"/>
        </w:rPr>
        <w:t xml:space="preserve">approved </w:t>
      </w:r>
      <w:r w:rsidR="006E2880" w:rsidRPr="005553DF">
        <w:rPr>
          <w:rFonts w:asciiTheme="minorHAnsi" w:hAnsiTheme="minorHAnsi" w:cstheme="minorHAnsi"/>
          <w:bCs/>
          <w:iCs/>
          <w:color w:val="000000"/>
        </w:rPr>
        <w:t xml:space="preserve">laboratory methods </w:t>
      </w:r>
      <w:r w:rsidRPr="005553DF">
        <w:rPr>
          <w:rFonts w:asciiTheme="minorHAnsi" w:hAnsiTheme="minorHAnsi" w:cstheme="minorHAnsi"/>
          <w:bCs/>
          <w:iCs/>
          <w:color w:val="000000"/>
        </w:rPr>
        <w:t>(</w:t>
      </w:r>
      <w:r w:rsidRPr="005553DF">
        <w:rPr>
          <w:rFonts w:asciiTheme="minorHAnsi" w:eastAsiaTheme="minorHAnsi" w:hAnsiTheme="minorHAnsi" w:cstheme="minorHAnsi"/>
        </w:rPr>
        <w:t>Kuklenyik 2015)</w:t>
      </w:r>
      <w:r w:rsidRPr="005553DF">
        <w:rPr>
          <w:rFonts w:asciiTheme="minorHAnsi" w:hAnsiTheme="minorHAnsi" w:cstheme="minorHAnsi"/>
          <w:bCs/>
          <w:iCs/>
          <w:color w:val="000000"/>
        </w:rPr>
        <w:t xml:space="preserve">. The NCEH laboratory staff </w:t>
      </w:r>
      <w:r w:rsidRPr="005553DF">
        <w:rPr>
          <w:rFonts w:asciiTheme="minorHAnsi" w:hAnsiTheme="minorHAnsi" w:cstheme="minorHAnsi"/>
        </w:rPr>
        <w:t xml:space="preserve">will </w:t>
      </w:r>
      <w:r w:rsidR="00BF6C59" w:rsidRPr="005553DF">
        <w:rPr>
          <w:rFonts w:asciiTheme="minorHAnsi" w:hAnsiTheme="minorHAnsi" w:cstheme="minorHAnsi"/>
        </w:rPr>
        <w:t xml:space="preserve">also </w:t>
      </w:r>
      <w:r w:rsidRPr="005553DF">
        <w:rPr>
          <w:rFonts w:asciiTheme="minorHAnsi" w:hAnsiTheme="minorHAnsi" w:cstheme="minorHAnsi"/>
        </w:rPr>
        <w:t>aliquot and ship blood and serum specimens to participating laboratories for the analyses of the effect biomarkers</w:t>
      </w:r>
      <w:r w:rsidR="00BF6C59" w:rsidRPr="005553DF">
        <w:rPr>
          <w:rFonts w:asciiTheme="minorHAnsi" w:hAnsiTheme="minorHAnsi" w:cstheme="minorHAnsi"/>
        </w:rPr>
        <w:t xml:space="preserve"> according to the plan</w:t>
      </w:r>
      <w:r w:rsidRPr="005553DF">
        <w:rPr>
          <w:rFonts w:asciiTheme="minorHAnsi" w:hAnsiTheme="minorHAnsi" w:cstheme="minorHAnsi"/>
        </w:rPr>
        <w:t xml:space="preserve">. </w:t>
      </w:r>
      <w:r w:rsidR="00BF6C59" w:rsidRPr="005553DF">
        <w:rPr>
          <w:rFonts w:asciiTheme="minorHAnsi" w:hAnsiTheme="minorHAnsi" w:cstheme="minorHAnsi"/>
          <w:bCs/>
          <w:iCs/>
          <w:color w:val="000000"/>
        </w:rPr>
        <w:t>ATSDR will wait to analyze urines until more knowledge is gained about urinary PFAS and effect biomarkers and until the laboratory methods are developed.</w:t>
      </w:r>
      <w:r w:rsidR="00E8482C" w:rsidRPr="005553DF">
        <w:rPr>
          <w:rFonts w:asciiTheme="minorHAnsi" w:hAnsiTheme="minorHAnsi" w:cstheme="minorHAnsi"/>
          <w:bCs/>
          <w:iCs/>
          <w:color w:val="000000"/>
        </w:rPr>
        <w:t xml:space="preserve"> </w:t>
      </w:r>
      <w:r w:rsidRPr="005553DF">
        <w:rPr>
          <w:rFonts w:asciiTheme="minorHAnsi" w:hAnsiTheme="minorHAnsi" w:cstheme="minorHAnsi"/>
          <w:bCs/>
          <w:iCs/>
        </w:rPr>
        <w:t>Residual blood</w:t>
      </w:r>
      <w:r w:rsidRPr="005553DF">
        <w:rPr>
          <w:rFonts w:asciiTheme="minorHAnsi" w:hAnsiTheme="minorHAnsi" w:cstheme="minorHAnsi"/>
        </w:rPr>
        <w:t xml:space="preserve"> </w:t>
      </w:r>
      <w:r w:rsidR="00E8482C" w:rsidRPr="005553DF">
        <w:rPr>
          <w:rFonts w:asciiTheme="minorHAnsi" w:hAnsiTheme="minorHAnsi" w:cstheme="minorHAnsi"/>
        </w:rPr>
        <w:t xml:space="preserve">and urines </w:t>
      </w:r>
      <w:r w:rsidRPr="005553DF">
        <w:rPr>
          <w:rFonts w:asciiTheme="minorHAnsi" w:hAnsiTheme="minorHAnsi" w:cstheme="minorHAnsi"/>
        </w:rPr>
        <w:t>will be archived at NCEH so that additional PFAS</w:t>
      </w:r>
      <w:r w:rsidR="00E8482C" w:rsidRPr="005553DF">
        <w:rPr>
          <w:rFonts w:asciiTheme="minorHAnsi" w:hAnsiTheme="minorHAnsi" w:cstheme="minorHAnsi"/>
        </w:rPr>
        <w:t xml:space="preserve"> or effect biomarkers</w:t>
      </w:r>
      <w:r w:rsidRPr="005553DF">
        <w:rPr>
          <w:rFonts w:asciiTheme="minorHAnsi" w:hAnsiTheme="minorHAnsi" w:cstheme="minorHAnsi"/>
        </w:rPr>
        <w:t xml:space="preserve"> can be analyzed as </w:t>
      </w:r>
      <w:r w:rsidR="00E8482C" w:rsidRPr="005553DF">
        <w:rPr>
          <w:rFonts w:asciiTheme="minorHAnsi" w:hAnsiTheme="minorHAnsi" w:cstheme="minorHAnsi"/>
        </w:rPr>
        <w:t xml:space="preserve">new knowledge and analytical </w:t>
      </w:r>
      <w:r w:rsidRPr="005553DF">
        <w:rPr>
          <w:rFonts w:asciiTheme="minorHAnsi" w:hAnsiTheme="minorHAnsi" w:cstheme="minorHAnsi"/>
        </w:rPr>
        <w:t>methods become available.</w:t>
      </w:r>
    </w:p>
    <w:p w14:paraId="567901DE" w14:textId="77777777" w:rsidR="00DB72B0" w:rsidRPr="005553DF" w:rsidRDefault="00FA4DF1" w:rsidP="005553DF">
      <w:pPr>
        <w:pStyle w:val="Heading3"/>
        <w:spacing w:before="100" w:beforeAutospacing="1" w:after="240" w:line="360" w:lineRule="auto"/>
        <w:rPr>
          <w:rFonts w:asciiTheme="minorHAnsi" w:hAnsiTheme="minorHAnsi" w:cstheme="minorHAnsi"/>
          <w:b w:val="0"/>
          <w:i/>
        </w:rPr>
      </w:pPr>
      <w:bookmarkStart w:id="57" w:name="_Toc532224171"/>
      <w:r w:rsidRPr="005553DF">
        <w:rPr>
          <w:rFonts w:asciiTheme="minorHAnsi" w:hAnsiTheme="minorHAnsi" w:cstheme="minorHAnsi"/>
          <w:i/>
          <w:color w:val="auto"/>
        </w:rPr>
        <w:t>3.</w:t>
      </w:r>
      <w:r w:rsidR="00B630A2" w:rsidRPr="005553DF">
        <w:rPr>
          <w:rFonts w:asciiTheme="minorHAnsi" w:hAnsiTheme="minorHAnsi" w:cstheme="minorHAnsi"/>
          <w:i/>
          <w:color w:val="auto"/>
        </w:rPr>
        <w:t>6</w:t>
      </w:r>
      <w:r w:rsidR="003479E7" w:rsidRPr="005553DF">
        <w:rPr>
          <w:rFonts w:asciiTheme="minorHAnsi" w:hAnsiTheme="minorHAnsi" w:cstheme="minorHAnsi"/>
          <w:i/>
          <w:color w:val="auto"/>
        </w:rPr>
        <w:t>.</w:t>
      </w:r>
      <w:r w:rsidR="009210EE" w:rsidRPr="005553DF">
        <w:rPr>
          <w:rFonts w:asciiTheme="minorHAnsi" w:hAnsiTheme="minorHAnsi" w:cstheme="minorHAnsi"/>
          <w:i/>
          <w:color w:val="auto"/>
        </w:rPr>
        <w:t>5</w:t>
      </w:r>
      <w:r w:rsidRPr="005553DF">
        <w:rPr>
          <w:rFonts w:asciiTheme="minorHAnsi" w:hAnsiTheme="minorHAnsi" w:cstheme="minorHAnsi"/>
          <w:i/>
          <w:color w:val="auto"/>
        </w:rPr>
        <w:t xml:space="preserve"> </w:t>
      </w:r>
      <w:r w:rsidR="007837F1" w:rsidRPr="005553DF">
        <w:rPr>
          <w:rFonts w:asciiTheme="minorHAnsi" w:hAnsiTheme="minorHAnsi" w:cstheme="minorHAnsi"/>
          <w:i/>
          <w:color w:val="auto"/>
        </w:rPr>
        <w:t>Questionnaire</w:t>
      </w:r>
      <w:bookmarkEnd w:id="57"/>
    </w:p>
    <w:p w14:paraId="7B498CA5" w14:textId="77777777" w:rsidR="00FF2073" w:rsidRPr="005553DF" w:rsidRDefault="007837F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Each </w:t>
      </w:r>
      <w:r w:rsidR="00EE753B" w:rsidRPr="005553DF">
        <w:rPr>
          <w:rFonts w:asciiTheme="minorHAnsi" w:hAnsiTheme="minorHAnsi" w:cstheme="minorHAnsi"/>
        </w:rPr>
        <w:t xml:space="preserve">adult </w:t>
      </w:r>
      <w:r w:rsidRPr="005553DF">
        <w:rPr>
          <w:rFonts w:asciiTheme="minorHAnsi" w:hAnsiTheme="minorHAnsi" w:cstheme="minorHAnsi"/>
        </w:rPr>
        <w:t>participant</w:t>
      </w:r>
      <w:r w:rsidR="00EE753B" w:rsidRPr="005553DF">
        <w:rPr>
          <w:rFonts w:asciiTheme="minorHAnsi" w:hAnsiTheme="minorHAnsi" w:cstheme="minorHAnsi"/>
        </w:rPr>
        <w:t>, and a parent of the child participant,</w:t>
      </w:r>
      <w:r w:rsidRPr="005553DF">
        <w:rPr>
          <w:rFonts w:asciiTheme="minorHAnsi" w:hAnsiTheme="minorHAnsi" w:cstheme="minorHAnsi"/>
        </w:rPr>
        <w:t xml:space="preserve"> will complete a questionnaire during the appointment for the blood draw.</w:t>
      </w:r>
    </w:p>
    <w:p w14:paraId="4FA57E77" w14:textId="77777777" w:rsidR="00FF2073" w:rsidRPr="005553DF" w:rsidRDefault="00B6056D" w:rsidP="005553DF">
      <w:pPr>
        <w:pStyle w:val="Heading4"/>
        <w:spacing w:before="100" w:beforeAutospacing="1" w:after="240" w:line="360" w:lineRule="auto"/>
        <w:rPr>
          <w:rFonts w:asciiTheme="minorHAnsi" w:hAnsiTheme="minorHAnsi" w:cstheme="minorHAnsi"/>
          <w:i w:val="0"/>
        </w:rPr>
      </w:pPr>
      <w:bookmarkStart w:id="58" w:name="_Toc532224172"/>
      <w:r w:rsidRPr="005553DF">
        <w:rPr>
          <w:rFonts w:asciiTheme="minorHAnsi" w:hAnsiTheme="minorHAnsi" w:cstheme="minorHAnsi"/>
          <w:i w:val="0"/>
          <w:color w:val="auto"/>
        </w:rPr>
        <w:t>3.</w:t>
      </w:r>
      <w:r w:rsidR="001C267A" w:rsidRPr="005553DF">
        <w:rPr>
          <w:rFonts w:asciiTheme="minorHAnsi" w:hAnsiTheme="minorHAnsi" w:cstheme="minorHAnsi"/>
          <w:i w:val="0"/>
          <w:color w:val="auto"/>
        </w:rPr>
        <w:t>6</w:t>
      </w:r>
      <w:r w:rsidRPr="005553DF">
        <w:rPr>
          <w:rFonts w:asciiTheme="minorHAnsi" w:hAnsiTheme="minorHAnsi" w:cstheme="minorHAnsi"/>
          <w:i w:val="0"/>
          <w:color w:val="auto"/>
        </w:rPr>
        <w:t>.4.1</w:t>
      </w:r>
      <w:r w:rsidR="00EC3ABF" w:rsidRPr="005553DF">
        <w:rPr>
          <w:rFonts w:asciiTheme="minorHAnsi" w:hAnsiTheme="minorHAnsi" w:cstheme="minorHAnsi"/>
          <w:i w:val="0"/>
          <w:color w:val="auto"/>
        </w:rPr>
        <w:t xml:space="preserve"> </w:t>
      </w:r>
      <w:r w:rsidR="00FF2073" w:rsidRPr="005553DF">
        <w:rPr>
          <w:rFonts w:asciiTheme="minorHAnsi" w:hAnsiTheme="minorHAnsi" w:cstheme="minorHAnsi"/>
          <w:i w:val="0"/>
          <w:color w:val="auto"/>
        </w:rPr>
        <w:t>Child</w:t>
      </w:r>
      <w:r w:rsidR="00EC3ABF" w:rsidRPr="005553DF">
        <w:rPr>
          <w:rFonts w:asciiTheme="minorHAnsi" w:hAnsiTheme="minorHAnsi" w:cstheme="minorHAnsi"/>
          <w:i w:val="0"/>
          <w:color w:val="auto"/>
        </w:rPr>
        <w:t>ren</w:t>
      </w:r>
      <w:r w:rsidRPr="005553DF">
        <w:rPr>
          <w:rFonts w:asciiTheme="minorHAnsi" w:hAnsiTheme="minorHAnsi" w:cstheme="minorHAnsi"/>
          <w:i w:val="0"/>
          <w:color w:val="auto"/>
        </w:rPr>
        <w:t xml:space="preserve"> and Parents</w:t>
      </w:r>
      <w:bookmarkEnd w:id="58"/>
    </w:p>
    <w:p w14:paraId="1AF1840F" w14:textId="77777777" w:rsidR="007837F1" w:rsidRPr="005553DF" w:rsidRDefault="00F2376E"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Study </w:t>
      </w:r>
      <w:r w:rsidR="007837F1" w:rsidRPr="005553DF">
        <w:rPr>
          <w:rFonts w:asciiTheme="minorHAnsi" w:hAnsiTheme="minorHAnsi" w:cstheme="minorHAnsi"/>
        </w:rPr>
        <w:t>staff will request that the parents of the child participant complete the questionnaire. The questionnaire will obtain demographic information</w:t>
      </w:r>
      <w:r w:rsidR="00FF2073" w:rsidRPr="005553DF">
        <w:rPr>
          <w:rFonts w:asciiTheme="minorHAnsi" w:hAnsiTheme="minorHAnsi" w:cstheme="minorHAnsi"/>
        </w:rPr>
        <w:t xml:space="preserve"> (e.g., education, primary occupation)</w:t>
      </w:r>
      <w:r w:rsidR="007837F1" w:rsidRPr="005553DF">
        <w:rPr>
          <w:rFonts w:asciiTheme="minorHAnsi" w:hAnsiTheme="minorHAnsi" w:cstheme="minorHAnsi"/>
        </w:rPr>
        <w:t xml:space="preserve">, medical history of the </w:t>
      </w:r>
      <w:r w:rsidR="009D262B" w:rsidRPr="005553DF">
        <w:rPr>
          <w:rFonts w:asciiTheme="minorHAnsi" w:hAnsiTheme="minorHAnsi" w:cstheme="minorHAnsi"/>
        </w:rPr>
        <w:t>mother</w:t>
      </w:r>
      <w:r w:rsidR="007837F1" w:rsidRPr="005553DF">
        <w:rPr>
          <w:rFonts w:asciiTheme="minorHAnsi" w:hAnsiTheme="minorHAnsi" w:cstheme="minorHAnsi"/>
        </w:rPr>
        <w:t xml:space="preserve"> and child, the child’s medications, the mother’s reproductive history </w:t>
      </w:r>
      <w:r w:rsidR="00FF2073" w:rsidRPr="005553DF">
        <w:rPr>
          <w:rFonts w:asciiTheme="minorHAnsi" w:hAnsiTheme="minorHAnsi" w:cstheme="minorHAnsi"/>
        </w:rPr>
        <w:t xml:space="preserve">(including maternal age at birth of the participating child) </w:t>
      </w:r>
      <w:r w:rsidR="007837F1" w:rsidRPr="005553DF">
        <w:rPr>
          <w:rFonts w:asciiTheme="minorHAnsi" w:hAnsiTheme="minorHAnsi" w:cstheme="minorHAnsi"/>
        </w:rPr>
        <w:t>and any occupational exposures the mother may have had to PFAS.</w:t>
      </w:r>
      <w:r w:rsidR="00FC5BC6" w:rsidRPr="005553DF">
        <w:rPr>
          <w:rFonts w:asciiTheme="minorHAnsi" w:hAnsiTheme="minorHAnsi" w:cstheme="minorHAnsi"/>
        </w:rPr>
        <w:t xml:space="preserve"> The questionnaire will be administered in two formats: </w:t>
      </w:r>
      <w:r w:rsidR="00A72A55" w:rsidRPr="005553DF">
        <w:rPr>
          <w:rFonts w:asciiTheme="minorHAnsi" w:hAnsiTheme="minorHAnsi" w:cstheme="minorHAnsi"/>
        </w:rPr>
        <w:t xml:space="preserve">a form </w:t>
      </w:r>
      <w:r w:rsidR="00FC5BC6" w:rsidRPr="005553DF">
        <w:rPr>
          <w:rFonts w:asciiTheme="minorHAnsi" w:hAnsiTheme="minorHAnsi" w:cstheme="minorHAnsi"/>
        </w:rPr>
        <w:t>for the child whose parent is not also a participant (</w:t>
      </w:r>
      <w:r w:rsidR="00FC5BC6" w:rsidRPr="005553DF">
        <w:rPr>
          <w:rFonts w:asciiTheme="minorHAnsi" w:hAnsiTheme="minorHAnsi" w:cstheme="minorHAnsi"/>
          <w:b/>
        </w:rPr>
        <w:t>Attachment 1</w:t>
      </w:r>
      <w:r w:rsidR="00362A79" w:rsidRPr="005553DF">
        <w:rPr>
          <w:rFonts w:asciiTheme="minorHAnsi" w:hAnsiTheme="minorHAnsi" w:cstheme="minorHAnsi"/>
          <w:b/>
        </w:rPr>
        <w:t>7</w:t>
      </w:r>
      <w:r w:rsidR="00FC5BC6" w:rsidRPr="005553DF">
        <w:rPr>
          <w:rFonts w:asciiTheme="minorHAnsi" w:hAnsiTheme="minorHAnsi" w:cstheme="minorHAnsi"/>
        </w:rPr>
        <w:t xml:space="preserve">), and an abbreviated </w:t>
      </w:r>
      <w:r w:rsidR="00A478A8" w:rsidRPr="005553DF">
        <w:rPr>
          <w:rFonts w:asciiTheme="minorHAnsi" w:hAnsiTheme="minorHAnsi" w:cstheme="minorHAnsi"/>
        </w:rPr>
        <w:t xml:space="preserve">form </w:t>
      </w:r>
      <w:r w:rsidR="00FC5BC6" w:rsidRPr="005553DF">
        <w:rPr>
          <w:rFonts w:asciiTheme="minorHAnsi" w:hAnsiTheme="minorHAnsi" w:cstheme="minorHAnsi"/>
        </w:rPr>
        <w:t>for the child whose parent is also a</w:t>
      </w:r>
      <w:r w:rsidR="00201B54" w:rsidRPr="005553DF">
        <w:rPr>
          <w:rFonts w:asciiTheme="minorHAnsi" w:hAnsiTheme="minorHAnsi" w:cstheme="minorHAnsi"/>
        </w:rPr>
        <w:t>n adult</w:t>
      </w:r>
      <w:r w:rsidR="00FC5BC6" w:rsidRPr="005553DF">
        <w:rPr>
          <w:rFonts w:asciiTheme="minorHAnsi" w:hAnsiTheme="minorHAnsi" w:cstheme="minorHAnsi"/>
        </w:rPr>
        <w:t xml:space="preserve"> p</w:t>
      </w:r>
      <w:r w:rsidR="00201B54" w:rsidRPr="005553DF">
        <w:rPr>
          <w:rFonts w:asciiTheme="minorHAnsi" w:hAnsiTheme="minorHAnsi" w:cstheme="minorHAnsi"/>
        </w:rPr>
        <w:t>articipant</w:t>
      </w:r>
      <w:r w:rsidR="00FC5BC6" w:rsidRPr="005553DF">
        <w:rPr>
          <w:rFonts w:asciiTheme="minorHAnsi" w:hAnsiTheme="minorHAnsi" w:cstheme="minorHAnsi"/>
        </w:rPr>
        <w:t xml:space="preserve"> (</w:t>
      </w:r>
      <w:r w:rsidR="00FC5BC6" w:rsidRPr="005553DF">
        <w:rPr>
          <w:rFonts w:asciiTheme="minorHAnsi" w:hAnsiTheme="minorHAnsi" w:cstheme="minorHAnsi"/>
          <w:b/>
        </w:rPr>
        <w:t>Attachment 1</w:t>
      </w:r>
      <w:r w:rsidR="00362A79" w:rsidRPr="005553DF">
        <w:rPr>
          <w:rFonts w:asciiTheme="minorHAnsi" w:hAnsiTheme="minorHAnsi" w:cstheme="minorHAnsi"/>
          <w:b/>
        </w:rPr>
        <w:t>7</w:t>
      </w:r>
      <w:r w:rsidR="00B77374" w:rsidRPr="005553DF">
        <w:rPr>
          <w:rFonts w:asciiTheme="minorHAnsi" w:hAnsiTheme="minorHAnsi" w:cstheme="minorHAnsi"/>
          <w:b/>
        </w:rPr>
        <w:t>a</w:t>
      </w:r>
      <w:r w:rsidR="00FC5BC6" w:rsidRPr="005553DF">
        <w:rPr>
          <w:rFonts w:asciiTheme="minorHAnsi" w:hAnsiTheme="minorHAnsi" w:cstheme="minorHAnsi"/>
        </w:rPr>
        <w:t>).</w:t>
      </w:r>
    </w:p>
    <w:p w14:paraId="3E63EB59" w14:textId="77777777" w:rsidR="009E6069" w:rsidRPr="005553DF" w:rsidRDefault="00F2376E"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w:t>
      </w:r>
      <w:r w:rsidR="007837F1" w:rsidRPr="005553DF">
        <w:rPr>
          <w:rFonts w:asciiTheme="minorHAnsi" w:hAnsiTheme="minorHAnsi" w:cstheme="minorHAnsi"/>
        </w:rPr>
        <w:t>he questionnaire will ask about the dates the child’s mother worked at the Pease Tradeport, her water consumption</w:t>
      </w:r>
      <w:r w:rsidR="00FF2073" w:rsidRPr="005553DF">
        <w:rPr>
          <w:rFonts w:asciiTheme="minorHAnsi" w:hAnsiTheme="minorHAnsi" w:cstheme="minorHAnsi"/>
        </w:rPr>
        <w:t xml:space="preserve"> (including bottled water)</w:t>
      </w:r>
      <w:r w:rsidR="007837F1" w:rsidRPr="005553DF">
        <w:rPr>
          <w:rFonts w:asciiTheme="minorHAnsi" w:hAnsiTheme="minorHAnsi" w:cstheme="minorHAnsi"/>
        </w:rPr>
        <w:t xml:space="preserve"> while at Pease, and the dates the child attended daycare at Pease and the child’s water consumption</w:t>
      </w:r>
      <w:r w:rsidR="00FF2073" w:rsidRPr="005553DF">
        <w:rPr>
          <w:rFonts w:asciiTheme="minorHAnsi" w:hAnsiTheme="minorHAnsi" w:cstheme="minorHAnsi"/>
        </w:rPr>
        <w:t xml:space="preserve"> (including use of water for formula, juices, etc., bottled water use) </w:t>
      </w:r>
      <w:r w:rsidR="007837F1" w:rsidRPr="005553DF">
        <w:rPr>
          <w:rFonts w:asciiTheme="minorHAnsi" w:hAnsiTheme="minorHAnsi" w:cstheme="minorHAnsi"/>
        </w:rPr>
        <w:t xml:space="preserve">while attending a daycare center at Pease. </w:t>
      </w:r>
      <w:r w:rsidR="00FF2073" w:rsidRPr="005553DF">
        <w:rPr>
          <w:rFonts w:asciiTheme="minorHAnsi" w:hAnsiTheme="minorHAnsi" w:cstheme="minorHAnsi"/>
        </w:rPr>
        <w:t xml:space="preserve">The questionnaire will also ask the dates and </w:t>
      </w:r>
      <w:r w:rsidR="007837F1" w:rsidRPr="005553DF">
        <w:rPr>
          <w:rFonts w:asciiTheme="minorHAnsi" w:hAnsiTheme="minorHAnsi" w:cstheme="minorHAnsi"/>
        </w:rPr>
        <w:t xml:space="preserve">length of time </w:t>
      </w:r>
      <w:r w:rsidRPr="005553DF">
        <w:rPr>
          <w:rFonts w:asciiTheme="minorHAnsi" w:hAnsiTheme="minorHAnsi" w:cstheme="minorHAnsi"/>
        </w:rPr>
        <w:t>of the pregnancy and breastfeeding of the child</w:t>
      </w:r>
      <w:r w:rsidR="009E6069" w:rsidRPr="005553DF">
        <w:rPr>
          <w:rFonts w:asciiTheme="minorHAnsi" w:hAnsiTheme="minorHAnsi" w:cstheme="minorHAnsi"/>
        </w:rPr>
        <w:t>.</w:t>
      </w:r>
    </w:p>
    <w:p w14:paraId="1A487C24" w14:textId="77777777" w:rsidR="00DB72B0" w:rsidRPr="005553DF" w:rsidRDefault="009E6069"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questionnaire will request information on </w:t>
      </w:r>
      <w:r w:rsidR="007837F1" w:rsidRPr="005553DF">
        <w:rPr>
          <w:rFonts w:asciiTheme="minorHAnsi" w:hAnsiTheme="minorHAnsi" w:cstheme="minorHAnsi"/>
        </w:rPr>
        <w:t xml:space="preserve">the child’s height and weight, </w:t>
      </w:r>
      <w:r w:rsidR="00922EBC" w:rsidRPr="005553DF">
        <w:rPr>
          <w:rFonts w:asciiTheme="minorHAnsi" w:hAnsiTheme="minorHAnsi" w:cstheme="minorHAnsi"/>
        </w:rPr>
        <w:t xml:space="preserve">vaccination history, </w:t>
      </w:r>
      <w:r w:rsidR="007837F1" w:rsidRPr="005553DF">
        <w:rPr>
          <w:rFonts w:asciiTheme="minorHAnsi" w:hAnsiTheme="minorHAnsi" w:cstheme="minorHAnsi"/>
        </w:rPr>
        <w:t xml:space="preserve">and whether the child regularly exercises, currently smokes (and the number of cigarettes/day), or consumes alcohol (and the number of drinks/week). </w:t>
      </w:r>
      <w:r w:rsidR="00922EBC" w:rsidRPr="005553DF">
        <w:rPr>
          <w:rFonts w:asciiTheme="minorHAnsi" w:hAnsiTheme="minorHAnsi" w:cstheme="minorHAnsi"/>
        </w:rPr>
        <w:t xml:space="preserve"> The questionnaire will ask when the female child first began to menstruate. </w:t>
      </w:r>
      <w:r w:rsidR="00E00B70" w:rsidRPr="005553DF">
        <w:rPr>
          <w:rFonts w:asciiTheme="minorHAnsi" w:hAnsiTheme="minorHAnsi" w:cstheme="minorHAnsi"/>
        </w:rPr>
        <w:t xml:space="preserve"> </w:t>
      </w:r>
      <w:r w:rsidRPr="005553DF">
        <w:rPr>
          <w:rFonts w:asciiTheme="minorHAnsi" w:hAnsiTheme="minorHAnsi" w:cstheme="minorHAnsi"/>
        </w:rPr>
        <w:t>The questionnaire will include s</w:t>
      </w:r>
      <w:r w:rsidR="007837F1" w:rsidRPr="005553DF">
        <w:rPr>
          <w:rFonts w:asciiTheme="minorHAnsi" w:hAnsiTheme="minorHAnsi" w:cstheme="minorHAnsi"/>
        </w:rPr>
        <w:t xml:space="preserve">pecific questions </w:t>
      </w:r>
      <w:r w:rsidRPr="005553DF">
        <w:rPr>
          <w:rFonts w:asciiTheme="minorHAnsi" w:hAnsiTheme="minorHAnsi" w:cstheme="minorHAnsi"/>
        </w:rPr>
        <w:t xml:space="preserve">addressing </w:t>
      </w:r>
      <w:r w:rsidR="007837F1" w:rsidRPr="005553DF">
        <w:rPr>
          <w:rFonts w:asciiTheme="minorHAnsi" w:hAnsiTheme="minorHAnsi" w:cstheme="minorHAnsi"/>
        </w:rPr>
        <w:t>health outcomes of interest.</w:t>
      </w:r>
      <w:r w:rsidR="00E00B70" w:rsidRPr="005553DF">
        <w:rPr>
          <w:rFonts w:asciiTheme="minorHAnsi" w:hAnsiTheme="minorHAnsi" w:cstheme="minorHAnsi"/>
        </w:rPr>
        <w:t xml:space="preserve"> </w:t>
      </w:r>
      <w:r w:rsidR="00922EBC" w:rsidRPr="005553DF">
        <w:rPr>
          <w:rFonts w:asciiTheme="minorHAnsi" w:hAnsiTheme="minorHAnsi" w:cstheme="minorHAnsi"/>
        </w:rPr>
        <w:t xml:space="preserve"> </w:t>
      </w:r>
      <w:r w:rsidR="007837F1" w:rsidRPr="005553DF">
        <w:rPr>
          <w:rFonts w:asciiTheme="minorHAnsi" w:hAnsiTheme="minorHAnsi" w:cstheme="minorHAnsi"/>
        </w:rPr>
        <w:t xml:space="preserve">For example, for ADHD, the questionnaire </w:t>
      </w:r>
      <w:r w:rsidRPr="005553DF">
        <w:rPr>
          <w:rFonts w:asciiTheme="minorHAnsi" w:hAnsiTheme="minorHAnsi" w:cstheme="minorHAnsi"/>
        </w:rPr>
        <w:t>will</w:t>
      </w:r>
      <w:r w:rsidR="007837F1" w:rsidRPr="005553DF">
        <w:rPr>
          <w:rFonts w:asciiTheme="minorHAnsi" w:hAnsiTheme="minorHAnsi" w:cstheme="minorHAnsi"/>
        </w:rPr>
        <w:t xml:space="preserve"> ask, “Has a doctor or health professional ever told your child that your child has/had ADD or ADHD?” If the answer is “yes,” a second question </w:t>
      </w:r>
      <w:r w:rsidRPr="005553DF">
        <w:rPr>
          <w:rFonts w:asciiTheme="minorHAnsi" w:hAnsiTheme="minorHAnsi" w:cstheme="minorHAnsi"/>
        </w:rPr>
        <w:t xml:space="preserve">will </w:t>
      </w:r>
      <w:r w:rsidR="007837F1" w:rsidRPr="005553DF">
        <w:rPr>
          <w:rFonts w:asciiTheme="minorHAnsi" w:hAnsiTheme="minorHAnsi" w:cstheme="minorHAnsi"/>
        </w:rPr>
        <w:t xml:space="preserve">ask for a list of medications </w:t>
      </w:r>
      <w:r w:rsidRPr="005553DF">
        <w:rPr>
          <w:rFonts w:asciiTheme="minorHAnsi" w:hAnsiTheme="minorHAnsi" w:cstheme="minorHAnsi"/>
        </w:rPr>
        <w:t xml:space="preserve">the child took </w:t>
      </w:r>
      <w:r w:rsidR="007837F1" w:rsidRPr="005553DF">
        <w:rPr>
          <w:rFonts w:asciiTheme="minorHAnsi" w:hAnsiTheme="minorHAnsi" w:cstheme="minorHAnsi"/>
        </w:rPr>
        <w:t xml:space="preserve">for the condition. </w:t>
      </w:r>
      <w:r w:rsidR="00E00B70" w:rsidRPr="005553DF">
        <w:rPr>
          <w:rFonts w:asciiTheme="minorHAnsi" w:hAnsiTheme="minorHAnsi" w:cstheme="minorHAnsi"/>
        </w:rPr>
        <w:t xml:space="preserve"> </w:t>
      </w:r>
      <w:r w:rsidRPr="005553DF">
        <w:rPr>
          <w:rFonts w:asciiTheme="minorHAnsi" w:hAnsiTheme="minorHAnsi" w:cstheme="minorHAnsi"/>
        </w:rPr>
        <w:t xml:space="preserve">The questionnaire will ask </w:t>
      </w:r>
      <w:r w:rsidR="007837F1" w:rsidRPr="005553DF">
        <w:rPr>
          <w:rFonts w:asciiTheme="minorHAnsi" w:hAnsiTheme="minorHAnsi" w:cstheme="minorHAnsi"/>
        </w:rPr>
        <w:t xml:space="preserve">if the child had learning or behavioral problems, and if so, the type of problem and the treatment used. </w:t>
      </w:r>
      <w:r w:rsidR="00E00B70" w:rsidRPr="005553DF">
        <w:rPr>
          <w:rFonts w:asciiTheme="minorHAnsi" w:hAnsiTheme="minorHAnsi" w:cstheme="minorHAnsi"/>
        </w:rPr>
        <w:t xml:space="preserve"> </w:t>
      </w:r>
      <w:r w:rsidR="007837F1" w:rsidRPr="005553DF">
        <w:rPr>
          <w:rFonts w:asciiTheme="minorHAnsi" w:hAnsiTheme="minorHAnsi" w:cstheme="minorHAnsi"/>
        </w:rPr>
        <w:t xml:space="preserve">Questions would be included for the hypersensitivity-related outcomes, asthma, atopic dermatitis (or atopic eczema), and allergies. </w:t>
      </w:r>
      <w:r w:rsidR="00922EBC" w:rsidRPr="005553DF">
        <w:rPr>
          <w:rFonts w:asciiTheme="minorHAnsi" w:hAnsiTheme="minorHAnsi" w:cstheme="minorHAnsi"/>
        </w:rPr>
        <w:t>The study will attempt to confirm diseases and conditions reported in the questionnaire by accessing medic</w:t>
      </w:r>
      <w:r w:rsidR="00F51A61" w:rsidRPr="005553DF">
        <w:rPr>
          <w:rFonts w:asciiTheme="minorHAnsi" w:hAnsiTheme="minorHAnsi" w:cstheme="minorHAnsi"/>
        </w:rPr>
        <w:t>al records</w:t>
      </w:r>
      <w:r w:rsidR="002E5A05" w:rsidRPr="005553DF">
        <w:rPr>
          <w:rFonts w:asciiTheme="minorHAnsi" w:hAnsiTheme="minorHAnsi" w:cstheme="minorHAnsi"/>
          <w:color w:val="000000"/>
        </w:rPr>
        <w:t xml:space="preserve"> </w:t>
      </w:r>
      <w:r w:rsidR="002E5A05" w:rsidRPr="005553DF">
        <w:rPr>
          <w:rFonts w:asciiTheme="minorHAnsi" w:hAnsiTheme="minorHAnsi" w:cstheme="minorHAnsi"/>
          <w:bCs/>
          <w:iCs/>
          <w:color w:val="000000"/>
        </w:rPr>
        <w:t>(</w:t>
      </w:r>
      <w:r w:rsidR="002E5A05" w:rsidRPr="005553DF">
        <w:rPr>
          <w:rFonts w:asciiTheme="minorHAnsi" w:hAnsiTheme="minorHAnsi" w:cstheme="minorHAnsi"/>
          <w:b/>
          <w:bCs/>
          <w:iCs/>
          <w:color w:val="000000"/>
        </w:rPr>
        <w:t>Attachment</w:t>
      </w:r>
      <w:r w:rsidR="003024EE" w:rsidRPr="005553DF">
        <w:rPr>
          <w:rFonts w:asciiTheme="minorHAnsi" w:hAnsiTheme="minorHAnsi" w:cstheme="minorHAnsi"/>
          <w:b/>
          <w:bCs/>
          <w:iCs/>
          <w:color w:val="000000"/>
        </w:rPr>
        <w:t>s 19&amp;</w:t>
      </w:r>
      <w:r w:rsidR="002E5A05" w:rsidRPr="005553DF">
        <w:rPr>
          <w:rFonts w:asciiTheme="minorHAnsi" w:hAnsiTheme="minorHAnsi" w:cstheme="minorHAnsi"/>
          <w:b/>
          <w:bCs/>
          <w:iCs/>
          <w:color w:val="000000"/>
        </w:rPr>
        <w:t>1</w:t>
      </w:r>
      <w:r w:rsidR="00FF3EDC" w:rsidRPr="005553DF">
        <w:rPr>
          <w:rFonts w:asciiTheme="minorHAnsi" w:hAnsiTheme="minorHAnsi" w:cstheme="minorHAnsi"/>
          <w:b/>
          <w:bCs/>
          <w:iCs/>
          <w:color w:val="000000"/>
        </w:rPr>
        <w:t>9</w:t>
      </w:r>
      <w:r w:rsidR="002B0055" w:rsidRPr="005553DF">
        <w:rPr>
          <w:rFonts w:asciiTheme="minorHAnsi" w:hAnsiTheme="minorHAnsi" w:cstheme="minorHAnsi"/>
          <w:b/>
          <w:bCs/>
          <w:iCs/>
          <w:color w:val="000000"/>
        </w:rPr>
        <w:t>a</w:t>
      </w:r>
      <w:r w:rsidR="002E5A05" w:rsidRPr="005553DF">
        <w:rPr>
          <w:rFonts w:asciiTheme="minorHAnsi" w:hAnsiTheme="minorHAnsi" w:cstheme="minorHAnsi"/>
          <w:bCs/>
          <w:iCs/>
          <w:color w:val="000000"/>
        </w:rPr>
        <w:t>).</w:t>
      </w:r>
    </w:p>
    <w:p w14:paraId="69CF3D81" w14:textId="77777777" w:rsidR="002742E9" w:rsidRPr="005553DF" w:rsidRDefault="002742E9" w:rsidP="005553DF">
      <w:pPr>
        <w:pStyle w:val="Heading5"/>
        <w:spacing w:before="100" w:beforeAutospacing="1" w:after="240" w:line="360" w:lineRule="auto"/>
        <w:rPr>
          <w:rFonts w:asciiTheme="minorHAnsi" w:hAnsiTheme="minorHAnsi" w:cstheme="minorHAnsi"/>
          <w:color w:val="auto"/>
        </w:rPr>
      </w:pPr>
      <w:bookmarkStart w:id="59" w:name="_Toc532224173"/>
      <w:r w:rsidRPr="005553DF">
        <w:rPr>
          <w:rStyle w:val="Heading4Char"/>
          <w:rFonts w:asciiTheme="minorHAnsi" w:hAnsiTheme="minorHAnsi" w:cstheme="minorHAnsi"/>
          <w:color w:val="auto"/>
        </w:rPr>
        <w:t>3.</w:t>
      </w:r>
      <w:r w:rsidR="00B630A2" w:rsidRPr="005553DF">
        <w:rPr>
          <w:rStyle w:val="Heading4Char"/>
          <w:rFonts w:asciiTheme="minorHAnsi" w:hAnsiTheme="minorHAnsi" w:cstheme="minorHAnsi"/>
          <w:color w:val="auto"/>
        </w:rPr>
        <w:t>6</w:t>
      </w:r>
      <w:r w:rsidRPr="005553DF">
        <w:rPr>
          <w:rStyle w:val="Heading4Char"/>
          <w:rFonts w:asciiTheme="minorHAnsi" w:hAnsiTheme="minorHAnsi" w:cstheme="minorHAnsi"/>
          <w:color w:val="auto"/>
        </w:rPr>
        <w:t>.</w:t>
      </w:r>
      <w:r w:rsidR="009210EE" w:rsidRPr="005553DF">
        <w:rPr>
          <w:rStyle w:val="Heading4Char"/>
          <w:rFonts w:asciiTheme="minorHAnsi" w:hAnsiTheme="minorHAnsi" w:cstheme="minorHAnsi"/>
          <w:color w:val="auto"/>
        </w:rPr>
        <w:t>5</w:t>
      </w:r>
      <w:r w:rsidRPr="005553DF">
        <w:rPr>
          <w:rStyle w:val="Heading4Char"/>
          <w:rFonts w:asciiTheme="minorHAnsi" w:hAnsiTheme="minorHAnsi" w:cstheme="minorHAnsi"/>
          <w:color w:val="auto"/>
        </w:rPr>
        <w:t xml:space="preserve">.1.1 </w:t>
      </w:r>
      <w:r w:rsidR="00575B83" w:rsidRPr="005553DF">
        <w:rPr>
          <w:rStyle w:val="Heading4Char"/>
          <w:rFonts w:asciiTheme="minorHAnsi" w:hAnsiTheme="minorHAnsi" w:cstheme="minorHAnsi"/>
          <w:color w:val="auto"/>
        </w:rPr>
        <w:t>Child</w:t>
      </w:r>
      <w:r w:rsidR="00187A55" w:rsidRPr="005553DF">
        <w:rPr>
          <w:rStyle w:val="Heading4Char"/>
          <w:rFonts w:asciiTheme="minorHAnsi" w:hAnsiTheme="minorHAnsi" w:cstheme="minorHAnsi"/>
          <w:color w:val="auto"/>
        </w:rPr>
        <w:t>/Parent</w:t>
      </w:r>
      <w:r w:rsidR="00575B83" w:rsidRPr="005553DF">
        <w:rPr>
          <w:rStyle w:val="Heading4Char"/>
          <w:rFonts w:asciiTheme="minorHAnsi" w:hAnsiTheme="minorHAnsi" w:cstheme="minorHAnsi"/>
          <w:color w:val="auto"/>
        </w:rPr>
        <w:t xml:space="preserve"> </w:t>
      </w:r>
      <w:r w:rsidRPr="005553DF">
        <w:rPr>
          <w:rStyle w:val="Heading4Char"/>
          <w:rFonts w:asciiTheme="minorHAnsi" w:hAnsiTheme="minorHAnsi" w:cstheme="minorHAnsi"/>
          <w:color w:val="auto"/>
        </w:rPr>
        <w:t>Neurobehavioral</w:t>
      </w:r>
      <w:r w:rsidRPr="005553DF">
        <w:rPr>
          <w:rFonts w:asciiTheme="minorHAnsi" w:hAnsiTheme="minorHAnsi" w:cstheme="minorHAnsi"/>
          <w:color w:val="auto"/>
        </w:rPr>
        <w:t xml:space="preserve"> </w:t>
      </w:r>
      <w:r w:rsidR="006A7D03" w:rsidRPr="005553DF">
        <w:rPr>
          <w:rFonts w:asciiTheme="minorHAnsi" w:hAnsiTheme="minorHAnsi" w:cstheme="minorHAnsi"/>
          <w:color w:val="auto"/>
        </w:rPr>
        <w:t>Assessment</w:t>
      </w:r>
      <w:r w:rsidR="00B40336" w:rsidRPr="005553DF">
        <w:rPr>
          <w:rFonts w:asciiTheme="minorHAnsi" w:hAnsiTheme="minorHAnsi" w:cstheme="minorHAnsi"/>
          <w:color w:val="auto"/>
        </w:rPr>
        <w:t>s</w:t>
      </w:r>
      <w:bookmarkEnd w:id="59"/>
    </w:p>
    <w:p w14:paraId="4E776231" w14:textId="77777777" w:rsidR="003E1F85" w:rsidRPr="005553DF" w:rsidRDefault="00610F98" w:rsidP="005553DF">
      <w:pPr>
        <w:spacing w:before="240" w:beforeAutospacing="1" w:after="240" w:line="360" w:lineRule="auto"/>
        <w:jc w:val="both"/>
        <w:rPr>
          <w:rFonts w:asciiTheme="minorHAnsi" w:hAnsiTheme="minorHAnsi" w:cstheme="minorHAnsi"/>
        </w:rPr>
      </w:pPr>
      <w:r w:rsidRPr="005553DF">
        <w:rPr>
          <w:rFonts w:asciiTheme="minorHAnsi" w:hAnsiTheme="minorHAnsi" w:cstheme="minorHAnsi"/>
          <w:b/>
        </w:rPr>
        <w:t>Table 3</w:t>
      </w:r>
      <w:r w:rsidRPr="005553DF">
        <w:rPr>
          <w:rFonts w:asciiTheme="minorHAnsi" w:hAnsiTheme="minorHAnsi" w:cstheme="minorHAnsi"/>
        </w:rPr>
        <w:t xml:space="preserve"> provides the neurobehavioral test battery</w:t>
      </w:r>
      <w:r w:rsidR="00D969DC" w:rsidRPr="005553DF">
        <w:rPr>
          <w:rFonts w:asciiTheme="minorHAnsi" w:hAnsiTheme="minorHAnsi" w:cstheme="minorHAnsi"/>
        </w:rPr>
        <w:t xml:space="preserve"> for children enrolled in the Pease Study.</w:t>
      </w:r>
      <w:r w:rsidRPr="005553DF">
        <w:rPr>
          <w:rFonts w:asciiTheme="minorHAnsi" w:hAnsiTheme="minorHAnsi" w:cstheme="minorHAnsi"/>
        </w:rPr>
        <w:t xml:space="preserve"> </w:t>
      </w:r>
    </w:p>
    <w:p w14:paraId="54FED3F5" w14:textId="77777777" w:rsidR="002B3DC2" w:rsidRPr="005553DF" w:rsidRDefault="00D522E3" w:rsidP="005553DF">
      <w:pPr>
        <w:spacing w:before="240" w:beforeAutospacing="1" w:after="240" w:line="360" w:lineRule="auto"/>
        <w:jc w:val="both"/>
        <w:rPr>
          <w:rFonts w:asciiTheme="minorHAnsi" w:hAnsiTheme="minorHAnsi" w:cstheme="minorHAnsi"/>
        </w:rPr>
      </w:pPr>
      <w:r w:rsidRPr="005553DF">
        <w:rPr>
          <w:rFonts w:asciiTheme="minorHAnsi" w:hAnsiTheme="minorHAnsi" w:cstheme="minorHAnsi"/>
        </w:rPr>
        <w:t>Trained professionals</w:t>
      </w:r>
      <w:r w:rsidR="003E1F85" w:rsidRPr="005553DF">
        <w:rPr>
          <w:rFonts w:asciiTheme="minorHAnsi" w:hAnsiTheme="minorHAnsi" w:cstheme="minorHAnsi"/>
        </w:rPr>
        <w:t xml:space="preserve"> will administer the following tests to children</w:t>
      </w:r>
      <w:r w:rsidR="002B3DC2" w:rsidRPr="005553DF">
        <w:rPr>
          <w:rFonts w:asciiTheme="minorHAnsi" w:hAnsiTheme="minorHAnsi" w:cstheme="minorHAnsi"/>
        </w:rPr>
        <w:t>:</w:t>
      </w:r>
    </w:p>
    <w:p w14:paraId="4F1635E5" w14:textId="77777777" w:rsidR="002B3DC2" w:rsidRPr="005553DF" w:rsidRDefault="003E1F85" w:rsidP="005553DF">
      <w:pPr>
        <w:pStyle w:val="ListParagraph"/>
        <w:numPr>
          <w:ilvl w:val="0"/>
          <w:numId w:val="54"/>
        </w:numPr>
        <w:spacing w:before="240" w:beforeAutospacing="1" w:after="240" w:line="360" w:lineRule="auto"/>
        <w:jc w:val="both"/>
      </w:pPr>
      <w:r w:rsidRPr="005553DF">
        <w:t>T</w:t>
      </w:r>
      <w:r w:rsidR="00D969DC" w:rsidRPr="005553DF">
        <w:t xml:space="preserve">he </w:t>
      </w:r>
      <w:r w:rsidRPr="005553DF">
        <w:rPr>
          <w:rFonts w:cs="Calibri"/>
        </w:rPr>
        <w:t>Wechsler Abbreviated Scale of Intelligence – 2</w:t>
      </w:r>
      <w:r w:rsidRPr="005553DF">
        <w:rPr>
          <w:rFonts w:cs="Calibri"/>
          <w:vertAlign w:val="superscript"/>
        </w:rPr>
        <w:t>nd</w:t>
      </w:r>
      <w:r w:rsidR="002B3DC2" w:rsidRPr="005553DF">
        <w:rPr>
          <w:rFonts w:cs="Calibri"/>
        </w:rPr>
        <w:t xml:space="preserve"> E</w:t>
      </w:r>
      <w:r w:rsidRPr="005553DF">
        <w:rPr>
          <w:rFonts w:cs="Calibri"/>
        </w:rPr>
        <w:t>dition (</w:t>
      </w:r>
      <w:r w:rsidR="00D969DC" w:rsidRPr="005553DF">
        <w:t>WASI – II</w:t>
      </w:r>
      <w:r w:rsidRPr="005553DF">
        <w:t>)</w:t>
      </w:r>
      <w:r w:rsidR="00D969DC" w:rsidRPr="005553DF">
        <w:t xml:space="preserve"> test will be administered</w:t>
      </w:r>
      <w:r w:rsidRPr="005553DF">
        <w:t xml:space="preserve"> to measure </w:t>
      </w:r>
      <w:r w:rsidR="002A37D5" w:rsidRPr="005553DF">
        <w:t>F</w:t>
      </w:r>
      <w:r w:rsidRPr="005553DF">
        <w:t xml:space="preserve">ull </w:t>
      </w:r>
      <w:r w:rsidR="002A37D5" w:rsidRPr="005553DF">
        <w:t>S</w:t>
      </w:r>
      <w:r w:rsidRPr="005553DF">
        <w:t xml:space="preserve">cale IQ </w:t>
      </w:r>
      <w:r w:rsidR="002A37D5" w:rsidRPr="005553DF">
        <w:t xml:space="preserve">(FSIQ) </w:t>
      </w:r>
      <w:r w:rsidRPr="005553DF">
        <w:t>among children 6-17 years</w:t>
      </w:r>
      <w:r w:rsidR="002B3DC2" w:rsidRPr="005553DF">
        <w:t xml:space="preserve"> (15 minutes). Intelligence testing of children aged 4 – 5 years will not be conducted.</w:t>
      </w:r>
    </w:p>
    <w:p w14:paraId="221E6E81" w14:textId="018B5A6D" w:rsidR="002B3DC2" w:rsidRPr="005553DF" w:rsidRDefault="002742E9" w:rsidP="005553DF">
      <w:pPr>
        <w:pStyle w:val="ListParagraph"/>
        <w:numPr>
          <w:ilvl w:val="0"/>
          <w:numId w:val="54"/>
        </w:numPr>
        <w:spacing w:before="240" w:beforeAutospacing="1" w:after="240" w:line="360" w:lineRule="auto"/>
        <w:jc w:val="both"/>
      </w:pPr>
      <w:r w:rsidRPr="005553DF">
        <w:rPr>
          <w:rFonts w:asciiTheme="minorHAnsi" w:hAnsiTheme="minorHAnsi" w:cstheme="minorHAnsi"/>
        </w:rPr>
        <w:t xml:space="preserve">Each child </w:t>
      </w:r>
      <w:r w:rsidR="009941F6" w:rsidRPr="005553DF">
        <w:rPr>
          <w:rFonts w:asciiTheme="minorHAnsi" w:hAnsiTheme="minorHAnsi" w:cstheme="minorHAnsi"/>
        </w:rPr>
        <w:t xml:space="preserve">4-16 years </w:t>
      </w:r>
      <w:r w:rsidRPr="005553DF">
        <w:rPr>
          <w:rFonts w:asciiTheme="minorHAnsi" w:hAnsiTheme="minorHAnsi" w:cstheme="minorHAnsi"/>
        </w:rPr>
        <w:t xml:space="preserve">will complete the NEPSY-II </w:t>
      </w:r>
      <w:r w:rsidR="006736CB" w:rsidRPr="005553DF">
        <w:rPr>
          <w:rFonts w:asciiTheme="minorHAnsi" w:hAnsiTheme="minorHAnsi" w:cstheme="minorHAnsi"/>
          <w:bCs/>
          <w:iCs/>
          <w:color w:val="000000"/>
        </w:rPr>
        <w:t>selected tests.</w:t>
      </w:r>
      <w:r w:rsidR="00E771F8" w:rsidRPr="005553DF">
        <w:rPr>
          <w:rFonts w:asciiTheme="minorHAnsi" w:hAnsiTheme="minorHAnsi" w:cstheme="minorHAnsi"/>
          <w:bCs/>
          <w:iCs/>
          <w:color w:val="000000"/>
        </w:rPr>
        <w:t xml:space="preserve"> </w:t>
      </w:r>
      <w:r w:rsidR="00E771F8" w:rsidRPr="005553DF">
        <w:t>Except for Theory of M</w:t>
      </w:r>
      <w:r w:rsidR="00674F54" w:rsidRPr="005553DF">
        <w:t xml:space="preserve">ind, these </w:t>
      </w:r>
      <w:r w:rsidR="004F06A8" w:rsidRPr="005553DF">
        <w:t xml:space="preserve">additional tests </w:t>
      </w:r>
      <w:r w:rsidR="00E771F8" w:rsidRPr="005553DF">
        <w:t>are short</w:t>
      </w:r>
      <w:r w:rsidR="00674F54" w:rsidRPr="005553DF">
        <w:t xml:space="preserve"> and useful to assess </w:t>
      </w:r>
      <w:r w:rsidR="00E771F8" w:rsidRPr="005553DF">
        <w:t>memory and inhibition.  For</w:t>
      </w:r>
      <w:r w:rsidR="00674F54" w:rsidRPr="005553DF">
        <w:t xml:space="preserve"> all the NEPSY –</w:t>
      </w:r>
      <w:r w:rsidR="00472E0D" w:rsidRPr="005553DF">
        <w:t xml:space="preserve"> II tests, children 4</w:t>
      </w:r>
      <w:r w:rsidR="00E771F8" w:rsidRPr="005553DF">
        <w:t xml:space="preserve"> years would </w:t>
      </w:r>
      <w:r w:rsidR="00E633A5" w:rsidRPr="005553DF">
        <w:t>take about 52 minutes</w:t>
      </w:r>
      <w:r w:rsidR="00E771F8" w:rsidRPr="005553DF">
        <w:t xml:space="preserve">, and </w:t>
      </w:r>
      <w:r w:rsidR="00674F54" w:rsidRPr="005553DF">
        <w:t>childr</w:t>
      </w:r>
      <w:r w:rsidR="006C2772" w:rsidRPr="005553DF">
        <w:t>en ≥5</w:t>
      </w:r>
      <w:r w:rsidR="00E633A5" w:rsidRPr="005553DF">
        <w:t xml:space="preserve"> years, about 7</w:t>
      </w:r>
      <w:r w:rsidR="00674F54" w:rsidRPr="005553DF">
        <w:t>0 minutes.</w:t>
      </w:r>
    </w:p>
    <w:p w14:paraId="04821C50" w14:textId="77777777" w:rsidR="003E1F85" w:rsidRPr="005553DF" w:rsidRDefault="002742E9" w:rsidP="005553DF">
      <w:pPr>
        <w:pStyle w:val="ListParagraph"/>
        <w:numPr>
          <w:ilvl w:val="0"/>
          <w:numId w:val="54"/>
        </w:numPr>
        <w:spacing w:before="240" w:beforeAutospacing="1" w:after="240" w:line="360" w:lineRule="auto"/>
        <w:jc w:val="both"/>
      </w:pPr>
      <w:r w:rsidRPr="005553DF">
        <w:rPr>
          <w:rFonts w:asciiTheme="minorHAnsi" w:hAnsiTheme="minorHAnsi" w:cstheme="minorHAnsi"/>
          <w:bCs/>
          <w:iCs/>
          <w:color w:val="000000"/>
        </w:rPr>
        <w:t>Children aged 4 – 7 years will complete the Connors Kiddie Continuous Performance Test (</w:t>
      </w:r>
      <w:r w:rsidR="000603AA" w:rsidRPr="005553DF">
        <w:rPr>
          <w:rFonts w:asciiTheme="minorHAnsi" w:hAnsiTheme="minorHAnsi" w:cstheme="minorHAnsi"/>
          <w:bCs/>
          <w:iCs/>
          <w:color w:val="000000"/>
        </w:rPr>
        <w:t>K-</w:t>
      </w:r>
      <w:r w:rsidRPr="005553DF">
        <w:rPr>
          <w:rFonts w:asciiTheme="minorHAnsi" w:hAnsiTheme="minorHAnsi" w:cstheme="minorHAnsi"/>
          <w:bCs/>
          <w:iCs/>
          <w:color w:val="000000"/>
        </w:rPr>
        <w:t>CPT – 2</w:t>
      </w:r>
      <w:r w:rsidR="000603AA" w:rsidRPr="005553DF">
        <w:rPr>
          <w:rFonts w:asciiTheme="minorHAnsi" w:hAnsiTheme="minorHAnsi" w:cstheme="minorHAnsi"/>
          <w:bCs/>
          <w:iCs/>
          <w:color w:val="000000"/>
        </w:rPr>
        <w:t>)</w:t>
      </w:r>
      <w:r w:rsidR="002B3DC2" w:rsidRPr="005553DF">
        <w:rPr>
          <w:rFonts w:asciiTheme="minorHAnsi" w:hAnsiTheme="minorHAnsi" w:cstheme="minorHAnsi"/>
          <w:bCs/>
          <w:iCs/>
          <w:color w:val="000000"/>
        </w:rPr>
        <w:t xml:space="preserve"> (</w:t>
      </w:r>
      <w:r w:rsidR="002C2864" w:rsidRPr="005553DF">
        <w:rPr>
          <w:rFonts w:asciiTheme="minorHAnsi" w:hAnsiTheme="minorHAnsi" w:cstheme="minorHAnsi"/>
          <w:bCs/>
          <w:iCs/>
          <w:color w:val="000000"/>
        </w:rPr>
        <w:t>8</w:t>
      </w:r>
      <w:r w:rsidR="002B3DC2" w:rsidRPr="005553DF">
        <w:rPr>
          <w:rFonts w:asciiTheme="minorHAnsi" w:hAnsiTheme="minorHAnsi" w:cstheme="minorHAnsi"/>
          <w:bCs/>
          <w:iCs/>
          <w:color w:val="000000"/>
        </w:rPr>
        <w:t xml:space="preserve"> minutes)</w:t>
      </w:r>
      <w:r w:rsidRPr="005553DF">
        <w:rPr>
          <w:rFonts w:asciiTheme="minorHAnsi" w:hAnsiTheme="minorHAnsi" w:cstheme="minorHAnsi"/>
          <w:bCs/>
          <w:iCs/>
          <w:color w:val="000000"/>
        </w:rPr>
        <w:t>, and children aged &gt;7 years will complete the Connors CPT – 3</w:t>
      </w:r>
      <w:r w:rsidR="002B3DC2" w:rsidRPr="005553DF">
        <w:rPr>
          <w:rFonts w:asciiTheme="minorHAnsi" w:hAnsiTheme="minorHAnsi" w:cstheme="minorHAnsi"/>
          <w:bCs/>
          <w:iCs/>
          <w:color w:val="000000"/>
        </w:rPr>
        <w:t xml:space="preserve"> (14 minutes)</w:t>
      </w:r>
      <w:r w:rsidRPr="005553DF">
        <w:rPr>
          <w:rFonts w:asciiTheme="minorHAnsi" w:hAnsiTheme="minorHAnsi" w:cstheme="minorHAnsi"/>
          <w:bCs/>
          <w:iCs/>
          <w:color w:val="000000"/>
        </w:rPr>
        <w:t xml:space="preserve">. </w:t>
      </w:r>
    </w:p>
    <w:p w14:paraId="0E84ED8D" w14:textId="77777777" w:rsidR="002B3DC2" w:rsidRPr="005553DF" w:rsidRDefault="00D522E3" w:rsidP="005553DF">
      <w:p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Trained professionals</w:t>
      </w:r>
      <w:r w:rsidR="00CC3739" w:rsidRPr="005553DF">
        <w:rPr>
          <w:rFonts w:asciiTheme="minorHAnsi" w:hAnsiTheme="minorHAnsi" w:cstheme="minorHAnsi"/>
          <w:bCs/>
          <w:iCs/>
          <w:color w:val="000000"/>
        </w:rPr>
        <w:t xml:space="preserve"> will administer the </w:t>
      </w:r>
      <w:r w:rsidR="002B3DC2" w:rsidRPr="005553DF">
        <w:rPr>
          <w:rFonts w:asciiTheme="minorHAnsi" w:hAnsiTheme="minorHAnsi" w:cstheme="minorHAnsi"/>
          <w:bCs/>
          <w:iCs/>
          <w:color w:val="000000"/>
        </w:rPr>
        <w:t>following tests to parents about their children:</w:t>
      </w:r>
    </w:p>
    <w:p w14:paraId="1C99EE73" w14:textId="77777777" w:rsidR="002B3DC2" w:rsidRPr="005553DF" w:rsidRDefault="00CC3739" w:rsidP="005553DF">
      <w:pPr>
        <w:pStyle w:val="ListParagraph"/>
        <w:numPr>
          <w:ilvl w:val="0"/>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Strengths and Difficulties Questionnaire (SDQ)</w:t>
      </w:r>
      <w:r w:rsidR="002B3DC2" w:rsidRPr="005553DF">
        <w:rPr>
          <w:rFonts w:asciiTheme="minorHAnsi" w:hAnsiTheme="minorHAnsi" w:cstheme="minorHAnsi"/>
          <w:bCs/>
          <w:iCs/>
          <w:color w:val="000000"/>
        </w:rPr>
        <w:t xml:space="preserve"> (5 minutes).</w:t>
      </w:r>
    </w:p>
    <w:p w14:paraId="585D7C68" w14:textId="77777777" w:rsidR="002B3DC2" w:rsidRPr="005553DF" w:rsidRDefault="00CC3739" w:rsidP="005553DF">
      <w:pPr>
        <w:pStyle w:val="ListParagraph"/>
        <w:numPr>
          <w:ilvl w:val="0"/>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Behavior Rating Inventory of Executive Function</w:t>
      </w:r>
      <w:r w:rsidR="00187A55" w:rsidRPr="005553DF">
        <w:t>®</w:t>
      </w:r>
      <w:r w:rsidRPr="005553DF">
        <w:rPr>
          <w:rFonts w:asciiTheme="minorHAnsi" w:hAnsiTheme="minorHAnsi" w:cstheme="minorHAnsi"/>
          <w:bCs/>
          <w:iCs/>
          <w:color w:val="000000"/>
        </w:rPr>
        <w:t xml:space="preserve"> (BRIEF</w:t>
      </w:r>
      <w:r w:rsidR="00187A55" w:rsidRPr="005553DF">
        <w:t>®</w:t>
      </w:r>
      <w:r w:rsidRPr="005553DF">
        <w:rPr>
          <w:rFonts w:asciiTheme="minorHAnsi" w:hAnsiTheme="minorHAnsi" w:cstheme="minorHAnsi"/>
          <w:bCs/>
          <w:iCs/>
          <w:color w:val="000000"/>
        </w:rPr>
        <w:t>) to assess the child’s emotional, conduct, and peer relationship problems as well as problems with hyperactivity, inattention and executive function.</w:t>
      </w:r>
    </w:p>
    <w:p w14:paraId="157A7854" w14:textId="77777777" w:rsidR="002B3DC2" w:rsidRPr="005553DF" w:rsidRDefault="00B65197" w:rsidP="005553DF">
      <w:pPr>
        <w:pStyle w:val="ListParagraph"/>
        <w:numPr>
          <w:ilvl w:val="1"/>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Parents of children aged 4 – 5 years will complete the </w:t>
      </w:r>
      <w:r w:rsidR="00187A55" w:rsidRPr="005553DF">
        <w:rPr>
          <w:rFonts w:asciiTheme="minorHAnsi" w:hAnsiTheme="minorHAnsi" w:cstheme="minorHAnsi"/>
          <w:bCs/>
          <w:iCs/>
          <w:color w:val="000000"/>
        </w:rPr>
        <w:t>preschool version (</w:t>
      </w:r>
      <w:r w:rsidR="00187A55" w:rsidRPr="005553DF">
        <w:t>BRIEF®-P</w:t>
      </w:r>
      <w:r w:rsidR="00187A55" w:rsidRPr="005553DF">
        <w:rPr>
          <w:rFonts w:asciiTheme="minorHAnsi" w:hAnsiTheme="minorHAnsi" w:cstheme="minorHAnsi"/>
          <w:bCs/>
          <w:iCs/>
          <w:color w:val="000000"/>
        </w:rPr>
        <w:t>)</w:t>
      </w:r>
      <w:r w:rsidR="002B3DC2" w:rsidRPr="005553DF">
        <w:rPr>
          <w:rFonts w:asciiTheme="minorHAnsi" w:hAnsiTheme="minorHAnsi" w:cstheme="minorHAnsi"/>
          <w:bCs/>
          <w:iCs/>
          <w:color w:val="000000"/>
        </w:rPr>
        <w:t xml:space="preserve"> (10 minutes).</w:t>
      </w:r>
    </w:p>
    <w:p w14:paraId="1666DA20" w14:textId="77777777" w:rsidR="002B3DC2" w:rsidRPr="005553DF" w:rsidRDefault="002B3DC2" w:rsidP="005553DF">
      <w:pPr>
        <w:pStyle w:val="ListParagraph"/>
        <w:numPr>
          <w:ilvl w:val="1"/>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P</w:t>
      </w:r>
      <w:r w:rsidR="00B65197" w:rsidRPr="005553DF">
        <w:rPr>
          <w:rFonts w:asciiTheme="minorHAnsi" w:hAnsiTheme="minorHAnsi" w:cstheme="minorHAnsi"/>
          <w:bCs/>
          <w:iCs/>
          <w:color w:val="000000"/>
        </w:rPr>
        <w:t>arents of children aged &gt;5 years will complete the BRIEF</w:t>
      </w:r>
      <w:r w:rsidR="00187A55" w:rsidRPr="005553DF">
        <w:t>®</w:t>
      </w:r>
      <w:r w:rsidRPr="005553DF">
        <w:rPr>
          <w:rFonts w:asciiTheme="minorHAnsi" w:hAnsiTheme="minorHAnsi" w:cstheme="minorHAnsi"/>
          <w:bCs/>
          <w:iCs/>
          <w:color w:val="000000"/>
        </w:rPr>
        <w:t xml:space="preserve"> (10 minutes)</w:t>
      </w:r>
      <w:r w:rsidR="00B65197" w:rsidRPr="005553DF">
        <w:rPr>
          <w:rFonts w:asciiTheme="minorHAnsi" w:hAnsiTheme="minorHAnsi" w:cstheme="minorHAnsi"/>
          <w:bCs/>
          <w:iCs/>
          <w:color w:val="000000"/>
        </w:rPr>
        <w:t>.</w:t>
      </w:r>
    </w:p>
    <w:p w14:paraId="02CACC87" w14:textId="77777777" w:rsidR="00F30759" w:rsidRPr="005553DF" w:rsidRDefault="001E46CB" w:rsidP="005553DF">
      <w:p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w:t>
      </w:r>
      <w:r w:rsidR="00EB69ED" w:rsidRPr="005553DF">
        <w:rPr>
          <w:rFonts w:asciiTheme="minorHAnsi" w:hAnsiTheme="minorHAnsi" w:cstheme="minorHAnsi"/>
          <w:bCs/>
          <w:iCs/>
          <w:color w:val="000000"/>
        </w:rPr>
        <w:t xml:space="preserve"> summary</w:t>
      </w:r>
      <w:r w:rsidR="00CC3739" w:rsidRPr="005553DF">
        <w:rPr>
          <w:rFonts w:asciiTheme="minorHAnsi" w:hAnsiTheme="minorHAnsi" w:cstheme="minorHAnsi"/>
          <w:bCs/>
          <w:iCs/>
          <w:color w:val="000000"/>
        </w:rPr>
        <w:t xml:space="preserve"> of the</w:t>
      </w:r>
      <w:r w:rsidR="001E2D17" w:rsidRPr="005553DF">
        <w:rPr>
          <w:rFonts w:asciiTheme="minorHAnsi" w:hAnsiTheme="minorHAnsi" w:cstheme="minorHAnsi"/>
          <w:bCs/>
          <w:iCs/>
          <w:color w:val="000000"/>
        </w:rPr>
        <w:t xml:space="preserve"> neurobehavioral</w:t>
      </w:r>
      <w:r w:rsidR="00CC3739" w:rsidRPr="005553DF">
        <w:rPr>
          <w:rFonts w:asciiTheme="minorHAnsi" w:hAnsiTheme="minorHAnsi" w:cstheme="minorHAnsi"/>
          <w:bCs/>
          <w:iCs/>
          <w:color w:val="000000"/>
        </w:rPr>
        <w:t xml:space="preserve"> te</w:t>
      </w:r>
      <w:r w:rsidR="00B65197" w:rsidRPr="005553DF">
        <w:rPr>
          <w:rFonts w:asciiTheme="minorHAnsi" w:hAnsiTheme="minorHAnsi" w:cstheme="minorHAnsi"/>
          <w:bCs/>
          <w:iCs/>
          <w:color w:val="000000"/>
        </w:rPr>
        <w:t>st battery</w:t>
      </w:r>
      <w:r w:rsidR="009941F6" w:rsidRPr="005553DF">
        <w:rPr>
          <w:rFonts w:asciiTheme="minorHAnsi" w:hAnsiTheme="minorHAnsi" w:cstheme="minorHAnsi"/>
          <w:bCs/>
          <w:iCs/>
          <w:color w:val="000000"/>
        </w:rPr>
        <w:t xml:space="preserve"> is</w:t>
      </w:r>
      <w:r w:rsidR="001E2D17" w:rsidRPr="005553DF">
        <w:rPr>
          <w:rFonts w:asciiTheme="minorHAnsi" w:hAnsiTheme="minorHAnsi" w:cstheme="minorHAnsi"/>
          <w:bCs/>
          <w:iCs/>
          <w:color w:val="000000"/>
        </w:rPr>
        <w:t xml:space="preserve"> found in </w:t>
      </w:r>
      <w:r w:rsidR="001E2D17" w:rsidRPr="005553DF">
        <w:rPr>
          <w:rFonts w:asciiTheme="minorHAnsi" w:hAnsiTheme="minorHAnsi" w:cstheme="minorHAnsi"/>
          <w:b/>
          <w:bCs/>
          <w:iCs/>
        </w:rPr>
        <w:t xml:space="preserve">Attachment </w:t>
      </w:r>
      <w:r w:rsidR="002944DE" w:rsidRPr="005553DF">
        <w:rPr>
          <w:rFonts w:asciiTheme="minorHAnsi" w:hAnsiTheme="minorHAnsi" w:cstheme="minorHAnsi"/>
          <w:b/>
          <w:bCs/>
          <w:iCs/>
        </w:rPr>
        <w:t>20</w:t>
      </w:r>
      <w:r w:rsidR="001E2D17" w:rsidRPr="005553DF">
        <w:rPr>
          <w:rFonts w:asciiTheme="minorHAnsi" w:hAnsiTheme="minorHAnsi" w:cstheme="minorHAnsi"/>
          <w:bCs/>
          <w:iCs/>
        </w:rPr>
        <w:t>.</w:t>
      </w:r>
      <w:r w:rsidR="002742E9" w:rsidRPr="005553DF">
        <w:rPr>
          <w:rFonts w:asciiTheme="minorHAnsi" w:hAnsiTheme="minorHAnsi" w:cstheme="minorHAnsi"/>
          <w:bCs/>
          <w:iCs/>
          <w:color w:val="000000"/>
        </w:rPr>
        <w:t xml:space="preserve"> </w:t>
      </w:r>
      <w:r w:rsidR="00F30759" w:rsidRPr="005553DF">
        <w:rPr>
          <w:rFonts w:asciiTheme="minorHAnsi" w:hAnsiTheme="minorHAnsi" w:cstheme="minorHAnsi"/>
          <w:bCs/>
          <w:iCs/>
          <w:color w:val="000000"/>
        </w:rPr>
        <w:t>Each child will spend an average of 90 minutes to complete the child battery of tests. Each parent will spend an</w:t>
      </w:r>
      <w:r w:rsidR="009D3821" w:rsidRPr="005553DF">
        <w:rPr>
          <w:rFonts w:asciiTheme="minorHAnsi" w:hAnsiTheme="minorHAnsi" w:cstheme="minorHAnsi"/>
          <w:bCs/>
          <w:iCs/>
          <w:color w:val="000000"/>
        </w:rPr>
        <w:t xml:space="preserve"> average of 1</w:t>
      </w:r>
      <w:r w:rsidR="00F30759" w:rsidRPr="005553DF">
        <w:rPr>
          <w:rFonts w:asciiTheme="minorHAnsi" w:hAnsiTheme="minorHAnsi" w:cstheme="minorHAnsi"/>
          <w:bCs/>
          <w:iCs/>
          <w:color w:val="000000"/>
        </w:rPr>
        <w:t>5 minutes to complete the parent battery of tests. Overall, each parent/child pair will take 105 minutes to complete the</w:t>
      </w:r>
      <w:r w:rsidR="00470AC8" w:rsidRPr="005553DF">
        <w:rPr>
          <w:rFonts w:asciiTheme="minorHAnsi" w:hAnsiTheme="minorHAnsi" w:cstheme="minorHAnsi"/>
          <w:bCs/>
          <w:iCs/>
          <w:color w:val="000000"/>
        </w:rPr>
        <w:t xml:space="preserve"> </w:t>
      </w:r>
      <w:r w:rsidR="00F30759" w:rsidRPr="005553DF">
        <w:rPr>
          <w:rFonts w:asciiTheme="minorHAnsi" w:hAnsiTheme="minorHAnsi" w:cstheme="minorHAnsi"/>
          <w:bCs/>
          <w:iCs/>
          <w:color w:val="000000"/>
        </w:rPr>
        <w:t>neurobehavioral test battery (</w:t>
      </w:r>
      <w:r w:rsidR="002944DE" w:rsidRPr="005553DF">
        <w:rPr>
          <w:rFonts w:asciiTheme="minorHAnsi" w:hAnsiTheme="minorHAnsi" w:cstheme="minorHAnsi"/>
          <w:b/>
          <w:bCs/>
          <w:iCs/>
          <w:color w:val="000000"/>
        </w:rPr>
        <w:t>Attachment 20</w:t>
      </w:r>
      <w:r w:rsidR="00F30759" w:rsidRPr="005553DF">
        <w:rPr>
          <w:rFonts w:asciiTheme="minorHAnsi" w:hAnsiTheme="minorHAnsi" w:cstheme="minorHAnsi"/>
          <w:b/>
          <w:bCs/>
          <w:iCs/>
          <w:color w:val="000000"/>
        </w:rPr>
        <w:t>a</w:t>
      </w:r>
      <w:r w:rsidR="00F30759" w:rsidRPr="005553DF">
        <w:rPr>
          <w:rFonts w:asciiTheme="minorHAnsi" w:hAnsiTheme="minorHAnsi" w:cstheme="minorHAnsi"/>
          <w:bCs/>
          <w:iCs/>
          <w:color w:val="000000"/>
        </w:rPr>
        <w:t>).</w:t>
      </w:r>
    </w:p>
    <w:p w14:paraId="391514C9" w14:textId="77777777" w:rsidR="00610F98" w:rsidRPr="005553DF" w:rsidRDefault="00610F98" w:rsidP="005553DF">
      <w:pPr>
        <w:spacing w:before="240" w:beforeAutospacing="1" w:after="0" w:line="360" w:lineRule="auto"/>
        <w:jc w:val="both"/>
        <w:rPr>
          <w:rFonts w:asciiTheme="minorHAnsi" w:hAnsiTheme="minorHAnsi" w:cstheme="minorHAnsi"/>
          <w:b/>
          <w:bCs/>
          <w:iCs/>
          <w:color w:val="000000"/>
        </w:rPr>
      </w:pPr>
      <w:r w:rsidRPr="005553DF">
        <w:rPr>
          <w:rFonts w:asciiTheme="minorHAnsi" w:hAnsiTheme="minorHAnsi" w:cstheme="minorHAnsi"/>
          <w:b/>
          <w:bCs/>
          <w:iCs/>
          <w:color w:val="000000"/>
        </w:rPr>
        <w:t>Table 3. 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008A3EC6" w:rsidRPr="005553DF" w14:paraId="1ECF8AE2" w14:textId="77777777" w:rsidTr="00C10B11">
        <w:tc>
          <w:tcPr>
            <w:tcW w:w="2070" w:type="dxa"/>
            <w:vAlign w:val="center"/>
          </w:tcPr>
          <w:p w14:paraId="78CB3045" w14:textId="77777777" w:rsidR="009C75D3" w:rsidRPr="005553DF" w:rsidRDefault="009C75D3" w:rsidP="005553DF">
            <w:pPr>
              <w:jc w:val="center"/>
              <w:rPr>
                <w:b/>
              </w:rPr>
            </w:pPr>
            <w:r w:rsidRPr="005553DF">
              <w:rPr>
                <w:b/>
              </w:rPr>
              <w:t>Neurobehavioral Test</w:t>
            </w:r>
          </w:p>
        </w:tc>
        <w:tc>
          <w:tcPr>
            <w:tcW w:w="3060" w:type="dxa"/>
            <w:vAlign w:val="center"/>
          </w:tcPr>
          <w:p w14:paraId="2607C253" w14:textId="77777777" w:rsidR="009C75D3" w:rsidRPr="005553DF" w:rsidRDefault="009C75D3" w:rsidP="005553DF">
            <w:pPr>
              <w:jc w:val="center"/>
              <w:rPr>
                <w:b/>
              </w:rPr>
            </w:pPr>
            <w:r w:rsidRPr="005553DF">
              <w:rPr>
                <w:b/>
              </w:rPr>
              <w:t>Domain</w:t>
            </w:r>
          </w:p>
        </w:tc>
        <w:tc>
          <w:tcPr>
            <w:tcW w:w="900" w:type="dxa"/>
            <w:vAlign w:val="center"/>
          </w:tcPr>
          <w:p w14:paraId="12B6BC5A" w14:textId="77777777" w:rsidR="009C75D3" w:rsidRPr="005553DF" w:rsidRDefault="009C75D3" w:rsidP="005553DF">
            <w:pPr>
              <w:jc w:val="center"/>
              <w:rPr>
                <w:b/>
              </w:rPr>
            </w:pPr>
            <w:r w:rsidRPr="005553DF">
              <w:rPr>
                <w:b/>
              </w:rPr>
              <w:t>Age</w:t>
            </w:r>
          </w:p>
        </w:tc>
        <w:tc>
          <w:tcPr>
            <w:tcW w:w="1530" w:type="dxa"/>
            <w:vAlign w:val="center"/>
          </w:tcPr>
          <w:p w14:paraId="07648624" w14:textId="77777777" w:rsidR="009C75D3" w:rsidRPr="005553DF" w:rsidRDefault="009C75D3" w:rsidP="005553DF">
            <w:pPr>
              <w:jc w:val="center"/>
              <w:rPr>
                <w:b/>
              </w:rPr>
            </w:pPr>
            <w:r w:rsidRPr="005553DF">
              <w:rPr>
                <w:b/>
              </w:rPr>
              <w:t>Administration</w:t>
            </w:r>
          </w:p>
        </w:tc>
        <w:tc>
          <w:tcPr>
            <w:tcW w:w="1800" w:type="dxa"/>
            <w:vAlign w:val="center"/>
          </w:tcPr>
          <w:p w14:paraId="367AC475" w14:textId="77777777" w:rsidR="009C75D3" w:rsidRPr="005553DF" w:rsidRDefault="009C75D3" w:rsidP="005553DF">
            <w:pPr>
              <w:jc w:val="center"/>
              <w:rPr>
                <w:b/>
              </w:rPr>
            </w:pPr>
            <w:r w:rsidRPr="005553DF">
              <w:rPr>
                <w:b/>
              </w:rPr>
              <w:t>Time to Administer</w:t>
            </w:r>
          </w:p>
        </w:tc>
      </w:tr>
      <w:tr w:rsidR="008A3EC6" w:rsidRPr="005553DF" w14:paraId="04915F36" w14:textId="77777777" w:rsidTr="00FA4BEA">
        <w:tc>
          <w:tcPr>
            <w:tcW w:w="2070" w:type="dxa"/>
            <w:vAlign w:val="center"/>
          </w:tcPr>
          <w:p w14:paraId="1B0FB36E" w14:textId="77777777" w:rsidR="009C75D3" w:rsidRPr="005553DF" w:rsidRDefault="009C75D3" w:rsidP="005553DF">
            <w:r w:rsidRPr="005553DF">
              <w:rPr>
                <w:rFonts w:cs="Calibri"/>
              </w:rPr>
              <w:t>Wechsler Abbreviated Scale of Intelligence – 2</w:t>
            </w:r>
            <w:r w:rsidRPr="005553DF">
              <w:rPr>
                <w:rFonts w:cs="Calibri"/>
                <w:vertAlign w:val="superscript"/>
              </w:rPr>
              <w:t>nd</w:t>
            </w:r>
            <w:r w:rsidRPr="005553DF">
              <w:rPr>
                <w:rFonts w:cs="Calibri"/>
              </w:rPr>
              <w:t xml:space="preserve"> </w:t>
            </w:r>
            <w:r w:rsidR="002B3DC2" w:rsidRPr="005553DF">
              <w:rPr>
                <w:rFonts w:cs="Calibri"/>
              </w:rPr>
              <w:t>E</w:t>
            </w:r>
            <w:r w:rsidRPr="005553DF">
              <w:rPr>
                <w:rFonts w:cs="Calibri"/>
              </w:rPr>
              <w:t>dition (WASI - II)</w:t>
            </w:r>
          </w:p>
        </w:tc>
        <w:tc>
          <w:tcPr>
            <w:tcW w:w="3060" w:type="dxa"/>
            <w:vAlign w:val="center"/>
          </w:tcPr>
          <w:p w14:paraId="446346B2" w14:textId="77777777" w:rsidR="009C75D3" w:rsidRPr="005553DF" w:rsidRDefault="009C75D3" w:rsidP="005553DF">
            <w:r w:rsidRPr="005553DF">
              <w:t xml:space="preserve">Two </w:t>
            </w:r>
            <w:r w:rsidR="00FA4BEA" w:rsidRPr="005553DF">
              <w:t>S</w:t>
            </w:r>
            <w:r w:rsidRPr="005553DF">
              <w:t xml:space="preserve">ubtest </w:t>
            </w:r>
            <w:r w:rsidR="00FA4BEA" w:rsidRPr="005553DF">
              <w:t>F</w:t>
            </w:r>
            <w:r w:rsidRPr="005553DF">
              <w:t>orm</w:t>
            </w:r>
            <w:r w:rsidR="00FA4BEA" w:rsidRPr="005553DF">
              <w:t xml:space="preserve"> (</w:t>
            </w:r>
            <w:r w:rsidRPr="005553DF">
              <w:t>FSIQ</w:t>
            </w:r>
            <w:r w:rsidR="00FA4BEA" w:rsidRPr="005553DF">
              <w:t>)</w:t>
            </w:r>
          </w:p>
        </w:tc>
        <w:tc>
          <w:tcPr>
            <w:tcW w:w="900" w:type="dxa"/>
            <w:vAlign w:val="center"/>
          </w:tcPr>
          <w:p w14:paraId="2F9BFC4C" w14:textId="77777777" w:rsidR="009C75D3" w:rsidRPr="005553DF" w:rsidRDefault="009C75D3" w:rsidP="005553DF">
            <w:pPr>
              <w:jc w:val="center"/>
              <w:rPr>
                <w:vertAlign w:val="superscript"/>
              </w:rPr>
            </w:pPr>
            <w:r w:rsidRPr="005553DF">
              <w:t>6 – 17</w:t>
            </w:r>
            <w:r w:rsidRPr="005553DF">
              <w:rPr>
                <w:vertAlign w:val="superscript"/>
              </w:rPr>
              <w:t>*</w:t>
            </w:r>
          </w:p>
        </w:tc>
        <w:tc>
          <w:tcPr>
            <w:tcW w:w="1530" w:type="dxa"/>
            <w:vAlign w:val="center"/>
          </w:tcPr>
          <w:p w14:paraId="0E2ABD17" w14:textId="77777777" w:rsidR="009C75D3" w:rsidRPr="005553DF" w:rsidRDefault="009C75D3" w:rsidP="005553DF">
            <w:pPr>
              <w:jc w:val="center"/>
            </w:pPr>
            <w:r w:rsidRPr="005553DF">
              <w:t>Child</w:t>
            </w:r>
          </w:p>
        </w:tc>
        <w:tc>
          <w:tcPr>
            <w:tcW w:w="1800" w:type="dxa"/>
            <w:vAlign w:val="center"/>
          </w:tcPr>
          <w:p w14:paraId="18A4C7CA" w14:textId="77777777" w:rsidR="009C75D3" w:rsidRPr="005553DF" w:rsidRDefault="009C75D3" w:rsidP="005553DF">
            <w:pPr>
              <w:jc w:val="center"/>
            </w:pPr>
            <w:r w:rsidRPr="005553DF">
              <w:t>15 minutes</w:t>
            </w:r>
          </w:p>
        </w:tc>
      </w:tr>
      <w:tr w:rsidR="00FA4BEA" w:rsidRPr="005553DF" w14:paraId="569D75BB" w14:textId="77777777" w:rsidTr="00C10B11">
        <w:tc>
          <w:tcPr>
            <w:tcW w:w="2070" w:type="dxa"/>
            <w:vMerge w:val="restart"/>
            <w:vAlign w:val="center"/>
          </w:tcPr>
          <w:p w14:paraId="57FE5163" w14:textId="77777777" w:rsidR="00FA4BEA" w:rsidRPr="005553DF" w:rsidRDefault="00FA4BEA" w:rsidP="005553DF">
            <w:r w:rsidRPr="005553DF">
              <w:t>A Developmental Neuropsychological Assessment – 2</w:t>
            </w:r>
            <w:r w:rsidRPr="005553DF">
              <w:rPr>
                <w:vertAlign w:val="superscript"/>
              </w:rPr>
              <w:t>nd</w:t>
            </w:r>
            <w:r w:rsidRPr="005553DF">
              <w:t xml:space="preserve"> edition (NEPSY – II) subtests</w:t>
            </w:r>
          </w:p>
          <w:p w14:paraId="52853AB3" w14:textId="77777777" w:rsidR="00FA4BEA" w:rsidRPr="005553DF" w:rsidRDefault="00FA4BEA" w:rsidP="005553DF"/>
          <w:p w14:paraId="5C29C8E8" w14:textId="77777777" w:rsidR="00FA4BEA" w:rsidRPr="005553DF" w:rsidRDefault="00FA4BEA" w:rsidP="005553DF">
            <w:r w:rsidRPr="005553DF">
              <w:t>* from Core Assessment</w:t>
            </w:r>
          </w:p>
        </w:tc>
        <w:tc>
          <w:tcPr>
            <w:tcW w:w="3060" w:type="dxa"/>
            <w:vAlign w:val="center"/>
          </w:tcPr>
          <w:p w14:paraId="4A0D4AFE" w14:textId="77777777" w:rsidR="00FA4BEA" w:rsidRPr="005553DF" w:rsidRDefault="00FA4BEA" w:rsidP="005553DF">
            <w:r w:rsidRPr="005553DF">
              <w:t>Auditory Attention and Response* (reduced attention)</w:t>
            </w:r>
          </w:p>
        </w:tc>
        <w:tc>
          <w:tcPr>
            <w:tcW w:w="900" w:type="dxa"/>
            <w:vAlign w:val="center"/>
          </w:tcPr>
          <w:p w14:paraId="7B02BC86" w14:textId="77777777" w:rsidR="00FA4BEA" w:rsidRPr="005553DF" w:rsidRDefault="00FA4BEA" w:rsidP="005553DF">
            <w:pPr>
              <w:jc w:val="center"/>
            </w:pPr>
            <w:r w:rsidRPr="005553DF">
              <w:t>5 – 16</w:t>
            </w:r>
          </w:p>
        </w:tc>
        <w:tc>
          <w:tcPr>
            <w:tcW w:w="1530" w:type="dxa"/>
            <w:vAlign w:val="center"/>
          </w:tcPr>
          <w:p w14:paraId="3307611C" w14:textId="77777777" w:rsidR="00FA4BEA" w:rsidRPr="005553DF" w:rsidRDefault="00FA4BEA" w:rsidP="005553DF">
            <w:pPr>
              <w:jc w:val="center"/>
            </w:pPr>
            <w:r w:rsidRPr="005553DF">
              <w:t>Child</w:t>
            </w:r>
          </w:p>
        </w:tc>
        <w:tc>
          <w:tcPr>
            <w:tcW w:w="1800" w:type="dxa"/>
            <w:vAlign w:val="center"/>
          </w:tcPr>
          <w:p w14:paraId="3D252F89" w14:textId="77777777" w:rsidR="00FA4BEA" w:rsidRPr="005553DF" w:rsidRDefault="00FA4BEA" w:rsidP="005553DF">
            <w:pPr>
              <w:jc w:val="center"/>
            </w:pPr>
            <w:r w:rsidRPr="005553DF">
              <w:t>7 – 11 minutes</w:t>
            </w:r>
          </w:p>
        </w:tc>
      </w:tr>
      <w:tr w:rsidR="00FA4BEA" w:rsidRPr="005553DF" w14:paraId="2B356DCC" w14:textId="77777777" w:rsidTr="00FA4BEA">
        <w:tc>
          <w:tcPr>
            <w:tcW w:w="2070" w:type="dxa"/>
            <w:vMerge/>
            <w:vAlign w:val="center"/>
          </w:tcPr>
          <w:p w14:paraId="71BA7467" w14:textId="77777777" w:rsidR="00FA4BEA" w:rsidRPr="005553DF" w:rsidRDefault="00FA4BEA" w:rsidP="005553DF"/>
        </w:tc>
        <w:tc>
          <w:tcPr>
            <w:tcW w:w="3060" w:type="dxa"/>
            <w:vAlign w:val="center"/>
          </w:tcPr>
          <w:p w14:paraId="19107BB9" w14:textId="77777777" w:rsidR="00FA4BEA" w:rsidRPr="005553DF" w:rsidRDefault="00FA4BEA" w:rsidP="005553DF">
            <w:r w:rsidRPr="005553DF">
              <w:t>Inhibition*</w:t>
            </w:r>
          </w:p>
        </w:tc>
        <w:tc>
          <w:tcPr>
            <w:tcW w:w="900" w:type="dxa"/>
            <w:vAlign w:val="center"/>
          </w:tcPr>
          <w:p w14:paraId="286715B1" w14:textId="77777777" w:rsidR="00FA4BEA" w:rsidRPr="005553DF" w:rsidRDefault="00FA4BEA" w:rsidP="005553DF">
            <w:pPr>
              <w:jc w:val="center"/>
            </w:pPr>
            <w:r w:rsidRPr="005553DF">
              <w:t>5 – 16</w:t>
            </w:r>
          </w:p>
        </w:tc>
        <w:tc>
          <w:tcPr>
            <w:tcW w:w="1530" w:type="dxa"/>
            <w:vAlign w:val="center"/>
          </w:tcPr>
          <w:p w14:paraId="15B7E498" w14:textId="77777777" w:rsidR="00FA4BEA" w:rsidRPr="005553DF" w:rsidRDefault="00FA4BEA" w:rsidP="005553DF">
            <w:pPr>
              <w:jc w:val="center"/>
            </w:pPr>
            <w:r w:rsidRPr="005553DF">
              <w:t>Child</w:t>
            </w:r>
          </w:p>
        </w:tc>
        <w:tc>
          <w:tcPr>
            <w:tcW w:w="1800" w:type="dxa"/>
            <w:vAlign w:val="center"/>
          </w:tcPr>
          <w:p w14:paraId="4AC96506" w14:textId="77777777" w:rsidR="00FA4BEA" w:rsidRPr="005553DF" w:rsidRDefault="00FA4BEA" w:rsidP="005553DF">
            <w:pPr>
              <w:jc w:val="center"/>
            </w:pPr>
            <w:r w:rsidRPr="005553DF">
              <w:t>8 – 11 minutes</w:t>
            </w:r>
          </w:p>
        </w:tc>
      </w:tr>
      <w:tr w:rsidR="00FA4BEA" w:rsidRPr="005553DF" w14:paraId="56FBDB17" w14:textId="77777777" w:rsidTr="00FA4BEA">
        <w:tc>
          <w:tcPr>
            <w:tcW w:w="2070" w:type="dxa"/>
            <w:vMerge/>
            <w:vAlign w:val="center"/>
          </w:tcPr>
          <w:p w14:paraId="3BC2040D" w14:textId="77777777" w:rsidR="00FA4BEA" w:rsidRPr="005553DF" w:rsidRDefault="00FA4BEA" w:rsidP="005553DF"/>
        </w:tc>
        <w:tc>
          <w:tcPr>
            <w:tcW w:w="3060" w:type="dxa"/>
            <w:vAlign w:val="center"/>
          </w:tcPr>
          <w:p w14:paraId="1D223181" w14:textId="77777777" w:rsidR="00FA4BEA" w:rsidRPr="005553DF" w:rsidRDefault="00FA4BEA" w:rsidP="005553DF">
            <w:r w:rsidRPr="005553DF">
              <w:t>Comprehension of Instructions* (receptive language, trouble following multi-step commands)</w:t>
            </w:r>
          </w:p>
        </w:tc>
        <w:tc>
          <w:tcPr>
            <w:tcW w:w="900" w:type="dxa"/>
            <w:vAlign w:val="center"/>
          </w:tcPr>
          <w:p w14:paraId="43D1DFFB"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658A69E9" w14:textId="77777777" w:rsidR="00FA4BEA" w:rsidRPr="005553DF" w:rsidRDefault="00FA4BEA" w:rsidP="005553DF">
            <w:pPr>
              <w:jc w:val="center"/>
            </w:pPr>
            <w:r w:rsidRPr="005553DF">
              <w:t>Child</w:t>
            </w:r>
          </w:p>
        </w:tc>
        <w:tc>
          <w:tcPr>
            <w:tcW w:w="1800" w:type="dxa"/>
            <w:vAlign w:val="center"/>
          </w:tcPr>
          <w:p w14:paraId="0A0E05A9" w14:textId="77777777" w:rsidR="00FA4BEA" w:rsidRPr="005553DF" w:rsidRDefault="00FA4BEA" w:rsidP="005553DF">
            <w:pPr>
              <w:jc w:val="center"/>
            </w:pPr>
            <w:r w:rsidRPr="005553DF">
              <w:t>6 – 8 minutes</w:t>
            </w:r>
          </w:p>
        </w:tc>
      </w:tr>
      <w:tr w:rsidR="00FA4BEA" w:rsidRPr="005553DF" w14:paraId="534F7AD5" w14:textId="77777777" w:rsidTr="00FA4BEA">
        <w:tc>
          <w:tcPr>
            <w:tcW w:w="2070" w:type="dxa"/>
            <w:vMerge/>
            <w:vAlign w:val="center"/>
          </w:tcPr>
          <w:p w14:paraId="1710F220" w14:textId="77777777" w:rsidR="00FA4BEA" w:rsidRPr="005553DF" w:rsidRDefault="00FA4BEA" w:rsidP="005553DF"/>
        </w:tc>
        <w:tc>
          <w:tcPr>
            <w:tcW w:w="3060" w:type="dxa"/>
            <w:vAlign w:val="center"/>
          </w:tcPr>
          <w:p w14:paraId="00257744" w14:textId="77777777" w:rsidR="00FA4BEA" w:rsidRPr="005553DF" w:rsidRDefault="00FA4BEA" w:rsidP="005553DF">
            <w:r w:rsidRPr="005553DF">
              <w:t>Speeded Naming* (expressive language, processing speed)</w:t>
            </w:r>
          </w:p>
        </w:tc>
        <w:tc>
          <w:tcPr>
            <w:tcW w:w="900" w:type="dxa"/>
            <w:vAlign w:val="center"/>
          </w:tcPr>
          <w:p w14:paraId="385D23AD"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682E719F" w14:textId="77777777" w:rsidR="00FA4BEA" w:rsidRPr="005553DF" w:rsidRDefault="00FA4BEA" w:rsidP="005553DF">
            <w:pPr>
              <w:jc w:val="center"/>
            </w:pPr>
            <w:r w:rsidRPr="005553DF">
              <w:t>Child</w:t>
            </w:r>
          </w:p>
        </w:tc>
        <w:tc>
          <w:tcPr>
            <w:tcW w:w="1800" w:type="dxa"/>
            <w:vAlign w:val="center"/>
          </w:tcPr>
          <w:p w14:paraId="58C9DDD1" w14:textId="77777777" w:rsidR="00FA4BEA" w:rsidRPr="005553DF" w:rsidRDefault="00FA4BEA" w:rsidP="005553DF">
            <w:pPr>
              <w:jc w:val="center"/>
            </w:pPr>
            <w:r w:rsidRPr="005553DF">
              <w:t>2 – 7 minutes</w:t>
            </w:r>
          </w:p>
        </w:tc>
      </w:tr>
      <w:tr w:rsidR="00FA4BEA" w:rsidRPr="005553DF" w14:paraId="28D992E7" w14:textId="77777777" w:rsidTr="00FA4BEA">
        <w:tc>
          <w:tcPr>
            <w:tcW w:w="2070" w:type="dxa"/>
            <w:vMerge/>
            <w:vAlign w:val="center"/>
          </w:tcPr>
          <w:p w14:paraId="2B282A67" w14:textId="77777777" w:rsidR="00FA4BEA" w:rsidRPr="005553DF" w:rsidRDefault="00FA4BEA" w:rsidP="005553DF"/>
        </w:tc>
        <w:tc>
          <w:tcPr>
            <w:tcW w:w="3060" w:type="dxa"/>
            <w:vAlign w:val="center"/>
          </w:tcPr>
          <w:p w14:paraId="3EEF6FE9" w14:textId="77777777" w:rsidR="00FA4BEA" w:rsidRPr="005553DF" w:rsidRDefault="00FA4BEA" w:rsidP="005553DF">
            <w:r w:rsidRPr="005553DF">
              <w:t>Word List Interference* (verbal memory)</w:t>
            </w:r>
          </w:p>
        </w:tc>
        <w:tc>
          <w:tcPr>
            <w:tcW w:w="900" w:type="dxa"/>
            <w:vAlign w:val="center"/>
          </w:tcPr>
          <w:p w14:paraId="02A503DB" w14:textId="77777777" w:rsidR="00FA4BEA" w:rsidRPr="005553DF" w:rsidRDefault="00FA4BEA" w:rsidP="005553DF">
            <w:pPr>
              <w:jc w:val="center"/>
            </w:pPr>
            <w:r w:rsidRPr="005553DF">
              <w:t>7 – 16</w:t>
            </w:r>
          </w:p>
        </w:tc>
        <w:tc>
          <w:tcPr>
            <w:tcW w:w="1530" w:type="dxa"/>
            <w:vAlign w:val="center"/>
          </w:tcPr>
          <w:p w14:paraId="0F91A39B" w14:textId="77777777" w:rsidR="00FA4BEA" w:rsidRPr="005553DF" w:rsidRDefault="00FA4BEA" w:rsidP="005553DF">
            <w:pPr>
              <w:jc w:val="center"/>
            </w:pPr>
            <w:r w:rsidRPr="005553DF">
              <w:t>Child</w:t>
            </w:r>
          </w:p>
        </w:tc>
        <w:tc>
          <w:tcPr>
            <w:tcW w:w="1800" w:type="dxa"/>
            <w:vAlign w:val="center"/>
          </w:tcPr>
          <w:p w14:paraId="613E29E1" w14:textId="77777777" w:rsidR="00FA4BEA" w:rsidRPr="005553DF" w:rsidRDefault="00FA4BEA" w:rsidP="005553DF">
            <w:pPr>
              <w:jc w:val="center"/>
            </w:pPr>
            <w:r w:rsidRPr="005553DF">
              <w:t>6 – 8 minutes</w:t>
            </w:r>
          </w:p>
        </w:tc>
      </w:tr>
      <w:tr w:rsidR="00FA4BEA" w:rsidRPr="005553DF" w14:paraId="20EF9716" w14:textId="77777777" w:rsidTr="00FA4BEA">
        <w:tc>
          <w:tcPr>
            <w:tcW w:w="2070" w:type="dxa"/>
            <w:vMerge/>
            <w:vAlign w:val="center"/>
          </w:tcPr>
          <w:p w14:paraId="3DE56C8E" w14:textId="77777777" w:rsidR="00FA4BEA" w:rsidRPr="005553DF" w:rsidRDefault="00FA4BEA" w:rsidP="005553DF"/>
        </w:tc>
        <w:tc>
          <w:tcPr>
            <w:tcW w:w="3060" w:type="dxa"/>
            <w:vAlign w:val="center"/>
          </w:tcPr>
          <w:p w14:paraId="258245C0" w14:textId="77777777" w:rsidR="00FA4BEA" w:rsidRPr="005553DF" w:rsidRDefault="00FA4BEA" w:rsidP="005553DF">
            <w:r w:rsidRPr="005553DF">
              <w:t>Narrative Memory* (comprehension, verbal memory)</w:t>
            </w:r>
          </w:p>
        </w:tc>
        <w:tc>
          <w:tcPr>
            <w:tcW w:w="900" w:type="dxa"/>
            <w:vAlign w:val="center"/>
          </w:tcPr>
          <w:p w14:paraId="11BA9924"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3E91AB02" w14:textId="77777777" w:rsidR="00FA4BEA" w:rsidRPr="005553DF" w:rsidRDefault="00FA4BEA" w:rsidP="005553DF">
            <w:pPr>
              <w:jc w:val="center"/>
            </w:pPr>
            <w:r w:rsidRPr="005553DF">
              <w:t>Child</w:t>
            </w:r>
          </w:p>
        </w:tc>
        <w:tc>
          <w:tcPr>
            <w:tcW w:w="1800" w:type="dxa"/>
            <w:vAlign w:val="center"/>
          </w:tcPr>
          <w:p w14:paraId="755A36A7" w14:textId="77777777" w:rsidR="00FA4BEA" w:rsidRPr="005553DF" w:rsidRDefault="00FA4BEA" w:rsidP="005553DF">
            <w:pPr>
              <w:jc w:val="center"/>
            </w:pPr>
            <w:r w:rsidRPr="005553DF">
              <w:t>6 – 11 minutes</w:t>
            </w:r>
          </w:p>
        </w:tc>
      </w:tr>
      <w:tr w:rsidR="00FA4BEA" w:rsidRPr="005553DF" w14:paraId="46867882" w14:textId="77777777" w:rsidTr="00FA4BEA">
        <w:tc>
          <w:tcPr>
            <w:tcW w:w="2070" w:type="dxa"/>
            <w:vMerge/>
            <w:vAlign w:val="center"/>
          </w:tcPr>
          <w:p w14:paraId="2283E88E" w14:textId="77777777" w:rsidR="00FA4BEA" w:rsidRPr="005553DF" w:rsidRDefault="00FA4BEA" w:rsidP="005553DF"/>
        </w:tc>
        <w:tc>
          <w:tcPr>
            <w:tcW w:w="3060" w:type="dxa"/>
            <w:vAlign w:val="center"/>
          </w:tcPr>
          <w:p w14:paraId="397D66F4" w14:textId="77777777" w:rsidR="00FA4BEA" w:rsidRPr="005553DF" w:rsidRDefault="00FA4BEA" w:rsidP="005553DF">
            <w:r w:rsidRPr="005553DF">
              <w:t>Design Copying</w:t>
            </w:r>
            <w:r w:rsidR="009133E9" w:rsidRPr="005553DF">
              <w:t>*</w:t>
            </w:r>
            <w:r w:rsidRPr="005553DF">
              <w:t xml:space="preserve"> (visuospatial processing)</w:t>
            </w:r>
          </w:p>
        </w:tc>
        <w:tc>
          <w:tcPr>
            <w:tcW w:w="900" w:type="dxa"/>
            <w:vAlign w:val="center"/>
          </w:tcPr>
          <w:p w14:paraId="1AE3708A"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22612611" w14:textId="77777777" w:rsidR="00FA4BEA" w:rsidRPr="005553DF" w:rsidRDefault="00FA4BEA" w:rsidP="005553DF">
            <w:pPr>
              <w:jc w:val="center"/>
            </w:pPr>
            <w:r w:rsidRPr="005553DF">
              <w:t>Child</w:t>
            </w:r>
          </w:p>
        </w:tc>
        <w:tc>
          <w:tcPr>
            <w:tcW w:w="1800" w:type="dxa"/>
            <w:vAlign w:val="center"/>
          </w:tcPr>
          <w:p w14:paraId="03FE1C0B" w14:textId="77777777" w:rsidR="00FA4BEA" w:rsidRPr="005553DF" w:rsidRDefault="00FA4BEA" w:rsidP="005553DF">
            <w:pPr>
              <w:jc w:val="center"/>
            </w:pPr>
            <w:r w:rsidRPr="005553DF">
              <w:t>7 – 10 minutes</w:t>
            </w:r>
          </w:p>
        </w:tc>
      </w:tr>
      <w:tr w:rsidR="00FA4BEA" w:rsidRPr="005553DF" w14:paraId="6085F03B" w14:textId="77777777" w:rsidTr="00FA4BEA">
        <w:tc>
          <w:tcPr>
            <w:tcW w:w="2070" w:type="dxa"/>
            <w:vMerge/>
            <w:vAlign w:val="center"/>
          </w:tcPr>
          <w:p w14:paraId="2FC9FB01" w14:textId="77777777" w:rsidR="00FA4BEA" w:rsidRPr="005553DF" w:rsidRDefault="00FA4BEA" w:rsidP="005553DF"/>
        </w:tc>
        <w:tc>
          <w:tcPr>
            <w:tcW w:w="3060" w:type="dxa"/>
            <w:vAlign w:val="center"/>
          </w:tcPr>
          <w:p w14:paraId="72AF1ECA" w14:textId="77777777" w:rsidR="00FA4BEA" w:rsidRPr="005553DF" w:rsidRDefault="00FA4BEA" w:rsidP="005553DF">
            <w:r w:rsidRPr="005553DF">
              <w:t>Theory of Mind (social perception)</w:t>
            </w:r>
          </w:p>
        </w:tc>
        <w:tc>
          <w:tcPr>
            <w:tcW w:w="900" w:type="dxa"/>
            <w:vAlign w:val="center"/>
          </w:tcPr>
          <w:p w14:paraId="433D2BE3"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1CC96AB9" w14:textId="77777777" w:rsidR="00FA4BEA" w:rsidRPr="005553DF" w:rsidRDefault="00FA4BEA" w:rsidP="005553DF">
            <w:pPr>
              <w:jc w:val="center"/>
            </w:pPr>
            <w:r w:rsidRPr="005553DF">
              <w:t>Child</w:t>
            </w:r>
          </w:p>
        </w:tc>
        <w:tc>
          <w:tcPr>
            <w:tcW w:w="1800" w:type="dxa"/>
            <w:vAlign w:val="center"/>
          </w:tcPr>
          <w:p w14:paraId="76100B14" w14:textId="77777777" w:rsidR="00FA4BEA" w:rsidRPr="005553DF" w:rsidRDefault="00FA4BEA" w:rsidP="005553DF">
            <w:pPr>
              <w:jc w:val="center"/>
            </w:pPr>
            <w:r w:rsidRPr="005553DF">
              <w:t>10 – 13 minutes</w:t>
            </w:r>
          </w:p>
        </w:tc>
      </w:tr>
      <w:tr w:rsidR="00FA4BEA" w:rsidRPr="005553DF" w14:paraId="3B020786" w14:textId="77777777" w:rsidTr="002F0FA6">
        <w:tc>
          <w:tcPr>
            <w:tcW w:w="2070" w:type="dxa"/>
            <w:vMerge/>
            <w:vAlign w:val="center"/>
          </w:tcPr>
          <w:p w14:paraId="0D5DEBEA" w14:textId="77777777" w:rsidR="00FA4BEA" w:rsidRPr="005553DF" w:rsidRDefault="00FA4BEA" w:rsidP="005553DF"/>
        </w:tc>
        <w:tc>
          <w:tcPr>
            <w:tcW w:w="3060" w:type="dxa"/>
            <w:vAlign w:val="center"/>
          </w:tcPr>
          <w:p w14:paraId="673039BC" w14:textId="77777777" w:rsidR="00FA4BEA" w:rsidRPr="005553DF" w:rsidRDefault="00FA4BEA" w:rsidP="005553DF">
            <w:r w:rsidRPr="005553DF">
              <w:t>Sentence Repetition (verbal memory)</w:t>
            </w:r>
          </w:p>
        </w:tc>
        <w:tc>
          <w:tcPr>
            <w:tcW w:w="900" w:type="dxa"/>
            <w:vAlign w:val="center"/>
          </w:tcPr>
          <w:p w14:paraId="4023D74F" w14:textId="77777777" w:rsidR="00FA4BEA" w:rsidRPr="005553DF" w:rsidRDefault="009133E9" w:rsidP="005553DF">
            <w:pPr>
              <w:jc w:val="center"/>
            </w:pPr>
            <w:r w:rsidRPr="005553DF">
              <w:t>4</w:t>
            </w:r>
            <w:r w:rsidR="00FA4BEA" w:rsidRPr="005553DF">
              <w:t xml:space="preserve"> – 6</w:t>
            </w:r>
          </w:p>
        </w:tc>
        <w:tc>
          <w:tcPr>
            <w:tcW w:w="1530" w:type="dxa"/>
            <w:vAlign w:val="center"/>
          </w:tcPr>
          <w:p w14:paraId="3A07CEC3" w14:textId="77777777" w:rsidR="00FA4BEA" w:rsidRPr="005553DF" w:rsidRDefault="00FA4BEA" w:rsidP="005553DF">
            <w:pPr>
              <w:jc w:val="center"/>
            </w:pPr>
            <w:r w:rsidRPr="005553DF">
              <w:t>Child</w:t>
            </w:r>
          </w:p>
        </w:tc>
        <w:tc>
          <w:tcPr>
            <w:tcW w:w="1800" w:type="dxa"/>
            <w:vAlign w:val="center"/>
          </w:tcPr>
          <w:p w14:paraId="5893D93E" w14:textId="77777777" w:rsidR="00FA4BEA" w:rsidRPr="005553DF" w:rsidRDefault="00FA4BEA" w:rsidP="005553DF">
            <w:pPr>
              <w:jc w:val="center"/>
            </w:pPr>
            <w:r w:rsidRPr="005553DF">
              <w:t>4 minutes</w:t>
            </w:r>
          </w:p>
        </w:tc>
      </w:tr>
      <w:tr w:rsidR="00FA4BEA" w:rsidRPr="005553DF" w14:paraId="1142CF86" w14:textId="77777777" w:rsidTr="002F0FA6">
        <w:tc>
          <w:tcPr>
            <w:tcW w:w="2070" w:type="dxa"/>
            <w:vMerge/>
            <w:vAlign w:val="center"/>
          </w:tcPr>
          <w:p w14:paraId="57E77E03" w14:textId="77777777" w:rsidR="00FA4BEA" w:rsidRPr="005553DF" w:rsidRDefault="00FA4BEA" w:rsidP="005553DF"/>
        </w:tc>
        <w:tc>
          <w:tcPr>
            <w:tcW w:w="3060" w:type="dxa"/>
            <w:vAlign w:val="center"/>
          </w:tcPr>
          <w:p w14:paraId="66DA2D3A" w14:textId="77777777" w:rsidR="00FA4BEA" w:rsidRPr="005553DF" w:rsidRDefault="00FA4BEA" w:rsidP="005553DF">
            <w:r w:rsidRPr="005553DF">
              <w:t>Statue (inhibitory control)</w:t>
            </w:r>
          </w:p>
        </w:tc>
        <w:tc>
          <w:tcPr>
            <w:tcW w:w="900" w:type="dxa"/>
            <w:vAlign w:val="center"/>
          </w:tcPr>
          <w:p w14:paraId="5B05F8BD" w14:textId="77777777" w:rsidR="00FA4BEA" w:rsidRPr="005553DF" w:rsidRDefault="009133E9" w:rsidP="005553DF">
            <w:pPr>
              <w:jc w:val="center"/>
            </w:pPr>
            <w:r w:rsidRPr="005553DF">
              <w:t>4</w:t>
            </w:r>
            <w:r w:rsidR="00FA4BEA" w:rsidRPr="005553DF">
              <w:t xml:space="preserve"> – 6</w:t>
            </w:r>
          </w:p>
        </w:tc>
        <w:tc>
          <w:tcPr>
            <w:tcW w:w="1530" w:type="dxa"/>
            <w:vAlign w:val="center"/>
          </w:tcPr>
          <w:p w14:paraId="0F244F5E" w14:textId="77777777" w:rsidR="00FA4BEA" w:rsidRPr="005553DF" w:rsidRDefault="00FA4BEA" w:rsidP="005553DF">
            <w:pPr>
              <w:jc w:val="center"/>
            </w:pPr>
            <w:r w:rsidRPr="005553DF">
              <w:t>Child</w:t>
            </w:r>
          </w:p>
        </w:tc>
        <w:tc>
          <w:tcPr>
            <w:tcW w:w="1800" w:type="dxa"/>
            <w:vAlign w:val="center"/>
          </w:tcPr>
          <w:p w14:paraId="7F05816B" w14:textId="77777777" w:rsidR="00FA4BEA" w:rsidRPr="005553DF" w:rsidRDefault="00FA4BEA" w:rsidP="005553DF">
            <w:pPr>
              <w:jc w:val="center"/>
            </w:pPr>
            <w:r w:rsidRPr="005553DF">
              <w:t>3 minutes</w:t>
            </w:r>
          </w:p>
        </w:tc>
      </w:tr>
      <w:tr w:rsidR="00FA4BEA" w:rsidRPr="005553DF" w14:paraId="3B90877F" w14:textId="77777777" w:rsidTr="00FA4BEA">
        <w:tc>
          <w:tcPr>
            <w:tcW w:w="2070" w:type="dxa"/>
            <w:vMerge/>
            <w:vAlign w:val="center"/>
          </w:tcPr>
          <w:p w14:paraId="4B1FFFA7" w14:textId="77777777" w:rsidR="00FA4BEA" w:rsidRPr="005553DF" w:rsidRDefault="00FA4BEA" w:rsidP="005553DF"/>
        </w:tc>
        <w:tc>
          <w:tcPr>
            <w:tcW w:w="3060" w:type="dxa"/>
            <w:vAlign w:val="center"/>
          </w:tcPr>
          <w:p w14:paraId="259F7772" w14:textId="77777777" w:rsidR="00FA4BEA" w:rsidRPr="005553DF" w:rsidRDefault="00FA4BEA" w:rsidP="005553DF">
            <w:r w:rsidRPr="005553DF">
              <w:t>Word Generation (expressive language, executive control)</w:t>
            </w:r>
          </w:p>
        </w:tc>
        <w:tc>
          <w:tcPr>
            <w:tcW w:w="900" w:type="dxa"/>
            <w:vAlign w:val="center"/>
          </w:tcPr>
          <w:p w14:paraId="71B618B8"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71DF2F8B" w14:textId="77777777" w:rsidR="00FA4BEA" w:rsidRPr="005553DF" w:rsidRDefault="00FA4BEA" w:rsidP="005553DF">
            <w:pPr>
              <w:jc w:val="center"/>
            </w:pPr>
            <w:r w:rsidRPr="005553DF">
              <w:t>Child</w:t>
            </w:r>
          </w:p>
        </w:tc>
        <w:tc>
          <w:tcPr>
            <w:tcW w:w="1800" w:type="dxa"/>
            <w:vAlign w:val="center"/>
          </w:tcPr>
          <w:p w14:paraId="1A2FEC7F" w14:textId="77777777" w:rsidR="00FA4BEA" w:rsidRPr="005553DF" w:rsidRDefault="00FA4BEA" w:rsidP="005553DF">
            <w:pPr>
              <w:jc w:val="center"/>
            </w:pPr>
            <w:r w:rsidRPr="005553DF">
              <w:t>4 – 6 minutes</w:t>
            </w:r>
          </w:p>
        </w:tc>
      </w:tr>
      <w:tr w:rsidR="00FA4BEA" w:rsidRPr="005553DF" w14:paraId="0BDE6753" w14:textId="77777777" w:rsidTr="00FA4BEA">
        <w:tc>
          <w:tcPr>
            <w:tcW w:w="2070" w:type="dxa"/>
            <w:vAlign w:val="center"/>
          </w:tcPr>
          <w:p w14:paraId="32AAF84B" w14:textId="77777777" w:rsidR="00FA4BEA" w:rsidRPr="005553DF" w:rsidRDefault="00FA4BEA" w:rsidP="005553DF">
            <w:r w:rsidRPr="005553DF">
              <w:t>Conners Kiddie Continuous Performance Test, 2</w:t>
            </w:r>
            <w:r w:rsidRPr="005553DF">
              <w:rPr>
                <w:vertAlign w:val="superscript"/>
              </w:rPr>
              <w:t>nd</w:t>
            </w:r>
            <w:r w:rsidRPr="005553DF">
              <w:t xml:space="preserve"> </w:t>
            </w:r>
            <w:r w:rsidR="007C56F4" w:rsidRPr="005553DF">
              <w:t>E</w:t>
            </w:r>
            <w:r w:rsidRPr="005553DF">
              <w:t>dition (Conners K-CPT 2)</w:t>
            </w:r>
          </w:p>
        </w:tc>
        <w:tc>
          <w:tcPr>
            <w:tcW w:w="3060" w:type="dxa"/>
            <w:vAlign w:val="center"/>
          </w:tcPr>
          <w:p w14:paraId="640410F6" w14:textId="77777777" w:rsidR="00FA4BEA" w:rsidRPr="005553DF" w:rsidRDefault="00FA4BEA" w:rsidP="005553DF">
            <w:r w:rsidRPr="005553DF">
              <w:t>Inattentiveness, Impulsivity, Sustained Attention, Vigilance</w:t>
            </w:r>
          </w:p>
        </w:tc>
        <w:tc>
          <w:tcPr>
            <w:tcW w:w="900" w:type="dxa"/>
            <w:vAlign w:val="center"/>
          </w:tcPr>
          <w:p w14:paraId="0B0BA4A8" w14:textId="77777777" w:rsidR="00FA4BEA" w:rsidRPr="005553DF" w:rsidRDefault="00FA4BEA" w:rsidP="005553DF">
            <w:pPr>
              <w:jc w:val="center"/>
            </w:pPr>
            <w:r w:rsidRPr="005553DF">
              <w:t>4-7</w:t>
            </w:r>
          </w:p>
        </w:tc>
        <w:tc>
          <w:tcPr>
            <w:tcW w:w="1530" w:type="dxa"/>
            <w:vAlign w:val="center"/>
          </w:tcPr>
          <w:p w14:paraId="58B87B19" w14:textId="77777777" w:rsidR="00FA4BEA" w:rsidRPr="005553DF" w:rsidRDefault="00FA4BEA" w:rsidP="005553DF">
            <w:pPr>
              <w:jc w:val="center"/>
            </w:pPr>
            <w:r w:rsidRPr="005553DF">
              <w:t>Child</w:t>
            </w:r>
          </w:p>
        </w:tc>
        <w:tc>
          <w:tcPr>
            <w:tcW w:w="1800" w:type="dxa"/>
            <w:vAlign w:val="center"/>
          </w:tcPr>
          <w:p w14:paraId="38576585" w14:textId="77777777" w:rsidR="00FA4BEA" w:rsidRPr="005553DF" w:rsidRDefault="006F74FB" w:rsidP="005553DF">
            <w:pPr>
              <w:jc w:val="center"/>
            </w:pPr>
            <w:r w:rsidRPr="005553DF">
              <w:t>8</w:t>
            </w:r>
            <w:r w:rsidR="00FA4BEA" w:rsidRPr="005553DF">
              <w:t xml:space="preserve"> minutes</w:t>
            </w:r>
          </w:p>
        </w:tc>
      </w:tr>
      <w:tr w:rsidR="00FA4BEA" w:rsidRPr="005553DF" w14:paraId="7EC70897" w14:textId="77777777" w:rsidTr="00FA4BEA">
        <w:tc>
          <w:tcPr>
            <w:tcW w:w="2070" w:type="dxa"/>
            <w:vAlign w:val="center"/>
          </w:tcPr>
          <w:p w14:paraId="6E2EA3FB" w14:textId="77777777" w:rsidR="00FA4BEA" w:rsidRPr="005553DF" w:rsidRDefault="00FA4BEA" w:rsidP="005553DF">
            <w:r w:rsidRPr="005553DF">
              <w:t>Conners Continuous Performance Test 3</w:t>
            </w:r>
            <w:r w:rsidRPr="005553DF">
              <w:rPr>
                <w:vertAlign w:val="superscript"/>
              </w:rPr>
              <w:t>rd</w:t>
            </w:r>
            <w:r w:rsidRPr="005553DF">
              <w:t xml:space="preserve"> edition (CPT 3)</w:t>
            </w:r>
          </w:p>
        </w:tc>
        <w:tc>
          <w:tcPr>
            <w:tcW w:w="3060" w:type="dxa"/>
            <w:vAlign w:val="center"/>
          </w:tcPr>
          <w:p w14:paraId="0E55C34E" w14:textId="77777777" w:rsidR="00FA4BEA" w:rsidRPr="005553DF" w:rsidRDefault="00FA4BEA" w:rsidP="005553DF">
            <w:r w:rsidRPr="005553DF">
              <w:t>Inattentiveness, Impulsivity, Sustained Attention, Vigilance</w:t>
            </w:r>
          </w:p>
        </w:tc>
        <w:tc>
          <w:tcPr>
            <w:tcW w:w="900" w:type="dxa"/>
            <w:vAlign w:val="center"/>
          </w:tcPr>
          <w:p w14:paraId="0B324934" w14:textId="77777777" w:rsidR="00FA4BEA" w:rsidRPr="005553DF" w:rsidRDefault="00FA4BEA" w:rsidP="005553DF">
            <w:pPr>
              <w:jc w:val="center"/>
            </w:pPr>
            <w:r w:rsidRPr="005553DF">
              <w:t>8-17</w:t>
            </w:r>
          </w:p>
        </w:tc>
        <w:tc>
          <w:tcPr>
            <w:tcW w:w="1530" w:type="dxa"/>
            <w:vAlign w:val="center"/>
          </w:tcPr>
          <w:p w14:paraId="232EF668" w14:textId="77777777" w:rsidR="00FA4BEA" w:rsidRPr="005553DF" w:rsidRDefault="00FA4BEA" w:rsidP="005553DF">
            <w:pPr>
              <w:jc w:val="center"/>
            </w:pPr>
            <w:r w:rsidRPr="005553DF">
              <w:t>Child</w:t>
            </w:r>
          </w:p>
        </w:tc>
        <w:tc>
          <w:tcPr>
            <w:tcW w:w="1800" w:type="dxa"/>
            <w:vAlign w:val="center"/>
          </w:tcPr>
          <w:p w14:paraId="5BAFB531" w14:textId="77777777" w:rsidR="00FA4BEA" w:rsidRPr="005553DF" w:rsidRDefault="00FA4BEA" w:rsidP="005553DF">
            <w:pPr>
              <w:jc w:val="center"/>
            </w:pPr>
            <w:r w:rsidRPr="005553DF">
              <w:t>14 minutes</w:t>
            </w:r>
          </w:p>
        </w:tc>
      </w:tr>
      <w:tr w:rsidR="00FA4BEA" w:rsidRPr="005553DF" w14:paraId="56FABEE3" w14:textId="77777777" w:rsidTr="002F0FA6">
        <w:tc>
          <w:tcPr>
            <w:tcW w:w="2070" w:type="dxa"/>
            <w:vAlign w:val="center"/>
          </w:tcPr>
          <w:p w14:paraId="34A1895C" w14:textId="77777777" w:rsidR="00FA4BEA" w:rsidRPr="005553DF" w:rsidRDefault="00FA4BEA" w:rsidP="005553DF">
            <w:r w:rsidRPr="005553DF">
              <w:t>Strengths and Difficulties Questionnaire</w:t>
            </w:r>
            <w:r w:rsidR="007C56F4" w:rsidRPr="005553DF">
              <w:rPr>
                <w:rFonts w:cs="Calibri"/>
                <w:vertAlign w:val="superscript"/>
              </w:rPr>
              <w:t>©</w:t>
            </w:r>
            <w:r w:rsidRPr="005553DF">
              <w:t xml:space="preserve"> (SDQ</w:t>
            </w:r>
            <w:r w:rsidR="007C56F4" w:rsidRPr="005553DF">
              <w:rPr>
                <w:rFonts w:cs="Calibri"/>
                <w:vertAlign w:val="superscript"/>
              </w:rPr>
              <w:t>©</w:t>
            </w:r>
            <w:r w:rsidRPr="005553DF">
              <w:t>)</w:t>
            </w:r>
          </w:p>
        </w:tc>
        <w:tc>
          <w:tcPr>
            <w:tcW w:w="3060" w:type="dxa"/>
            <w:vAlign w:val="center"/>
          </w:tcPr>
          <w:p w14:paraId="341F55AE" w14:textId="77777777" w:rsidR="00FA4BEA" w:rsidRPr="005553DF" w:rsidRDefault="00FA4BEA" w:rsidP="005553DF">
            <w:r w:rsidRPr="005553DF">
              <w:t>Double-sided form with impact supplement (behavioral problems)</w:t>
            </w:r>
          </w:p>
        </w:tc>
        <w:tc>
          <w:tcPr>
            <w:tcW w:w="900" w:type="dxa"/>
            <w:vAlign w:val="center"/>
          </w:tcPr>
          <w:p w14:paraId="3126C416" w14:textId="77777777" w:rsidR="00FA4BEA" w:rsidRPr="005553DF" w:rsidRDefault="00FA4BEA" w:rsidP="005553DF">
            <w:pPr>
              <w:jc w:val="center"/>
            </w:pPr>
            <w:r w:rsidRPr="005553DF">
              <w:t>4 – 17</w:t>
            </w:r>
          </w:p>
        </w:tc>
        <w:tc>
          <w:tcPr>
            <w:tcW w:w="1530" w:type="dxa"/>
            <w:vAlign w:val="center"/>
          </w:tcPr>
          <w:p w14:paraId="373D4B98" w14:textId="77777777" w:rsidR="00FA4BEA" w:rsidRPr="005553DF" w:rsidRDefault="00FA4BEA" w:rsidP="005553DF">
            <w:pPr>
              <w:jc w:val="center"/>
            </w:pPr>
            <w:r w:rsidRPr="005553DF">
              <w:t>Parent about Child</w:t>
            </w:r>
          </w:p>
        </w:tc>
        <w:tc>
          <w:tcPr>
            <w:tcW w:w="1800" w:type="dxa"/>
            <w:vAlign w:val="center"/>
          </w:tcPr>
          <w:p w14:paraId="4589EA9F" w14:textId="77777777" w:rsidR="00FA4BEA" w:rsidRPr="005553DF" w:rsidRDefault="00FA4BEA" w:rsidP="005553DF">
            <w:pPr>
              <w:jc w:val="center"/>
            </w:pPr>
            <w:r w:rsidRPr="005553DF">
              <w:t>5 minutes</w:t>
            </w:r>
          </w:p>
        </w:tc>
      </w:tr>
      <w:tr w:rsidR="00FA4BEA" w:rsidRPr="005553DF" w14:paraId="63D2BE12" w14:textId="77777777" w:rsidTr="00C10B11">
        <w:tc>
          <w:tcPr>
            <w:tcW w:w="2070" w:type="dxa"/>
            <w:vAlign w:val="center"/>
          </w:tcPr>
          <w:p w14:paraId="6C79DE3B" w14:textId="77777777" w:rsidR="00FA4BEA" w:rsidRPr="005553DF" w:rsidRDefault="00FA4BEA" w:rsidP="005553DF">
            <w:r w:rsidRPr="005553DF">
              <w:t>Behavior Rating Inventory of Executive Function® (BRIEF®)</w:t>
            </w:r>
          </w:p>
        </w:tc>
        <w:tc>
          <w:tcPr>
            <w:tcW w:w="3060" w:type="dxa"/>
            <w:vAlign w:val="center"/>
          </w:tcPr>
          <w:p w14:paraId="1A4F807C" w14:textId="77777777" w:rsidR="00FA4BEA" w:rsidRPr="005553DF" w:rsidRDefault="00FA4BEA" w:rsidP="005553DF">
            <w:r w:rsidRPr="005553DF">
              <w:t>Executive Function</w:t>
            </w:r>
          </w:p>
        </w:tc>
        <w:tc>
          <w:tcPr>
            <w:tcW w:w="900" w:type="dxa"/>
            <w:vAlign w:val="center"/>
          </w:tcPr>
          <w:p w14:paraId="7700E30B" w14:textId="77777777" w:rsidR="00FA4BEA" w:rsidRPr="005553DF" w:rsidRDefault="00FA4BEA" w:rsidP="005553DF">
            <w:pPr>
              <w:jc w:val="center"/>
            </w:pPr>
            <w:r w:rsidRPr="005553DF">
              <w:t>6-17</w:t>
            </w:r>
          </w:p>
        </w:tc>
        <w:tc>
          <w:tcPr>
            <w:tcW w:w="1530" w:type="dxa"/>
            <w:vAlign w:val="center"/>
          </w:tcPr>
          <w:p w14:paraId="78132091" w14:textId="77777777" w:rsidR="00FA4BEA" w:rsidRPr="005553DF" w:rsidRDefault="00FA4BEA" w:rsidP="005553DF">
            <w:pPr>
              <w:jc w:val="center"/>
            </w:pPr>
            <w:r w:rsidRPr="005553DF">
              <w:t>Parent about Child</w:t>
            </w:r>
          </w:p>
        </w:tc>
        <w:tc>
          <w:tcPr>
            <w:tcW w:w="1800" w:type="dxa"/>
            <w:vAlign w:val="center"/>
          </w:tcPr>
          <w:p w14:paraId="10D55962" w14:textId="77777777" w:rsidR="00FA4BEA" w:rsidRPr="005553DF" w:rsidRDefault="00FA4BEA" w:rsidP="005553DF">
            <w:pPr>
              <w:jc w:val="center"/>
            </w:pPr>
            <w:r w:rsidRPr="005553DF">
              <w:t>10 minutes</w:t>
            </w:r>
          </w:p>
        </w:tc>
      </w:tr>
      <w:tr w:rsidR="00FA4BEA" w:rsidRPr="005553DF" w14:paraId="29D74E8F" w14:textId="77777777" w:rsidTr="00C10B11">
        <w:tc>
          <w:tcPr>
            <w:tcW w:w="2070" w:type="dxa"/>
            <w:vAlign w:val="center"/>
          </w:tcPr>
          <w:p w14:paraId="26D29E98" w14:textId="77777777" w:rsidR="00FA4BEA" w:rsidRPr="005553DF" w:rsidRDefault="00FA4BEA" w:rsidP="005553DF">
            <w:r w:rsidRPr="005553DF">
              <w:t>Behavior Rating Inventory of Executive Function® – Preschool Version (BRIEF®-P)</w:t>
            </w:r>
          </w:p>
        </w:tc>
        <w:tc>
          <w:tcPr>
            <w:tcW w:w="3060" w:type="dxa"/>
            <w:vAlign w:val="center"/>
          </w:tcPr>
          <w:p w14:paraId="791AEFD4" w14:textId="77777777" w:rsidR="00FA4BEA" w:rsidRPr="005553DF" w:rsidRDefault="00FA4BEA" w:rsidP="005553DF">
            <w:r w:rsidRPr="005553DF">
              <w:t>Executive Function - Preschool</w:t>
            </w:r>
          </w:p>
        </w:tc>
        <w:tc>
          <w:tcPr>
            <w:tcW w:w="900" w:type="dxa"/>
            <w:vAlign w:val="center"/>
          </w:tcPr>
          <w:p w14:paraId="196F8437" w14:textId="77777777" w:rsidR="00FA4BEA" w:rsidRPr="005553DF" w:rsidRDefault="00FA4BEA" w:rsidP="005553DF">
            <w:pPr>
              <w:jc w:val="center"/>
            </w:pPr>
            <w:r w:rsidRPr="005553DF">
              <w:t>4-5</w:t>
            </w:r>
          </w:p>
        </w:tc>
        <w:tc>
          <w:tcPr>
            <w:tcW w:w="1530" w:type="dxa"/>
            <w:vAlign w:val="center"/>
          </w:tcPr>
          <w:p w14:paraId="662FF08B" w14:textId="77777777" w:rsidR="00FA4BEA" w:rsidRPr="005553DF" w:rsidRDefault="00FA4BEA" w:rsidP="005553DF">
            <w:pPr>
              <w:jc w:val="center"/>
            </w:pPr>
            <w:r w:rsidRPr="005553DF">
              <w:t>Parent about Child</w:t>
            </w:r>
          </w:p>
        </w:tc>
        <w:tc>
          <w:tcPr>
            <w:tcW w:w="1800" w:type="dxa"/>
            <w:vAlign w:val="center"/>
          </w:tcPr>
          <w:p w14:paraId="582BF809" w14:textId="77777777" w:rsidR="00FA4BEA" w:rsidRPr="005553DF" w:rsidRDefault="00FA4BEA" w:rsidP="005553DF">
            <w:pPr>
              <w:jc w:val="center"/>
            </w:pPr>
            <w:r w:rsidRPr="005553DF">
              <w:t>10 minutes</w:t>
            </w:r>
          </w:p>
        </w:tc>
      </w:tr>
    </w:tbl>
    <w:p w14:paraId="43ED7CE5" w14:textId="77777777" w:rsidR="009C75D3" w:rsidRPr="005553DF" w:rsidRDefault="009C75D3" w:rsidP="005553DF"/>
    <w:p w14:paraId="08DD38D5" w14:textId="77777777" w:rsidR="007831C6" w:rsidRPr="005553DF" w:rsidRDefault="007831C6" w:rsidP="005553DF">
      <w:pPr>
        <w:spacing w:line="360" w:lineRule="auto"/>
        <w:jc w:val="both"/>
        <w:rPr>
          <w:rFonts w:asciiTheme="minorHAnsi" w:hAnsiTheme="minorHAnsi" w:cstheme="minorHAnsi"/>
          <w:b/>
          <w:bCs/>
          <w:iCs/>
          <w:color w:val="000000"/>
        </w:rPr>
      </w:pPr>
      <w:r w:rsidRPr="005553DF">
        <w:rPr>
          <w:rFonts w:asciiTheme="minorHAnsi" w:hAnsiTheme="minorHAnsi" w:cstheme="minorHAnsi"/>
          <w:bCs/>
          <w:iCs/>
          <w:color w:val="000000"/>
        </w:rPr>
        <w:t>For each child, ATSDR will also review and abstract school records, including special education records, to identify learning problems and behavioral problems (</w:t>
      </w:r>
      <w:r w:rsidR="002944DE" w:rsidRPr="005553DF">
        <w:rPr>
          <w:rFonts w:asciiTheme="minorHAnsi" w:hAnsiTheme="minorHAnsi" w:cstheme="minorHAnsi"/>
          <w:b/>
          <w:bCs/>
          <w:iCs/>
          <w:color w:val="000000"/>
        </w:rPr>
        <w:t>Attachment 20</w:t>
      </w:r>
      <w:r w:rsidRPr="005553DF">
        <w:rPr>
          <w:rFonts w:asciiTheme="minorHAnsi" w:hAnsiTheme="minorHAnsi" w:cstheme="minorHAnsi"/>
          <w:b/>
          <w:bCs/>
          <w:iCs/>
          <w:color w:val="000000"/>
        </w:rPr>
        <w:t>b</w:t>
      </w:r>
      <w:r w:rsidRPr="005553DF">
        <w:rPr>
          <w:rFonts w:asciiTheme="minorHAnsi" w:hAnsiTheme="minorHAnsi" w:cstheme="minorHAnsi"/>
          <w:bCs/>
          <w:iCs/>
          <w:color w:val="000000"/>
        </w:rPr>
        <w:t>).</w:t>
      </w:r>
      <w:r w:rsidR="00C24D96" w:rsidRPr="005553DF">
        <w:rPr>
          <w:rFonts w:asciiTheme="minorHAnsi" w:hAnsiTheme="minorHAnsi" w:cstheme="minorHAnsi"/>
          <w:bCs/>
          <w:iCs/>
          <w:color w:val="000000"/>
        </w:rPr>
        <w:t xml:space="preserve"> </w:t>
      </w:r>
      <w:r w:rsidR="00C24D96" w:rsidRPr="005553DF">
        <w:rPr>
          <w:bCs/>
          <w:iCs/>
          <w:color w:val="000000"/>
        </w:rPr>
        <w:t xml:space="preserve">If the parent reports that the child has a developmental disability (e.g., ADHD, autism, or a learning disability), then the contractor shall obtain and abstract the special education records for the child including the individualized education program (IEP), the IEP evaluation report (“Full Individual Evaluation” or “FIE”), and if available, the Independent Educational Evaluation. </w:t>
      </w:r>
    </w:p>
    <w:p w14:paraId="29D9FC7A" w14:textId="77777777" w:rsidR="00C45AA6" w:rsidRPr="005553DF" w:rsidRDefault="00C45AA6" w:rsidP="005553DF">
      <w:pPr>
        <w:pStyle w:val="Heading4"/>
        <w:spacing w:before="0" w:after="240" w:line="360" w:lineRule="auto"/>
        <w:rPr>
          <w:rFonts w:asciiTheme="minorHAnsi" w:hAnsiTheme="minorHAnsi" w:cstheme="minorHAnsi"/>
          <w:i w:val="0"/>
          <w:color w:val="auto"/>
        </w:rPr>
      </w:pPr>
      <w:bookmarkStart w:id="60" w:name="_Toc532224174"/>
      <w:r w:rsidRPr="005553DF">
        <w:rPr>
          <w:rFonts w:asciiTheme="minorHAnsi" w:hAnsiTheme="minorHAnsi" w:cstheme="minorHAnsi"/>
          <w:i w:val="0"/>
          <w:color w:val="auto"/>
        </w:rPr>
        <w:t>3.</w:t>
      </w:r>
      <w:r w:rsidR="00B630A2" w:rsidRPr="005553DF">
        <w:rPr>
          <w:rFonts w:asciiTheme="minorHAnsi" w:hAnsiTheme="minorHAnsi" w:cstheme="minorHAnsi"/>
          <w:i w:val="0"/>
          <w:color w:val="auto"/>
        </w:rPr>
        <w:t>6</w:t>
      </w:r>
      <w:r w:rsidRPr="005553DF">
        <w:rPr>
          <w:rFonts w:asciiTheme="minorHAnsi" w:hAnsiTheme="minorHAnsi" w:cstheme="minorHAnsi"/>
          <w:i w:val="0"/>
          <w:color w:val="auto"/>
        </w:rPr>
        <w:t>.</w:t>
      </w:r>
      <w:r w:rsidR="009210EE" w:rsidRPr="005553DF">
        <w:rPr>
          <w:rFonts w:asciiTheme="minorHAnsi" w:hAnsiTheme="minorHAnsi" w:cstheme="minorHAnsi"/>
          <w:i w:val="0"/>
          <w:color w:val="auto"/>
        </w:rPr>
        <w:t>5</w:t>
      </w:r>
      <w:r w:rsidRPr="005553DF">
        <w:rPr>
          <w:rFonts w:asciiTheme="minorHAnsi" w:hAnsiTheme="minorHAnsi" w:cstheme="minorHAnsi"/>
          <w:i w:val="0"/>
          <w:color w:val="auto"/>
        </w:rPr>
        <w:t>.2 Adults</w:t>
      </w:r>
      <w:bookmarkEnd w:id="60"/>
    </w:p>
    <w:p w14:paraId="2AB79788" w14:textId="77777777" w:rsidR="00AA6272" w:rsidRPr="005553DF" w:rsidRDefault="00922EBC"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Each adult participa</w:t>
      </w:r>
      <w:r w:rsidR="008D1B61" w:rsidRPr="005553DF">
        <w:rPr>
          <w:rFonts w:asciiTheme="minorHAnsi" w:hAnsiTheme="minorHAnsi" w:cstheme="minorHAnsi"/>
        </w:rPr>
        <w:t xml:space="preserve">nt will complete a questionnaire requesting demographic information, occupational </w:t>
      </w:r>
      <w:r w:rsidR="008D1B61" w:rsidRPr="005553DF">
        <w:rPr>
          <w:rFonts w:asciiTheme="minorHAnsi" w:hAnsiTheme="minorHAnsi" w:cstheme="minorHAnsi"/>
          <w:bCs/>
          <w:iCs/>
          <w:color w:val="000000"/>
        </w:rPr>
        <w:t>history, medical history and reproductive history</w:t>
      </w:r>
      <w:r w:rsidR="00A478A8" w:rsidRPr="005553DF">
        <w:rPr>
          <w:rFonts w:asciiTheme="minorHAnsi" w:hAnsiTheme="minorHAnsi" w:cstheme="minorHAnsi"/>
          <w:bCs/>
          <w:iCs/>
          <w:color w:val="000000"/>
        </w:rPr>
        <w:t xml:space="preserve"> (</w:t>
      </w:r>
      <w:r w:rsidR="00C93DFA" w:rsidRPr="005553DF">
        <w:rPr>
          <w:rFonts w:asciiTheme="minorHAnsi" w:hAnsiTheme="minorHAnsi" w:cstheme="minorHAnsi"/>
          <w:b/>
          <w:bCs/>
          <w:iCs/>
          <w:color w:val="000000"/>
        </w:rPr>
        <w:t xml:space="preserve">Attachment </w:t>
      </w:r>
      <w:r w:rsidR="008E0449" w:rsidRPr="005553DF">
        <w:rPr>
          <w:rFonts w:asciiTheme="minorHAnsi" w:hAnsiTheme="minorHAnsi" w:cstheme="minorHAnsi"/>
          <w:b/>
          <w:bCs/>
          <w:iCs/>
          <w:color w:val="000000"/>
        </w:rPr>
        <w:t>18</w:t>
      </w:r>
      <w:r w:rsidR="00C93DFA" w:rsidRPr="005553DF">
        <w:rPr>
          <w:rFonts w:asciiTheme="minorHAnsi" w:hAnsiTheme="minorHAnsi" w:cstheme="minorHAnsi"/>
          <w:bCs/>
          <w:iCs/>
          <w:color w:val="000000"/>
        </w:rPr>
        <w:t>)</w:t>
      </w:r>
      <w:r w:rsidR="008D1B61" w:rsidRPr="005553DF">
        <w:rPr>
          <w:rFonts w:asciiTheme="minorHAnsi" w:hAnsiTheme="minorHAnsi" w:cstheme="minorHAnsi"/>
          <w:bCs/>
          <w:iCs/>
          <w:color w:val="000000"/>
        </w:rPr>
        <w:t xml:space="preserve">.  </w:t>
      </w:r>
      <w:r w:rsidR="00AB1D24" w:rsidRPr="005553DF">
        <w:rPr>
          <w:rFonts w:asciiTheme="minorHAnsi" w:hAnsiTheme="minorHAnsi" w:cstheme="minorHAnsi"/>
          <w:bCs/>
          <w:iCs/>
          <w:color w:val="000000"/>
        </w:rPr>
        <w:t xml:space="preserve">In particular, the questionnaire will ask if the participant ever had kidney disease, liver disease, cardiovascular disease, hypertension, thyroid disease, </w:t>
      </w:r>
      <w:r w:rsidR="004541C9" w:rsidRPr="005553DF">
        <w:rPr>
          <w:rFonts w:asciiTheme="minorHAnsi" w:hAnsiTheme="minorHAnsi" w:cstheme="minorHAnsi"/>
          <w:bCs/>
          <w:iCs/>
          <w:color w:val="000000"/>
        </w:rPr>
        <w:t xml:space="preserve">diabetes, </w:t>
      </w:r>
      <w:r w:rsidR="00AB1D24" w:rsidRPr="005553DF">
        <w:rPr>
          <w:rFonts w:asciiTheme="minorHAnsi" w:hAnsiTheme="minorHAnsi" w:cstheme="minorHAnsi"/>
          <w:bCs/>
          <w:iCs/>
          <w:color w:val="000000"/>
        </w:rPr>
        <w:t xml:space="preserve">autoimmune diseases, osteoporosis, osteoarthritis, pregnancy-induced hypertension, and endometriosis. </w:t>
      </w:r>
      <w:r w:rsidR="008D1B61" w:rsidRPr="005553DF">
        <w:rPr>
          <w:rFonts w:asciiTheme="minorHAnsi" w:hAnsiTheme="minorHAnsi" w:cstheme="minorHAnsi"/>
          <w:bCs/>
          <w:iCs/>
          <w:color w:val="000000"/>
        </w:rPr>
        <w:t>For each reported disease or condition, the questionnaire will ask about the</w:t>
      </w:r>
      <w:r w:rsidR="00AB1D24" w:rsidRPr="005553DF">
        <w:rPr>
          <w:rFonts w:asciiTheme="minorHAnsi" w:hAnsiTheme="minorHAnsi" w:cstheme="minorHAnsi"/>
          <w:bCs/>
          <w:iCs/>
          <w:color w:val="000000"/>
        </w:rPr>
        <w:t xml:space="preserve"> date of diagnosis, the medical provider who made the diagnosis, and the</w:t>
      </w:r>
      <w:r w:rsidR="008D1B61" w:rsidRPr="005553DF">
        <w:rPr>
          <w:rFonts w:asciiTheme="minorHAnsi" w:hAnsiTheme="minorHAnsi" w:cstheme="minorHAnsi"/>
          <w:bCs/>
          <w:iCs/>
          <w:color w:val="000000"/>
        </w:rPr>
        <w:t xml:space="preserve"> medications used for treatment.  The study will attempt to confirm each disease or condition by accessing medical records. </w:t>
      </w:r>
      <w:r w:rsidR="00F2376E" w:rsidRPr="005553DF">
        <w:rPr>
          <w:rFonts w:asciiTheme="minorHAnsi" w:hAnsiTheme="minorHAnsi" w:cstheme="minorHAnsi"/>
          <w:bCs/>
          <w:iCs/>
          <w:color w:val="000000"/>
        </w:rPr>
        <w:t>T</w:t>
      </w:r>
      <w:r w:rsidR="00441388" w:rsidRPr="005553DF">
        <w:rPr>
          <w:rFonts w:asciiTheme="minorHAnsi" w:hAnsiTheme="minorHAnsi" w:cstheme="minorHAnsi"/>
          <w:bCs/>
          <w:iCs/>
          <w:color w:val="000000"/>
        </w:rPr>
        <w:t>he questionnaire will ask for the dates the participant worked at Pease and water consumption habits</w:t>
      </w:r>
      <w:r w:rsidR="00AB1D24" w:rsidRPr="005553DF">
        <w:rPr>
          <w:rFonts w:asciiTheme="minorHAnsi" w:hAnsiTheme="minorHAnsi" w:cstheme="minorHAnsi"/>
          <w:bCs/>
          <w:iCs/>
          <w:color w:val="000000"/>
        </w:rPr>
        <w:t xml:space="preserve"> (including bottled water use)</w:t>
      </w:r>
      <w:r w:rsidR="00441388" w:rsidRPr="005553DF">
        <w:rPr>
          <w:rFonts w:asciiTheme="minorHAnsi" w:hAnsiTheme="minorHAnsi" w:cstheme="minorHAnsi"/>
          <w:bCs/>
          <w:iCs/>
          <w:color w:val="000000"/>
        </w:rPr>
        <w:t xml:space="preserve"> while working at Pease.  </w:t>
      </w:r>
      <w:r w:rsidR="00F2376E" w:rsidRPr="005553DF">
        <w:rPr>
          <w:rFonts w:asciiTheme="minorHAnsi" w:hAnsiTheme="minorHAnsi" w:cstheme="minorHAnsi"/>
          <w:bCs/>
          <w:iCs/>
          <w:color w:val="000000"/>
        </w:rPr>
        <w:t xml:space="preserve">The questionnaire will ask the participant about conditions that might affect PFAS serum </w:t>
      </w:r>
      <w:r w:rsidR="00F2376E" w:rsidRPr="005553DF">
        <w:rPr>
          <w:rFonts w:asciiTheme="minorHAnsi" w:hAnsiTheme="minorHAnsi" w:cstheme="minorHAnsi"/>
        </w:rPr>
        <w:t xml:space="preserve">levels such as date of menopause, </w:t>
      </w:r>
      <w:r w:rsidR="004541C9" w:rsidRPr="005553DF">
        <w:rPr>
          <w:rFonts w:asciiTheme="minorHAnsi" w:hAnsiTheme="minorHAnsi" w:cstheme="minorHAnsi"/>
        </w:rPr>
        <w:t xml:space="preserve">menstrual cycle information, </w:t>
      </w:r>
      <w:r w:rsidR="00F2376E" w:rsidRPr="005553DF">
        <w:rPr>
          <w:rFonts w:asciiTheme="minorHAnsi" w:hAnsiTheme="minorHAnsi" w:cstheme="minorHAnsi"/>
        </w:rPr>
        <w:t>blood transfusions, and blood donations.</w:t>
      </w:r>
      <w:r w:rsidR="00C93DFA" w:rsidRPr="005553DF">
        <w:rPr>
          <w:rFonts w:asciiTheme="minorHAnsi" w:hAnsiTheme="minorHAnsi" w:cstheme="minorHAnsi"/>
          <w:bCs/>
          <w:iCs/>
        </w:rPr>
        <w:t xml:space="preserve"> </w:t>
      </w:r>
      <w:r w:rsidR="00C93DFA" w:rsidRPr="005553DF">
        <w:rPr>
          <w:rFonts w:asciiTheme="minorHAnsi" w:hAnsiTheme="minorHAnsi" w:cstheme="minorHAnsi"/>
        </w:rPr>
        <w:t>The study will attempt to confirm diseases and conditions reported in the questionnaire by medical records</w:t>
      </w:r>
      <w:r w:rsidR="00F256C3" w:rsidRPr="005553DF">
        <w:rPr>
          <w:rFonts w:asciiTheme="minorHAnsi" w:hAnsiTheme="minorHAnsi" w:cstheme="minorHAnsi"/>
        </w:rPr>
        <w:t xml:space="preserve"> review</w:t>
      </w:r>
      <w:r w:rsidR="00C93DFA" w:rsidRPr="005553DF">
        <w:rPr>
          <w:rFonts w:asciiTheme="minorHAnsi" w:hAnsiTheme="minorHAnsi" w:cstheme="minorHAnsi"/>
          <w:bCs/>
          <w:iCs/>
          <w:color w:val="000000"/>
        </w:rPr>
        <w:t xml:space="preserve"> (</w:t>
      </w:r>
      <w:r w:rsidR="00C93DFA" w:rsidRPr="005553DF">
        <w:rPr>
          <w:rFonts w:asciiTheme="minorHAnsi" w:hAnsiTheme="minorHAnsi" w:cstheme="minorHAnsi"/>
          <w:b/>
          <w:bCs/>
          <w:iCs/>
          <w:color w:val="000000"/>
        </w:rPr>
        <w:t>Attachment</w:t>
      </w:r>
      <w:r w:rsidR="008E0449" w:rsidRPr="005553DF">
        <w:rPr>
          <w:rFonts w:asciiTheme="minorHAnsi" w:hAnsiTheme="minorHAnsi" w:cstheme="minorHAnsi"/>
          <w:b/>
          <w:bCs/>
          <w:iCs/>
          <w:color w:val="000000"/>
        </w:rPr>
        <w:t>s 19&amp;</w:t>
      </w:r>
      <w:r w:rsidR="00C93DFA" w:rsidRPr="005553DF">
        <w:rPr>
          <w:rFonts w:asciiTheme="minorHAnsi" w:hAnsiTheme="minorHAnsi" w:cstheme="minorHAnsi"/>
          <w:b/>
          <w:bCs/>
          <w:iCs/>
          <w:color w:val="000000"/>
        </w:rPr>
        <w:t>1</w:t>
      </w:r>
      <w:r w:rsidR="008E0449" w:rsidRPr="005553DF">
        <w:rPr>
          <w:rFonts w:asciiTheme="minorHAnsi" w:hAnsiTheme="minorHAnsi" w:cstheme="minorHAnsi"/>
          <w:b/>
          <w:bCs/>
          <w:iCs/>
          <w:color w:val="000000"/>
        </w:rPr>
        <w:t>9</w:t>
      </w:r>
      <w:r w:rsidR="00A218DC" w:rsidRPr="005553DF">
        <w:rPr>
          <w:rFonts w:asciiTheme="minorHAnsi" w:hAnsiTheme="minorHAnsi" w:cstheme="minorHAnsi"/>
          <w:b/>
          <w:bCs/>
          <w:iCs/>
          <w:color w:val="000000"/>
        </w:rPr>
        <w:t>a</w:t>
      </w:r>
      <w:r w:rsidR="00C93DFA" w:rsidRPr="005553DF">
        <w:rPr>
          <w:rFonts w:asciiTheme="minorHAnsi" w:hAnsiTheme="minorHAnsi" w:cstheme="minorHAnsi"/>
          <w:bCs/>
          <w:iCs/>
          <w:color w:val="000000"/>
        </w:rPr>
        <w:t>).</w:t>
      </w:r>
    </w:p>
    <w:p w14:paraId="603D139F" w14:textId="77777777" w:rsidR="009210EE" w:rsidRPr="005553DF" w:rsidRDefault="009210EE" w:rsidP="005553DF">
      <w:pPr>
        <w:pStyle w:val="Heading3"/>
        <w:spacing w:before="100" w:beforeAutospacing="1" w:after="240" w:line="360" w:lineRule="auto"/>
        <w:rPr>
          <w:rFonts w:asciiTheme="minorHAnsi" w:hAnsiTheme="minorHAnsi" w:cstheme="minorHAnsi"/>
          <w:b w:val="0"/>
          <w:i/>
        </w:rPr>
      </w:pPr>
      <w:bookmarkStart w:id="61" w:name="_Toc532224175"/>
      <w:r w:rsidRPr="005553DF">
        <w:rPr>
          <w:rFonts w:asciiTheme="minorHAnsi" w:hAnsiTheme="minorHAnsi" w:cstheme="minorHAnsi"/>
          <w:i/>
          <w:color w:val="auto"/>
        </w:rPr>
        <w:t>3.6.6 Exit Procedures</w:t>
      </w:r>
      <w:bookmarkEnd w:id="61"/>
    </w:p>
    <w:p w14:paraId="2226A516" w14:textId="77777777" w:rsidR="00EE6F03" w:rsidRPr="005553DF" w:rsidRDefault="0010485E"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At the end of the data collection, study coordinators or staff will review recorded items in the </w:t>
      </w:r>
      <w:r w:rsidR="008202F2" w:rsidRPr="005553DF">
        <w:rPr>
          <w:rFonts w:asciiTheme="minorHAnsi" w:hAnsiTheme="minorHAnsi" w:cstheme="minorHAnsi"/>
        </w:rPr>
        <w:t>participant</w:t>
      </w:r>
      <w:r w:rsidRPr="005553DF">
        <w:rPr>
          <w:rFonts w:asciiTheme="minorHAnsi" w:hAnsiTheme="minorHAnsi" w:cstheme="minorHAnsi"/>
        </w:rPr>
        <w:t xml:space="preserve">’s </w:t>
      </w:r>
      <w:r w:rsidR="00DE1BC4" w:rsidRPr="005553DF">
        <w:rPr>
          <w:rFonts w:asciiTheme="minorHAnsi" w:hAnsiTheme="minorHAnsi" w:cstheme="minorHAnsi"/>
        </w:rPr>
        <w:t>Appointment Tracking Form</w:t>
      </w:r>
      <w:r w:rsidRPr="005553DF">
        <w:rPr>
          <w:rFonts w:asciiTheme="minorHAnsi" w:hAnsiTheme="minorHAnsi" w:cstheme="minorHAnsi"/>
        </w:rPr>
        <w:t xml:space="preserve"> for completeness</w:t>
      </w:r>
      <w:r w:rsidR="00490C77" w:rsidRPr="005553DF">
        <w:rPr>
          <w:rFonts w:asciiTheme="minorHAnsi" w:hAnsiTheme="minorHAnsi" w:cstheme="minorHAnsi"/>
        </w:rPr>
        <w:t xml:space="preserve"> (</w:t>
      </w:r>
      <w:r w:rsidR="00490C77" w:rsidRPr="005553DF">
        <w:rPr>
          <w:rFonts w:asciiTheme="minorHAnsi" w:hAnsiTheme="minorHAnsi" w:cstheme="minorHAnsi"/>
          <w:b/>
        </w:rPr>
        <w:t>Attachment 11</w:t>
      </w:r>
      <w:r w:rsidR="00490C77" w:rsidRPr="005553DF">
        <w:rPr>
          <w:rFonts w:asciiTheme="minorHAnsi" w:hAnsiTheme="minorHAnsi" w:cstheme="minorHAnsi"/>
        </w:rPr>
        <w:t>)</w:t>
      </w:r>
      <w:r w:rsidRPr="005553DF">
        <w:rPr>
          <w:rFonts w:asciiTheme="minorHAnsi" w:hAnsiTheme="minorHAnsi" w:cstheme="minorHAnsi"/>
        </w:rPr>
        <w:t xml:space="preserve">. </w:t>
      </w:r>
    </w:p>
    <w:p w14:paraId="3F980D2A" w14:textId="77777777" w:rsidR="0010485E" w:rsidRPr="005553DF" w:rsidRDefault="0010485E"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w:t>
      </w:r>
      <w:r w:rsidR="008202F2" w:rsidRPr="005553DF">
        <w:rPr>
          <w:rFonts w:asciiTheme="minorHAnsi" w:hAnsiTheme="minorHAnsi" w:cstheme="minorHAnsi"/>
        </w:rPr>
        <w:t>adult participant</w:t>
      </w:r>
      <w:r w:rsidRPr="005553DF">
        <w:rPr>
          <w:rFonts w:asciiTheme="minorHAnsi" w:hAnsiTheme="minorHAnsi" w:cstheme="minorHAnsi"/>
        </w:rPr>
        <w:t xml:space="preserve"> </w:t>
      </w:r>
      <w:r w:rsidR="008202F2" w:rsidRPr="005553DF">
        <w:rPr>
          <w:rFonts w:asciiTheme="minorHAnsi" w:hAnsiTheme="minorHAnsi" w:cstheme="minorHAnsi"/>
        </w:rPr>
        <w:t xml:space="preserve">or the parent of the child participant </w:t>
      </w:r>
      <w:r w:rsidRPr="005553DF">
        <w:rPr>
          <w:rFonts w:asciiTheme="minorHAnsi" w:hAnsiTheme="minorHAnsi" w:cstheme="minorHAnsi"/>
        </w:rPr>
        <w:t xml:space="preserve">will receive a copy of </w:t>
      </w:r>
      <w:r w:rsidR="008202F2" w:rsidRPr="005553DF">
        <w:rPr>
          <w:rFonts w:asciiTheme="minorHAnsi" w:hAnsiTheme="minorHAnsi" w:cstheme="minorHAnsi"/>
        </w:rPr>
        <w:t>the participant’s</w:t>
      </w:r>
      <w:r w:rsidRPr="005553DF">
        <w:rPr>
          <w:rFonts w:asciiTheme="minorHAnsi" w:hAnsiTheme="minorHAnsi" w:cstheme="minorHAnsi"/>
        </w:rPr>
        <w:t xml:space="preserve"> </w:t>
      </w:r>
      <w:r w:rsidR="008202F2" w:rsidRPr="005553DF">
        <w:rPr>
          <w:rFonts w:asciiTheme="minorHAnsi" w:hAnsiTheme="minorHAnsi" w:cstheme="minorHAnsi"/>
        </w:rPr>
        <w:t>B</w:t>
      </w:r>
      <w:r w:rsidRPr="005553DF">
        <w:rPr>
          <w:rFonts w:asciiTheme="minorHAnsi" w:hAnsiTheme="minorHAnsi" w:cstheme="minorHAnsi"/>
        </w:rPr>
        <w:t xml:space="preserve">ody and </w:t>
      </w:r>
      <w:r w:rsidR="008202F2" w:rsidRPr="005553DF">
        <w:rPr>
          <w:rFonts w:asciiTheme="minorHAnsi" w:hAnsiTheme="minorHAnsi" w:cstheme="minorHAnsi"/>
        </w:rPr>
        <w:t>B</w:t>
      </w:r>
      <w:r w:rsidRPr="005553DF">
        <w:rPr>
          <w:rFonts w:asciiTheme="minorHAnsi" w:hAnsiTheme="minorHAnsi" w:cstheme="minorHAnsi"/>
        </w:rPr>
        <w:t xml:space="preserve">lood </w:t>
      </w:r>
      <w:r w:rsidR="008202F2" w:rsidRPr="005553DF">
        <w:rPr>
          <w:rFonts w:asciiTheme="minorHAnsi" w:hAnsiTheme="minorHAnsi" w:cstheme="minorHAnsi"/>
        </w:rPr>
        <w:t>P</w:t>
      </w:r>
      <w:r w:rsidRPr="005553DF">
        <w:rPr>
          <w:rFonts w:asciiTheme="minorHAnsi" w:hAnsiTheme="minorHAnsi" w:cstheme="minorHAnsi"/>
        </w:rPr>
        <w:t xml:space="preserve">ressure </w:t>
      </w:r>
      <w:r w:rsidR="008202F2" w:rsidRPr="005553DF">
        <w:rPr>
          <w:rFonts w:asciiTheme="minorHAnsi" w:hAnsiTheme="minorHAnsi" w:cstheme="minorHAnsi"/>
        </w:rPr>
        <w:t>M</w:t>
      </w:r>
      <w:r w:rsidRPr="005553DF">
        <w:rPr>
          <w:rFonts w:asciiTheme="minorHAnsi" w:hAnsiTheme="minorHAnsi" w:cstheme="minorHAnsi"/>
        </w:rPr>
        <w:t>easures</w:t>
      </w:r>
      <w:r w:rsidR="008202F2" w:rsidRPr="005553DF">
        <w:rPr>
          <w:rFonts w:asciiTheme="minorHAnsi" w:hAnsiTheme="minorHAnsi" w:cstheme="minorHAnsi"/>
        </w:rPr>
        <w:t xml:space="preserve"> Report</w:t>
      </w:r>
      <w:r w:rsidR="00BA05E5" w:rsidRPr="005553DF">
        <w:rPr>
          <w:rFonts w:asciiTheme="minorHAnsi" w:hAnsiTheme="minorHAnsi" w:cstheme="minorHAnsi"/>
        </w:rPr>
        <w:t xml:space="preserve"> (</w:t>
      </w:r>
      <w:r w:rsidR="00BA05E5" w:rsidRPr="005553DF">
        <w:rPr>
          <w:rFonts w:asciiTheme="minorHAnsi" w:hAnsiTheme="minorHAnsi" w:cstheme="minorHAnsi"/>
          <w:b/>
        </w:rPr>
        <w:t xml:space="preserve">Attachment </w:t>
      </w:r>
      <w:r w:rsidR="00DE0A46" w:rsidRPr="005553DF">
        <w:rPr>
          <w:rFonts w:asciiTheme="minorHAnsi" w:hAnsiTheme="minorHAnsi" w:cstheme="minorHAnsi"/>
          <w:b/>
        </w:rPr>
        <w:t>21</w:t>
      </w:r>
      <w:r w:rsidR="00BA05E5" w:rsidRPr="005553DF">
        <w:rPr>
          <w:rFonts w:asciiTheme="minorHAnsi" w:hAnsiTheme="minorHAnsi" w:cstheme="minorHAnsi"/>
        </w:rPr>
        <w:t>)</w:t>
      </w:r>
      <w:r w:rsidRPr="005553DF">
        <w:rPr>
          <w:rFonts w:asciiTheme="minorHAnsi" w:hAnsiTheme="minorHAnsi" w:cstheme="minorHAnsi"/>
        </w:rPr>
        <w:t xml:space="preserve">. </w:t>
      </w:r>
      <w:r w:rsidRPr="005553DF">
        <w:rPr>
          <w:rFonts w:asciiTheme="minorHAnsi" w:hAnsiTheme="minorHAnsi" w:cstheme="minorHAnsi"/>
          <w:color w:val="000000"/>
        </w:rPr>
        <w:t>These results will be immediately available and will require no further evaluation or interpretation with two exceptions</w:t>
      </w:r>
      <w:r w:rsidRPr="005553DF">
        <w:rPr>
          <w:rFonts w:asciiTheme="minorHAnsi" w:hAnsiTheme="minorHAnsi" w:cstheme="minorHAnsi"/>
        </w:rPr>
        <w:t xml:space="preserve">. </w:t>
      </w:r>
      <w:r w:rsidR="008202F2" w:rsidRPr="005553DF">
        <w:rPr>
          <w:rFonts w:asciiTheme="minorHAnsi" w:hAnsiTheme="minorHAnsi" w:cstheme="minorHAnsi"/>
        </w:rPr>
        <w:t>The adult participant or the parent of the child participant will receive a</w:t>
      </w:r>
      <w:r w:rsidRPr="005553DF">
        <w:rPr>
          <w:rFonts w:asciiTheme="minorHAnsi" w:hAnsiTheme="minorHAnsi" w:cstheme="minorHAnsi"/>
        </w:rPr>
        <w:t xml:space="preserve"> supplemental notice if </w:t>
      </w:r>
      <w:r w:rsidR="008202F2" w:rsidRPr="005553DF">
        <w:rPr>
          <w:rFonts w:asciiTheme="minorHAnsi" w:hAnsiTheme="minorHAnsi" w:cstheme="minorHAnsi"/>
        </w:rPr>
        <w:t xml:space="preserve">the participant has </w:t>
      </w:r>
      <w:r w:rsidRPr="005553DF">
        <w:rPr>
          <w:rFonts w:asciiTheme="minorHAnsi" w:hAnsiTheme="minorHAnsi" w:cstheme="minorHAnsi"/>
        </w:rPr>
        <w:t xml:space="preserve">a critical blood pressure measure (diastolic blood pressure </w:t>
      </w:r>
      <w:r w:rsidR="00A45B12" w:rsidRPr="005553DF">
        <w:rPr>
          <w:rFonts w:asciiTheme="minorHAnsi" w:hAnsiTheme="minorHAnsi" w:cstheme="minorHAnsi"/>
        </w:rPr>
        <w:t>&gt;</w:t>
      </w:r>
      <w:r w:rsidRPr="005553DF">
        <w:rPr>
          <w:rFonts w:asciiTheme="minorHAnsi" w:hAnsiTheme="minorHAnsi" w:cstheme="minorHAnsi"/>
        </w:rPr>
        <w:t xml:space="preserve"> 1</w:t>
      </w:r>
      <w:r w:rsidR="00A45B12" w:rsidRPr="005553DF">
        <w:rPr>
          <w:rFonts w:asciiTheme="minorHAnsi" w:hAnsiTheme="minorHAnsi" w:cstheme="minorHAnsi"/>
        </w:rPr>
        <w:t>2</w:t>
      </w:r>
      <w:r w:rsidRPr="005553DF">
        <w:rPr>
          <w:rFonts w:asciiTheme="minorHAnsi" w:hAnsiTheme="minorHAnsi" w:cstheme="minorHAnsi"/>
        </w:rPr>
        <w:t xml:space="preserve">0 mm Hg, or systolic blood pressure </w:t>
      </w:r>
      <w:r w:rsidR="00A45B12" w:rsidRPr="005553DF">
        <w:rPr>
          <w:rFonts w:asciiTheme="minorHAnsi" w:hAnsiTheme="minorHAnsi" w:cstheme="minorHAnsi"/>
        </w:rPr>
        <w:t>&gt;</w:t>
      </w:r>
      <w:r w:rsidRPr="005553DF">
        <w:rPr>
          <w:rFonts w:asciiTheme="minorHAnsi" w:hAnsiTheme="minorHAnsi" w:cstheme="minorHAnsi"/>
        </w:rPr>
        <w:t xml:space="preserve">180 mm Hg). In this case, a </w:t>
      </w:r>
      <w:r w:rsidRPr="005553DF">
        <w:rPr>
          <w:rFonts w:asciiTheme="minorHAnsi" w:hAnsiTheme="minorHAnsi" w:cstheme="minorHAnsi"/>
          <w:bCs/>
        </w:rPr>
        <w:t xml:space="preserve">Critical Hypertension Notice will be appended to the </w:t>
      </w:r>
      <w:r w:rsidRPr="005553DF">
        <w:rPr>
          <w:rFonts w:asciiTheme="minorHAnsi" w:hAnsiTheme="minorHAnsi" w:cstheme="minorHAnsi"/>
        </w:rPr>
        <w:t xml:space="preserve">Body and Blood Pressure Measurements Report </w:t>
      </w:r>
      <w:r w:rsidRPr="005553DF">
        <w:rPr>
          <w:rFonts w:asciiTheme="minorHAnsi" w:hAnsiTheme="minorHAnsi" w:cstheme="minorHAnsi"/>
          <w:bCs/>
        </w:rPr>
        <w:t xml:space="preserve">along with written and verbal recommendations to obtain immediate medical attention. If the </w:t>
      </w:r>
      <w:r w:rsidR="008202F2" w:rsidRPr="005553DF">
        <w:rPr>
          <w:rFonts w:asciiTheme="minorHAnsi" w:hAnsiTheme="minorHAnsi" w:cstheme="minorHAnsi"/>
          <w:bCs/>
        </w:rPr>
        <w:t>participant</w:t>
      </w:r>
      <w:r w:rsidRPr="005553DF">
        <w:rPr>
          <w:rFonts w:asciiTheme="minorHAnsi" w:hAnsiTheme="minorHAnsi" w:cstheme="minorHAnsi"/>
          <w:bCs/>
        </w:rPr>
        <w:t xml:space="preserve"> does not have a personal physician, </w:t>
      </w:r>
      <w:r w:rsidR="008202F2" w:rsidRPr="005553DF">
        <w:rPr>
          <w:rFonts w:asciiTheme="minorHAnsi" w:hAnsiTheme="minorHAnsi" w:cstheme="minorHAnsi"/>
          <w:bCs/>
        </w:rPr>
        <w:t>the study coordinator will provide a referral</w:t>
      </w:r>
      <w:r w:rsidRPr="005553DF">
        <w:rPr>
          <w:rFonts w:asciiTheme="minorHAnsi" w:hAnsiTheme="minorHAnsi" w:cstheme="minorHAnsi"/>
          <w:bCs/>
        </w:rPr>
        <w:t xml:space="preserve">. </w:t>
      </w:r>
      <w:r w:rsidR="008202F2" w:rsidRPr="005553DF">
        <w:rPr>
          <w:rFonts w:asciiTheme="minorHAnsi" w:hAnsiTheme="minorHAnsi" w:cstheme="minorHAnsi"/>
          <w:bCs/>
        </w:rPr>
        <w:t xml:space="preserve">If the participant has an </w:t>
      </w:r>
      <w:r w:rsidRPr="005553DF">
        <w:rPr>
          <w:rFonts w:asciiTheme="minorHAnsi" w:hAnsiTheme="minorHAnsi" w:cstheme="minorHAnsi"/>
          <w:bCs/>
        </w:rPr>
        <w:t xml:space="preserve">elevated but non-critical </w:t>
      </w:r>
      <w:r w:rsidR="008202F2" w:rsidRPr="005553DF">
        <w:rPr>
          <w:rFonts w:asciiTheme="minorHAnsi" w:hAnsiTheme="minorHAnsi" w:cstheme="minorHAnsi"/>
          <w:bCs/>
        </w:rPr>
        <w:t xml:space="preserve">blood pressure measure </w:t>
      </w:r>
      <w:r w:rsidRPr="005553DF">
        <w:rPr>
          <w:rFonts w:asciiTheme="minorHAnsi" w:hAnsiTheme="minorHAnsi" w:cstheme="minorHAnsi"/>
          <w:bCs/>
        </w:rPr>
        <w:t xml:space="preserve">(resting blood pressure &gt; 140/90), an Elevated Hypertension Notice will be appended to the </w:t>
      </w:r>
      <w:r w:rsidRPr="005553DF">
        <w:rPr>
          <w:rFonts w:asciiTheme="minorHAnsi" w:hAnsiTheme="minorHAnsi" w:cstheme="minorHAnsi"/>
        </w:rPr>
        <w:t>Body and Blood Pressure Measures Report</w:t>
      </w:r>
      <w:r w:rsidRPr="005553DF">
        <w:rPr>
          <w:rFonts w:asciiTheme="minorHAnsi" w:hAnsiTheme="minorHAnsi" w:cstheme="minorHAnsi"/>
          <w:bCs/>
        </w:rPr>
        <w:t xml:space="preserve"> with written and verbal recommendations to obtain clinical follow-up.</w:t>
      </w:r>
      <w:r w:rsidRPr="005553DF">
        <w:rPr>
          <w:rFonts w:asciiTheme="minorHAnsi" w:hAnsiTheme="minorHAnsi" w:cstheme="minorHAnsi"/>
        </w:rPr>
        <w:t xml:space="preserve"> </w:t>
      </w:r>
    </w:p>
    <w:p w14:paraId="473DEBBC" w14:textId="77777777" w:rsidR="00FA4DF1" w:rsidRPr="005553DF" w:rsidRDefault="00FA4DF1" w:rsidP="005553DF">
      <w:pPr>
        <w:pStyle w:val="Heading4"/>
        <w:spacing w:before="0" w:after="240" w:line="360" w:lineRule="auto"/>
        <w:rPr>
          <w:rFonts w:asciiTheme="minorHAnsi" w:hAnsiTheme="minorHAnsi" w:cstheme="minorHAnsi"/>
          <w:i w:val="0"/>
          <w:color w:val="auto"/>
        </w:rPr>
      </w:pPr>
      <w:bookmarkStart w:id="62" w:name="_Toc532224176"/>
      <w:r w:rsidRPr="005553DF">
        <w:rPr>
          <w:rFonts w:asciiTheme="minorHAnsi" w:hAnsiTheme="minorHAnsi" w:cstheme="minorHAnsi"/>
          <w:i w:val="0"/>
          <w:color w:val="auto"/>
        </w:rPr>
        <w:t>3.</w:t>
      </w:r>
      <w:r w:rsidR="00B630A2" w:rsidRPr="005553DF">
        <w:rPr>
          <w:rFonts w:asciiTheme="minorHAnsi" w:hAnsiTheme="minorHAnsi" w:cstheme="minorHAnsi"/>
          <w:i w:val="0"/>
          <w:color w:val="auto"/>
        </w:rPr>
        <w:t>6</w:t>
      </w:r>
      <w:r w:rsidR="00CF1C30" w:rsidRPr="005553DF">
        <w:rPr>
          <w:rFonts w:asciiTheme="minorHAnsi" w:hAnsiTheme="minorHAnsi" w:cstheme="minorHAnsi"/>
          <w:i w:val="0"/>
          <w:color w:val="auto"/>
        </w:rPr>
        <w:t>.6</w:t>
      </w:r>
      <w:r w:rsidR="009210EE" w:rsidRPr="005553DF">
        <w:rPr>
          <w:rFonts w:asciiTheme="minorHAnsi" w:hAnsiTheme="minorHAnsi" w:cstheme="minorHAnsi"/>
          <w:i w:val="0"/>
          <w:color w:val="auto"/>
        </w:rPr>
        <w:t>.1</w:t>
      </w:r>
      <w:r w:rsidRPr="005553DF">
        <w:rPr>
          <w:rFonts w:asciiTheme="minorHAnsi" w:hAnsiTheme="minorHAnsi" w:cstheme="minorHAnsi"/>
          <w:i w:val="0"/>
          <w:color w:val="auto"/>
        </w:rPr>
        <w:t xml:space="preserve"> </w:t>
      </w:r>
      <w:r w:rsidR="0081765F" w:rsidRPr="005553DF">
        <w:rPr>
          <w:rFonts w:asciiTheme="minorHAnsi" w:hAnsiTheme="minorHAnsi" w:cstheme="minorHAnsi"/>
          <w:i w:val="0"/>
          <w:color w:val="auto"/>
        </w:rPr>
        <w:t>Gift C</w:t>
      </w:r>
      <w:r w:rsidR="0010485E" w:rsidRPr="005553DF">
        <w:rPr>
          <w:rFonts w:asciiTheme="minorHAnsi" w:hAnsiTheme="minorHAnsi" w:cstheme="minorHAnsi"/>
          <w:i w:val="0"/>
          <w:color w:val="auto"/>
        </w:rPr>
        <w:t>ard</w:t>
      </w:r>
      <w:r w:rsidR="002825FA" w:rsidRPr="005553DF">
        <w:rPr>
          <w:rFonts w:asciiTheme="minorHAnsi" w:hAnsiTheme="minorHAnsi" w:cstheme="minorHAnsi"/>
          <w:i w:val="0"/>
          <w:color w:val="auto"/>
        </w:rPr>
        <w:t>s</w:t>
      </w:r>
      <w:r w:rsidR="0081765F" w:rsidRPr="005553DF">
        <w:rPr>
          <w:rFonts w:asciiTheme="minorHAnsi" w:hAnsiTheme="minorHAnsi" w:cstheme="minorHAnsi"/>
          <w:i w:val="0"/>
          <w:color w:val="auto"/>
        </w:rPr>
        <w:t xml:space="preserve"> as a Token of Appreciation for P</w:t>
      </w:r>
      <w:r w:rsidR="0010485E" w:rsidRPr="005553DF">
        <w:rPr>
          <w:rFonts w:asciiTheme="minorHAnsi" w:hAnsiTheme="minorHAnsi" w:cstheme="minorHAnsi"/>
          <w:i w:val="0"/>
          <w:color w:val="auto"/>
        </w:rPr>
        <w:t>articipation</w:t>
      </w:r>
      <w:bookmarkEnd w:id="62"/>
    </w:p>
    <w:p w14:paraId="2D895F38" w14:textId="77777777" w:rsidR="00DE0A46" w:rsidRPr="005553DF" w:rsidRDefault="0010485E" w:rsidP="005553DF">
      <w:pPr>
        <w:spacing w:after="240" w:line="360" w:lineRule="auto"/>
        <w:jc w:val="both"/>
        <w:rPr>
          <w:rFonts w:cstheme="minorHAnsi"/>
        </w:rPr>
      </w:pPr>
      <w:r w:rsidRPr="005553DF">
        <w:rPr>
          <w:rFonts w:cstheme="minorHAnsi"/>
        </w:rPr>
        <w:t>As a token of thanks</w:t>
      </w:r>
      <w:r w:rsidR="00DE0A46" w:rsidRPr="005553DF">
        <w:rPr>
          <w:rFonts w:cstheme="minorHAnsi"/>
        </w:rPr>
        <w:t xml:space="preserve"> for participation</w:t>
      </w:r>
      <w:r w:rsidR="00A64DCB" w:rsidRPr="005553DF">
        <w:rPr>
          <w:rFonts w:cstheme="minorHAnsi"/>
        </w:rPr>
        <w:t xml:space="preserve">, </w:t>
      </w:r>
      <w:r w:rsidR="00DE0A46" w:rsidRPr="005553DF">
        <w:rPr>
          <w:rFonts w:cstheme="minorHAnsi"/>
        </w:rPr>
        <w:t>ATSDR will offer gift cards according to the following</w:t>
      </w:r>
      <w:r w:rsidR="004D3FBE" w:rsidRPr="005553DF">
        <w:rPr>
          <w:rFonts w:cstheme="minorHAnsi"/>
        </w:rPr>
        <w:t xml:space="preserve"> schedule</w:t>
      </w:r>
      <w:r w:rsidR="00DE0A46" w:rsidRPr="005553DF">
        <w:rPr>
          <w:rFonts w:cstheme="minorHAnsi"/>
        </w:rPr>
        <w:t>:</w:t>
      </w:r>
    </w:p>
    <w:p w14:paraId="0A16AB9B" w14:textId="77777777" w:rsidR="00DE0A46" w:rsidRPr="005553DF" w:rsidRDefault="00DE0A46" w:rsidP="005553DF">
      <w:pPr>
        <w:pStyle w:val="ListParagraph"/>
        <w:numPr>
          <w:ilvl w:val="0"/>
          <w:numId w:val="56"/>
        </w:numPr>
        <w:spacing w:after="240" w:line="360" w:lineRule="auto"/>
        <w:jc w:val="both"/>
        <w:rPr>
          <w:rFonts w:cstheme="minorHAnsi"/>
        </w:rPr>
      </w:pPr>
      <w:r w:rsidRPr="005553DF">
        <w:rPr>
          <w:rFonts w:cstheme="minorHAnsi"/>
        </w:rPr>
        <w:t>$25 for body and blood pressure measures, and for blood an</w:t>
      </w:r>
      <w:r w:rsidR="004D3FBE" w:rsidRPr="005553DF">
        <w:rPr>
          <w:rFonts w:cstheme="minorHAnsi"/>
        </w:rPr>
        <w:t>d</w:t>
      </w:r>
      <w:r w:rsidRPr="005553DF">
        <w:rPr>
          <w:rFonts w:cstheme="minorHAnsi"/>
        </w:rPr>
        <w:t xml:space="preserve"> urine collection;</w:t>
      </w:r>
    </w:p>
    <w:p w14:paraId="22C21EFE" w14:textId="77777777" w:rsidR="00DE0A46" w:rsidRPr="005553DF" w:rsidRDefault="00DE0A46" w:rsidP="005553DF">
      <w:pPr>
        <w:pStyle w:val="ListParagraph"/>
        <w:numPr>
          <w:ilvl w:val="0"/>
          <w:numId w:val="56"/>
        </w:numPr>
        <w:spacing w:after="240" w:line="360" w:lineRule="auto"/>
        <w:jc w:val="both"/>
        <w:rPr>
          <w:rFonts w:cstheme="minorHAnsi"/>
        </w:rPr>
      </w:pPr>
      <w:r w:rsidRPr="005553DF">
        <w:rPr>
          <w:rFonts w:cstheme="minorHAnsi"/>
        </w:rPr>
        <w:t>$25 for completed questionnaire; and</w:t>
      </w:r>
    </w:p>
    <w:p w14:paraId="0C2BCD45" w14:textId="77777777" w:rsidR="00DE0A46" w:rsidRPr="005553DF" w:rsidRDefault="00DE0A46" w:rsidP="005553DF">
      <w:pPr>
        <w:pStyle w:val="ListParagraph"/>
        <w:numPr>
          <w:ilvl w:val="0"/>
          <w:numId w:val="56"/>
        </w:numPr>
        <w:spacing w:after="240" w:line="360" w:lineRule="auto"/>
        <w:jc w:val="both"/>
        <w:rPr>
          <w:rFonts w:cstheme="minorHAnsi"/>
        </w:rPr>
      </w:pPr>
      <w:r w:rsidRPr="005553DF">
        <w:rPr>
          <w:rFonts w:cstheme="minorHAnsi"/>
        </w:rPr>
        <w:t>$25 for child/parent completion of the neurobehavioral test battery</w:t>
      </w:r>
    </w:p>
    <w:p w14:paraId="076E7F20" w14:textId="77777777" w:rsidR="00DE0A46" w:rsidRPr="005553DF" w:rsidRDefault="00490C77"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Trained study staff will document provision of gift cards on the hard copy form </w:t>
      </w:r>
      <w:r w:rsidRPr="005553DF">
        <w:rPr>
          <w:rFonts w:asciiTheme="minorHAnsi" w:hAnsiTheme="minorHAnsi" w:cstheme="minorHAnsi"/>
          <w:bCs/>
        </w:rPr>
        <w:t>(</w:t>
      </w:r>
      <w:r w:rsidRPr="005553DF">
        <w:rPr>
          <w:rFonts w:asciiTheme="minorHAnsi" w:hAnsiTheme="minorHAnsi" w:cstheme="minorHAnsi"/>
          <w:b/>
          <w:bCs/>
        </w:rPr>
        <w:t>Attachment 11</w:t>
      </w:r>
      <w:r w:rsidRPr="005553DF">
        <w:rPr>
          <w:rFonts w:asciiTheme="minorHAnsi" w:hAnsiTheme="minorHAnsi" w:cstheme="minorHAnsi"/>
          <w:bCs/>
        </w:rPr>
        <w:t>)</w:t>
      </w:r>
      <w:r w:rsidRPr="005553DF">
        <w:rPr>
          <w:rFonts w:asciiTheme="minorHAnsi" w:hAnsiTheme="minorHAnsi" w:cstheme="minorHAnsi"/>
        </w:rPr>
        <w:t>. As part of the exit procedures, the participant will sign this form to document receiving the gift card.</w:t>
      </w:r>
    </w:p>
    <w:p w14:paraId="350FA4CD" w14:textId="77777777" w:rsidR="00FA4DF1" w:rsidRPr="005553DF" w:rsidRDefault="00FA4DF1" w:rsidP="005553DF">
      <w:pPr>
        <w:spacing w:before="100" w:beforeAutospacing="1" w:after="240" w:line="360" w:lineRule="auto"/>
        <w:jc w:val="both"/>
        <w:rPr>
          <w:rFonts w:cstheme="minorHAnsi"/>
          <w:i/>
        </w:rPr>
      </w:pPr>
      <w:r w:rsidRPr="005553DF">
        <w:rPr>
          <w:rFonts w:cstheme="minorHAnsi"/>
          <w:b/>
          <w:i/>
        </w:rPr>
        <w:t>3.</w:t>
      </w:r>
      <w:r w:rsidR="00B630A2" w:rsidRPr="005553DF">
        <w:rPr>
          <w:rFonts w:cstheme="minorHAnsi"/>
          <w:b/>
          <w:i/>
        </w:rPr>
        <w:t>6</w:t>
      </w:r>
      <w:r w:rsidR="006A7D03" w:rsidRPr="005553DF">
        <w:rPr>
          <w:rFonts w:cstheme="minorHAnsi"/>
          <w:b/>
          <w:i/>
        </w:rPr>
        <w:t>.7</w:t>
      </w:r>
      <w:r w:rsidRPr="005553DF">
        <w:rPr>
          <w:rFonts w:cstheme="minorHAnsi"/>
          <w:b/>
          <w:i/>
        </w:rPr>
        <w:t xml:space="preserve"> </w:t>
      </w:r>
      <w:r w:rsidR="00164600" w:rsidRPr="005553DF">
        <w:rPr>
          <w:rFonts w:cstheme="minorHAnsi"/>
          <w:b/>
          <w:i/>
        </w:rPr>
        <w:t>Adverse E</w:t>
      </w:r>
      <w:r w:rsidR="00604BB0" w:rsidRPr="005553DF">
        <w:rPr>
          <w:rFonts w:cstheme="minorHAnsi"/>
          <w:b/>
          <w:i/>
        </w:rPr>
        <w:t xml:space="preserve">vents </w:t>
      </w:r>
    </w:p>
    <w:p w14:paraId="34320C76" w14:textId="77777777" w:rsidR="00604BB0" w:rsidRPr="005553DF" w:rsidRDefault="00604BB0"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cstheme="minorHAnsi"/>
        </w:rPr>
        <w:t xml:space="preserve">The risks associated with this study </w:t>
      </w:r>
      <w:r w:rsidRPr="005553DF">
        <w:rPr>
          <w:rFonts w:cstheme="minorHAnsi"/>
          <w:color w:val="000000"/>
        </w:rPr>
        <w:t>are minimal</w:t>
      </w:r>
      <w:r w:rsidRPr="005553DF">
        <w:rPr>
          <w:rFonts w:asciiTheme="minorHAnsi" w:hAnsiTheme="minorHAnsi" w:cstheme="minorHAnsi"/>
          <w:color w:val="000000"/>
        </w:rPr>
        <w:t>. T</w:t>
      </w:r>
      <w:r w:rsidRPr="005553DF">
        <w:rPr>
          <w:rFonts w:asciiTheme="minorHAnsi" w:hAnsiTheme="minorHAnsi" w:cstheme="minorHAnsi"/>
        </w:rPr>
        <w:t>here is a small chance of unexpected or adverse events occurring during the course of this project. Unanticipated problems involving risk to the subjects or others will be</w:t>
      </w:r>
      <w:r w:rsidR="008D6B48" w:rsidRPr="005553DF">
        <w:rPr>
          <w:rFonts w:asciiTheme="minorHAnsi" w:hAnsiTheme="minorHAnsi" w:cstheme="minorHAnsi"/>
        </w:rPr>
        <w:t xml:space="preserve"> </w:t>
      </w:r>
      <w:r w:rsidRPr="005553DF">
        <w:rPr>
          <w:rFonts w:asciiTheme="minorHAnsi" w:hAnsiTheme="minorHAnsi" w:cstheme="minorHAnsi"/>
        </w:rPr>
        <w:t>reported to the CDC Human Institutional Review Board</w:t>
      </w:r>
      <w:r w:rsidR="00B34E8B" w:rsidRPr="005553DF">
        <w:rPr>
          <w:rFonts w:asciiTheme="minorHAnsi" w:hAnsiTheme="minorHAnsi" w:cstheme="minorHAnsi"/>
        </w:rPr>
        <w:t xml:space="preserve"> </w:t>
      </w:r>
      <w:r w:rsidRPr="005553DF">
        <w:rPr>
          <w:rFonts w:asciiTheme="minorHAnsi" w:hAnsiTheme="minorHAnsi" w:cstheme="minorHAnsi"/>
        </w:rPr>
        <w:t>(IRB) in accordance</w:t>
      </w:r>
      <w:r w:rsidR="008D6B48" w:rsidRPr="005553DF">
        <w:rPr>
          <w:rFonts w:asciiTheme="minorHAnsi" w:hAnsiTheme="minorHAnsi" w:cstheme="minorHAnsi"/>
        </w:rPr>
        <w:t xml:space="preserve"> </w:t>
      </w:r>
      <w:r w:rsidRPr="005553DF">
        <w:rPr>
          <w:rFonts w:asciiTheme="minorHAnsi" w:hAnsiTheme="minorHAnsi" w:cstheme="minorHAnsi"/>
        </w:rPr>
        <w:t>with institutional policies and procedures</w:t>
      </w:r>
      <w:r w:rsidR="00951C6E" w:rsidRPr="005553DF">
        <w:rPr>
          <w:rFonts w:asciiTheme="minorHAnsi" w:hAnsiTheme="minorHAnsi" w:cstheme="minorHAnsi"/>
          <w:color w:val="000000"/>
        </w:rPr>
        <w:t>.</w:t>
      </w:r>
      <w:r w:rsidR="008961C9" w:rsidRPr="005553DF">
        <w:rPr>
          <w:rFonts w:asciiTheme="minorHAnsi" w:hAnsiTheme="minorHAnsi" w:cstheme="minorHAnsi"/>
          <w:color w:val="000000"/>
        </w:rPr>
        <w:t xml:space="preserve"> </w:t>
      </w:r>
    </w:p>
    <w:p w14:paraId="7F14E959" w14:textId="77777777" w:rsidR="00604BB0" w:rsidRPr="005553DF" w:rsidRDefault="00604BB0" w:rsidP="005553DF">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rPr>
        <w:t xml:space="preserve">The most likely adverse event is a </w:t>
      </w:r>
      <w:r w:rsidR="00B34E8B" w:rsidRPr="005553DF">
        <w:rPr>
          <w:rFonts w:asciiTheme="minorHAnsi" w:hAnsiTheme="minorHAnsi" w:cstheme="minorHAnsi"/>
        </w:rPr>
        <w:t>participant</w:t>
      </w:r>
      <w:r w:rsidRPr="005553DF">
        <w:rPr>
          <w:rFonts w:asciiTheme="minorHAnsi" w:hAnsiTheme="minorHAnsi" w:cstheme="minorHAnsi"/>
        </w:rPr>
        <w:t xml:space="preserve"> feeling lightheaded or fainting during blood collection.  The phlebotomist will </w:t>
      </w:r>
      <w:r w:rsidR="008F560B" w:rsidRPr="005553DF">
        <w:rPr>
          <w:rFonts w:asciiTheme="minorHAnsi" w:hAnsiTheme="minorHAnsi" w:cstheme="minorHAnsi"/>
        </w:rPr>
        <w:t>receive training</w:t>
      </w:r>
      <w:r w:rsidRPr="005553DF">
        <w:rPr>
          <w:rFonts w:asciiTheme="minorHAnsi" w:hAnsiTheme="minorHAnsi" w:cstheme="minorHAnsi"/>
        </w:rPr>
        <w:t xml:space="preserve"> to respond to such situations. </w:t>
      </w:r>
      <w:r w:rsidRPr="005553DF">
        <w:rPr>
          <w:rFonts w:asciiTheme="minorHAnsi" w:hAnsiTheme="minorHAnsi" w:cstheme="minorHAnsi"/>
          <w:color w:val="000000"/>
        </w:rPr>
        <w:t>The tests and procedures conducted by trained study staff are for research purposes</w:t>
      </w:r>
      <w:r w:rsidR="00017FC4" w:rsidRPr="005553DF">
        <w:rPr>
          <w:rFonts w:asciiTheme="minorHAnsi" w:hAnsiTheme="minorHAnsi" w:cstheme="minorHAnsi"/>
          <w:color w:val="000000"/>
        </w:rPr>
        <w:t xml:space="preserve"> only</w:t>
      </w:r>
      <w:r w:rsidRPr="005553DF">
        <w:rPr>
          <w:rFonts w:asciiTheme="minorHAnsi" w:hAnsiTheme="minorHAnsi" w:cstheme="minorHAnsi"/>
          <w:color w:val="000000"/>
        </w:rPr>
        <w:t xml:space="preserve"> and are not diagnostic exams. They are not a substitute for an evaluation by a medical professional.</w:t>
      </w:r>
      <w:r w:rsidR="00017FC4" w:rsidRPr="005553DF">
        <w:rPr>
          <w:rFonts w:asciiTheme="minorHAnsi" w:hAnsiTheme="minorHAnsi" w:cstheme="minorHAnsi"/>
          <w:color w:val="000000"/>
        </w:rPr>
        <w:t xml:space="preserve"> The study will not perform any</w:t>
      </w:r>
      <w:r w:rsidRPr="005553DF">
        <w:rPr>
          <w:rFonts w:asciiTheme="minorHAnsi" w:hAnsiTheme="minorHAnsi" w:cstheme="minorHAnsi"/>
          <w:color w:val="000000"/>
        </w:rPr>
        <w:t xml:space="preserve"> clinical treatments or health interventions as part of the study. </w:t>
      </w:r>
    </w:p>
    <w:p w14:paraId="6048FD68" w14:textId="77777777" w:rsidR="008D6B48" w:rsidRPr="005553DF" w:rsidRDefault="00604BB0"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 xml:space="preserve">If a </w:t>
      </w:r>
      <w:r w:rsidR="00B34E8B" w:rsidRPr="005553DF">
        <w:rPr>
          <w:rFonts w:asciiTheme="minorHAnsi" w:hAnsiTheme="minorHAnsi" w:cstheme="minorHAnsi"/>
          <w:color w:val="000000"/>
        </w:rPr>
        <w:t>participant</w:t>
      </w:r>
      <w:r w:rsidRPr="005553DF">
        <w:rPr>
          <w:rFonts w:asciiTheme="minorHAnsi" w:hAnsiTheme="minorHAnsi" w:cstheme="minorHAnsi"/>
          <w:color w:val="000000"/>
        </w:rPr>
        <w:t xml:space="preserve"> loses consciousness, falls, is unable to stand, or experiences chest pain </w:t>
      </w:r>
      <w:r w:rsidR="00017FC4" w:rsidRPr="005553DF">
        <w:rPr>
          <w:rFonts w:asciiTheme="minorHAnsi" w:hAnsiTheme="minorHAnsi" w:cstheme="minorHAnsi"/>
          <w:color w:val="000000"/>
        </w:rPr>
        <w:t xml:space="preserve">the study staff will decide whether to advise </w:t>
      </w:r>
      <w:r w:rsidRPr="005553DF">
        <w:rPr>
          <w:rFonts w:asciiTheme="minorHAnsi" w:hAnsiTheme="minorHAnsi" w:cstheme="minorHAnsi"/>
          <w:color w:val="000000"/>
        </w:rPr>
        <w:t xml:space="preserve">the </w:t>
      </w:r>
      <w:r w:rsidR="00017FC4" w:rsidRPr="005553DF">
        <w:rPr>
          <w:rFonts w:asciiTheme="minorHAnsi" w:hAnsiTheme="minorHAnsi" w:cstheme="minorHAnsi"/>
          <w:color w:val="000000"/>
        </w:rPr>
        <w:t xml:space="preserve">adult </w:t>
      </w:r>
      <w:r w:rsidR="00B34E8B" w:rsidRPr="005553DF">
        <w:rPr>
          <w:rFonts w:asciiTheme="minorHAnsi" w:hAnsiTheme="minorHAnsi" w:cstheme="minorHAnsi"/>
          <w:color w:val="000000"/>
        </w:rPr>
        <w:t>participant</w:t>
      </w:r>
      <w:r w:rsidR="00017FC4" w:rsidRPr="005553DF">
        <w:rPr>
          <w:rFonts w:asciiTheme="minorHAnsi" w:hAnsiTheme="minorHAnsi" w:cstheme="minorHAnsi"/>
          <w:color w:val="000000"/>
        </w:rPr>
        <w:t xml:space="preserve"> or the parent of the child participant</w:t>
      </w:r>
      <w:r w:rsidRPr="005553DF">
        <w:rPr>
          <w:rFonts w:asciiTheme="minorHAnsi" w:hAnsiTheme="minorHAnsi" w:cstheme="minorHAnsi"/>
          <w:color w:val="000000"/>
        </w:rPr>
        <w:t xml:space="preserve"> to seek immediate medical treatment or </w:t>
      </w:r>
      <w:r w:rsidR="00017FC4" w:rsidRPr="005553DF">
        <w:rPr>
          <w:rFonts w:asciiTheme="minorHAnsi" w:hAnsiTheme="minorHAnsi" w:cstheme="minorHAnsi"/>
          <w:color w:val="000000"/>
        </w:rPr>
        <w:t xml:space="preserve">to contact </w:t>
      </w:r>
      <w:r w:rsidRPr="005553DF">
        <w:rPr>
          <w:rFonts w:asciiTheme="minorHAnsi" w:hAnsiTheme="minorHAnsi" w:cstheme="minorHAnsi"/>
          <w:color w:val="000000"/>
        </w:rPr>
        <w:t xml:space="preserve">emergency medical services. </w:t>
      </w:r>
      <w:r w:rsidRPr="005553DF">
        <w:rPr>
          <w:rFonts w:asciiTheme="minorHAnsi" w:hAnsiTheme="minorHAnsi" w:cstheme="minorHAnsi"/>
        </w:rPr>
        <w:t>Study s</w:t>
      </w:r>
      <w:r w:rsidR="00B34E8B" w:rsidRPr="005553DF">
        <w:rPr>
          <w:rFonts w:asciiTheme="minorHAnsi" w:hAnsiTheme="minorHAnsi" w:cstheme="minorHAnsi"/>
        </w:rPr>
        <w:t>taff</w:t>
      </w:r>
      <w:r w:rsidRPr="005553DF">
        <w:rPr>
          <w:rFonts w:asciiTheme="minorHAnsi" w:hAnsiTheme="minorHAnsi" w:cstheme="minorHAnsi"/>
        </w:rPr>
        <w:t xml:space="preserve"> </w:t>
      </w:r>
      <w:r w:rsidR="00B34E8B" w:rsidRPr="005553DF">
        <w:rPr>
          <w:rFonts w:asciiTheme="minorHAnsi" w:hAnsiTheme="minorHAnsi" w:cstheme="minorHAnsi"/>
        </w:rPr>
        <w:t xml:space="preserve">have </w:t>
      </w:r>
      <w:r w:rsidRPr="005553DF">
        <w:rPr>
          <w:rFonts w:asciiTheme="minorHAnsi" w:hAnsiTheme="minorHAnsi" w:cstheme="minorHAnsi"/>
        </w:rPr>
        <w:t>identified appropriate</w:t>
      </w:r>
      <w:r w:rsidR="00B34E8B" w:rsidRPr="005553DF">
        <w:rPr>
          <w:rFonts w:asciiTheme="minorHAnsi" w:hAnsiTheme="minorHAnsi" w:cstheme="minorHAnsi"/>
        </w:rPr>
        <w:t xml:space="preserve"> local</w:t>
      </w:r>
      <w:r w:rsidRPr="005553DF">
        <w:rPr>
          <w:rFonts w:asciiTheme="minorHAnsi" w:hAnsiTheme="minorHAnsi" w:cstheme="minorHAnsi"/>
        </w:rPr>
        <w:t xml:space="preserve"> medical care providers that </w:t>
      </w:r>
      <w:r w:rsidR="00B34E8B" w:rsidRPr="005553DF">
        <w:rPr>
          <w:rFonts w:asciiTheme="minorHAnsi" w:hAnsiTheme="minorHAnsi" w:cstheme="minorHAnsi"/>
        </w:rPr>
        <w:t>participants</w:t>
      </w:r>
      <w:r w:rsidRPr="005553DF">
        <w:rPr>
          <w:rFonts w:asciiTheme="minorHAnsi" w:hAnsiTheme="minorHAnsi" w:cstheme="minorHAnsi"/>
        </w:rPr>
        <w:t xml:space="preserve"> may be referred to if clinical results suggest medic</w:t>
      </w:r>
      <w:r w:rsidR="00F92036" w:rsidRPr="005553DF">
        <w:rPr>
          <w:rFonts w:asciiTheme="minorHAnsi" w:hAnsiTheme="minorHAnsi" w:cstheme="minorHAnsi"/>
        </w:rPr>
        <w:t>al attention is needed (</w:t>
      </w:r>
      <w:r w:rsidR="00083635" w:rsidRPr="005553DF">
        <w:rPr>
          <w:rFonts w:asciiTheme="minorHAnsi" w:hAnsiTheme="minorHAnsi" w:cstheme="minorHAnsi"/>
          <w:b/>
        </w:rPr>
        <w:t>Attachment 1</w:t>
      </w:r>
      <w:r w:rsidR="004D3FBE" w:rsidRPr="005553DF">
        <w:rPr>
          <w:rFonts w:asciiTheme="minorHAnsi" w:hAnsiTheme="minorHAnsi" w:cstheme="minorHAnsi"/>
          <w:b/>
        </w:rPr>
        <w:t>4</w:t>
      </w:r>
      <w:r w:rsidR="00D50874" w:rsidRPr="005553DF">
        <w:rPr>
          <w:rFonts w:asciiTheme="minorHAnsi" w:hAnsiTheme="minorHAnsi" w:cstheme="minorHAnsi"/>
        </w:rPr>
        <w:t>)</w:t>
      </w:r>
      <w:r w:rsidRPr="005553DF">
        <w:rPr>
          <w:rFonts w:asciiTheme="minorHAnsi" w:hAnsiTheme="minorHAnsi" w:cstheme="minorHAnsi"/>
        </w:rPr>
        <w:t xml:space="preserve">.  </w:t>
      </w:r>
    </w:p>
    <w:p w14:paraId="6B2E6535" w14:textId="77777777" w:rsidR="00441388" w:rsidRPr="005553DF" w:rsidRDefault="008D6B48" w:rsidP="005553DF">
      <w:pPr>
        <w:pStyle w:val="Heading2"/>
        <w:spacing w:before="100" w:beforeAutospacing="1" w:after="240" w:line="360" w:lineRule="auto"/>
        <w:rPr>
          <w:rFonts w:asciiTheme="minorHAnsi" w:hAnsiTheme="minorHAnsi" w:cstheme="minorHAnsi"/>
          <w:b w:val="0"/>
          <w:i w:val="0"/>
          <w:sz w:val="22"/>
          <w:szCs w:val="22"/>
        </w:rPr>
      </w:pPr>
      <w:bookmarkStart w:id="63" w:name="_Toc532224177"/>
      <w:r w:rsidRPr="005553DF">
        <w:rPr>
          <w:rFonts w:asciiTheme="minorHAnsi" w:hAnsiTheme="minorHAnsi" w:cstheme="minorHAnsi"/>
          <w:i w:val="0"/>
          <w:sz w:val="22"/>
          <w:szCs w:val="22"/>
        </w:rPr>
        <w:t>3.</w:t>
      </w:r>
      <w:r w:rsidR="00B630A2" w:rsidRPr="005553DF">
        <w:rPr>
          <w:rFonts w:asciiTheme="minorHAnsi" w:hAnsiTheme="minorHAnsi" w:cstheme="minorHAnsi"/>
          <w:i w:val="0"/>
          <w:sz w:val="22"/>
          <w:szCs w:val="22"/>
        </w:rPr>
        <w:t>7</w:t>
      </w:r>
      <w:r w:rsidRPr="005553DF">
        <w:rPr>
          <w:rFonts w:asciiTheme="minorHAnsi" w:hAnsiTheme="minorHAnsi" w:cstheme="minorHAnsi"/>
          <w:i w:val="0"/>
          <w:sz w:val="22"/>
          <w:szCs w:val="22"/>
        </w:rPr>
        <w:t xml:space="preserve"> </w:t>
      </w:r>
      <w:r w:rsidR="00B34E8B" w:rsidRPr="005553DF">
        <w:rPr>
          <w:rFonts w:asciiTheme="minorHAnsi" w:hAnsiTheme="minorHAnsi" w:cstheme="minorHAnsi"/>
          <w:i w:val="0"/>
          <w:sz w:val="22"/>
          <w:szCs w:val="22"/>
        </w:rPr>
        <w:t>Biochemical Analyses</w:t>
      </w:r>
      <w:bookmarkEnd w:id="63"/>
    </w:p>
    <w:p w14:paraId="6DED87B4" w14:textId="77777777" w:rsidR="00CB6746" w:rsidRPr="005553DF" w:rsidRDefault="00460A2F"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
          <w:iCs/>
          <w:color w:val="000000"/>
        </w:rPr>
        <w:t xml:space="preserve">Serum PFAS: </w:t>
      </w:r>
      <w:r w:rsidR="00F57A80" w:rsidRPr="005553DF">
        <w:rPr>
          <w:rFonts w:asciiTheme="minorHAnsi" w:hAnsiTheme="minorHAnsi" w:cstheme="minorHAnsi"/>
          <w:bCs/>
          <w:iCs/>
          <w:color w:val="000000"/>
        </w:rPr>
        <w:t xml:space="preserve">The ATSDR biochemical analytical plan is found in </w:t>
      </w:r>
      <w:r w:rsidR="004D3FBE" w:rsidRPr="005553DF">
        <w:rPr>
          <w:rFonts w:asciiTheme="minorHAnsi" w:hAnsiTheme="minorHAnsi" w:cstheme="minorHAnsi"/>
          <w:b/>
          <w:bCs/>
          <w:iCs/>
          <w:color w:val="000000"/>
        </w:rPr>
        <w:t>Attachment 3</w:t>
      </w:r>
      <w:r w:rsidR="004D3FBE" w:rsidRPr="005553DF">
        <w:rPr>
          <w:rFonts w:asciiTheme="minorHAnsi" w:hAnsiTheme="minorHAnsi" w:cstheme="minorHAnsi"/>
          <w:bCs/>
          <w:iCs/>
          <w:color w:val="000000"/>
        </w:rPr>
        <w:t>.</w:t>
      </w:r>
      <w:r w:rsidR="00F57A80" w:rsidRPr="005553DF">
        <w:rPr>
          <w:rFonts w:asciiTheme="minorHAnsi" w:hAnsiTheme="minorHAnsi" w:cstheme="minorHAnsi"/>
          <w:b/>
          <w:bCs/>
          <w:iCs/>
          <w:color w:val="000000"/>
        </w:rPr>
        <w:t xml:space="preserve"> </w:t>
      </w:r>
      <w:r w:rsidR="001A2341" w:rsidRPr="005553DF">
        <w:rPr>
          <w:rFonts w:asciiTheme="minorHAnsi" w:hAnsiTheme="minorHAnsi" w:cstheme="minorHAnsi"/>
          <w:bCs/>
          <w:iCs/>
          <w:color w:val="000000"/>
        </w:rPr>
        <w:t>The study will analyze 12</w:t>
      </w:r>
      <w:r w:rsidR="00EB16A0" w:rsidRPr="005553DF">
        <w:rPr>
          <w:rFonts w:asciiTheme="minorHAnsi" w:hAnsiTheme="minorHAnsi" w:cstheme="minorHAnsi"/>
          <w:bCs/>
          <w:iCs/>
          <w:color w:val="000000"/>
        </w:rPr>
        <w:t xml:space="preserve"> PFAS in </w:t>
      </w:r>
      <w:r w:rsidR="00D74438" w:rsidRPr="005553DF">
        <w:rPr>
          <w:rFonts w:asciiTheme="minorHAnsi" w:hAnsiTheme="minorHAnsi" w:cstheme="minorHAnsi"/>
          <w:bCs/>
          <w:iCs/>
          <w:color w:val="000000"/>
        </w:rPr>
        <w:t xml:space="preserve">fasting </w:t>
      </w:r>
      <w:r w:rsidR="00EB16A0" w:rsidRPr="005553DF">
        <w:rPr>
          <w:rFonts w:asciiTheme="minorHAnsi" w:hAnsiTheme="minorHAnsi" w:cstheme="minorHAnsi"/>
          <w:bCs/>
          <w:iCs/>
          <w:color w:val="000000"/>
        </w:rPr>
        <w:t>serum including PFOA (linear and the sum of branched isomers of PFOA), PFOS (linear and the sum of perfluoromethylheptane sulfonate isomers, and PFHxS</w:t>
      </w:r>
      <w:r w:rsidR="00E75C3B" w:rsidRPr="005553DF">
        <w:rPr>
          <w:rFonts w:asciiTheme="minorHAnsi" w:hAnsiTheme="minorHAnsi" w:cstheme="minorHAnsi"/>
          <w:bCs/>
          <w:iCs/>
          <w:color w:val="000000"/>
        </w:rPr>
        <w:t xml:space="preserve"> (Kuklenyik 2015)</w:t>
      </w:r>
      <w:r w:rsidR="00EB16A0" w:rsidRPr="005553DF">
        <w:rPr>
          <w:rFonts w:asciiTheme="minorHAnsi" w:hAnsiTheme="minorHAnsi" w:cstheme="minorHAnsi"/>
          <w:bCs/>
          <w:iCs/>
          <w:color w:val="000000"/>
        </w:rPr>
        <w:t>.  Other PFAS analyzed will include: perfluorooctane sulfonamide (PFOSA), 2-(N-methyl-perfluorooctane sulfonamido) acetic acid (Me-PFOSA-AcOH), 2-(N-ethyl-perfluorooctane sulfonamido) acetic acid (Et-PFOSA-AcOH), perfluorobutane sulfonic acid (PFBuS), perfluoroheptanoic acid (PFHpA), perfluorononanoic acid (PFNA), perfluorodecanoic acid (PFDeA), perfluoroundecanoic acid (PFUA), and perf</w:t>
      </w:r>
      <w:r w:rsidR="00B35964" w:rsidRPr="005553DF">
        <w:rPr>
          <w:rFonts w:asciiTheme="minorHAnsi" w:hAnsiTheme="minorHAnsi" w:cstheme="minorHAnsi"/>
          <w:bCs/>
          <w:iCs/>
          <w:color w:val="000000"/>
        </w:rPr>
        <w:t xml:space="preserve">luorododecanoic acid (PFDoA).  </w:t>
      </w:r>
    </w:p>
    <w:p w14:paraId="4C7C027F" w14:textId="77777777" w:rsidR="005D3452" w:rsidRPr="005553DF" w:rsidRDefault="00CB6746"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{Note: the study may include measurement of additional PFAS if methods become available by the start of the </w:t>
      </w:r>
      <w:r w:rsidR="00EA3383" w:rsidRPr="005553DF">
        <w:rPr>
          <w:rFonts w:asciiTheme="minorHAnsi" w:hAnsiTheme="minorHAnsi" w:cstheme="minorHAnsi"/>
          <w:bCs/>
          <w:iCs/>
          <w:color w:val="000000"/>
        </w:rPr>
        <w:t>study</w:t>
      </w:r>
      <w:r w:rsidRPr="005553DF">
        <w:rPr>
          <w:rFonts w:asciiTheme="minorHAnsi" w:hAnsiTheme="minorHAnsi" w:cstheme="minorHAnsi"/>
          <w:bCs/>
          <w:iCs/>
          <w:color w:val="000000"/>
        </w:rPr>
        <w:t>.</w:t>
      </w:r>
      <w:r w:rsidR="000C0B2F" w:rsidRPr="005553DF">
        <w:rPr>
          <w:rFonts w:asciiTheme="minorHAnsi" w:hAnsiTheme="minorHAnsi" w:cstheme="minorHAnsi"/>
          <w:bCs/>
          <w:iCs/>
          <w:color w:val="000000"/>
        </w:rPr>
        <w:t xml:space="preserve"> Addition of new analytes will be submitted to the CDC IRB for approval of amendments</w:t>
      </w:r>
      <w:r w:rsidRPr="005553DF">
        <w:rPr>
          <w:rFonts w:asciiTheme="minorHAnsi" w:hAnsiTheme="minorHAnsi" w:cstheme="minorHAnsi"/>
          <w:bCs/>
          <w:iCs/>
          <w:color w:val="000000"/>
        </w:rPr>
        <w:t>}</w:t>
      </w:r>
    </w:p>
    <w:p w14:paraId="4C789096" w14:textId="77777777" w:rsidR="009B094A" w:rsidRPr="005553DF" w:rsidRDefault="00460A2F"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 xml:space="preserve">Urinary PFAS: </w:t>
      </w:r>
      <w:r w:rsidR="009B094A" w:rsidRPr="005553DF">
        <w:rPr>
          <w:rFonts w:asciiTheme="minorHAnsi" w:hAnsiTheme="minorHAnsi" w:cstheme="minorHAnsi"/>
        </w:rPr>
        <w:t xml:space="preserve">The study will also analyze PFAS compounds in </w:t>
      </w:r>
      <w:r w:rsidR="00D74438" w:rsidRPr="005553DF">
        <w:rPr>
          <w:rFonts w:asciiTheme="minorHAnsi" w:hAnsiTheme="minorHAnsi" w:cstheme="minorHAnsi"/>
        </w:rPr>
        <w:t xml:space="preserve">first morning void </w:t>
      </w:r>
      <w:r w:rsidR="009B094A" w:rsidRPr="005553DF">
        <w:rPr>
          <w:rFonts w:asciiTheme="minorHAnsi" w:hAnsiTheme="minorHAnsi" w:cstheme="minorHAnsi"/>
        </w:rPr>
        <w:t>urine</w:t>
      </w:r>
      <w:r w:rsidR="00D74438" w:rsidRPr="005553DF">
        <w:rPr>
          <w:rFonts w:asciiTheme="minorHAnsi" w:hAnsiTheme="minorHAnsi" w:cstheme="minorHAnsi"/>
        </w:rPr>
        <w:t>s</w:t>
      </w:r>
      <w:r w:rsidR="007F3D3F" w:rsidRPr="005553DF">
        <w:rPr>
          <w:rFonts w:asciiTheme="minorHAnsi" w:hAnsiTheme="minorHAnsi" w:cstheme="minorHAnsi"/>
        </w:rPr>
        <w:t xml:space="preserve"> at later time on stored urine samples</w:t>
      </w:r>
      <w:r w:rsidR="006B371B" w:rsidRPr="005553DF">
        <w:rPr>
          <w:rFonts w:asciiTheme="minorHAnsi" w:hAnsiTheme="minorHAnsi" w:cstheme="minorHAnsi"/>
        </w:rPr>
        <w:t xml:space="preserve">. Urine is an important excretion pathway for human metabolism and PFAS urine elimination </w:t>
      </w:r>
      <w:r w:rsidR="001A164C" w:rsidRPr="005553DF">
        <w:rPr>
          <w:rFonts w:asciiTheme="minorHAnsi" w:hAnsiTheme="minorHAnsi" w:cstheme="minorHAnsi"/>
        </w:rPr>
        <w:t>may be</w:t>
      </w:r>
      <w:r w:rsidR="006B371B" w:rsidRPr="005553DF">
        <w:rPr>
          <w:rFonts w:asciiTheme="minorHAnsi" w:hAnsiTheme="minorHAnsi" w:cstheme="minorHAnsi"/>
        </w:rPr>
        <w:t xml:space="preserve"> </w:t>
      </w:r>
      <w:r w:rsidR="001A164C" w:rsidRPr="005553DF">
        <w:rPr>
          <w:rFonts w:asciiTheme="minorHAnsi" w:hAnsiTheme="minorHAnsi" w:cstheme="minorHAnsi"/>
        </w:rPr>
        <w:t xml:space="preserve">important influencing </w:t>
      </w:r>
      <w:r w:rsidR="006B371B" w:rsidRPr="005553DF">
        <w:rPr>
          <w:rFonts w:asciiTheme="minorHAnsi" w:hAnsiTheme="minorHAnsi" w:cstheme="minorHAnsi"/>
        </w:rPr>
        <w:t xml:space="preserve">serum concentrations (Harada 2005, Zhang 2015). </w:t>
      </w:r>
      <w:r w:rsidR="00F730BE" w:rsidRPr="005553DF">
        <w:rPr>
          <w:rFonts w:asciiTheme="minorHAnsi" w:hAnsiTheme="minorHAnsi" w:cstheme="minorHAnsi"/>
        </w:rPr>
        <w:t xml:space="preserve"> </w:t>
      </w:r>
      <w:r w:rsidR="00E75C3B" w:rsidRPr="005553DF">
        <w:rPr>
          <w:rFonts w:asciiTheme="minorHAnsi" w:hAnsiTheme="minorHAnsi" w:cstheme="minorHAnsi"/>
        </w:rPr>
        <w:t xml:space="preserve">The </w:t>
      </w:r>
      <w:r w:rsidR="0058072D" w:rsidRPr="005553DF">
        <w:rPr>
          <w:rFonts w:asciiTheme="minorHAnsi" w:hAnsiTheme="minorHAnsi" w:cstheme="minorHAnsi"/>
        </w:rPr>
        <w:t>PFAS</w:t>
      </w:r>
      <w:r w:rsidR="00E75C3B" w:rsidRPr="005553DF">
        <w:rPr>
          <w:rFonts w:asciiTheme="minorHAnsi" w:hAnsiTheme="minorHAnsi" w:cstheme="minorHAnsi"/>
        </w:rPr>
        <w:t xml:space="preserve"> compou</w:t>
      </w:r>
      <w:r w:rsidR="00E33AA0" w:rsidRPr="005553DF">
        <w:rPr>
          <w:rFonts w:asciiTheme="minorHAnsi" w:hAnsiTheme="minorHAnsi" w:cstheme="minorHAnsi"/>
        </w:rPr>
        <w:t>n</w:t>
      </w:r>
      <w:r w:rsidR="00E75C3B" w:rsidRPr="005553DF">
        <w:rPr>
          <w:rFonts w:asciiTheme="minorHAnsi" w:hAnsiTheme="minorHAnsi" w:cstheme="minorHAnsi"/>
        </w:rPr>
        <w:t>ds to be measure</w:t>
      </w:r>
      <w:r w:rsidR="00531FE7" w:rsidRPr="005553DF">
        <w:rPr>
          <w:rFonts w:asciiTheme="minorHAnsi" w:hAnsiTheme="minorHAnsi" w:cstheme="minorHAnsi"/>
        </w:rPr>
        <w:t>d</w:t>
      </w:r>
      <w:r w:rsidR="00196289" w:rsidRPr="005553DF">
        <w:rPr>
          <w:rFonts w:asciiTheme="minorHAnsi" w:hAnsiTheme="minorHAnsi" w:cstheme="minorHAnsi"/>
        </w:rPr>
        <w:t xml:space="preserve"> in the future</w:t>
      </w:r>
      <w:r w:rsidR="00E75C3B" w:rsidRPr="005553DF">
        <w:rPr>
          <w:rFonts w:asciiTheme="minorHAnsi" w:hAnsiTheme="minorHAnsi" w:cstheme="minorHAnsi"/>
        </w:rPr>
        <w:t xml:space="preserve"> are listed in </w:t>
      </w:r>
      <w:r w:rsidR="00E33AA0" w:rsidRPr="005553DF">
        <w:rPr>
          <w:rFonts w:asciiTheme="minorHAnsi" w:hAnsiTheme="minorHAnsi" w:cstheme="minorHAnsi"/>
          <w:b/>
        </w:rPr>
        <w:t>Attachment 3</w:t>
      </w:r>
      <w:r w:rsidR="00E32B99" w:rsidRPr="005553DF">
        <w:rPr>
          <w:rFonts w:asciiTheme="minorHAnsi" w:hAnsiTheme="minorHAnsi" w:cstheme="minorHAnsi"/>
        </w:rPr>
        <w:t>.</w:t>
      </w:r>
      <w:r w:rsidR="0058072D" w:rsidRPr="005553DF">
        <w:rPr>
          <w:rFonts w:asciiTheme="minorHAnsi" w:hAnsiTheme="minorHAnsi" w:cstheme="minorHAnsi"/>
        </w:rPr>
        <w:t xml:space="preserve"> </w:t>
      </w:r>
    </w:p>
    <w:p w14:paraId="484FAB26" w14:textId="77777777" w:rsidR="00B34E8B" w:rsidRPr="005553DF" w:rsidRDefault="00A37D22" w:rsidP="005553DF">
      <w:pPr>
        <w:pStyle w:val="Heading3"/>
        <w:spacing w:before="100" w:beforeAutospacing="1" w:after="240" w:line="360" w:lineRule="auto"/>
        <w:rPr>
          <w:rFonts w:asciiTheme="minorHAnsi" w:hAnsiTheme="minorHAnsi" w:cstheme="minorHAnsi"/>
          <w:i/>
          <w:color w:val="FF0000"/>
        </w:rPr>
      </w:pPr>
      <w:bookmarkStart w:id="64" w:name="_Toc532224178"/>
      <w:r w:rsidRPr="005553DF">
        <w:rPr>
          <w:rFonts w:asciiTheme="minorHAnsi" w:hAnsiTheme="minorHAnsi" w:cstheme="minorHAnsi"/>
          <w:i/>
          <w:color w:val="auto"/>
        </w:rPr>
        <w:t>3.</w:t>
      </w:r>
      <w:r w:rsidR="00B630A2" w:rsidRPr="005553DF">
        <w:rPr>
          <w:rFonts w:asciiTheme="minorHAnsi" w:hAnsiTheme="minorHAnsi" w:cstheme="minorHAnsi"/>
          <w:i/>
          <w:color w:val="auto"/>
        </w:rPr>
        <w:t>7</w:t>
      </w:r>
      <w:r w:rsidRPr="005553DF">
        <w:rPr>
          <w:rFonts w:asciiTheme="minorHAnsi" w:hAnsiTheme="minorHAnsi" w:cstheme="minorHAnsi"/>
          <w:i/>
          <w:color w:val="auto"/>
        </w:rPr>
        <w:t xml:space="preserve">.1 </w:t>
      </w:r>
      <w:r w:rsidR="00672485" w:rsidRPr="005553DF">
        <w:rPr>
          <w:rFonts w:asciiTheme="minorHAnsi" w:hAnsiTheme="minorHAnsi" w:cstheme="minorHAnsi"/>
          <w:i/>
          <w:color w:val="auto"/>
        </w:rPr>
        <w:t>Children</w:t>
      </w:r>
      <w:bookmarkEnd w:id="64"/>
    </w:p>
    <w:p w14:paraId="3365B6C8" w14:textId="77777777" w:rsidR="00B34E8B" w:rsidRPr="005553DF" w:rsidRDefault="003B2FEB"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 </w:t>
      </w:r>
      <w:r w:rsidR="00EA3383" w:rsidRPr="005553DF">
        <w:rPr>
          <w:rFonts w:asciiTheme="minorHAnsi" w:hAnsiTheme="minorHAnsi" w:cstheme="minorHAnsi"/>
          <w:bCs/>
          <w:iCs/>
        </w:rPr>
        <w:t>study</w:t>
      </w:r>
      <w:r w:rsidRPr="005553DF">
        <w:rPr>
          <w:rFonts w:asciiTheme="minorHAnsi" w:hAnsiTheme="minorHAnsi" w:cstheme="minorHAnsi"/>
        </w:rPr>
        <w:t xml:space="preserve"> will analyze </w:t>
      </w:r>
      <w:r w:rsidR="00791C7F" w:rsidRPr="005553DF">
        <w:rPr>
          <w:rFonts w:asciiTheme="minorHAnsi" w:hAnsiTheme="minorHAnsi" w:cstheme="minorHAnsi"/>
        </w:rPr>
        <w:t xml:space="preserve">fasting </w:t>
      </w:r>
      <w:r w:rsidRPr="005553DF">
        <w:rPr>
          <w:rFonts w:asciiTheme="minorHAnsi" w:hAnsiTheme="minorHAnsi" w:cstheme="minorHAnsi"/>
        </w:rPr>
        <w:t>serum</w:t>
      </w:r>
      <w:r w:rsidR="00460A2F" w:rsidRPr="005553DF">
        <w:rPr>
          <w:rFonts w:asciiTheme="minorHAnsi" w:hAnsiTheme="minorHAnsi" w:cstheme="minorHAnsi"/>
        </w:rPr>
        <w:t xml:space="preserve"> for</w:t>
      </w:r>
      <w:r w:rsidRPr="005553DF">
        <w:rPr>
          <w:rFonts w:asciiTheme="minorHAnsi" w:hAnsiTheme="minorHAnsi" w:cstheme="minorHAnsi"/>
        </w:rPr>
        <w:t xml:space="preserve"> the </w:t>
      </w:r>
      <w:r w:rsidR="00B34E8B" w:rsidRPr="005553DF">
        <w:rPr>
          <w:rFonts w:asciiTheme="minorHAnsi" w:hAnsiTheme="minorHAnsi" w:cstheme="minorHAnsi"/>
        </w:rPr>
        <w:t xml:space="preserve">following biomarkers of lipids, thyroid, </w:t>
      </w:r>
      <w:r w:rsidR="002E6A02" w:rsidRPr="005553DF">
        <w:rPr>
          <w:rFonts w:asciiTheme="minorHAnsi" w:hAnsiTheme="minorHAnsi" w:cstheme="minorHAnsi"/>
        </w:rPr>
        <w:t xml:space="preserve">glycemic, liver, and </w:t>
      </w:r>
      <w:r w:rsidR="00B34E8B" w:rsidRPr="005553DF">
        <w:rPr>
          <w:rFonts w:asciiTheme="minorHAnsi" w:hAnsiTheme="minorHAnsi" w:cstheme="minorHAnsi"/>
        </w:rPr>
        <w:t xml:space="preserve">kidney function, sex </w:t>
      </w:r>
      <w:r w:rsidR="00B34E8B" w:rsidRPr="005553DF">
        <w:rPr>
          <w:rFonts w:asciiTheme="minorHAnsi" w:hAnsiTheme="minorHAnsi" w:cstheme="minorHAnsi"/>
          <w:bCs/>
          <w:iCs/>
          <w:color w:val="000000"/>
        </w:rPr>
        <w:t>hormones, and immune function</w:t>
      </w:r>
      <w:r w:rsidR="00B35964" w:rsidRPr="005553DF">
        <w:rPr>
          <w:rFonts w:asciiTheme="minorHAnsi" w:hAnsiTheme="minorHAnsi" w:cstheme="minorHAnsi"/>
          <w:bCs/>
          <w:iCs/>
          <w:color w:val="000000"/>
        </w:rPr>
        <w:t xml:space="preserve"> </w:t>
      </w:r>
      <w:r w:rsidR="00B35964" w:rsidRPr="005553DF">
        <w:rPr>
          <w:rFonts w:asciiTheme="minorHAnsi" w:hAnsiTheme="minorHAnsi" w:cstheme="minorHAnsi"/>
          <w:b/>
          <w:bCs/>
          <w:iCs/>
          <w:color w:val="000000"/>
        </w:rPr>
        <w:t>(</w:t>
      </w:r>
      <w:r w:rsidR="00E01DF1" w:rsidRPr="005553DF">
        <w:rPr>
          <w:rFonts w:asciiTheme="minorHAnsi" w:hAnsiTheme="minorHAnsi" w:cstheme="minorHAnsi"/>
          <w:b/>
          <w:bCs/>
          <w:iCs/>
          <w:color w:val="000000"/>
        </w:rPr>
        <w:t>Attachment 3</w:t>
      </w:r>
      <w:r w:rsidR="00A30AAF" w:rsidRPr="005553DF">
        <w:rPr>
          <w:rFonts w:asciiTheme="minorHAnsi" w:hAnsiTheme="minorHAnsi" w:cstheme="minorHAnsi"/>
          <w:bCs/>
          <w:iCs/>
          <w:color w:val="000000"/>
        </w:rPr>
        <w:t>)</w:t>
      </w:r>
      <w:r w:rsidR="00B34E8B" w:rsidRPr="005553DF">
        <w:rPr>
          <w:rFonts w:asciiTheme="minorHAnsi" w:hAnsiTheme="minorHAnsi" w:cstheme="minorHAnsi"/>
          <w:b/>
          <w:bCs/>
          <w:iCs/>
          <w:color w:val="000000"/>
        </w:rPr>
        <w:t>:</w:t>
      </w:r>
    </w:p>
    <w:p w14:paraId="6021F8A9" w14:textId="77777777" w:rsidR="00B34E8B" w:rsidRPr="005553DF" w:rsidRDefault="00B34E8B"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r w:rsidR="00A23DB1" w:rsidRPr="005553DF">
        <w:rPr>
          <w:rFonts w:asciiTheme="minorHAnsi" w:hAnsiTheme="minorHAnsi" w:cstheme="minorHAnsi"/>
          <w:bCs/>
          <w:iCs/>
          <w:color w:val="000000"/>
        </w:rPr>
        <w:t>,</w:t>
      </w:r>
    </w:p>
    <w:p w14:paraId="124D5BB7" w14:textId="77777777" w:rsidR="00535F98" w:rsidRPr="005553DF" w:rsidRDefault="00535F98"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r w:rsidR="00A23DB1" w:rsidRPr="005553DF">
        <w:rPr>
          <w:rFonts w:asciiTheme="minorHAnsi" w:hAnsiTheme="minorHAnsi" w:cstheme="minorHAnsi"/>
          <w:bCs/>
          <w:iCs/>
          <w:color w:val="000000"/>
        </w:rPr>
        <w:t>,</w:t>
      </w:r>
    </w:p>
    <w:p w14:paraId="3CC439AC" w14:textId="77777777" w:rsidR="00B34E8B" w:rsidRPr="005553DF" w:rsidRDefault="00B34E8B"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Thyroxine (T4), T3, thyroid stimulating hormone (TSH)</w:t>
      </w:r>
      <w:r w:rsidR="00A23DB1" w:rsidRPr="005553DF">
        <w:rPr>
          <w:rFonts w:asciiTheme="minorHAnsi" w:hAnsiTheme="minorHAnsi" w:cstheme="minorHAnsi"/>
          <w:bCs/>
          <w:iCs/>
          <w:color w:val="000000"/>
        </w:rPr>
        <w:t>,</w:t>
      </w:r>
    </w:p>
    <w:p w14:paraId="4EE54C2E" w14:textId="77777777" w:rsidR="005E3D21" w:rsidRPr="005553DF" w:rsidRDefault="005E3D21"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r w:rsidR="00A23DB1" w:rsidRPr="005553DF">
        <w:rPr>
          <w:rFonts w:asciiTheme="minorHAnsi" w:hAnsiTheme="minorHAnsi" w:cstheme="minorHAnsi"/>
          <w:bCs/>
          <w:iCs/>
          <w:color w:val="000000"/>
        </w:rPr>
        <w:t>,</w:t>
      </w:r>
    </w:p>
    <w:p w14:paraId="4DA8729A" w14:textId="77777777" w:rsidR="00DC1FD5" w:rsidRPr="005553DF" w:rsidRDefault="00DC1FD5"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Alanine transaminase (ALT), γ-glutamyltransferase (GGT), direct bilirubin, and cytokeratin-18 (CK-18)</w:t>
      </w:r>
      <w:r w:rsidR="00A23DB1" w:rsidRPr="005553DF">
        <w:rPr>
          <w:rFonts w:asciiTheme="minorHAnsi" w:hAnsiTheme="minorHAnsi" w:cstheme="minorHAnsi"/>
          <w:bCs/>
          <w:iCs/>
          <w:color w:val="000000"/>
        </w:rPr>
        <w:t>,</w:t>
      </w:r>
    </w:p>
    <w:p w14:paraId="52415B61" w14:textId="77777777" w:rsidR="00B34E8B" w:rsidRPr="005553DF" w:rsidRDefault="004D5F40"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sidR="00B34E8B" w:rsidRPr="005553DF">
        <w:rPr>
          <w:rFonts w:asciiTheme="minorHAnsi" w:hAnsiTheme="minorHAnsi" w:cstheme="minorHAnsi"/>
          <w:bCs/>
          <w:iCs/>
          <w:color w:val="000000"/>
        </w:rPr>
        <w:t>estosterone, estradiol, sex hormone-binding globulin (SHBG), follicle stimulating hormone, insulin-like growth factor</w:t>
      </w:r>
      <w:r w:rsidR="00A23DB1" w:rsidRPr="005553DF">
        <w:rPr>
          <w:rFonts w:asciiTheme="minorHAnsi" w:hAnsiTheme="minorHAnsi" w:cstheme="minorHAnsi"/>
          <w:bCs/>
          <w:iCs/>
          <w:color w:val="000000"/>
        </w:rPr>
        <w:t>,</w:t>
      </w:r>
    </w:p>
    <w:p w14:paraId="305B857C" w14:textId="77777777" w:rsidR="00ED4394" w:rsidRPr="005553DF" w:rsidRDefault="00B34E8B"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and IgM; antibodies to measles, mumps, rubella, tetanus, and diphtheria</w:t>
      </w:r>
      <w:r w:rsidR="00A23DB1" w:rsidRPr="005553DF">
        <w:rPr>
          <w:rFonts w:asciiTheme="minorHAnsi" w:hAnsiTheme="minorHAnsi" w:cstheme="minorHAnsi"/>
          <w:bCs/>
          <w:iCs/>
          <w:color w:val="000000"/>
        </w:rPr>
        <w:t>.</w:t>
      </w:r>
    </w:p>
    <w:p w14:paraId="421CB971" w14:textId="77777777" w:rsidR="00441388" w:rsidRPr="005553DF" w:rsidRDefault="00141BB5"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0002344A" w:rsidRPr="005553DF">
        <w:rPr>
          <w:rFonts w:asciiTheme="minorHAnsi" w:hAnsiTheme="minorHAnsi" w:cstheme="minorHAnsi"/>
          <w:bCs/>
          <w:iCs/>
          <w:color w:val="000000"/>
        </w:rPr>
        <w:t>child study</w:t>
      </w:r>
      <w:r w:rsidRPr="005553DF">
        <w:rPr>
          <w:rFonts w:asciiTheme="minorHAnsi" w:hAnsiTheme="minorHAnsi" w:cstheme="minorHAnsi"/>
          <w:bCs/>
          <w:iCs/>
          <w:color w:val="000000"/>
        </w:rPr>
        <w:t xml:space="preserve"> will use t</w:t>
      </w:r>
      <w:r w:rsidR="00ED4394" w:rsidRPr="005553DF">
        <w:rPr>
          <w:rFonts w:asciiTheme="minorHAnsi" w:hAnsiTheme="minorHAnsi" w:cstheme="minorHAnsi"/>
          <w:bCs/>
          <w:iCs/>
          <w:color w:val="000000"/>
        </w:rPr>
        <w:t xml:space="preserve">he cut points of 50 ng/dL of total </w:t>
      </w:r>
      <w:r w:rsidR="00ED4394" w:rsidRPr="005553DF">
        <w:rPr>
          <w:rFonts w:asciiTheme="minorHAnsi" w:hAnsiTheme="minorHAnsi" w:cstheme="minorHAnsi"/>
          <w:bCs/>
          <w:iCs/>
        </w:rPr>
        <w:t xml:space="preserve">testosterone and 20 pg/mL of estradiol </w:t>
      </w:r>
      <w:r w:rsidRPr="005553DF">
        <w:rPr>
          <w:rFonts w:asciiTheme="minorHAnsi" w:hAnsiTheme="minorHAnsi" w:cstheme="minorHAnsi"/>
          <w:bCs/>
          <w:iCs/>
        </w:rPr>
        <w:t>t</w:t>
      </w:r>
      <w:r w:rsidR="00ED4394" w:rsidRPr="005553DF">
        <w:rPr>
          <w:rFonts w:asciiTheme="minorHAnsi" w:hAnsiTheme="minorHAnsi" w:cstheme="minorHAnsi"/>
          <w:bCs/>
          <w:iCs/>
        </w:rPr>
        <w:t>o identify sexual maturation in boys and girls, respectively</w:t>
      </w:r>
      <w:r w:rsidR="00EC05A9" w:rsidRPr="005553DF">
        <w:rPr>
          <w:rFonts w:asciiTheme="minorHAnsi" w:hAnsiTheme="minorHAnsi" w:cstheme="minorHAnsi"/>
          <w:bCs/>
          <w:iCs/>
        </w:rPr>
        <w:t xml:space="preserve"> (</w:t>
      </w:r>
      <w:r w:rsidR="00EC05A9" w:rsidRPr="005553DF">
        <w:t>Lopez-Espinosa 2011</w:t>
      </w:r>
      <w:r w:rsidR="00EC05A9" w:rsidRPr="005553DF">
        <w:rPr>
          <w:rFonts w:asciiTheme="minorHAnsi" w:hAnsiTheme="minorHAnsi" w:cstheme="minorHAnsi"/>
          <w:bCs/>
          <w:iCs/>
        </w:rPr>
        <w:t>)</w:t>
      </w:r>
      <w:r w:rsidR="00EC05A9" w:rsidRPr="005553DF">
        <w:rPr>
          <w:rFonts w:asciiTheme="minorHAnsi" w:hAnsiTheme="minorHAnsi" w:cstheme="minorHAnsi"/>
          <w:bCs/>
          <w:iCs/>
          <w:color w:val="000000"/>
        </w:rPr>
        <w:t>.</w:t>
      </w:r>
      <w:r w:rsidR="00ED4394"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The </w:t>
      </w:r>
      <w:r w:rsidR="0002344A" w:rsidRPr="005553DF">
        <w:rPr>
          <w:rFonts w:asciiTheme="minorHAnsi" w:hAnsiTheme="minorHAnsi" w:cstheme="minorHAnsi"/>
          <w:bCs/>
          <w:iCs/>
          <w:color w:val="000000"/>
        </w:rPr>
        <w:t>child study</w:t>
      </w:r>
      <w:r w:rsidRPr="005553DF">
        <w:rPr>
          <w:rFonts w:asciiTheme="minorHAnsi" w:hAnsiTheme="minorHAnsi" w:cstheme="minorHAnsi"/>
          <w:bCs/>
          <w:iCs/>
          <w:color w:val="000000"/>
        </w:rPr>
        <w:t xml:space="preserve"> will measure </w:t>
      </w:r>
      <w:r w:rsidR="00ED4394" w:rsidRPr="005553DF">
        <w:rPr>
          <w:rFonts w:asciiTheme="minorHAnsi" w:hAnsiTheme="minorHAnsi" w:cstheme="minorHAnsi"/>
          <w:bCs/>
          <w:iCs/>
          <w:color w:val="000000"/>
        </w:rPr>
        <w:t xml:space="preserve">IgG antibodies for measles, rubella, and diphtheria </w:t>
      </w:r>
      <w:r w:rsidRPr="005553DF">
        <w:rPr>
          <w:rFonts w:asciiTheme="minorHAnsi" w:hAnsiTheme="minorHAnsi" w:cstheme="minorHAnsi"/>
          <w:bCs/>
          <w:iCs/>
          <w:color w:val="000000"/>
        </w:rPr>
        <w:t xml:space="preserve">to </w:t>
      </w:r>
      <w:r w:rsidR="00ED4394" w:rsidRPr="005553DF">
        <w:rPr>
          <w:rFonts w:asciiTheme="minorHAnsi" w:hAnsiTheme="minorHAnsi" w:cstheme="minorHAnsi"/>
          <w:bCs/>
          <w:iCs/>
          <w:color w:val="000000"/>
        </w:rPr>
        <w:t xml:space="preserve">determine vaccine responses. </w:t>
      </w:r>
      <w:r w:rsidR="006D1F99" w:rsidRPr="005553DF">
        <w:rPr>
          <w:rFonts w:asciiTheme="minorHAnsi" w:hAnsiTheme="minorHAnsi" w:cstheme="minorHAnsi"/>
          <w:bCs/>
          <w:iCs/>
          <w:color w:val="000000"/>
        </w:rPr>
        <w:t xml:space="preserve"> </w:t>
      </w:r>
      <w:r w:rsidR="00015822" w:rsidRPr="005553DF">
        <w:rPr>
          <w:rFonts w:asciiTheme="minorHAnsi" w:hAnsiTheme="minorHAnsi" w:cstheme="minorHAnsi"/>
          <w:bCs/>
          <w:iCs/>
          <w:color w:val="000000"/>
        </w:rPr>
        <w:t xml:space="preserve">It </w:t>
      </w:r>
      <w:r w:rsidR="006D1F99" w:rsidRPr="005553DF">
        <w:rPr>
          <w:rFonts w:asciiTheme="minorHAnsi" w:hAnsiTheme="minorHAnsi" w:cstheme="minorHAnsi"/>
          <w:bCs/>
          <w:iCs/>
          <w:color w:val="000000"/>
        </w:rPr>
        <w:t>will analyze a</w:t>
      </w:r>
      <w:r w:rsidR="00ED4394" w:rsidRPr="005553DF">
        <w:rPr>
          <w:rFonts w:asciiTheme="minorHAnsi" w:hAnsiTheme="minorHAnsi" w:cstheme="minorHAnsi"/>
          <w:bCs/>
          <w:iCs/>
          <w:color w:val="000000"/>
        </w:rPr>
        <w:t xml:space="preserve">llergen-specific IgE (mold, dust mites, dog, cat, cow’s milk, peanut, hen’s egg, and birch). </w:t>
      </w:r>
      <w:r w:rsidR="006D1F99" w:rsidRPr="005553DF">
        <w:rPr>
          <w:rFonts w:asciiTheme="minorHAnsi" w:hAnsiTheme="minorHAnsi" w:cstheme="minorHAnsi"/>
          <w:bCs/>
          <w:iCs/>
          <w:color w:val="000000"/>
        </w:rPr>
        <w:t xml:space="preserve"> The </w:t>
      </w:r>
      <w:r w:rsidR="00EA3383" w:rsidRPr="005553DF">
        <w:rPr>
          <w:rFonts w:asciiTheme="minorHAnsi" w:hAnsiTheme="minorHAnsi" w:cstheme="minorHAnsi"/>
          <w:bCs/>
          <w:iCs/>
          <w:color w:val="000000"/>
        </w:rPr>
        <w:t>study</w:t>
      </w:r>
      <w:r w:rsidR="006D1F99" w:rsidRPr="005553DF">
        <w:rPr>
          <w:rFonts w:asciiTheme="minorHAnsi" w:hAnsiTheme="minorHAnsi" w:cstheme="minorHAnsi"/>
          <w:bCs/>
          <w:iCs/>
          <w:color w:val="000000"/>
        </w:rPr>
        <w:t xml:space="preserve"> will analyze s</w:t>
      </w:r>
      <w:r w:rsidR="00ED4394" w:rsidRPr="005553DF">
        <w:rPr>
          <w:rFonts w:asciiTheme="minorHAnsi" w:hAnsiTheme="minorHAnsi" w:cstheme="minorHAnsi"/>
          <w:bCs/>
          <w:iCs/>
          <w:color w:val="000000"/>
        </w:rPr>
        <w:t xml:space="preserve">erum levels of thyroid stimulating hormone (TSH) and total T4 separately and </w:t>
      </w:r>
      <w:r w:rsidR="006D1F99" w:rsidRPr="005553DF">
        <w:rPr>
          <w:rFonts w:asciiTheme="minorHAnsi" w:hAnsiTheme="minorHAnsi" w:cstheme="minorHAnsi"/>
          <w:bCs/>
          <w:iCs/>
          <w:color w:val="000000"/>
        </w:rPr>
        <w:t xml:space="preserve">use these measurements </w:t>
      </w:r>
      <w:r w:rsidR="00ED4394" w:rsidRPr="005553DF">
        <w:rPr>
          <w:rFonts w:asciiTheme="minorHAnsi" w:hAnsiTheme="minorHAnsi" w:cstheme="minorHAnsi"/>
          <w:bCs/>
          <w:iCs/>
          <w:color w:val="000000"/>
        </w:rPr>
        <w:t>to determine clinical and subclinical hypothyroidism</w:t>
      </w:r>
      <w:r w:rsidR="006D1F99" w:rsidRPr="005553DF">
        <w:rPr>
          <w:rFonts w:asciiTheme="minorHAnsi" w:hAnsiTheme="minorHAnsi" w:cstheme="minorHAnsi"/>
          <w:bCs/>
          <w:iCs/>
          <w:color w:val="000000"/>
        </w:rPr>
        <w:t xml:space="preserve"> and hyperthyroidism</w:t>
      </w:r>
      <w:r w:rsidR="00ED4394" w:rsidRPr="005553DF">
        <w:rPr>
          <w:rFonts w:asciiTheme="minorHAnsi" w:hAnsiTheme="minorHAnsi" w:cstheme="minorHAnsi"/>
          <w:bCs/>
          <w:iCs/>
          <w:color w:val="000000"/>
        </w:rPr>
        <w:t xml:space="preserve">. </w:t>
      </w:r>
      <w:r w:rsidR="00015822" w:rsidRPr="005553DF">
        <w:rPr>
          <w:rFonts w:asciiTheme="minorHAnsi" w:hAnsiTheme="minorHAnsi" w:cstheme="minorHAnsi"/>
          <w:bCs/>
          <w:iCs/>
          <w:color w:val="000000"/>
        </w:rPr>
        <w:t xml:space="preserve"> The </w:t>
      </w:r>
      <w:r w:rsidR="006D1F99" w:rsidRPr="005553DF">
        <w:rPr>
          <w:rFonts w:asciiTheme="minorHAnsi" w:hAnsiTheme="minorHAnsi" w:cstheme="minorHAnsi"/>
          <w:bCs/>
          <w:iCs/>
          <w:color w:val="000000"/>
        </w:rPr>
        <w:t>study will measure u</w:t>
      </w:r>
      <w:r w:rsidR="00ED4394" w:rsidRPr="005553DF">
        <w:rPr>
          <w:rFonts w:asciiTheme="minorHAnsi" w:hAnsiTheme="minorHAnsi" w:cstheme="minorHAnsi"/>
          <w:bCs/>
          <w:iCs/>
          <w:color w:val="000000"/>
        </w:rPr>
        <w:t>ric acid, total cholesterol, low-density and high-density lipoprotein, and triglycerides.</w:t>
      </w:r>
      <w:r w:rsidR="00015822" w:rsidRPr="005553DF">
        <w:rPr>
          <w:rFonts w:asciiTheme="minorHAnsi" w:hAnsiTheme="minorHAnsi" w:cstheme="minorHAnsi"/>
          <w:bCs/>
          <w:iCs/>
          <w:color w:val="000000"/>
        </w:rPr>
        <w:t xml:space="preserve"> </w:t>
      </w:r>
      <w:r w:rsidR="00BF49EB" w:rsidRPr="005553DF">
        <w:rPr>
          <w:rFonts w:asciiTheme="minorHAnsi" w:hAnsiTheme="minorHAnsi" w:cstheme="minorHAnsi"/>
          <w:bCs/>
          <w:iCs/>
          <w:color w:val="000000"/>
        </w:rPr>
        <w:t xml:space="preserve"> </w:t>
      </w:r>
      <w:r w:rsidR="00015822" w:rsidRPr="005553DF">
        <w:rPr>
          <w:rFonts w:asciiTheme="minorHAnsi" w:hAnsiTheme="minorHAnsi" w:cstheme="minorHAnsi"/>
          <w:bCs/>
          <w:iCs/>
          <w:color w:val="000000"/>
        </w:rPr>
        <w:t>We also propose to measure liver enzymes and CK-18 (Feldstein 2013, Mora 2018, Santoro 2013).</w:t>
      </w:r>
    </w:p>
    <w:p w14:paraId="63030442" w14:textId="77777777" w:rsidR="00441388" w:rsidRPr="005553DF" w:rsidRDefault="00ED4F36" w:rsidP="005553DF">
      <w:pPr>
        <w:pStyle w:val="Heading3"/>
        <w:spacing w:before="100" w:beforeAutospacing="1" w:after="240" w:line="360" w:lineRule="auto"/>
        <w:rPr>
          <w:rFonts w:asciiTheme="minorHAnsi" w:hAnsiTheme="minorHAnsi" w:cstheme="minorHAnsi"/>
          <w:i/>
          <w:color w:val="auto"/>
        </w:rPr>
      </w:pPr>
      <w:bookmarkStart w:id="65" w:name="_Toc532224179"/>
      <w:r w:rsidRPr="005553DF">
        <w:rPr>
          <w:rFonts w:asciiTheme="minorHAnsi" w:hAnsiTheme="minorHAnsi" w:cstheme="minorHAnsi"/>
          <w:i/>
          <w:color w:val="auto"/>
        </w:rPr>
        <w:t>3.</w:t>
      </w:r>
      <w:r w:rsidR="00B630A2" w:rsidRPr="005553DF">
        <w:rPr>
          <w:rFonts w:asciiTheme="minorHAnsi" w:hAnsiTheme="minorHAnsi" w:cstheme="minorHAnsi"/>
          <w:i/>
          <w:color w:val="auto"/>
        </w:rPr>
        <w:t>7</w:t>
      </w:r>
      <w:r w:rsidRPr="005553DF">
        <w:rPr>
          <w:rFonts w:asciiTheme="minorHAnsi" w:hAnsiTheme="minorHAnsi" w:cstheme="minorHAnsi"/>
          <w:i/>
          <w:color w:val="auto"/>
        </w:rPr>
        <w:t xml:space="preserve">.2 </w:t>
      </w:r>
      <w:r w:rsidR="00672485" w:rsidRPr="005553DF">
        <w:rPr>
          <w:rFonts w:asciiTheme="minorHAnsi" w:hAnsiTheme="minorHAnsi" w:cstheme="minorHAnsi"/>
          <w:i/>
          <w:color w:val="auto"/>
        </w:rPr>
        <w:t>Adults</w:t>
      </w:r>
      <w:bookmarkEnd w:id="65"/>
    </w:p>
    <w:p w14:paraId="05C73A83" w14:textId="77777777" w:rsidR="003B2FEB" w:rsidRPr="005553DF" w:rsidRDefault="003B2FEB" w:rsidP="005553DF">
      <w:pPr>
        <w:spacing w:before="100" w:beforeAutospacing="1" w:after="240" w:line="360" w:lineRule="auto"/>
        <w:rPr>
          <w:rFonts w:asciiTheme="minorHAnsi" w:hAnsiTheme="minorHAnsi" w:cstheme="minorHAnsi"/>
        </w:rPr>
      </w:pPr>
      <w:r w:rsidRPr="005553DF">
        <w:rPr>
          <w:rFonts w:asciiTheme="minorHAnsi" w:hAnsiTheme="minorHAnsi" w:cstheme="minorHAnsi"/>
        </w:rPr>
        <w:t xml:space="preserve">The study will analyze the following biomarkers in the </w:t>
      </w:r>
      <w:r w:rsidR="00866DEB" w:rsidRPr="005553DF">
        <w:rPr>
          <w:rFonts w:asciiTheme="minorHAnsi" w:hAnsiTheme="minorHAnsi" w:cstheme="minorHAnsi"/>
        </w:rPr>
        <w:t xml:space="preserve">adult fasting </w:t>
      </w:r>
      <w:r w:rsidRPr="005553DF">
        <w:rPr>
          <w:rFonts w:asciiTheme="minorHAnsi" w:hAnsiTheme="minorHAnsi" w:cstheme="minorHAnsi"/>
        </w:rPr>
        <w:t>serum</w:t>
      </w:r>
      <w:r w:rsidR="00B35964" w:rsidRPr="005553DF">
        <w:rPr>
          <w:rFonts w:asciiTheme="minorHAnsi" w:hAnsiTheme="minorHAnsi" w:cstheme="minorHAnsi"/>
        </w:rPr>
        <w:t xml:space="preserve"> </w:t>
      </w:r>
      <w:r w:rsidR="00B35964" w:rsidRPr="005553DF">
        <w:rPr>
          <w:rFonts w:asciiTheme="minorHAnsi" w:hAnsiTheme="minorHAnsi" w:cstheme="minorHAnsi"/>
          <w:bCs/>
          <w:iCs/>
          <w:color w:val="000000"/>
        </w:rPr>
        <w:t>(</w:t>
      </w:r>
      <w:r w:rsidR="00E01DF1" w:rsidRPr="005553DF">
        <w:rPr>
          <w:rFonts w:asciiTheme="minorHAnsi" w:hAnsiTheme="minorHAnsi" w:cstheme="minorHAnsi"/>
          <w:b/>
          <w:bCs/>
          <w:iCs/>
          <w:color w:val="000000"/>
        </w:rPr>
        <w:t>Attachment 3</w:t>
      </w:r>
      <w:r w:rsidR="00A30AAF" w:rsidRPr="005553DF">
        <w:rPr>
          <w:rFonts w:asciiTheme="minorHAnsi" w:hAnsiTheme="minorHAnsi" w:cstheme="minorHAnsi"/>
          <w:bCs/>
          <w:iCs/>
          <w:color w:val="000000"/>
        </w:rPr>
        <w:t>)</w:t>
      </w:r>
      <w:r w:rsidRPr="005553DF">
        <w:rPr>
          <w:rFonts w:asciiTheme="minorHAnsi" w:hAnsiTheme="minorHAnsi" w:cstheme="minorHAnsi"/>
          <w:b/>
        </w:rPr>
        <w:t>:</w:t>
      </w:r>
    </w:p>
    <w:p w14:paraId="471C6199" w14:textId="77777777" w:rsidR="003B2FEB" w:rsidRPr="005553DF" w:rsidRDefault="003B2FEB"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r w:rsidR="00A23DB1" w:rsidRPr="005553DF">
        <w:rPr>
          <w:rFonts w:asciiTheme="minorHAnsi" w:hAnsiTheme="minorHAnsi" w:cstheme="minorHAnsi"/>
          <w:bCs/>
          <w:iCs/>
          <w:color w:val="000000"/>
        </w:rPr>
        <w:t>,</w:t>
      </w:r>
    </w:p>
    <w:p w14:paraId="26D8F24A" w14:textId="77777777" w:rsidR="00535F98" w:rsidRPr="005553DF" w:rsidRDefault="00535F98"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r w:rsidR="00A23DB1" w:rsidRPr="005553DF">
        <w:rPr>
          <w:rFonts w:asciiTheme="minorHAnsi" w:hAnsiTheme="minorHAnsi" w:cstheme="minorHAnsi"/>
          <w:bCs/>
          <w:iCs/>
          <w:color w:val="000000"/>
        </w:rPr>
        <w:t>,</w:t>
      </w:r>
    </w:p>
    <w:p w14:paraId="6BD3D433" w14:textId="77777777" w:rsidR="003B2FEB" w:rsidRPr="005553DF" w:rsidRDefault="003B2FEB"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Thyroxine (T4), T3, thyroid stimulating hormone (TSH)</w:t>
      </w:r>
      <w:r w:rsidR="00A23DB1" w:rsidRPr="005553DF">
        <w:rPr>
          <w:rFonts w:asciiTheme="minorHAnsi" w:hAnsiTheme="minorHAnsi" w:cstheme="minorHAnsi"/>
          <w:bCs/>
          <w:iCs/>
          <w:color w:val="000000"/>
        </w:rPr>
        <w:t>,</w:t>
      </w:r>
    </w:p>
    <w:p w14:paraId="3880A822" w14:textId="77777777" w:rsidR="00890511" w:rsidRPr="005553DF" w:rsidRDefault="00890511"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Glucose, insulin, glycosylated hemoglobin (HbA1c), </w:t>
      </w:r>
      <w:r w:rsidR="00313D36" w:rsidRPr="005553DF">
        <w:rPr>
          <w:rFonts w:asciiTheme="minorHAnsi" w:hAnsiTheme="minorHAnsi" w:cstheme="minorHAnsi"/>
          <w:bCs/>
          <w:iCs/>
          <w:color w:val="000000"/>
        </w:rPr>
        <w:t>auto-antibo</w:t>
      </w:r>
      <w:r w:rsidRPr="005553DF">
        <w:rPr>
          <w:rFonts w:asciiTheme="minorHAnsi" w:hAnsiTheme="minorHAnsi" w:cstheme="minorHAnsi"/>
          <w:bCs/>
          <w:iCs/>
          <w:color w:val="000000"/>
        </w:rPr>
        <w:t>d</w:t>
      </w:r>
      <w:r w:rsidR="00313D36" w:rsidRPr="005553DF">
        <w:rPr>
          <w:rFonts w:asciiTheme="minorHAnsi" w:hAnsiTheme="minorHAnsi" w:cstheme="minorHAnsi"/>
          <w:bCs/>
          <w:iCs/>
          <w:color w:val="000000"/>
        </w:rPr>
        <w:t xml:space="preserve">ies </w:t>
      </w:r>
      <w:r w:rsidR="005E3D21" w:rsidRPr="005553DF">
        <w:rPr>
          <w:rFonts w:asciiTheme="minorHAnsi" w:hAnsiTheme="minorHAnsi" w:cstheme="minorHAnsi"/>
          <w:bCs/>
          <w:iCs/>
          <w:color w:val="000000"/>
        </w:rPr>
        <w:t>(</w:t>
      </w:r>
      <w:r w:rsidR="00313D36" w:rsidRPr="005553DF">
        <w:rPr>
          <w:rFonts w:asciiTheme="minorHAnsi" w:hAnsiTheme="minorHAnsi" w:cstheme="minorHAnsi"/>
          <w:bCs/>
          <w:iCs/>
          <w:color w:val="000000"/>
        </w:rPr>
        <w:t>GAD-65 and</w:t>
      </w:r>
      <w:r w:rsidRPr="005553DF">
        <w:rPr>
          <w:rFonts w:asciiTheme="minorHAnsi" w:hAnsiTheme="minorHAnsi" w:cstheme="minorHAnsi"/>
          <w:bCs/>
          <w:iCs/>
          <w:color w:val="000000"/>
        </w:rPr>
        <w:t xml:space="preserve"> IA-2</w:t>
      </w:r>
      <w:r w:rsidR="005E3D21" w:rsidRPr="005553DF">
        <w:rPr>
          <w:rFonts w:asciiTheme="minorHAnsi" w:hAnsiTheme="minorHAnsi" w:cstheme="minorHAnsi"/>
          <w:bCs/>
          <w:iCs/>
          <w:color w:val="000000"/>
        </w:rPr>
        <w:t>)</w:t>
      </w:r>
      <w:r w:rsidR="00313D36" w:rsidRPr="005553DF">
        <w:rPr>
          <w:rFonts w:asciiTheme="minorHAnsi" w:hAnsiTheme="minorHAnsi" w:cstheme="minorHAnsi"/>
          <w:bCs/>
          <w:iCs/>
          <w:color w:val="000000"/>
        </w:rPr>
        <w:t>, C-peptide, pro-insulin</w:t>
      </w:r>
      <w:r w:rsidR="00A23DB1" w:rsidRPr="005553DF">
        <w:rPr>
          <w:rFonts w:asciiTheme="minorHAnsi" w:hAnsiTheme="minorHAnsi" w:cstheme="minorHAnsi"/>
          <w:bCs/>
          <w:iCs/>
          <w:color w:val="000000"/>
        </w:rPr>
        <w:t>,</w:t>
      </w:r>
    </w:p>
    <w:p w14:paraId="3ABEE0B7" w14:textId="77777777" w:rsidR="003B2FEB" w:rsidRPr="005553DF" w:rsidRDefault="003B2FEB"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Alanine transaminase (ALT), γ-glutamyltransferase (GGT), direct bilirubin, and cytokeratin-18 (CK-18)</w:t>
      </w:r>
      <w:r w:rsidR="00A23DB1" w:rsidRPr="005553DF">
        <w:rPr>
          <w:rFonts w:asciiTheme="minorHAnsi" w:hAnsiTheme="minorHAnsi" w:cstheme="minorHAnsi"/>
          <w:bCs/>
          <w:iCs/>
          <w:color w:val="000000"/>
        </w:rPr>
        <w:t>,</w:t>
      </w:r>
    </w:p>
    <w:p w14:paraId="47BFA771" w14:textId="77777777" w:rsidR="005E3D21" w:rsidRPr="005553DF" w:rsidRDefault="003B2FEB"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IgE and IgM; C reactive protein, and antinuclear antibodies (ANA)</w:t>
      </w:r>
      <w:r w:rsidR="00A23DB1" w:rsidRPr="005553DF">
        <w:rPr>
          <w:rFonts w:asciiTheme="minorHAnsi" w:hAnsiTheme="minorHAnsi" w:cstheme="minorHAnsi"/>
          <w:bCs/>
          <w:iCs/>
          <w:color w:val="000000"/>
        </w:rPr>
        <w:t>,</w:t>
      </w:r>
    </w:p>
    <w:p w14:paraId="1E878786" w14:textId="77777777" w:rsidR="00C34D5A" w:rsidRPr="005553DF" w:rsidRDefault="005E3D21" w:rsidP="005553DF">
      <w:pPr>
        <w:pStyle w:val="ListParagraph"/>
        <w:numPr>
          <w:ilvl w:val="0"/>
          <w:numId w:val="18"/>
        </w:numPr>
        <w:spacing w:before="100" w:beforeAutospacing="1" w:after="0" w:line="360" w:lineRule="auto"/>
        <w:contextualSpacing w:val="0"/>
        <w:jc w:val="both"/>
      </w:pPr>
      <w:r w:rsidRPr="005553DF">
        <w:rPr>
          <w:rFonts w:asciiTheme="minorHAnsi" w:hAnsiTheme="minorHAnsi" w:cstheme="minorHAnsi"/>
          <w:bCs/>
          <w:iCs/>
          <w:color w:val="000000"/>
        </w:rPr>
        <w:t>C</w:t>
      </w:r>
      <w:r w:rsidR="003B2FEB" w:rsidRPr="005553DF">
        <w:rPr>
          <w:rFonts w:asciiTheme="minorHAnsi" w:hAnsiTheme="minorHAnsi" w:cstheme="minorHAnsi"/>
          <w:bCs/>
          <w:iCs/>
          <w:color w:val="000000"/>
        </w:rPr>
        <w:t>ytokines</w:t>
      </w:r>
      <w:r w:rsidRPr="005553DF">
        <w:rPr>
          <w:rFonts w:asciiTheme="minorHAnsi" w:hAnsiTheme="minorHAnsi" w:cstheme="minorHAnsi"/>
          <w:bCs/>
          <w:iCs/>
          <w:color w:val="000000"/>
        </w:rPr>
        <w:t xml:space="preserve"> and adipokines</w:t>
      </w:r>
      <w:r w:rsidR="00313D36" w:rsidRPr="005553DF">
        <w:rPr>
          <w:rFonts w:asciiTheme="minorHAnsi" w:hAnsiTheme="minorHAnsi" w:cstheme="minorHAnsi"/>
          <w:bCs/>
          <w:iCs/>
          <w:color w:val="000000"/>
        </w:rPr>
        <w:t xml:space="preserve"> (e.g. </w:t>
      </w:r>
      <w:r w:rsidR="00B51B96" w:rsidRPr="005553DF">
        <w:rPr>
          <w:rFonts w:asciiTheme="minorHAnsi" w:hAnsiTheme="minorHAnsi" w:cstheme="minorHAnsi"/>
        </w:rPr>
        <w:t>IL-1β, IL-6, IL-8, MCP-1, TNFα, leptin, adiponectin, resistin, PAI-1</w:t>
      </w:r>
      <w:r w:rsidR="002E6A02" w:rsidRPr="005553DF">
        <w:rPr>
          <w:rFonts w:asciiTheme="minorHAnsi" w:hAnsiTheme="minorHAnsi" w:cstheme="minorHAnsi"/>
        </w:rPr>
        <w:t>)</w:t>
      </w:r>
      <w:r w:rsidR="00B51B96" w:rsidRPr="005553DF">
        <w:rPr>
          <w:rFonts w:asciiTheme="minorHAnsi" w:hAnsiTheme="minorHAnsi" w:cstheme="minorHAnsi"/>
          <w:bCs/>
          <w:iCs/>
          <w:color w:val="000000"/>
        </w:rPr>
        <w:t>.</w:t>
      </w:r>
    </w:p>
    <w:p w14:paraId="5066E19E" w14:textId="77777777" w:rsidR="005D3452" w:rsidRPr="005553DF" w:rsidRDefault="008D6B48" w:rsidP="005553DF">
      <w:pPr>
        <w:pStyle w:val="Heading3"/>
        <w:spacing w:before="100" w:beforeAutospacing="1" w:after="240" w:line="360" w:lineRule="auto"/>
        <w:rPr>
          <w:rFonts w:asciiTheme="minorHAnsi" w:hAnsiTheme="minorHAnsi" w:cstheme="minorHAnsi"/>
          <w:b w:val="0"/>
          <w:i/>
          <w:color w:val="auto"/>
        </w:rPr>
      </w:pPr>
      <w:bookmarkStart w:id="66" w:name="_Toc532224180"/>
      <w:r w:rsidRPr="005553DF">
        <w:rPr>
          <w:rFonts w:asciiTheme="minorHAnsi" w:hAnsiTheme="minorHAnsi" w:cstheme="minorHAnsi"/>
          <w:i/>
          <w:color w:val="auto"/>
        </w:rPr>
        <w:t>3.</w:t>
      </w:r>
      <w:r w:rsidR="00B630A2" w:rsidRPr="005553DF">
        <w:rPr>
          <w:rFonts w:asciiTheme="minorHAnsi" w:hAnsiTheme="minorHAnsi" w:cstheme="minorHAnsi"/>
          <w:i/>
          <w:color w:val="auto"/>
        </w:rPr>
        <w:t>7</w:t>
      </w:r>
      <w:r w:rsidR="009B539F" w:rsidRPr="005553DF">
        <w:rPr>
          <w:rFonts w:asciiTheme="minorHAnsi" w:hAnsiTheme="minorHAnsi" w:cstheme="minorHAnsi"/>
          <w:i/>
          <w:color w:val="auto"/>
        </w:rPr>
        <w:t>.3</w:t>
      </w:r>
      <w:r w:rsidRPr="005553DF">
        <w:rPr>
          <w:rFonts w:asciiTheme="minorHAnsi" w:hAnsiTheme="minorHAnsi" w:cstheme="minorHAnsi"/>
          <w:i/>
          <w:color w:val="auto"/>
        </w:rPr>
        <w:t xml:space="preserve"> </w:t>
      </w:r>
      <w:r w:rsidR="009B539F" w:rsidRPr="005553DF">
        <w:rPr>
          <w:rFonts w:asciiTheme="minorHAnsi" w:hAnsiTheme="minorHAnsi" w:cstheme="minorHAnsi"/>
          <w:i/>
          <w:color w:val="auto"/>
        </w:rPr>
        <w:t>Quality Control/</w:t>
      </w:r>
      <w:r w:rsidR="008F13B7" w:rsidRPr="005553DF">
        <w:rPr>
          <w:rFonts w:asciiTheme="minorHAnsi" w:hAnsiTheme="minorHAnsi" w:cstheme="minorHAnsi"/>
          <w:i/>
          <w:color w:val="auto"/>
        </w:rPr>
        <w:t xml:space="preserve">Quality </w:t>
      </w:r>
      <w:r w:rsidR="009B539F" w:rsidRPr="005553DF">
        <w:rPr>
          <w:rFonts w:asciiTheme="minorHAnsi" w:hAnsiTheme="minorHAnsi" w:cstheme="minorHAnsi"/>
          <w:i/>
          <w:color w:val="auto"/>
        </w:rPr>
        <w:t>A</w:t>
      </w:r>
      <w:r w:rsidR="005D3452" w:rsidRPr="005553DF">
        <w:rPr>
          <w:rFonts w:asciiTheme="minorHAnsi" w:hAnsiTheme="minorHAnsi" w:cstheme="minorHAnsi"/>
          <w:i/>
          <w:color w:val="auto"/>
        </w:rPr>
        <w:t>ssurance</w:t>
      </w:r>
      <w:bookmarkEnd w:id="66"/>
      <w:r w:rsidR="005D3452" w:rsidRPr="005553DF">
        <w:rPr>
          <w:rFonts w:asciiTheme="minorHAnsi" w:hAnsiTheme="minorHAnsi" w:cstheme="minorHAnsi"/>
          <w:i/>
          <w:color w:val="auto"/>
        </w:rPr>
        <w:t xml:space="preserve"> </w:t>
      </w:r>
    </w:p>
    <w:p w14:paraId="15EA3E3F" w14:textId="77777777" w:rsidR="005D3452" w:rsidRPr="005553DF" w:rsidRDefault="005D3452"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To maintain the integrity of the lab results</w:t>
      </w:r>
      <w:r w:rsidRPr="005553DF">
        <w:rPr>
          <w:rFonts w:asciiTheme="minorHAnsi" w:hAnsiTheme="minorHAnsi" w:cstheme="minorHAnsi"/>
          <w:sz w:val="22"/>
          <w:szCs w:val="22"/>
        </w:rPr>
        <w:t xml:space="preserve">, a backup generator will be available for the refrigerator and freezer at the study office. All blood specimens will be </w:t>
      </w:r>
      <w:r w:rsidR="00DE1FA7" w:rsidRPr="005553DF">
        <w:rPr>
          <w:rFonts w:asciiTheme="minorHAnsi" w:hAnsiTheme="minorHAnsi" w:cstheme="minorHAnsi"/>
          <w:sz w:val="22"/>
          <w:szCs w:val="22"/>
        </w:rPr>
        <w:t xml:space="preserve">securely </w:t>
      </w:r>
      <w:r w:rsidRPr="005553DF">
        <w:rPr>
          <w:rFonts w:asciiTheme="minorHAnsi" w:hAnsiTheme="minorHAnsi" w:cstheme="minorHAnsi"/>
          <w:sz w:val="22"/>
          <w:szCs w:val="22"/>
        </w:rPr>
        <w:t>stored at the study office until shipped to the NCEH laboratory.</w:t>
      </w:r>
    </w:p>
    <w:p w14:paraId="5662B42D" w14:textId="77777777" w:rsidR="005D3452" w:rsidRPr="005553DF" w:rsidRDefault="005D3452"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w:t>
      </w:r>
      <w:r w:rsidR="006C622C" w:rsidRPr="005553DF">
        <w:rPr>
          <w:rFonts w:asciiTheme="minorHAnsi" w:hAnsiTheme="minorHAnsi" w:cstheme="minorHAnsi"/>
        </w:rPr>
        <w:t>NCEH</w:t>
      </w:r>
      <w:r w:rsidRPr="005553DF">
        <w:rPr>
          <w:rFonts w:asciiTheme="minorHAnsi" w:hAnsiTheme="minorHAnsi" w:cstheme="minorHAnsi"/>
          <w:bCs/>
          <w:iCs/>
        </w:rPr>
        <w:t xml:space="preserve"> and other participating laboratories will fulfill quality assurance/quality control criteria (QA/QC) including a documented quality assurance plan and adherence to required quality control procedures specified in an approved method. The laboratories will ensure that the analytical data are scientifically valid, defensible, and of known and acceptable precision and accuracy. QA/QC procedures, including appropriate calibration of instruments, running standards and blanks, reporting limits of detection, and other parameters will be in place before </w:t>
      </w:r>
      <w:r w:rsidR="00A537E4" w:rsidRPr="005553DF">
        <w:rPr>
          <w:rFonts w:asciiTheme="minorHAnsi" w:hAnsiTheme="minorHAnsi" w:cstheme="minorHAnsi"/>
          <w:bCs/>
          <w:iCs/>
        </w:rPr>
        <w:t>specimen</w:t>
      </w:r>
      <w:r w:rsidRPr="005553DF">
        <w:rPr>
          <w:rFonts w:asciiTheme="minorHAnsi" w:hAnsiTheme="minorHAnsi" w:cstheme="minorHAnsi"/>
          <w:bCs/>
          <w:iCs/>
        </w:rPr>
        <w:t xml:space="preserve">s are tested. </w:t>
      </w:r>
      <w:r w:rsidR="00A537E4" w:rsidRPr="005553DF">
        <w:rPr>
          <w:rFonts w:asciiTheme="minorHAnsi" w:hAnsiTheme="minorHAnsi" w:cstheme="minorHAnsi"/>
          <w:bCs/>
          <w:iCs/>
        </w:rPr>
        <w:t>Specimen</w:t>
      </w:r>
      <w:r w:rsidRPr="005553DF">
        <w:rPr>
          <w:rFonts w:asciiTheme="minorHAnsi" w:hAnsiTheme="minorHAnsi" w:cstheme="minorHAnsi"/>
          <w:bCs/>
          <w:iCs/>
        </w:rPr>
        <w:t xml:space="preserve"> collection, storage, and transportation t</w:t>
      </w:r>
      <w:r w:rsidR="008F13B7" w:rsidRPr="005553DF">
        <w:rPr>
          <w:rFonts w:asciiTheme="minorHAnsi" w:hAnsiTheme="minorHAnsi" w:cstheme="minorHAnsi"/>
          <w:bCs/>
          <w:iCs/>
        </w:rPr>
        <w:t>echniques are specified in the Manual of P</w:t>
      </w:r>
      <w:r w:rsidRPr="005553DF">
        <w:rPr>
          <w:rFonts w:asciiTheme="minorHAnsi" w:hAnsiTheme="minorHAnsi" w:cstheme="minorHAnsi"/>
          <w:bCs/>
          <w:iCs/>
        </w:rPr>
        <w:t xml:space="preserve">rocedures to ensure the integrity of the </w:t>
      </w:r>
      <w:r w:rsidR="00A537E4" w:rsidRPr="005553DF">
        <w:rPr>
          <w:rFonts w:asciiTheme="minorHAnsi" w:hAnsiTheme="minorHAnsi" w:cstheme="minorHAnsi"/>
          <w:bCs/>
          <w:iCs/>
        </w:rPr>
        <w:t>specimen</w:t>
      </w:r>
      <w:r w:rsidR="008F13B7" w:rsidRPr="005553DF">
        <w:rPr>
          <w:rFonts w:asciiTheme="minorHAnsi" w:hAnsiTheme="minorHAnsi" w:cstheme="minorHAnsi"/>
          <w:bCs/>
          <w:iCs/>
        </w:rPr>
        <w:t>s (</w:t>
      </w:r>
      <w:r w:rsidR="008F13B7" w:rsidRPr="005553DF">
        <w:rPr>
          <w:rFonts w:asciiTheme="minorHAnsi" w:hAnsiTheme="minorHAnsi" w:cstheme="minorHAnsi"/>
          <w:b/>
          <w:bCs/>
          <w:iCs/>
        </w:rPr>
        <w:t>Attachment 1</w:t>
      </w:r>
      <w:r w:rsidR="00460758" w:rsidRPr="005553DF">
        <w:rPr>
          <w:rFonts w:asciiTheme="minorHAnsi" w:hAnsiTheme="minorHAnsi" w:cstheme="minorHAnsi"/>
          <w:b/>
          <w:bCs/>
          <w:iCs/>
        </w:rPr>
        <w:t>4</w:t>
      </w:r>
      <w:r w:rsidR="008F13B7" w:rsidRPr="005553DF">
        <w:rPr>
          <w:rFonts w:asciiTheme="minorHAnsi" w:hAnsiTheme="minorHAnsi" w:cstheme="minorHAnsi"/>
          <w:bCs/>
          <w:iCs/>
        </w:rPr>
        <w:t>)</w:t>
      </w:r>
      <w:r w:rsidRPr="005553DF">
        <w:rPr>
          <w:rFonts w:asciiTheme="minorHAnsi" w:hAnsiTheme="minorHAnsi" w:cstheme="minorHAnsi"/>
          <w:bCs/>
          <w:iCs/>
        </w:rPr>
        <w:t xml:space="preserve">. Specimens will be stored at the proper temperature and isolated from potential sources of contamination. </w:t>
      </w:r>
    </w:p>
    <w:p w14:paraId="23A71284" w14:textId="77777777" w:rsidR="006F4999" w:rsidRPr="005553DF" w:rsidRDefault="005D3452" w:rsidP="005553DF">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The Standard Operating Procedure (SOP) for each analytical method is kept on file by the PI, and is available for review upon request</w:t>
      </w:r>
      <w:r w:rsidRPr="005553DF">
        <w:rPr>
          <w:rFonts w:asciiTheme="minorHAnsi" w:hAnsiTheme="minorHAnsi" w:cstheme="minorHAnsi"/>
          <w:bCs/>
          <w:iCs/>
        </w:rPr>
        <w:t xml:space="preserve">. </w:t>
      </w:r>
    </w:p>
    <w:p w14:paraId="5B7E2892" w14:textId="77777777" w:rsidR="005D3452" w:rsidRPr="005553DF" w:rsidRDefault="008D6B48" w:rsidP="005553DF">
      <w:pPr>
        <w:pStyle w:val="Heading3"/>
        <w:spacing w:before="100" w:beforeAutospacing="1" w:after="240" w:line="360" w:lineRule="auto"/>
        <w:rPr>
          <w:rFonts w:asciiTheme="minorHAnsi" w:hAnsiTheme="minorHAnsi" w:cstheme="minorHAnsi"/>
          <w:b w:val="0"/>
          <w:i/>
        </w:rPr>
      </w:pPr>
      <w:bookmarkStart w:id="67" w:name="_Toc532224181"/>
      <w:r w:rsidRPr="005553DF">
        <w:rPr>
          <w:rFonts w:asciiTheme="minorHAnsi" w:hAnsiTheme="minorHAnsi" w:cstheme="minorHAnsi"/>
          <w:i/>
          <w:color w:val="auto"/>
        </w:rPr>
        <w:t>3.</w:t>
      </w:r>
      <w:r w:rsidR="00B630A2" w:rsidRPr="005553DF">
        <w:rPr>
          <w:rFonts w:asciiTheme="minorHAnsi" w:hAnsiTheme="minorHAnsi" w:cstheme="minorHAnsi"/>
          <w:i/>
          <w:color w:val="auto"/>
        </w:rPr>
        <w:t>7</w:t>
      </w:r>
      <w:r w:rsidR="00AA1CFA" w:rsidRPr="005553DF">
        <w:rPr>
          <w:rFonts w:asciiTheme="minorHAnsi" w:hAnsiTheme="minorHAnsi" w:cstheme="minorHAnsi"/>
          <w:i/>
          <w:color w:val="auto"/>
        </w:rPr>
        <w:t>.4</w:t>
      </w:r>
      <w:r w:rsidRPr="005553DF">
        <w:rPr>
          <w:rFonts w:asciiTheme="minorHAnsi" w:hAnsiTheme="minorHAnsi" w:cstheme="minorHAnsi"/>
          <w:i/>
          <w:color w:val="auto"/>
        </w:rPr>
        <w:t xml:space="preserve"> </w:t>
      </w:r>
      <w:r w:rsidR="00AA1CFA" w:rsidRPr="005553DF">
        <w:rPr>
          <w:rFonts w:asciiTheme="minorHAnsi" w:hAnsiTheme="minorHAnsi" w:cstheme="minorHAnsi"/>
          <w:i/>
          <w:color w:val="auto"/>
        </w:rPr>
        <w:t>Reference V</w:t>
      </w:r>
      <w:r w:rsidR="005D3452" w:rsidRPr="005553DF">
        <w:rPr>
          <w:rFonts w:asciiTheme="minorHAnsi" w:hAnsiTheme="minorHAnsi" w:cstheme="minorHAnsi"/>
          <w:i/>
          <w:color w:val="auto"/>
        </w:rPr>
        <w:t>alues</w:t>
      </w:r>
      <w:bookmarkEnd w:id="67"/>
      <w:r w:rsidR="005D3452" w:rsidRPr="005553DF">
        <w:rPr>
          <w:rFonts w:asciiTheme="minorHAnsi" w:hAnsiTheme="minorHAnsi" w:cstheme="minorHAnsi"/>
          <w:i/>
          <w:color w:val="auto"/>
        </w:rPr>
        <w:t xml:space="preserve"> </w:t>
      </w:r>
    </w:p>
    <w:p w14:paraId="11E741FB" w14:textId="77777777" w:rsidR="006F4999" w:rsidRPr="005553DF" w:rsidRDefault="005D3452" w:rsidP="005553DF">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bCs/>
          <w:iCs/>
        </w:rPr>
        <w:t>The participating laboratories will provide reference values</w:t>
      </w:r>
      <w:r w:rsidR="00F42B3C" w:rsidRPr="005553DF">
        <w:rPr>
          <w:rFonts w:asciiTheme="minorHAnsi" w:hAnsiTheme="minorHAnsi" w:cstheme="minorHAnsi"/>
          <w:bCs/>
          <w:iCs/>
        </w:rPr>
        <w:t xml:space="preserve"> and action levels</w:t>
      </w:r>
      <w:r w:rsidRPr="005553DF">
        <w:rPr>
          <w:rFonts w:asciiTheme="minorHAnsi" w:hAnsiTheme="minorHAnsi" w:cstheme="minorHAnsi"/>
          <w:bCs/>
          <w:iCs/>
        </w:rPr>
        <w:t xml:space="preserve"> for the effect biomarkers</w:t>
      </w:r>
      <w:r w:rsidR="00F42B3C" w:rsidRPr="005553DF">
        <w:rPr>
          <w:rFonts w:asciiTheme="minorHAnsi" w:hAnsiTheme="minorHAnsi" w:cstheme="minorHAnsi"/>
          <w:bCs/>
          <w:iCs/>
        </w:rPr>
        <w:t xml:space="preserve"> which will be reported in </w:t>
      </w:r>
      <w:r w:rsidR="00C6653F" w:rsidRPr="005553DF">
        <w:rPr>
          <w:rFonts w:asciiTheme="minorHAnsi" w:hAnsiTheme="minorHAnsi" w:cstheme="minorHAnsi"/>
          <w:b/>
          <w:bCs/>
          <w:iCs/>
        </w:rPr>
        <w:t>Attachment</w:t>
      </w:r>
      <w:r w:rsidR="00F42B3C" w:rsidRPr="005553DF">
        <w:rPr>
          <w:rFonts w:asciiTheme="minorHAnsi" w:hAnsiTheme="minorHAnsi" w:cstheme="minorHAnsi"/>
          <w:b/>
          <w:bCs/>
          <w:iCs/>
        </w:rPr>
        <w:t>s</w:t>
      </w:r>
      <w:r w:rsidR="00460758" w:rsidRPr="005553DF">
        <w:rPr>
          <w:rFonts w:asciiTheme="minorHAnsi" w:hAnsiTheme="minorHAnsi" w:cstheme="minorHAnsi"/>
          <w:b/>
          <w:bCs/>
          <w:iCs/>
        </w:rPr>
        <w:t xml:space="preserve"> </w:t>
      </w:r>
      <w:r w:rsidR="00F42B3C" w:rsidRPr="005553DF">
        <w:rPr>
          <w:rFonts w:asciiTheme="minorHAnsi" w:hAnsiTheme="minorHAnsi" w:cstheme="minorHAnsi"/>
          <w:b/>
          <w:bCs/>
          <w:iCs/>
        </w:rPr>
        <w:t>22&amp;</w:t>
      </w:r>
      <w:r w:rsidR="00460758" w:rsidRPr="005553DF">
        <w:rPr>
          <w:rFonts w:asciiTheme="minorHAnsi" w:hAnsiTheme="minorHAnsi" w:cstheme="minorHAnsi"/>
          <w:b/>
          <w:bCs/>
          <w:iCs/>
        </w:rPr>
        <w:t>23</w:t>
      </w:r>
      <w:r w:rsidRPr="005553DF">
        <w:rPr>
          <w:rFonts w:asciiTheme="minorHAnsi" w:hAnsiTheme="minorHAnsi" w:cstheme="minorHAnsi"/>
        </w:rPr>
        <w:t xml:space="preserve">. </w:t>
      </w:r>
      <w:r w:rsidR="002645D5" w:rsidRPr="005553DF">
        <w:rPr>
          <w:rFonts w:asciiTheme="minorHAnsi" w:hAnsiTheme="minorHAnsi" w:cstheme="minorHAnsi"/>
        </w:rPr>
        <w:t>ATSDR will report the participant’s PFAS results using reference values from the most recent NHANES report</w:t>
      </w:r>
      <w:r w:rsidR="00F42B3C" w:rsidRPr="005553DF">
        <w:rPr>
          <w:rFonts w:asciiTheme="minorHAnsi" w:hAnsiTheme="minorHAnsi" w:cstheme="minorHAnsi"/>
        </w:rPr>
        <w:t xml:space="preserve"> (</w:t>
      </w:r>
      <w:r w:rsidR="00F42B3C" w:rsidRPr="005553DF">
        <w:rPr>
          <w:rFonts w:asciiTheme="minorHAnsi" w:hAnsiTheme="minorHAnsi" w:cstheme="minorHAnsi"/>
          <w:b/>
        </w:rPr>
        <w:t>Attachment 24</w:t>
      </w:r>
      <w:r w:rsidR="00F42B3C" w:rsidRPr="005553DF">
        <w:rPr>
          <w:rFonts w:asciiTheme="minorHAnsi" w:hAnsiTheme="minorHAnsi" w:cstheme="minorHAnsi"/>
        </w:rPr>
        <w:t>)</w:t>
      </w:r>
      <w:r w:rsidR="002645D5" w:rsidRPr="005553DF">
        <w:rPr>
          <w:rFonts w:asciiTheme="minorHAnsi" w:hAnsiTheme="minorHAnsi" w:cstheme="minorHAnsi"/>
        </w:rPr>
        <w:t>. Currently, the 2013-14 report is available</w:t>
      </w:r>
      <w:r w:rsidR="00380144" w:rsidRPr="005553DF">
        <w:rPr>
          <w:rFonts w:asciiTheme="minorHAnsi" w:hAnsiTheme="minorHAnsi" w:cstheme="minorHAnsi"/>
        </w:rPr>
        <w:t xml:space="preserve"> and provides reference values for children</w:t>
      </w:r>
      <w:r w:rsidR="002645D5" w:rsidRPr="005553DF">
        <w:rPr>
          <w:rFonts w:asciiTheme="minorHAnsi" w:hAnsiTheme="minorHAnsi" w:cstheme="minorHAnsi"/>
        </w:rPr>
        <w:t xml:space="preserve">. </w:t>
      </w:r>
      <w:r w:rsidR="00E470FD" w:rsidRPr="005553DF">
        <w:rPr>
          <w:rFonts w:asciiTheme="minorHAnsi" w:hAnsiTheme="minorHAnsi" w:cstheme="minorHAnsi"/>
          <w:b/>
        </w:rPr>
        <w:t>Section 4</w:t>
      </w:r>
      <w:r w:rsidR="006C622C" w:rsidRPr="005553DF">
        <w:rPr>
          <w:rFonts w:asciiTheme="minorHAnsi" w:hAnsiTheme="minorHAnsi" w:cstheme="minorHAnsi"/>
        </w:rPr>
        <w:t xml:space="preserve"> provides additional description</w:t>
      </w:r>
      <w:r w:rsidR="00796ECE" w:rsidRPr="005553DF">
        <w:rPr>
          <w:rFonts w:asciiTheme="minorHAnsi" w:hAnsiTheme="minorHAnsi" w:cstheme="minorHAnsi"/>
        </w:rPr>
        <w:t>s</w:t>
      </w:r>
      <w:r w:rsidR="006C622C" w:rsidRPr="005553DF">
        <w:rPr>
          <w:rFonts w:asciiTheme="minorHAnsi" w:hAnsiTheme="minorHAnsi" w:cstheme="minorHAnsi"/>
        </w:rPr>
        <w:t xml:space="preserve"> of t</w:t>
      </w:r>
      <w:r w:rsidRPr="005553DF">
        <w:rPr>
          <w:rFonts w:asciiTheme="minorHAnsi" w:hAnsiTheme="minorHAnsi" w:cstheme="minorHAnsi"/>
        </w:rPr>
        <w:t>he procedures for advance and final results reporting.</w:t>
      </w:r>
    </w:p>
    <w:p w14:paraId="6FDB04F6" w14:textId="77777777" w:rsidR="006F4999" w:rsidRPr="005553DF" w:rsidRDefault="008D6B48" w:rsidP="005553DF">
      <w:pPr>
        <w:pStyle w:val="Heading2"/>
        <w:spacing w:before="100" w:beforeAutospacing="1" w:after="240" w:line="360" w:lineRule="auto"/>
        <w:rPr>
          <w:rFonts w:asciiTheme="minorHAnsi" w:hAnsiTheme="minorHAnsi" w:cstheme="minorHAnsi"/>
          <w:i w:val="0"/>
          <w:sz w:val="22"/>
          <w:szCs w:val="22"/>
        </w:rPr>
      </w:pPr>
      <w:bookmarkStart w:id="68" w:name="_Toc532224182"/>
      <w:r w:rsidRPr="005553DF">
        <w:rPr>
          <w:rFonts w:asciiTheme="minorHAnsi" w:hAnsiTheme="minorHAnsi" w:cstheme="minorHAnsi"/>
          <w:i w:val="0"/>
          <w:sz w:val="22"/>
          <w:szCs w:val="22"/>
        </w:rPr>
        <w:t>3.</w:t>
      </w:r>
      <w:r w:rsidR="00B630A2" w:rsidRPr="005553DF">
        <w:rPr>
          <w:rFonts w:asciiTheme="minorHAnsi" w:hAnsiTheme="minorHAnsi" w:cstheme="minorHAnsi"/>
          <w:i w:val="0"/>
          <w:sz w:val="22"/>
          <w:szCs w:val="22"/>
        </w:rPr>
        <w:t>8</w:t>
      </w:r>
      <w:r w:rsidRPr="005553DF">
        <w:rPr>
          <w:rFonts w:asciiTheme="minorHAnsi" w:hAnsiTheme="minorHAnsi" w:cstheme="minorHAnsi"/>
          <w:i w:val="0"/>
          <w:sz w:val="22"/>
          <w:szCs w:val="22"/>
        </w:rPr>
        <w:t xml:space="preserve"> </w:t>
      </w:r>
      <w:r w:rsidR="00913825" w:rsidRPr="005553DF">
        <w:rPr>
          <w:rFonts w:asciiTheme="minorHAnsi" w:hAnsiTheme="minorHAnsi" w:cstheme="minorHAnsi"/>
          <w:i w:val="0"/>
          <w:sz w:val="22"/>
          <w:szCs w:val="22"/>
        </w:rPr>
        <w:t>Data Handling</w:t>
      </w:r>
      <w:bookmarkEnd w:id="68"/>
    </w:p>
    <w:p w14:paraId="405A35D9" w14:textId="77777777" w:rsidR="008D6B48" w:rsidRPr="005553DF" w:rsidRDefault="00C6653F" w:rsidP="005553DF">
      <w:pPr>
        <w:pStyle w:val="Heading3"/>
        <w:spacing w:before="100" w:beforeAutospacing="1" w:after="240" w:line="360" w:lineRule="auto"/>
        <w:rPr>
          <w:rStyle w:val="Heading3Char"/>
          <w:rFonts w:asciiTheme="minorHAnsi" w:hAnsiTheme="minorHAnsi" w:cstheme="minorHAnsi"/>
          <w:b/>
          <w:i/>
          <w:color w:val="auto"/>
        </w:rPr>
      </w:pPr>
      <w:bookmarkStart w:id="69" w:name="_Toc532224183"/>
      <w:r w:rsidRPr="00F600DE">
        <w:rPr>
          <w:rFonts w:asciiTheme="minorHAnsi" w:hAnsiTheme="minorHAnsi" w:cstheme="minorHAnsi"/>
          <w:i/>
          <w:color w:val="auto"/>
        </w:rPr>
        <w:t>3</w:t>
      </w:r>
      <w:r w:rsidR="008D6B48" w:rsidRPr="005553DF">
        <w:rPr>
          <w:rStyle w:val="Heading3Char"/>
          <w:rFonts w:asciiTheme="minorHAnsi" w:hAnsiTheme="minorHAnsi" w:cstheme="minorHAnsi"/>
          <w:b/>
          <w:i/>
          <w:color w:val="auto"/>
        </w:rPr>
        <w:t>.</w:t>
      </w:r>
      <w:r w:rsidR="00B630A2" w:rsidRPr="005553DF">
        <w:rPr>
          <w:rStyle w:val="Heading3Char"/>
          <w:rFonts w:asciiTheme="minorHAnsi" w:hAnsiTheme="minorHAnsi" w:cstheme="minorHAnsi"/>
          <w:b/>
          <w:i/>
          <w:color w:val="auto"/>
        </w:rPr>
        <w:t>8</w:t>
      </w:r>
      <w:r w:rsidRPr="005553DF">
        <w:rPr>
          <w:rStyle w:val="Heading3Char"/>
          <w:rFonts w:asciiTheme="minorHAnsi" w:hAnsiTheme="minorHAnsi" w:cstheme="minorHAnsi"/>
          <w:b/>
          <w:i/>
          <w:color w:val="auto"/>
        </w:rPr>
        <w:t>.</w:t>
      </w:r>
      <w:r w:rsidR="008D6B48" w:rsidRPr="005553DF">
        <w:rPr>
          <w:rStyle w:val="Heading3Char"/>
          <w:rFonts w:asciiTheme="minorHAnsi" w:hAnsiTheme="minorHAnsi" w:cstheme="minorHAnsi"/>
          <w:b/>
          <w:i/>
          <w:color w:val="auto"/>
        </w:rPr>
        <w:t xml:space="preserve">1 </w:t>
      </w:r>
      <w:r w:rsidR="000C74F0" w:rsidRPr="005553DF">
        <w:rPr>
          <w:rStyle w:val="Heading3Char"/>
          <w:rFonts w:asciiTheme="minorHAnsi" w:hAnsiTheme="minorHAnsi" w:cstheme="minorHAnsi"/>
          <w:b/>
          <w:i/>
          <w:color w:val="auto"/>
        </w:rPr>
        <w:t xml:space="preserve">Certificate of </w:t>
      </w:r>
      <w:r w:rsidR="000575E5" w:rsidRPr="005553DF">
        <w:rPr>
          <w:rStyle w:val="Heading3Char"/>
          <w:rFonts w:asciiTheme="minorHAnsi" w:hAnsiTheme="minorHAnsi" w:cstheme="minorHAnsi"/>
          <w:b/>
          <w:i/>
          <w:color w:val="auto"/>
        </w:rPr>
        <w:t>Confidentiality</w:t>
      </w:r>
      <w:bookmarkEnd w:id="69"/>
    </w:p>
    <w:p w14:paraId="5FD08FA3" w14:textId="27F9BD64" w:rsidR="008001C7" w:rsidRPr="005553DF" w:rsidRDefault="008001C7"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eastAsia="Times New Roman" w:hAnsiTheme="minorHAnsi" w:cstheme="minorHAnsi"/>
          <w:lang w:val="en"/>
        </w:rPr>
        <w:t>Section 301(d) of the Public Health Service (PHS) Act, as amended by Section 2012 of the 21st Century Cures Act, P.L. 114-255 (42 U.S.C. 241(d)), states that the Secretary shall issue CoC</w:t>
      </w:r>
      <w:r w:rsidR="006C18DA" w:rsidRPr="005553DF">
        <w:rPr>
          <w:rFonts w:asciiTheme="minorHAnsi" w:eastAsia="Times New Roman" w:hAnsiTheme="minorHAnsi" w:cstheme="minorHAnsi"/>
          <w:lang w:val="en"/>
        </w:rPr>
        <w:t>s</w:t>
      </w:r>
      <w:r w:rsidRPr="005553DF">
        <w:rPr>
          <w:rFonts w:asciiTheme="minorHAnsi" w:eastAsia="Times New Roman" w:hAnsiTheme="minorHAnsi" w:cstheme="minorHAnsi"/>
          <w:lang w:val="en"/>
        </w:rPr>
        <w:t xml:space="preserve"> to persons engaged in biomedical, behavioral, clinical, or other research activities in which identifiable, sensitive information is collected. In furtherance o</w:t>
      </w:r>
      <w:r w:rsidR="006C18DA" w:rsidRPr="005553DF">
        <w:rPr>
          <w:rFonts w:asciiTheme="minorHAnsi" w:eastAsia="Times New Roman" w:hAnsiTheme="minorHAnsi" w:cstheme="minorHAnsi"/>
          <w:lang w:val="en"/>
        </w:rPr>
        <w:t xml:space="preserve">f this provision, CDC </w:t>
      </w:r>
      <w:r w:rsidRPr="005553DF">
        <w:rPr>
          <w:rFonts w:asciiTheme="minorHAnsi" w:eastAsia="Times New Roman" w:hAnsiTheme="minorHAnsi" w:cstheme="minorHAnsi"/>
          <w:lang w:val="en"/>
        </w:rPr>
        <w:t>research commenced or ongoing after December 13, 2016 and in which identifiable, sensitive information is collected, as defined by Section 301(d)</w:t>
      </w:r>
      <w:r w:rsidR="006C18DA" w:rsidRPr="005553DF">
        <w:rPr>
          <w:rFonts w:asciiTheme="minorHAnsi" w:eastAsia="Times New Roman" w:hAnsiTheme="minorHAnsi" w:cstheme="minorHAnsi"/>
          <w:lang w:val="en"/>
        </w:rPr>
        <w:t>, is deemed issued a CoC</w:t>
      </w:r>
      <w:r w:rsidRPr="005553DF">
        <w:rPr>
          <w:rFonts w:asciiTheme="minorHAnsi" w:eastAsia="Times New Roman" w:hAnsiTheme="minorHAnsi" w:cstheme="minorHAnsi"/>
          <w:lang w:val="en"/>
        </w:rPr>
        <w:t xml:space="preserve"> and therefore </w:t>
      </w:r>
      <w:r w:rsidR="00F703D5">
        <w:rPr>
          <w:rFonts w:asciiTheme="minorHAnsi" w:eastAsia="Times New Roman" w:hAnsiTheme="minorHAnsi" w:cstheme="minorHAnsi"/>
          <w:lang w:val="en"/>
        </w:rPr>
        <w:t xml:space="preserve">researchers are </w:t>
      </w:r>
      <w:r w:rsidRPr="005553DF">
        <w:rPr>
          <w:rFonts w:asciiTheme="minorHAnsi" w:eastAsia="Times New Roman" w:hAnsiTheme="minorHAnsi" w:cstheme="minorHAnsi"/>
          <w:lang w:val="en"/>
        </w:rPr>
        <w:t>required to protect the privacy of individuals who are subjects of such research in accordance wi</w:t>
      </w:r>
      <w:r w:rsidR="00F600DE">
        <w:rPr>
          <w:rFonts w:asciiTheme="minorHAnsi" w:eastAsia="Times New Roman" w:hAnsiTheme="minorHAnsi" w:cstheme="minorHAnsi"/>
          <w:lang w:val="en"/>
        </w:rPr>
        <w:t>th Section 301(d) of the PHSA</w:t>
      </w:r>
      <w:r w:rsidRPr="005553DF">
        <w:rPr>
          <w:rFonts w:asciiTheme="minorHAnsi" w:eastAsia="Times New Roman" w:hAnsiTheme="minorHAnsi" w:cstheme="minorHAnsi"/>
          <w:lang w:val="en"/>
        </w:rPr>
        <w:t>.</w:t>
      </w:r>
    </w:p>
    <w:p w14:paraId="5F2336D5" w14:textId="269B2F9B" w:rsidR="008001C7" w:rsidRPr="005553DF" w:rsidRDefault="00F703D5" w:rsidP="005553DF">
      <w:pPr>
        <w:spacing w:after="150" w:line="360" w:lineRule="auto"/>
        <w:rPr>
          <w:rFonts w:asciiTheme="minorHAnsi" w:eastAsia="Times New Roman" w:hAnsiTheme="minorHAnsi" w:cstheme="minorHAnsi"/>
          <w:color w:val="333333"/>
        </w:rPr>
      </w:pPr>
      <w:r>
        <w:rPr>
          <w:rFonts w:asciiTheme="minorHAnsi" w:eastAsia="Times New Roman" w:hAnsiTheme="minorHAnsi" w:cstheme="minorHAnsi"/>
          <w:color w:val="333333"/>
        </w:rPr>
        <w:t xml:space="preserve">Consistent with Section 301(d), </w:t>
      </w:r>
      <w:r w:rsidR="008001C7" w:rsidRPr="005553DF">
        <w:rPr>
          <w:rFonts w:asciiTheme="minorHAnsi" w:eastAsia="Times New Roman" w:hAnsiTheme="minorHAnsi" w:cstheme="minorHAnsi"/>
          <w:color w:val="333333"/>
        </w:rPr>
        <w:t>ATSDR determined that a CoC applies to this research by answering the following question</w:t>
      </w:r>
      <w:r w:rsidR="00086EC0" w:rsidRPr="005553DF">
        <w:rPr>
          <w:rFonts w:asciiTheme="minorHAnsi" w:eastAsia="Times New Roman" w:hAnsiTheme="minorHAnsi" w:cstheme="minorHAnsi"/>
          <w:color w:val="333333"/>
        </w:rPr>
        <w:t>s</w:t>
      </w:r>
      <w:r w:rsidR="008001C7" w:rsidRPr="005553DF">
        <w:rPr>
          <w:rFonts w:asciiTheme="minorHAnsi" w:eastAsia="Times New Roman" w:hAnsiTheme="minorHAnsi" w:cstheme="minorHAnsi"/>
          <w:color w:val="333333"/>
        </w:rPr>
        <w:t>:</w:t>
      </w:r>
    </w:p>
    <w:p w14:paraId="64FB6251"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Is the activity biomedical, behavioral, clinical, or other research? YES</w:t>
      </w:r>
    </w:p>
    <w:p w14:paraId="1AF7AE92"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Does the research involve Human Subjects as defined by 45 CFR Part 46? YES</w:t>
      </w:r>
    </w:p>
    <w:p w14:paraId="2AF0D528"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I</w:t>
      </w:r>
      <w:r w:rsidR="00366FFD" w:rsidRPr="005553DF">
        <w:rPr>
          <w:rFonts w:asciiTheme="minorHAnsi" w:eastAsia="Times New Roman" w:hAnsiTheme="minorHAnsi" w:cstheme="minorHAnsi"/>
          <w:color w:val="333333"/>
        </w:rPr>
        <w:t>s</w:t>
      </w:r>
      <w:r w:rsidRPr="005553DF">
        <w:rPr>
          <w:rFonts w:asciiTheme="minorHAnsi" w:eastAsia="Times New Roman" w:hAnsiTheme="minorHAnsi" w:cstheme="minorHAnsi"/>
          <w:color w:val="333333"/>
        </w:rPr>
        <w:t xml:space="preserve"> ATSDR collecting or using biospecimens that are identifiable to an individual as part of the research? YES</w:t>
      </w:r>
    </w:p>
    <w:p w14:paraId="742E2942"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If collecting or using biospecimens as part of the research, is there a small risk that some combination of the biospecimen, a request for the biospecimen, and other available data sources could be used to deduce the identity of an individual? YES</w:t>
      </w:r>
    </w:p>
    <w:p w14:paraId="29F1BEFE"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Does the research involve the generation of individual level, human genomic data? NO</w:t>
      </w:r>
    </w:p>
    <w:p w14:paraId="3A38CD0C" w14:textId="7CAFDB7E" w:rsidR="00366FFD" w:rsidRPr="005553DF" w:rsidRDefault="00F703D5" w:rsidP="005553DF">
      <w:pPr>
        <w:spacing w:after="150" w:line="360" w:lineRule="auto"/>
        <w:rPr>
          <w:rFonts w:asciiTheme="minorHAnsi" w:eastAsia="Times New Roman" w:hAnsiTheme="minorHAnsi" w:cstheme="minorHAnsi"/>
          <w:color w:val="333333"/>
        </w:rPr>
      </w:pPr>
      <w:r>
        <w:rPr>
          <w:rFonts w:asciiTheme="minorHAnsi" w:eastAsia="Times New Roman" w:hAnsiTheme="minorHAnsi" w:cstheme="minorHAnsi"/>
          <w:color w:val="333333"/>
        </w:rPr>
        <w:t>T</w:t>
      </w:r>
      <w:r w:rsidR="008001C7" w:rsidRPr="005553DF">
        <w:rPr>
          <w:rFonts w:asciiTheme="minorHAnsi" w:eastAsia="Times New Roman" w:hAnsiTheme="minorHAnsi" w:cstheme="minorHAnsi"/>
          <w:color w:val="333333"/>
        </w:rPr>
        <w:t xml:space="preserve">herefore, in accordance with subsection 301(d) of the Public Health Service Act, </w:t>
      </w:r>
      <w:r w:rsidR="00366FFD" w:rsidRPr="005553DF">
        <w:rPr>
          <w:rFonts w:asciiTheme="minorHAnsi" w:eastAsia="Times New Roman" w:hAnsiTheme="minorHAnsi" w:cstheme="minorHAnsi"/>
          <w:color w:val="333333"/>
        </w:rPr>
        <w:t>ATSDR</w:t>
      </w:r>
      <w:r w:rsidR="008001C7" w:rsidRPr="005553DF">
        <w:rPr>
          <w:rFonts w:asciiTheme="minorHAnsi" w:eastAsia="Times New Roman" w:hAnsiTheme="minorHAnsi" w:cstheme="minorHAnsi"/>
          <w:color w:val="333333"/>
        </w:rPr>
        <w:t xml:space="preserve"> </w:t>
      </w:r>
      <w:r w:rsidR="00366FFD" w:rsidRPr="005553DF">
        <w:rPr>
          <w:rFonts w:asciiTheme="minorHAnsi" w:eastAsia="Times New Roman" w:hAnsiTheme="minorHAnsi" w:cstheme="minorHAnsi"/>
          <w:color w:val="333333"/>
        </w:rPr>
        <w:t xml:space="preserve">and any of its contractors </w:t>
      </w:r>
      <w:r w:rsidR="008001C7" w:rsidRPr="005553DF">
        <w:rPr>
          <w:rFonts w:asciiTheme="minorHAnsi" w:eastAsia="Times New Roman" w:hAnsiTheme="minorHAnsi" w:cstheme="minorHAnsi"/>
          <w:color w:val="333333"/>
        </w:rPr>
        <w:t>shall not:</w:t>
      </w:r>
    </w:p>
    <w:p w14:paraId="301F16BC" w14:textId="77777777" w:rsidR="00366FFD" w:rsidRPr="005553DF" w:rsidRDefault="008001C7" w:rsidP="005553DF">
      <w:pPr>
        <w:pStyle w:val="ListParagraph"/>
        <w:numPr>
          <w:ilvl w:val="0"/>
          <w:numId w:val="52"/>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14:paraId="33B7E7D0" w14:textId="77777777" w:rsidR="008001C7" w:rsidRPr="005553DF" w:rsidRDefault="008001C7" w:rsidP="005553DF">
      <w:pPr>
        <w:pStyle w:val="ListParagraph"/>
        <w:numPr>
          <w:ilvl w:val="0"/>
          <w:numId w:val="52"/>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14:paraId="3144F546" w14:textId="77777777" w:rsidR="008001C7" w:rsidRPr="005553DF" w:rsidRDefault="008001C7" w:rsidP="005553DF">
      <w:p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Disclosure is permitted only when:</w:t>
      </w:r>
    </w:p>
    <w:p w14:paraId="3D8248AF" w14:textId="77777777" w:rsidR="00366FFD" w:rsidRPr="005553DF" w:rsidRDefault="008001C7" w:rsidP="005553DF">
      <w:pPr>
        <w:pStyle w:val="ListParagraph"/>
        <w:numPr>
          <w:ilvl w:val="0"/>
          <w:numId w:val="53"/>
        </w:numPr>
        <w:spacing w:before="100" w:beforeAutospacing="1" w:after="100" w:afterAutospacing="1"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4A2B3BA3" w14:textId="77777777" w:rsidR="00366FFD" w:rsidRPr="005553DF" w:rsidRDefault="008001C7" w:rsidP="005553DF">
      <w:pPr>
        <w:pStyle w:val="ListParagraph"/>
        <w:numPr>
          <w:ilvl w:val="0"/>
          <w:numId w:val="53"/>
        </w:numPr>
        <w:spacing w:before="100" w:beforeAutospacing="1" w:after="100" w:afterAutospacing="1"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Necessary for the medical treatment of the individual to whom the information, document, or biospecimen pertains and made with the consent of such individual;</w:t>
      </w:r>
    </w:p>
    <w:p w14:paraId="779BC2CA" w14:textId="77777777" w:rsidR="00366FFD" w:rsidRPr="005553DF" w:rsidRDefault="008001C7" w:rsidP="005553DF">
      <w:pPr>
        <w:pStyle w:val="ListParagraph"/>
        <w:numPr>
          <w:ilvl w:val="0"/>
          <w:numId w:val="53"/>
        </w:numPr>
        <w:spacing w:before="100" w:beforeAutospacing="1" w:after="100" w:afterAutospacing="1"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Made with the consent of the individual to whom the information, document, or biospecimen pertains; or</w:t>
      </w:r>
    </w:p>
    <w:p w14:paraId="2D8CB2C6" w14:textId="77777777" w:rsidR="008001C7" w:rsidRPr="005553DF" w:rsidRDefault="008001C7" w:rsidP="005553DF">
      <w:pPr>
        <w:pStyle w:val="ListParagraph"/>
        <w:numPr>
          <w:ilvl w:val="0"/>
          <w:numId w:val="53"/>
        </w:numPr>
        <w:spacing w:before="100" w:beforeAutospacing="1" w:after="100" w:afterAutospacing="1"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Made for the purposes of other scientific research that is in compliance with applicable Federal regulations governing the protection of human subjects in research.</w:t>
      </w:r>
    </w:p>
    <w:p w14:paraId="09B32548" w14:textId="77777777" w:rsidR="008001C7" w:rsidRPr="005553DF" w:rsidRDefault="00366FFD" w:rsidP="005553DF">
      <w:p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 xml:space="preserve">ATSDR and its contractors conducting this </w:t>
      </w:r>
      <w:r w:rsidR="008001C7" w:rsidRPr="005553DF">
        <w:rPr>
          <w:rFonts w:asciiTheme="minorHAnsi" w:eastAsia="Times New Roman" w:hAnsiTheme="minorHAnsi" w:cstheme="minorHAnsi"/>
          <w:color w:val="333333"/>
        </w:rPr>
        <w:t>research are required to establish and maintain effective internal controls (e.g., policies and procedures) that provide rea</w:t>
      </w:r>
      <w:r w:rsidRPr="005553DF">
        <w:rPr>
          <w:rFonts w:asciiTheme="minorHAnsi" w:eastAsia="Times New Roman" w:hAnsiTheme="minorHAnsi" w:cstheme="minorHAnsi"/>
          <w:color w:val="333333"/>
        </w:rPr>
        <w:t>sonable assurance that the research contract</w:t>
      </w:r>
      <w:r w:rsidR="008001C7" w:rsidRPr="005553DF">
        <w:rPr>
          <w:rFonts w:asciiTheme="minorHAnsi" w:eastAsia="Times New Roman" w:hAnsiTheme="minorHAnsi" w:cstheme="minorHAnsi"/>
          <w:color w:val="333333"/>
        </w:rPr>
        <w:t xml:space="preserve"> is managed in compliance with Federal statutes, regulations, and the te</w:t>
      </w:r>
      <w:r w:rsidRPr="005553DF">
        <w:rPr>
          <w:rFonts w:asciiTheme="minorHAnsi" w:eastAsia="Times New Roman" w:hAnsiTheme="minorHAnsi" w:cstheme="minorHAnsi"/>
          <w:color w:val="333333"/>
        </w:rPr>
        <w:t>rms and conditions of the award</w:t>
      </w:r>
      <w:r w:rsidR="00550AB8" w:rsidRPr="005553DF">
        <w:rPr>
          <w:rFonts w:asciiTheme="minorHAnsi" w:eastAsia="Times New Roman" w:hAnsiTheme="minorHAnsi" w:cstheme="minorHAnsi"/>
          <w:color w:val="333333"/>
        </w:rPr>
        <w:t xml:space="preserve"> (</w:t>
      </w:r>
      <w:r w:rsidR="00550AB8" w:rsidRPr="005553DF">
        <w:rPr>
          <w:rFonts w:asciiTheme="minorHAnsi" w:eastAsia="Times New Roman" w:hAnsiTheme="minorHAnsi" w:cstheme="minorHAnsi"/>
          <w:b/>
          <w:color w:val="333333"/>
        </w:rPr>
        <w:t>Attachment 14</w:t>
      </w:r>
      <w:r w:rsidR="00550AB8" w:rsidRPr="005553DF">
        <w:rPr>
          <w:rFonts w:asciiTheme="minorHAnsi" w:eastAsia="Times New Roman" w:hAnsiTheme="minorHAnsi" w:cstheme="minorHAnsi"/>
          <w:color w:val="333333"/>
        </w:rPr>
        <w:t>)</w:t>
      </w:r>
      <w:r w:rsidRPr="005553DF">
        <w:rPr>
          <w:rFonts w:asciiTheme="minorHAnsi" w:eastAsia="Times New Roman" w:hAnsiTheme="minorHAnsi" w:cstheme="minorHAnsi"/>
          <w:color w:val="333333"/>
        </w:rPr>
        <w:t>. Contractor</w:t>
      </w:r>
      <w:r w:rsidR="008001C7" w:rsidRPr="005553DF">
        <w:rPr>
          <w:rFonts w:asciiTheme="minorHAnsi" w:eastAsia="Times New Roman" w:hAnsiTheme="minorHAnsi" w:cstheme="minorHAnsi"/>
          <w:color w:val="333333"/>
        </w:rPr>
        <w:t xml:space="preserve">s are also required to ensure: 1) that any investigator </w:t>
      </w:r>
      <w:r w:rsidRPr="005553DF">
        <w:rPr>
          <w:rFonts w:asciiTheme="minorHAnsi" w:eastAsia="Times New Roman" w:hAnsiTheme="minorHAnsi" w:cstheme="minorHAnsi"/>
          <w:color w:val="333333"/>
        </w:rPr>
        <w:t>or institution not funded by CDC/ATSDR</w:t>
      </w:r>
      <w:r w:rsidR="008001C7" w:rsidRPr="005553DF">
        <w:rPr>
          <w:rFonts w:asciiTheme="minorHAnsi" w:eastAsia="Times New Roman" w:hAnsiTheme="minorHAnsi" w:cstheme="minorHAnsi"/>
          <w:color w:val="333333"/>
        </w:rPr>
        <w:t xml:space="preserve"> who receives a copy of identifiable, sensitive inform</w:t>
      </w:r>
      <w:r w:rsidR="002E710C" w:rsidRPr="005553DF">
        <w:rPr>
          <w:rFonts w:asciiTheme="minorHAnsi" w:eastAsia="Times New Roman" w:hAnsiTheme="minorHAnsi" w:cstheme="minorHAnsi"/>
          <w:color w:val="333333"/>
        </w:rPr>
        <w:t>ation protected by this CoC</w:t>
      </w:r>
      <w:r w:rsidR="008001C7" w:rsidRPr="005553DF">
        <w:rPr>
          <w:rFonts w:asciiTheme="minorHAnsi" w:eastAsia="Times New Roman" w:hAnsiTheme="minorHAnsi" w:cstheme="minorHAnsi"/>
          <w:color w:val="333333"/>
        </w:rPr>
        <w:t>, understands  that it is also subject to the requirements of subsection 301(d) of the PHS Act; and 2) that any subrecipient that receives funds to carry out part of this CDC award involving a copy of identifiable, sensitive information protected by a Cer</w:t>
      </w:r>
      <w:r w:rsidRPr="005553DF">
        <w:rPr>
          <w:rFonts w:asciiTheme="minorHAnsi" w:eastAsia="Times New Roman" w:hAnsiTheme="minorHAnsi" w:cstheme="minorHAnsi"/>
          <w:color w:val="333333"/>
        </w:rPr>
        <w:t>tificate understands that it is</w:t>
      </w:r>
      <w:r w:rsidR="008001C7" w:rsidRPr="005553DF">
        <w:rPr>
          <w:rFonts w:asciiTheme="minorHAnsi" w:eastAsia="Times New Roman" w:hAnsiTheme="minorHAnsi" w:cstheme="minorHAnsi"/>
          <w:color w:val="333333"/>
        </w:rPr>
        <w:t> subject to subsection 301(d) of the PHS Act.</w:t>
      </w:r>
    </w:p>
    <w:p w14:paraId="38A9FC58" w14:textId="77777777" w:rsidR="00913825" w:rsidRPr="005553DF" w:rsidRDefault="008001C7" w:rsidP="005553DF">
      <w:pPr>
        <w:autoSpaceDE w:val="0"/>
        <w:autoSpaceDN w:val="0"/>
        <w:adjustRightInd w:val="0"/>
        <w:spacing w:before="100" w:beforeAutospacing="1" w:after="240" w:line="360" w:lineRule="auto"/>
        <w:jc w:val="both"/>
        <w:rPr>
          <w:rFonts w:asciiTheme="minorHAnsi" w:hAnsiTheme="minorHAnsi"/>
          <w:b/>
          <w:i/>
        </w:rPr>
      </w:pPr>
      <w:r w:rsidRPr="005553DF">
        <w:rPr>
          <w:rFonts w:asciiTheme="minorHAnsi" w:eastAsia="Times New Roman" w:hAnsiTheme="minorHAnsi" w:cstheme="minorHAnsi"/>
          <w:color w:val="333333"/>
        </w:rPr>
        <w:t>For studies in which informed consent is s</w:t>
      </w:r>
      <w:r w:rsidR="002E710C" w:rsidRPr="005553DF">
        <w:rPr>
          <w:rFonts w:asciiTheme="minorHAnsi" w:eastAsia="Times New Roman" w:hAnsiTheme="minorHAnsi" w:cstheme="minorHAnsi"/>
          <w:color w:val="333333"/>
        </w:rPr>
        <w:t>ought, ATSDR and its contractors shall</w:t>
      </w:r>
      <w:r w:rsidRPr="005553DF">
        <w:rPr>
          <w:rFonts w:asciiTheme="minorHAnsi" w:eastAsia="Times New Roman" w:hAnsiTheme="minorHAnsi" w:cstheme="minorHAnsi"/>
          <w:color w:val="333333"/>
        </w:rPr>
        <w:t xml:space="preserve"> inform research participants of the protections and the limits to prote</w:t>
      </w:r>
      <w:r w:rsidR="002E710C" w:rsidRPr="005553DF">
        <w:rPr>
          <w:rFonts w:asciiTheme="minorHAnsi" w:eastAsia="Times New Roman" w:hAnsiTheme="minorHAnsi" w:cstheme="minorHAnsi"/>
          <w:color w:val="333333"/>
        </w:rPr>
        <w:t>ctions provided by this CoC</w:t>
      </w:r>
      <w:r w:rsidR="00366FFD" w:rsidRPr="005553DF">
        <w:rPr>
          <w:rFonts w:asciiTheme="minorHAnsi" w:eastAsia="Times New Roman" w:hAnsiTheme="minorHAnsi" w:cstheme="minorHAnsi"/>
          <w:color w:val="333333"/>
        </w:rPr>
        <w:t xml:space="preserve"> (</w:t>
      </w:r>
      <w:r w:rsidR="00366FFD" w:rsidRPr="005553DF">
        <w:rPr>
          <w:rFonts w:asciiTheme="minorHAnsi" w:eastAsia="Times New Roman" w:hAnsiTheme="minorHAnsi" w:cstheme="minorHAnsi"/>
          <w:b/>
          <w:color w:val="333333"/>
        </w:rPr>
        <w:t>Attachment 4b</w:t>
      </w:r>
      <w:r w:rsidR="00366FFD" w:rsidRPr="005553DF">
        <w:rPr>
          <w:rFonts w:asciiTheme="minorHAnsi" w:eastAsia="Times New Roman" w:hAnsiTheme="minorHAnsi" w:cstheme="minorHAnsi"/>
          <w:color w:val="333333"/>
        </w:rPr>
        <w:t>)</w:t>
      </w:r>
      <w:r w:rsidRPr="005553DF">
        <w:rPr>
          <w:rFonts w:asciiTheme="minorHAnsi" w:eastAsia="Times New Roman" w:hAnsiTheme="minorHAnsi" w:cstheme="minorHAnsi"/>
          <w:color w:val="333333"/>
        </w:rPr>
        <w:t>.</w:t>
      </w:r>
      <w:r w:rsidR="002B2248" w:rsidRPr="005553DF">
        <w:rPr>
          <w:rFonts w:asciiTheme="minorHAnsi" w:eastAsia="Times New Roman" w:hAnsiTheme="minorHAnsi" w:cstheme="minorHAnsi"/>
          <w:color w:val="333333"/>
        </w:rPr>
        <w:t xml:space="preserve"> </w:t>
      </w:r>
      <w:r w:rsidR="002B2248" w:rsidRPr="005553DF">
        <w:rPr>
          <w:rFonts w:asciiTheme="minorHAnsi" w:hAnsiTheme="minorHAnsi" w:cstheme="minorHAnsi"/>
        </w:rPr>
        <w:t>Therefore, a</w:t>
      </w:r>
      <w:r w:rsidR="00913825" w:rsidRPr="005553DF">
        <w:rPr>
          <w:rFonts w:asciiTheme="minorHAnsi" w:hAnsiTheme="minorHAnsi" w:cstheme="minorHAnsi"/>
        </w:rPr>
        <w:t xml:space="preserve">ll study staff will </w:t>
      </w:r>
      <w:r w:rsidR="006C622C" w:rsidRPr="005553DF">
        <w:rPr>
          <w:rFonts w:asciiTheme="minorHAnsi" w:hAnsiTheme="minorHAnsi" w:cstheme="minorHAnsi"/>
        </w:rPr>
        <w:t>receive training</w:t>
      </w:r>
      <w:r w:rsidR="00913825" w:rsidRPr="005553DF">
        <w:rPr>
          <w:rFonts w:asciiTheme="minorHAnsi" w:hAnsiTheme="minorHAnsi" w:cstheme="minorHAnsi"/>
        </w:rPr>
        <w:t xml:space="preserve"> on the </w:t>
      </w:r>
      <w:r w:rsidR="00913825" w:rsidRPr="005553DF">
        <w:rPr>
          <w:rFonts w:asciiTheme="minorHAnsi" w:hAnsiTheme="minorHAnsi" w:cstheme="minorHAnsi"/>
          <w:bCs/>
        </w:rPr>
        <w:t xml:space="preserve">importance of protecting the </w:t>
      </w:r>
      <w:r w:rsidR="002B2248" w:rsidRPr="005553DF">
        <w:rPr>
          <w:rFonts w:asciiTheme="minorHAnsi" w:hAnsiTheme="minorHAnsi" w:cstheme="minorHAnsi"/>
          <w:bCs/>
        </w:rPr>
        <w:t xml:space="preserve">confidentiality </w:t>
      </w:r>
      <w:r w:rsidR="00913825" w:rsidRPr="005553DF">
        <w:rPr>
          <w:rFonts w:asciiTheme="minorHAnsi" w:hAnsiTheme="minorHAnsi" w:cstheme="minorHAnsi"/>
          <w:bCs/>
        </w:rPr>
        <w:t xml:space="preserve">of human research subjects </w:t>
      </w:r>
      <w:r w:rsidR="00F76F96" w:rsidRPr="005553DF">
        <w:rPr>
          <w:rFonts w:asciiTheme="minorHAnsi" w:hAnsiTheme="minorHAnsi" w:cstheme="minorHAnsi"/>
          <w:bCs/>
        </w:rPr>
        <w:t>and</w:t>
      </w:r>
      <w:r w:rsidR="00913825" w:rsidRPr="005553DF">
        <w:rPr>
          <w:rFonts w:asciiTheme="minorHAnsi" w:hAnsiTheme="minorHAnsi" w:cstheme="minorHAnsi"/>
          <w:bCs/>
        </w:rPr>
        <w:t xml:space="preserve"> of </w:t>
      </w:r>
      <w:r w:rsidR="00FB1DF7" w:rsidRPr="005553DF">
        <w:rPr>
          <w:rFonts w:asciiTheme="minorHAnsi" w:hAnsiTheme="minorHAnsi" w:cstheme="minorHAnsi"/>
          <w:bCs/>
        </w:rPr>
        <w:t xml:space="preserve">personal </w:t>
      </w:r>
      <w:r w:rsidR="00913825" w:rsidRPr="005553DF">
        <w:rPr>
          <w:rFonts w:asciiTheme="minorHAnsi" w:hAnsiTheme="minorHAnsi" w:cstheme="minorHAnsi"/>
          <w:bCs/>
        </w:rPr>
        <w:t xml:space="preserve">information acquired, including the collection of biological </w:t>
      </w:r>
      <w:r w:rsidR="00A537E4" w:rsidRPr="005553DF">
        <w:rPr>
          <w:rFonts w:asciiTheme="minorHAnsi" w:hAnsiTheme="minorHAnsi" w:cstheme="minorHAnsi"/>
          <w:bCs/>
        </w:rPr>
        <w:t>specimen</w:t>
      </w:r>
      <w:r w:rsidR="00913825" w:rsidRPr="005553DF">
        <w:rPr>
          <w:rFonts w:asciiTheme="minorHAnsi" w:hAnsiTheme="minorHAnsi" w:cstheme="minorHAnsi"/>
          <w:bCs/>
        </w:rPr>
        <w:t>s.</w:t>
      </w:r>
      <w:r w:rsidR="00913825" w:rsidRPr="005553DF">
        <w:rPr>
          <w:rFonts w:asciiTheme="minorHAnsi" w:hAnsiTheme="minorHAnsi" w:cstheme="minorHAnsi"/>
          <w:b/>
          <w:bCs/>
        </w:rPr>
        <w:t xml:space="preserve"> </w:t>
      </w:r>
      <w:r w:rsidR="006C622C" w:rsidRPr="005553DF">
        <w:rPr>
          <w:rFonts w:asciiTheme="minorHAnsi" w:hAnsiTheme="minorHAnsi" w:cstheme="minorHAnsi"/>
          <w:bCs/>
        </w:rPr>
        <w:t>The study will minimize t</w:t>
      </w:r>
      <w:r w:rsidR="00913825" w:rsidRPr="005553DF">
        <w:rPr>
          <w:rFonts w:asciiTheme="minorHAnsi" w:hAnsiTheme="minorHAnsi" w:cstheme="minorHAnsi"/>
          <w:bCs/>
        </w:rPr>
        <w:t xml:space="preserve">he risk of loss of </w:t>
      </w:r>
      <w:r w:rsidR="002B2248" w:rsidRPr="005553DF">
        <w:rPr>
          <w:rFonts w:asciiTheme="minorHAnsi" w:hAnsiTheme="minorHAnsi" w:cstheme="minorHAnsi"/>
          <w:bCs/>
        </w:rPr>
        <w:t>confidentiality and privacy</w:t>
      </w:r>
      <w:r w:rsidR="00913825" w:rsidRPr="005553DF">
        <w:rPr>
          <w:rFonts w:asciiTheme="minorHAnsi" w:hAnsiTheme="minorHAnsi" w:cstheme="minorHAnsi"/>
          <w:bCs/>
        </w:rPr>
        <w:t xml:space="preserve"> through care</w:t>
      </w:r>
      <w:r w:rsidR="009E14A3" w:rsidRPr="005553DF">
        <w:rPr>
          <w:rFonts w:asciiTheme="minorHAnsi" w:hAnsiTheme="minorHAnsi" w:cstheme="minorHAnsi"/>
          <w:bCs/>
        </w:rPr>
        <w:t xml:space="preserve">ful attention to </w:t>
      </w:r>
      <w:r w:rsidR="002B2248" w:rsidRPr="005553DF">
        <w:rPr>
          <w:rFonts w:asciiTheme="minorHAnsi" w:hAnsiTheme="minorHAnsi" w:cstheme="minorHAnsi"/>
          <w:bCs/>
        </w:rPr>
        <w:t xml:space="preserve">procedures for such </w:t>
      </w:r>
      <w:r w:rsidR="009E14A3" w:rsidRPr="005553DF">
        <w:rPr>
          <w:rFonts w:asciiTheme="minorHAnsi" w:hAnsiTheme="minorHAnsi" w:cstheme="minorHAnsi"/>
          <w:bCs/>
        </w:rPr>
        <w:t>protections</w:t>
      </w:r>
      <w:r w:rsidR="00913825" w:rsidRPr="005553DF">
        <w:rPr>
          <w:rFonts w:asciiTheme="minorHAnsi" w:hAnsiTheme="minorHAnsi" w:cstheme="minorHAnsi"/>
          <w:bCs/>
        </w:rPr>
        <w:t xml:space="preserve"> in the collection</w:t>
      </w:r>
      <w:r w:rsidR="002B2248" w:rsidRPr="005553DF">
        <w:rPr>
          <w:rFonts w:asciiTheme="minorHAnsi" w:hAnsiTheme="minorHAnsi" w:cstheme="minorHAnsi"/>
          <w:bCs/>
        </w:rPr>
        <w:t xml:space="preserve">, </w:t>
      </w:r>
      <w:r w:rsidR="00913825" w:rsidRPr="005553DF">
        <w:rPr>
          <w:rFonts w:asciiTheme="minorHAnsi" w:hAnsiTheme="minorHAnsi" w:cstheme="minorHAnsi"/>
          <w:bCs/>
        </w:rPr>
        <w:t>handling</w:t>
      </w:r>
      <w:r w:rsidR="002B2248" w:rsidRPr="005553DF">
        <w:rPr>
          <w:rFonts w:asciiTheme="minorHAnsi" w:hAnsiTheme="minorHAnsi" w:cstheme="minorHAnsi"/>
          <w:bCs/>
        </w:rPr>
        <w:t>, and reporting</w:t>
      </w:r>
      <w:r w:rsidR="00913825" w:rsidRPr="005553DF">
        <w:rPr>
          <w:rFonts w:asciiTheme="minorHAnsi" w:hAnsiTheme="minorHAnsi" w:cstheme="minorHAnsi"/>
          <w:bCs/>
        </w:rPr>
        <w:t xml:space="preserve"> of </w:t>
      </w:r>
      <w:r w:rsidR="001B5092" w:rsidRPr="005553DF">
        <w:rPr>
          <w:rFonts w:asciiTheme="minorHAnsi" w:hAnsiTheme="minorHAnsi" w:cstheme="minorHAnsi"/>
          <w:bCs/>
        </w:rPr>
        <w:t xml:space="preserve">individually identifiable and sensitive </w:t>
      </w:r>
      <w:r w:rsidR="00913825" w:rsidRPr="005553DF">
        <w:rPr>
          <w:rFonts w:asciiTheme="minorHAnsi" w:hAnsiTheme="minorHAnsi" w:cstheme="minorHAnsi"/>
          <w:bCs/>
        </w:rPr>
        <w:t>data</w:t>
      </w:r>
      <w:r w:rsidR="007D3887" w:rsidRPr="005553DF">
        <w:rPr>
          <w:rFonts w:asciiTheme="minorHAnsi" w:hAnsiTheme="minorHAnsi" w:cstheme="minorHAnsi"/>
          <w:bCs/>
        </w:rPr>
        <w:t xml:space="preserve"> (</w:t>
      </w:r>
      <w:r w:rsidR="007D3887" w:rsidRPr="005553DF">
        <w:rPr>
          <w:rFonts w:asciiTheme="minorHAnsi" w:hAnsiTheme="minorHAnsi" w:cstheme="minorHAnsi"/>
          <w:b/>
          <w:bCs/>
        </w:rPr>
        <w:t>A</w:t>
      </w:r>
      <w:r w:rsidR="00550AB8" w:rsidRPr="005553DF">
        <w:rPr>
          <w:rFonts w:asciiTheme="minorHAnsi" w:hAnsiTheme="minorHAnsi" w:cstheme="minorHAnsi"/>
          <w:b/>
          <w:bCs/>
        </w:rPr>
        <w:t>ttachment 14</w:t>
      </w:r>
      <w:r w:rsidR="007D3887" w:rsidRPr="005553DF">
        <w:rPr>
          <w:rFonts w:asciiTheme="minorHAnsi" w:hAnsiTheme="minorHAnsi" w:cstheme="minorHAnsi"/>
          <w:bCs/>
        </w:rPr>
        <w:t>).</w:t>
      </w:r>
    </w:p>
    <w:p w14:paraId="6C4296DB" w14:textId="77777777" w:rsidR="008D6B48" w:rsidRPr="005553DF" w:rsidRDefault="008D6B48" w:rsidP="005553DF">
      <w:pPr>
        <w:autoSpaceDE w:val="0"/>
        <w:autoSpaceDN w:val="0"/>
        <w:adjustRightInd w:val="0"/>
        <w:spacing w:before="100" w:beforeAutospacing="1" w:after="240" w:line="360" w:lineRule="auto"/>
        <w:jc w:val="both"/>
        <w:rPr>
          <w:rFonts w:asciiTheme="minorHAnsi" w:hAnsiTheme="minorHAnsi" w:cstheme="minorHAnsi"/>
          <w:bCs/>
          <w:i/>
          <w:iCs/>
        </w:rPr>
      </w:pPr>
      <w:r w:rsidRPr="005553DF">
        <w:rPr>
          <w:rFonts w:asciiTheme="minorHAnsi" w:hAnsiTheme="minorHAnsi" w:cstheme="minorHAnsi"/>
          <w:b/>
          <w:bCs/>
          <w:i/>
          <w:iCs/>
        </w:rPr>
        <w:t>3.</w:t>
      </w:r>
      <w:r w:rsidR="00B630A2" w:rsidRPr="005553DF">
        <w:rPr>
          <w:rFonts w:asciiTheme="minorHAnsi" w:hAnsiTheme="minorHAnsi" w:cstheme="minorHAnsi"/>
          <w:b/>
          <w:bCs/>
          <w:i/>
          <w:iCs/>
        </w:rPr>
        <w:t>8</w:t>
      </w:r>
      <w:r w:rsidR="00A2696D" w:rsidRPr="005553DF">
        <w:rPr>
          <w:rFonts w:asciiTheme="minorHAnsi" w:hAnsiTheme="minorHAnsi" w:cstheme="minorHAnsi"/>
          <w:b/>
          <w:bCs/>
          <w:i/>
          <w:iCs/>
        </w:rPr>
        <w:t>.</w:t>
      </w:r>
      <w:r w:rsidRPr="005553DF">
        <w:rPr>
          <w:rFonts w:asciiTheme="minorHAnsi" w:hAnsiTheme="minorHAnsi" w:cstheme="minorHAnsi"/>
          <w:b/>
          <w:bCs/>
          <w:i/>
          <w:iCs/>
        </w:rPr>
        <w:t xml:space="preserve">2 </w:t>
      </w:r>
      <w:r w:rsidR="00A2696D" w:rsidRPr="005553DF">
        <w:rPr>
          <w:rFonts w:asciiTheme="minorHAnsi" w:hAnsiTheme="minorHAnsi" w:cstheme="minorHAnsi"/>
          <w:b/>
          <w:bCs/>
          <w:i/>
          <w:iCs/>
        </w:rPr>
        <w:t xml:space="preserve">Data </w:t>
      </w:r>
      <w:r w:rsidR="00531FE7" w:rsidRPr="005553DF">
        <w:rPr>
          <w:rFonts w:asciiTheme="minorHAnsi" w:hAnsiTheme="minorHAnsi" w:cstheme="minorHAnsi"/>
          <w:b/>
          <w:bCs/>
          <w:i/>
          <w:iCs/>
        </w:rPr>
        <w:t>Management</w:t>
      </w:r>
      <w:r w:rsidR="00913825" w:rsidRPr="005553DF">
        <w:rPr>
          <w:rFonts w:asciiTheme="minorHAnsi" w:hAnsiTheme="minorHAnsi" w:cstheme="minorHAnsi"/>
          <w:b/>
          <w:bCs/>
          <w:i/>
          <w:iCs/>
        </w:rPr>
        <w:t xml:space="preserve"> </w:t>
      </w:r>
      <w:r w:rsidR="00A2696D" w:rsidRPr="005553DF">
        <w:rPr>
          <w:rFonts w:asciiTheme="minorHAnsi" w:hAnsiTheme="minorHAnsi" w:cstheme="minorHAnsi"/>
          <w:b/>
          <w:bCs/>
          <w:i/>
          <w:iCs/>
        </w:rPr>
        <w:t>and S</w:t>
      </w:r>
      <w:r w:rsidR="00913825" w:rsidRPr="005553DF">
        <w:rPr>
          <w:rFonts w:asciiTheme="minorHAnsi" w:hAnsiTheme="minorHAnsi" w:cstheme="minorHAnsi"/>
          <w:b/>
          <w:bCs/>
          <w:i/>
          <w:iCs/>
        </w:rPr>
        <w:t>ecurity</w:t>
      </w:r>
    </w:p>
    <w:p w14:paraId="51A2360F" w14:textId="77777777" w:rsidR="00913825" w:rsidRPr="005553DF" w:rsidRDefault="00913825" w:rsidP="005553DF">
      <w:pPr>
        <w:autoSpaceDE w:val="0"/>
        <w:autoSpaceDN w:val="0"/>
        <w:adjustRightInd w:val="0"/>
        <w:spacing w:before="100" w:beforeAutospacing="1" w:after="240" w:line="360" w:lineRule="auto"/>
        <w:jc w:val="both"/>
        <w:rPr>
          <w:rFonts w:asciiTheme="minorHAnsi" w:hAnsiTheme="minorHAnsi" w:cstheme="minorHAnsi"/>
          <w:bCs/>
        </w:rPr>
      </w:pPr>
      <w:r w:rsidRPr="005553DF">
        <w:rPr>
          <w:rFonts w:asciiTheme="minorHAnsi" w:hAnsiTheme="minorHAnsi" w:cstheme="minorHAnsi"/>
          <w:bCs/>
        </w:rPr>
        <w:t xml:space="preserve">Data management for </w:t>
      </w:r>
      <w:r w:rsidR="00F61D4C" w:rsidRPr="005553DF">
        <w:rPr>
          <w:rFonts w:asciiTheme="minorHAnsi" w:hAnsiTheme="minorHAnsi" w:cstheme="minorHAnsi"/>
          <w:bCs/>
        </w:rPr>
        <w:t>this</w:t>
      </w:r>
      <w:r w:rsidRPr="005553DF">
        <w:rPr>
          <w:rFonts w:asciiTheme="minorHAnsi" w:hAnsiTheme="minorHAnsi" w:cstheme="minorHAnsi"/>
          <w:bCs/>
        </w:rPr>
        <w:t xml:space="preserve"> study described below includes guidance on: </w:t>
      </w:r>
    </w:p>
    <w:p w14:paraId="5700C9DF" w14:textId="77777777" w:rsidR="00913825" w:rsidRPr="005553DF" w:rsidRDefault="00913825" w:rsidP="005553DF">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Use and protection of information in identifiable form</w:t>
      </w:r>
      <w:r w:rsidR="00277E25" w:rsidRPr="005553DF">
        <w:rPr>
          <w:rFonts w:asciiTheme="minorHAnsi" w:hAnsiTheme="minorHAnsi" w:cstheme="minorHAnsi"/>
          <w:bCs/>
        </w:rPr>
        <w:t xml:space="preserve"> (IIF)</w:t>
      </w:r>
      <w:r w:rsidRPr="005553DF">
        <w:rPr>
          <w:rFonts w:asciiTheme="minorHAnsi" w:hAnsiTheme="minorHAnsi" w:cstheme="minorHAnsi"/>
          <w:bCs/>
        </w:rPr>
        <w:t>;</w:t>
      </w:r>
    </w:p>
    <w:p w14:paraId="544D437B" w14:textId="77777777" w:rsidR="00913825" w:rsidRPr="005553DF" w:rsidRDefault="00913825" w:rsidP="005553DF">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Security access (physical, technical, and administrative) controls for ATSDR</w:t>
      </w:r>
      <w:r w:rsidR="00F61D4C" w:rsidRPr="005553DF">
        <w:rPr>
          <w:rFonts w:asciiTheme="minorHAnsi" w:hAnsiTheme="minorHAnsi" w:cstheme="minorHAnsi"/>
          <w:bCs/>
        </w:rPr>
        <w:t xml:space="preserve"> and its contractor</w:t>
      </w:r>
      <w:r w:rsidRPr="005553DF">
        <w:rPr>
          <w:rFonts w:asciiTheme="minorHAnsi" w:hAnsiTheme="minorHAnsi" w:cstheme="minorHAnsi"/>
          <w:bCs/>
        </w:rPr>
        <w:t xml:space="preserve">; </w:t>
      </w:r>
    </w:p>
    <w:p w14:paraId="3322ACDC" w14:textId="77777777" w:rsidR="00913825" w:rsidRPr="005553DF" w:rsidRDefault="00913825" w:rsidP="005553DF">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Appropriate data delivery; and</w:t>
      </w:r>
    </w:p>
    <w:p w14:paraId="544E5255" w14:textId="77777777" w:rsidR="00913825" w:rsidRPr="005553DF" w:rsidRDefault="00913825" w:rsidP="005553DF">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Data ownership and data sharing.</w:t>
      </w:r>
    </w:p>
    <w:p w14:paraId="5BB95B9F" w14:textId="77777777" w:rsidR="00913825" w:rsidRPr="005553DF" w:rsidRDefault="00277E25" w:rsidP="005553DF">
      <w:pPr>
        <w:autoSpaceDE w:val="0"/>
        <w:autoSpaceDN w:val="0"/>
        <w:adjustRightInd w:val="0"/>
        <w:spacing w:before="100" w:beforeAutospacing="1" w:after="240" w:line="360" w:lineRule="auto"/>
        <w:jc w:val="both"/>
        <w:rPr>
          <w:rFonts w:asciiTheme="minorHAnsi" w:hAnsiTheme="minorHAnsi" w:cstheme="minorHAnsi"/>
          <w:b/>
          <w:color w:val="000000"/>
        </w:rPr>
      </w:pPr>
      <w:r w:rsidRPr="005553DF">
        <w:rPr>
          <w:rFonts w:asciiTheme="minorHAnsi" w:hAnsiTheme="minorHAnsi" w:cstheme="minorHAnsi"/>
          <w:i/>
        </w:rPr>
        <w:t>Collection of IIF</w:t>
      </w:r>
      <w:r w:rsidR="00913825" w:rsidRPr="005553DF">
        <w:rPr>
          <w:rFonts w:asciiTheme="minorHAnsi" w:hAnsiTheme="minorHAnsi" w:cstheme="minorHAnsi"/>
          <w:i/>
        </w:rPr>
        <w:t>.</w:t>
      </w:r>
      <w:r w:rsidR="00913825" w:rsidRPr="005553DF">
        <w:rPr>
          <w:rFonts w:asciiTheme="minorHAnsi" w:hAnsiTheme="minorHAnsi" w:cstheme="minorHAnsi"/>
        </w:rPr>
        <w:t xml:space="preserve"> </w:t>
      </w:r>
      <w:r w:rsidR="00F61D4C" w:rsidRPr="005553DF">
        <w:rPr>
          <w:rFonts w:asciiTheme="minorHAnsi" w:hAnsiTheme="minorHAnsi" w:cstheme="minorHAnsi"/>
        </w:rPr>
        <w:t xml:space="preserve">The study </w:t>
      </w:r>
      <w:r w:rsidR="0007525B" w:rsidRPr="005553DF">
        <w:rPr>
          <w:rFonts w:asciiTheme="minorHAnsi" w:hAnsiTheme="minorHAnsi" w:cstheme="minorHAnsi"/>
        </w:rPr>
        <w:t>staff</w:t>
      </w:r>
      <w:r w:rsidR="00F61D4C" w:rsidRPr="005553DF">
        <w:rPr>
          <w:rFonts w:asciiTheme="minorHAnsi" w:hAnsiTheme="minorHAnsi" w:cstheme="minorHAnsi"/>
        </w:rPr>
        <w:t xml:space="preserve"> will collect, manage and store </w:t>
      </w:r>
      <w:r w:rsidR="00913825" w:rsidRPr="005553DF">
        <w:rPr>
          <w:rFonts w:asciiTheme="minorHAnsi" w:hAnsiTheme="minorHAnsi" w:cstheme="minorHAnsi"/>
        </w:rPr>
        <w:t xml:space="preserve">IIF in </w:t>
      </w:r>
      <w:r w:rsidR="0007525B" w:rsidRPr="005553DF">
        <w:rPr>
          <w:rFonts w:asciiTheme="minorHAnsi" w:hAnsiTheme="minorHAnsi" w:cstheme="minorHAnsi"/>
        </w:rPr>
        <w:t>an</w:t>
      </w:r>
      <w:r w:rsidR="00913825" w:rsidRPr="005553DF">
        <w:rPr>
          <w:rFonts w:asciiTheme="minorHAnsi" w:hAnsiTheme="minorHAnsi" w:cstheme="minorHAnsi"/>
        </w:rPr>
        <w:t xml:space="preserve"> already established record system</w:t>
      </w:r>
      <w:r w:rsidR="00705CA8" w:rsidRPr="005553DF">
        <w:rPr>
          <w:rFonts w:asciiTheme="minorHAnsi" w:hAnsiTheme="minorHAnsi" w:cstheme="minorHAnsi"/>
        </w:rPr>
        <w:t xml:space="preserve"> (System of Records Notice [SORN] No. 09-19-0001 titled “Records of Persons Exposed to Toxic or Hazardous Substan</w:t>
      </w:r>
      <w:r w:rsidR="00DA234F" w:rsidRPr="005553DF">
        <w:rPr>
          <w:rFonts w:asciiTheme="minorHAnsi" w:hAnsiTheme="minorHAnsi" w:cstheme="minorHAnsi"/>
        </w:rPr>
        <w:t>c</w:t>
      </w:r>
      <w:r w:rsidR="00705CA8" w:rsidRPr="005553DF">
        <w:rPr>
          <w:rFonts w:asciiTheme="minorHAnsi" w:hAnsiTheme="minorHAnsi" w:cstheme="minorHAnsi"/>
        </w:rPr>
        <w:t>es”)</w:t>
      </w:r>
      <w:r w:rsidR="00913825" w:rsidRPr="005553DF">
        <w:rPr>
          <w:rFonts w:asciiTheme="minorHAnsi" w:hAnsiTheme="minorHAnsi" w:cstheme="minorHAnsi"/>
        </w:rPr>
        <w:t xml:space="preserve">. </w:t>
      </w:r>
      <w:r w:rsidR="00913825" w:rsidRPr="005553DF">
        <w:rPr>
          <w:rFonts w:asciiTheme="minorHAnsi" w:eastAsia="Times New Roman" w:hAnsiTheme="minorHAnsi" w:cstheme="minorHAnsi"/>
        </w:rPr>
        <w:t>ATSDR</w:t>
      </w:r>
      <w:r w:rsidR="00913825" w:rsidRPr="005553DF">
        <w:rPr>
          <w:rFonts w:asciiTheme="minorHAnsi" w:hAnsiTheme="minorHAnsi" w:cstheme="minorHAnsi"/>
          <w:color w:val="000000"/>
        </w:rPr>
        <w:t xml:space="preserve"> w</w:t>
      </w:r>
      <w:r w:rsidR="00185C2C" w:rsidRPr="005553DF">
        <w:rPr>
          <w:rFonts w:asciiTheme="minorHAnsi" w:hAnsiTheme="minorHAnsi" w:cstheme="minorHAnsi"/>
          <w:color w:val="000000"/>
        </w:rPr>
        <w:t>ill use IIF to</w:t>
      </w:r>
      <w:r w:rsidR="00185C2C" w:rsidRPr="005553DF">
        <w:rPr>
          <w:rFonts w:asciiTheme="minorHAnsi" w:hAnsiTheme="minorHAnsi" w:cstheme="minorHAnsi"/>
          <w:bCs/>
        </w:rPr>
        <w:t xml:space="preserve"> report results</w:t>
      </w:r>
      <w:r w:rsidR="00913825" w:rsidRPr="005553DF">
        <w:rPr>
          <w:rFonts w:asciiTheme="minorHAnsi" w:hAnsiTheme="minorHAnsi" w:cstheme="minorHAnsi"/>
          <w:bCs/>
        </w:rPr>
        <w:t xml:space="preserve"> to </w:t>
      </w:r>
      <w:r w:rsidR="00F61D4C" w:rsidRPr="005553DF">
        <w:rPr>
          <w:rFonts w:asciiTheme="minorHAnsi" w:hAnsiTheme="minorHAnsi" w:cstheme="minorHAnsi"/>
          <w:bCs/>
        </w:rPr>
        <w:t>each parent of a child participant</w:t>
      </w:r>
      <w:r w:rsidR="00040A7A" w:rsidRPr="005553DF">
        <w:rPr>
          <w:rFonts w:asciiTheme="minorHAnsi" w:hAnsiTheme="minorHAnsi" w:cstheme="minorHAnsi"/>
          <w:bCs/>
        </w:rPr>
        <w:t xml:space="preserve"> or adult participant</w:t>
      </w:r>
      <w:r w:rsidR="00913825" w:rsidRPr="005553DF">
        <w:rPr>
          <w:rFonts w:asciiTheme="minorHAnsi" w:eastAsia="Times New Roman" w:hAnsiTheme="minorHAnsi" w:cstheme="minorHAnsi"/>
        </w:rPr>
        <w:t xml:space="preserve">. </w:t>
      </w:r>
      <w:r w:rsidR="00F61D4C" w:rsidRPr="005553DF">
        <w:rPr>
          <w:rFonts w:asciiTheme="minorHAnsi" w:eastAsia="Times New Roman" w:hAnsiTheme="minorHAnsi" w:cstheme="minorHAnsi"/>
        </w:rPr>
        <w:t xml:space="preserve"> </w:t>
      </w:r>
      <w:r w:rsidR="00913825" w:rsidRPr="005553DF">
        <w:rPr>
          <w:rFonts w:asciiTheme="minorHAnsi" w:eastAsia="Times New Roman" w:hAnsiTheme="minorHAnsi" w:cstheme="minorHAnsi"/>
        </w:rPr>
        <w:t>ATSDR will be the final recipient of the IIF (to keep for potential re-contacting of participants)</w:t>
      </w:r>
      <w:r w:rsidR="00913825" w:rsidRPr="005553DF">
        <w:rPr>
          <w:rFonts w:asciiTheme="minorHAnsi" w:hAnsiTheme="minorHAnsi" w:cstheme="minorHAnsi"/>
          <w:color w:val="000000"/>
        </w:rPr>
        <w:t xml:space="preserve">. </w:t>
      </w:r>
    </w:p>
    <w:p w14:paraId="70FCCD4F" w14:textId="77777777" w:rsidR="00913825" w:rsidRPr="005553DF" w:rsidRDefault="0007525B" w:rsidP="005553DF">
      <w:pPr>
        <w:spacing w:before="100" w:beforeAutospacing="1" w:after="240" w:line="360" w:lineRule="auto"/>
        <w:jc w:val="both"/>
        <w:rPr>
          <w:rFonts w:asciiTheme="minorHAnsi" w:eastAsia="Times New Roman" w:hAnsiTheme="minorHAnsi" w:cstheme="minorHAnsi"/>
        </w:rPr>
      </w:pPr>
      <w:r w:rsidRPr="005553DF">
        <w:rPr>
          <w:rFonts w:asciiTheme="minorHAnsi" w:eastAsia="Times New Roman" w:hAnsiTheme="minorHAnsi" w:cstheme="minorHAnsi"/>
        </w:rPr>
        <w:t xml:space="preserve">The study staff </w:t>
      </w:r>
      <w:r w:rsidR="00913825" w:rsidRPr="005553DF">
        <w:rPr>
          <w:rFonts w:asciiTheme="minorHAnsi" w:eastAsia="Times New Roman" w:hAnsiTheme="minorHAnsi" w:cstheme="minorHAnsi"/>
        </w:rPr>
        <w:t>will deliver all field-collected records to ATSDR</w:t>
      </w:r>
      <w:r w:rsidRPr="005553DF">
        <w:rPr>
          <w:rFonts w:asciiTheme="minorHAnsi" w:eastAsia="Times New Roman" w:hAnsiTheme="minorHAnsi" w:cstheme="minorHAnsi"/>
        </w:rPr>
        <w:t xml:space="preserve"> headquarters</w:t>
      </w:r>
      <w:r w:rsidR="00913825" w:rsidRPr="005553DF">
        <w:rPr>
          <w:rFonts w:asciiTheme="minorHAnsi" w:eastAsia="Times New Roman" w:hAnsiTheme="minorHAnsi" w:cstheme="minorHAnsi"/>
        </w:rPr>
        <w:t xml:space="preserve"> at the end of the study.</w:t>
      </w:r>
      <w:r w:rsidRPr="005553DF">
        <w:rPr>
          <w:rFonts w:asciiTheme="minorHAnsi" w:eastAsia="Times New Roman" w:hAnsiTheme="minorHAnsi" w:cstheme="minorHAnsi"/>
        </w:rPr>
        <w:t xml:space="preserve"> </w:t>
      </w:r>
      <w:r w:rsidR="00F61D4C" w:rsidRPr="005553DF">
        <w:rPr>
          <w:rFonts w:asciiTheme="minorHAnsi" w:eastAsia="Times New Roman" w:hAnsiTheme="minorHAnsi" w:cstheme="minorHAnsi"/>
        </w:rPr>
        <w:t xml:space="preserve">ATSDR will retain </w:t>
      </w:r>
      <w:r w:rsidR="00913825" w:rsidRPr="005553DF">
        <w:rPr>
          <w:rFonts w:asciiTheme="minorHAnsi" w:eastAsia="Times New Roman" w:hAnsiTheme="minorHAnsi" w:cstheme="minorHAnsi"/>
        </w:rPr>
        <w:t xml:space="preserve">IIF such as name, </w:t>
      </w:r>
      <w:r w:rsidR="00805D6F" w:rsidRPr="005553DF">
        <w:rPr>
          <w:rFonts w:asciiTheme="minorHAnsi" w:eastAsia="Times New Roman" w:hAnsiTheme="minorHAnsi" w:cstheme="minorHAnsi"/>
        </w:rPr>
        <w:t>S</w:t>
      </w:r>
      <w:r w:rsidR="002B55AD" w:rsidRPr="005553DF">
        <w:rPr>
          <w:rFonts w:asciiTheme="minorHAnsi" w:eastAsia="Times New Roman" w:hAnsiTheme="minorHAnsi" w:cstheme="minorHAnsi"/>
        </w:rPr>
        <w:t xml:space="preserve">ocial </w:t>
      </w:r>
      <w:r w:rsidR="00805D6F" w:rsidRPr="005553DF">
        <w:rPr>
          <w:rFonts w:asciiTheme="minorHAnsi" w:eastAsia="Times New Roman" w:hAnsiTheme="minorHAnsi" w:cstheme="minorHAnsi"/>
        </w:rPr>
        <w:t>Security N</w:t>
      </w:r>
      <w:r w:rsidR="002B55AD" w:rsidRPr="005553DF">
        <w:rPr>
          <w:rFonts w:asciiTheme="minorHAnsi" w:eastAsia="Times New Roman" w:hAnsiTheme="minorHAnsi" w:cstheme="minorHAnsi"/>
        </w:rPr>
        <w:t>umber (</w:t>
      </w:r>
      <w:r w:rsidR="00C77F46" w:rsidRPr="005553DF">
        <w:rPr>
          <w:rFonts w:asciiTheme="minorHAnsi" w:eastAsia="Times New Roman" w:hAnsiTheme="minorHAnsi" w:cstheme="minorHAnsi"/>
        </w:rPr>
        <w:t>SSN</w:t>
      </w:r>
      <w:r w:rsidR="002B55AD" w:rsidRPr="005553DF">
        <w:rPr>
          <w:rFonts w:asciiTheme="minorHAnsi" w:eastAsia="Times New Roman" w:hAnsiTheme="minorHAnsi" w:cstheme="minorHAnsi"/>
        </w:rPr>
        <w:t>)</w:t>
      </w:r>
      <w:r w:rsidR="00C77F46" w:rsidRPr="005553DF">
        <w:rPr>
          <w:rFonts w:asciiTheme="minorHAnsi" w:eastAsia="Times New Roman" w:hAnsiTheme="minorHAnsi" w:cstheme="minorHAnsi"/>
        </w:rPr>
        <w:t xml:space="preserve">, </w:t>
      </w:r>
      <w:r w:rsidR="00913825" w:rsidRPr="005553DF">
        <w:rPr>
          <w:rFonts w:asciiTheme="minorHAnsi" w:eastAsia="Times New Roman" w:hAnsiTheme="minorHAnsi" w:cstheme="minorHAnsi"/>
        </w:rPr>
        <w:t xml:space="preserve">current address, phone number, </w:t>
      </w:r>
      <w:r w:rsidR="00BD0976" w:rsidRPr="005553DF">
        <w:rPr>
          <w:rFonts w:asciiTheme="minorHAnsi" w:eastAsia="Times New Roman" w:hAnsiTheme="minorHAnsi" w:cstheme="minorHAnsi"/>
        </w:rPr>
        <w:t xml:space="preserve">email address, </w:t>
      </w:r>
      <w:r w:rsidR="00913825" w:rsidRPr="005553DF">
        <w:rPr>
          <w:rFonts w:asciiTheme="minorHAnsi" w:eastAsia="Times New Roman" w:hAnsiTheme="minorHAnsi" w:cstheme="minorHAnsi"/>
        </w:rPr>
        <w:t xml:space="preserve">date of birth, </w:t>
      </w:r>
      <w:r w:rsidR="00F61D4C" w:rsidRPr="005553DF">
        <w:rPr>
          <w:rFonts w:asciiTheme="minorHAnsi" w:eastAsia="Times New Roman" w:hAnsiTheme="minorHAnsi" w:cstheme="minorHAnsi"/>
        </w:rPr>
        <w:t xml:space="preserve">and the </w:t>
      </w:r>
      <w:r w:rsidR="00913825" w:rsidRPr="005553DF">
        <w:rPr>
          <w:rFonts w:asciiTheme="minorHAnsi" w:eastAsia="Times New Roman" w:hAnsiTheme="minorHAnsi" w:cstheme="minorHAnsi"/>
        </w:rPr>
        <w:t xml:space="preserve">date of the </w:t>
      </w:r>
      <w:r w:rsidR="00F61D4C" w:rsidRPr="005553DF">
        <w:rPr>
          <w:rFonts w:asciiTheme="minorHAnsi" w:eastAsia="Times New Roman" w:hAnsiTheme="minorHAnsi" w:cstheme="minorHAnsi"/>
        </w:rPr>
        <w:t>participant’s blood draw and questionnaire completion</w:t>
      </w:r>
      <w:r w:rsidR="00913825" w:rsidRPr="005553DF">
        <w:rPr>
          <w:rFonts w:asciiTheme="minorHAnsi" w:eastAsia="Times New Roman" w:hAnsiTheme="minorHAnsi" w:cstheme="minorHAnsi"/>
        </w:rPr>
        <w:t xml:space="preserve">. </w:t>
      </w:r>
      <w:r w:rsidR="00F61D4C" w:rsidRPr="005553DF">
        <w:rPr>
          <w:rFonts w:asciiTheme="minorHAnsi" w:eastAsia="Times New Roman" w:hAnsiTheme="minorHAnsi" w:cstheme="minorHAnsi"/>
        </w:rPr>
        <w:t xml:space="preserve"> ATSDR will store the IIF in a separate master key dataset along with a study</w:t>
      </w:r>
      <w:r w:rsidR="00601771" w:rsidRPr="005553DF">
        <w:rPr>
          <w:rFonts w:asciiTheme="minorHAnsi" w:eastAsia="Times New Roman" w:hAnsiTheme="minorHAnsi" w:cstheme="minorHAnsi"/>
        </w:rPr>
        <w:t>-generated</w:t>
      </w:r>
      <w:r w:rsidR="00F61D4C" w:rsidRPr="005553DF">
        <w:rPr>
          <w:rFonts w:asciiTheme="minorHAnsi" w:eastAsia="Times New Roman" w:hAnsiTheme="minorHAnsi" w:cstheme="minorHAnsi"/>
        </w:rPr>
        <w:t xml:space="preserve"> ID.  This dataset will be separate from the dataset containing the questionnaire data and other data used in the statistical analyses.  The study</w:t>
      </w:r>
      <w:r w:rsidR="00601771" w:rsidRPr="005553DF">
        <w:rPr>
          <w:rFonts w:asciiTheme="minorHAnsi" w:eastAsia="Times New Roman" w:hAnsiTheme="minorHAnsi" w:cstheme="minorHAnsi"/>
        </w:rPr>
        <w:t>-generated</w:t>
      </w:r>
      <w:r w:rsidR="00F61D4C" w:rsidRPr="005553DF">
        <w:rPr>
          <w:rFonts w:asciiTheme="minorHAnsi" w:eastAsia="Times New Roman" w:hAnsiTheme="minorHAnsi" w:cstheme="minorHAnsi"/>
        </w:rPr>
        <w:t xml:space="preserve"> ID will be the variable that can link the two datasets</w:t>
      </w:r>
      <w:r w:rsidR="00601771" w:rsidRPr="005553DF">
        <w:rPr>
          <w:rFonts w:asciiTheme="minorHAnsi" w:eastAsia="Times New Roman" w:hAnsiTheme="minorHAnsi" w:cstheme="minorHAnsi"/>
        </w:rPr>
        <w:t xml:space="preserve"> if necessary</w:t>
      </w:r>
      <w:r w:rsidR="00F61D4C" w:rsidRPr="005553DF">
        <w:rPr>
          <w:rFonts w:asciiTheme="minorHAnsi" w:eastAsia="Times New Roman" w:hAnsiTheme="minorHAnsi" w:cstheme="minorHAnsi"/>
        </w:rPr>
        <w:t>.</w:t>
      </w:r>
      <w:r w:rsidR="00601771" w:rsidRPr="005553DF">
        <w:rPr>
          <w:rFonts w:asciiTheme="minorHAnsi" w:eastAsia="Times New Roman" w:hAnsiTheme="minorHAnsi" w:cstheme="minorHAnsi"/>
        </w:rPr>
        <w:t xml:space="preserve"> </w:t>
      </w:r>
      <w:r w:rsidR="00913825" w:rsidRPr="005553DF">
        <w:rPr>
          <w:rFonts w:asciiTheme="minorHAnsi" w:eastAsia="Times New Roman" w:hAnsiTheme="minorHAnsi" w:cstheme="minorHAnsi"/>
        </w:rPr>
        <w:t>IIF will not be linked with files used for statistical analysis and will not appear in any reports generated from this data set.</w:t>
      </w:r>
    </w:p>
    <w:p w14:paraId="2D5D34C7" w14:textId="77777777" w:rsidR="008D6B48" w:rsidRPr="005553DF" w:rsidRDefault="008D6B48" w:rsidP="005553DF">
      <w:pPr>
        <w:pStyle w:val="Heading3"/>
        <w:spacing w:before="100" w:beforeAutospacing="1" w:after="240" w:line="360" w:lineRule="auto"/>
        <w:rPr>
          <w:rFonts w:asciiTheme="minorHAnsi" w:hAnsiTheme="minorHAnsi" w:cstheme="minorHAnsi"/>
          <w:b w:val="0"/>
          <w:i/>
          <w:color w:val="auto"/>
        </w:rPr>
      </w:pPr>
      <w:bookmarkStart w:id="70" w:name="_Toc532224184"/>
      <w:r w:rsidRPr="005553DF">
        <w:rPr>
          <w:rFonts w:asciiTheme="minorHAnsi" w:hAnsiTheme="minorHAnsi" w:cstheme="minorHAnsi"/>
          <w:i/>
          <w:color w:val="auto"/>
        </w:rPr>
        <w:t>3.</w:t>
      </w:r>
      <w:r w:rsidR="00B630A2" w:rsidRPr="005553DF">
        <w:rPr>
          <w:rFonts w:asciiTheme="minorHAnsi" w:hAnsiTheme="minorHAnsi" w:cstheme="minorHAnsi"/>
          <w:i/>
          <w:color w:val="auto"/>
        </w:rPr>
        <w:t>8</w:t>
      </w:r>
      <w:r w:rsidR="00D06187" w:rsidRPr="005553DF">
        <w:rPr>
          <w:rFonts w:asciiTheme="minorHAnsi" w:hAnsiTheme="minorHAnsi" w:cstheme="minorHAnsi"/>
          <w:i/>
          <w:color w:val="auto"/>
        </w:rPr>
        <w:t>.</w:t>
      </w:r>
      <w:r w:rsidRPr="005553DF">
        <w:rPr>
          <w:rFonts w:asciiTheme="minorHAnsi" w:hAnsiTheme="minorHAnsi" w:cstheme="minorHAnsi"/>
          <w:i/>
          <w:color w:val="auto"/>
        </w:rPr>
        <w:t xml:space="preserve">3 </w:t>
      </w:r>
      <w:r w:rsidR="00CD4CA3" w:rsidRPr="005553DF">
        <w:rPr>
          <w:rFonts w:asciiTheme="minorHAnsi" w:hAnsiTheme="minorHAnsi" w:cstheme="minorHAnsi"/>
          <w:i/>
          <w:color w:val="auto"/>
        </w:rPr>
        <w:t>Impact on P</w:t>
      </w:r>
      <w:r w:rsidR="00913825" w:rsidRPr="005553DF">
        <w:rPr>
          <w:rFonts w:asciiTheme="minorHAnsi" w:hAnsiTheme="minorHAnsi" w:cstheme="minorHAnsi"/>
          <w:i/>
          <w:color w:val="auto"/>
        </w:rPr>
        <w:t>rivacy</w:t>
      </w:r>
      <w:bookmarkEnd w:id="70"/>
    </w:p>
    <w:p w14:paraId="6BBE917A" w14:textId="77777777" w:rsidR="00913825" w:rsidRPr="005553DF" w:rsidRDefault="00913825" w:rsidP="005553DF">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rPr>
        <w:t xml:space="preserve">Because </w:t>
      </w:r>
      <w:r w:rsidR="00A20A15" w:rsidRPr="005553DF">
        <w:rPr>
          <w:rFonts w:asciiTheme="minorHAnsi" w:hAnsiTheme="minorHAnsi" w:cstheme="minorHAnsi"/>
        </w:rPr>
        <w:t>the study staff</w:t>
      </w:r>
      <w:r w:rsidRPr="005553DF">
        <w:rPr>
          <w:rFonts w:asciiTheme="minorHAnsi" w:hAnsiTheme="minorHAnsi" w:cstheme="minorHAnsi"/>
        </w:rPr>
        <w:t xml:space="preserve"> will collect, store, manage</w:t>
      </w:r>
      <w:r w:rsidRPr="005553DF">
        <w:rPr>
          <w:rFonts w:asciiTheme="minorHAnsi" w:hAnsiTheme="minorHAnsi" w:cstheme="minorHAnsi"/>
          <w:color w:val="000000"/>
        </w:rPr>
        <w:t xml:space="preserve">, and maintain IIF on </w:t>
      </w:r>
      <w:r w:rsidR="00A20A15" w:rsidRPr="005553DF">
        <w:rPr>
          <w:rFonts w:asciiTheme="minorHAnsi" w:hAnsiTheme="minorHAnsi" w:cstheme="minorHAnsi"/>
          <w:color w:val="000000"/>
        </w:rPr>
        <w:t>an</w:t>
      </w:r>
      <w:r w:rsidRPr="005553DF">
        <w:rPr>
          <w:rFonts w:asciiTheme="minorHAnsi" w:hAnsiTheme="minorHAnsi" w:cstheme="minorHAnsi"/>
          <w:color w:val="000000"/>
        </w:rPr>
        <w:t xml:space="preserve"> already established record system, there would be a likely effect on the </w:t>
      </w:r>
      <w:r w:rsidR="00601771" w:rsidRPr="005553DF">
        <w:rPr>
          <w:rFonts w:asciiTheme="minorHAnsi" w:hAnsiTheme="minorHAnsi" w:cstheme="minorHAnsi"/>
          <w:color w:val="000000"/>
        </w:rPr>
        <w:t>participant</w:t>
      </w:r>
      <w:r w:rsidRPr="005553DF">
        <w:rPr>
          <w:rFonts w:asciiTheme="minorHAnsi" w:hAnsiTheme="minorHAnsi" w:cstheme="minorHAnsi"/>
          <w:color w:val="000000"/>
        </w:rPr>
        <w:t>’s privacy if a breach of data security occurred. Therefore, its established record system has stringent safeguards in place as described in the following sectio</w:t>
      </w:r>
      <w:r w:rsidR="00845C91" w:rsidRPr="005553DF">
        <w:rPr>
          <w:rFonts w:asciiTheme="minorHAnsi" w:hAnsiTheme="minorHAnsi" w:cstheme="minorHAnsi"/>
          <w:color w:val="000000"/>
        </w:rPr>
        <w:t>n</w:t>
      </w:r>
      <w:r w:rsidRPr="005553DF">
        <w:rPr>
          <w:rFonts w:asciiTheme="minorHAnsi" w:hAnsiTheme="minorHAnsi" w:cstheme="minorHAnsi"/>
          <w:color w:val="000000"/>
        </w:rPr>
        <w:t xml:space="preserve">. </w:t>
      </w:r>
    </w:p>
    <w:p w14:paraId="08DFF7B3" w14:textId="77777777" w:rsidR="00913825" w:rsidRPr="005553DF" w:rsidRDefault="00A20A15"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R</w:t>
      </w:r>
      <w:r w:rsidR="00913825" w:rsidRPr="005553DF">
        <w:rPr>
          <w:rFonts w:asciiTheme="minorHAnsi" w:hAnsiTheme="minorHAnsi" w:cstheme="minorHAnsi"/>
          <w:color w:val="000000"/>
        </w:rPr>
        <w:t xml:space="preserve">esearch datasets will include only coded information that might be sensitive, such as questions on reproductive outcomes, fertility, or fecundability. These files will not have associated information that might directly identify these </w:t>
      </w:r>
      <w:r w:rsidR="00601771" w:rsidRPr="005553DF">
        <w:rPr>
          <w:rFonts w:asciiTheme="minorHAnsi" w:hAnsiTheme="minorHAnsi" w:cstheme="minorHAnsi"/>
          <w:color w:val="000000"/>
        </w:rPr>
        <w:t>participant</w:t>
      </w:r>
      <w:r w:rsidR="00913825" w:rsidRPr="005553DF">
        <w:rPr>
          <w:rFonts w:asciiTheme="minorHAnsi" w:hAnsiTheme="minorHAnsi" w:cstheme="minorHAnsi"/>
          <w:color w:val="000000"/>
        </w:rPr>
        <w:t xml:space="preserve">s. IIF will be stored in a separate master key dataset, which will enable </w:t>
      </w:r>
      <w:r w:rsidRPr="005553DF">
        <w:rPr>
          <w:rFonts w:asciiTheme="minorHAnsi" w:hAnsiTheme="minorHAnsi" w:cstheme="minorHAnsi"/>
          <w:color w:val="000000"/>
        </w:rPr>
        <w:t xml:space="preserve">ATSDR </w:t>
      </w:r>
      <w:r w:rsidR="00913825" w:rsidRPr="005553DF">
        <w:rPr>
          <w:rFonts w:asciiTheme="minorHAnsi" w:hAnsiTheme="minorHAnsi" w:cstheme="minorHAnsi"/>
          <w:color w:val="000000"/>
        </w:rPr>
        <w:t xml:space="preserve">investigators to link the </w:t>
      </w:r>
      <w:r w:rsidR="00601771" w:rsidRPr="005553DF">
        <w:rPr>
          <w:rFonts w:asciiTheme="minorHAnsi" w:hAnsiTheme="minorHAnsi" w:cstheme="minorHAnsi"/>
          <w:color w:val="000000"/>
        </w:rPr>
        <w:t>participant</w:t>
      </w:r>
      <w:r w:rsidR="00913825" w:rsidRPr="005553DF">
        <w:rPr>
          <w:rFonts w:asciiTheme="minorHAnsi" w:hAnsiTheme="minorHAnsi" w:cstheme="minorHAnsi"/>
          <w:color w:val="000000"/>
        </w:rPr>
        <w:t>’s research data with his or her IIF</w:t>
      </w:r>
      <w:r w:rsidR="00601771" w:rsidRPr="005553DF">
        <w:rPr>
          <w:rFonts w:asciiTheme="minorHAnsi" w:hAnsiTheme="minorHAnsi" w:cstheme="minorHAnsi"/>
          <w:color w:val="000000"/>
        </w:rPr>
        <w:t xml:space="preserve"> via a study-generated ID</w:t>
      </w:r>
      <w:r w:rsidR="00913825" w:rsidRPr="005553DF">
        <w:rPr>
          <w:rFonts w:asciiTheme="minorHAnsi" w:hAnsiTheme="minorHAnsi" w:cstheme="minorHAnsi"/>
          <w:color w:val="000000"/>
        </w:rPr>
        <w:t>. Maintaining this contact information is necessary to provide results of the tests or re-contact them</w:t>
      </w:r>
      <w:r w:rsidR="00601771" w:rsidRPr="005553DF">
        <w:rPr>
          <w:rFonts w:asciiTheme="minorHAnsi" w:hAnsiTheme="minorHAnsi" w:cstheme="minorHAnsi"/>
          <w:color w:val="000000"/>
        </w:rPr>
        <w:t xml:space="preserve"> in the future if a longitudinal study becomes feasible</w:t>
      </w:r>
      <w:r w:rsidR="00913825" w:rsidRPr="005553DF">
        <w:rPr>
          <w:rFonts w:asciiTheme="minorHAnsi" w:hAnsiTheme="minorHAnsi" w:cstheme="minorHAnsi"/>
          <w:color w:val="000000"/>
        </w:rPr>
        <w:t>. Therefore, stringent d</w:t>
      </w:r>
      <w:r w:rsidR="00913825" w:rsidRPr="005553DF">
        <w:rPr>
          <w:rFonts w:asciiTheme="minorHAnsi" w:hAnsiTheme="minorHAnsi" w:cstheme="minorHAnsi"/>
        </w:rPr>
        <w:t>ata security measures will be in place, including administrative, physical, and technical controls as de</w:t>
      </w:r>
      <w:r w:rsidR="00ED0AAD" w:rsidRPr="005553DF">
        <w:rPr>
          <w:rFonts w:asciiTheme="minorHAnsi" w:hAnsiTheme="minorHAnsi" w:cstheme="minorHAnsi"/>
        </w:rPr>
        <w:t>scribed below</w:t>
      </w:r>
      <w:r w:rsidR="00913825" w:rsidRPr="005553DF">
        <w:rPr>
          <w:rFonts w:asciiTheme="minorHAnsi" w:hAnsiTheme="minorHAnsi" w:cstheme="minorHAnsi"/>
        </w:rPr>
        <w:t>.</w:t>
      </w:r>
    </w:p>
    <w:p w14:paraId="132E439B" w14:textId="77777777" w:rsidR="00913825" w:rsidRPr="005553DF" w:rsidRDefault="00913825"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All laboratories involved in biochemical analyses will receive biological </w:t>
      </w:r>
      <w:r w:rsidR="00A537E4" w:rsidRPr="005553DF">
        <w:rPr>
          <w:rFonts w:asciiTheme="minorHAnsi" w:hAnsiTheme="minorHAnsi" w:cstheme="minorHAnsi"/>
        </w:rPr>
        <w:t>specimen</w:t>
      </w:r>
      <w:r w:rsidRPr="005553DF">
        <w:rPr>
          <w:rFonts w:asciiTheme="minorHAnsi" w:hAnsiTheme="minorHAnsi" w:cstheme="minorHAnsi"/>
        </w:rPr>
        <w:t>s with participants’ study</w:t>
      </w:r>
      <w:r w:rsidR="00601771" w:rsidRPr="005553DF">
        <w:rPr>
          <w:rFonts w:asciiTheme="minorHAnsi" w:hAnsiTheme="minorHAnsi" w:cstheme="minorHAnsi"/>
        </w:rPr>
        <w:t>-generated</w:t>
      </w:r>
      <w:r w:rsidRPr="005553DF">
        <w:rPr>
          <w:rFonts w:asciiTheme="minorHAnsi" w:hAnsiTheme="minorHAnsi" w:cstheme="minorHAnsi"/>
        </w:rPr>
        <w:t xml:space="preserve"> ID only. </w:t>
      </w:r>
      <w:r w:rsidR="008B7E48" w:rsidRPr="005553DF">
        <w:rPr>
          <w:rFonts w:asciiTheme="minorHAnsi" w:hAnsiTheme="minorHAnsi" w:cstheme="minorHAnsi"/>
        </w:rPr>
        <w:t>Nondisclosure agreements will be executed between ATSDR and laboratories that will not be engaged in research.</w:t>
      </w:r>
    </w:p>
    <w:p w14:paraId="70E43FE9" w14:textId="77777777" w:rsidR="008D6B48" w:rsidRPr="005553DF" w:rsidRDefault="008D6B48" w:rsidP="005553DF">
      <w:pPr>
        <w:pStyle w:val="Heading4"/>
        <w:spacing w:before="100" w:beforeAutospacing="1" w:after="240" w:line="360" w:lineRule="auto"/>
        <w:rPr>
          <w:rFonts w:asciiTheme="minorHAnsi" w:hAnsiTheme="minorHAnsi" w:cstheme="minorHAnsi"/>
          <w:i w:val="0"/>
        </w:rPr>
      </w:pPr>
      <w:bookmarkStart w:id="71" w:name="_Toc532224185"/>
      <w:r w:rsidRPr="005553DF">
        <w:rPr>
          <w:rFonts w:asciiTheme="minorHAnsi" w:hAnsiTheme="minorHAnsi" w:cstheme="minorHAnsi"/>
          <w:i w:val="0"/>
          <w:color w:val="auto"/>
        </w:rPr>
        <w:t>3.</w:t>
      </w:r>
      <w:r w:rsidR="00B630A2" w:rsidRPr="005553DF">
        <w:rPr>
          <w:rFonts w:asciiTheme="minorHAnsi" w:eastAsia="Times New Roman" w:hAnsiTheme="minorHAnsi" w:cstheme="minorHAnsi"/>
          <w:i w:val="0"/>
          <w:color w:val="auto"/>
        </w:rPr>
        <w:t>8</w:t>
      </w:r>
      <w:r w:rsidR="00AE5DC2" w:rsidRPr="005553DF">
        <w:rPr>
          <w:rFonts w:asciiTheme="minorHAnsi" w:eastAsia="Times New Roman" w:hAnsiTheme="minorHAnsi" w:cstheme="minorHAnsi"/>
          <w:i w:val="0"/>
          <w:color w:val="auto"/>
        </w:rPr>
        <w:t>.3.1</w:t>
      </w:r>
      <w:r w:rsidRPr="005553DF">
        <w:rPr>
          <w:rFonts w:asciiTheme="minorHAnsi" w:hAnsiTheme="minorHAnsi" w:cstheme="minorHAnsi"/>
          <w:i w:val="0"/>
          <w:color w:val="auto"/>
        </w:rPr>
        <w:t xml:space="preserve"> </w:t>
      </w:r>
      <w:r w:rsidR="008B674C" w:rsidRPr="005553DF">
        <w:rPr>
          <w:rFonts w:asciiTheme="minorHAnsi" w:hAnsiTheme="minorHAnsi" w:cstheme="minorHAnsi"/>
          <w:i w:val="0"/>
          <w:color w:val="auto"/>
        </w:rPr>
        <w:t xml:space="preserve">Access </w:t>
      </w:r>
      <w:r w:rsidR="008B674C" w:rsidRPr="005553DF">
        <w:rPr>
          <w:rFonts w:asciiTheme="minorHAnsi" w:eastAsia="Times New Roman" w:hAnsiTheme="minorHAnsi" w:cstheme="minorHAnsi"/>
          <w:i w:val="0"/>
          <w:color w:val="auto"/>
        </w:rPr>
        <w:t>Controls</w:t>
      </w:r>
      <w:r w:rsidR="008B674C" w:rsidRPr="005553DF">
        <w:rPr>
          <w:rFonts w:asciiTheme="minorHAnsi" w:hAnsiTheme="minorHAnsi" w:cstheme="minorHAnsi"/>
          <w:i w:val="0"/>
          <w:color w:val="auto"/>
        </w:rPr>
        <w:t xml:space="preserve"> and </w:t>
      </w:r>
      <w:r w:rsidR="008B674C" w:rsidRPr="005553DF">
        <w:rPr>
          <w:rFonts w:asciiTheme="minorHAnsi" w:eastAsia="Times New Roman" w:hAnsiTheme="minorHAnsi" w:cstheme="minorHAnsi"/>
          <w:i w:val="0"/>
          <w:color w:val="auto"/>
        </w:rPr>
        <w:t>S</w:t>
      </w:r>
      <w:r w:rsidR="00601771" w:rsidRPr="005553DF">
        <w:rPr>
          <w:rFonts w:asciiTheme="minorHAnsi" w:eastAsia="Times New Roman" w:hAnsiTheme="minorHAnsi" w:cstheme="minorHAnsi"/>
          <w:i w:val="0"/>
          <w:color w:val="auto"/>
        </w:rPr>
        <w:t>ecurity</w:t>
      </w:r>
      <w:bookmarkEnd w:id="71"/>
    </w:p>
    <w:p w14:paraId="7F74CD18" w14:textId="77777777" w:rsidR="00601771" w:rsidRPr="005553DF" w:rsidRDefault="00601771"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The ATSDR PI and</w:t>
      </w:r>
      <w:r w:rsidR="00A20A15" w:rsidRPr="005553DF">
        <w:rPr>
          <w:rFonts w:asciiTheme="minorHAnsi" w:hAnsiTheme="minorHAnsi" w:cstheme="minorHAnsi"/>
          <w:color w:val="auto"/>
          <w:sz w:val="22"/>
          <w:szCs w:val="22"/>
        </w:rPr>
        <w:t xml:space="preserve"> Project Manager</w:t>
      </w:r>
      <w:r w:rsidRPr="005553DF">
        <w:rPr>
          <w:rFonts w:asciiTheme="minorHAnsi" w:hAnsiTheme="minorHAnsi" w:cstheme="minorHAnsi"/>
          <w:color w:val="auto"/>
          <w:sz w:val="22"/>
          <w:szCs w:val="22"/>
        </w:rPr>
        <w:t xml:space="preserve"> will </w:t>
      </w:r>
      <w:r w:rsidRPr="005553DF">
        <w:rPr>
          <w:rFonts w:asciiTheme="minorHAnsi" w:hAnsiTheme="minorHAnsi" w:cstheme="minorHAnsi"/>
          <w:sz w:val="22"/>
          <w:szCs w:val="22"/>
        </w:rPr>
        <w:t xml:space="preserve">be responsible for all required staff training and certification, periodic checks of procedures and data collection methods, privacy, and security of data, as well as access of assigned personnel  to different types of data. For this information collection, all study staff will be under the direct supervision of </w:t>
      </w:r>
      <w:r w:rsidR="00F2098B" w:rsidRPr="005553DF">
        <w:rPr>
          <w:rFonts w:asciiTheme="minorHAnsi" w:hAnsiTheme="minorHAnsi" w:cstheme="minorHAnsi"/>
          <w:sz w:val="22"/>
          <w:szCs w:val="22"/>
        </w:rPr>
        <w:t xml:space="preserve">the ATSDR </w:t>
      </w:r>
      <w:r w:rsidRPr="005553DF">
        <w:rPr>
          <w:rFonts w:asciiTheme="minorHAnsi" w:hAnsiTheme="minorHAnsi" w:cstheme="minorHAnsi"/>
          <w:sz w:val="22"/>
          <w:szCs w:val="22"/>
        </w:rPr>
        <w:t xml:space="preserve">on-site supervisor. </w:t>
      </w:r>
      <w:r w:rsidR="00F2098B" w:rsidRPr="005553DF">
        <w:rPr>
          <w:rFonts w:asciiTheme="minorHAnsi" w:hAnsiTheme="minorHAnsi" w:cstheme="minorHAnsi"/>
          <w:sz w:val="22"/>
          <w:szCs w:val="22"/>
        </w:rPr>
        <w:t xml:space="preserve"> The </w:t>
      </w:r>
      <w:r w:rsidR="00A20A15" w:rsidRPr="005553DF">
        <w:rPr>
          <w:rFonts w:asciiTheme="minorHAnsi" w:hAnsiTheme="minorHAnsi" w:cstheme="minorHAnsi"/>
          <w:sz w:val="22"/>
          <w:szCs w:val="22"/>
        </w:rPr>
        <w:t>study staff</w:t>
      </w:r>
      <w:r w:rsidR="00F2098B" w:rsidRPr="005553DF">
        <w:rPr>
          <w:rFonts w:asciiTheme="minorHAnsi" w:hAnsiTheme="minorHAnsi" w:cstheme="minorHAnsi"/>
          <w:sz w:val="22"/>
          <w:szCs w:val="22"/>
        </w:rPr>
        <w:t xml:space="preserve"> will obtain appropriate office space for the blood draws, clinical assessments, questionnaire, neurobehavioral batteries administration, secure storage of questionnaires, medical and school records, and storage of </w:t>
      </w:r>
      <w:r w:rsidR="00A537E4" w:rsidRPr="005553DF">
        <w:rPr>
          <w:rFonts w:asciiTheme="minorHAnsi" w:hAnsiTheme="minorHAnsi" w:cstheme="minorHAnsi"/>
          <w:sz w:val="22"/>
          <w:szCs w:val="22"/>
        </w:rPr>
        <w:t>blood specimen</w:t>
      </w:r>
      <w:r w:rsidR="00F2098B" w:rsidRPr="005553DF">
        <w:rPr>
          <w:rFonts w:asciiTheme="minorHAnsi" w:hAnsiTheme="minorHAnsi" w:cstheme="minorHAnsi"/>
          <w:sz w:val="22"/>
          <w:szCs w:val="22"/>
        </w:rPr>
        <w:t xml:space="preserve">s (including refrigeration) prior to shipment to the NCEH laboratory. </w:t>
      </w:r>
      <w:r w:rsidR="000528DB" w:rsidRPr="005553DF">
        <w:rPr>
          <w:rFonts w:asciiTheme="minorHAnsi" w:hAnsiTheme="minorHAnsi" w:cstheme="minorHAnsi"/>
          <w:sz w:val="22"/>
          <w:szCs w:val="22"/>
        </w:rPr>
        <w:t>All data and biological specimens collected in the study are the property of ATSDR. Methods to ensure least privilege access to the study information will be in place; therefore, access to identifiable information will be role-based on a need-to-know basis for ATSDR investigators.</w:t>
      </w:r>
    </w:p>
    <w:p w14:paraId="3EED10DF" w14:textId="77777777" w:rsidR="00F2098B" w:rsidRPr="005553DF" w:rsidRDefault="00A20A15" w:rsidP="005553DF">
      <w:pPr>
        <w:pStyle w:val="Default"/>
        <w:spacing w:before="100" w:beforeAutospacing="1" w:after="240" w:line="360" w:lineRule="auto"/>
        <w:jc w:val="both"/>
        <w:rPr>
          <w:rFonts w:asciiTheme="minorHAnsi" w:eastAsia="Times New Roman" w:hAnsiTheme="minorHAnsi" w:cstheme="minorHAnsi"/>
          <w:sz w:val="22"/>
          <w:szCs w:val="22"/>
        </w:rPr>
      </w:pPr>
      <w:r w:rsidRPr="005553DF">
        <w:rPr>
          <w:rFonts w:asciiTheme="minorHAnsi" w:eastAsia="Times New Roman" w:hAnsiTheme="minorHAnsi" w:cstheme="minorHAnsi"/>
          <w:sz w:val="22"/>
          <w:szCs w:val="22"/>
        </w:rPr>
        <w:t>The study staff</w:t>
      </w:r>
      <w:r w:rsidR="00F2098B" w:rsidRPr="005553DF">
        <w:rPr>
          <w:rFonts w:asciiTheme="minorHAnsi" w:eastAsia="Times New Roman" w:hAnsiTheme="minorHAnsi" w:cstheme="minorHAnsi"/>
          <w:sz w:val="22"/>
          <w:szCs w:val="22"/>
        </w:rPr>
        <w:t xml:space="preserve"> will provide details on its data security technology and methods including </w:t>
      </w:r>
      <w:r w:rsidR="005C74A4" w:rsidRPr="005553DF">
        <w:rPr>
          <w:rFonts w:asciiTheme="minorHAnsi" w:eastAsia="Times New Roman" w:hAnsiTheme="minorHAnsi" w:cstheme="minorHAnsi"/>
          <w:sz w:val="22"/>
          <w:szCs w:val="22"/>
        </w:rPr>
        <w:t xml:space="preserve">password protection, desktop firewalls, daily backups and server based storage, intrusion detection, vulnerability scans of </w:t>
      </w:r>
      <w:r w:rsidR="005C74A4" w:rsidRPr="005553DF">
        <w:rPr>
          <w:rFonts w:asciiTheme="minorHAnsi" w:hAnsiTheme="minorHAnsi" w:cstheme="minorHAnsi"/>
          <w:sz w:val="22"/>
          <w:szCs w:val="22"/>
        </w:rPr>
        <w:t>personal computers and server, laptop security, and computer encryption procedures.</w:t>
      </w:r>
    </w:p>
    <w:p w14:paraId="27AD1E4B" w14:textId="77777777" w:rsidR="00601771" w:rsidRPr="005553DF" w:rsidRDefault="00601771"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 xml:space="preserve">Once collected from the participant, all hardcopy informed consents and data collection forms will be stored in locked files in locked rooms in </w:t>
      </w:r>
      <w:r w:rsidR="005C74A4" w:rsidRPr="005553DF">
        <w:rPr>
          <w:rFonts w:asciiTheme="minorHAnsi" w:hAnsiTheme="minorHAnsi" w:cstheme="minorHAnsi"/>
          <w:sz w:val="22"/>
          <w:szCs w:val="22"/>
        </w:rPr>
        <w:t>the study office and at ATSDR</w:t>
      </w:r>
      <w:r w:rsidRPr="005553DF">
        <w:rPr>
          <w:rFonts w:asciiTheme="minorHAnsi" w:hAnsiTheme="minorHAnsi" w:cstheme="minorHAnsi"/>
          <w:sz w:val="22"/>
          <w:szCs w:val="22"/>
        </w:rPr>
        <w:t>.</w:t>
      </w:r>
    </w:p>
    <w:p w14:paraId="376FF093" w14:textId="77777777" w:rsidR="00A20A15" w:rsidRPr="005553DF" w:rsidRDefault="00601771"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 xml:space="preserve">Upon completion of the project and once the ATSDR has received all approved study related paper documents, </w:t>
      </w:r>
      <w:r w:rsidR="00A20A15" w:rsidRPr="005553DF">
        <w:rPr>
          <w:rFonts w:asciiTheme="minorHAnsi" w:hAnsiTheme="minorHAnsi" w:cstheme="minorHAnsi"/>
          <w:sz w:val="22"/>
          <w:szCs w:val="22"/>
        </w:rPr>
        <w:t xml:space="preserve">ATSDR will destroy </w:t>
      </w:r>
      <w:r w:rsidRPr="005553DF">
        <w:rPr>
          <w:rFonts w:asciiTheme="minorHAnsi" w:hAnsiTheme="minorHAnsi" w:cstheme="minorHAnsi"/>
          <w:sz w:val="22"/>
          <w:szCs w:val="22"/>
        </w:rPr>
        <w:t xml:space="preserve">those hardcopy documents not </w:t>
      </w:r>
      <w:r w:rsidR="00A20A15" w:rsidRPr="005553DF">
        <w:rPr>
          <w:rFonts w:asciiTheme="minorHAnsi" w:hAnsiTheme="minorHAnsi" w:cstheme="minorHAnsi"/>
          <w:sz w:val="22"/>
          <w:szCs w:val="22"/>
        </w:rPr>
        <w:t>necessary to complete the study analyses or to contact study participants.</w:t>
      </w:r>
    </w:p>
    <w:p w14:paraId="5C6CFC43" w14:textId="26C946C3" w:rsidR="00601771" w:rsidRPr="005553DF" w:rsidRDefault="00A20A15"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eastAsia="Times New Roman" w:hAnsiTheme="minorHAnsi" w:cstheme="minorHAnsi"/>
          <w:sz w:val="22"/>
          <w:szCs w:val="22"/>
        </w:rPr>
        <w:t>D</w:t>
      </w:r>
      <w:r w:rsidR="00601771" w:rsidRPr="005553DF">
        <w:rPr>
          <w:rFonts w:asciiTheme="minorHAnsi" w:eastAsia="Times New Roman" w:hAnsiTheme="minorHAnsi" w:cstheme="minorHAnsi"/>
          <w:sz w:val="22"/>
          <w:szCs w:val="22"/>
        </w:rPr>
        <w:t xml:space="preserve">ata security </w:t>
      </w:r>
      <w:r w:rsidR="009A2CEB" w:rsidRPr="005553DF">
        <w:rPr>
          <w:rFonts w:asciiTheme="minorHAnsi" w:eastAsia="Times New Roman" w:hAnsiTheme="minorHAnsi" w:cstheme="minorHAnsi"/>
          <w:sz w:val="22"/>
          <w:szCs w:val="22"/>
        </w:rPr>
        <w:t xml:space="preserve">measures </w:t>
      </w:r>
      <w:r w:rsidR="00601771" w:rsidRPr="005553DF">
        <w:rPr>
          <w:rFonts w:asciiTheme="minorHAnsi" w:eastAsia="Times New Roman" w:hAnsiTheme="minorHAnsi" w:cstheme="minorHAnsi"/>
          <w:sz w:val="22"/>
          <w:szCs w:val="22"/>
        </w:rPr>
        <w:t>at ATSDR will compl</w:t>
      </w:r>
      <w:r w:rsidR="009A2CEB" w:rsidRPr="005553DF">
        <w:rPr>
          <w:rFonts w:asciiTheme="minorHAnsi" w:eastAsia="Times New Roman" w:hAnsiTheme="minorHAnsi" w:cstheme="minorHAnsi"/>
          <w:sz w:val="22"/>
          <w:szCs w:val="22"/>
        </w:rPr>
        <w:t>y</w:t>
      </w:r>
      <w:r w:rsidR="00601771" w:rsidRPr="005553DF">
        <w:rPr>
          <w:rFonts w:asciiTheme="minorHAnsi" w:eastAsia="Times New Roman" w:hAnsiTheme="minorHAnsi" w:cstheme="minorHAnsi"/>
          <w:sz w:val="22"/>
          <w:szCs w:val="22"/>
        </w:rPr>
        <w:t xml:space="preserve"> with the </w:t>
      </w:r>
      <w:r w:rsidR="00601771" w:rsidRPr="005553DF">
        <w:rPr>
          <w:rFonts w:asciiTheme="minorHAnsi" w:hAnsiTheme="minorHAnsi" w:cstheme="minorHAnsi"/>
          <w:bCs/>
          <w:i/>
          <w:sz w:val="22"/>
          <w:szCs w:val="22"/>
        </w:rPr>
        <w:t>CDC/ATSDR Protection of Information Resources Policy</w:t>
      </w:r>
      <w:r w:rsidR="00601771" w:rsidRPr="005553DF">
        <w:rPr>
          <w:rFonts w:asciiTheme="minorHAnsi" w:eastAsia="Times New Roman" w:hAnsiTheme="minorHAnsi" w:cstheme="minorHAnsi"/>
          <w:sz w:val="22"/>
          <w:szCs w:val="22"/>
        </w:rPr>
        <w:t xml:space="preserve"> and the </w:t>
      </w:r>
      <w:r w:rsidR="00601771" w:rsidRPr="005553DF">
        <w:rPr>
          <w:rFonts w:asciiTheme="minorHAnsi" w:eastAsia="Times New Roman" w:hAnsiTheme="minorHAnsi" w:cstheme="minorHAnsi"/>
          <w:i/>
          <w:sz w:val="22"/>
          <w:szCs w:val="22"/>
        </w:rPr>
        <w:t xml:space="preserve">CDC/ATSDR </w:t>
      </w:r>
      <w:r w:rsidR="00601771" w:rsidRPr="005553DF">
        <w:rPr>
          <w:rFonts w:asciiTheme="minorHAnsi" w:hAnsiTheme="minorHAnsi" w:cstheme="minorHAnsi"/>
          <w:bCs/>
          <w:i/>
          <w:sz w:val="22"/>
          <w:szCs w:val="22"/>
        </w:rPr>
        <w:t>IT Security Program Implementation Standards.</w:t>
      </w:r>
      <w:r w:rsidR="00601771" w:rsidRPr="005553DF">
        <w:rPr>
          <w:rFonts w:asciiTheme="minorHAnsi" w:hAnsiTheme="minorHAnsi" w:cstheme="minorHAnsi"/>
          <w:sz w:val="22"/>
          <w:szCs w:val="22"/>
        </w:rPr>
        <w:t xml:space="preserve"> These policies apply to all authorized ATSDR employees. </w:t>
      </w:r>
      <w:r w:rsidR="00F600DE" w:rsidRPr="00117895">
        <w:rPr>
          <w:rFonts w:asciiTheme="minorHAnsi" w:hAnsiTheme="minorHAnsi" w:cstheme="minorHAnsi"/>
          <w:iCs/>
          <w:sz w:val="22"/>
          <w:szCs w:val="22"/>
        </w:rPr>
        <w:t xml:space="preserve">All incidents involving a suspected or confirmed breach of IIF must be reported to OCISO according to the policy titled </w:t>
      </w:r>
      <w:r w:rsidR="00F600DE" w:rsidRPr="00117895">
        <w:rPr>
          <w:rFonts w:asciiTheme="minorHAnsi" w:hAnsiTheme="minorHAnsi" w:cstheme="minorHAnsi"/>
          <w:i/>
          <w:iCs/>
          <w:sz w:val="22"/>
          <w:szCs w:val="22"/>
        </w:rPr>
        <w:t>OCISO/CDC Standard for Responding to Breaches of Personally Identifiable Information (PII).</w:t>
      </w:r>
    </w:p>
    <w:p w14:paraId="5C166D68" w14:textId="77777777" w:rsidR="00601771" w:rsidRPr="005553DF" w:rsidRDefault="0060177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Physical controls</w:t>
      </w:r>
      <w:r w:rsidRPr="005553DF">
        <w:rPr>
          <w:rFonts w:asciiTheme="minorHAnsi" w:eastAsia="Times New Roman" w:hAnsiTheme="minorHAnsi" w:cstheme="minorHAnsi"/>
        </w:rPr>
        <w:t xml:space="preserve"> </w:t>
      </w:r>
      <w:r w:rsidRPr="005553DF">
        <w:rPr>
          <w:rFonts w:asciiTheme="minorHAnsi" w:hAnsiTheme="minorHAnsi" w:cstheme="minorHAnsi"/>
          <w:bCs/>
          <w:color w:val="000000"/>
        </w:rPr>
        <w:t>–</w:t>
      </w:r>
      <w:r w:rsidRPr="005553DF">
        <w:rPr>
          <w:rFonts w:asciiTheme="minorHAnsi" w:hAnsiTheme="minorHAnsi" w:cstheme="minorHAnsi"/>
          <w:b/>
          <w:bCs/>
          <w:color w:val="000000"/>
        </w:rPr>
        <w:t xml:space="preserve"> </w:t>
      </w:r>
      <w:r w:rsidRPr="005553DF">
        <w:rPr>
          <w:rFonts w:asciiTheme="minorHAnsi" w:hAnsiTheme="minorHAnsi" w:cstheme="minorHAnsi"/>
        </w:rPr>
        <w:t>The CDC/ATSDR issues identity credentials based on the Federal Information Processing Standards (FIPS) Publication 201 for Personal Identity Verification (PIV) authentication of government employee</w:t>
      </w:r>
      <w:r w:rsidR="00A20A15" w:rsidRPr="005553DF">
        <w:rPr>
          <w:rFonts w:asciiTheme="minorHAnsi" w:hAnsiTheme="minorHAnsi" w:cstheme="minorHAnsi"/>
        </w:rPr>
        <w:t>s’ identities</w:t>
      </w:r>
      <w:r w:rsidRPr="005553DF">
        <w:rPr>
          <w:rFonts w:asciiTheme="minorHAnsi" w:hAnsiTheme="minorHAnsi" w:cstheme="minorHAnsi"/>
        </w:rPr>
        <w:t>. Security measures for physical access to secured facilities include the use of PIV Cards, security guards, and closed circuit TV monitoring.</w:t>
      </w:r>
    </w:p>
    <w:p w14:paraId="63700B2A" w14:textId="77777777" w:rsidR="00601771" w:rsidRPr="005553DF" w:rsidRDefault="00601771" w:rsidP="005553DF">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i/>
          <w:color w:val="000000"/>
        </w:rPr>
        <w:t>Technical Controls</w:t>
      </w:r>
      <w:r w:rsidRPr="005553DF">
        <w:rPr>
          <w:rFonts w:asciiTheme="minorHAnsi" w:hAnsiTheme="minorHAnsi" w:cstheme="minorHAnsi"/>
          <w:bCs/>
          <w:color w:val="000000"/>
        </w:rPr>
        <w:t xml:space="preserve"> –</w:t>
      </w:r>
      <w:r w:rsidRPr="005553DF">
        <w:rPr>
          <w:rFonts w:asciiTheme="minorHAnsi" w:hAnsiTheme="minorHAnsi" w:cstheme="minorHAnsi"/>
          <w:b/>
          <w:bCs/>
          <w:color w:val="000000"/>
        </w:rPr>
        <w:t xml:space="preserve"> </w:t>
      </w:r>
      <w:r w:rsidRPr="005553DF">
        <w:rPr>
          <w:rFonts w:asciiTheme="minorHAnsi" w:hAnsiTheme="minorHAnsi" w:cstheme="minorHAnsi"/>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14:paraId="5C694909" w14:textId="77777777" w:rsidR="00601771" w:rsidRPr="005553DF" w:rsidRDefault="0060177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i/>
          <w:color w:val="000000"/>
        </w:rPr>
        <w:t>Administrative Controls</w:t>
      </w:r>
      <w:r w:rsidRPr="005553DF">
        <w:rPr>
          <w:rFonts w:asciiTheme="minorHAnsi" w:hAnsiTheme="minorHAnsi" w:cstheme="minorHAnsi"/>
          <w:bCs/>
          <w:color w:val="000000"/>
        </w:rPr>
        <w:t xml:space="preserve"> </w:t>
      </w:r>
      <w:r w:rsidRPr="005553DF">
        <w:rPr>
          <w:rFonts w:asciiTheme="minorHAnsi" w:hAnsiTheme="minorHAnsi" w:cstheme="minorHAnsi"/>
          <w:color w:val="000000"/>
        </w:rPr>
        <w:t>–</w:t>
      </w:r>
      <w:r w:rsidRPr="005553DF">
        <w:rPr>
          <w:rFonts w:asciiTheme="minorHAnsi" w:hAnsiTheme="minorHAnsi" w:cstheme="minorHAnsi"/>
        </w:rPr>
        <w:t>Authorized CDC/ATSDR employees are required to:</w:t>
      </w:r>
    </w:p>
    <w:p w14:paraId="4E23C4FF" w14:textId="77777777" w:rsidR="00601771" w:rsidRPr="005553DF" w:rsidRDefault="00601771" w:rsidP="005553DF">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Complete required privacy and information security refresher training.</w:t>
      </w:r>
    </w:p>
    <w:p w14:paraId="4D494599" w14:textId="77777777" w:rsidR="00601771" w:rsidRPr="005553DF" w:rsidRDefault="00601771" w:rsidP="005553DF">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Read, acknowledge, sign (if online completion is not available), and comply with the HHS Rules of Behavior, as well as other applicable CDC/ATSDR- and system-specific rules of behavior before gaining access to the CDC/ATSDR’s systems and networks.</w:t>
      </w:r>
    </w:p>
    <w:p w14:paraId="0EFFEC0E" w14:textId="77777777" w:rsidR="00601771" w:rsidRPr="005553DF" w:rsidRDefault="00601771" w:rsidP="005553DF">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 xml:space="preserve">Adhere to the requirements set forth in the </w:t>
      </w:r>
      <w:r w:rsidRPr="005553DF">
        <w:rPr>
          <w:rFonts w:asciiTheme="minorHAnsi" w:hAnsiTheme="minorHAnsi" w:cstheme="minorHAnsi"/>
          <w:i/>
          <w:iCs/>
        </w:rPr>
        <w:t>CDC/ATSDR IT Security Program Implementation Standards</w:t>
      </w:r>
      <w:r w:rsidRPr="005553DF">
        <w:rPr>
          <w:rFonts w:asciiTheme="minorHAnsi" w:hAnsiTheme="minorHAnsi" w:cstheme="minorHAnsi"/>
        </w:rPr>
        <w:t>, and other security policies and procedures that minimize the risk to CDC systems, networks, and data from malicious software and intrusions.</w:t>
      </w:r>
    </w:p>
    <w:p w14:paraId="0B0F9707" w14:textId="77777777" w:rsidR="00601771" w:rsidRPr="005553DF" w:rsidRDefault="00601771" w:rsidP="005553DF">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Abide by all applicable acceptable use policies and procedures regarding use or abuse of CDC/ATSDR IT resources.</w:t>
      </w:r>
    </w:p>
    <w:p w14:paraId="70219506" w14:textId="77777777" w:rsidR="00601771" w:rsidRPr="005553DF" w:rsidRDefault="0060177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All study records are subject to the ATSDR Comprehensive Record Control Schedule (CRCS), B-371, which contains authorized disposition instructions for ATSDR's administrative and program records. ATSDR is legally required to maintain its program-related records in accordance with disposition instructions contained in this comprehensive records control schedule. These retention periods have a direct impact on completing Freedom of Information Act </w:t>
      </w:r>
      <w:r w:rsidR="0008083A" w:rsidRPr="005553DF">
        <w:rPr>
          <w:rFonts w:asciiTheme="minorHAnsi" w:hAnsiTheme="minorHAnsi" w:cstheme="minorHAnsi"/>
        </w:rPr>
        <w:t xml:space="preserve">(FOIA) </w:t>
      </w:r>
      <w:r w:rsidRPr="005553DF">
        <w:rPr>
          <w:rFonts w:asciiTheme="minorHAnsi" w:hAnsiTheme="minorHAnsi" w:cstheme="minorHAnsi"/>
        </w:rPr>
        <w:t>requests and in applying the requirements of the Privacy Act. The current schedule requires ATSDR to retain and archive program records for a period of 75 years after the end of the study activities.</w:t>
      </w:r>
    </w:p>
    <w:p w14:paraId="535EEAD5" w14:textId="77777777" w:rsidR="00E87E8B" w:rsidRPr="005553DF" w:rsidRDefault="003738C2" w:rsidP="005553DF">
      <w:pPr>
        <w:pStyle w:val="Heading3"/>
        <w:spacing w:before="100" w:beforeAutospacing="1" w:after="240" w:line="360" w:lineRule="auto"/>
        <w:rPr>
          <w:rFonts w:asciiTheme="minorHAnsi" w:hAnsiTheme="minorHAnsi" w:cstheme="minorHAnsi"/>
          <w:i/>
          <w:color w:val="auto"/>
        </w:rPr>
      </w:pPr>
      <w:bookmarkStart w:id="72" w:name="_Toc532224186"/>
      <w:r w:rsidRPr="005553DF">
        <w:rPr>
          <w:rFonts w:asciiTheme="minorHAnsi" w:hAnsiTheme="minorHAnsi" w:cstheme="minorHAnsi"/>
          <w:i/>
          <w:color w:val="auto"/>
        </w:rPr>
        <w:t>3.</w:t>
      </w:r>
      <w:r w:rsidR="00B630A2" w:rsidRPr="005553DF">
        <w:rPr>
          <w:rFonts w:asciiTheme="minorHAnsi" w:eastAsia="Times New Roman" w:hAnsiTheme="minorHAnsi" w:cstheme="minorHAnsi"/>
          <w:i/>
          <w:color w:val="auto"/>
        </w:rPr>
        <w:t>8</w:t>
      </w:r>
      <w:r w:rsidRPr="005553DF">
        <w:rPr>
          <w:rFonts w:asciiTheme="minorHAnsi" w:eastAsia="Times New Roman" w:hAnsiTheme="minorHAnsi" w:cstheme="minorHAnsi"/>
          <w:i/>
          <w:color w:val="auto"/>
        </w:rPr>
        <w:t>.4</w:t>
      </w:r>
      <w:r w:rsidR="008D6B48" w:rsidRPr="005553DF">
        <w:rPr>
          <w:rFonts w:asciiTheme="minorHAnsi" w:hAnsiTheme="minorHAnsi" w:cstheme="minorHAnsi"/>
          <w:i/>
          <w:color w:val="auto"/>
        </w:rPr>
        <w:t xml:space="preserve"> </w:t>
      </w:r>
      <w:r w:rsidR="00F836E4" w:rsidRPr="005553DF">
        <w:rPr>
          <w:rFonts w:asciiTheme="minorHAnsi" w:hAnsiTheme="minorHAnsi" w:cstheme="minorHAnsi"/>
          <w:i/>
          <w:color w:val="auto"/>
        </w:rPr>
        <w:t xml:space="preserve">Data </w:t>
      </w:r>
      <w:r w:rsidR="00F836E4" w:rsidRPr="005553DF">
        <w:rPr>
          <w:rFonts w:asciiTheme="minorHAnsi" w:eastAsia="Times New Roman" w:hAnsiTheme="minorHAnsi" w:cstheme="minorHAnsi"/>
          <w:i/>
          <w:color w:val="auto"/>
        </w:rPr>
        <w:t>D</w:t>
      </w:r>
      <w:r w:rsidR="00601771" w:rsidRPr="005553DF">
        <w:rPr>
          <w:rFonts w:asciiTheme="minorHAnsi" w:eastAsia="Times New Roman" w:hAnsiTheme="minorHAnsi" w:cstheme="minorHAnsi"/>
          <w:i/>
          <w:color w:val="auto"/>
        </w:rPr>
        <w:t>elivery</w:t>
      </w:r>
      <w:bookmarkEnd w:id="72"/>
    </w:p>
    <w:p w14:paraId="7B63DDB1" w14:textId="77777777" w:rsidR="00601771" w:rsidRPr="005553DF" w:rsidRDefault="00E87E8B"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 xml:space="preserve">Study staff will follow checks and quality </w:t>
      </w:r>
      <w:r w:rsidRPr="005553DF">
        <w:rPr>
          <w:rFonts w:asciiTheme="minorHAnsi" w:hAnsiTheme="minorHAnsi" w:cstheme="minorHAnsi"/>
          <w:sz w:val="22"/>
          <w:szCs w:val="22"/>
        </w:rPr>
        <w:t xml:space="preserve">control procedures for data entry.  </w:t>
      </w:r>
      <w:r w:rsidR="00601771" w:rsidRPr="005553DF">
        <w:rPr>
          <w:rFonts w:asciiTheme="minorHAnsi" w:hAnsiTheme="minorHAnsi" w:cstheme="minorHAnsi"/>
          <w:sz w:val="22"/>
          <w:szCs w:val="22"/>
        </w:rPr>
        <w:t xml:space="preserve">Only authorized </w:t>
      </w:r>
      <w:r w:rsidRPr="005553DF">
        <w:rPr>
          <w:rFonts w:asciiTheme="minorHAnsi" w:hAnsiTheme="minorHAnsi" w:cstheme="minorHAnsi"/>
          <w:sz w:val="22"/>
          <w:szCs w:val="22"/>
        </w:rPr>
        <w:t>study</w:t>
      </w:r>
      <w:r w:rsidR="005C74A4" w:rsidRPr="005553DF">
        <w:rPr>
          <w:rFonts w:asciiTheme="minorHAnsi" w:hAnsiTheme="minorHAnsi" w:cstheme="minorHAnsi"/>
          <w:sz w:val="22"/>
          <w:szCs w:val="22"/>
        </w:rPr>
        <w:t xml:space="preserve"> staff </w:t>
      </w:r>
      <w:r w:rsidR="00601771" w:rsidRPr="005553DF">
        <w:rPr>
          <w:rFonts w:asciiTheme="minorHAnsi" w:hAnsiTheme="minorHAnsi" w:cstheme="minorHAnsi"/>
          <w:sz w:val="22"/>
          <w:szCs w:val="22"/>
        </w:rPr>
        <w:t xml:space="preserve">will </w:t>
      </w:r>
      <w:r w:rsidRPr="005553DF">
        <w:rPr>
          <w:rFonts w:asciiTheme="minorHAnsi" w:hAnsiTheme="minorHAnsi" w:cstheme="minorHAnsi"/>
          <w:sz w:val="22"/>
          <w:szCs w:val="22"/>
        </w:rPr>
        <w:t xml:space="preserve">receive permission </w:t>
      </w:r>
      <w:r w:rsidR="00601771" w:rsidRPr="005553DF">
        <w:rPr>
          <w:rFonts w:asciiTheme="minorHAnsi" w:hAnsiTheme="minorHAnsi" w:cstheme="minorHAnsi"/>
          <w:sz w:val="22"/>
          <w:szCs w:val="22"/>
        </w:rPr>
        <w:t>to</w:t>
      </w:r>
      <w:r w:rsidRPr="005553DF">
        <w:rPr>
          <w:rFonts w:asciiTheme="minorHAnsi" w:hAnsiTheme="minorHAnsi" w:cstheme="minorHAnsi"/>
          <w:sz w:val="22"/>
          <w:szCs w:val="22"/>
        </w:rPr>
        <w:t xml:space="preserve"> enter or</w:t>
      </w:r>
      <w:r w:rsidR="00601771" w:rsidRPr="005553DF">
        <w:rPr>
          <w:rFonts w:asciiTheme="minorHAnsi" w:hAnsiTheme="minorHAnsi" w:cstheme="minorHAnsi"/>
          <w:sz w:val="22"/>
          <w:szCs w:val="22"/>
        </w:rPr>
        <w:t xml:space="preserve"> manipulate the study data</w:t>
      </w:r>
      <w:r w:rsidRPr="005553DF">
        <w:rPr>
          <w:rFonts w:asciiTheme="minorHAnsi" w:hAnsiTheme="minorHAnsi" w:cstheme="minorHAnsi"/>
          <w:sz w:val="22"/>
          <w:szCs w:val="22"/>
        </w:rPr>
        <w:t xml:space="preserve">.  Data entry from hardcopy documents will involve double entry with </w:t>
      </w:r>
      <w:r w:rsidR="00601771" w:rsidRPr="005553DF">
        <w:rPr>
          <w:rFonts w:asciiTheme="minorHAnsi" w:hAnsiTheme="minorHAnsi" w:cstheme="minorHAnsi"/>
          <w:sz w:val="22"/>
          <w:szCs w:val="22"/>
        </w:rPr>
        <w:t>discrepancies compared and corrected.</w:t>
      </w:r>
    </w:p>
    <w:p w14:paraId="413CDA38" w14:textId="77777777" w:rsidR="00601771" w:rsidRPr="005553DF" w:rsidRDefault="00E87E8B"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Study staff w</w:t>
      </w:r>
      <w:r w:rsidR="00601771" w:rsidRPr="005553DF">
        <w:rPr>
          <w:rFonts w:asciiTheme="minorHAnsi" w:hAnsiTheme="minorHAnsi" w:cstheme="minorHAnsi"/>
        </w:rPr>
        <w:t>ill prepare draft datasets to record questionnaire responses</w:t>
      </w:r>
      <w:r w:rsidR="005C74A4" w:rsidRPr="005553DF">
        <w:rPr>
          <w:rFonts w:asciiTheme="minorHAnsi" w:hAnsiTheme="minorHAnsi" w:cstheme="minorHAnsi"/>
        </w:rPr>
        <w:t xml:space="preserve"> and medical record/school record data</w:t>
      </w:r>
      <w:r w:rsidR="00601771" w:rsidRPr="005553DF">
        <w:rPr>
          <w:rFonts w:asciiTheme="minorHAnsi" w:hAnsiTheme="minorHAnsi" w:cstheme="minorHAnsi"/>
        </w:rPr>
        <w:t xml:space="preserve"> to send to ATSDR for review and approval. </w:t>
      </w:r>
      <w:r w:rsidR="005C74A4" w:rsidRPr="005553DF">
        <w:rPr>
          <w:rFonts w:asciiTheme="minorHAnsi" w:hAnsiTheme="minorHAnsi" w:cstheme="minorHAnsi"/>
        </w:rPr>
        <w:t>ATSDR</w:t>
      </w:r>
      <w:r w:rsidRPr="005553DF">
        <w:rPr>
          <w:rFonts w:asciiTheme="minorHAnsi" w:hAnsiTheme="minorHAnsi" w:cstheme="minorHAnsi"/>
        </w:rPr>
        <w:t xml:space="preserve"> will work with the study staff </w:t>
      </w:r>
      <w:r w:rsidR="00601771" w:rsidRPr="005553DF">
        <w:rPr>
          <w:rFonts w:asciiTheme="minorHAnsi" w:hAnsiTheme="minorHAnsi" w:cstheme="minorHAnsi"/>
        </w:rPr>
        <w:t>to resolve missing values</w:t>
      </w:r>
      <w:r w:rsidRPr="005553DF">
        <w:rPr>
          <w:rFonts w:asciiTheme="minorHAnsi" w:hAnsiTheme="minorHAnsi" w:cstheme="minorHAnsi"/>
        </w:rPr>
        <w:t xml:space="preserve"> and other data issues</w:t>
      </w:r>
      <w:r w:rsidR="00601771" w:rsidRPr="005553DF">
        <w:rPr>
          <w:rFonts w:asciiTheme="minorHAnsi" w:hAnsiTheme="minorHAnsi" w:cstheme="minorHAnsi"/>
        </w:rPr>
        <w:t xml:space="preserve">. </w:t>
      </w:r>
      <w:r w:rsidR="005C74A4" w:rsidRPr="005553DF">
        <w:rPr>
          <w:rFonts w:asciiTheme="minorHAnsi" w:hAnsiTheme="minorHAnsi" w:cstheme="minorHAnsi"/>
        </w:rPr>
        <w:t xml:space="preserve">The </w:t>
      </w:r>
      <w:r w:rsidRPr="005553DF">
        <w:rPr>
          <w:rFonts w:asciiTheme="minorHAnsi" w:hAnsiTheme="minorHAnsi" w:cstheme="minorHAnsi"/>
        </w:rPr>
        <w:t>study staff</w:t>
      </w:r>
      <w:r w:rsidR="00601771" w:rsidRPr="005553DF">
        <w:rPr>
          <w:rFonts w:asciiTheme="minorHAnsi" w:hAnsiTheme="minorHAnsi" w:cstheme="minorHAnsi"/>
        </w:rPr>
        <w:t xml:space="preserve"> will also keep and deliver a shipping log of </w:t>
      </w:r>
      <w:r w:rsidR="00A537E4" w:rsidRPr="005553DF">
        <w:rPr>
          <w:rFonts w:asciiTheme="minorHAnsi" w:hAnsiTheme="minorHAnsi" w:cstheme="minorHAnsi"/>
        </w:rPr>
        <w:t>blood specimen</w:t>
      </w:r>
      <w:r w:rsidR="00601771" w:rsidRPr="005553DF">
        <w:rPr>
          <w:rFonts w:asciiTheme="minorHAnsi" w:hAnsiTheme="minorHAnsi" w:cstheme="minorHAnsi"/>
        </w:rPr>
        <w:t xml:space="preserve">s sent to the </w:t>
      </w:r>
      <w:r w:rsidRPr="005553DF">
        <w:rPr>
          <w:rFonts w:asciiTheme="minorHAnsi" w:hAnsiTheme="minorHAnsi" w:cstheme="minorHAnsi"/>
        </w:rPr>
        <w:t>NCEH</w:t>
      </w:r>
      <w:r w:rsidR="00601771" w:rsidRPr="005553DF">
        <w:rPr>
          <w:rFonts w:asciiTheme="minorHAnsi" w:hAnsiTheme="minorHAnsi" w:cstheme="minorHAnsi"/>
        </w:rPr>
        <w:t xml:space="preserve"> laboratory in Microsoft Excel format</w:t>
      </w:r>
      <w:r w:rsidR="007D2159" w:rsidRPr="005553DF">
        <w:rPr>
          <w:rFonts w:asciiTheme="minorHAnsi" w:hAnsiTheme="minorHAnsi" w:cstheme="minorHAnsi"/>
        </w:rPr>
        <w:t xml:space="preserve"> (</w:t>
      </w:r>
      <w:r w:rsidR="007D2159" w:rsidRPr="005553DF">
        <w:rPr>
          <w:rFonts w:asciiTheme="minorHAnsi" w:hAnsiTheme="minorHAnsi" w:cstheme="minorHAnsi"/>
          <w:b/>
        </w:rPr>
        <w:t xml:space="preserve">Attachment </w:t>
      </w:r>
      <w:r w:rsidR="009F2FB3" w:rsidRPr="005553DF">
        <w:rPr>
          <w:rFonts w:asciiTheme="minorHAnsi" w:hAnsiTheme="minorHAnsi" w:cstheme="minorHAnsi"/>
          <w:b/>
        </w:rPr>
        <w:t>1</w:t>
      </w:r>
      <w:r w:rsidR="00AE5D82" w:rsidRPr="005553DF">
        <w:rPr>
          <w:rFonts w:asciiTheme="minorHAnsi" w:hAnsiTheme="minorHAnsi" w:cstheme="minorHAnsi"/>
          <w:b/>
        </w:rPr>
        <w:t>4</w:t>
      </w:r>
      <w:r w:rsidR="007D2159" w:rsidRPr="005553DF">
        <w:rPr>
          <w:rFonts w:asciiTheme="minorHAnsi" w:hAnsiTheme="minorHAnsi" w:cstheme="minorHAnsi"/>
        </w:rPr>
        <w:t>)</w:t>
      </w:r>
      <w:r w:rsidR="00601771" w:rsidRPr="005553DF">
        <w:rPr>
          <w:rFonts w:asciiTheme="minorHAnsi" w:hAnsiTheme="minorHAnsi" w:cstheme="minorHAnsi"/>
        </w:rPr>
        <w:t xml:space="preserve">. The log will include the include vial type, volume, ID code, date, and carrier details. </w:t>
      </w:r>
      <w:r w:rsidRPr="005553DF">
        <w:rPr>
          <w:rFonts w:asciiTheme="minorHAnsi" w:hAnsiTheme="minorHAnsi" w:cstheme="minorHAnsi"/>
        </w:rPr>
        <w:t>ATSDR will receive l</w:t>
      </w:r>
      <w:r w:rsidR="00601771" w:rsidRPr="005553DF">
        <w:rPr>
          <w:rFonts w:asciiTheme="minorHAnsi" w:hAnsiTheme="minorHAnsi" w:cstheme="minorHAnsi"/>
        </w:rPr>
        <w:t xml:space="preserve">ab results </w:t>
      </w:r>
      <w:r w:rsidRPr="005553DF">
        <w:rPr>
          <w:rFonts w:asciiTheme="minorHAnsi" w:hAnsiTheme="minorHAnsi" w:cstheme="minorHAnsi"/>
        </w:rPr>
        <w:t>from</w:t>
      </w:r>
      <w:r w:rsidR="00601771" w:rsidRPr="005553DF">
        <w:rPr>
          <w:rFonts w:asciiTheme="minorHAnsi" w:hAnsiTheme="minorHAnsi" w:cstheme="minorHAnsi"/>
        </w:rPr>
        <w:t xml:space="preserve"> the participating laboratories. The lab dataset will be merged by study ID with the questionnaire data to create a combined questionnaire and lab dataset. </w:t>
      </w:r>
    </w:p>
    <w:p w14:paraId="568C6731" w14:textId="77777777" w:rsidR="00601771" w:rsidRPr="005553DF" w:rsidRDefault="0060177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rPr>
        <w:t>All dataset formats will be transformed to SAS datasets (SAS 9.</w:t>
      </w:r>
      <w:r w:rsidR="005C74A4" w:rsidRPr="005553DF">
        <w:rPr>
          <w:rFonts w:asciiTheme="minorHAnsi" w:hAnsiTheme="minorHAnsi" w:cstheme="minorHAnsi"/>
          <w:bCs/>
          <w:iCs/>
        </w:rPr>
        <w:t>3</w:t>
      </w:r>
      <w:r w:rsidRPr="005553DF">
        <w:rPr>
          <w:rFonts w:asciiTheme="minorHAnsi" w:hAnsiTheme="minorHAnsi" w:cstheme="minorHAnsi"/>
          <w:bCs/>
          <w:iCs/>
        </w:rPr>
        <w:t>, Cary</w:t>
      </w:r>
      <w:r w:rsidR="003A0D92" w:rsidRPr="005553DF">
        <w:rPr>
          <w:rFonts w:asciiTheme="minorHAnsi" w:hAnsiTheme="minorHAnsi" w:cstheme="minorHAnsi"/>
          <w:bCs/>
          <w:iCs/>
        </w:rPr>
        <w:t xml:space="preserve"> NC</w:t>
      </w:r>
      <w:r w:rsidRPr="005553DF">
        <w:rPr>
          <w:rFonts w:asciiTheme="minorHAnsi" w:hAnsiTheme="minorHAnsi" w:cstheme="minorHAnsi"/>
          <w:bCs/>
          <w:iCs/>
        </w:rPr>
        <w:t>)</w:t>
      </w:r>
      <w:r w:rsidR="00BF49EB" w:rsidRPr="005553DF">
        <w:rPr>
          <w:rFonts w:asciiTheme="minorHAnsi" w:hAnsiTheme="minorHAnsi" w:cstheme="minorHAnsi"/>
          <w:bCs/>
          <w:iCs/>
        </w:rPr>
        <w:t>.</w:t>
      </w:r>
      <w:r w:rsidRPr="005553DF">
        <w:rPr>
          <w:rFonts w:asciiTheme="minorHAnsi" w:hAnsiTheme="minorHAnsi" w:cstheme="minorHAnsi"/>
          <w:bCs/>
          <w:iCs/>
        </w:rPr>
        <w:t xml:space="preserve"> All final data management will be performed on this platform. </w:t>
      </w:r>
      <w:r w:rsidRPr="005553DF">
        <w:rPr>
          <w:rFonts w:asciiTheme="minorHAnsi" w:hAnsiTheme="minorHAnsi" w:cstheme="minorHAnsi"/>
        </w:rPr>
        <w:t xml:space="preserve">Final datasets will be sent to ATSDR using encrypted, password coded spreadsheets through a password protected data sharing facility. The </w:t>
      </w:r>
      <w:r w:rsidR="005C74A4" w:rsidRPr="005553DF">
        <w:rPr>
          <w:rFonts w:asciiTheme="minorHAnsi" w:hAnsiTheme="minorHAnsi" w:cstheme="minorHAnsi"/>
        </w:rPr>
        <w:t xml:space="preserve">contractor will deliver to ATSDR the </w:t>
      </w:r>
      <w:r w:rsidRPr="005553DF">
        <w:rPr>
          <w:rFonts w:asciiTheme="minorHAnsi" w:hAnsiTheme="minorHAnsi" w:cstheme="minorHAnsi"/>
        </w:rPr>
        <w:t>code and the master key dataset by which the response data are potentially relinkable to PII.</w:t>
      </w:r>
    </w:p>
    <w:p w14:paraId="635F9C43" w14:textId="77777777" w:rsidR="00601771" w:rsidRPr="005553DF" w:rsidRDefault="0060177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Consent forms that collect the signature</w:t>
      </w:r>
      <w:r w:rsidR="00E87E8B" w:rsidRPr="005553DF">
        <w:rPr>
          <w:rFonts w:asciiTheme="minorHAnsi" w:hAnsiTheme="minorHAnsi" w:cstheme="minorHAnsi"/>
        </w:rPr>
        <w:t>s</w:t>
      </w:r>
      <w:r w:rsidRPr="005553DF">
        <w:rPr>
          <w:rFonts w:asciiTheme="minorHAnsi" w:hAnsiTheme="minorHAnsi" w:cstheme="minorHAnsi"/>
        </w:rPr>
        <w:t xml:space="preserve"> of participants will be paper instruments and </w:t>
      </w:r>
      <w:r w:rsidR="00E87E8B" w:rsidRPr="005553DF">
        <w:rPr>
          <w:rFonts w:asciiTheme="minorHAnsi" w:hAnsiTheme="minorHAnsi" w:cstheme="minorHAnsi"/>
        </w:rPr>
        <w:t xml:space="preserve">the adult participant or parent of the child participant will receive </w:t>
      </w:r>
      <w:r w:rsidRPr="005553DF">
        <w:rPr>
          <w:rFonts w:asciiTheme="minorHAnsi" w:hAnsiTheme="minorHAnsi" w:cstheme="minorHAnsi"/>
        </w:rPr>
        <w:t>a copy</w:t>
      </w:r>
      <w:r w:rsidR="00E87E8B" w:rsidRPr="005553DF">
        <w:rPr>
          <w:rFonts w:asciiTheme="minorHAnsi" w:hAnsiTheme="minorHAnsi" w:cstheme="minorHAnsi"/>
        </w:rPr>
        <w:t xml:space="preserve"> of the consent form</w:t>
      </w:r>
      <w:r w:rsidRPr="005553DF">
        <w:rPr>
          <w:rFonts w:asciiTheme="minorHAnsi" w:hAnsiTheme="minorHAnsi" w:cstheme="minorHAnsi"/>
        </w:rPr>
        <w:t xml:space="preserve">. Height, weight, and other applicable body measures and blood pressure will be recorded on a paper form and transferred to an electronic form.  </w:t>
      </w:r>
    </w:p>
    <w:p w14:paraId="65FAB1E5" w14:textId="77777777" w:rsidR="008D6B48" w:rsidRPr="005553DF" w:rsidRDefault="008D6B48" w:rsidP="005553DF">
      <w:pPr>
        <w:pStyle w:val="Default"/>
        <w:spacing w:before="100" w:beforeAutospacing="1" w:after="240" w:line="360" w:lineRule="auto"/>
        <w:jc w:val="both"/>
        <w:rPr>
          <w:rFonts w:asciiTheme="minorHAnsi" w:eastAsia="Times New Roman" w:hAnsiTheme="minorHAnsi" w:cstheme="minorHAnsi"/>
          <w:b/>
          <w:i/>
          <w:sz w:val="22"/>
          <w:szCs w:val="22"/>
        </w:rPr>
      </w:pPr>
      <w:r w:rsidRPr="005553DF">
        <w:rPr>
          <w:rFonts w:asciiTheme="minorHAnsi" w:eastAsia="Times New Roman" w:hAnsiTheme="minorHAnsi" w:cstheme="minorHAnsi"/>
          <w:b/>
          <w:i/>
          <w:sz w:val="22"/>
          <w:szCs w:val="22"/>
        </w:rPr>
        <w:t>3.</w:t>
      </w:r>
      <w:r w:rsidR="00B630A2" w:rsidRPr="005553DF">
        <w:rPr>
          <w:rFonts w:asciiTheme="minorHAnsi" w:eastAsia="Times New Roman" w:hAnsiTheme="minorHAnsi" w:cstheme="minorHAnsi"/>
          <w:b/>
          <w:i/>
          <w:sz w:val="22"/>
          <w:szCs w:val="22"/>
        </w:rPr>
        <w:t>8</w:t>
      </w:r>
      <w:r w:rsidR="000528DB" w:rsidRPr="005553DF">
        <w:rPr>
          <w:rFonts w:asciiTheme="minorHAnsi" w:eastAsia="Times New Roman" w:hAnsiTheme="minorHAnsi" w:cstheme="minorHAnsi"/>
          <w:b/>
          <w:i/>
          <w:sz w:val="22"/>
          <w:szCs w:val="22"/>
        </w:rPr>
        <w:t>.5</w:t>
      </w:r>
      <w:r w:rsidRPr="005553DF">
        <w:rPr>
          <w:rFonts w:asciiTheme="minorHAnsi" w:eastAsia="Times New Roman" w:hAnsiTheme="minorHAnsi" w:cstheme="minorHAnsi"/>
          <w:b/>
          <w:i/>
          <w:sz w:val="22"/>
          <w:szCs w:val="22"/>
        </w:rPr>
        <w:t xml:space="preserve"> </w:t>
      </w:r>
      <w:r w:rsidR="000528DB" w:rsidRPr="005553DF">
        <w:rPr>
          <w:rFonts w:asciiTheme="minorHAnsi" w:eastAsia="Times New Roman" w:hAnsiTheme="minorHAnsi" w:cstheme="minorHAnsi"/>
          <w:b/>
          <w:i/>
          <w:sz w:val="22"/>
          <w:szCs w:val="22"/>
        </w:rPr>
        <w:t>Data Ownership and Data S</w:t>
      </w:r>
      <w:r w:rsidR="00601771" w:rsidRPr="005553DF">
        <w:rPr>
          <w:rFonts w:asciiTheme="minorHAnsi" w:eastAsia="Times New Roman" w:hAnsiTheme="minorHAnsi" w:cstheme="minorHAnsi"/>
          <w:b/>
          <w:i/>
          <w:sz w:val="22"/>
          <w:szCs w:val="22"/>
        </w:rPr>
        <w:t>haring</w:t>
      </w:r>
    </w:p>
    <w:p w14:paraId="5D878C2F" w14:textId="77777777" w:rsidR="00601771" w:rsidRPr="005553DF" w:rsidRDefault="00E56AC1" w:rsidP="005553DF">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color w:val="000000"/>
        </w:rPr>
        <w:t>Coded</w:t>
      </w:r>
      <w:r w:rsidR="00601771" w:rsidRPr="005553DF">
        <w:rPr>
          <w:rFonts w:asciiTheme="minorHAnsi" w:hAnsiTheme="minorHAnsi" w:cstheme="minorHAnsi"/>
          <w:color w:val="000000"/>
        </w:rPr>
        <w:t xml:space="preserve"> research datasets will be available to all </w:t>
      </w:r>
      <w:r w:rsidR="00C77F46" w:rsidRPr="005553DF">
        <w:rPr>
          <w:rFonts w:asciiTheme="minorHAnsi" w:hAnsiTheme="minorHAnsi" w:cstheme="minorHAnsi"/>
          <w:color w:val="000000"/>
        </w:rPr>
        <w:t xml:space="preserve">ATSDR </w:t>
      </w:r>
      <w:r w:rsidR="00601771" w:rsidRPr="005553DF">
        <w:rPr>
          <w:rFonts w:asciiTheme="minorHAnsi" w:hAnsiTheme="minorHAnsi" w:cstheme="minorHAnsi"/>
          <w:color w:val="000000"/>
        </w:rPr>
        <w:t xml:space="preserve">study investigators listed in </w:t>
      </w:r>
      <w:r w:rsidR="00C96E14" w:rsidRPr="005553DF">
        <w:rPr>
          <w:rFonts w:asciiTheme="minorHAnsi" w:hAnsiTheme="minorHAnsi" w:cstheme="minorHAnsi"/>
          <w:b/>
          <w:color w:val="000000"/>
        </w:rPr>
        <w:t>A</w:t>
      </w:r>
      <w:r w:rsidR="00765DF5" w:rsidRPr="005553DF">
        <w:rPr>
          <w:rFonts w:asciiTheme="minorHAnsi" w:hAnsiTheme="minorHAnsi" w:cstheme="minorHAnsi"/>
          <w:b/>
          <w:color w:val="000000"/>
        </w:rPr>
        <w:t>ttachment 1</w:t>
      </w:r>
      <w:r w:rsidRPr="005553DF">
        <w:rPr>
          <w:rFonts w:asciiTheme="minorHAnsi" w:hAnsiTheme="minorHAnsi" w:cstheme="minorHAnsi"/>
          <w:color w:val="000000"/>
        </w:rPr>
        <w:t>. We will produce coded</w:t>
      </w:r>
      <w:r w:rsidR="00601771" w:rsidRPr="005553DF">
        <w:rPr>
          <w:rFonts w:asciiTheme="minorHAnsi" w:hAnsiTheme="minorHAnsi" w:cstheme="minorHAnsi"/>
          <w:color w:val="000000"/>
        </w:rPr>
        <w:t xml:space="preserve"> datasets by removing the following: </w:t>
      </w:r>
      <w:r w:rsidR="00C77F46" w:rsidRPr="005553DF">
        <w:rPr>
          <w:rFonts w:asciiTheme="minorHAnsi" w:hAnsiTheme="minorHAnsi" w:cstheme="minorHAnsi"/>
          <w:color w:val="000000"/>
        </w:rPr>
        <w:t xml:space="preserve">name, SSN, </w:t>
      </w:r>
      <w:r w:rsidR="00601771" w:rsidRPr="005553DF">
        <w:rPr>
          <w:rFonts w:asciiTheme="minorHAnsi" w:hAnsiTheme="minorHAnsi" w:cstheme="minorHAnsi"/>
          <w:color w:val="000000"/>
        </w:rPr>
        <w:t xml:space="preserve">date of birth, address, former </w:t>
      </w:r>
      <w:r w:rsidR="00BF49EB" w:rsidRPr="005553DF">
        <w:rPr>
          <w:rFonts w:asciiTheme="minorHAnsi" w:hAnsiTheme="minorHAnsi" w:cstheme="minorHAnsi"/>
          <w:color w:val="000000"/>
        </w:rPr>
        <w:t>address (</w:t>
      </w:r>
      <w:r w:rsidR="00601771" w:rsidRPr="005553DF">
        <w:rPr>
          <w:rFonts w:asciiTheme="minorHAnsi" w:hAnsiTheme="minorHAnsi" w:cstheme="minorHAnsi"/>
          <w:color w:val="000000"/>
        </w:rPr>
        <w:t xml:space="preserve">es), phone number, </w:t>
      </w:r>
      <w:r w:rsidR="00C77F46" w:rsidRPr="005553DF">
        <w:rPr>
          <w:rFonts w:asciiTheme="minorHAnsi" w:hAnsiTheme="minorHAnsi" w:cstheme="minorHAnsi"/>
          <w:color w:val="000000"/>
        </w:rPr>
        <w:t xml:space="preserve">and </w:t>
      </w:r>
      <w:r w:rsidR="00601771" w:rsidRPr="005553DF">
        <w:rPr>
          <w:rFonts w:asciiTheme="minorHAnsi" w:hAnsiTheme="minorHAnsi" w:cstheme="minorHAnsi"/>
          <w:color w:val="000000"/>
        </w:rPr>
        <w:t xml:space="preserve">date of </w:t>
      </w:r>
      <w:r w:rsidR="00C77F46" w:rsidRPr="005553DF">
        <w:rPr>
          <w:rFonts w:asciiTheme="minorHAnsi" w:hAnsiTheme="minorHAnsi" w:cstheme="minorHAnsi"/>
          <w:color w:val="000000"/>
        </w:rPr>
        <w:t xml:space="preserve">completion of </w:t>
      </w:r>
      <w:r w:rsidR="00601771" w:rsidRPr="005553DF">
        <w:rPr>
          <w:rFonts w:asciiTheme="minorHAnsi" w:hAnsiTheme="minorHAnsi" w:cstheme="minorHAnsi"/>
          <w:color w:val="000000"/>
        </w:rPr>
        <w:t xml:space="preserve">the </w:t>
      </w:r>
      <w:r w:rsidR="00C77F46" w:rsidRPr="005553DF">
        <w:rPr>
          <w:rFonts w:asciiTheme="minorHAnsi" w:hAnsiTheme="minorHAnsi" w:cstheme="minorHAnsi"/>
          <w:color w:val="000000"/>
        </w:rPr>
        <w:t>blood draw and questionnaire</w:t>
      </w:r>
      <w:r w:rsidR="00601771" w:rsidRPr="005553DF">
        <w:rPr>
          <w:rFonts w:asciiTheme="minorHAnsi" w:hAnsiTheme="minorHAnsi" w:cstheme="minorHAnsi"/>
          <w:color w:val="000000"/>
        </w:rPr>
        <w:t>.</w:t>
      </w:r>
      <w:r w:rsidR="00C77F46" w:rsidRPr="005553DF">
        <w:rPr>
          <w:rFonts w:asciiTheme="minorHAnsi" w:hAnsiTheme="minorHAnsi" w:cstheme="minorHAnsi"/>
          <w:color w:val="000000"/>
        </w:rPr>
        <w:t xml:space="preserve"> </w:t>
      </w:r>
      <w:r w:rsidR="0021037A" w:rsidRPr="005553DF">
        <w:rPr>
          <w:rFonts w:asciiTheme="minorHAnsi" w:hAnsiTheme="minorHAnsi" w:cstheme="minorHAnsi"/>
          <w:color w:val="000000"/>
        </w:rPr>
        <w:t xml:space="preserve"> SSN</w:t>
      </w:r>
      <w:r w:rsidR="00601771" w:rsidRPr="005553DF">
        <w:rPr>
          <w:rFonts w:asciiTheme="minorHAnsi" w:hAnsiTheme="minorHAnsi" w:cstheme="minorHAnsi"/>
          <w:color w:val="000000"/>
        </w:rPr>
        <w:t xml:space="preserve"> w</w:t>
      </w:r>
      <w:r w:rsidR="00C77F46" w:rsidRPr="005553DF">
        <w:rPr>
          <w:rFonts w:asciiTheme="minorHAnsi" w:hAnsiTheme="minorHAnsi" w:cstheme="minorHAnsi"/>
          <w:color w:val="000000"/>
        </w:rPr>
        <w:t xml:space="preserve">ill be collected </w:t>
      </w:r>
      <w:r w:rsidR="009F2FB3" w:rsidRPr="005553DF">
        <w:rPr>
          <w:rFonts w:asciiTheme="minorHAnsi" w:hAnsiTheme="minorHAnsi" w:cstheme="minorHAnsi"/>
          <w:color w:val="000000"/>
        </w:rPr>
        <w:t>at enrollment</w:t>
      </w:r>
      <w:r w:rsidR="00E0244F" w:rsidRPr="005553DF">
        <w:rPr>
          <w:rFonts w:asciiTheme="minorHAnsi" w:hAnsiTheme="minorHAnsi" w:cstheme="minorHAnsi"/>
          <w:color w:val="000000"/>
        </w:rPr>
        <w:t xml:space="preserve"> for linkage to medical records</w:t>
      </w:r>
      <w:r w:rsidR="00C77F46" w:rsidRPr="005553DF">
        <w:rPr>
          <w:rFonts w:asciiTheme="minorHAnsi" w:hAnsiTheme="minorHAnsi" w:cstheme="minorHAnsi"/>
          <w:color w:val="000000"/>
        </w:rPr>
        <w:t xml:space="preserve"> and school records. </w:t>
      </w:r>
      <w:r w:rsidR="00601771" w:rsidRPr="005553DF">
        <w:rPr>
          <w:rFonts w:asciiTheme="minorHAnsi" w:hAnsiTheme="minorHAnsi" w:cstheme="minorHAnsi"/>
          <w:color w:val="000000"/>
        </w:rPr>
        <w:t xml:space="preserve"> </w:t>
      </w:r>
      <w:r w:rsidR="00C77F46" w:rsidRPr="005553DF">
        <w:rPr>
          <w:rFonts w:asciiTheme="minorHAnsi" w:hAnsiTheme="minorHAnsi" w:cstheme="minorHAnsi"/>
          <w:color w:val="000000"/>
        </w:rPr>
        <w:t xml:space="preserve">Once the linkage has occurred, the SSN will be kept with other PII in a separate </w:t>
      </w:r>
      <w:r w:rsidR="00116E83" w:rsidRPr="005553DF">
        <w:rPr>
          <w:rFonts w:asciiTheme="minorHAnsi" w:hAnsiTheme="minorHAnsi" w:cstheme="minorHAnsi"/>
          <w:color w:val="000000"/>
        </w:rPr>
        <w:t xml:space="preserve">access restricted secure </w:t>
      </w:r>
      <w:r w:rsidR="00C77F46" w:rsidRPr="005553DF">
        <w:rPr>
          <w:rFonts w:asciiTheme="minorHAnsi" w:hAnsiTheme="minorHAnsi" w:cstheme="minorHAnsi"/>
          <w:color w:val="000000"/>
        </w:rPr>
        <w:t xml:space="preserve">database. </w:t>
      </w:r>
      <w:r w:rsidR="00601771" w:rsidRPr="005553DF">
        <w:rPr>
          <w:rFonts w:asciiTheme="minorHAnsi" w:hAnsiTheme="minorHAnsi" w:cstheme="minorHAnsi"/>
          <w:color w:val="000000"/>
        </w:rPr>
        <w:t>Age will replace date of birth</w:t>
      </w:r>
      <w:r w:rsidR="00C77F46" w:rsidRPr="005553DF">
        <w:rPr>
          <w:rFonts w:asciiTheme="minorHAnsi" w:hAnsiTheme="minorHAnsi" w:cstheme="minorHAnsi"/>
          <w:color w:val="000000"/>
        </w:rPr>
        <w:t xml:space="preserve"> in the data analysis file</w:t>
      </w:r>
      <w:r w:rsidR="00601771" w:rsidRPr="005553DF">
        <w:rPr>
          <w:rFonts w:asciiTheme="minorHAnsi" w:hAnsiTheme="minorHAnsi" w:cstheme="minorHAnsi"/>
          <w:color w:val="000000"/>
        </w:rPr>
        <w:t xml:space="preserve"> because it is the necessary variable in exposure and health outcome analyses. </w:t>
      </w:r>
    </w:p>
    <w:p w14:paraId="3419D9CA" w14:textId="77777777" w:rsidR="00BA71A8" w:rsidRPr="005553DF" w:rsidRDefault="00601771" w:rsidP="005553DF">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color w:val="000000"/>
        </w:rPr>
        <w:t>Release</w:t>
      </w:r>
      <w:r w:rsidR="007F3CEA" w:rsidRPr="005553DF">
        <w:rPr>
          <w:rFonts w:asciiTheme="minorHAnsi" w:hAnsiTheme="minorHAnsi" w:cstheme="minorHAnsi"/>
          <w:color w:val="000000"/>
        </w:rPr>
        <w:t xml:space="preserve"> of </w:t>
      </w:r>
      <w:r w:rsidRPr="005553DF">
        <w:rPr>
          <w:rFonts w:asciiTheme="minorHAnsi" w:hAnsiTheme="minorHAnsi" w:cstheme="minorHAnsi"/>
          <w:color w:val="000000"/>
        </w:rPr>
        <w:t xml:space="preserve">de-identified data to outside investigators </w:t>
      </w:r>
      <w:r w:rsidR="006826F8" w:rsidRPr="005553DF">
        <w:rPr>
          <w:rFonts w:asciiTheme="minorHAnsi" w:hAnsiTheme="minorHAnsi" w:cstheme="minorHAnsi"/>
          <w:color w:val="000000"/>
        </w:rPr>
        <w:t xml:space="preserve">must </w:t>
      </w:r>
      <w:r w:rsidRPr="005553DF">
        <w:rPr>
          <w:rFonts w:asciiTheme="minorHAnsi" w:hAnsiTheme="minorHAnsi" w:cstheme="minorHAnsi"/>
          <w:color w:val="000000"/>
        </w:rPr>
        <w:t>be approved by ATSDR</w:t>
      </w:r>
      <w:r w:rsidR="006826F8" w:rsidRPr="005553DF">
        <w:rPr>
          <w:rFonts w:asciiTheme="minorHAnsi" w:hAnsiTheme="minorHAnsi" w:cstheme="minorHAnsi"/>
          <w:color w:val="000000"/>
        </w:rPr>
        <w:t xml:space="preserve">. </w:t>
      </w:r>
      <w:r w:rsidRPr="005553DF">
        <w:rPr>
          <w:rFonts w:asciiTheme="minorHAnsi" w:hAnsiTheme="minorHAnsi" w:cstheme="minorHAnsi"/>
          <w:color w:val="000000"/>
        </w:rPr>
        <w:t xml:space="preserve"> A data use agreement (DUA) will be prepared, detailing the condition of use of the data and proposed analyses for each outside project. The DUA condition of use will specify that</w:t>
      </w:r>
      <w:r w:rsidR="007F3CEA" w:rsidRPr="005553DF">
        <w:rPr>
          <w:rFonts w:asciiTheme="minorHAnsi" w:hAnsiTheme="minorHAnsi" w:cstheme="minorHAnsi"/>
          <w:color w:val="000000"/>
        </w:rPr>
        <w:t xml:space="preserve"> ATSDR will not release the link between the study IDs and the participants’ PII to the outside researchers.</w:t>
      </w:r>
      <w:r w:rsidR="002F480C" w:rsidRPr="005553DF">
        <w:rPr>
          <w:rFonts w:asciiTheme="minorHAnsi" w:hAnsiTheme="minorHAnsi" w:cstheme="minorHAnsi"/>
          <w:color w:val="000000"/>
        </w:rPr>
        <w:t xml:space="preserve"> The DUA will also specify that:</w:t>
      </w:r>
    </w:p>
    <w:p w14:paraId="5EC4F7BE" w14:textId="77777777" w:rsidR="00BA71A8" w:rsidRPr="005553DF" w:rsidRDefault="00601771" w:rsidP="005553DF">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Our data cannot be merged with public data in such a way that individuals may be identified; </w:t>
      </w:r>
    </w:p>
    <w:p w14:paraId="45611A4D" w14:textId="77777777" w:rsidR="00BA71A8" w:rsidRPr="005553DF" w:rsidRDefault="00601771" w:rsidP="005553DF">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Our data cannot be enhanced with public data sets with identifiable, or potentially identifiable, data; </w:t>
      </w:r>
    </w:p>
    <w:p w14:paraId="393AD37D" w14:textId="77777777" w:rsidR="00BA71A8" w:rsidRPr="005553DF" w:rsidRDefault="00601771" w:rsidP="005553DF">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One of the study investigators listed </w:t>
      </w:r>
      <w:r w:rsidRPr="005553DF">
        <w:rPr>
          <w:rFonts w:asciiTheme="minorHAnsi" w:hAnsiTheme="minorHAnsi" w:cstheme="minorHAnsi"/>
          <w:b/>
          <w:color w:val="000000"/>
        </w:rPr>
        <w:t>in</w:t>
      </w:r>
      <w:r w:rsidRPr="005553DF">
        <w:rPr>
          <w:rFonts w:asciiTheme="minorHAnsi" w:hAnsiTheme="minorHAnsi" w:cstheme="minorHAnsi"/>
          <w:color w:val="000000"/>
        </w:rPr>
        <w:t xml:space="preserve"> </w:t>
      </w:r>
      <w:r w:rsidR="00765DF5" w:rsidRPr="005553DF">
        <w:rPr>
          <w:rFonts w:asciiTheme="minorHAnsi" w:hAnsiTheme="minorHAnsi" w:cstheme="minorHAnsi"/>
          <w:b/>
          <w:color w:val="000000"/>
        </w:rPr>
        <w:t>Attachment</w:t>
      </w:r>
      <w:r w:rsidR="00A30AAF" w:rsidRPr="005553DF">
        <w:rPr>
          <w:rFonts w:asciiTheme="minorHAnsi" w:hAnsiTheme="minorHAnsi" w:cstheme="minorHAnsi"/>
          <w:b/>
          <w:color w:val="000000"/>
        </w:rPr>
        <w:t xml:space="preserve"> 1</w:t>
      </w:r>
      <w:r w:rsidRPr="005553DF">
        <w:rPr>
          <w:rFonts w:asciiTheme="minorHAnsi" w:hAnsiTheme="minorHAnsi" w:cstheme="minorHAnsi"/>
          <w:color w:val="000000"/>
        </w:rPr>
        <w:t xml:space="preserve"> must be a co-investigator on any outside research project to guarantee adherence to the agreed conditions of use; </w:t>
      </w:r>
      <w:r w:rsidR="00BA71A8" w:rsidRPr="005553DF">
        <w:rPr>
          <w:rFonts w:asciiTheme="minorHAnsi" w:hAnsiTheme="minorHAnsi" w:cstheme="minorHAnsi"/>
          <w:color w:val="000000"/>
        </w:rPr>
        <w:t>and</w:t>
      </w:r>
    </w:p>
    <w:p w14:paraId="20D0423F" w14:textId="77777777" w:rsidR="00601771" w:rsidRPr="005553DF" w:rsidRDefault="00601771" w:rsidP="005553DF">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Each data release will be cleared by a specific IRB request to the investigator’s home institution prior to data release.</w:t>
      </w:r>
    </w:p>
    <w:p w14:paraId="708A2A93" w14:textId="77777777" w:rsidR="00601771" w:rsidRPr="005553DF" w:rsidRDefault="0060177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After the approved project with the outside researchers is completed, further or secondary analyses of electronic datasets can only be undertaken with additional approval(s)</w:t>
      </w:r>
      <w:r w:rsidR="006826F8" w:rsidRPr="005553DF">
        <w:rPr>
          <w:rFonts w:asciiTheme="minorHAnsi" w:hAnsiTheme="minorHAnsi" w:cstheme="minorHAnsi"/>
          <w:color w:val="000000"/>
        </w:rPr>
        <w:t xml:space="preserve"> from ATSDR</w:t>
      </w:r>
      <w:r w:rsidRPr="005553DF">
        <w:rPr>
          <w:rFonts w:asciiTheme="minorHAnsi" w:hAnsiTheme="minorHAnsi" w:cstheme="minorHAnsi"/>
          <w:color w:val="000000"/>
        </w:rPr>
        <w:t xml:space="preserve">. Written confirmation of understanding the conditions of use will be required from the lead </w:t>
      </w:r>
      <w:r w:rsidRPr="005553DF">
        <w:rPr>
          <w:rFonts w:asciiTheme="minorHAnsi" w:hAnsiTheme="minorHAnsi" w:cstheme="minorHAnsi"/>
        </w:rPr>
        <w:t>scientist and institution. Copies of statistical code and datasets used in statistical analyses by the outside investigators will be kept by ATSDR.</w:t>
      </w:r>
    </w:p>
    <w:p w14:paraId="7F903260" w14:textId="77777777" w:rsidR="008D6B48" w:rsidRPr="005553DF" w:rsidRDefault="008D6B48" w:rsidP="005553DF">
      <w:pPr>
        <w:pStyle w:val="Heading3"/>
        <w:spacing w:before="100" w:beforeAutospacing="1" w:after="240" w:line="360" w:lineRule="auto"/>
        <w:rPr>
          <w:rFonts w:asciiTheme="minorHAnsi" w:hAnsiTheme="minorHAnsi" w:cstheme="minorHAnsi"/>
          <w:b w:val="0"/>
          <w:i/>
        </w:rPr>
      </w:pPr>
      <w:bookmarkStart w:id="73" w:name="_Toc532224187"/>
      <w:r w:rsidRPr="005553DF">
        <w:rPr>
          <w:rFonts w:asciiTheme="minorHAnsi" w:hAnsiTheme="minorHAnsi" w:cstheme="minorHAnsi"/>
          <w:i/>
          <w:color w:val="auto"/>
        </w:rPr>
        <w:t>3.</w:t>
      </w:r>
      <w:r w:rsidR="00B630A2" w:rsidRPr="005553DF">
        <w:rPr>
          <w:rFonts w:asciiTheme="minorHAnsi" w:eastAsia="Times New Roman" w:hAnsiTheme="minorHAnsi" w:cstheme="minorHAnsi"/>
          <w:i/>
          <w:color w:val="auto"/>
        </w:rPr>
        <w:t>8</w:t>
      </w:r>
      <w:r w:rsidR="00162ADC" w:rsidRPr="005553DF">
        <w:rPr>
          <w:rFonts w:asciiTheme="minorHAnsi" w:eastAsia="Times New Roman" w:hAnsiTheme="minorHAnsi" w:cstheme="minorHAnsi"/>
          <w:i/>
          <w:color w:val="auto"/>
        </w:rPr>
        <w:t>.6</w:t>
      </w:r>
      <w:r w:rsidRPr="005553DF">
        <w:rPr>
          <w:rFonts w:asciiTheme="minorHAnsi" w:hAnsiTheme="minorHAnsi" w:cstheme="minorHAnsi"/>
          <w:i/>
          <w:color w:val="auto"/>
        </w:rPr>
        <w:t xml:space="preserve"> </w:t>
      </w:r>
      <w:r w:rsidR="00601771" w:rsidRPr="005553DF">
        <w:rPr>
          <w:rFonts w:asciiTheme="minorHAnsi" w:hAnsiTheme="minorHAnsi" w:cstheme="minorHAnsi"/>
          <w:i/>
          <w:color w:val="auto"/>
        </w:rPr>
        <w:t>Storing</w:t>
      </w:r>
      <w:r w:rsidR="00601771" w:rsidRPr="005553DF">
        <w:rPr>
          <w:rFonts w:asciiTheme="minorHAnsi" w:eastAsia="Times New Roman" w:hAnsiTheme="minorHAnsi" w:cstheme="minorHAnsi"/>
          <w:i/>
          <w:color w:val="auto"/>
        </w:rPr>
        <w:t xml:space="preserve"> </w:t>
      </w:r>
      <w:r w:rsidR="00162ADC" w:rsidRPr="005553DF">
        <w:rPr>
          <w:rFonts w:asciiTheme="minorHAnsi" w:eastAsia="Times New Roman" w:hAnsiTheme="minorHAnsi" w:cstheme="minorHAnsi"/>
          <w:i/>
          <w:color w:val="auto"/>
        </w:rPr>
        <w:t>Residual</w:t>
      </w:r>
      <w:r w:rsidR="00162ADC" w:rsidRPr="005553DF">
        <w:rPr>
          <w:rFonts w:asciiTheme="minorHAnsi" w:hAnsiTheme="minorHAnsi" w:cstheme="minorHAnsi"/>
          <w:i/>
          <w:color w:val="auto"/>
        </w:rPr>
        <w:t xml:space="preserve"> </w:t>
      </w:r>
      <w:r w:rsidR="00601771" w:rsidRPr="005553DF">
        <w:rPr>
          <w:rFonts w:asciiTheme="minorHAnsi" w:hAnsiTheme="minorHAnsi" w:cstheme="minorHAnsi"/>
          <w:i/>
          <w:color w:val="auto"/>
        </w:rPr>
        <w:t>Blood for Future Use</w:t>
      </w:r>
      <w:bookmarkEnd w:id="73"/>
    </w:p>
    <w:p w14:paraId="59E97925" w14:textId="77777777" w:rsidR="006826F8" w:rsidRPr="005553DF" w:rsidRDefault="00601771" w:rsidP="005553DF">
      <w:pPr>
        <w:spacing w:before="100" w:beforeAutospacing="1" w:after="240" w:line="360" w:lineRule="auto"/>
        <w:jc w:val="both"/>
        <w:rPr>
          <w:rFonts w:asciiTheme="minorHAnsi" w:eastAsia="Times New Roman" w:hAnsiTheme="minorHAnsi" w:cstheme="minorHAnsi"/>
        </w:rPr>
      </w:pPr>
      <w:r w:rsidRPr="005553DF">
        <w:rPr>
          <w:rFonts w:asciiTheme="minorHAnsi" w:hAnsiTheme="minorHAnsi" w:cstheme="minorHAnsi"/>
        </w:rPr>
        <w:t xml:space="preserve">After performing the chemical and clinical tests, there may be some </w:t>
      </w:r>
      <w:r w:rsidR="009F2FB3" w:rsidRPr="005553DF">
        <w:rPr>
          <w:rFonts w:asciiTheme="minorHAnsi" w:hAnsiTheme="minorHAnsi" w:cstheme="minorHAnsi"/>
        </w:rPr>
        <w:t>residual</w:t>
      </w:r>
      <w:r w:rsidRPr="005553DF">
        <w:rPr>
          <w:rFonts w:asciiTheme="minorHAnsi" w:hAnsiTheme="minorHAnsi" w:cstheme="minorHAnsi"/>
        </w:rPr>
        <w:t xml:space="preserve"> blood. </w:t>
      </w:r>
      <w:r w:rsidR="006826F8" w:rsidRPr="005553DF">
        <w:rPr>
          <w:rFonts w:asciiTheme="minorHAnsi" w:hAnsiTheme="minorHAnsi" w:cstheme="minorHAnsi"/>
        </w:rPr>
        <w:t xml:space="preserve">In the consent form, </w:t>
      </w:r>
      <w:r w:rsidR="00BA71A8" w:rsidRPr="005553DF">
        <w:rPr>
          <w:rFonts w:asciiTheme="minorHAnsi" w:hAnsiTheme="minorHAnsi" w:cstheme="minorHAnsi"/>
        </w:rPr>
        <w:t>w</w:t>
      </w:r>
      <w:r w:rsidRPr="005553DF">
        <w:rPr>
          <w:rFonts w:asciiTheme="minorHAnsi" w:hAnsiTheme="minorHAnsi" w:cstheme="minorHAnsi"/>
        </w:rPr>
        <w:t xml:space="preserve">e </w:t>
      </w:r>
      <w:r w:rsidR="00BA71A8" w:rsidRPr="005553DF">
        <w:rPr>
          <w:rFonts w:asciiTheme="minorHAnsi" w:hAnsiTheme="minorHAnsi" w:cstheme="minorHAnsi"/>
        </w:rPr>
        <w:t xml:space="preserve">will </w:t>
      </w:r>
      <w:r w:rsidRPr="005553DF">
        <w:rPr>
          <w:rFonts w:asciiTheme="minorHAnsi" w:hAnsiTheme="minorHAnsi" w:cstheme="minorHAnsi"/>
        </w:rPr>
        <w:t xml:space="preserve">ask </w:t>
      </w:r>
      <w:r w:rsidR="006826F8" w:rsidRPr="005553DF">
        <w:rPr>
          <w:rFonts w:asciiTheme="minorHAnsi" w:hAnsiTheme="minorHAnsi" w:cstheme="minorHAnsi"/>
        </w:rPr>
        <w:t>participant</w:t>
      </w:r>
      <w:r w:rsidRPr="005553DF">
        <w:rPr>
          <w:rFonts w:asciiTheme="minorHAnsi" w:hAnsiTheme="minorHAnsi" w:cstheme="minorHAnsi"/>
        </w:rPr>
        <w:t>’</w:t>
      </w:r>
      <w:r w:rsidR="006826F8" w:rsidRPr="005553DF">
        <w:rPr>
          <w:rFonts w:asciiTheme="minorHAnsi" w:hAnsiTheme="minorHAnsi" w:cstheme="minorHAnsi"/>
        </w:rPr>
        <w:t>s</w:t>
      </w:r>
      <w:r w:rsidRPr="005553DF">
        <w:rPr>
          <w:rFonts w:asciiTheme="minorHAnsi" w:hAnsiTheme="minorHAnsi" w:cstheme="minorHAnsi"/>
        </w:rPr>
        <w:t xml:space="preserve"> permission </w:t>
      </w:r>
      <w:r w:rsidR="006826F8" w:rsidRPr="005553DF">
        <w:rPr>
          <w:rFonts w:asciiTheme="minorHAnsi" w:hAnsiTheme="minorHAnsi" w:cstheme="minorHAnsi"/>
        </w:rPr>
        <w:t xml:space="preserve">to </w:t>
      </w:r>
      <w:r w:rsidRPr="005553DF">
        <w:rPr>
          <w:rFonts w:asciiTheme="minorHAnsi" w:hAnsiTheme="minorHAnsi" w:cstheme="minorHAnsi"/>
        </w:rPr>
        <w:t>save</w:t>
      </w:r>
      <w:r w:rsidRPr="005553DF">
        <w:rPr>
          <w:rFonts w:asciiTheme="minorHAnsi" w:eastAsia="Times New Roman" w:hAnsiTheme="minorHAnsi" w:cstheme="minorHAnsi"/>
        </w:rPr>
        <w:t xml:space="preserve"> this </w:t>
      </w:r>
      <w:r w:rsidR="00612040" w:rsidRPr="005553DF">
        <w:rPr>
          <w:rFonts w:asciiTheme="minorHAnsi" w:eastAsia="Times New Roman" w:hAnsiTheme="minorHAnsi" w:cstheme="minorHAnsi"/>
        </w:rPr>
        <w:t>residual</w:t>
      </w:r>
      <w:r w:rsidRPr="005553DF">
        <w:rPr>
          <w:rFonts w:asciiTheme="minorHAnsi" w:eastAsia="Times New Roman" w:hAnsiTheme="minorHAnsi" w:cstheme="minorHAnsi"/>
        </w:rPr>
        <w:t xml:space="preserve"> blood for </w:t>
      </w:r>
      <w:r w:rsidR="006826F8" w:rsidRPr="005553DF">
        <w:rPr>
          <w:rFonts w:asciiTheme="minorHAnsi" w:eastAsia="Times New Roman" w:hAnsiTheme="minorHAnsi" w:cstheme="minorHAnsi"/>
        </w:rPr>
        <w:t xml:space="preserve">additional </w:t>
      </w:r>
      <w:r w:rsidR="00612040" w:rsidRPr="005553DF">
        <w:rPr>
          <w:rFonts w:asciiTheme="minorHAnsi" w:eastAsia="Times New Roman" w:hAnsiTheme="minorHAnsi" w:cstheme="minorHAnsi"/>
        </w:rPr>
        <w:t xml:space="preserve">future </w:t>
      </w:r>
      <w:r w:rsidR="006826F8" w:rsidRPr="005553DF">
        <w:rPr>
          <w:rFonts w:asciiTheme="minorHAnsi" w:eastAsia="Times New Roman" w:hAnsiTheme="minorHAnsi" w:cstheme="minorHAnsi"/>
        </w:rPr>
        <w:t xml:space="preserve">analyses of PFAS and possibly additional effect biomarkers. </w:t>
      </w:r>
      <w:r w:rsidRPr="005553DF">
        <w:rPr>
          <w:rFonts w:asciiTheme="minorHAnsi" w:eastAsia="Times New Roman" w:hAnsiTheme="minorHAnsi" w:cstheme="minorHAnsi"/>
        </w:rPr>
        <w:t xml:space="preserve">We will only store blood of those </w:t>
      </w:r>
      <w:r w:rsidR="006826F8" w:rsidRPr="005553DF">
        <w:rPr>
          <w:rFonts w:asciiTheme="minorHAnsi" w:eastAsia="Times New Roman" w:hAnsiTheme="minorHAnsi" w:cstheme="minorHAnsi"/>
        </w:rPr>
        <w:t>participants</w:t>
      </w:r>
      <w:r w:rsidRPr="005553DF">
        <w:rPr>
          <w:rFonts w:asciiTheme="minorHAnsi" w:eastAsia="Times New Roman" w:hAnsiTheme="minorHAnsi" w:cstheme="minorHAnsi"/>
        </w:rPr>
        <w:t xml:space="preserve"> who will consent to have their blood </w:t>
      </w:r>
      <w:r w:rsidR="006826F8" w:rsidRPr="005553DF">
        <w:rPr>
          <w:rFonts w:asciiTheme="minorHAnsi" w:eastAsia="Times New Roman" w:hAnsiTheme="minorHAnsi" w:cstheme="minorHAnsi"/>
        </w:rPr>
        <w:t xml:space="preserve">archived for additional PFAS and effect biomarker analyses. </w:t>
      </w:r>
    </w:p>
    <w:p w14:paraId="6CD96C69" w14:textId="77777777" w:rsidR="00601771" w:rsidRPr="005553DF" w:rsidRDefault="00601771" w:rsidP="005553DF">
      <w:pPr>
        <w:spacing w:before="100" w:beforeAutospacing="1" w:after="240" w:line="360" w:lineRule="auto"/>
        <w:jc w:val="both"/>
        <w:rPr>
          <w:rFonts w:asciiTheme="minorHAnsi" w:hAnsiTheme="minorHAnsi" w:cstheme="minorHAnsi"/>
        </w:rPr>
      </w:pPr>
      <w:r w:rsidRPr="005553DF">
        <w:rPr>
          <w:rFonts w:asciiTheme="minorHAnsi" w:eastAsia="Times New Roman" w:hAnsiTheme="minorHAnsi" w:cstheme="minorHAnsi"/>
        </w:rPr>
        <w:t xml:space="preserve">The </w:t>
      </w:r>
      <w:r w:rsidR="00612040" w:rsidRPr="005553DF">
        <w:rPr>
          <w:rFonts w:asciiTheme="minorHAnsi" w:eastAsia="Times New Roman" w:hAnsiTheme="minorHAnsi" w:cstheme="minorHAnsi"/>
        </w:rPr>
        <w:t>residual</w:t>
      </w:r>
      <w:r w:rsidRPr="005553DF">
        <w:rPr>
          <w:rFonts w:asciiTheme="minorHAnsi" w:eastAsia="Times New Roman" w:hAnsiTheme="minorHAnsi" w:cstheme="minorHAnsi"/>
        </w:rPr>
        <w:t xml:space="preserve"> </w:t>
      </w:r>
      <w:r w:rsidR="00A537E4" w:rsidRPr="005553DF">
        <w:rPr>
          <w:rFonts w:asciiTheme="minorHAnsi" w:eastAsia="Times New Roman" w:hAnsiTheme="minorHAnsi" w:cstheme="minorHAnsi"/>
        </w:rPr>
        <w:t>blood specimen</w:t>
      </w:r>
      <w:r w:rsidRPr="005553DF">
        <w:rPr>
          <w:rFonts w:asciiTheme="minorHAnsi" w:eastAsia="Times New Roman" w:hAnsiTheme="minorHAnsi" w:cstheme="minorHAnsi"/>
        </w:rPr>
        <w:t xml:space="preserve">s will be stored </w:t>
      </w:r>
      <w:r w:rsidR="0082483A" w:rsidRPr="005553DF">
        <w:rPr>
          <w:rFonts w:asciiTheme="minorHAnsi" w:eastAsia="Times New Roman" w:hAnsiTheme="minorHAnsi" w:cstheme="minorHAnsi"/>
        </w:rPr>
        <w:t>with</w:t>
      </w:r>
      <w:r w:rsidRPr="005553DF">
        <w:rPr>
          <w:rFonts w:asciiTheme="minorHAnsi" w:eastAsia="Times New Roman" w:hAnsiTheme="minorHAnsi" w:cstheme="minorHAnsi"/>
        </w:rPr>
        <w:t xml:space="preserve"> the study</w:t>
      </w:r>
      <w:r w:rsidR="0082483A" w:rsidRPr="005553DF">
        <w:rPr>
          <w:rFonts w:asciiTheme="minorHAnsi" w:eastAsia="Times New Roman" w:hAnsiTheme="minorHAnsi" w:cstheme="minorHAnsi"/>
        </w:rPr>
        <w:t>-generated ID</w:t>
      </w:r>
      <w:r w:rsidRPr="005553DF">
        <w:rPr>
          <w:rFonts w:asciiTheme="minorHAnsi" w:eastAsia="Times New Roman" w:hAnsiTheme="minorHAnsi" w:cstheme="minorHAnsi"/>
        </w:rPr>
        <w:t xml:space="preserve"> only. ATSDR will keep a separate dataset that can link the study </w:t>
      </w:r>
      <w:r w:rsidR="0082483A" w:rsidRPr="005553DF">
        <w:rPr>
          <w:rFonts w:asciiTheme="minorHAnsi" w:eastAsia="Times New Roman" w:hAnsiTheme="minorHAnsi" w:cstheme="minorHAnsi"/>
        </w:rPr>
        <w:t>ID</w:t>
      </w:r>
      <w:r w:rsidRPr="005553DF">
        <w:rPr>
          <w:rFonts w:asciiTheme="minorHAnsi" w:eastAsia="Times New Roman" w:hAnsiTheme="minorHAnsi" w:cstheme="minorHAnsi"/>
        </w:rPr>
        <w:t xml:space="preserve"> with the </w:t>
      </w:r>
      <w:r w:rsidR="0082483A" w:rsidRPr="005553DF">
        <w:rPr>
          <w:rFonts w:asciiTheme="minorHAnsi" w:eastAsia="Times New Roman" w:hAnsiTheme="minorHAnsi" w:cstheme="minorHAnsi"/>
        </w:rPr>
        <w:t>participant</w:t>
      </w:r>
      <w:r w:rsidRPr="005553DF">
        <w:rPr>
          <w:rFonts w:asciiTheme="minorHAnsi" w:eastAsia="Times New Roman" w:hAnsiTheme="minorHAnsi" w:cstheme="minorHAnsi"/>
        </w:rPr>
        <w:t xml:space="preserve">’s name. If </w:t>
      </w:r>
      <w:r w:rsidR="0082483A" w:rsidRPr="005553DF">
        <w:rPr>
          <w:rFonts w:asciiTheme="minorHAnsi" w:eastAsia="Times New Roman" w:hAnsiTheme="minorHAnsi" w:cstheme="minorHAnsi"/>
        </w:rPr>
        <w:t>participants</w:t>
      </w:r>
      <w:r w:rsidRPr="005553DF">
        <w:rPr>
          <w:rFonts w:asciiTheme="minorHAnsi" w:eastAsia="Times New Roman" w:hAnsiTheme="minorHAnsi" w:cstheme="minorHAnsi"/>
        </w:rPr>
        <w:t xml:space="preserve"> change</w:t>
      </w:r>
      <w:r w:rsidR="0082483A" w:rsidRPr="005553DF">
        <w:rPr>
          <w:rFonts w:asciiTheme="minorHAnsi" w:eastAsia="Times New Roman" w:hAnsiTheme="minorHAnsi" w:cstheme="minorHAnsi"/>
        </w:rPr>
        <w:t xml:space="preserve"> their</w:t>
      </w:r>
      <w:r w:rsidRPr="005553DF">
        <w:rPr>
          <w:rFonts w:asciiTheme="minorHAnsi" w:eastAsia="Times New Roman" w:hAnsiTheme="minorHAnsi" w:cstheme="minorHAnsi"/>
        </w:rPr>
        <w:t xml:space="preserve"> mind</w:t>
      </w:r>
      <w:r w:rsidR="0082483A" w:rsidRPr="005553DF">
        <w:rPr>
          <w:rFonts w:asciiTheme="minorHAnsi" w:eastAsia="Times New Roman" w:hAnsiTheme="minorHAnsi" w:cstheme="minorHAnsi"/>
        </w:rPr>
        <w:t>s</w:t>
      </w:r>
      <w:r w:rsidRPr="005553DF">
        <w:rPr>
          <w:rFonts w:asciiTheme="minorHAnsi" w:eastAsia="Times New Roman" w:hAnsiTheme="minorHAnsi" w:cstheme="minorHAnsi"/>
        </w:rPr>
        <w:t xml:space="preserve"> later about letting their blood used for</w:t>
      </w:r>
      <w:r w:rsidR="0082483A" w:rsidRPr="005553DF">
        <w:rPr>
          <w:rFonts w:asciiTheme="minorHAnsi" w:eastAsia="Times New Roman" w:hAnsiTheme="minorHAnsi" w:cstheme="minorHAnsi"/>
        </w:rPr>
        <w:t xml:space="preserve"> additional analyses, </w:t>
      </w:r>
      <w:r w:rsidRPr="005553DF">
        <w:rPr>
          <w:rFonts w:asciiTheme="minorHAnsi" w:eastAsia="Times New Roman" w:hAnsiTheme="minorHAnsi" w:cstheme="minorHAnsi"/>
        </w:rPr>
        <w:t xml:space="preserve">they can contact ATSDR and we will remove their </w:t>
      </w:r>
      <w:r w:rsidR="00A537E4" w:rsidRPr="005553DF">
        <w:rPr>
          <w:rFonts w:asciiTheme="minorHAnsi" w:eastAsia="Times New Roman" w:hAnsiTheme="minorHAnsi" w:cstheme="minorHAnsi"/>
        </w:rPr>
        <w:t>specimen</w:t>
      </w:r>
      <w:r w:rsidRPr="005553DF">
        <w:rPr>
          <w:rFonts w:asciiTheme="minorHAnsi" w:eastAsia="Times New Roman" w:hAnsiTheme="minorHAnsi" w:cstheme="minorHAnsi"/>
        </w:rPr>
        <w:t xml:space="preserve">s. We do not plan to provide </w:t>
      </w:r>
      <w:r w:rsidR="0082483A" w:rsidRPr="005553DF">
        <w:rPr>
          <w:rFonts w:asciiTheme="minorHAnsi" w:eastAsia="Times New Roman" w:hAnsiTheme="minorHAnsi" w:cstheme="minorHAnsi"/>
        </w:rPr>
        <w:t>participants</w:t>
      </w:r>
      <w:r w:rsidRPr="005553DF">
        <w:rPr>
          <w:rFonts w:asciiTheme="minorHAnsi" w:eastAsia="Times New Roman" w:hAnsiTheme="minorHAnsi" w:cstheme="minorHAnsi"/>
        </w:rPr>
        <w:t xml:space="preserve"> the results of these future tests, but we may contact them if we learn something that is important.</w:t>
      </w:r>
      <w:r w:rsidRPr="005553DF">
        <w:rPr>
          <w:rFonts w:asciiTheme="minorHAnsi" w:eastAsia="Times New Roman" w:hAnsiTheme="minorHAnsi" w:cstheme="minorHAnsi"/>
          <w:i/>
        </w:rPr>
        <w:t xml:space="preserve">  </w:t>
      </w:r>
    </w:p>
    <w:p w14:paraId="6C20EE87" w14:textId="77777777" w:rsidR="00601771" w:rsidRPr="005553DF" w:rsidRDefault="008E3DC5" w:rsidP="005553DF">
      <w:pPr>
        <w:tabs>
          <w:tab w:val="left" w:pos="540"/>
        </w:tabs>
        <w:autoSpaceDE w:val="0"/>
        <w:autoSpaceDN w:val="0"/>
        <w:adjustRightInd w:val="0"/>
        <w:spacing w:before="100" w:beforeAutospacing="1" w:after="240" w:line="360" w:lineRule="auto"/>
        <w:jc w:val="both"/>
        <w:rPr>
          <w:rFonts w:asciiTheme="minorHAnsi" w:hAnsiTheme="minorHAnsi" w:cstheme="minorHAnsi"/>
          <w:b/>
          <w:bCs/>
          <w:i/>
          <w:iCs/>
          <w:color w:val="000000"/>
        </w:rPr>
      </w:pPr>
      <w:r w:rsidRPr="005553DF">
        <w:rPr>
          <w:rFonts w:asciiTheme="minorHAnsi" w:hAnsiTheme="minorHAnsi" w:cstheme="minorHAnsi"/>
          <w:b/>
          <w:bCs/>
          <w:i/>
          <w:iCs/>
          <w:color w:val="000000"/>
        </w:rPr>
        <w:t>3.</w:t>
      </w:r>
      <w:r w:rsidR="00B630A2" w:rsidRPr="005553DF">
        <w:rPr>
          <w:rFonts w:asciiTheme="minorHAnsi" w:hAnsiTheme="minorHAnsi" w:cstheme="minorHAnsi"/>
          <w:b/>
          <w:bCs/>
          <w:i/>
          <w:iCs/>
          <w:color w:val="000000"/>
        </w:rPr>
        <w:t>8</w:t>
      </w:r>
      <w:r w:rsidR="005C1F7F" w:rsidRPr="005553DF">
        <w:rPr>
          <w:rFonts w:asciiTheme="minorHAnsi" w:hAnsiTheme="minorHAnsi" w:cstheme="minorHAnsi"/>
          <w:b/>
          <w:bCs/>
          <w:i/>
          <w:iCs/>
          <w:color w:val="000000"/>
        </w:rPr>
        <w:t>.7</w:t>
      </w:r>
      <w:r w:rsidRPr="005553DF">
        <w:rPr>
          <w:rFonts w:asciiTheme="minorHAnsi" w:hAnsiTheme="minorHAnsi" w:cstheme="minorHAnsi"/>
          <w:b/>
          <w:bCs/>
          <w:i/>
          <w:iCs/>
          <w:color w:val="000000"/>
        </w:rPr>
        <w:t xml:space="preserve"> </w:t>
      </w:r>
      <w:r w:rsidR="005C1F7F" w:rsidRPr="005553DF">
        <w:rPr>
          <w:rFonts w:asciiTheme="minorHAnsi" w:hAnsiTheme="minorHAnsi" w:cstheme="minorHAnsi"/>
          <w:b/>
          <w:bCs/>
          <w:i/>
          <w:iCs/>
          <w:color w:val="000000"/>
        </w:rPr>
        <w:t>Future Exploratory A</w:t>
      </w:r>
      <w:r w:rsidR="009D34A5" w:rsidRPr="005553DF">
        <w:rPr>
          <w:rFonts w:asciiTheme="minorHAnsi" w:hAnsiTheme="minorHAnsi" w:cstheme="minorHAnsi"/>
          <w:b/>
          <w:bCs/>
          <w:i/>
          <w:iCs/>
          <w:color w:val="000000"/>
        </w:rPr>
        <w:t>nalyses</w:t>
      </w:r>
    </w:p>
    <w:p w14:paraId="466BB0F2" w14:textId="77777777" w:rsidR="008E3DC5" w:rsidRPr="005553DF" w:rsidRDefault="009D34A5" w:rsidP="005553DF">
      <w:pPr>
        <w:spacing w:before="100" w:beforeAutospacing="1" w:after="240" w:line="360" w:lineRule="auto"/>
        <w:jc w:val="both"/>
        <w:rPr>
          <w:rFonts w:asciiTheme="minorHAnsi" w:hAnsiTheme="minorHAnsi" w:cstheme="minorHAnsi"/>
          <w:color w:val="000000"/>
        </w:rPr>
      </w:pPr>
      <w:r w:rsidRPr="005553DF">
        <w:rPr>
          <w:rFonts w:asciiTheme="minorHAnsi" w:eastAsia="Times New Roman" w:hAnsiTheme="minorHAnsi" w:cstheme="minorHAnsi"/>
        </w:rPr>
        <w:t>CDC IRB approval will be sought for this additional research either as a protocol amendment or under a new research protocol</w:t>
      </w:r>
      <w:r w:rsidR="002E3F13" w:rsidRPr="005553DF">
        <w:rPr>
          <w:rFonts w:asciiTheme="minorHAnsi" w:eastAsia="Times New Roman" w:hAnsiTheme="minorHAnsi" w:cstheme="minorHAnsi"/>
        </w:rPr>
        <w:t xml:space="preserve"> prior to undertaking this plan</w:t>
      </w:r>
      <w:r w:rsidRPr="005553DF">
        <w:rPr>
          <w:rFonts w:asciiTheme="minorHAnsi" w:eastAsia="Times New Roman" w:hAnsiTheme="minorHAnsi" w:cstheme="minorHAnsi"/>
        </w:rPr>
        <w:t>.</w:t>
      </w:r>
    </w:p>
    <w:p w14:paraId="2C701027" w14:textId="77777777" w:rsidR="004E24E4" w:rsidRPr="005553DF" w:rsidRDefault="003F0141" w:rsidP="005553DF">
      <w:pPr>
        <w:pStyle w:val="Heading2"/>
        <w:spacing w:before="100" w:beforeAutospacing="1" w:after="240" w:line="360" w:lineRule="auto"/>
        <w:rPr>
          <w:rFonts w:asciiTheme="minorHAnsi" w:hAnsiTheme="minorHAnsi" w:cstheme="minorHAnsi"/>
          <w:b w:val="0"/>
          <w:i w:val="0"/>
          <w:sz w:val="22"/>
          <w:szCs w:val="22"/>
        </w:rPr>
      </w:pPr>
      <w:bookmarkStart w:id="74" w:name="_Toc532224188"/>
      <w:r w:rsidRPr="005553DF">
        <w:rPr>
          <w:rFonts w:asciiTheme="minorHAnsi" w:hAnsiTheme="minorHAnsi" w:cstheme="minorHAnsi"/>
          <w:i w:val="0"/>
          <w:sz w:val="22"/>
          <w:szCs w:val="22"/>
        </w:rPr>
        <w:t>3.</w:t>
      </w:r>
      <w:r w:rsidR="00B630A2" w:rsidRPr="005553DF">
        <w:rPr>
          <w:rFonts w:asciiTheme="minorHAnsi" w:hAnsiTheme="minorHAnsi" w:cstheme="minorHAnsi"/>
          <w:i w:val="0"/>
          <w:sz w:val="22"/>
          <w:szCs w:val="22"/>
        </w:rPr>
        <w:t>9</w:t>
      </w:r>
      <w:r w:rsidR="00D21FD0" w:rsidRPr="005553DF">
        <w:rPr>
          <w:rFonts w:asciiTheme="minorHAnsi" w:hAnsiTheme="minorHAnsi" w:cstheme="minorHAnsi"/>
          <w:i w:val="0"/>
          <w:sz w:val="22"/>
          <w:szCs w:val="22"/>
        </w:rPr>
        <w:t xml:space="preserve"> </w:t>
      </w:r>
      <w:r w:rsidR="00B761F8" w:rsidRPr="005553DF">
        <w:rPr>
          <w:rFonts w:asciiTheme="minorHAnsi" w:hAnsiTheme="minorHAnsi" w:cstheme="minorHAnsi"/>
          <w:i w:val="0"/>
          <w:sz w:val="22"/>
          <w:szCs w:val="22"/>
        </w:rPr>
        <w:t>E</w:t>
      </w:r>
      <w:r w:rsidR="00200ADB" w:rsidRPr="005553DF">
        <w:rPr>
          <w:rFonts w:asciiTheme="minorHAnsi" w:hAnsiTheme="minorHAnsi" w:cstheme="minorHAnsi"/>
          <w:i w:val="0"/>
          <w:sz w:val="22"/>
          <w:szCs w:val="22"/>
        </w:rPr>
        <w:t>xposure Estimation</w:t>
      </w:r>
      <w:bookmarkEnd w:id="74"/>
    </w:p>
    <w:p w14:paraId="622872A5" w14:textId="6036C79D" w:rsidR="00511C66" w:rsidRPr="005553DF" w:rsidRDefault="00874728"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color w:val="000000"/>
        </w:rPr>
        <w:t xml:space="preserve">The study will use the </w:t>
      </w:r>
      <w:r w:rsidR="00612040" w:rsidRPr="005553DF">
        <w:rPr>
          <w:rFonts w:asciiTheme="minorHAnsi" w:hAnsiTheme="minorHAnsi" w:cstheme="minorHAnsi"/>
          <w:color w:val="000000"/>
        </w:rPr>
        <w:t xml:space="preserve">fasting </w:t>
      </w:r>
      <w:r w:rsidRPr="005553DF">
        <w:rPr>
          <w:rFonts w:asciiTheme="minorHAnsi" w:hAnsiTheme="minorHAnsi" w:cstheme="minorHAnsi"/>
          <w:color w:val="000000"/>
        </w:rPr>
        <w:t>serum PFAS measurements obtained from</w:t>
      </w:r>
      <w:r w:rsidRPr="005553DF">
        <w:rPr>
          <w:rFonts w:asciiTheme="minorHAnsi" w:hAnsiTheme="minorHAnsi" w:cstheme="minorHAnsi"/>
          <w:bCs/>
          <w:iCs/>
          <w:color w:val="000000"/>
        </w:rPr>
        <w:t xml:space="preserve"> study participants to estimate exposures</w:t>
      </w:r>
      <w:r w:rsidR="008D1A04"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In addition, the study </w:t>
      </w:r>
      <w:r w:rsidR="00B86B2C" w:rsidRPr="005553DF">
        <w:rPr>
          <w:rFonts w:asciiTheme="minorHAnsi" w:hAnsiTheme="minorHAnsi" w:cstheme="minorHAnsi"/>
          <w:bCs/>
          <w:iCs/>
          <w:color w:val="000000"/>
        </w:rPr>
        <w:t>will estimate each participant’s cumulative PFAS serum level, using</w:t>
      </w:r>
      <w:r w:rsidR="00511C66" w:rsidRPr="005553DF">
        <w:rPr>
          <w:rFonts w:asciiTheme="minorHAnsi" w:hAnsiTheme="minorHAnsi" w:cstheme="minorHAnsi"/>
          <w:bCs/>
          <w:iCs/>
          <w:color w:val="000000"/>
        </w:rPr>
        <w:t>:</w:t>
      </w:r>
      <w:r w:rsidR="00B86B2C" w:rsidRPr="005553DF">
        <w:rPr>
          <w:rFonts w:asciiTheme="minorHAnsi" w:hAnsiTheme="minorHAnsi" w:cstheme="minorHAnsi"/>
          <w:bCs/>
          <w:iCs/>
          <w:color w:val="000000"/>
        </w:rPr>
        <w:t xml:space="preserve"> </w:t>
      </w:r>
    </w:p>
    <w:p w14:paraId="44C312E9" w14:textId="77777777" w:rsidR="00511C66" w:rsidRPr="005553DF" w:rsidRDefault="00B86B2C"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PFAS serum measurement</w:t>
      </w:r>
      <w:r w:rsidR="00511C66" w:rsidRPr="005553DF">
        <w:rPr>
          <w:rFonts w:asciiTheme="minorHAnsi" w:hAnsiTheme="minorHAnsi" w:cstheme="minorHAnsi"/>
          <w:bCs/>
          <w:iCs/>
          <w:color w:val="000000"/>
        </w:rPr>
        <w:t xml:space="preserve">s obtained in the </w:t>
      </w:r>
      <w:r w:rsidR="00EA3383" w:rsidRPr="005553DF">
        <w:rPr>
          <w:rFonts w:asciiTheme="minorHAnsi" w:hAnsiTheme="minorHAnsi" w:cstheme="minorHAnsi"/>
          <w:bCs/>
          <w:iCs/>
          <w:color w:val="000000"/>
        </w:rPr>
        <w:t>study</w:t>
      </w:r>
      <w:r w:rsidRPr="005553DF">
        <w:rPr>
          <w:rFonts w:asciiTheme="minorHAnsi" w:hAnsiTheme="minorHAnsi" w:cstheme="minorHAnsi"/>
          <w:bCs/>
          <w:iCs/>
          <w:color w:val="000000"/>
        </w:rPr>
        <w:t>,</w:t>
      </w:r>
      <w:r w:rsidR="00511C66" w:rsidRPr="005553DF">
        <w:rPr>
          <w:rFonts w:asciiTheme="minorHAnsi" w:hAnsiTheme="minorHAnsi" w:cstheme="minorHAnsi"/>
          <w:bCs/>
          <w:iCs/>
          <w:color w:val="000000"/>
        </w:rPr>
        <w:t xml:space="preserve"> </w:t>
      </w:r>
    </w:p>
    <w:p w14:paraId="0AB94EDD"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PFAS serum measurements from the Pease biomonitoring program, </w:t>
      </w:r>
    </w:p>
    <w:p w14:paraId="02131C14"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H</w:t>
      </w:r>
      <w:r w:rsidR="00B86B2C" w:rsidRPr="005553DF">
        <w:rPr>
          <w:rFonts w:asciiTheme="minorHAnsi" w:hAnsiTheme="minorHAnsi" w:cstheme="minorHAnsi"/>
          <w:bCs/>
          <w:iCs/>
          <w:color w:val="000000"/>
        </w:rPr>
        <w:t xml:space="preserve">istorical reconstruction of PFAS concentrations </w:t>
      </w:r>
      <w:r w:rsidR="00B405F0" w:rsidRPr="005553DF">
        <w:rPr>
          <w:rFonts w:asciiTheme="minorHAnsi" w:hAnsiTheme="minorHAnsi" w:cstheme="minorHAnsi"/>
          <w:bCs/>
          <w:iCs/>
          <w:color w:val="000000"/>
        </w:rPr>
        <w:t xml:space="preserve">in the drinking water consumed by the participant, </w:t>
      </w:r>
    </w:p>
    <w:p w14:paraId="3228C9B0"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Q</w:t>
      </w:r>
      <w:r w:rsidR="00B405F0" w:rsidRPr="005553DF">
        <w:rPr>
          <w:rFonts w:asciiTheme="minorHAnsi" w:hAnsiTheme="minorHAnsi" w:cstheme="minorHAnsi"/>
          <w:bCs/>
          <w:iCs/>
          <w:color w:val="000000"/>
        </w:rPr>
        <w:t>uestionnaire data on the participant’s consumption of PFAS-contaminated drinking water</w:t>
      </w:r>
      <w:r w:rsidRPr="005553DF">
        <w:rPr>
          <w:rFonts w:asciiTheme="minorHAnsi" w:hAnsiTheme="minorHAnsi" w:cstheme="minorHAnsi"/>
          <w:bCs/>
          <w:iCs/>
          <w:color w:val="000000"/>
        </w:rPr>
        <w:t xml:space="preserve"> and factors that might affect PFAS serum levels</w:t>
      </w:r>
      <w:r w:rsidR="00B405F0"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61CE3509"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Age-, sex-, and calendar year-specific “background” PFAS serum levels from NHANES,</w:t>
      </w:r>
      <w:r w:rsidR="00B405F0" w:rsidRPr="005553DF">
        <w:rPr>
          <w:rFonts w:asciiTheme="minorHAnsi" w:hAnsiTheme="minorHAnsi" w:cstheme="minorHAnsi"/>
          <w:bCs/>
          <w:iCs/>
          <w:color w:val="000000"/>
        </w:rPr>
        <w:t xml:space="preserve"> and</w:t>
      </w:r>
    </w:p>
    <w:p w14:paraId="3ED591C8"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w:t>
      </w:r>
      <w:r w:rsidR="00B405F0" w:rsidRPr="005553DF">
        <w:rPr>
          <w:rFonts w:asciiTheme="minorHAnsi" w:hAnsiTheme="minorHAnsi" w:cstheme="minorHAnsi"/>
          <w:bCs/>
          <w:iCs/>
          <w:color w:val="000000"/>
        </w:rPr>
        <w:t xml:space="preserve">hysiologically based pharmacokinetic (PBPK) models. </w:t>
      </w:r>
      <w:r w:rsidR="001E671C" w:rsidRPr="005553DF">
        <w:rPr>
          <w:rFonts w:asciiTheme="minorHAnsi" w:hAnsiTheme="minorHAnsi" w:cstheme="minorHAnsi"/>
          <w:bCs/>
          <w:iCs/>
          <w:color w:val="000000"/>
        </w:rPr>
        <w:t xml:space="preserve"> </w:t>
      </w:r>
    </w:p>
    <w:p w14:paraId="224674A2" w14:textId="77777777" w:rsidR="00A23DB1" w:rsidRPr="005553DF" w:rsidRDefault="001E671C"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C8 studies used PBPK modeling to estimate cumulative serum levels of PFOA and PFOS (Shin 2011). The model incorporated information from the historical reconstruction of PFAS concentrations in the drinking water serving the C8 areas, questionnaire data on each participant’s water consumption, and the serum levels of PFOA and PFOS obtained from study participants. A recent effort to reconstruct historical </w:t>
      </w:r>
      <w:r w:rsidR="00E729C7" w:rsidRPr="005553DF">
        <w:rPr>
          <w:rFonts w:asciiTheme="minorHAnsi" w:hAnsiTheme="minorHAnsi" w:cstheme="minorHAnsi"/>
          <w:bCs/>
          <w:iCs/>
          <w:color w:val="000000"/>
        </w:rPr>
        <w:t xml:space="preserve">exposures </w:t>
      </w:r>
      <w:r w:rsidR="002E6A02" w:rsidRPr="005553DF">
        <w:rPr>
          <w:rFonts w:asciiTheme="minorHAnsi" w:hAnsiTheme="minorHAnsi" w:cstheme="minorHAnsi"/>
          <w:bCs/>
          <w:iCs/>
          <w:color w:val="000000"/>
        </w:rPr>
        <w:t>worked well for PFOA and PFOS; the mode</w:t>
      </w:r>
      <w:r w:rsidR="00E729C7" w:rsidRPr="005553DF">
        <w:rPr>
          <w:rFonts w:asciiTheme="minorHAnsi" w:hAnsiTheme="minorHAnsi" w:cstheme="minorHAnsi"/>
          <w:bCs/>
          <w:iCs/>
          <w:color w:val="000000"/>
        </w:rPr>
        <w:t>l</w:t>
      </w:r>
      <w:r w:rsidR="002E6A02" w:rsidRPr="005553DF">
        <w:rPr>
          <w:rFonts w:asciiTheme="minorHAnsi" w:hAnsiTheme="minorHAnsi" w:cstheme="minorHAnsi"/>
          <w:bCs/>
          <w:iCs/>
          <w:color w:val="000000"/>
        </w:rPr>
        <w:t xml:space="preserve"> for</w:t>
      </w:r>
      <w:r w:rsidR="009B3567"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PFHxS serum levels using biomonitoring data in the US and Australia was not successful (Gomis 2017)</w:t>
      </w:r>
      <w:r w:rsidR="002E6A02" w:rsidRPr="005553DF">
        <w:rPr>
          <w:rFonts w:asciiTheme="minorHAnsi" w:hAnsiTheme="minorHAnsi" w:cstheme="minorHAnsi"/>
          <w:bCs/>
          <w:iCs/>
          <w:color w:val="000000"/>
        </w:rPr>
        <w:t>. L</w:t>
      </w:r>
      <w:r w:rsidR="009B3567" w:rsidRPr="005553DF">
        <w:rPr>
          <w:rFonts w:asciiTheme="minorHAnsi" w:hAnsiTheme="minorHAnsi" w:cstheme="minorHAnsi"/>
          <w:bCs/>
          <w:iCs/>
          <w:color w:val="000000"/>
        </w:rPr>
        <w:t>ow environmental concentration</w:t>
      </w:r>
      <w:r w:rsidR="001B6581" w:rsidRPr="005553DF">
        <w:rPr>
          <w:rFonts w:asciiTheme="minorHAnsi" w:hAnsiTheme="minorHAnsi" w:cstheme="minorHAnsi"/>
          <w:bCs/>
          <w:iCs/>
          <w:color w:val="000000"/>
        </w:rPr>
        <w:t>s</w:t>
      </w:r>
      <w:r w:rsidR="009B3567" w:rsidRPr="005553DF">
        <w:rPr>
          <w:rFonts w:asciiTheme="minorHAnsi" w:hAnsiTheme="minorHAnsi" w:cstheme="minorHAnsi"/>
          <w:bCs/>
          <w:iCs/>
          <w:color w:val="000000"/>
        </w:rPr>
        <w:t>, lack of decline in older population, possible</w:t>
      </w:r>
      <w:r w:rsidR="000D1CE0" w:rsidRPr="005553DF">
        <w:rPr>
          <w:rFonts w:asciiTheme="minorHAnsi" w:hAnsiTheme="minorHAnsi" w:cstheme="minorHAnsi"/>
          <w:bCs/>
          <w:iCs/>
          <w:color w:val="000000"/>
        </w:rPr>
        <w:t xml:space="preserve"> ongoing exposure</w:t>
      </w:r>
      <w:r w:rsidR="009B3567" w:rsidRPr="005553DF">
        <w:rPr>
          <w:rFonts w:asciiTheme="minorHAnsi" w:hAnsiTheme="minorHAnsi" w:cstheme="minorHAnsi"/>
          <w:bCs/>
          <w:iCs/>
          <w:color w:val="000000"/>
        </w:rPr>
        <w:t xml:space="preserve"> in children/younger adults</w:t>
      </w:r>
      <w:r w:rsidR="000D1CE0" w:rsidRPr="005553DF">
        <w:rPr>
          <w:rFonts w:asciiTheme="minorHAnsi" w:hAnsiTheme="minorHAnsi" w:cstheme="minorHAnsi"/>
          <w:bCs/>
          <w:iCs/>
          <w:color w:val="000000"/>
        </w:rPr>
        <w:t xml:space="preserve">, and </w:t>
      </w:r>
      <w:r w:rsidR="009B3567" w:rsidRPr="005553DF">
        <w:rPr>
          <w:rFonts w:asciiTheme="minorHAnsi" w:hAnsiTheme="minorHAnsi" w:cstheme="minorHAnsi"/>
          <w:bCs/>
          <w:iCs/>
          <w:color w:val="000000"/>
        </w:rPr>
        <w:t>scarcity of time-trend data in consumer products were cited as reason for poor prediction characteristics of PFHxS models</w:t>
      </w:r>
      <w:r w:rsidR="002E6A02" w:rsidRPr="005553DF">
        <w:rPr>
          <w:rFonts w:asciiTheme="minorHAnsi" w:hAnsiTheme="minorHAnsi" w:cstheme="minorHAnsi"/>
          <w:bCs/>
          <w:iCs/>
          <w:color w:val="000000"/>
        </w:rPr>
        <w:t xml:space="preserve"> (Gomis 2017)</w:t>
      </w:r>
      <w:r w:rsidRPr="005553DF">
        <w:rPr>
          <w:rFonts w:asciiTheme="minorHAnsi" w:hAnsiTheme="minorHAnsi" w:cstheme="minorHAnsi"/>
          <w:bCs/>
          <w:iCs/>
          <w:color w:val="000000"/>
        </w:rPr>
        <w:t>.  However, if there are high correlations in serum levels between PFHxS and PFOS and/or PFOA, then it may be possible to estimate cumulative PFHxS serum levels based on the historical estimates for serum PFOS and/or PFOA.</w:t>
      </w:r>
    </w:p>
    <w:p w14:paraId="03F52F91" w14:textId="77777777" w:rsidR="001B6581" w:rsidRPr="005553DF" w:rsidRDefault="00147ECB"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Recently, an online serum PFOA calculator for adults became available using a modified one-compartment exponential decay model to estimate PFOA serum levels from PFOA concentrations in drinking water (Bartell 2017).  Developing a similar calculation for serum PFOS is possible.  The studies of children and adults will explore this approach to estimate serum PFOA, PFOS, PFHxS and PFNA levels and </w:t>
      </w:r>
      <w:r w:rsidR="003173B5" w:rsidRPr="005553DF">
        <w:rPr>
          <w:rFonts w:asciiTheme="minorHAnsi" w:hAnsiTheme="minorHAnsi" w:cstheme="minorHAnsi"/>
          <w:bCs/>
          <w:iCs/>
          <w:color w:val="000000"/>
        </w:rPr>
        <w:t>make comparisons</w:t>
      </w:r>
      <w:r w:rsidRPr="005553DF">
        <w:rPr>
          <w:rFonts w:asciiTheme="minorHAnsi" w:hAnsiTheme="minorHAnsi" w:cstheme="minorHAnsi"/>
          <w:bCs/>
          <w:iCs/>
          <w:color w:val="000000"/>
        </w:rPr>
        <w:t xml:space="preserve"> with serum levels from the </w:t>
      </w:r>
      <w:r w:rsidR="00A537E4" w:rsidRPr="005553DF">
        <w:rPr>
          <w:rFonts w:asciiTheme="minorHAnsi" w:hAnsiTheme="minorHAnsi" w:cstheme="minorHAnsi"/>
          <w:bCs/>
          <w:iCs/>
          <w:color w:val="000000"/>
        </w:rPr>
        <w:t>blood specimen</w:t>
      </w:r>
      <w:r w:rsidRPr="005553DF">
        <w:rPr>
          <w:rFonts w:asciiTheme="minorHAnsi" w:hAnsiTheme="minorHAnsi" w:cstheme="minorHAnsi"/>
          <w:bCs/>
          <w:iCs/>
          <w:color w:val="000000"/>
        </w:rPr>
        <w:t>s as well as the results of the Pease biomonitoring program.</w:t>
      </w:r>
      <w:r w:rsidR="00D56CE0" w:rsidRPr="005553DF">
        <w:rPr>
          <w:rFonts w:asciiTheme="minorHAnsi" w:hAnsiTheme="minorHAnsi" w:cstheme="minorHAnsi"/>
          <w:bCs/>
          <w:iCs/>
          <w:color w:val="000000"/>
        </w:rPr>
        <w:t xml:space="preserve"> </w:t>
      </w:r>
      <w:r w:rsidR="001B6581" w:rsidRPr="005553DF">
        <w:rPr>
          <w:rFonts w:asciiTheme="minorHAnsi" w:hAnsiTheme="minorHAnsi" w:cstheme="minorHAnsi"/>
          <w:bCs/>
          <w:iCs/>
          <w:color w:val="000000"/>
        </w:rPr>
        <w:t xml:space="preserve">We propose to use a one-compartment PBPK model similar to one used by Shin </w:t>
      </w:r>
      <w:r w:rsidR="00D56CE0" w:rsidRPr="005553DF">
        <w:rPr>
          <w:rFonts w:asciiTheme="minorHAnsi" w:hAnsiTheme="minorHAnsi" w:cstheme="minorHAnsi"/>
          <w:bCs/>
          <w:iCs/>
          <w:color w:val="000000"/>
        </w:rPr>
        <w:t>(2011) and Avanasi (</w:t>
      </w:r>
      <w:r w:rsidR="001B6581" w:rsidRPr="005553DF">
        <w:rPr>
          <w:rFonts w:asciiTheme="minorHAnsi" w:hAnsiTheme="minorHAnsi" w:cstheme="minorHAnsi"/>
          <w:bCs/>
          <w:iCs/>
          <w:color w:val="000000"/>
        </w:rPr>
        <w:t>2016</w:t>
      </w:r>
      <w:r w:rsidR="00D56CE0" w:rsidRPr="005553DF">
        <w:rPr>
          <w:rFonts w:asciiTheme="minorHAnsi" w:hAnsiTheme="minorHAnsi" w:cstheme="minorHAnsi"/>
          <w:bCs/>
          <w:iCs/>
          <w:color w:val="000000"/>
        </w:rPr>
        <w:t>)</w:t>
      </w:r>
      <w:r w:rsidR="001B6581" w:rsidRPr="005553DF">
        <w:rPr>
          <w:rFonts w:asciiTheme="minorHAnsi" w:hAnsiTheme="minorHAnsi" w:cstheme="minorHAnsi"/>
          <w:bCs/>
          <w:iCs/>
          <w:color w:val="000000"/>
        </w:rPr>
        <w:t>, and also used as the basis for a recent PFOA serum calculator (Bartel</w:t>
      </w:r>
      <w:r w:rsidR="00BF49EB" w:rsidRPr="005553DF">
        <w:rPr>
          <w:rFonts w:asciiTheme="minorHAnsi" w:hAnsiTheme="minorHAnsi" w:cstheme="minorHAnsi"/>
          <w:bCs/>
          <w:iCs/>
          <w:color w:val="000000"/>
        </w:rPr>
        <w:t>l</w:t>
      </w:r>
      <w:r w:rsidR="001B6581" w:rsidRPr="005553DF">
        <w:rPr>
          <w:rFonts w:asciiTheme="minorHAnsi" w:hAnsiTheme="minorHAnsi" w:cstheme="minorHAnsi"/>
          <w:bCs/>
          <w:iCs/>
          <w:color w:val="000000"/>
        </w:rPr>
        <w:t xml:space="preserve"> SM 2017). </w:t>
      </w:r>
    </w:p>
    <w:p w14:paraId="702E7071" w14:textId="77777777" w:rsidR="001B6581" w:rsidRPr="005553DF" w:rsidRDefault="00B32D48"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n</w:t>
      </w:r>
      <w:r w:rsidR="00917368" w:rsidRPr="005553DF">
        <w:rPr>
          <w:rFonts w:asciiTheme="minorHAnsi" w:hAnsiTheme="minorHAnsi" w:cstheme="minorHAnsi"/>
          <w:bCs/>
          <w:iCs/>
          <w:color w:val="000000"/>
        </w:rPr>
        <w:t xml:space="preserve">umber of </w:t>
      </w:r>
      <w:r w:rsidR="00D56CE0" w:rsidRPr="005553DF">
        <w:rPr>
          <w:rFonts w:asciiTheme="minorHAnsi" w:hAnsiTheme="minorHAnsi" w:cstheme="minorHAnsi"/>
          <w:bCs/>
          <w:iCs/>
          <w:color w:val="000000"/>
        </w:rPr>
        <w:t xml:space="preserve">improvements in PBPK modeling </w:t>
      </w:r>
      <w:r w:rsidR="00917368" w:rsidRPr="005553DF">
        <w:rPr>
          <w:rFonts w:asciiTheme="minorHAnsi" w:hAnsiTheme="minorHAnsi" w:cstheme="minorHAnsi"/>
          <w:bCs/>
          <w:iCs/>
          <w:color w:val="000000"/>
        </w:rPr>
        <w:t>approaches</w:t>
      </w:r>
      <w:r w:rsidR="002E6A02" w:rsidRPr="005553DF">
        <w:rPr>
          <w:rFonts w:asciiTheme="minorHAnsi" w:hAnsiTheme="minorHAnsi" w:cstheme="minorHAnsi"/>
          <w:bCs/>
          <w:iCs/>
          <w:color w:val="000000"/>
        </w:rPr>
        <w:t>,</w:t>
      </w:r>
      <w:r w:rsidR="00D56CE0" w:rsidRPr="005553DF">
        <w:rPr>
          <w:rFonts w:asciiTheme="minorHAnsi" w:hAnsiTheme="minorHAnsi" w:cstheme="minorHAnsi"/>
          <w:bCs/>
          <w:iCs/>
          <w:color w:val="000000"/>
        </w:rPr>
        <w:t xml:space="preserve"> especially as related to multi-compartment models</w:t>
      </w:r>
      <w:r w:rsidR="002E6A02" w:rsidRPr="005553DF">
        <w:rPr>
          <w:rFonts w:asciiTheme="minorHAnsi" w:hAnsiTheme="minorHAnsi" w:cstheme="minorHAnsi"/>
          <w:bCs/>
          <w:iCs/>
          <w:color w:val="000000"/>
        </w:rPr>
        <w:t>,</w:t>
      </w:r>
      <w:r w:rsidR="00917368" w:rsidRPr="005553DF">
        <w:rPr>
          <w:rFonts w:asciiTheme="minorHAnsi" w:hAnsiTheme="minorHAnsi" w:cstheme="minorHAnsi"/>
          <w:bCs/>
          <w:iCs/>
          <w:color w:val="000000"/>
        </w:rPr>
        <w:t xml:space="preserve"> have been developed recently</w:t>
      </w:r>
      <w:r w:rsidR="00D56CE0" w:rsidRPr="005553DF">
        <w:rPr>
          <w:rFonts w:asciiTheme="minorHAnsi" w:hAnsiTheme="minorHAnsi" w:cstheme="minorHAnsi"/>
          <w:bCs/>
          <w:iCs/>
          <w:color w:val="000000"/>
        </w:rPr>
        <w:t xml:space="preserve"> and we will take those into consideration</w:t>
      </w:r>
      <w:r w:rsidR="00917368" w:rsidRPr="005553DF">
        <w:rPr>
          <w:rFonts w:asciiTheme="minorHAnsi" w:hAnsiTheme="minorHAnsi" w:cstheme="minorHAnsi"/>
          <w:bCs/>
          <w:iCs/>
          <w:color w:val="000000"/>
        </w:rPr>
        <w:t xml:space="preserve"> </w:t>
      </w:r>
      <w:r w:rsidR="00A23DB1" w:rsidRPr="005553DF">
        <w:rPr>
          <w:rFonts w:asciiTheme="minorHAnsi" w:hAnsiTheme="minorHAnsi" w:cstheme="minorHAnsi"/>
          <w:bCs/>
          <w:iCs/>
          <w:color w:val="000000"/>
        </w:rPr>
        <w:t>(</w:t>
      </w:r>
      <w:r w:rsidR="00F732EE" w:rsidRPr="005553DF">
        <w:rPr>
          <w:rFonts w:asciiTheme="minorHAnsi" w:hAnsiTheme="minorHAnsi" w:cstheme="minorHAnsi"/>
          <w:bCs/>
          <w:iCs/>
          <w:color w:val="000000"/>
        </w:rPr>
        <w:t>Loccisano 2013</w:t>
      </w:r>
      <w:r w:rsidR="00D56CE0" w:rsidRPr="005553DF">
        <w:rPr>
          <w:rFonts w:asciiTheme="minorHAnsi" w:hAnsiTheme="minorHAnsi" w:cstheme="minorHAnsi"/>
          <w:bCs/>
          <w:iCs/>
          <w:color w:val="000000"/>
        </w:rPr>
        <w:t xml:space="preserve">, </w:t>
      </w:r>
      <w:r w:rsidR="006D6F71" w:rsidRPr="005553DF">
        <w:rPr>
          <w:rFonts w:asciiTheme="minorHAnsi" w:hAnsiTheme="minorHAnsi" w:cstheme="minorHAnsi"/>
          <w:bCs/>
          <w:iCs/>
          <w:color w:val="000000"/>
        </w:rPr>
        <w:t xml:space="preserve">Fabrega 2014, 2016; </w:t>
      </w:r>
      <w:r w:rsidR="00917368" w:rsidRPr="005553DF">
        <w:rPr>
          <w:rFonts w:asciiTheme="minorHAnsi" w:hAnsiTheme="minorHAnsi" w:cstheme="minorHAnsi"/>
          <w:bCs/>
          <w:iCs/>
          <w:color w:val="000000"/>
        </w:rPr>
        <w:t xml:space="preserve">Verner 2015, </w:t>
      </w:r>
      <w:r w:rsidR="009B3567" w:rsidRPr="005553DF">
        <w:rPr>
          <w:rFonts w:asciiTheme="minorHAnsi" w:hAnsiTheme="minorHAnsi" w:cstheme="minorHAnsi"/>
          <w:bCs/>
          <w:iCs/>
          <w:color w:val="000000"/>
        </w:rPr>
        <w:t>2016</w:t>
      </w:r>
      <w:r w:rsidR="006001F0" w:rsidRPr="005553DF">
        <w:rPr>
          <w:rFonts w:asciiTheme="minorHAnsi" w:hAnsiTheme="minorHAnsi" w:cstheme="minorHAnsi"/>
          <w:bCs/>
          <w:iCs/>
          <w:color w:val="000000"/>
        </w:rPr>
        <w:t>).</w:t>
      </w:r>
      <w:r w:rsidR="00A23DB1" w:rsidRPr="005553DF">
        <w:rPr>
          <w:rFonts w:asciiTheme="minorHAnsi" w:hAnsiTheme="minorHAnsi" w:cstheme="minorHAnsi"/>
          <w:bCs/>
          <w:iCs/>
          <w:color w:val="000000"/>
        </w:rPr>
        <w:t xml:space="preserve"> </w:t>
      </w:r>
    </w:p>
    <w:p w14:paraId="409C83AE" w14:textId="77777777" w:rsidR="00A23DB1" w:rsidRPr="005553DF" w:rsidRDefault="00917368"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In our efforts, w</w:t>
      </w:r>
      <w:r w:rsidR="00A23DB1" w:rsidRPr="005553DF">
        <w:rPr>
          <w:rFonts w:asciiTheme="minorHAnsi" w:hAnsiTheme="minorHAnsi" w:cstheme="minorHAnsi"/>
          <w:bCs/>
          <w:iCs/>
          <w:color w:val="000000"/>
        </w:rPr>
        <w:t>e will</w:t>
      </w:r>
      <w:r w:rsidR="006001F0" w:rsidRPr="005553DF">
        <w:rPr>
          <w:rFonts w:asciiTheme="minorHAnsi" w:hAnsiTheme="minorHAnsi" w:cstheme="minorHAnsi"/>
          <w:bCs/>
          <w:iCs/>
          <w:color w:val="000000"/>
        </w:rPr>
        <w:t xml:space="preserve"> attempt to inte</w:t>
      </w:r>
      <w:r w:rsidR="00A23DB1" w:rsidRPr="005553DF">
        <w:rPr>
          <w:rFonts w:asciiTheme="minorHAnsi" w:hAnsiTheme="minorHAnsi" w:cstheme="minorHAnsi"/>
          <w:bCs/>
          <w:iCs/>
          <w:color w:val="000000"/>
        </w:rPr>
        <w:t>g</w:t>
      </w:r>
      <w:r w:rsidRPr="005553DF">
        <w:rPr>
          <w:rFonts w:asciiTheme="minorHAnsi" w:hAnsiTheme="minorHAnsi" w:cstheme="minorHAnsi"/>
          <w:bCs/>
          <w:iCs/>
          <w:color w:val="000000"/>
        </w:rPr>
        <w:t xml:space="preserve">rate broad range of </w:t>
      </w:r>
      <w:r w:rsidR="00A23DB1" w:rsidRPr="005553DF">
        <w:rPr>
          <w:rFonts w:asciiTheme="minorHAnsi" w:hAnsiTheme="minorHAnsi" w:cstheme="minorHAnsi"/>
          <w:bCs/>
          <w:iCs/>
          <w:color w:val="000000"/>
        </w:rPr>
        <w:t xml:space="preserve"> information on individuals’ sociodemographics (birth year, age, sex, ethnicity</w:t>
      </w:r>
      <w:r w:rsidR="006001F0" w:rsidRPr="005553DF">
        <w:rPr>
          <w:rFonts w:asciiTheme="minorHAnsi" w:hAnsiTheme="minorHAnsi" w:cstheme="minorHAnsi"/>
          <w:bCs/>
          <w:iCs/>
          <w:color w:val="000000"/>
        </w:rPr>
        <w:t xml:space="preserve">), PFAS pharmacokinetics (e.g. </w:t>
      </w:r>
      <w:r w:rsidR="00A23DB1" w:rsidRPr="005553DF">
        <w:rPr>
          <w:rFonts w:asciiTheme="minorHAnsi" w:hAnsiTheme="minorHAnsi" w:cstheme="minorHAnsi"/>
          <w:bCs/>
          <w:iCs/>
          <w:color w:val="000000"/>
        </w:rPr>
        <w:t xml:space="preserve">tissue partitioning and distribution volumes, elimination rates), </w:t>
      </w:r>
      <w:r w:rsidR="00A43244" w:rsidRPr="005553DF">
        <w:rPr>
          <w:rFonts w:asciiTheme="minorHAnsi" w:hAnsiTheme="minorHAnsi" w:cstheme="minorHAnsi"/>
          <w:bCs/>
          <w:iCs/>
          <w:color w:val="000000"/>
        </w:rPr>
        <w:t xml:space="preserve">as well as </w:t>
      </w:r>
      <w:r w:rsidR="00A23DB1" w:rsidRPr="005553DF">
        <w:rPr>
          <w:rFonts w:asciiTheme="minorHAnsi" w:hAnsiTheme="minorHAnsi" w:cstheme="minorHAnsi"/>
          <w:bCs/>
          <w:iCs/>
          <w:color w:val="000000"/>
        </w:rPr>
        <w:t xml:space="preserve">exposure sources </w:t>
      </w:r>
      <w:r w:rsidR="006001F0" w:rsidRPr="005553DF">
        <w:rPr>
          <w:rFonts w:asciiTheme="minorHAnsi" w:hAnsiTheme="minorHAnsi" w:cstheme="minorHAnsi"/>
          <w:bCs/>
          <w:iCs/>
          <w:color w:val="000000"/>
        </w:rPr>
        <w:t>as pertain for</w:t>
      </w:r>
      <w:r w:rsidR="00A23DB1" w:rsidRPr="005553DF">
        <w:rPr>
          <w:rFonts w:asciiTheme="minorHAnsi" w:hAnsiTheme="minorHAnsi" w:cstheme="minorHAnsi"/>
          <w:bCs/>
          <w:iCs/>
          <w:color w:val="000000"/>
        </w:rPr>
        <w:t xml:space="preserve"> the general popula</w:t>
      </w:r>
      <w:r w:rsidR="006001F0" w:rsidRPr="005553DF">
        <w:rPr>
          <w:rFonts w:asciiTheme="minorHAnsi" w:hAnsiTheme="minorHAnsi" w:cstheme="minorHAnsi"/>
          <w:bCs/>
          <w:iCs/>
          <w:color w:val="000000"/>
        </w:rPr>
        <w:t xml:space="preserve">tion (e.g. breastfeeding, </w:t>
      </w:r>
      <w:r w:rsidR="00A23DB1" w:rsidRPr="005553DF">
        <w:rPr>
          <w:rFonts w:asciiTheme="minorHAnsi" w:hAnsiTheme="minorHAnsi" w:cstheme="minorHAnsi"/>
          <w:bCs/>
          <w:iCs/>
          <w:color w:val="000000"/>
        </w:rPr>
        <w:t>water consu</w:t>
      </w:r>
      <w:r w:rsidR="006001F0" w:rsidRPr="005553DF">
        <w:rPr>
          <w:rFonts w:asciiTheme="minorHAnsi" w:hAnsiTheme="minorHAnsi" w:cstheme="minorHAnsi"/>
          <w:bCs/>
          <w:iCs/>
          <w:color w:val="000000"/>
        </w:rPr>
        <w:t xml:space="preserve">mption, </w:t>
      </w:r>
      <w:r w:rsidR="00E94D91" w:rsidRPr="005553DF">
        <w:rPr>
          <w:rFonts w:asciiTheme="minorHAnsi" w:hAnsiTheme="minorHAnsi" w:cstheme="minorHAnsi"/>
          <w:bCs/>
          <w:iCs/>
          <w:color w:val="000000"/>
        </w:rPr>
        <w:t>blood tra</w:t>
      </w:r>
      <w:r w:rsidRPr="005553DF">
        <w:rPr>
          <w:rFonts w:asciiTheme="minorHAnsi" w:hAnsiTheme="minorHAnsi" w:cstheme="minorHAnsi"/>
          <w:bCs/>
          <w:iCs/>
          <w:color w:val="000000"/>
        </w:rPr>
        <w:t>nsfusion</w:t>
      </w:r>
      <w:r w:rsidR="00A43244" w:rsidRPr="005553DF">
        <w:rPr>
          <w:rFonts w:asciiTheme="minorHAnsi" w:hAnsiTheme="minorHAnsi" w:cstheme="minorHAnsi"/>
          <w:bCs/>
          <w:iCs/>
          <w:color w:val="000000"/>
        </w:rPr>
        <w:t>) and</w:t>
      </w:r>
      <w:r w:rsidR="006001F0" w:rsidRPr="005553DF">
        <w:rPr>
          <w:rFonts w:asciiTheme="minorHAnsi" w:hAnsiTheme="minorHAnsi" w:cstheme="minorHAnsi"/>
          <w:bCs/>
          <w:iCs/>
          <w:color w:val="000000"/>
        </w:rPr>
        <w:t xml:space="preserve"> secretion routes (e.g.</w:t>
      </w:r>
      <w:r w:rsidR="00A23DB1" w:rsidRPr="005553DF">
        <w:rPr>
          <w:rFonts w:asciiTheme="minorHAnsi" w:hAnsiTheme="minorHAnsi" w:cstheme="minorHAnsi"/>
          <w:bCs/>
          <w:iCs/>
          <w:color w:val="000000"/>
        </w:rPr>
        <w:t xml:space="preserve"> parity, breastfeeding history, and menstruation in women</w:t>
      </w:r>
      <w:r w:rsidR="006001F0" w:rsidRPr="005553DF">
        <w:rPr>
          <w:rFonts w:asciiTheme="minorHAnsi" w:hAnsiTheme="minorHAnsi" w:cstheme="minorHAnsi"/>
          <w:bCs/>
          <w:iCs/>
          <w:color w:val="000000"/>
        </w:rPr>
        <w:t>; donating blood) which will be collecting in the adult and child questionn</w:t>
      </w:r>
      <w:r w:rsidR="00A43244" w:rsidRPr="005553DF">
        <w:rPr>
          <w:rFonts w:asciiTheme="minorHAnsi" w:hAnsiTheme="minorHAnsi" w:cstheme="minorHAnsi"/>
          <w:bCs/>
          <w:iCs/>
          <w:color w:val="000000"/>
        </w:rPr>
        <w:t>aire</w:t>
      </w:r>
      <w:r w:rsidR="006001F0" w:rsidRPr="005553DF">
        <w:rPr>
          <w:rFonts w:asciiTheme="minorHAnsi" w:hAnsiTheme="minorHAnsi" w:cstheme="minorHAnsi"/>
          <w:bCs/>
          <w:iCs/>
          <w:color w:val="000000"/>
        </w:rPr>
        <w:t>. Questionnaires also</w:t>
      </w:r>
      <w:r w:rsidR="00A23DB1" w:rsidRPr="005553DF">
        <w:rPr>
          <w:rFonts w:asciiTheme="minorHAnsi" w:hAnsiTheme="minorHAnsi" w:cstheme="minorHAnsi"/>
          <w:bCs/>
          <w:iCs/>
          <w:color w:val="000000"/>
        </w:rPr>
        <w:t xml:space="preserve"> include</w:t>
      </w:r>
      <w:r w:rsidR="006001F0" w:rsidRPr="005553DF">
        <w:rPr>
          <w:rFonts w:asciiTheme="minorHAnsi" w:hAnsiTheme="minorHAnsi" w:cstheme="minorHAnsi"/>
          <w:bCs/>
          <w:iCs/>
          <w:color w:val="000000"/>
        </w:rPr>
        <w:t>s</w:t>
      </w:r>
      <w:r w:rsidR="00A23DB1" w:rsidRPr="005553DF">
        <w:rPr>
          <w:rFonts w:asciiTheme="minorHAnsi" w:hAnsiTheme="minorHAnsi" w:cstheme="minorHAnsi"/>
          <w:bCs/>
          <w:iCs/>
          <w:color w:val="000000"/>
        </w:rPr>
        <w:t xml:space="preserve"> detailed information on menstruation cycles for women (regular/irregular, length, heavy/light flow, last menstruation before blood draw</w:t>
      </w:r>
      <w:r w:rsidR="00A43244" w:rsidRPr="005553DF">
        <w:rPr>
          <w:rFonts w:asciiTheme="minorHAnsi" w:hAnsiTheme="minorHAnsi" w:cstheme="minorHAnsi"/>
          <w:bCs/>
          <w:iCs/>
          <w:color w:val="000000"/>
        </w:rPr>
        <w:t xml:space="preserve">; </w:t>
      </w:r>
      <w:r w:rsidR="00F6766E" w:rsidRPr="005553DF">
        <w:rPr>
          <w:rFonts w:asciiTheme="minorHAnsi" w:hAnsiTheme="minorHAnsi" w:cstheme="minorHAnsi"/>
          <w:bCs/>
          <w:iCs/>
          <w:color w:val="000000"/>
        </w:rPr>
        <w:t>Wong 2015, Verner and Longnecke</w:t>
      </w:r>
      <w:r w:rsidR="00595778" w:rsidRPr="005553DF">
        <w:rPr>
          <w:rFonts w:asciiTheme="minorHAnsi" w:hAnsiTheme="minorHAnsi" w:cstheme="minorHAnsi"/>
          <w:bCs/>
          <w:iCs/>
          <w:color w:val="000000"/>
        </w:rPr>
        <w:t>r</w:t>
      </w:r>
      <w:r w:rsidR="00F6766E" w:rsidRPr="005553DF">
        <w:rPr>
          <w:rFonts w:asciiTheme="minorHAnsi" w:hAnsiTheme="minorHAnsi" w:cstheme="minorHAnsi"/>
          <w:bCs/>
          <w:iCs/>
          <w:color w:val="000000"/>
        </w:rPr>
        <w:t xml:space="preserve"> 2015</w:t>
      </w:r>
      <w:r w:rsidR="009E5F78" w:rsidRPr="005553DF">
        <w:rPr>
          <w:rFonts w:asciiTheme="minorHAnsi" w:hAnsiTheme="minorHAnsi" w:cstheme="minorHAnsi"/>
          <w:bCs/>
          <w:iCs/>
          <w:color w:val="000000"/>
        </w:rPr>
        <w:t>).</w:t>
      </w:r>
      <w:r w:rsidR="00397C20" w:rsidRPr="005553DF">
        <w:rPr>
          <w:rFonts w:asciiTheme="minorHAnsi" w:hAnsiTheme="minorHAnsi" w:cstheme="minorHAnsi"/>
          <w:bCs/>
          <w:iCs/>
          <w:color w:val="000000"/>
        </w:rPr>
        <w:t xml:space="preserve"> We assume the contributions from dietary intake, cookware, cleaning supplies, etc. to be similar to the background US population</w:t>
      </w:r>
      <w:r w:rsidR="0061084C" w:rsidRPr="005553DF">
        <w:rPr>
          <w:rFonts w:asciiTheme="minorHAnsi" w:hAnsiTheme="minorHAnsi" w:cstheme="minorHAnsi"/>
          <w:bCs/>
          <w:iCs/>
          <w:color w:val="000000"/>
        </w:rPr>
        <w:t xml:space="preserve"> (Domingo 2012, Christensen 2017)</w:t>
      </w:r>
      <w:r w:rsidR="00397C20" w:rsidRPr="005553DF">
        <w:rPr>
          <w:rFonts w:asciiTheme="minorHAnsi" w:hAnsiTheme="minorHAnsi" w:cstheme="minorHAnsi"/>
          <w:bCs/>
          <w:iCs/>
          <w:color w:val="000000"/>
        </w:rPr>
        <w:t xml:space="preserve">. </w:t>
      </w:r>
      <w:r w:rsidR="00A43244" w:rsidRPr="005553DF">
        <w:rPr>
          <w:rFonts w:asciiTheme="minorHAnsi" w:hAnsiTheme="minorHAnsi" w:cstheme="minorHAnsi"/>
          <w:bCs/>
          <w:iCs/>
          <w:color w:val="000000"/>
        </w:rPr>
        <w:t xml:space="preserve"> </w:t>
      </w:r>
      <w:r w:rsidR="00397C20" w:rsidRPr="005553DF">
        <w:rPr>
          <w:rFonts w:asciiTheme="minorHAnsi" w:hAnsiTheme="minorHAnsi" w:cstheme="minorHAnsi"/>
          <w:bCs/>
          <w:iCs/>
          <w:color w:val="000000"/>
        </w:rPr>
        <w:t>We will also assume that NHANES calendar year-, age- and sex-specific PFAS serum concentrations reflect these background exposures</w:t>
      </w:r>
      <w:r w:rsidR="008A544A" w:rsidRPr="005553DF">
        <w:rPr>
          <w:rFonts w:asciiTheme="minorHAnsi" w:hAnsiTheme="minorHAnsi" w:cstheme="minorHAnsi"/>
          <w:bCs/>
          <w:iCs/>
          <w:color w:val="000000"/>
        </w:rPr>
        <w:t xml:space="preserve"> (Calafat 2007, Ye 2017)</w:t>
      </w:r>
      <w:r w:rsidR="00397C20" w:rsidRPr="005553DF">
        <w:rPr>
          <w:rFonts w:asciiTheme="minorHAnsi" w:hAnsiTheme="minorHAnsi" w:cstheme="minorHAnsi"/>
          <w:bCs/>
          <w:iCs/>
          <w:color w:val="000000"/>
        </w:rPr>
        <w:t xml:space="preserve">. </w:t>
      </w:r>
    </w:p>
    <w:p w14:paraId="4F7481F4" w14:textId="77777777" w:rsidR="00C87D1D" w:rsidRPr="005553DF" w:rsidRDefault="005D72D7"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In order to model the migration of PFAS chemicals contained in the AFFF from the sour</w:t>
      </w:r>
      <w:r w:rsidR="00C87D1D" w:rsidRPr="005553DF">
        <w:rPr>
          <w:rFonts w:asciiTheme="minorHAnsi" w:hAnsiTheme="minorHAnsi" w:cstheme="minorHAnsi"/>
          <w:bCs/>
          <w:iCs/>
          <w:color w:val="000000"/>
        </w:rPr>
        <w:t>ce of contamination (e.g., fire training areas) on base through the soil and groundwater to the drinking water supply wells, t</w:t>
      </w:r>
      <w:r w:rsidR="00295210" w:rsidRPr="005553DF">
        <w:rPr>
          <w:rFonts w:asciiTheme="minorHAnsi" w:hAnsiTheme="minorHAnsi" w:cstheme="minorHAnsi"/>
          <w:bCs/>
          <w:iCs/>
          <w:color w:val="000000"/>
        </w:rPr>
        <w:t xml:space="preserve">he </w:t>
      </w:r>
      <w:r w:rsidR="00502632" w:rsidRPr="005553DF">
        <w:rPr>
          <w:rFonts w:asciiTheme="minorHAnsi" w:hAnsiTheme="minorHAnsi" w:cstheme="minorHAnsi"/>
          <w:bCs/>
          <w:iCs/>
          <w:color w:val="000000"/>
        </w:rPr>
        <w:t>sub-</w:t>
      </w:r>
      <w:r w:rsidR="00295210" w:rsidRPr="005553DF">
        <w:rPr>
          <w:rFonts w:asciiTheme="minorHAnsi" w:hAnsiTheme="minorHAnsi" w:cstheme="minorHAnsi"/>
          <w:bCs/>
          <w:iCs/>
          <w:color w:val="000000"/>
        </w:rPr>
        <w:t>stud</w:t>
      </w:r>
      <w:r w:rsidR="00B522A6" w:rsidRPr="005553DF">
        <w:rPr>
          <w:rFonts w:asciiTheme="minorHAnsi" w:hAnsiTheme="minorHAnsi" w:cstheme="minorHAnsi"/>
          <w:bCs/>
          <w:iCs/>
          <w:color w:val="000000"/>
        </w:rPr>
        <w:t>ies</w:t>
      </w:r>
      <w:r w:rsidR="00295210" w:rsidRPr="005553DF">
        <w:rPr>
          <w:rFonts w:asciiTheme="minorHAnsi" w:hAnsiTheme="minorHAnsi" w:cstheme="minorHAnsi"/>
          <w:bCs/>
          <w:iCs/>
          <w:color w:val="000000"/>
        </w:rPr>
        <w:t xml:space="preserve"> will </w:t>
      </w:r>
      <w:r w:rsidR="00C87D1D" w:rsidRPr="005553DF">
        <w:rPr>
          <w:rFonts w:asciiTheme="minorHAnsi" w:hAnsiTheme="minorHAnsi" w:cstheme="minorHAnsi"/>
          <w:bCs/>
          <w:iCs/>
          <w:color w:val="000000"/>
        </w:rPr>
        <w:t xml:space="preserve">need the following information: </w:t>
      </w:r>
    </w:p>
    <w:p w14:paraId="43AA3C04" w14:textId="77777777" w:rsidR="00C87D1D" w:rsidRPr="005553DF" w:rsidRDefault="00C87D1D"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annual amount of </w:t>
      </w:r>
      <w:r w:rsidR="00295210" w:rsidRPr="005553DF">
        <w:rPr>
          <w:rFonts w:asciiTheme="minorHAnsi" w:hAnsiTheme="minorHAnsi" w:cstheme="minorHAnsi"/>
          <w:bCs/>
          <w:iCs/>
          <w:color w:val="000000"/>
        </w:rPr>
        <w:t>AFFF use</w:t>
      </w:r>
      <w:r w:rsidRPr="005553DF">
        <w:rPr>
          <w:rFonts w:asciiTheme="minorHAnsi" w:hAnsiTheme="minorHAnsi" w:cstheme="minorHAnsi"/>
          <w:bCs/>
          <w:iCs/>
          <w:color w:val="000000"/>
        </w:rPr>
        <w:t xml:space="preserve">d at Pease Air Force Base prior to its closing, </w:t>
      </w:r>
    </w:p>
    <w:p w14:paraId="74CD3F24" w14:textId="77777777" w:rsidR="00C87D1D" w:rsidRPr="005553DF" w:rsidRDefault="00C87D1D"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Information on any </w:t>
      </w:r>
      <w:r w:rsidR="005D72D7" w:rsidRPr="005553DF">
        <w:rPr>
          <w:rFonts w:asciiTheme="minorHAnsi" w:hAnsiTheme="minorHAnsi" w:cstheme="minorHAnsi"/>
          <w:bCs/>
          <w:iCs/>
          <w:color w:val="000000"/>
        </w:rPr>
        <w:t>accidental releases</w:t>
      </w:r>
      <w:r w:rsidR="00295210" w:rsidRPr="005553DF">
        <w:rPr>
          <w:rFonts w:asciiTheme="minorHAnsi" w:hAnsiTheme="minorHAnsi" w:cstheme="minorHAnsi"/>
          <w:bCs/>
          <w:iCs/>
          <w:color w:val="000000"/>
        </w:rPr>
        <w:t xml:space="preserve"> at </w:t>
      </w:r>
      <w:r w:rsidRPr="005553DF">
        <w:rPr>
          <w:rFonts w:asciiTheme="minorHAnsi" w:hAnsiTheme="minorHAnsi" w:cstheme="minorHAnsi"/>
          <w:bCs/>
          <w:iCs/>
          <w:color w:val="000000"/>
        </w:rPr>
        <w:t>the base,</w:t>
      </w:r>
    </w:p>
    <w:p w14:paraId="00FC322E" w14:textId="77777777" w:rsidR="00C87D1D" w:rsidRPr="005553DF" w:rsidRDefault="00C87D1D"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Location of fire training areas at the base</w:t>
      </w:r>
      <w:r w:rsidR="00CD722F" w:rsidRPr="005553DF">
        <w:rPr>
          <w:rFonts w:asciiTheme="minorHAnsi" w:hAnsiTheme="minorHAnsi" w:cstheme="minorHAnsi"/>
          <w:bCs/>
          <w:iCs/>
          <w:color w:val="000000"/>
        </w:rPr>
        <w:t>,</w:t>
      </w:r>
    </w:p>
    <w:p w14:paraId="661DC9FA" w14:textId="77777777" w:rsidR="00C87D1D" w:rsidRPr="005553DF" w:rsidRDefault="00C87D1D"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Soil and groundwater characteristics in the vicinity of AFFF use and accidental spills on base, and</w:t>
      </w:r>
    </w:p>
    <w:p w14:paraId="1FDA6FAA" w14:textId="77777777" w:rsidR="00C87D1D" w:rsidRPr="005553DF" w:rsidRDefault="00CD722F"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Production logs and other information on the drinking water supply wells on base.</w:t>
      </w:r>
    </w:p>
    <w:p w14:paraId="19FA84A8" w14:textId="77777777" w:rsidR="005D72D7" w:rsidRPr="005553DF" w:rsidRDefault="00CD722F"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request this information from the </w:t>
      </w:r>
      <w:r w:rsidR="00295210" w:rsidRPr="005553DF">
        <w:rPr>
          <w:rFonts w:asciiTheme="minorHAnsi" w:hAnsiTheme="minorHAnsi" w:cstheme="minorHAnsi"/>
          <w:bCs/>
          <w:iCs/>
          <w:color w:val="000000"/>
        </w:rPr>
        <w:t>U.S. Air Force</w:t>
      </w:r>
      <w:r w:rsidR="005D72D7" w:rsidRPr="005553DF">
        <w:rPr>
          <w:rFonts w:asciiTheme="minorHAnsi" w:hAnsiTheme="minorHAnsi" w:cstheme="minorHAnsi"/>
          <w:bCs/>
          <w:iCs/>
          <w:color w:val="000000"/>
        </w:rPr>
        <w:t xml:space="preserve"> (USAF)</w:t>
      </w:r>
      <w:r w:rsidR="00295210" w:rsidRPr="005553DF">
        <w:rPr>
          <w:rFonts w:asciiTheme="minorHAnsi" w:hAnsiTheme="minorHAnsi" w:cstheme="minorHAnsi"/>
          <w:bCs/>
          <w:iCs/>
          <w:color w:val="000000"/>
        </w:rPr>
        <w:t xml:space="preserve"> and the NH Department of Environmental Services.</w:t>
      </w:r>
      <w:r w:rsidR="005D72D7" w:rsidRPr="005553DF">
        <w:rPr>
          <w:rFonts w:asciiTheme="minorHAnsi" w:hAnsiTheme="minorHAnsi" w:cstheme="minorHAnsi"/>
          <w:bCs/>
          <w:iCs/>
          <w:color w:val="000000"/>
        </w:rPr>
        <w:t xml:space="preserve">  </w:t>
      </w:r>
    </w:p>
    <w:p w14:paraId="3ABFE7D7" w14:textId="77777777" w:rsidR="00A17CC3" w:rsidRPr="005553DF" w:rsidRDefault="005D72D7"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studies of children and adults will recruit from those who participated in this biomonitoring program and will use the serum results from the program in the estimation of cumulative PFAS serum levels.  In addition, the studies will ask study participants to consent to the analyses of their stored </w:t>
      </w:r>
      <w:r w:rsidR="00A537E4" w:rsidRPr="005553DF">
        <w:rPr>
          <w:rFonts w:asciiTheme="minorHAnsi" w:hAnsiTheme="minorHAnsi" w:cstheme="minorHAnsi"/>
          <w:bCs/>
          <w:iCs/>
          <w:color w:val="000000"/>
        </w:rPr>
        <w:t>blood specimen</w:t>
      </w:r>
      <w:r w:rsidRPr="005553DF">
        <w:rPr>
          <w:rFonts w:asciiTheme="minorHAnsi" w:hAnsiTheme="minorHAnsi" w:cstheme="minorHAnsi"/>
          <w:bCs/>
          <w:iCs/>
          <w:color w:val="000000"/>
        </w:rPr>
        <w:t>s for additional PFAS chemicals not measured in the biomonitoring program.</w:t>
      </w:r>
    </w:p>
    <w:p w14:paraId="6F2DEF88" w14:textId="77777777" w:rsidR="00022441" w:rsidRPr="005553DF" w:rsidRDefault="00B318A7" w:rsidP="005553DF">
      <w:pPr>
        <w:pStyle w:val="Heading2"/>
        <w:spacing w:before="100" w:beforeAutospacing="1" w:after="240" w:line="360" w:lineRule="auto"/>
        <w:jc w:val="both"/>
        <w:rPr>
          <w:rFonts w:asciiTheme="minorHAnsi" w:hAnsiTheme="minorHAnsi" w:cstheme="minorHAnsi"/>
          <w:i w:val="0"/>
          <w:sz w:val="22"/>
          <w:szCs w:val="22"/>
        </w:rPr>
      </w:pPr>
      <w:bookmarkStart w:id="75" w:name="_Toc532224189"/>
      <w:r w:rsidRPr="005553DF">
        <w:rPr>
          <w:rFonts w:asciiTheme="minorHAnsi" w:hAnsiTheme="minorHAnsi" w:cstheme="minorHAnsi"/>
          <w:i w:val="0"/>
          <w:sz w:val="22"/>
          <w:szCs w:val="22"/>
        </w:rPr>
        <w:t>3.1</w:t>
      </w:r>
      <w:r w:rsidR="00B630A2" w:rsidRPr="005553DF">
        <w:rPr>
          <w:rFonts w:asciiTheme="minorHAnsi" w:hAnsiTheme="minorHAnsi" w:cstheme="minorHAnsi"/>
          <w:i w:val="0"/>
          <w:sz w:val="22"/>
          <w:szCs w:val="22"/>
        </w:rPr>
        <w:t>0</w:t>
      </w:r>
      <w:r w:rsidR="00D21FD0" w:rsidRPr="005553DF">
        <w:rPr>
          <w:rFonts w:asciiTheme="minorHAnsi" w:hAnsiTheme="minorHAnsi" w:cstheme="minorHAnsi"/>
          <w:i w:val="0"/>
          <w:sz w:val="22"/>
          <w:szCs w:val="22"/>
        </w:rPr>
        <w:t xml:space="preserve"> </w:t>
      </w:r>
      <w:r w:rsidRPr="005553DF">
        <w:rPr>
          <w:rFonts w:asciiTheme="minorHAnsi" w:hAnsiTheme="minorHAnsi" w:cstheme="minorHAnsi"/>
          <w:i w:val="0"/>
          <w:sz w:val="22"/>
          <w:szCs w:val="22"/>
        </w:rPr>
        <w:t>Statistical</w:t>
      </w:r>
      <w:r w:rsidR="00022441" w:rsidRPr="005553DF">
        <w:rPr>
          <w:rFonts w:asciiTheme="minorHAnsi" w:hAnsiTheme="minorHAnsi" w:cstheme="minorHAnsi"/>
          <w:i w:val="0"/>
          <w:sz w:val="22"/>
          <w:szCs w:val="22"/>
        </w:rPr>
        <w:t xml:space="preserve"> Analys</w:t>
      </w:r>
      <w:r w:rsidR="008E3DC5" w:rsidRPr="005553DF">
        <w:rPr>
          <w:rFonts w:asciiTheme="minorHAnsi" w:hAnsiTheme="minorHAnsi" w:cstheme="minorHAnsi"/>
          <w:i w:val="0"/>
          <w:sz w:val="22"/>
          <w:szCs w:val="22"/>
        </w:rPr>
        <w:t>e</w:t>
      </w:r>
      <w:r w:rsidR="00022441" w:rsidRPr="005553DF">
        <w:rPr>
          <w:rFonts w:asciiTheme="minorHAnsi" w:hAnsiTheme="minorHAnsi" w:cstheme="minorHAnsi"/>
          <w:i w:val="0"/>
          <w:sz w:val="22"/>
          <w:szCs w:val="22"/>
        </w:rPr>
        <w:t>s</w:t>
      </w:r>
      <w:bookmarkEnd w:id="75"/>
      <w:r w:rsidR="00022441" w:rsidRPr="005553DF">
        <w:rPr>
          <w:rFonts w:asciiTheme="minorHAnsi" w:hAnsiTheme="minorHAnsi" w:cstheme="minorHAnsi"/>
          <w:i w:val="0"/>
          <w:sz w:val="22"/>
          <w:szCs w:val="22"/>
        </w:rPr>
        <w:t xml:space="preserve"> </w:t>
      </w:r>
    </w:p>
    <w:p w14:paraId="504B18BC" w14:textId="77777777" w:rsidR="00013006" w:rsidRPr="005553DF" w:rsidRDefault="009F2924"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ATSDR staff will perform s</w:t>
      </w:r>
      <w:r w:rsidR="00022441" w:rsidRPr="005553DF">
        <w:rPr>
          <w:rFonts w:asciiTheme="minorHAnsi" w:hAnsiTheme="minorHAnsi" w:cstheme="minorHAnsi"/>
          <w:bCs/>
          <w:iCs/>
        </w:rPr>
        <w:t xml:space="preserve">tatistical analyses </w:t>
      </w:r>
      <w:r w:rsidRPr="005553DF">
        <w:rPr>
          <w:rFonts w:asciiTheme="minorHAnsi" w:hAnsiTheme="minorHAnsi" w:cstheme="minorHAnsi"/>
          <w:bCs/>
          <w:iCs/>
        </w:rPr>
        <w:t>using SAS, R and STATA.  ATSDR staff may also use SPSS for data management.</w:t>
      </w:r>
      <w:r w:rsidR="00022441" w:rsidRPr="005553DF">
        <w:rPr>
          <w:rFonts w:asciiTheme="minorHAnsi" w:hAnsiTheme="minorHAnsi" w:cstheme="minorHAnsi"/>
          <w:bCs/>
          <w:iCs/>
        </w:rPr>
        <w:t xml:space="preserve"> </w:t>
      </w:r>
      <w:r w:rsidRPr="005553DF">
        <w:rPr>
          <w:rFonts w:asciiTheme="minorHAnsi" w:hAnsiTheme="minorHAnsi" w:cstheme="minorHAnsi"/>
          <w:bCs/>
          <w:iCs/>
        </w:rPr>
        <w:t xml:space="preserve"> ATSDR staff will calculate d</w:t>
      </w:r>
      <w:r w:rsidR="00022441" w:rsidRPr="005553DF">
        <w:rPr>
          <w:rFonts w:asciiTheme="minorHAnsi" w:hAnsiTheme="minorHAnsi" w:cstheme="minorHAnsi"/>
          <w:bCs/>
          <w:iCs/>
        </w:rPr>
        <w:t xml:space="preserve">escriptive statistics (including means, </w:t>
      </w:r>
      <w:r w:rsidRPr="005553DF">
        <w:rPr>
          <w:rFonts w:asciiTheme="minorHAnsi" w:hAnsiTheme="minorHAnsi" w:cstheme="minorHAnsi"/>
          <w:bCs/>
          <w:iCs/>
        </w:rPr>
        <w:t xml:space="preserve">geometric means, </w:t>
      </w:r>
      <w:r w:rsidR="00022441" w:rsidRPr="005553DF">
        <w:rPr>
          <w:rFonts w:asciiTheme="minorHAnsi" w:hAnsiTheme="minorHAnsi" w:cstheme="minorHAnsi"/>
          <w:bCs/>
          <w:iCs/>
        </w:rPr>
        <w:t xml:space="preserve">medians, </w:t>
      </w:r>
      <w:r w:rsidRPr="005553DF">
        <w:rPr>
          <w:rFonts w:asciiTheme="minorHAnsi" w:hAnsiTheme="minorHAnsi" w:cstheme="minorHAnsi"/>
          <w:bCs/>
          <w:iCs/>
        </w:rPr>
        <w:t xml:space="preserve">standard deviations, </w:t>
      </w:r>
      <w:r w:rsidR="00022441" w:rsidRPr="005553DF">
        <w:rPr>
          <w:rFonts w:asciiTheme="minorHAnsi" w:hAnsiTheme="minorHAnsi" w:cstheme="minorHAnsi"/>
          <w:bCs/>
          <w:iCs/>
        </w:rPr>
        <w:t xml:space="preserve">and percentiles) to identify the presence and distribution of </w:t>
      </w:r>
      <w:r w:rsidRPr="005553DF">
        <w:rPr>
          <w:rFonts w:asciiTheme="minorHAnsi" w:hAnsiTheme="minorHAnsi" w:cstheme="minorHAnsi"/>
          <w:bCs/>
          <w:iCs/>
        </w:rPr>
        <w:t xml:space="preserve">PFAS and effect biomarker </w:t>
      </w:r>
      <w:r w:rsidR="00022441" w:rsidRPr="005553DF">
        <w:rPr>
          <w:rFonts w:asciiTheme="minorHAnsi" w:hAnsiTheme="minorHAnsi" w:cstheme="minorHAnsi"/>
          <w:bCs/>
          <w:iCs/>
        </w:rPr>
        <w:t>analytes</w:t>
      </w:r>
      <w:r w:rsidRPr="005553DF">
        <w:rPr>
          <w:rFonts w:asciiTheme="minorHAnsi" w:hAnsiTheme="minorHAnsi" w:cstheme="minorHAnsi"/>
          <w:bCs/>
          <w:iCs/>
        </w:rPr>
        <w:t xml:space="preserve"> in the Pease participants and their referent groups.  Statistical methods will include </w:t>
      </w:r>
      <w:r w:rsidR="00221B91" w:rsidRPr="005553DF">
        <w:rPr>
          <w:rFonts w:asciiTheme="minorHAnsi" w:hAnsiTheme="minorHAnsi" w:cstheme="minorHAnsi"/>
          <w:bCs/>
          <w:iCs/>
        </w:rPr>
        <w:t xml:space="preserve">multiple </w:t>
      </w:r>
      <w:r w:rsidRPr="005553DF">
        <w:rPr>
          <w:rFonts w:asciiTheme="minorHAnsi" w:hAnsiTheme="minorHAnsi" w:cstheme="minorHAnsi"/>
          <w:bCs/>
          <w:iCs/>
        </w:rPr>
        <w:t xml:space="preserve">linear regression of continuous (untransformed and natural log transformed) effect biomarkers on continuous (untransformed and natural log transformed) PFAS serum levels and categorized PFAS serum levels, and logistic regression of categorized effect biomarkers (e.g., hypercholesterolemia) or disease prevalence on continuous (untransformed and natural log transformed) and categorical PFAS serum levels. ATSDR staff will </w:t>
      </w:r>
      <w:r w:rsidR="00FC0F67" w:rsidRPr="005553DF">
        <w:rPr>
          <w:rFonts w:asciiTheme="minorHAnsi" w:hAnsiTheme="minorHAnsi" w:cstheme="minorHAnsi"/>
          <w:bCs/>
          <w:iCs/>
        </w:rPr>
        <w:t xml:space="preserve">use </w:t>
      </w:r>
      <w:r w:rsidRPr="005553DF">
        <w:rPr>
          <w:rFonts w:asciiTheme="minorHAnsi" w:hAnsiTheme="minorHAnsi" w:cstheme="minorHAnsi"/>
          <w:bCs/>
          <w:iCs/>
        </w:rPr>
        <w:t xml:space="preserve">restricted cubic spline </w:t>
      </w:r>
      <w:r w:rsidR="00FC0F67" w:rsidRPr="005553DF">
        <w:rPr>
          <w:rFonts w:asciiTheme="minorHAnsi" w:hAnsiTheme="minorHAnsi" w:cstheme="minorHAnsi"/>
          <w:bCs/>
          <w:iCs/>
        </w:rPr>
        <w:t>methods (or generalized additive models using cubic regression splines)</w:t>
      </w:r>
      <w:r w:rsidR="00221B91" w:rsidRPr="005553DF">
        <w:rPr>
          <w:rFonts w:asciiTheme="minorHAnsi" w:hAnsiTheme="minorHAnsi" w:cstheme="minorHAnsi"/>
          <w:bCs/>
          <w:iCs/>
        </w:rPr>
        <w:t xml:space="preserve"> </w:t>
      </w:r>
      <w:r w:rsidRPr="005553DF">
        <w:rPr>
          <w:rFonts w:asciiTheme="minorHAnsi" w:hAnsiTheme="minorHAnsi" w:cstheme="minorHAnsi"/>
          <w:bCs/>
          <w:iCs/>
        </w:rPr>
        <w:t xml:space="preserve">for linear and logistic regression to obtain flexible, smoothed exposure-response curves. </w:t>
      </w:r>
      <w:r w:rsidR="00013006" w:rsidRPr="005553DF">
        <w:rPr>
          <w:rFonts w:asciiTheme="minorHAnsi" w:hAnsiTheme="minorHAnsi" w:cstheme="minorHAnsi"/>
          <w:bCs/>
          <w:iCs/>
        </w:rPr>
        <w:t>To identify risk factors that may act as confounders for a particular health outcome, the analysis will implement a “10% change in the estimate” rule</w:t>
      </w:r>
      <w:r w:rsidR="00693F24" w:rsidRPr="005553DF">
        <w:rPr>
          <w:rFonts w:asciiTheme="minorHAnsi" w:hAnsiTheme="minorHAnsi" w:cstheme="minorHAnsi"/>
          <w:bCs/>
          <w:iCs/>
        </w:rPr>
        <w:t xml:space="preserve"> (Maldonado 1993)</w:t>
      </w:r>
      <w:r w:rsidR="00013006" w:rsidRPr="005553DF">
        <w:rPr>
          <w:rFonts w:asciiTheme="minorHAnsi" w:hAnsiTheme="minorHAnsi" w:cstheme="minorHAnsi"/>
          <w:bCs/>
          <w:iCs/>
        </w:rPr>
        <w:t>.</w:t>
      </w:r>
    </w:p>
    <w:p w14:paraId="6C00C687" w14:textId="77777777" w:rsidR="009F2924" w:rsidRPr="005553DF" w:rsidRDefault="00330621"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 xml:space="preserve">Primary analyses will focus on estimated cumulative PFAS serum levels.  Supplemental analyses will evaluate PFAS serum levels in the new </w:t>
      </w:r>
      <w:r w:rsidR="00A537E4" w:rsidRPr="005553DF">
        <w:rPr>
          <w:rFonts w:asciiTheme="minorHAnsi" w:hAnsiTheme="minorHAnsi" w:cstheme="minorHAnsi"/>
          <w:bCs/>
          <w:iCs/>
        </w:rPr>
        <w:t>blood specimen</w:t>
      </w:r>
      <w:r w:rsidRPr="005553DF">
        <w:rPr>
          <w:rFonts w:asciiTheme="minorHAnsi" w:hAnsiTheme="minorHAnsi" w:cstheme="minorHAnsi"/>
          <w:bCs/>
          <w:iCs/>
        </w:rPr>
        <w:t xml:space="preserve">s obtained in the </w:t>
      </w:r>
      <w:r w:rsidR="00EA3383" w:rsidRPr="005553DF">
        <w:rPr>
          <w:rFonts w:asciiTheme="minorHAnsi" w:hAnsiTheme="minorHAnsi" w:cstheme="minorHAnsi"/>
          <w:bCs/>
          <w:iCs/>
        </w:rPr>
        <w:t>study</w:t>
      </w:r>
      <w:r w:rsidRPr="005553DF">
        <w:rPr>
          <w:rFonts w:asciiTheme="minorHAnsi" w:hAnsiTheme="minorHAnsi" w:cstheme="minorHAnsi"/>
          <w:bCs/>
          <w:iCs/>
        </w:rPr>
        <w:t xml:space="preserve"> as well as estimated maximum and average PFAS serum levels.  </w:t>
      </w:r>
      <w:r w:rsidR="00B034BC" w:rsidRPr="005553DF">
        <w:rPr>
          <w:rFonts w:asciiTheme="minorHAnsi" w:hAnsiTheme="minorHAnsi" w:cstheme="minorHAnsi"/>
          <w:bCs/>
          <w:iCs/>
        </w:rPr>
        <w:t>The primary analyses will evaluate each PFAS chemical separately.  However,</w:t>
      </w:r>
      <w:r w:rsidR="00013006" w:rsidRPr="005553DF">
        <w:rPr>
          <w:rFonts w:asciiTheme="minorHAnsi" w:hAnsiTheme="minorHAnsi" w:cstheme="minorHAnsi"/>
          <w:bCs/>
          <w:iCs/>
        </w:rPr>
        <w:t xml:space="preserve"> ATSDR will explore the use of</w:t>
      </w:r>
      <w:r w:rsidR="00B034BC" w:rsidRPr="005553DF">
        <w:rPr>
          <w:rFonts w:asciiTheme="minorHAnsi" w:hAnsiTheme="minorHAnsi" w:cstheme="minorHAnsi"/>
          <w:bCs/>
          <w:iCs/>
        </w:rPr>
        <w:t xml:space="preserve"> </w:t>
      </w:r>
      <w:r w:rsidR="00B03811" w:rsidRPr="005553DF">
        <w:rPr>
          <w:rFonts w:asciiTheme="minorHAnsi" w:hAnsiTheme="minorHAnsi" w:cstheme="minorHAnsi"/>
          <w:bCs/>
          <w:iCs/>
        </w:rPr>
        <w:t>methods for evaluating multi-pollutant mixtures, such as</w:t>
      </w:r>
      <w:r w:rsidR="00013006" w:rsidRPr="005553DF">
        <w:rPr>
          <w:rFonts w:asciiTheme="minorHAnsi" w:hAnsiTheme="minorHAnsi" w:cstheme="minorHAnsi"/>
          <w:bCs/>
          <w:iCs/>
        </w:rPr>
        <w:t xml:space="preserve"> the</w:t>
      </w:r>
      <w:r w:rsidR="00B03811" w:rsidRPr="005553DF">
        <w:rPr>
          <w:rFonts w:asciiTheme="minorHAnsi" w:hAnsiTheme="minorHAnsi" w:cstheme="minorHAnsi"/>
          <w:bCs/>
          <w:iCs/>
        </w:rPr>
        <w:t xml:space="preserve"> hierarchical Bayesian m</w:t>
      </w:r>
      <w:r w:rsidR="00013006" w:rsidRPr="005553DF">
        <w:rPr>
          <w:rFonts w:asciiTheme="minorHAnsi" w:hAnsiTheme="minorHAnsi" w:cstheme="minorHAnsi"/>
          <w:bCs/>
          <w:iCs/>
        </w:rPr>
        <w:t>odel</w:t>
      </w:r>
      <w:r w:rsidR="00B03811" w:rsidRPr="005553DF">
        <w:rPr>
          <w:rFonts w:asciiTheme="minorHAnsi" w:hAnsiTheme="minorHAnsi" w:cstheme="minorHAnsi"/>
          <w:bCs/>
          <w:iCs/>
        </w:rPr>
        <w:t xml:space="preserve">, </w:t>
      </w:r>
      <w:r w:rsidR="00013006" w:rsidRPr="005553DF">
        <w:rPr>
          <w:rFonts w:asciiTheme="minorHAnsi" w:hAnsiTheme="minorHAnsi" w:cstheme="minorHAnsi"/>
          <w:bCs/>
          <w:iCs/>
        </w:rPr>
        <w:t>to analyze the effects of exposures to the PFAS mixtures.</w:t>
      </w:r>
      <w:r w:rsidR="008E66DE" w:rsidRPr="005553DF">
        <w:rPr>
          <w:rFonts w:asciiTheme="minorHAnsi" w:hAnsiTheme="minorHAnsi" w:cstheme="minorHAnsi"/>
          <w:bCs/>
          <w:iCs/>
        </w:rPr>
        <w:t xml:space="preserve"> ATSDR will use quantitative methods to assess the impact of possible selection bias and possible confounding due to unmeasured risk factors</w:t>
      </w:r>
      <w:r w:rsidR="00693F24" w:rsidRPr="005553DF">
        <w:rPr>
          <w:rFonts w:asciiTheme="minorHAnsi" w:hAnsiTheme="minorHAnsi" w:cstheme="minorHAnsi"/>
          <w:bCs/>
          <w:iCs/>
        </w:rPr>
        <w:t xml:space="preserve"> (Lash 2009)</w:t>
      </w:r>
      <w:r w:rsidR="008E66DE" w:rsidRPr="005553DF">
        <w:rPr>
          <w:rFonts w:asciiTheme="minorHAnsi" w:hAnsiTheme="minorHAnsi" w:cstheme="minorHAnsi"/>
          <w:bCs/>
          <w:iCs/>
        </w:rPr>
        <w:t xml:space="preserve">.  </w:t>
      </w:r>
      <w:r w:rsidR="00703D01" w:rsidRPr="005553DF">
        <w:rPr>
          <w:rFonts w:asciiTheme="minorHAnsi" w:hAnsiTheme="minorHAnsi" w:cstheme="minorHAnsi"/>
          <w:bCs/>
          <w:iCs/>
        </w:rPr>
        <w:t xml:space="preserve">There are several caveats and recommendations in conducting analyses of mixtures to determine the optimal method that avoids amplifying bias due to confounding (Weisskopf et al 2018).  </w:t>
      </w:r>
      <w:r w:rsidR="008E66DE" w:rsidRPr="005553DF">
        <w:rPr>
          <w:rFonts w:asciiTheme="minorHAnsi" w:hAnsiTheme="minorHAnsi" w:cstheme="minorHAnsi"/>
          <w:bCs/>
          <w:iCs/>
        </w:rPr>
        <w:t xml:space="preserve">For the bias analyses, ATSDR will identify “negative control” diseases </w:t>
      </w:r>
      <w:r w:rsidR="00221B91" w:rsidRPr="005553DF">
        <w:rPr>
          <w:rFonts w:asciiTheme="minorHAnsi" w:hAnsiTheme="minorHAnsi" w:cstheme="minorHAnsi"/>
          <w:bCs/>
          <w:iCs/>
        </w:rPr>
        <w:t xml:space="preserve">with no known association </w:t>
      </w:r>
      <w:r w:rsidR="008E66DE" w:rsidRPr="005553DF">
        <w:rPr>
          <w:rFonts w:asciiTheme="minorHAnsi" w:hAnsiTheme="minorHAnsi" w:cstheme="minorHAnsi"/>
          <w:bCs/>
          <w:iCs/>
        </w:rPr>
        <w:t>with PFAS exposures</w:t>
      </w:r>
      <w:r w:rsidR="00693F24" w:rsidRPr="005553DF">
        <w:rPr>
          <w:rFonts w:asciiTheme="minorHAnsi" w:hAnsiTheme="minorHAnsi" w:cstheme="minorHAnsi"/>
          <w:bCs/>
          <w:iCs/>
        </w:rPr>
        <w:t xml:space="preserve"> (Lipsitch 2010)</w:t>
      </w:r>
      <w:r w:rsidR="008E66DE" w:rsidRPr="005553DF">
        <w:rPr>
          <w:rFonts w:asciiTheme="minorHAnsi" w:hAnsiTheme="minorHAnsi" w:cstheme="minorHAnsi"/>
          <w:bCs/>
          <w:iCs/>
        </w:rPr>
        <w:t xml:space="preserve">. </w:t>
      </w:r>
      <w:r w:rsidR="00221B91" w:rsidRPr="005553DF">
        <w:rPr>
          <w:rFonts w:asciiTheme="minorHAnsi" w:hAnsiTheme="minorHAnsi" w:cstheme="minorHAnsi"/>
          <w:bCs/>
          <w:iCs/>
        </w:rPr>
        <w:t xml:space="preserve"> ATSDR will conduct a literature search to identify these negative control diseases and include them in the questionnaire.</w:t>
      </w:r>
    </w:p>
    <w:p w14:paraId="74CD07E6" w14:textId="77777777" w:rsidR="00527B6B" w:rsidRPr="005553DF" w:rsidRDefault="00620836"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ATSDR will interpret the findings from this study based on the magnitude of the effect estimates (e.g., the linear regression coefficient for continuous outcomes or the odds ratio for categorical outcomes)</w:t>
      </w:r>
      <w:r w:rsidR="00527B6B" w:rsidRPr="005553DF">
        <w:rPr>
          <w:rFonts w:asciiTheme="minorHAnsi" w:hAnsiTheme="minorHAnsi" w:cstheme="minorHAnsi"/>
          <w:bCs/>
          <w:iCs/>
        </w:rPr>
        <w:t xml:space="preserve"> of</w:t>
      </w:r>
      <w:r w:rsidRPr="005553DF">
        <w:rPr>
          <w:rFonts w:asciiTheme="minorHAnsi" w:hAnsiTheme="minorHAnsi" w:cstheme="minorHAnsi"/>
          <w:bCs/>
          <w:iCs/>
        </w:rPr>
        <w:t xml:space="preserve"> the exposure-response relationship, consistency with findings from other studies, and the possible sources of bias (Rothman 2014). The analyses will construct confidence intervals to indicate the level of precision (or uncertainty) in the effect estimates.  </w:t>
      </w:r>
    </w:p>
    <w:p w14:paraId="78B50141" w14:textId="77777777" w:rsidR="00330621" w:rsidRPr="005553DF" w:rsidRDefault="00330621"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 xml:space="preserve">The </w:t>
      </w:r>
      <w:r w:rsidR="00527B6B" w:rsidRPr="005553DF">
        <w:rPr>
          <w:rFonts w:asciiTheme="minorHAnsi" w:hAnsiTheme="minorHAnsi" w:cstheme="minorHAnsi"/>
          <w:bCs/>
          <w:iCs/>
        </w:rPr>
        <w:t xml:space="preserve">studies will </w:t>
      </w:r>
      <w:r w:rsidRPr="005553DF">
        <w:rPr>
          <w:rFonts w:asciiTheme="minorHAnsi" w:hAnsiTheme="minorHAnsi" w:cstheme="minorHAnsi"/>
          <w:bCs/>
          <w:iCs/>
        </w:rPr>
        <w:t xml:space="preserve">use statistical significance testing to interpret findings </w:t>
      </w:r>
      <w:r w:rsidR="00620836" w:rsidRPr="005553DF">
        <w:rPr>
          <w:rFonts w:asciiTheme="minorHAnsi" w:hAnsiTheme="minorHAnsi" w:cstheme="minorHAnsi"/>
          <w:bCs/>
          <w:iCs/>
        </w:rPr>
        <w:t>but will not use it as a sole factor in determining scientific and public health significance</w:t>
      </w:r>
      <w:r w:rsidR="00527B6B" w:rsidRPr="005553DF">
        <w:rPr>
          <w:rFonts w:asciiTheme="minorHAnsi" w:hAnsiTheme="minorHAnsi" w:cstheme="minorHAnsi"/>
          <w:bCs/>
          <w:iCs/>
        </w:rPr>
        <w:t xml:space="preserve"> (Rothman et al. 2008, 2010; Stang et al. 2010)</w:t>
      </w:r>
      <w:r w:rsidR="00620836" w:rsidRPr="005553DF">
        <w:rPr>
          <w:rFonts w:asciiTheme="minorHAnsi" w:hAnsiTheme="minorHAnsi" w:cstheme="minorHAnsi"/>
          <w:bCs/>
          <w:iCs/>
        </w:rPr>
        <w:t xml:space="preserve">. A finding that fails to achieve statistical significance can still provide evidence for a causal association, and a finding that achieves statistical significance can lack any such significance </w:t>
      </w:r>
      <w:r w:rsidR="00527B6B" w:rsidRPr="005553DF">
        <w:rPr>
          <w:rFonts w:asciiTheme="minorHAnsi" w:hAnsiTheme="minorHAnsi" w:cstheme="minorHAnsi"/>
          <w:bCs/>
          <w:iCs/>
        </w:rPr>
        <w:t>(Porta 2014).</w:t>
      </w:r>
      <w:r w:rsidR="003C544B" w:rsidRPr="005553DF">
        <w:rPr>
          <w:rFonts w:asciiTheme="minorHAnsi" w:hAnsiTheme="minorHAnsi" w:cstheme="minorHAnsi"/>
          <w:bCs/>
          <w:iCs/>
        </w:rPr>
        <w:t xml:space="preserve"> </w:t>
      </w:r>
      <w:r w:rsidR="00BF7F8A" w:rsidRPr="005553DF">
        <w:rPr>
          <w:rFonts w:asciiTheme="minorHAnsi" w:hAnsiTheme="minorHAnsi" w:cstheme="minorHAnsi"/>
          <w:bCs/>
          <w:iCs/>
        </w:rPr>
        <w:t xml:space="preserve"> </w:t>
      </w:r>
    </w:p>
    <w:p w14:paraId="52FE20CF" w14:textId="77777777" w:rsidR="00022441" w:rsidRPr="005553DF" w:rsidRDefault="00D21FD0" w:rsidP="005553DF">
      <w:pPr>
        <w:pStyle w:val="Heading1"/>
        <w:spacing w:before="100" w:beforeAutospacing="1" w:after="240" w:line="360" w:lineRule="auto"/>
        <w:rPr>
          <w:rFonts w:asciiTheme="minorHAnsi" w:hAnsiTheme="minorHAnsi" w:cstheme="minorHAnsi"/>
          <w:i/>
          <w:sz w:val="22"/>
          <w:szCs w:val="22"/>
        </w:rPr>
      </w:pPr>
      <w:bookmarkStart w:id="76" w:name="_Toc532224190"/>
      <w:r w:rsidRPr="005553DF">
        <w:rPr>
          <w:rFonts w:asciiTheme="minorHAnsi" w:hAnsiTheme="minorHAnsi" w:cstheme="minorHAnsi"/>
          <w:sz w:val="22"/>
          <w:szCs w:val="22"/>
        </w:rPr>
        <w:t>4</w:t>
      </w:r>
      <w:r w:rsidR="00B254B0" w:rsidRPr="005553DF">
        <w:rPr>
          <w:rFonts w:asciiTheme="minorHAnsi" w:hAnsiTheme="minorHAnsi" w:cstheme="minorHAnsi"/>
          <w:sz w:val="22"/>
          <w:szCs w:val="22"/>
        </w:rPr>
        <w:t>.</w:t>
      </w:r>
      <w:r w:rsidR="00022441" w:rsidRPr="005553DF">
        <w:rPr>
          <w:rFonts w:asciiTheme="minorHAnsi" w:hAnsiTheme="minorHAnsi" w:cstheme="minorHAnsi"/>
          <w:sz w:val="22"/>
          <w:szCs w:val="22"/>
        </w:rPr>
        <w:t xml:space="preserve"> </w:t>
      </w:r>
      <w:r w:rsidR="00D016C0" w:rsidRPr="005553DF">
        <w:rPr>
          <w:rFonts w:asciiTheme="minorHAnsi" w:hAnsiTheme="minorHAnsi" w:cstheme="minorHAnsi"/>
          <w:sz w:val="22"/>
          <w:szCs w:val="22"/>
        </w:rPr>
        <w:t>RESULTS REPORTING</w:t>
      </w:r>
      <w:bookmarkEnd w:id="76"/>
    </w:p>
    <w:p w14:paraId="7A3D8B53" w14:textId="77777777" w:rsidR="008E3DC5" w:rsidRPr="005553DF" w:rsidRDefault="00D21FD0" w:rsidP="005553DF">
      <w:pPr>
        <w:pStyle w:val="Heading2"/>
        <w:spacing w:before="100" w:beforeAutospacing="1" w:after="240" w:line="360" w:lineRule="auto"/>
        <w:rPr>
          <w:rFonts w:asciiTheme="minorHAnsi" w:hAnsiTheme="minorHAnsi" w:cstheme="minorHAnsi"/>
          <w:b w:val="0"/>
          <w:i w:val="0"/>
          <w:sz w:val="22"/>
          <w:szCs w:val="22"/>
        </w:rPr>
      </w:pPr>
      <w:bookmarkStart w:id="77" w:name="_Toc532224191"/>
      <w:r w:rsidRPr="005553DF">
        <w:rPr>
          <w:rFonts w:asciiTheme="minorHAnsi" w:hAnsiTheme="minorHAnsi" w:cstheme="minorHAnsi"/>
          <w:i w:val="0"/>
          <w:sz w:val="22"/>
          <w:szCs w:val="22"/>
        </w:rPr>
        <w:t>4</w:t>
      </w:r>
      <w:r w:rsidR="008E3DC5" w:rsidRPr="005553DF">
        <w:rPr>
          <w:rFonts w:asciiTheme="minorHAnsi" w:hAnsiTheme="minorHAnsi" w:cstheme="minorHAnsi"/>
          <w:i w:val="0"/>
          <w:sz w:val="22"/>
          <w:szCs w:val="22"/>
        </w:rPr>
        <w:t xml:space="preserve">.1 </w:t>
      </w:r>
      <w:r w:rsidR="00200FBC" w:rsidRPr="005553DF">
        <w:rPr>
          <w:rFonts w:asciiTheme="minorHAnsi" w:hAnsiTheme="minorHAnsi" w:cstheme="minorHAnsi"/>
          <w:i w:val="0"/>
          <w:sz w:val="22"/>
          <w:szCs w:val="22"/>
        </w:rPr>
        <w:t>Notification of Individual R</w:t>
      </w:r>
      <w:r w:rsidR="00022441" w:rsidRPr="005553DF">
        <w:rPr>
          <w:rFonts w:asciiTheme="minorHAnsi" w:hAnsiTheme="minorHAnsi" w:cstheme="minorHAnsi"/>
          <w:i w:val="0"/>
          <w:sz w:val="22"/>
          <w:szCs w:val="22"/>
        </w:rPr>
        <w:t>esults</w:t>
      </w:r>
      <w:bookmarkEnd w:id="77"/>
    </w:p>
    <w:p w14:paraId="2616DF19" w14:textId="77777777" w:rsidR="006825E9" w:rsidRPr="005553DF" w:rsidRDefault="0002244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Some of the clinical tests may include results that indicate disease or serious medical condition. Due to the scheduled timespan between </w:t>
      </w:r>
      <w:r w:rsidR="00A537E4" w:rsidRPr="005553DF">
        <w:rPr>
          <w:rFonts w:asciiTheme="minorHAnsi" w:hAnsiTheme="minorHAnsi" w:cstheme="minorHAnsi"/>
        </w:rPr>
        <w:t>blood specimen</w:t>
      </w:r>
      <w:r w:rsidRPr="005553DF">
        <w:rPr>
          <w:rFonts w:asciiTheme="minorHAnsi" w:hAnsiTheme="minorHAnsi" w:cstheme="minorHAnsi"/>
        </w:rPr>
        <w:t xml:space="preserve"> collection and the actual laboratory analyses, we are unable to report study results in </w:t>
      </w:r>
      <w:r w:rsidR="00E809F6" w:rsidRPr="005553DF">
        <w:rPr>
          <w:rFonts w:asciiTheme="minorHAnsi" w:hAnsiTheme="minorHAnsi" w:cstheme="minorHAnsi"/>
        </w:rPr>
        <w:t xml:space="preserve">a </w:t>
      </w:r>
      <w:r w:rsidRPr="005553DF">
        <w:rPr>
          <w:rFonts w:asciiTheme="minorHAnsi" w:hAnsiTheme="minorHAnsi" w:cstheme="minorHAnsi"/>
        </w:rPr>
        <w:t xml:space="preserve">short </w:t>
      </w:r>
      <w:r w:rsidR="00E809F6" w:rsidRPr="005553DF">
        <w:rPr>
          <w:rFonts w:asciiTheme="minorHAnsi" w:hAnsiTheme="minorHAnsi" w:cstheme="minorHAnsi"/>
        </w:rPr>
        <w:t>period</w:t>
      </w:r>
      <w:r w:rsidRPr="005553DF">
        <w:rPr>
          <w:rFonts w:asciiTheme="minorHAnsi" w:hAnsiTheme="minorHAnsi" w:cstheme="minorHAnsi"/>
        </w:rPr>
        <w:t xml:space="preserve">. </w:t>
      </w:r>
      <w:r w:rsidR="00E809F6" w:rsidRPr="005553DF">
        <w:rPr>
          <w:rFonts w:asciiTheme="minorHAnsi" w:hAnsiTheme="minorHAnsi" w:cstheme="minorHAnsi"/>
        </w:rPr>
        <w:t>Study staff will report to the participant the result of a c</w:t>
      </w:r>
      <w:r w:rsidR="006A65A5" w:rsidRPr="005553DF">
        <w:rPr>
          <w:rFonts w:asciiTheme="minorHAnsi" w:hAnsiTheme="minorHAnsi" w:cstheme="minorHAnsi"/>
        </w:rPr>
        <w:t>linical test that clearly indicate</w:t>
      </w:r>
      <w:r w:rsidR="00E809F6" w:rsidRPr="005553DF">
        <w:rPr>
          <w:rFonts w:asciiTheme="minorHAnsi" w:hAnsiTheme="minorHAnsi" w:cstheme="minorHAnsi"/>
        </w:rPr>
        <w:t>s</w:t>
      </w:r>
      <w:r w:rsidR="006A65A5" w:rsidRPr="005553DF">
        <w:rPr>
          <w:rFonts w:asciiTheme="minorHAnsi" w:hAnsiTheme="minorHAnsi" w:cstheme="minorHAnsi"/>
        </w:rPr>
        <w:t xml:space="preserve"> the potential for</w:t>
      </w:r>
      <w:r w:rsidR="00E809F6" w:rsidRPr="005553DF">
        <w:rPr>
          <w:rFonts w:asciiTheme="minorHAnsi" w:hAnsiTheme="minorHAnsi" w:cstheme="minorHAnsi"/>
        </w:rPr>
        <w:t xml:space="preserve"> a</w:t>
      </w:r>
      <w:r w:rsidR="006A65A5" w:rsidRPr="005553DF">
        <w:rPr>
          <w:rFonts w:asciiTheme="minorHAnsi" w:hAnsiTheme="minorHAnsi" w:cstheme="minorHAnsi"/>
        </w:rPr>
        <w:t xml:space="preserve"> serious health consequence </w:t>
      </w:r>
      <w:r w:rsidR="0082093B" w:rsidRPr="005553DF">
        <w:rPr>
          <w:rFonts w:asciiTheme="minorHAnsi" w:hAnsiTheme="minorHAnsi" w:cstheme="minorHAnsi"/>
        </w:rPr>
        <w:t>immediately</w:t>
      </w:r>
      <w:r w:rsidR="00DC691D" w:rsidRPr="005553DF">
        <w:rPr>
          <w:rFonts w:asciiTheme="minorHAnsi" w:hAnsiTheme="minorHAnsi" w:cstheme="minorHAnsi"/>
        </w:rPr>
        <w:t xml:space="preserve"> after </w:t>
      </w:r>
      <w:r w:rsidR="00E809F6" w:rsidRPr="005553DF">
        <w:rPr>
          <w:rFonts w:asciiTheme="minorHAnsi" w:hAnsiTheme="minorHAnsi" w:cstheme="minorHAnsi"/>
        </w:rPr>
        <w:t xml:space="preserve">receiving </w:t>
      </w:r>
      <w:r w:rsidR="00DC691D" w:rsidRPr="005553DF">
        <w:rPr>
          <w:rFonts w:asciiTheme="minorHAnsi" w:hAnsiTheme="minorHAnsi" w:cstheme="minorHAnsi"/>
        </w:rPr>
        <w:t>the result from the laboratory</w:t>
      </w:r>
      <w:r w:rsidR="006A65A5" w:rsidRPr="005553DF">
        <w:rPr>
          <w:rFonts w:asciiTheme="minorHAnsi" w:hAnsiTheme="minorHAnsi" w:cstheme="minorHAnsi"/>
        </w:rPr>
        <w:t xml:space="preserve">. </w:t>
      </w:r>
      <w:r w:rsidR="006A65A5" w:rsidRPr="005553DF">
        <w:rPr>
          <w:rFonts w:asciiTheme="minorHAnsi" w:hAnsiTheme="minorHAnsi" w:cstheme="minorHAnsi"/>
          <w:bCs/>
        </w:rPr>
        <w:t xml:space="preserve">An advance notification phone call from the </w:t>
      </w:r>
      <w:r w:rsidR="00EC3C65" w:rsidRPr="005553DF">
        <w:rPr>
          <w:rFonts w:asciiTheme="minorHAnsi" w:hAnsiTheme="minorHAnsi" w:cstheme="minorHAnsi"/>
          <w:bCs/>
        </w:rPr>
        <w:t>study investigators (</w:t>
      </w:r>
      <w:r w:rsidR="00EC3C65" w:rsidRPr="005553DF">
        <w:rPr>
          <w:rFonts w:asciiTheme="minorHAnsi" w:hAnsiTheme="minorHAnsi" w:cstheme="minorHAnsi"/>
          <w:b/>
          <w:bCs/>
        </w:rPr>
        <w:t xml:space="preserve">Attachment </w:t>
      </w:r>
      <w:r w:rsidR="00F35AD1" w:rsidRPr="005553DF">
        <w:rPr>
          <w:rFonts w:asciiTheme="minorHAnsi" w:hAnsiTheme="minorHAnsi" w:cstheme="minorHAnsi"/>
          <w:b/>
          <w:bCs/>
        </w:rPr>
        <w:t>22</w:t>
      </w:r>
      <w:r w:rsidR="00EC3C65" w:rsidRPr="005553DF">
        <w:rPr>
          <w:rFonts w:asciiTheme="minorHAnsi" w:hAnsiTheme="minorHAnsi" w:cstheme="minorHAnsi"/>
          <w:bCs/>
        </w:rPr>
        <w:t>)</w:t>
      </w:r>
      <w:r w:rsidR="006A65A5" w:rsidRPr="005553DF">
        <w:rPr>
          <w:rFonts w:asciiTheme="minorHAnsi" w:hAnsiTheme="minorHAnsi" w:cstheme="minorHAnsi"/>
          <w:bCs/>
        </w:rPr>
        <w:t xml:space="preserve"> with a subsequent letter of clinical tests results will be se</w:t>
      </w:r>
      <w:r w:rsidR="00CF2D5E" w:rsidRPr="005553DF">
        <w:rPr>
          <w:rFonts w:asciiTheme="minorHAnsi" w:hAnsiTheme="minorHAnsi" w:cstheme="minorHAnsi"/>
          <w:bCs/>
        </w:rPr>
        <w:t>nt to the participant when</w:t>
      </w:r>
      <w:r w:rsidR="006A65A5" w:rsidRPr="005553DF">
        <w:rPr>
          <w:rFonts w:asciiTheme="minorHAnsi" w:hAnsiTheme="minorHAnsi" w:cstheme="minorHAnsi"/>
          <w:bCs/>
        </w:rPr>
        <w:t xml:space="preserve"> the abnormal result are identified, processed, and che</w:t>
      </w:r>
      <w:r w:rsidR="007045AB" w:rsidRPr="005553DF">
        <w:rPr>
          <w:rFonts w:asciiTheme="minorHAnsi" w:hAnsiTheme="minorHAnsi" w:cstheme="minorHAnsi"/>
          <w:bCs/>
        </w:rPr>
        <w:t>cked for accuracy (</w:t>
      </w:r>
      <w:r w:rsidR="007045AB" w:rsidRPr="005553DF">
        <w:rPr>
          <w:rFonts w:asciiTheme="minorHAnsi" w:hAnsiTheme="minorHAnsi" w:cstheme="minorHAnsi"/>
          <w:b/>
          <w:bCs/>
        </w:rPr>
        <w:t xml:space="preserve">Attachment </w:t>
      </w:r>
      <w:r w:rsidR="00F35AD1" w:rsidRPr="005553DF">
        <w:rPr>
          <w:rFonts w:asciiTheme="minorHAnsi" w:hAnsiTheme="minorHAnsi" w:cstheme="minorHAnsi"/>
          <w:b/>
          <w:bCs/>
        </w:rPr>
        <w:t>2</w:t>
      </w:r>
      <w:r w:rsidR="00072125" w:rsidRPr="005553DF">
        <w:rPr>
          <w:rFonts w:asciiTheme="minorHAnsi" w:hAnsiTheme="minorHAnsi" w:cstheme="minorHAnsi"/>
          <w:b/>
          <w:bCs/>
        </w:rPr>
        <w:t>2a</w:t>
      </w:r>
      <w:r w:rsidR="007045AB" w:rsidRPr="005553DF">
        <w:rPr>
          <w:rFonts w:asciiTheme="minorHAnsi" w:hAnsiTheme="minorHAnsi" w:cstheme="minorHAnsi"/>
          <w:bCs/>
        </w:rPr>
        <w:t>)</w:t>
      </w:r>
      <w:r w:rsidR="006A65A5" w:rsidRPr="005553DF">
        <w:rPr>
          <w:rFonts w:asciiTheme="minorHAnsi" w:hAnsiTheme="minorHAnsi" w:cstheme="minorHAnsi"/>
          <w:bCs/>
        </w:rPr>
        <w:t xml:space="preserve">. </w:t>
      </w:r>
      <w:r w:rsidR="00E809F6" w:rsidRPr="005553DF">
        <w:rPr>
          <w:rFonts w:asciiTheme="minorHAnsi" w:hAnsiTheme="minorHAnsi" w:cstheme="minorHAnsi"/>
          <w:bCs/>
        </w:rPr>
        <w:t>Study staff will advise the p</w:t>
      </w:r>
      <w:r w:rsidRPr="005553DF">
        <w:rPr>
          <w:rFonts w:asciiTheme="minorHAnsi" w:hAnsiTheme="minorHAnsi" w:cstheme="minorHAnsi"/>
        </w:rPr>
        <w:t xml:space="preserve">articipants to consult </w:t>
      </w:r>
      <w:r w:rsidR="00E809F6" w:rsidRPr="005553DF">
        <w:rPr>
          <w:rFonts w:asciiTheme="minorHAnsi" w:hAnsiTheme="minorHAnsi" w:cstheme="minorHAnsi"/>
        </w:rPr>
        <w:t>his/her p</w:t>
      </w:r>
      <w:r w:rsidRPr="005553DF">
        <w:rPr>
          <w:rFonts w:asciiTheme="minorHAnsi" w:hAnsiTheme="minorHAnsi" w:cstheme="minorHAnsi"/>
        </w:rPr>
        <w:t xml:space="preserve">hysician, or to contact the physician associated with the study for explanation of clinical findings. </w:t>
      </w:r>
    </w:p>
    <w:p w14:paraId="567983F1" w14:textId="02FDB096" w:rsidR="00C67A04" w:rsidRPr="005553DF" w:rsidRDefault="00CF2D5E"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rPr>
        <w:t xml:space="preserve">Participants will </w:t>
      </w:r>
      <w:r w:rsidR="006A65A5" w:rsidRPr="005553DF">
        <w:rPr>
          <w:rFonts w:asciiTheme="minorHAnsi" w:hAnsiTheme="minorHAnsi" w:cstheme="minorHAnsi"/>
          <w:bCs/>
        </w:rPr>
        <w:t xml:space="preserve">also receive results of their </w:t>
      </w:r>
      <w:r w:rsidR="00E809F6" w:rsidRPr="005553DF">
        <w:rPr>
          <w:rFonts w:asciiTheme="minorHAnsi" w:hAnsiTheme="minorHAnsi" w:cstheme="minorHAnsi"/>
          <w:bCs/>
        </w:rPr>
        <w:t xml:space="preserve">effect biomarker </w:t>
      </w:r>
      <w:r w:rsidR="00B255E5" w:rsidRPr="005553DF">
        <w:rPr>
          <w:rFonts w:asciiTheme="minorHAnsi" w:hAnsiTheme="minorHAnsi" w:cstheme="minorHAnsi"/>
          <w:bCs/>
        </w:rPr>
        <w:t>tests</w:t>
      </w:r>
      <w:r w:rsidR="006A65A5" w:rsidRPr="005553DF">
        <w:rPr>
          <w:rFonts w:asciiTheme="minorHAnsi" w:hAnsiTheme="minorHAnsi" w:cstheme="minorHAnsi"/>
          <w:bCs/>
        </w:rPr>
        <w:t xml:space="preserve"> after the study is completed</w:t>
      </w:r>
      <w:r w:rsidR="006A65A5" w:rsidRPr="005553DF">
        <w:rPr>
          <w:rFonts w:asciiTheme="minorHAnsi" w:hAnsiTheme="minorHAnsi" w:cstheme="minorHAnsi"/>
        </w:rPr>
        <w:t xml:space="preserve">. </w:t>
      </w:r>
      <w:r w:rsidR="00072125" w:rsidRPr="005553DF">
        <w:rPr>
          <w:rFonts w:asciiTheme="minorHAnsi" w:hAnsiTheme="minorHAnsi" w:cstheme="minorHAnsi"/>
        </w:rPr>
        <w:t xml:space="preserve">Contract labs will provide their clinical reference </w:t>
      </w:r>
      <w:r w:rsidR="006A65A5" w:rsidRPr="005553DF">
        <w:rPr>
          <w:rFonts w:asciiTheme="minorHAnsi" w:hAnsiTheme="minorHAnsi" w:cstheme="minorHAnsi"/>
        </w:rPr>
        <w:t>abnormal or ‘high’ levels</w:t>
      </w:r>
      <w:r w:rsidR="00072125" w:rsidRPr="005553DF">
        <w:rPr>
          <w:rFonts w:asciiTheme="minorHAnsi" w:hAnsiTheme="minorHAnsi" w:cstheme="minorHAnsi"/>
        </w:rPr>
        <w:t>, if available, for interpretation of clinical test results (</w:t>
      </w:r>
      <w:r w:rsidR="00072125" w:rsidRPr="005553DF">
        <w:rPr>
          <w:rFonts w:asciiTheme="minorHAnsi" w:hAnsiTheme="minorHAnsi" w:cstheme="minorHAnsi"/>
          <w:b/>
        </w:rPr>
        <w:t>Attachment 23</w:t>
      </w:r>
      <w:r w:rsidR="00072125" w:rsidRPr="005553DF">
        <w:rPr>
          <w:rFonts w:asciiTheme="minorHAnsi" w:hAnsiTheme="minorHAnsi" w:cstheme="minorHAnsi"/>
        </w:rPr>
        <w:t>)</w:t>
      </w:r>
      <w:r w:rsidR="006A65A5" w:rsidRPr="005553DF">
        <w:rPr>
          <w:rFonts w:asciiTheme="minorHAnsi" w:hAnsiTheme="minorHAnsi" w:cstheme="minorHAnsi"/>
        </w:rPr>
        <w:t xml:space="preserve">. </w:t>
      </w:r>
      <w:r w:rsidR="00072125" w:rsidRPr="005553DF">
        <w:rPr>
          <w:rFonts w:asciiTheme="minorHAnsi" w:hAnsiTheme="minorHAnsi" w:cstheme="minorHAnsi"/>
        </w:rPr>
        <w:t xml:space="preserve">Participants will receive their </w:t>
      </w:r>
      <w:r w:rsidR="00072125" w:rsidRPr="005553DF">
        <w:rPr>
          <w:rFonts w:asciiTheme="minorHAnsi" w:hAnsiTheme="minorHAnsi" w:cstheme="minorHAnsi"/>
          <w:bCs/>
        </w:rPr>
        <w:t>PFAS test results. ATSDR</w:t>
      </w:r>
      <w:r w:rsidR="00E809F6" w:rsidRPr="005553DF">
        <w:rPr>
          <w:rFonts w:asciiTheme="minorHAnsi" w:hAnsiTheme="minorHAnsi" w:cstheme="minorHAnsi"/>
        </w:rPr>
        <w:t xml:space="preserve"> will provide to the </w:t>
      </w:r>
      <w:r w:rsidR="00072125" w:rsidRPr="005553DF">
        <w:rPr>
          <w:rFonts w:asciiTheme="minorHAnsi" w:hAnsiTheme="minorHAnsi" w:cstheme="minorHAnsi"/>
        </w:rPr>
        <w:t>50</w:t>
      </w:r>
      <w:r w:rsidR="00072125" w:rsidRPr="005553DF">
        <w:rPr>
          <w:rFonts w:asciiTheme="minorHAnsi" w:hAnsiTheme="minorHAnsi" w:cstheme="minorHAnsi"/>
          <w:vertAlign w:val="superscript"/>
        </w:rPr>
        <w:t>th</w:t>
      </w:r>
      <w:r w:rsidR="00072125" w:rsidRPr="005553DF">
        <w:rPr>
          <w:rFonts w:asciiTheme="minorHAnsi" w:hAnsiTheme="minorHAnsi" w:cstheme="minorHAnsi"/>
        </w:rPr>
        <w:t xml:space="preserve"> </w:t>
      </w:r>
      <w:r w:rsidR="006A65A5" w:rsidRPr="005553DF">
        <w:rPr>
          <w:rFonts w:asciiTheme="minorHAnsi" w:hAnsiTheme="minorHAnsi" w:cstheme="minorHAnsi"/>
        </w:rPr>
        <w:t>and 95</w:t>
      </w:r>
      <w:r w:rsidR="006A65A5" w:rsidRPr="005553DF">
        <w:rPr>
          <w:rFonts w:asciiTheme="minorHAnsi" w:hAnsiTheme="minorHAnsi" w:cstheme="minorHAnsi"/>
          <w:vertAlign w:val="superscript"/>
        </w:rPr>
        <w:t>th</w:t>
      </w:r>
      <w:r w:rsidR="006A65A5" w:rsidRPr="005553DF">
        <w:rPr>
          <w:rFonts w:asciiTheme="minorHAnsi" w:hAnsiTheme="minorHAnsi" w:cstheme="minorHAnsi"/>
        </w:rPr>
        <w:t xml:space="preserve"> percentile</w:t>
      </w:r>
      <w:r w:rsidR="00072125" w:rsidRPr="005553DF">
        <w:rPr>
          <w:rFonts w:asciiTheme="minorHAnsi" w:hAnsiTheme="minorHAnsi" w:cstheme="minorHAnsi"/>
        </w:rPr>
        <w:t>s</w:t>
      </w:r>
      <w:r w:rsidR="006A65A5" w:rsidRPr="005553DF">
        <w:rPr>
          <w:rFonts w:asciiTheme="minorHAnsi" w:hAnsiTheme="minorHAnsi" w:cstheme="minorHAnsi"/>
        </w:rPr>
        <w:t xml:space="preserve"> from NHANES </w:t>
      </w:r>
      <w:r w:rsidR="00B255E5" w:rsidRPr="005553DF">
        <w:rPr>
          <w:rFonts w:asciiTheme="minorHAnsi" w:hAnsiTheme="minorHAnsi" w:cstheme="minorHAnsi"/>
        </w:rPr>
        <w:t>for comparison</w:t>
      </w:r>
      <w:r w:rsidR="00072125" w:rsidRPr="005553DF">
        <w:rPr>
          <w:rFonts w:asciiTheme="minorHAnsi" w:hAnsiTheme="minorHAnsi" w:cstheme="minorHAnsi"/>
        </w:rPr>
        <w:t xml:space="preserve"> to the U.S. population</w:t>
      </w:r>
      <w:r w:rsidR="006A65A5" w:rsidRPr="005553DF">
        <w:rPr>
          <w:rFonts w:asciiTheme="minorHAnsi" w:hAnsiTheme="minorHAnsi" w:cstheme="minorHAnsi"/>
        </w:rPr>
        <w:t xml:space="preserve"> (CDC, </w:t>
      </w:r>
      <w:r w:rsidR="007D2B82" w:rsidRPr="005553DF">
        <w:rPr>
          <w:rFonts w:asciiTheme="minorHAnsi" w:hAnsiTheme="minorHAnsi" w:cstheme="minorHAnsi"/>
        </w:rPr>
        <w:t>2018</w:t>
      </w:r>
      <w:r w:rsidR="006A65A5" w:rsidRPr="005553DF">
        <w:rPr>
          <w:rFonts w:asciiTheme="minorHAnsi" w:hAnsiTheme="minorHAnsi" w:cstheme="minorHAnsi"/>
        </w:rPr>
        <w:t xml:space="preserve">). </w:t>
      </w:r>
      <w:r w:rsidR="00E809F6" w:rsidRPr="005553DF">
        <w:rPr>
          <w:rFonts w:asciiTheme="minorHAnsi" w:hAnsiTheme="minorHAnsi" w:cstheme="minorHAnsi"/>
        </w:rPr>
        <w:t xml:space="preserve"> Study staff will advise p</w:t>
      </w:r>
      <w:r w:rsidR="006A65A5" w:rsidRPr="005553DF">
        <w:rPr>
          <w:rFonts w:asciiTheme="minorHAnsi" w:hAnsiTheme="minorHAnsi" w:cstheme="minorHAnsi"/>
        </w:rPr>
        <w:t>articipants to consult ATSDR with questions about their results if they wish to do so.</w:t>
      </w:r>
      <w:r w:rsidR="00E809F6" w:rsidRPr="005553DF">
        <w:rPr>
          <w:rFonts w:asciiTheme="minorHAnsi" w:hAnsiTheme="minorHAnsi" w:cstheme="minorHAnsi"/>
        </w:rPr>
        <w:t xml:space="preserve"> </w:t>
      </w:r>
    </w:p>
    <w:p w14:paraId="0EC7A7CB" w14:textId="77777777" w:rsidR="00E809F6" w:rsidRPr="005553DF" w:rsidRDefault="00D21FD0" w:rsidP="005553DF">
      <w:pPr>
        <w:pStyle w:val="Heading2"/>
        <w:spacing w:before="100" w:beforeAutospacing="1" w:after="240" w:line="360" w:lineRule="auto"/>
        <w:rPr>
          <w:rFonts w:asciiTheme="minorHAnsi" w:hAnsiTheme="minorHAnsi" w:cstheme="minorHAnsi"/>
          <w:b w:val="0"/>
          <w:i w:val="0"/>
          <w:sz w:val="22"/>
          <w:szCs w:val="22"/>
        </w:rPr>
      </w:pPr>
      <w:bookmarkStart w:id="78" w:name="_Toc532224192"/>
      <w:r w:rsidRPr="005553DF">
        <w:rPr>
          <w:rFonts w:asciiTheme="minorHAnsi" w:hAnsiTheme="minorHAnsi" w:cstheme="minorHAnsi"/>
          <w:i w:val="0"/>
          <w:sz w:val="22"/>
          <w:szCs w:val="22"/>
        </w:rPr>
        <w:t>4</w:t>
      </w:r>
      <w:r w:rsidR="008E3DC5" w:rsidRPr="005553DF">
        <w:rPr>
          <w:rFonts w:asciiTheme="minorHAnsi" w:hAnsiTheme="minorHAnsi" w:cstheme="minorHAnsi"/>
          <w:i w:val="0"/>
          <w:sz w:val="22"/>
          <w:szCs w:val="22"/>
        </w:rPr>
        <w:t xml:space="preserve">.2 </w:t>
      </w:r>
      <w:r w:rsidR="00A159E2" w:rsidRPr="005553DF">
        <w:rPr>
          <w:rFonts w:asciiTheme="minorHAnsi" w:hAnsiTheme="minorHAnsi" w:cstheme="minorHAnsi"/>
          <w:i w:val="0"/>
          <w:sz w:val="22"/>
          <w:szCs w:val="22"/>
        </w:rPr>
        <w:t>Disseminating R</w:t>
      </w:r>
      <w:r w:rsidR="00022441" w:rsidRPr="005553DF">
        <w:rPr>
          <w:rFonts w:asciiTheme="minorHAnsi" w:hAnsiTheme="minorHAnsi" w:cstheme="minorHAnsi"/>
          <w:i w:val="0"/>
          <w:sz w:val="22"/>
          <w:szCs w:val="22"/>
        </w:rPr>
        <w:t xml:space="preserve">esults to </w:t>
      </w:r>
      <w:r w:rsidR="00A159E2" w:rsidRPr="005553DF">
        <w:rPr>
          <w:rFonts w:asciiTheme="minorHAnsi" w:hAnsiTheme="minorHAnsi" w:cstheme="minorHAnsi"/>
          <w:i w:val="0"/>
          <w:sz w:val="22"/>
          <w:szCs w:val="22"/>
        </w:rPr>
        <w:t>the P</w:t>
      </w:r>
      <w:r w:rsidR="008E3DC5" w:rsidRPr="005553DF">
        <w:rPr>
          <w:rFonts w:asciiTheme="minorHAnsi" w:hAnsiTheme="minorHAnsi" w:cstheme="minorHAnsi"/>
          <w:i w:val="0"/>
          <w:sz w:val="22"/>
          <w:szCs w:val="22"/>
        </w:rPr>
        <w:t>ublic</w:t>
      </w:r>
      <w:bookmarkEnd w:id="78"/>
    </w:p>
    <w:p w14:paraId="1C7CD829" w14:textId="77777777" w:rsidR="00504E2B" w:rsidRPr="005553DF" w:rsidRDefault="00504E2B"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The Pease CAP has a permanent and active presence in the Por</w:t>
      </w:r>
      <w:r w:rsidR="000D722A" w:rsidRPr="005553DF">
        <w:rPr>
          <w:rFonts w:asciiTheme="minorHAnsi" w:hAnsiTheme="minorHAnsi" w:cstheme="minorHAnsi"/>
        </w:rPr>
        <w:t xml:space="preserve">tsmouth community.  Therefore, </w:t>
      </w:r>
      <w:r w:rsidR="00022441" w:rsidRPr="005553DF">
        <w:rPr>
          <w:rFonts w:asciiTheme="minorHAnsi" w:hAnsiTheme="minorHAnsi" w:cstheme="minorHAnsi"/>
        </w:rPr>
        <w:t xml:space="preserve">ATSDR </w:t>
      </w:r>
      <w:r w:rsidRPr="005553DF">
        <w:rPr>
          <w:rFonts w:asciiTheme="minorHAnsi" w:hAnsiTheme="minorHAnsi" w:cstheme="minorHAnsi"/>
        </w:rPr>
        <w:t xml:space="preserve">will consult </w:t>
      </w:r>
      <w:r w:rsidR="00022441" w:rsidRPr="005553DF">
        <w:rPr>
          <w:rFonts w:asciiTheme="minorHAnsi" w:hAnsiTheme="minorHAnsi" w:cstheme="minorHAnsi"/>
        </w:rPr>
        <w:t>w</w:t>
      </w:r>
      <w:r w:rsidR="00FD4396" w:rsidRPr="005553DF">
        <w:rPr>
          <w:rFonts w:asciiTheme="minorHAnsi" w:hAnsiTheme="minorHAnsi" w:cstheme="minorHAnsi"/>
        </w:rPr>
        <w:t xml:space="preserve">ith </w:t>
      </w:r>
      <w:r w:rsidR="00E809F6" w:rsidRPr="005553DF">
        <w:rPr>
          <w:rFonts w:asciiTheme="minorHAnsi" w:hAnsiTheme="minorHAnsi" w:cstheme="minorHAnsi"/>
        </w:rPr>
        <w:t xml:space="preserve">the Pease CAP </w:t>
      </w:r>
      <w:r w:rsidRPr="005553DF">
        <w:rPr>
          <w:rFonts w:asciiTheme="minorHAnsi" w:hAnsiTheme="minorHAnsi" w:cstheme="minorHAnsi"/>
        </w:rPr>
        <w:t>to determine the</w:t>
      </w:r>
      <w:r w:rsidR="00E809F6" w:rsidRPr="005553DF">
        <w:rPr>
          <w:rFonts w:asciiTheme="minorHAnsi" w:hAnsiTheme="minorHAnsi" w:cstheme="minorHAnsi"/>
        </w:rPr>
        <w:t xml:space="preserve"> most effective method of disseminating the results to the participants and the public. </w:t>
      </w:r>
      <w:r w:rsidRPr="005553DF">
        <w:rPr>
          <w:rFonts w:asciiTheme="minorHAnsi" w:hAnsiTheme="minorHAnsi" w:cstheme="minorHAnsi"/>
        </w:rPr>
        <w:t xml:space="preserve"> ATSDR will also consult with the local health department and the NH DHHS on methods for results dissemination.  </w:t>
      </w:r>
      <w:r w:rsidR="00E809F6" w:rsidRPr="005553DF">
        <w:rPr>
          <w:rFonts w:asciiTheme="minorHAnsi" w:hAnsiTheme="minorHAnsi" w:cstheme="minorHAnsi"/>
        </w:rPr>
        <w:t>ATS</w:t>
      </w:r>
      <w:r w:rsidRPr="005553DF">
        <w:rPr>
          <w:rFonts w:asciiTheme="minorHAnsi" w:hAnsiTheme="minorHAnsi" w:cstheme="minorHAnsi"/>
        </w:rPr>
        <w:t xml:space="preserve">DR may consider using a user-centered digital interface developed by the Silent Spring Institute for reporting results to each participant. ATSDR will </w:t>
      </w:r>
      <w:r w:rsidR="00022441" w:rsidRPr="005553DF">
        <w:rPr>
          <w:rFonts w:asciiTheme="minorHAnsi" w:hAnsiTheme="minorHAnsi" w:cstheme="minorHAnsi"/>
        </w:rPr>
        <w:t xml:space="preserve">present study results to the community in public meetings, printed community </w:t>
      </w:r>
      <w:r w:rsidRPr="005553DF">
        <w:rPr>
          <w:rFonts w:asciiTheme="minorHAnsi" w:hAnsiTheme="minorHAnsi" w:cstheme="minorHAnsi"/>
        </w:rPr>
        <w:t>handout</w:t>
      </w:r>
      <w:r w:rsidR="00022441" w:rsidRPr="005553DF">
        <w:rPr>
          <w:rFonts w:asciiTheme="minorHAnsi" w:hAnsiTheme="minorHAnsi" w:cstheme="minorHAnsi"/>
        </w:rPr>
        <w:t xml:space="preserve"> materials, participating in local radio programs and in informal activities.</w:t>
      </w:r>
      <w:r w:rsidR="006636BB" w:rsidRPr="005553DF">
        <w:rPr>
          <w:rFonts w:asciiTheme="minorHAnsi" w:hAnsiTheme="minorHAnsi" w:cstheme="minorHAnsi"/>
        </w:rPr>
        <w:t xml:space="preserve"> </w:t>
      </w:r>
      <w:r w:rsidR="006636BB" w:rsidRPr="005553DF">
        <w:rPr>
          <w:rFonts w:asciiTheme="minorHAnsi" w:hAnsiTheme="minorHAnsi" w:cstheme="minorHAnsi"/>
          <w:bCs/>
        </w:rPr>
        <w:t>ATSDR also will provide a study website for the Pease community with information about the study findings and general information about any future follow up studies.</w:t>
      </w:r>
    </w:p>
    <w:p w14:paraId="7C7D6652" w14:textId="77777777" w:rsidR="00C67A04" w:rsidRPr="005553DF" w:rsidRDefault="0002244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Generally, </w:t>
      </w:r>
      <w:r w:rsidR="00504E2B" w:rsidRPr="005553DF">
        <w:rPr>
          <w:rFonts w:asciiTheme="minorHAnsi" w:hAnsiTheme="minorHAnsi" w:cstheme="minorHAnsi"/>
        </w:rPr>
        <w:t xml:space="preserve">ATSDR will publish </w:t>
      </w:r>
      <w:r w:rsidRPr="005553DF">
        <w:rPr>
          <w:rFonts w:asciiTheme="minorHAnsi" w:hAnsiTheme="minorHAnsi" w:cstheme="minorHAnsi"/>
        </w:rPr>
        <w:t xml:space="preserve">study results only </w:t>
      </w:r>
      <w:r w:rsidR="00504E2B" w:rsidRPr="005553DF">
        <w:rPr>
          <w:rFonts w:asciiTheme="minorHAnsi" w:hAnsiTheme="minorHAnsi" w:cstheme="minorHAnsi"/>
        </w:rPr>
        <w:t>a</w:t>
      </w:r>
      <w:r w:rsidRPr="005553DF">
        <w:rPr>
          <w:rFonts w:asciiTheme="minorHAnsi" w:hAnsiTheme="minorHAnsi" w:cstheme="minorHAnsi"/>
        </w:rPr>
        <w:t xml:space="preserve">s group data analyses in peer-reviewed scientific journals or government reports. If individual data are presented, those will not be linked to participants’ identities. In the event that some other exceptional characteristics would enable personal identification, those would be masked or modified as needed to protect individual privacy. </w:t>
      </w:r>
      <w:r w:rsidR="00504E2B" w:rsidRPr="005553DF">
        <w:rPr>
          <w:rFonts w:asciiTheme="minorHAnsi" w:hAnsiTheme="minorHAnsi" w:cstheme="minorHAnsi"/>
        </w:rPr>
        <w:t>ATSDR will use m</w:t>
      </w:r>
      <w:r w:rsidRPr="005553DF">
        <w:rPr>
          <w:rFonts w:asciiTheme="minorHAnsi" w:hAnsiTheme="minorHAnsi" w:cstheme="minorHAnsi"/>
        </w:rPr>
        <w:t>anuscripts published in peer-reviewed scientific journals and presentations at major scientific meetings to inform the scientific communit</w:t>
      </w:r>
      <w:r w:rsidR="00FD4396" w:rsidRPr="005553DF">
        <w:rPr>
          <w:rFonts w:asciiTheme="minorHAnsi" w:hAnsiTheme="minorHAnsi" w:cstheme="minorHAnsi"/>
        </w:rPr>
        <w:t>y about the results of the</w:t>
      </w:r>
      <w:r w:rsidR="00504E2B" w:rsidRPr="005553DF">
        <w:rPr>
          <w:rFonts w:asciiTheme="minorHAnsi" w:hAnsiTheme="minorHAnsi" w:cstheme="minorHAnsi"/>
        </w:rPr>
        <w:t xml:space="preserve"> </w:t>
      </w:r>
      <w:r w:rsidR="00BF49EB" w:rsidRPr="005553DF">
        <w:rPr>
          <w:rFonts w:asciiTheme="minorHAnsi" w:hAnsiTheme="minorHAnsi" w:cstheme="minorHAnsi"/>
        </w:rPr>
        <w:t>Pease studies</w:t>
      </w:r>
      <w:r w:rsidRPr="005553DF">
        <w:rPr>
          <w:rFonts w:asciiTheme="minorHAnsi" w:hAnsiTheme="minorHAnsi" w:cstheme="minorHAnsi"/>
        </w:rPr>
        <w:t>.</w:t>
      </w:r>
    </w:p>
    <w:p w14:paraId="71CB584A" w14:textId="77777777" w:rsidR="00022441" w:rsidRPr="005553DF" w:rsidRDefault="00D21FD0" w:rsidP="005553DF">
      <w:pPr>
        <w:pStyle w:val="Heading1"/>
        <w:spacing w:before="100" w:beforeAutospacing="1" w:after="240" w:line="360" w:lineRule="auto"/>
        <w:rPr>
          <w:rFonts w:asciiTheme="minorHAnsi" w:hAnsiTheme="minorHAnsi" w:cstheme="minorHAnsi"/>
          <w:sz w:val="22"/>
          <w:szCs w:val="22"/>
        </w:rPr>
      </w:pPr>
      <w:bookmarkStart w:id="79" w:name="_Toc314069430"/>
      <w:bookmarkStart w:id="80" w:name="_Toc532224193"/>
      <w:r w:rsidRPr="005553DF">
        <w:rPr>
          <w:rFonts w:asciiTheme="minorHAnsi" w:hAnsiTheme="minorHAnsi" w:cstheme="minorHAnsi"/>
          <w:sz w:val="22"/>
          <w:szCs w:val="22"/>
        </w:rPr>
        <w:t>5</w:t>
      </w:r>
      <w:r w:rsidR="00022441" w:rsidRPr="005553DF">
        <w:rPr>
          <w:rFonts w:asciiTheme="minorHAnsi" w:hAnsiTheme="minorHAnsi" w:cstheme="minorHAnsi"/>
          <w:sz w:val="22"/>
          <w:szCs w:val="22"/>
        </w:rPr>
        <w:t xml:space="preserve">. </w:t>
      </w:r>
      <w:r w:rsidR="009D6257" w:rsidRPr="005553DF">
        <w:rPr>
          <w:rFonts w:asciiTheme="minorHAnsi" w:hAnsiTheme="minorHAnsi" w:cstheme="minorHAnsi"/>
          <w:sz w:val="22"/>
          <w:szCs w:val="22"/>
        </w:rPr>
        <w:t>STRENGTHS AND LIMITATIONS</w:t>
      </w:r>
      <w:bookmarkEnd w:id="79"/>
      <w:bookmarkEnd w:id="80"/>
    </w:p>
    <w:p w14:paraId="2106FC81" w14:textId="77777777" w:rsidR="00E55C1A" w:rsidRPr="005553DF" w:rsidRDefault="00E55C1A"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Cross-sectional studies are especially suitable for assessing effect biomarkers and the prevalences of nonfatal diseases, in particular, disease</w:t>
      </w:r>
      <w:r w:rsidR="00477214" w:rsidRPr="005553DF">
        <w:rPr>
          <w:rFonts w:asciiTheme="minorHAnsi" w:hAnsiTheme="minorHAnsi" w:cstheme="minorHAnsi"/>
        </w:rPr>
        <w:t>s with no clear point of onset (</w:t>
      </w:r>
      <w:r w:rsidRPr="005553DF">
        <w:rPr>
          <w:rFonts w:asciiTheme="minorHAnsi" w:hAnsiTheme="minorHAnsi" w:cstheme="minorHAnsi"/>
        </w:rPr>
        <w:t>Checkoway 2004</w:t>
      </w:r>
      <w:r w:rsidR="00477214" w:rsidRPr="005553DF">
        <w:rPr>
          <w:rFonts w:asciiTheme="minorHAnsi" w:hAnsiTheme="minorHAnsi" w:cstheme="minorHAnsi"/>
        </w:rPr>
        <w:t>)</w:t>
      </w:r>
      <w:r w:rsidRPr="005553DF">
        <w:rPr>
          <w:rFonts w:asciiTheme="minorHAnsi" w:hAnsiTheme="minorHAnsi" w:cstheme="minorHAnsi"/>
        </w:rPr>
        <w:t>. However, if the cross-sectional study concurrently measures the exposure and the outcome (i.e., the di</w:t>
      </w:r>
      <w:r w:rsidR="00537AAF" w:rsidRPr="005553DF">
        <w:rPr>
          <w:rFonts w:asciiTheme="minorHAnsi" w:hAnsiTheme="minorHAnsi" w:cstheme="minorHAnsi"/>
        </w:rPr>
        <w:t>sease or effect biomarker),</w:t>
      </w:r>
      <w:r w:rsidRPr="005553DF">
        <w:rPr>
          <w:rFonts w:asciiTheme="minorHAnsi" w:hAnsiTheme="minorHAnsi" w:cstheme="minorHAnsi"/>
        </w:rPr>
        <w:t xml:space="preserve"> it might be difficult to determine whether the exposure caused the outcome or whether the outcome influenced the measu</w:t>
      </w:r>
      <w:r w:rsidR="00CE756A" w:rsidRPr="005553DF">
        <w:rPr>
          <w:rFonts w:asciiTheme="minorHAnsi" w:hAnsiTheme="minorHAnsi" w:cstheme="minorHAnsi"/>
        </w:rPr>
        <w:t>red exposure level (Flanders 1992, 2016)</w:t>
      </w:r>
      <w:r w:rsidRPr="005553DF">
        <w:rPr>
          <w:rFonts w:asciiTheme="minorHAnsi" w:hAnsiTheme="minorHAnsi" w:cstheme="minorHAnsi"/>
        </w:rPr>
        <w:t xml:space="preserve">. For example, as discussed above, the concurrent measurement of serum PFAS levels and kidney function biomarkers might raise the question of “reverse causation” because kidney function can affect the levels of PFAS in serum. </w:t>
      </w:r>
      <w:r w:rsidR="00203426" w:rsidRPr="005553DF">
        <w:rPr>
          <w:rFonts w:asciiTheme="minorHAnsi" w:hAnsiTheme="minorHAnsi" w:cstheme="minorHAnsi"/>
        </w:rPr>
        <w:t xml:space="preserve">One approach to minimize the problem of reverse causation or possible confounding due to health outcomes that affect PFAS serum levels is </w:t>
      </w:r>
      <w:r w:rsidRPr="005553DF">
        <w:rPr>
          <w:rFonts w:asciiTheme="minorHAnsi" w:hAnsiTheme="minorHAnsi" w:cstheme="minorHAnsi"/>
        </w:rPr>
        <w:t xml:space="preserve">by estimating exposures based on the historical reconstruction modeling of serum PFAS levels. In addition, it might be possible to estimate exposures during critical vulnerable periods (e.g., in utero exposure) through the modeling of historical serum PFAS levels. However, the modeling of historical PFAS serum levels is subject to uncertainties and data limitations, and published methods </w:t>
      </w:r>
      <w:r w:rsidR="00203426" w:rsidRPr="005553DF">
        <w:rPr>
          <w:rFonts w:asciiTheme="minorHAnsi" w:hAnsiTheme="minorHAnsi" w:cstheme="minorHAnsi"/>
        </w:rPr>
        <w:t xml:space="preserve">currently </w:t>
      </w:r>
      <w:r w:rsidRPr="005553DF">
        <w:rPr>
          <w:rFonts w:asciiTheme="minorHAnsi" w:hAnsiTheme="minorHAnsi" w:cstheme="minorHAnsi"/>
        </w:rPr>
        <w:t xml:space="preserve">are available only to model serum levels of PFOA and PFOS. </w:t>
      </w:r>
    </w:p>
    <w:p w14:paraId="2411B0D0" w14:textId="77777777" w:rsidR="00E55C1A" w:rsidRPr="005553DF" w:rsidRDefault="00E55C1A"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Other issues concerning cross-sectional study designs are similar to those that confront other observational study designs, such as cohort studies. These issues include: 1) the ability to clearly define, enumerate and recruit (without introducing selection bias) the exposed and comparison populations, 2) the comparability of the exposed and comparison populations on risk factors other than the PFAS exposures, 3) accurate exposure assessment, and 4) accurate measurement of effect biomarkers and ascertainment of diseases.</w:t>
      </w:r>
      <w:r w:rsidR="00203426" w:rsidRPr="005553DF">
        <w:rPr>
          <w:rFonts w:asciiTheme="minorHAnsi" w:hAnsiTheme="minorHAnsi" w:cstheme="minorHAnsi"/>
        </w:rPr>
        <w:t xml:space="preserve"> In addition, </w:t>
      </w:r>
      <w:r w:rsidR="00CE4A8C" w:rsidRPr="005553DF">
        <w:rPr>
          <w:rFonts w:asciiTheme="minorHAnsi" w:hAnsiTheme="minorHAnsi" w:cstheme="minorHAnsi"/>
        </w:rPr>
        <w:t xml:space="preserve">a </w:t>
      </w:r>
      <w:r w:rsidR="00203426" w:rsidRPr="005553DF">
        <w:rPr>
          <w:rFonts w:asciiTheme="minorHAnsi" w:hAnsiTheme="minorHAnsi" w:cstheme="minorHAnsi"/>
        </w:rPr>
        <w:t xml:space="preserve">bias similar to the “healthy worker survival effect” bias could occur in a cross-sectional study because the study population </w:t>
      </w:r>
      <w:r w:rsidR="00E53294" w:rsidRPr="005553DF">
        <w:rPr>
          <w:rFonts w:asciiTheme="minorHAnsi" w:hAnsiTheme="minorHAnsi" w:cstheme="minorHAnsi"/>
        </w:rPr>
        <w:t>consists of those who remained in the study area (and, for example, did not leave</w:t>
      </w:r>
      <w:r w:rsidR="00FD0983" w:rsidRPr="005553DF">
        <w:rPr>
          <w:rFonts w:asciiTheme="minorHAnsi" w:hAnsiTheme="minorHAnsi" w:cstheme="minorHAnsi"/>
        </w:rPr>
        <w:t xml:space="preserve"> the study area</w:t>
      </w:r>
      <w:r w:rsidR="00E53294" w:rsidRPr="005553DF">
        <w:rPr>
          <w:rFonts w:asciiTheme="minorHAnsi" w:hAnsiTheme="minorHAnsi" w:cstheme="minorHAnsi"/>
        </w:rPr>
        <w:t xml:space="preserve"> due to health problems caused by exposure to the PFAS contaminated drinking water).</w:t>
      </w:r>
    </w:p>
    <w:p w14:paraId="55B8EE22" w14:textId="77777777" w:rsidR="00FD0983" w:rsidRPr="005553DF" w:rsidRDefault="00E55C1A"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Based on its review of the literature, ATSDR concludes that several health-related endpoints </w:t>
      </w:r>
      <w:r w:rsidR="00FD0983" w:rsidRPr="005553DF">
        <w:rPr>
          <w:rFonts w:asciiTheme="minorHAnsi" w:hAnsiTheme="minorHAnsi" w:cstheme="minorHAnsi"/>
        </w:rPr>
        <w:t xml:space="preserve">are feasible </w:t>
      </w:r>
      <w:r w:rsidRPr="005553DF">
        <w:rPr>
          <w:rFonts w:asciiTheme="minorHAnsi" w:hAnsiTheme="minorHAnsi" w:cstheme="minorHAnsi"/>
        </w:rPr>
        <w:t xml:space="preserve">for studies of the Pease population.  It is also clear that exposures to the PFAS-contaminated drinking water have occurred in the Pease population, as documented by the observed serum PFAS levels in the NH </w:t>
      </w:r>
      <w:r w:rsidR="008D5E2F" w:rsidRPr="005553DF">
        <w:rPr>
          <w:rFonts w:asciiTheme="minorHAnsi" w:hAnsiTheme="minorHAnsi" w:cstheme="minorHAnsi"/>
        </w:rPr>
        <w:t>DHHS PEASE PFAS</w:t>
      </w:r>
      <w:r w:rsidRPr="005553DF">
        <w:rPr>
          <w:rFonts w:asciiTheme="minorHAnsi" w:hAnsiTheme="minorHAnsi" w:cstheme="minorHAnsi"/>
        </w:rPr>
        <w:t xml:space="preserve"> </w:t>
      </w:r>
      <w:r w:rsidR="00532435" w:rsidRPr="005553DF">
        <w:rPr>
          <w:rFonts w:asciiTheme="minorHAnsi" w:hAnsiTheme="minorHAnsi" w:cstheme="minorHAnsi"/>
        </w:rPr>
        <w:t>blood-testing</w:t>
      </w:r>
      <w:r w:rsidRPr="005553DF">
        <w:rPr>
          <w:rFonts w:asciiTheme="minorHAnsi" w:hAnsiTheme="minorHAnsi" w:cstheme="minorHAnsi"/>
        </w:rPr>
        <w:t xml:space="preserve"> program.  Therefore, it is reasonable to conduct epidemiological studies of the Pease population. However, whether it is feasible to study a specific health-related endpoint depends on the size of the exposed population </w:t>
      </w:r>
      <w:r w:rsidR="00B522A6" w:rsidRPr="005553DF">
        <w:rPr>
          <w:rFonts w:asciiTheme="minorHAnsi" w:hAnsiTheme="minorHAnsi" w:cstheme="minorHAnsi"/>
        </w:rPr>
        <w:t xml:space="preserve">that may be </w:t>
      </w:r>
      <w:r w:rsidR="00FD0983" w:rsidRPr="005553DF">
        <w:rPr>
          <w:rFonts w:asciiTheme="minorHAnsi" w:hAnsiTheme="minorHAnsi" w:cstheme="minorHAnsi"/>
        </w:rPr>
        <w:t>recruit</w:t>
      </w:r>
      <w:r w:rsidR="00B522A6" w:rsidRPr="005553DF">
        <w:rPr>
          <w:rFonts w:asciiTheme="minorHAnsi" w:hAnsiTheme="minorHAnsi" w:cstheme="minorHAnsi"/>
        </w:rPr>
        <w:t>ed</w:t>
      </w:r>
      <w:r w:rsidR="00FD0983" w:rsidRPr="005553DF">
        <w:rPr>
          <w:rFonts w:asciiTheme="minorHAnsi" w:hAnsiTheme="minorHAnsi" w:cstheme="minorHAnsi"/>
        </w:rPr>
        <w:t xml:space="preserve"> </w:t>
      </w:r>
      <w:r w:rsidRPr="005553DF">
        <w:rPr>
          <w:rFonts w:asciiTheme="minorHAnsi" w:hAnsiTheme="minorHAnsi" w:cstheme="minorHAnsi"/>
        </w:rPr>
        <w:t xml:space="preserve">into a study.  </w:t>
      </w:r>
    </w:p>
    <w:p w14:paraId="32946EA3" w14:textId="77777777" w:rsidR="00C67A04" w:rsidRPr="005553DF" w:rsidRDefault="00E55C1A" w:rsidP="005553DF">
      <w:pPr>
        <w:spacing w:before="100" w:beforeAutospacing="1" w:after="240" w:line="360" w:lineRule="auto"/>
        <w:jc w:val="both"/>
        <w:rPr>
          <w:rFonts w:asciiTheme="minorHAnsi" w:hAnsiTheme="minorHAnsi"/>
          <w:b/>
          <w:sz w:val="24"/>
        </w:rPr>
      </w:pPr>
      <w:r w:rsidRPr="005553DF">
        <w:rPr>
          <w:rFonts w:asciiTheme="minorHAnsi" w:hAnsiTheme="minorHAnsi" w:cstheme="minorHAnsi"/>
        </w:rPr>
        <w:t xml:space="preserve">All epidemiological studies of environmental exposures and health outcomes have limitations and uncertainties. Whether a study will find an association between an environmental exposure and health effects </w:t>
      </w:r>
      <w:r w:rsidR="00FD0983" w:rsidRPr="005553DF">
        <w:rPr>
          <w:rFonts w:asciiTheme="minorHAnsi" w:hAnsiTheme="minorHAnsi" w:cstheme="minorHAnsi"/>
        </w:rPr>
        <w:t xml:space="preserve">is unknown </w:t>
      </w:r>
      <w:r w:rsidRPr="005553DF">
        <w:rPr>
          <w:rFonts w:asciiTheme="minorHAnsi" w:hAnsiTheme="minorHAnsi" w:cstheme="minorHAnsi"/>
        </w:rPr>
        <w:t xml:space="preserve">prior to conducting the study.  No single study of the Pease population will provide definitive answers to the community about whether their exposures to the PFAS-contaminated drinking water caused their health problems. The ability of a study of the Pease population to provide useful information will depend </w:t>
      </w:r>
      <w:r w:rsidR="00FD0983" w:rsidRPr="005553DF">
        <w:rPr>
          <w:rFonts w:asciiTheme="minorHAnsi" w:hAnsiTheme="minorHAnsi" w:cstheme="minorHAnsi"/>
        </w:rPr>
        <w:t>largely</w:t>
      </w:r>
      <w:r w:rsidRPr="005553DF">
        <w:rPr>
          <w:rFonts w:asciiTheme="minorHAnsi" w:hAnsiTheme="minorHAnsi" w:cstheme="minorHAnsi"/>
        </w:rPr>
        <w:t xml:space="preserve"> on the success of recruiting a sufficient number of study participants.</w:t>
      </w:r>
      <w:r w:rsidR="00C67A04" w:rsidRPr="005553DF">
        <w:rPr>
          <w:rFonts w:asciiTheme="minorHAnsi" w:hAnsiTheme="minorHAnsi"/>
          <w:sz w:val="24"/>
          <w:szCs w:val="24"/>
        </w:rPr>
        <w:br w:type="page"/>
      </w:r>
    </w:p>
    <w:p w14:paraId="0365265B" w14:textId="77777777" w:rsidR="00FD0983" w:rsidRPr="005553DF" w:rsidRDefault="00D21FD0" w:rsidP="005553DF">
      <w:pPr>
        <w:pStyle w:val="Heading1"/>
        <w:spacing w:before="0" w:after="240" w:line="240" w:lineRule="auto"/>
        <w:rPr>
          <w:rFonts w:asciiTheme="minorHAnsi" w:hAnsiTheme="minorHAnsi" w:cstheme="minorHAnsi"/>
          <w:b w:val="0"/>
          <w:sz w:val="22"/>
          <w:szCs w:val="22"/>
        </w:rPr>
      </w:pPr>
      <w:bookmarkStart w:id="81" w:name="_Toc532224194"/>
      <w:r w:rsidRPr="005553DF">
        <w:rPr>
          <w:rFonts w:asciiTheme="minorHAnsi" w:hAnsiTheme="minorHAnsi"/>
          <w:sz w:val="24"/>
        </w:rPr>
        <w:t>6</w:t>
      </w:r>
      <w:r w:rsidR="008E3DC5" w:rsidRPr="005553DF">
        <w:rPr>
          <w:rFonts w:asciiTheme="minorHAnsi" w:hAnsiTheme="minorHAnsi" w:cstheme="minorHAnsi"/>
          <w:sz w:val="22"/>
          <w:szCs w:val="22"/>
        </w:rPr>
        <w:t xml:space="preserve">. </w:t>
      </w:r>
      <w:r w:rsidR="00C67A04" w:rsidRPr="005553DF">
        <w:rPr>
          <w:rFonts w:asciiTheme="minorHAnsi" w:hAnsiTheme="minorHAnsi" w:cstheme="minorHAnsi"/>
          <w:sz w:val="22"/>
          <w:szCs w:val="22"/>
        </w:rPr>
        <w:t>REFERENCES</w:t>
      </w:r>
      <w:bookmarkEnd w:id="81"/>
    </w:p>
    <w:p w14:paraId="5A7D1AF1" w14:textId="77777777" w:rsidR="00334ECF" w:rsidRPr="005553DF" w:rsidRDefault="00334ECF" w:rsidP="005553DF">
      <w:pPr>
        <w:spacing w:after="240" w:line="240" w:lineRule="auto"/>
        <w:rPr>
          <w:rFonts w:asciiTheme="minorHAnsi" w:hAnsiTheme="minorHAnsi" w:cstheme="minorHAnsi"/>
          <w:color w:val="000000"/>
        </w:rPr>
      </w:pPr>
      <w:r w:rsidRPr="005553DF">
        <w:rPr>
          <w:rFonts w:asciiTheme="minorHAnsi" w:hAnsiTheme="minorHAnsi" w:cstheme="minorHAnsi"/>
        </w:rPr>
        <w:t xml:space="preserve">Agency for Toxic Substances and Disease Registry (ATSDR). Feasibility Assessment for Epidemiological Studies at Pease International Tradeport. Portsmouth, New Hampshire. November </w:t>
      </w:r>
      <w:r w:rsidRPr="005553DF">
        <w:rPr>
          <w:rFonts w:asciiTheme="minorHAnsi" w:eastAsiaTheme="minorHAnsi" w:hAnsiTheme="minorHAnsi" w:cstheme="minorHAnsi"/>
        </w:rPr>
        <w:t>2017a</w:t>
      </w:r>
      <w:r w:rsidRPr="005553DF">
        <w:rPr>
          <w:rFonts w:asciiTheme="minorHAnsi" w:hAnsiTheme="minorHAnsi" w:cstheme="minorHAnsi"/>
        </w:rPr>
        <w:t xml:space="preserve">. Available at: </w:t>
      </w:r>
      <w:hyperlink r:id="rId9" w:history="1">
        <w:r w:rsidRPr="005553DF">
          <w:rPr>
            <w:rStyle w:val="Hyperlink"/>
            <w:rFonts w:asciiTheme="minorHAnsi" w:hAnsiTheme="minorHAnsi" w:cstheme="minorHAnsi"/>
          </w:rPr>
          <w:t>https://www.atsdr.cdc.gov/sites/pease/documents/Pease_Feasibility_Assessment_November-2017_508.pdf</w:t>
        </w:r>
      </w:hyperlink>
    </w:p>
    <w:p w14:paraId="0C7F7E00" w14:textId="77777777" w:rsidR="00552212"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Agency for Toxic Substances and Disease Registry (ATSDR). </w:t>
      </w:r>
      <w:r w:rsidRPr="005553DF">
        <w:rPr>
          <w:rFonts w:asciiTheme="minorHAnsi" w:hAnsiTheme="minorHAnsi" w:cstheme="minorHAnsi"/>
          <w:bCs/>
          <w:iCs/>
          <w:color w:val="000000"/>
        </w:rPr>
        <w:t xml:space="preserve">ATSDR’s </w:t>
      </w:r>
      <w:r w:rsidRPr="005553DF">
        <w:rPr>
          <w:rFonts w:asciiTheme="minorHAnsi" w:hAnsiTheme="minorHAnsi" w:cstheme="minorHAnsi"/>
        </w:rPr>
        <w:t xml:space="preserve">PFAS Exposure Assessment Technical Tools (PEATT). Atlanta, Georgia. November 2017b. Available at: </w:t>
      </w:r>
      <w:r w:rsidR="00D2148F" w:rsidRPr="005553DF">
        <w:rPr>
          <w:rFonts w:asciiTheme="minorHAnsi" w:hAnsiTheme="minorHAnsi" w:cstheme="minorHAnsi"/>
        </w:rPr>
        <w:t>on request ATSDR/DCAI</w:t>
      </w:r>
    </w:p>
    <w:p w14:paraId="12116F70" w14:textId="77777777" w:rsidR="00356787" w:rsidRPr="005553DF" w:rsidRDefault="00356787"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Alexander BH, Olsen GW. Bladder cancer in perfluorooctanesulfonyl fluoride manufacturing workers. Ann Epidemiol. 2007;17(6):471-8.</w:t>
      </w:r>
    </w:p>
    <w:p w14:paraId="41ECE052" w14:textId="1F6FB5A6" w:rsidR="00027FD5" w:rsidRPr="005553DF" w:rsidRDefault="00027FD5"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Avanasi R, Shin HM, Vieira VM, Savitz DA, Bartell SM. Impact of Exposure Uncertainty on the Association between Perfluorooctanoate and Preeclampsia in the C8 Health Project Population. E</w:t>
      </w:r>
      <w:r w:rsidR="00C648FF">
        <w:rPr>
          <w:rFonts w:asciiTheme="minorHAnsi" w:eastAsiaTheme="minorHAnsi" w:hAnsiTheme="minorHAnsi" w:cstheme="minorHAnsi"/>
        </w:rPr>
        <w:t>nviron Health Perspect</w:t>
      </w:r>
      <w:r w:rsidR="00B53FA5" w:rsidRPr="005553DF">
        <w:rPr>
          <w:rFonts w:asciiTheme="minorHAnsi" w:eastAsiaTheme="minorHAnsi" w:hAnsiTheme="minorHAnsi" w:cstheme="minorHAnsi"/>
        </w:rPr>
        <w:t xml:space="preserve"> 2016</w:t>
      </w:r>
      <w:r w:rsidRPr="005553DF">
        <w:rPr>
          <w:rFonts w:asciiTheme="minorHAnsi" w:eastAsiaTheme="minorHAnsi" w:hAnsiTheme="minorHAnsi" w:cstheme="minorHAnsi"/>
        </w:rPr>
        <w:t>;124(1):126-32</w:t>
      </w:r>
    </w:p>
    <w:p w14:paraId="37669251"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Bach CC, Bech BH, Brix N, Nohr EA, Bonde JP, Henriksen TB. Perfluoroalkyl and polyfluoroalkyl substances and human fetal growth: a systematic review. Crit Rev Toxicol 2015;45(1):53-67. </w:t>
      </w:r>
    </w:p>
    <w:p w14:paraId="7507EFCF"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Barry V, Winquist A, Steenland K. Perfluorooctanoic Acid (PFOA) Exposures and Incident Cancers among Adults Living Near a Chemical Plant. Environ Health Perspect 2013;121:1313–1318.</w:t>
      </w:r>
    </w:p>
    <w:p w14:paraId="4C87D5DB"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Bartell SM. Online serum PFOA calculator for adults. Environ Health Perspect 2017; 125:104502.</w:t>
      </w:r>
    </w:p>
    <w:p w14:paraId="1223FD91" w14:textId="77777777" w:rsidR="00FA0E62" w:rsidRPr="005553DF" w:rsidRDefault="00FA0E6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Bonefeld-Jørgensen EC, Long M, Fredslund SO, Bossi R, Olsen J. Breast cancer risk after exposure to perfluorinated compounds in Danish women: a case-control study nested in the Danish National Birth Cohort. Cancer Causes Control. 2014;25(11):1439-48.</w:t>
      </w:r>
    </w:p>
    <w:p w14:paraId="09C35056" w14:textId="77777777" w:rsidR="0071541B" w:rsidRPr="005553DF" w:rsidRDefault="0071541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Cardenas et al. Plasma concentrations of per- and polyfluoroalkyl substances at baseline and associations with glycemic indicators and diabetes incidence among high-risk adults in the diabetes prevention program trial. Environ Health Perspect 2017;125(10):107001.</w:t>
      </w:r>
    </w:p>
    <w:p w14:paraId="24EDB09C" w14:textId="77777777" w:rsidR="00D2148F" w:rsidRPr="005553DF" w:rsidRDefault="00D2148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Calafat AM, Wong LY, Kuklenyik Z, Reidy JA, Needham LL. Polyfluoroalkyl chemicals in the U.S. population: data from the National Health and Nutrition Examination Survey (NHANES) 2003-2004 and comparisons with NHANES 1999-2000. Environ Health Perspect. 2007;115(11):1596-602.</w:t>
      </w:r>
    </w:p>
    <w:p w14:paraId="4D9D2172" w14:textId="77777777" w:rsidR="00334ECF" w:rsidRPr="005553DF" w:rsidRDefault="00334ECF" w:rsidP="005553DF">
      <w:pPr>
        <w:autoSpaceDE w:val="0"/>
        <w:autoSpaceDN w:val="0"/>
        <w:adjustRightInd w:val="0"/>
        <w:spacing w:after="240" w:line="240" w:lineRule="auto"/>
        <w:rPr>
          <w:rStyle w:val="Hyperlink"/>
          <w:rFonts w:asciiTheme="minorHAnsi" w:eastAsiaTheme="minorHAnsi" w:hAnsiTheme="minorHAnsi" w:cstheme="minorHAnsi"/>
        </w:rPr>
      </w:pPr>
      <w:r w:rsidRPr="005553DF">
        <w:rPr>
          <w:rFonts w:asciiTheme="minorHAnsi" w:eastAsiaTheme="minorHAnsi" w:hAnsiTheme="minorHAnsi" w:cstheme="minorHAnsi"/>
        </w:rPr>
        <w:t xml:space="preserve">Centers for Disease Control and Prevention (CDC). Fourth Report on Human Exposure to Environmental Chemicals, Updated Tables, (January 2017). Atlanta, GA: U.S. Department of Health and Human Services, Centers for Disease Control and Prevention. </w:t>
      </w:r>
      <w:hyperlink r:id="rId10" w:history="1">
        <w:r w:rsidRPr="005553DF">
          <w:rPr>
            <w:rStyle w:val="Hyperlink"/>
            <w:rFonts w:asciiTheme="minorHAnsi" w:eastAsiaTheme="minorHAnsi" w:hAnsiTheme="minorHAnsi" w:cstheme="minorHAnsi"/>
          </w:rPr>
          <w:t>https://www.cdc.gov/exposurereport/</w:t>
        </w:r>
      </w:hyperlink>
    </w:p>
    <w:p w14:paraId="2018E4EA" w14:textId="77777777" w:rsidR="006409A5" w:rsidRPr="005553DF" w:rsidRDefault="006409A5"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Centers for Disease Control and Prevention. Fourth Report on Human Exposure to Environmental Chemicals, Updated Tables, (March 2018). Atlanta, GA: U.S. Department of Health and Human Services, Centers for Disease Control and Prevention. https://www.cdc.gov/exposurereport/.</w:t>
      </w:r>
    </w:p>
    <w:p w14:paraId="761297F5" w14:textId="77777777" w:rsidR="003116EB" w:rsidRPr="005553DF" w:rsidRDefault="003116E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Chang ET, Adami HO, Boffetta P, Wedner HJ, Mandel JS. A critical review of perfluorooctanoate and perfluorooctanesulfonate exposure and immunological health conditions in humans. Crit Rev Toxicol. 2016;46(4):279-331.</w:t>
      </w:r>
    </w:p>
    <w:p w14:paraId="425C7FA0" w14:textId="77777777" w:rsidR="003116EB" w:rsidRPr="005553DF" w:rsidRDefault="003116E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Chang ET, Adami HO, Boffetta P, Cole P, Starr TB, Mandel JS. A critical review of perfluorooctanoate and perfluorooctanesulfonate exposure and cancer risk in humans. Crit Rev Toxicol. 2014;44 Suppl 1:1-81.</w:t>
      </w:r>
    </w:p>
    <w:p w14:paraId="7198ED1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Checkoway H, Pearce N, Kriebel D. Research Methods in Occupational Epidemiology, Second Edition. Oxford U. Press 2004.</w:t>
      </w:r>
    </w:p>
    <w:p w14:paraId="12CBC47A" w14:textId="77777777" w:rsidR="0061084C" w:rsidRPr="005553DF" w:rsidRDefault="0061084C"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Christensen et al. Perfluoroalkyl substances and fish consumption. Environ Res 2017; 154:145-151.</w:t>
      </w:r>
    </w:p>
    <w:p w14:paraId="2E3D3664" w14:textId="434233E4" w:rsidR="00FA0E62" w:rsidRPr="005553DF" w:rsidRDefault="00AD4EFA"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Clair HB, Pinkston C, Pavuk M, Dutton ND, Brock G, Prough RA, Falkner CK, Wahlang B, McClaine CJ, and Cave MC. High Prevalence of Environmental Liver Disease and Suspected Toxicant Associated Steatohepatitis in a Large United States Residential Cohort With High Polychlorinated Biphenyl Exposures. Toxicol Sci. 2018</w:t>
      </w:r>
      <w:r w:rsidR="00397E62" w:rsidRPr="005553DF">
        <w:rPr>
          <w:rFonts w:asciiTheme="minorHAnsi" w:eastAsiaTheme="minorHAnsi" w:hAnsiTheme="minorHAnsi" w:cstheme="minorHAnsi"/>
        </w:rPr>
        <w:t>; 164(1):39-49.</w:t>
      </w:r>
    </w:p>
    <w:p w14:paraId="7D5C6B66" w14:textId="77777777" w:rsidR="002A79D9" w:rsidRPr="005553DF" w:rsidRDefault="002A79D9"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Crawford NM, Fenton SE, Strynar M, Hines EP, Pritchard DA, Steiner AZ. Effects of perfluorinated chemicals on thyroid function, markers of ovarian reserve, and natural fertility. Reprod Toxicol. 2017;69:53-59.</w:t>
      </w:r>
    </w:p>
    <w:p w14:paraId="5D91166C" w14:textId="77777777" w:rsidR="00FA0E62" w:rsidRPr="005553DF" w:rsidRDefault="00FA0E6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Dalsager L, Christensen N, Husby S, Kyhl H, Nielsen F, Høst A, Grandjean P, Jensen TK. Association between prenatal exposure to perfluorinated compounds and symptoms of infections at age 1-4years among 359 children in the Odense Child Cohort. Environ Int. 2016 Nov;96:58-64.</w:t>
      </w:r>
    </w:p>
    <w:p w14:paraId="22161C81" w14:textId="77777777" w:rsidR="00E10CCC" w:rsidRPr="005553DF" w:rsidRDefault="00E10CCC"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Daly ER, Chan BP, Talbot EA et al. Per- and polyfluoroalkyl substance (PFAS) exposure assessment in a community exposed to contaminated drinking water, New Hampshire, 2015. Int J Hyg Environ Health 2018;221:569-577</w:t>
      </w:r>
      <w:r w:rsidR="005E74C6" w:rsidRPr="005553DF">
        <w:rPr>
          <w:rFonts w:asciiTheme="minorHAnsi" w:eastAsiaTheme="minorHAnsi" w:hAnsiTheme="minorHAnsi" w:cstheme="minorHAnsi"/>
        </w:rPr>
        <w:t>.</w:t>
      </w:r>
    </w:p>
    <w:p w14:paraId="4550509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Darrow LA, Groth AC, Winquist A, Shin HM, Bartell SM, Steenland K. Modeled perfluorooctanoic acid (PFOA) exposure and liver function in a Mid-Ohio Valley Community. Environ Health Perspect 2016;124:1227-1233.</w:t>
      </w:r>
    </w:p>
    <w:p w14:paraId="35306E8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Dhingra R, Winquist A, Darrow LA, Klein M, Steenland K. A Study of Reverse Causation: Examining the Associations of Perfluorooctanoic Acid Serum Levels with Two Outcomes. Environ Health Perspect. 2017;125(3):416-421. </w:t>
      </w:r>
    </w:p>
    <w:p w14:paraId="1E0CD0F7" w14:textId="77777777" w:rsidR="0071541B" w:rsidRPr="005553DF" w:rsidRDefault="00036CA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Domazet SL, Grøntved A, Timmermann AG, Nielsen F, Jensen TK</w:t>
      </w:r>
      <w:r w:rsidR="0071541B" w:rsidRPr="005553DF">
        <w:rPr>
          <w:rFonts w:asciiTheme="minorHAnsi" w:eastAsiaTheme="minorHAnsi" w:hAnsiTheme="minorHAnsi" w:cstheme="minorHAnsi"/>
        </w:rPr>
        <w:t>. Longitudinal associations of exposure to perfluoroalkylated substances in childhood and adolescence and indicators of adiposity and glycose metabolism 6 and 12 years later: The European Youth Heart Study. Diabetes Care 2016;39(10):1745-51.</w:t>
      </w:r>
    </w:p>
    <w:p w14:paraId="6CB955BD" w14:textId="77777777" w:rsidR="0061084C" w:rsidRPr="005553DF" w:rsidRDefault="0061084C"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Domingo et al. Human dietary exposure to perfluoroalkyl substances in Catalonia, Spain. Food Chemistry 2012;135:1575-1582.</w:t>
      </w:r>
    </w:p>
    <w:p w14:paraId="1D1B34D7"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Emmett, EA,</w:t>
      </w:r>
      <w:r w:rsidRPr="005553DF">
        <w:t xml:space="preserve"> </w:t>
      </w:r>
      <w:r w:rsidRPr="005553DF">
        <w:rPr>
          <w:rFonts w:asciiTheme="minorHAnsi" w:eastAsiaTheme="minorHAnsi" w:hAnsiTheme="minorHAnsi" w:cstheme="minorHAnsi"/>
        </w:rPr>
        <w:t>Shofer FS, Zhang H, Freeman D, Desai C, Shaw LM. Community Exposure to Perfluorooctanoate: Relationships Between Serum Concentrations and Exposure Sources. J Occ Environ Med 2006; 48(8):759-770.</w:t>
      </w:r>
    </w:p>
    <w:p w14:paraId="37C6D547"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Emmett, EA, Shofer FS, Freeman D, Desai C, Shaw LM. Community Exposure to Perfluorooctanoate: Relationships Between Serum Levels and Certain Health Parameters. J Occ Environ Med 2006;48(8):771-779.</w:t>
      </w:r>
    </w:p>
    <w:p w14:paraId="61F0CEF8" w14:textId="77777777" w:rsidR="004119BB" w:rsidRPr="005553DF" w:rsidRDefault="004119B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Fàbrega F, Kumar V, Schuhmacher M, Domingo JL, Nadal M. PBPK modeling for PFOS and PFOA: validation with human experimental data. Toxicol Lett. 2014 ;230(2):244-51.</w:t>
      </w:r>
    </w:p>
    <w:p w14:paraId="6E40F98D" w14:textId="77777777" w:rsidR="004119BB" w:rsidRPr="005553DF" w:rsidRDefault="004119B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Fàbrega F, Nadal M, Schuhmacher M, Domingo JL, Kumar V. Influence of the uncertainty in the validation of PBPK models: A case-study for PFOS and PFOA. Regul Toxicol Pharmacol. 2016;77:230-9.</w:t>
      </w:r>
    </w:p>
    <w:p w14:paraId="4DB280EC"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Fei C, Olsen J. Prenatal exposure to perfluorinated chemicals and behavioral or coordination problems at age 7 years. Environ Health Perspect. 2011;119:573-578.</w:t>
      </w:r>
    </w:p>
    <w:p w14:paraId="5408AA63" w14:textId="77777777" w:rsidR="00015822" w:rsidRPr="005553DF" w:rsidRDefault="0001582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Feldstein AE, Alkhouri N, De Vito R, Alisi A, Lopez R, Nobili V. Serum cytokeratin-18 fragment levels are useful biomarkers for nonalcoholic steatohepatitis in children. Am J Gastroenterol. 2013;108(9):1526-31.</w:t>
      </w:r>
    </w:p>
    <w:p w14:paraId="6B7D6AD5" w14:textId="77777777" w:rsidR="001D6792" w:rsidRPr="005553DF" w:rsidRDefault="001D679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Ferrante MC, Amero P, Santoro A, Monnolo A, Simeoli R, Di Guida F, Mattace Raso G, Meli R. Polychlorinated biphenyls (PCB 101, PCB 153 and PCB 180) alter leptin signaling and lipid metabolism in differentiated 3T3-L1 adipocytes. Toxicol Appl Pharmacol. 2014; 279(3):401-8.</w:t>
      </w:r>
    </w:p>
    <w:p w14:paraId="45786989"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Fisher M, Arbuckle TE, Wade M, Haines DA. Do perfluoroalkyl lsubstances affect metabolic function and plasma lipids?—Analysis of the 2007–2009, Canadian Health Measures Survey (CHMS) Cycle1. Environ Res 2013;121:95-103.</w:t>
      </w:r>
    </w:p>
    <w:p w14:paraId="377585D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Fitz-Simon N, Fletcher T, Luster MI, Steenland K, Calafat AM, Kato K, Armstrong B. Reductions in serum lipids with a 4-year decline in serum perfluorooctanoic acid and perfluorooctanesulfonic acid. Epidemiology 2013;24:569-76.</w:t>
      </w:r>
    </w:p>
    <w:p w14:paraId="329D21A3"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Flanders WD, Lin L, Pirkle JL, Caudill SP. Assessing the direction of causality in cross-sectional studies. Am J Epidemiol 1992;135:926-935.</w:t>
      </w:r>
    </w:p>
    <w:p w14:paraId="51204673"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Flanders WD, Klein M, Mirabelli MC. Conditions for valid estimation of causal effects on prevalence in cross-sectional and other studies. Ann Epidemiol 2016;26:389-394.</w:t>
      </w:r>
    </w:p>
    <w:p w14:paraId="5E3B9A9E" w14:textId="77777777" w:rsidR="00EA2378" w:rsidRPr="005553DF" w:rsidRDefault="00A43244"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Fleisch AF</w:t>
      </w:r>
      <w:r w:rsidR="00EA2378" w:rsidRPr="005553DF">
        <w:rPr>
          <w:rFonts w:asciiTheme="minorHAnsi" w:eastAsiaTheme="minorHAnsi" w:hAnsiTheme="minorHAnsi" w:cstheme="minorHAnsi"/>
        </w:rPr>
        <w:t xml:space="preserve">, Rifas-Shiman SL, Mora AM, Calafat AM, Ye X, Luttmann-Gibson H, Gillman MW, Oken E, Sagiv SK. Early-Life Exposure to Perfluoroalkyl Substances and Childhood Metabolic Function. Environ Health Perspect. 2017;125(3):481-487. </w:t>
      </w:r>
    </w:p>
    <w:p w14:paraId="2FA78E5E"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Frisbee SJ, Brooks Jr AP, Maher A, et al. The C8 health project: design, methods, and participants. Environ Health Perspect 2009;117:1873-1882.</w:t>
      </w:r>
    </w:p>
    <w:p w14:paraId="4A0D865D"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Frisbee SJ, Shankar A, Knox SS, Steenland K, Savitz DA, Fletcher T, Ducatman AM. Perfluorooctanoic acid, perfluorooctanesulfonate, and serum lipids in children and adolescents: Results from the C8 Health Project. Arch Pediatr Adolesc Med 2010;164:860-869.</w:t>
      </w:r>
    </w:p>
    <w:p w14:paraId="03E86BF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Fu Y, Wang T, Fu Q, Wang P, Lu Y. Associations between serum concentrations of perfluoroalkyl acids and serum lipid levels in a Chinese population. Ecotoxicol Environ Saf 2014;106:246-52.</w:t>
      </w:r>
    </w:p>
    <w:p w14:paraId="06819AFA"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Gallo V, Leonardi G, Genser B, Lopez-Espinosa MJ, Frisbee SJ, Karlsson L, Ducatman AM, Fletcher T. Serum perfluorooctanoate (PFOA) and perfluorooctane sulfonate (PFOS) concentrations and liver function biomarkers in a population with elevated PFOA exposure. Environ Health Perspect 2012;120:655–660.</w:t>
      </w:r>
    </w:p>
    <w:p w14:paraId="3523128E"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Geiger SD, Xiao J, Shankar A. Positive association between perfluoroalkyl chemicals and hyperuricemia in children. Am J Epidemiol 2013;177:1255-1262.</w:t>
      </w:r>
    </w:p>
    <w:p w14:paraId="1D8BB219" w14:textId="77777777" w:rsidR="005D564C" w:rsidRPr="005553DF" w:rsidRDefault="005D564C"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Gleason JA, Post GB, Fagliano JA. Associations of perfluorinated chemical serum concentrations and biomarkers of liver function and uric acid in the US population (NHANES), 2007-2010. Environ Res. 2015;136:8-14.</w:t>
      </w:r>
    </w:p>
    <w:p w14:paraId="133C1AC3"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Gomis MI, Vestergren R, MacLeod M, Mueller JF, Cousins IT. Historical human exposure to perfluoroalkyl acids in the United States and Australia reconstructed from biomonitoring data using population-based pharmacokinetic modelling. Environ Int 2017;108:92-102.</w:t>
      </w:r>
    </w:p>
    <w:p w14:paraId="03DB6EBB"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Grandjean P, Andersen EW, Budtz-Jørgensen E, Nielsen F, Mølbak K, Weihe P, Heilmann C. Serum Vaccine Antibody Concentrations in Children Exposed to Perfluorinated Compounds. JAMA 2012;307: 391–397.</w:t>
      </w:r>
    </w:p>
    <w:p w14:paraId="14339EC7" w14:textId="4C75E02C"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Grandjean P, Heilmann C, Weihe P, Nielsen F, Mogensen UB, Budtz-Jørgensen E. Serum vaccine antibody concentrations in adolescents exposed to perfluorinated compounds. Environ Health Perspect </w:t>
      </w:r>
      <w:r w:rsidR="00E719A9" w:rsidRPr="00E719A9">
        <w:rPr>
          <w:rFonts w:asciiTheme="minorHAnsi" w:eastAsiaTheme="minorHAnsi" w:hAnsiTheme="minorHAnsi" w:cstheme="minorHAnsi"/>
        </w:rPr>
        <w:t>2017;125(7):077018</w:t>
      </w:r>
      <w:r w:rsidR="00E719A9">
        <w:rPr>
          <w:rFonts w:asciiTheme="minorHAnsi" w:eastAsiaTheme="minorHAnsi" w:hAnsiTheme="minorHAnsi" w:cstheme="minorHAnsi"/>
        </w:rPr>
        <w:t>.</w:t>
      </w:r>
    </w:p>
    <w:p w14:paraId="1B5EFD87"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Granum, Haug LS, Namork E, Stølevik SB, Thomsen C, Aaberge IS, van Loveren H, Løvik M, Nygaard UC. Pre-natal exposure to perfluoroalkyl substances may be associated with altered vaccine antibody levels and immune-related health outcomes in early childhood. J Immunotoxicol 2013; 10:4, 373-379.</w:t>
      </w:r>
    </w:p>
    <w:p w14:paraId="2630F797" w14:textId="77777777" w:rsidR="006B371B" w:rsidRPr="005553DF" w:rsidRDefault="006B371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Harada K, Inoue K, Morikawa A, Yoshinaga T, Saito N, Koizumi A. Renal clearance of perfluorooctane sulfonate and perfluorooctanoate in humans and their species-specific excretion. Environ Res 2005; 99:253–261</w:t>
      </w:r>
    </w:p>
    <w:p w14:paraId="3F9723A3" w14:textId="77777777" w:rsidR="0071541B" w:rsidRPr="005553DF" w:rsidRDefault="00036CA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He X, Liu Y, Xu B, Gu L, Tang W. </w:t>
      </w:r>
      <w:r w:rsidR="0071541B" w:rsidRPr="005553DF">
        <w:rPr>
          <w:rFonts w:asciiTheme="minorHAnsi" w:eastAsiaTheme="minorHAnsi" w:hAnsiTheme="minorHAnsi" w:cstheme="minorHAnsi"/>
        </w:rPr>
        <w:t>PFOA is associated with diabetes and metabolic alteration in US men: National Health and Nutrition Examination Survey 2003-2012. Sci Total Environ 2018;625:566-74.</w:t>
      </w:r>
    </w:p>
    <w:p w14:paraId="243EFE81" w14:textId="77777777" w:rsidR="00DB685E" w:rsidRPr="005553DF" w:rsidRDefault="00DB685E"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Hennig, B., Oesterling, E., &amp; Toborek, M. Environmental toxicity, nutrition, and gene interactions in the development of atherosclerosis. Nutr Metab Cardiovasc Dis. 2007; 17(2):162-169. </w:t>
      </w:r>
    </w:p>
    <w:p w14:paraId="1FB66FF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Hoffman K, Webster TF, Weisskopf MG, Weinberg J, Vieira VM. Exposure to polyfluoroalkyl chemicals and attention deficit/hyperactivity disorder in U.S. children 12-15 years of age. Environ Health Perspect 2010;118(12):1762-7.</w:t>
      </w:r>
    </w:p>
    <w:p w14:paraId="34F2D736" w14:textId="77777777" w:rsidR="00450191" w:rsidRPr="005553DF" w:rsidRDefault="00450191"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Innes KE, Ducatman AM, Luster MI, Shankar A. Association of osteoarthritis with serum levels of the environmental contaminants perfluorooctanoate and perfluorooctane sulfonate in a large Appalachian population. Am J Epidemiol. 2011;174(4):440-50.</w:t>
      </w:r>
    </w:p>
    <w:p w14:paraId="63370317" w14:textId="7CDF076A" w:rsidR="0079113D" w:rsidRPr="005553DF" w:rsidRDefault="0079113D"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Jain RB. Association between thyroid profile and perfluoroalkyl acids: data from NHA</w:t>
      </w:r>
      <w:r w:rsidR="00765520" w:rsidRPr="005553DF">
        <w:rPr>
          <w:rFonts w:asciiTheme="minorHAnsi" w:eastAsiaTheme="minorHAnsi" w:hAnsiTheme="minorHAnsi" w:cstheme="minorHAnsi"/>
        </w:rPr>
        <w:t>N</w:t>
      </w:r>
      <w:r w:rsidRPr="005553DF">
        <w:rPr>
          <w:rFonts w:asciiTheme="minorHAnsi" w:eastAsiaTheme="minorHAnsi" w:hAnsiTheme="minorHAnsi" w:cstheme="minorHAnsi"/>
        </w:rPr>
        <w:t>ES 2007-2008. Environ Res. 2013 Oct;126:51-9.</w:t>
      </w:r>
    </w:p>
    <w:p w14:paraId="507E6657"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Ji K, Kim S, Kho Y, Paek D, Sakong J, Ha J, Kim S, Choi K. Serum concentrations of major perfluorinated compounds among the general population in Korea: Dietary sources and potential impact on thyroid hormones. Environ Int 2012;45:78-85.</w:t>
      </w:r>
    </w:p>
    <w:p w14:paraId="1C290168" w14:textId="77777777" w:rsidR="0079113D" w:rsidRPr="005553DF" w:rsidRDefault="0079113D"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Joensen UN, Veyrand B, Antignac JP, Blomberg Jensen M, Petersen JH, Marchand P, Skakkebæk NE, Andersson AM, Le Bizec B, Jørgensen N. PFOS (perfluorooctanesulfonate) in serum is negatively associated with testosterone levels, but not with semen quality, in healthy men. Hum Reprod. 2013;28(3):599-608.</w:t>
      </w:r>
    </w:p>
    <w:p w14:paraId="6C27B88A"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Karlsen M, Grandjean P, Weihe P, Steuerwald U, Oulhote Y, Valvi D. Early-life exposures to persistent organic pollutants in relation to overweight in preschool children. Reprod Toxicol </w:t>
      </w:r>
      <w:r w:rsidR="00A2302A" w:rsidRPr="005553DF">
        <w:rPr>
          <w:rFonts w:asciiTheme="minorHAnsi" w:eastAsiaTheme="minorHAnsi" w:hAnsiTheme="minorHAnsi" w:cstheme="minorHAnsi"/>
        </w:rPr>
        <w:t>2017;68:145-153.</w:t>
      </w:r>
    </w:p>
    <w:p w14:paraId="4ADF6418"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Kataria A, Trachtman H, Malaga-Dieguez L, Trasande L. Association between perfluoroalkyl acids and kidney function in a cross-sectional study of adolescents. Environ Health 2015;14:89.</w:t>
      </w:r>
    </w:p>
    <w:p w14:paraId="770FBE2A" w14:textId="77777777" w:rsidR="008944E6" w:rsidRPr="005553DF" w:rsidRDefault="00A43244"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Khalil N</w:t>
      </w:r>
      <w:r w:rsidR="008944E6" w:rsidRPr="005553DF">
        <w:rPr>
          <w:rFonts w:asciiTheme="minorHAnsi" w:eastAsiaTheme="minorHAnsi" w:hAnsiTheme="minorHAnsi" w:cstheme="minorHAnsi"/>
        </w:rPr>
        <w:t>, Chen A, Lee M, Czerwinski SA, Ebert JR, DeWitt JC, Kannan K. Association of Perfluoroalkyl Substances, Bone Mineral Density, and Osteoporosis in the U.S. Population in NHANES 2009-2010. Environ Health Perspect. 2016;124(1):81-7.</w:t>
      </w:r>
    </w:p>
    <w:p w14:paraId="31FF3C1B" w14:textId="77777777" w:rsidR="0079113D" w:rsidRPr="005553DF" w:rsidRDefault="0079113D"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Knox SS, Jackson T, Frisbee SJ, Javins B, Ducatman AM. Perfluorocarbon exposure, gender and thyroid function in the C8 Health Project. J Toxicol Sci. 2011;36(4):403-10.</w:t>
      </w:r>
    </w:p>
    <w:p w14:paraId="27B1B28C" w14:textId="77777777" w:rsidR="00572B93" w:rsidRPr="005553DF" w:rsidRDefault="00572B93"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Kristensen SL, Ramlau-Hansen CH, Ernst E, Olsen SF, Bonde JP, Vested A, Halldorsson TI, Becher G, Haug LS, Toft G. Long-term effects of prenatal exposure to perfluoroalkyl substances on female reproduction. Hum Reprod. 2013;28(12):3337-48.</w:t>
      </w:r>
    </w:p>
    <w:p w14:paraId="671B7D6C" w14:textId="77777777" w:rsidR="0058072D" w:rsidRPr="005553DF" w:rsidRDefault="0058072D"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Kuklenyik Z, Needham LL, Calafat AM. Measurement of 18 perfluorinated organic acids and amides in human serum using on-line solid-phase extraction. Anal Chem. 2005;77(18):6085-91.</w:t>
      </w:r>
    </w:p>
    <w:p w14:paraId="24A78CE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Lash TL, Fox MP, Fink AK. Applying Quantitative Bias Analysis to Epidemiologic Data. Springer (NY, 2009).</w:t>
      </w:r>
    </w:p>
    <w:p w14:paraId="4AD52646" w14:textId="77777777" w:rsidR="00F40671" w:rsidRPr="005553DF" w:rsidRDefault="00F40671"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Lavrakas PJ ed. Encyclopedia of Survey Research Methods. Sage Publication, 2008.</w:t>
      </w:r>
    </w:p>
    <w:p w14:paraId="6E2A39A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Lien GW, Huang CC, Shiu JS, Chen MH, Hsieh WS, Guo YL, Chen PC. Perfluoroalkyl substances in cord blood and attention deficit/hyperactivity disorder symptoms in seven-year-old children. Chemosphere. 2016;156:118-27. </w:t>
      </w:r>
    </w:p>
    <w:p w14:paraId="64F2768F"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Liew Z, Ritz B, von Ehrenstein OS, Bech BH, Nohr EA, Fei C, Bossi R, Henriksen TB, Bonefeld-Jørgensen EC, Olsen J. Attention deficit/hyperactivity disorder and childhood autism in association with prenatal exposure to perfluoroalkyl substances: a nested case-control study in the Danish National Birth Cohort. Environ Health Perspect 2015;123(4):367-73.</w:t>
      </w:r>
    </w:p>
    <w:p w14:paraId="44BB4376"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Lin CY, Wen LL, Lin LY, Wen TW, Lien GW, Hsu SH, Chien KL, Liao CC, Sung FC, Chen PC, Su TC. The associations between serum perfluorinated chemicals and thyroid function in adolescents and young adults. J Hazard Mater 2013;244-245:637-644.</w:t>
      </w:r>
    </w:p>
    <w:p w14:paraId="5F17D4D7"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Lipsitch M, Tchetgen Tchetgen E, Cohen T. Negative controls: A tool for detecting confounding and bias in observational studies. Epidemiol 2010;21:383-388.</w:t>
      </w:r>
    </w:p>
    <w:p w14:paraId="304D272E" w14:textId="77777777" w:rsidR="000938A7" w:rsidRPr="005553DF" w:rsidRDefault="000938A7"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Loccisano AE, Longnecker MP, Campbell JL Jr, Andersen ME, Clewell HJ 3rd. Development of PBPK models for PFOA and PFOS for human pregnancy and lactation life stages. J Toxicol Environ Health A. 2013;76(1):25-57</w:t>
      </w:r>
    </w:p>
    <w:p w14:paraId="1AE4D8D8"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Looker C, Luster MI, Calafat AM, Johnson VJ, Burleson GR, Burleson FG, Fletcher T. Influenza Vaccine Response in Adults Exposed to Perfluorooctanoate and Perfluorooctanesulfonate. Toxicol Sci 2014; 138(1): 76–88. </w:t>
      </w:r>
    </w:p>
    <w:p w14:paraId="585F94BC"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Lopez-Espinosa MJ, Fletcher T, Armstrong B, Genser B, Dhatariya K, Mondal D, Ducatman A, Leonardi G. Association of Perfluorooctanoic Acid (PFOA) and Perfluorooctane Sulfonate (PFOS) with age of puberty among children living near a chemical plant. Environ Sci Technol 2011;45:8160-8166.</w:t>
      </w:r>
    </w:p>
    <w:p w14:paraId="65D9C7F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Lopez-Espinosa MJ, Mondal D, Armstrong B, Bloom MS, Fletcher T. Thyroid function and perfluoroalkyl acids in children living near a chemical plant. Environ Health Perspect 2012;120:1036-1041.</w:t>
      </w:r>
    </w:p>
    <w:p w14:paraId="6ED9162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Lopez-Espinosa MJ, Mondal D, Armstrong BG, Eskenazi B, Fletcher T. Perfluoroalkyl substances, sex hormones, and insulin-like growth factor-1 at 6–9 years of age: a cross-sectional analysis within the C8 Health Project. Environ Health Perspect 2016;124:1269-1275.</w:t>
      </w:r>
    </w:p>
    <w:p w14:paraId="19331A87"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Maisonet M, Näyhä S, Lawlor DA, Marcus M. Prenatal exposures to perfluoroalkyl acids and serum lipids at ages 7 and 15 in females. Environ Int 2015a;82:49-60.</w:t>
      </w:r>
    </w:p>
    <w:p w14:paraId="588D7067"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Maisonet M, Calafat AM, Marcus M, Jaakkola JJ, Lashen H. Prenatal exposure to perfluoroalkyl acids and serum testosterone concentrations at 15 years of age in female ALSPAC study participants. Environ Health Perspect 2015b;123:1325-1330.</w:t>
      </w:r>
    </w:p>
    <w:p w14:paraId="451E049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Maldonado G, Greenland S. Simulation Study of Confounder-Selection Strategies. Am J Epidemiol 1993;138: 923–36.</w:t>
      </w:r>
    </w:p>
    <w:p w14:paraId="2BA2371F" w14:textId="77777777" w:rsidR="008D4B0B" w:rsidRPr="005553DF" w:rsidRDefault="008D4B0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Mattsson K, Rignell-Hydbom A, Holmberg S, Thelin A, Jönsson BA, Lindh CH1, Sehlstedt A, Rylander L. Levels of perfluoroalkyl substances and risk of coronary heart disease: Findings from a population-based longitudinal study. Environ Res 2015;142:148-54.</w:t>
      </w:r>
    </w:p>
    <w:p w14:paraId="0929713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Melzer D, Rice N, Depledge MH, Henley WE, Galloway TS. Association between serum perfluorooctanoic acid (PFOA) and thyroid disease in the U.S. National Health and Nutrition Examination Survey. Environ Health Perspect 2010;118:686–692.</w:t>
      </w:r>
    </w:p>
    <w:p w14:paraId="15E7F883" w14:textId="77777777" w:rsidR="0075518C" w:rsidRPr="005553DF" w:rsidRDefault="0075518C"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Mora AM, Fleisch AF, Rifas-Shiman SL, Woo Baidal JA, Pardo L, Webster TF, Calafat AM, Ye X, Oken E, Sagiv SK. Early life exposure to per- and polyfluoroalkyl substances and mid-childhood lipid and alanine aminotransferase levels. Environ Int. 2018;111:1-13.</w:t>
      </w:r>
    </w:p>
    <w:p w14:paraId="7F35644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Nelson JW, Hatch EE, Webster TF. Exposure to polyfluoroalkyl chemicals and cholesterol, body weight, and insulin resistance in the general U.S. population. Environ Health Perspect 2010;118:197-202.</w:t>
      </w:r>
    </w:p>
    <w:p w14:paraId="3E55A5FB" w14:textId="77777777" w:rsidR="00334ECF" w:rsidRPr="005553DF" w:rsidRDefault="00334ECF" w:rsidP="005553DF">
      <w:pPr>
        <w:spacing w:after="240" w:line="240" w:lineRule="auto"/>
        <w:rPr>
          <w:rStyle w:val="Hyperlink"/>
          <w:rFonts w:asciiTheme="minorHAnsi" w:eastAsiaTheme="minorHAnsi" w:hAnsiTheme="minorHAnsi" w:cstheme="minorHAnsi"/>
        </w:rPr>
      </w:pPr>
      <w:r w:rsidRPr="005553DF">
        <w:rPr>
          <w:rFonts w:asciiTheme="minorHAnsi" w:eastAsiaTheme="minorHAnsi" w:hAnsiTheme="minorHAnsi" w:cstheme="minorHAnsi"/>
        </w:rPr>
        <w:t xml:space="preserve">New Hampshire Division of Public Health Services, Department of Health and Human Services (NH DHHS). Pease PFC Blood-testing Program: April 2015 – October 2015. Pease Tradeport, Portsmouth, NH, June 2016. </w:t>
      </w:r>
      <w:hyperlink r:id="rId11" w:history="1">
        <w:r w:rsidRPr="005553DF">
          <w:rPr>
            <w:rStyle w:val="Hyperlink"/>
            <w:rFonts w:asciiTheme="minorHAnsi" w:eastAsiaTheme="minorHAnsi" w:hAnsiTheme="minorHAnsi" w:cstheme="minorHAnsi"/>
          </w:rPr>
          <w:t>http://www.dhhs.nh.gov/dphs/documents/pease-pfc-blood-testing.pdf</w:t>
        </w:r>
      </w:hyperlink>
    </w:p>
    <w:p w14:paraId="76CD5716" w14:textId="77777777" w:rsidR="00BB3BE9" w:rsidRPr="005553DF" w:rsidRDefault="00BB3BE9"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Ngueta G, Longnecker MP, Yoon M, Ruark CD, Clewell HJ Rd, Andersen ME, Verner MA. Quantitative bias analysis of a reported association between perfluoroalkyl substances (PFAS) and endometriosis: The influence of oral contraceptive use. Environ Int. 2017;104:118-121.</w:t>
      </w:r>
    </w:p>
    <w:p w14:paraId="3E92DD14"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Ode A, Kallen K, Gustafsson P, Rylander L, Jonsson BA, Olofsson P, Ivarsson SA, Lindh CH, Rignell-Hydbom A. Fetal Exposure to Perfluorinated Compounds and Attention Deficit Hyperactivity Disorder in Childhood. PLoS ONE 2014; 9(4): e95891.</w:t>
      </w:r>
    </w:p>
    <w:p w14:paraId="23382C4C" w14:textId="77777777" w:rsidR="00CB012D" w:rsidRPr="005553DF" w:rsidRDefault="00A43244"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Olsen GW</w:t>
      </w:r>
      <w:r w:rsidR="00CB012D" w:rsidRPr="005553DF">
        <w:rPr>
          <w:rFonts w:asciiTheme="minorHAnsi" w:eastAsiaTheme="minorHAnsi" w:hAnsiTheme="minorHAnsi" w:cstheme="minorHAnsi"/>
        </w:rPr>
        <w:t>, Zobel LR. Assessment of lipid, hepatic, and thyroid parameters with serum perfluorooctanoate (PFOA) concentrations in fluorochemical production workers. Int Arch Occup Environ Health. 2007;81(2):231-46. Epub 2007 Jun 29.</w:t>
      </w:r>
    </w:p>
    <w:p w14:paraId="3D0825E5"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Oulhote Y, Steuerwald U, Debes F, et al. Behavioral difficulties in 7-year old children in relation to developmental exposure to perfluorinated alkyl substances. Environ Int 2016;97:237-245.</w:t>
      </w:r>
    </w:p>
    <w:p w14:paraId="7CA28433"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Porta M. ed. A Dictionary of Epidemiology, Sixth Edition, Edited for the International Epidemiological Association. Oxford University Press (2014, NY) pp. 200, 246.</w:t>
      </w:r>
    </w:p>
    <w:p w14:paraId="01B699B5"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Qin XD, Qian Z, Vaughn MG, Huang J, Ward P, Zeng XW, Zhou Y, Zhu Y, Yuan P, Li M, Bai Z, Paul G, Hao YT, Chen W, Chen PC, Dong GH, Lee YL. Positive associations of serum perfluoroalkyl substances with uric acid and hyperuricemia in children from Taiwan. Environ Pollution 2016;212:519-524.</w:t>
      </w:r>
    </w:p>
    <w:p w14:paraId="55336DE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hAnsiTheme="minorHAnsi" w:cstheme="minorHAnsi"/>
        </w:rPr>
        <w:t>Rappazzo KM, Coffman E, Hines EP. Exposure to Perfluorinated Alkyl Substances and Health Outcomes in Children: A Systematic Review of the Epidemiologic Literature. Int. J. Environ. Res. Public Health 2017, 14, 691</w:t>
      </w:r>
    </w:p>
    <w:p w14:paraId="310CE748"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Rothman KJ, Greenland S, Lash TL. Modern Epidemiology, 3rd Edition.Walters Kluwer/ Lippincott Williams &amp; Wilkins, Philadelphia, PA. 2008.</w:t>
      </w:r>
    </w:p>
    <w:p w14:paraId="571178E4"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Rothman KJ. Curbing type I and type II errors. Eur J Epidemiol 2010;25:223-224.</w:t>
      </w:r>
    </w:p>
    <w:p w14:paraId="5457A475"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Rothman KJ. Six persistent research misconceptions. J Gen Intern Med. 2014;29:1060-4.</w:t>
      </w:r>
    </w:p>
    <w:p w14:paraId="414D1058" w14:textId="77777777" w:rsidR="007848F6" w:rsidRPr="005553DF" w:rsidRDefault="00C6645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Ruark CD, Song G, Yoon M, Verner MA, Andersen ME, Clewell HJ 3rd, Longnecker MP. Quantitative bias analysis for epidemiological associations of perfluoroalkyl substance serum concentrations and early onset of menopause. Environ Int. 2017;99:245-254.</w:t>
      </w:r>
    </w:p>
    <w:p w14:paraId="4478D2C4" w14:textId="77777777" w:rsidR="007848F6" w:rsidRPr="005553DF" w:rsidRDefault="007848F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Sakr CJ, Kreckmann KH, Green JW, Gillies PJ, Reynolds JL, Leonard RC.Cross-sectional study of lipids and liver enzymes related to a serum biomarker of exposure (ammonium perfluorooctanoate or APFO) as part of a general health survey in a cohort of occupationally exposed workers. J Occup Environ Med. 2007</w:t>
      </w:r>
      <w:r w:rsidR="00450191" w:rsidRPr="005553DF">
        <w:rPr>
          <w:rFonts w:asciiTheme="minorHAnsi" w:eastAsiaTheme="minorHAnsi" w:hAnsiTheme="minorHAnsi" w:cstheme="minorHAnsi"/>
        </w:rPr>
        <w:t>a</w:t>
      </w:r>
      <w:r w:rsidRPr="005553DF">
        <w:rPr>
          <w:rFonts w:asciiTheme="minorHAnsi" w:eastAsiaTheme="minorHAnsi" w:hAnsiTheme="minorHAnsi" w:cstheme="minorHAnsi"/>
        </w:rPr>
        <w:t>;49(10):1086-96.</w:t>
      </w:r>
    </w:p>
    <w:p w14:paraId="6A3A7807" w14:textId="77777777" w:rsidR="007848F6" w:rsidRPr="005553DF" w:rsidRDefault="007848F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Sakr CJ, Leonard RC, Kreckmann KH, Slade MD, Cullen MR.Longitudinal study of serum lipids and liver enzymes in workers with occupational exposure to ammonium perfluorooctanoate. J Occup Environ Med. 2007b;49(8):872-9</w:t>
      </w:r>
    </w:p>
    <w:p w14:paraId="601B81AD" w14:textId="77777777" w:rsidR="00BB783B" w:rsidRPr="005553DF" w:rsidRDefault="00BB783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Santoro N, Feldstein AE, Enoksson E, Pierpont B, Kursawe R, Kim G, Caprio S. The association between hepatic fat content and liver injury in obese children and adolescents: effects of ethnicity, insulin resistance, and common gene variants. Diabetes Care. 2013;36(5):1353-60.</w:t>
      </w:r>
    </w:p>
    <w:p w14:paraId="1A4AC19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Shankar A, Xiao J, Ducatman A. Perfluoroalkyl chemicals and elevated serum uric acid in US adults. Clin Epidemiol 2011;3:251-258.</w:t>
      </w:r>
    </w:p>
    <w:p w14:paraId="40F1550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Shankar A, Xiao J, Ducatman A. Perfluorooctanoic acid and cardiovascular disease in US adults. Arch Intern Med 2012;172:1397-403.</w:t>
      </w:r>
    </w:p>
    <w:p w14:paraId="05570C71" w14:textId="77777777" w:rsidR="00821D96" w:rsidRPr="005553DF" w:rsidRDefault="00821D9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Shen J, Chan HL, Wong GL, Choi PC, Chan AW, Chan HY, Chim AM, Yeung DK, Chan FK, Woo J, Yu J, Chu WC, Wong VW. Non-invasive diagnosis of non-alcoholic steatohepatitis by combined serum biomarkers. J Hepatol. 2012;56(6):1363-70</w:t>
      </w:r>
      <w:r w:rsidR="00090D9B" w:rsidRPr="005553DF">
        <w:rPr>
          <w:rFonts w:asciiTheme="minorHAnsi" w:eastAsiaTheme="minorHAnsi" w:hAnsiTheme="minorHAnsi" w:cstheme="minorHAnsi"/>
        </w:rPr>
        <w:t>.</w:t>
      </w:r>
    </w:p>
    <w:p w14:paraId="7784EEF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Shin HM, Vieira VM, Ryan PB et al. Retrospective exposure estimation and predicted versus observed serum perfluorooctanoic acid concentrations for participants in the C8 Health Project. Environ Health Perspect 2011;119:1760-1765.</w:t>
      </w:r>
    </w:p>
    <w:p w14:paraId="41CF6D9D"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Stang A, Poole C, Kuss O: The ongoing tyranny of statistical significance testing in biomedical research. Eur J Epidemiol 2010, 25:225-30.</w:t>
      </w:r>
    </w:p>
    <w:p w14:paraId="4DAD06C3"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Tinker S, Frisbee S, Ducatman A, Vaccarino V. Association of perfluorooctanoic acid and perfluorooctane sulfonate with serum lipids among adults living near a chemical plant. Am J Epidemiol 2009;170:1268-1278.</w:t>
      </w:r>
    </w:p>
    <w:p w14:paraId="01E941CF"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Association of perfluorooctanoic acid (PFOA) and perfluorooctane sulfonate (PFOS) with uric acid among adults with elevated community exposure to PFOA. Environ Health Perspect 2010;118:229–233.</w:t>
      </w:r>
    </w:p>
    <w:p w14:paraId="6C8E42F1" w14:textId="77777777" w:rsidR="00B62CB7" w:rsidRPr="005553DF" w:rsidRDefault="00B62CB7"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Zhao L, Winquist A, Parks C. Ulcerative colitis and perfluorooctanoic acid (PFOA) in a highly exposed population of community residents and workers in the mid-Ohio valley. Environ Health Perspect. 2013;121(8):900-5.</w:t>
      </w:r>
    </w:p>
    <w:p w14:paraId="28AAFFDB" w14:textId="77777777" w:rsidR="003B1FA4" w:rsidRPr="005553DF" w:rsidRDefault="003B1FA4"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Zhao L, Winquist A. A cohort incidence study of workers exposed to perfluorooctanoic acid (PFOA). Occup Environ Med. 2015;72(5):373-80.</w:t>
      </w:r>
    </w:p>
    <w:p w14:paraId="4326391E"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Stein CR, Savitz DA. Serum perfluorinated compound concentration and attention deficit/hyperactivity disorder in children 5-18 years of age. Environ Health Perspect 2011;119:1466-1471.</w:t>
      </w:r>
    </w:p>
    <w:p w14:paraId="2C6A1575"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Stein CR, Savitz DA, Bellinger DC. Perfluorooctanoate and neuropsychological outcomes in children. Epidemiology 2013;24:590-599.</w:t>
      </w:r>
    </w:p>
    <w:p w14:paraId="7CC5F002"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Stein CR, Savitz DA, Elston B, Thorpe PG, Gilboa SM. Perfluorooctanoate exposure and major birth defects. Reprod Toxicol. 2014a;47:15-20. </w:t>
      </w:r>
    </w:p>
    <w:p w14:paraId="50957A02"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Stein CR, Savitz DA, Bellinger DC. Perfluorooctanoate exposure in a highly exposed community and parent and teacher reports of behavior in 6-12-year-old children. Paediatr Perinat Epidemiol 2014b;28:146-156.Stein CR, McGovern KJ, Pajak AM, Maglione PJ, Wolff MS. Perfluoroalkyl and Polyfluoroalkyl Substances and Indicators of Immune function in children aged 12–19 y: National Health and Nutrition Examination Survey. Pediatr Res. 2016a; 79(2):348-57. </w:t>
      </w:r>
    </w:p>
    <w:p w14:paraId="11766D2E"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Stein CR, Ge Y, Wolff MS et al. Perfluoroalkyl substance serum concentrations and immune response to FluMist vaccination among healthy adults. Environ Res 2016b;149:171-178.</w:t>
      </w:r>
    </w:p>
    <w:p w14:paraId="07473802" w14:textId="77777777" w:rsidR="00C66452" w:rsidRPr="005553DF" w:rsidRDefault="00C6645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Sun Q, Zong G, Valvi D, Nielsen F, Coull B, Grandjean P. Plasma concentrations of perfluoroalkyl substances and risk of type 2 diabetes: A prospective investigation among US Women. Environ Health Perspect 2018;126(3):037001.</w:t>
      </w:r>
    </w:p>
    <w:p w14:paraId="523C6457" w14:textId="77777777" w:rsidR="009B7ABA" w:rsidRPr="005553DF" w:rsidRDefault="009B7ABA"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Trochim WMK. Research Methods Knowledge Base. </w:t>
      </w:r>
      <w:r w:rsidR="006D5D0F" w:rsidRPr="005553DF">
        <w:rPr>
          <w:rFonts w:asciiTheme="minorHAnsi" w:eastAsiaTheme="minorHAnsi" w:hAnsiTheme="minorHAnsi" w:cstheme="minorHAnsi"/>
        </w:rPr>
        <w:t xml:space="preserve">2006. </w:t>
      </w:r>
      <w:r w:rsidRPr="005553DF">
        <w:rPr>
          <w:rFonts w:asciiTheme="minorHAnsi" w:eastAsiaTheme="minorHAnsi" w:hAnsiTheme="minorHAnsi" w:cstheme="minorHAnsi"/>
        </w:rPr>
        <w:t>https://socialresearchmethods.net/kb/sampnon.php.</w:t>
      </w:r>
    </w:p>
    <w:p w14:paraId="71E23F9C" w14:textId="77777777" w:rsidR="00F77D8F" w:rsidRPr="005553DF" w:rsidRDefault="00F77D8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Tyrer S, Heyman B. Sampling in epidemiological research: issues, hazards and pitfalls. BJPsych Bull. 2016;40(2):57-60.</w:t>
      </w:r>
    </w:p>
    <w:p w14:paraId="0FAF33FE"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Uhl SA, James-Todd J, Bell ML. Association of Osteoarthritis with Perfluorooctanoate and Perfluorooctane Sulfonate in NHANES 2003–2008. Environ Health Perspect 2013;121:447-452.</w:t>
      </w:r>
    </w:p>
    <w:p w14:paraId="4F6A558A"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U.S. Environmental Protection Agency (EPA). Provisional Health Advisories for Perfluorooctanoic Acid (PFOA) and Perfluorooctyl Sulfonate (PFOS); 2009. Available from http://water.epa.gov/action/advisories/drinking/upload/2009_01_15_criteria_drinking_pha-PFOA_PFOS.pdf</w:t>
      </w:r>
    </w:p>
    <w:p w14:paraId="3D6066CD"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U.S. Environmental Protection Agency (EPA). Fact Sheet – PFOS &amp; PFOA Drinking Water Health Advisories. Ground Water and Drinking Water; 2016a. Available from: https://www.epa.gov/sites/production/files/2016-06/documents/drinkingwaterhealthadvisories_pfoa_pfos_updated_5.31.16.pdf</w:t>
      </w:r>
    </w:p>
    <w:p w14:paraId="36548DE1"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U.S. Environmental Protection Agency (EPA). Third Unregulated Contaminant Monitoring Rule, July </w:t>
      </w:r>
    </w:p>
    <w:p w14:paraId="64D3CE8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2016b. Available from:</w:t>
      </w:r>
      <w:r w:rsidR="00F37EB7" w:rsidRPr="005553DF">
        <w:rPr>
          <w:rFonts w:asciiTheme="minorHAnsi" w:eastAsiaTheme="minorHAnsi" w:hAnsiTheme="minorHAnsi" w:cstheme="minorHAnsi"/>
        </w:rPr>
        <w:t xml:space="preserve"> </w:t>
      </w:r>
      <w:r w:rsidRPr="005553DF">
        <w:rPr>
          <w:rFonts w:asciiTheme="minorHAnsi" w:eastAsiaTheme="minorHAnsi" w:hAnsiTheme="minorHAnsi" w:cstheme="minorHAnsi"/>
        </w:rPr>
        <w:t>https://www.epa.gov/dwucmr/occurrence-data-unregulated-contaminant monitoring-rule#3</w:t>
      </w:r>
    </w:p>
    <w:p w14:paraId="2CA7BA96" w14:textId="77777777" w:rsidR="00294676" w:rsidRPr="005553DF" w:rsidRDefault="0029467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Verner MA, Longnecker MP. Comment on "enhanced elimination of perfluorooctanesulfonic Acid by menstruating women: evidence from population-based pharmacokinetic modeling". Environ Sci Technol. 2015;49(9):5836-7.</w:t>
      </w:r>
    </w:p>
    <w:p w14:paraId="39ADCB48"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Verner MA, Loccisano AE, Morken NH, Yoon M, Wu H, McDougall R, Maisonet M, Marcus M, Kishi R, Miyashita C, Chen MH, Hsieh WS, Andersen ME, Clewell HJ 3rd, Longnecker MP. Associations of perfluoroalkyl substances (PFAS) with lower birth weight: an evaluation of potential confounding by glomerular filtration rate using a physiologically based pharmacokinetic model (PBPK). Environ Health Perspect 2015;123(12):1317-24. </w:t>
      </w:r>
    </w:p>
    <w:p w14:paraId="5B5C6B3C" w14:textId="77777777" w:rsidR="00C66452" w:rsidRPr="005553DF" w:rsidRDefault="00C6645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Verner MA, Ngueta G, Jensen ET, Fromme H, Völkel W, Nygaard UC, Granum B, Longnecker MP. A Simple Pharmacokinetic Model of Prenatal and Postnatal Exposure to Perfluoroalkyl Substances (PFASs). Environ Sci Technol. 2016; 19;50(2):978-86</w:t>
      </w:r>
    </w:p>
    <w:p w14:paraId="038AD416" w14:textId="77777777" w:rsidR="00821D96" w:rsidRPr="005553DF" w:rsidRDefault="00821D9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Vos MB, Barve S, Joshi-Barve S, Carew JD, Whitington PF, McClain CJ. Cytokeratin 18, a marker of cell death, is increased in children with suspected nonalcoholic fatty liver disease. J Pediatr Gastroenterol Nutr. 2008 Oct;47(4):481-5.</w:t>
      </w:r>
    </w:p>
    <w:p w14:paraId="7FF70A0F" w14:textId="77777777" w:rsidR="00D46501" w:rsidRPr="005553DF" w:rsidRDefault="00D46501"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Vuong AM, Yolton K, Webster GM, Sjödin A, Calafat AM, Braun JM, Dietrich KN, Lanphear BP, Chen A. Prenatal polybrominated diphenyl ether and perfluoroalkyl substance exposures and executive function in school-age children. Environ Res. 2016;147:556-64</w:t>
      </w:r>
    </w:p>
    <w:p w14:paraId="4349D8E3" w14:textId="77777777" w:rsidR="00DB685E" w:rsidRPr="005553DF" w:rsidRDefault="00DB685E"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Wahlang B, Prough RA, Falkner KC, Hardesty JE, Song M, Clair HB, Clark BJ, States JC, Arteel GE, Cave MC.Polychlorinated Biphenyl-Xenobiotic Nuclear Receptor Interactions Regulate Energy Metabolism,  Behavior, and Inflammation in Non-alcoholic-Steatohepatitis. Toxicol Sci. 2016;149(2):396-410.</w:t>
      </w:r>
    </w:p>
    <w:p w14:paraId="031244A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Wang IJ, Hsieh WS, Chen CY, Fletcher T, Lien GW, Chiang HL, Chiang CF, Wu TN, Chen PC. The effect of prenatal perfluorinated chemicals exposures on pediatric atopy. Environ Res 2011; 111:785–791.</w:t>
      </w:r>
    </w:p>
    <w:p w14:paraId="6EDF5E87"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Wang Z, DeWitt JC, Higgins CP, Cousins IT. A never-ending story of per- and polyfluoroalkyl subtances (PFASs)? Environ Sci Technol 2017;51:2508-2518.</w:t>
      </w:r>
    </w:p>
    <w:p w14:paraId="0A3A47ED" w14:textId="77777777" w:rsidR="008914C3" w:rsidRPr="005553DF" w:rsidRDefault="008914C3"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Weisskopf MG, Seals RM, Webster TF. Bias Amplification in Epidemiologic Analysis of Exposure to Mixtures. Environ Health Perspect 2018;126:047003.</w:t>
      </w:r>
    </w:p>
    <w:p w14:paraId="78E60245"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Wen LL, Lin LY, Su TC, Chen PC, Lin CY. Association between serum perfluorinated chemicals and thyroid function in U.S. adults: The National Health and Nutrition Examination Survey 2007–2010. J Clin Endocrinol Metab 2013;98:E1456-E1464.</w:t>
      </w:r>
    </w:p>
    <w:p w14:paraId="2AF21398" w14:textId="77777777" w:rsidR="00173A0E" w:rsidRPr="005553DF" w:rsidRDefault="00173A0E"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Wieser V, Moschen AR, Tilg H. Inflammation, cytokines and insulin resistance: a clinical perspective. Arch Immunol Ther Exp (Warsz). 2013; 61(2):119-25.</w:t>
      </w:r>
    </w:p>
    <w:p w14:paraId="23E671E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Winquist A, Steenland K. Perfluorooctanoic acid exposure and thyroid disease in community and worker cohorts. Epidemiology 2014a;25:255-264.</w:t>
      </w:r>
    </w:p>
    <w:p w14:paraId="5AAB9F6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Winquist A, Steenland K. Modeled PFOA exposure and coronary artery disease, hypertension, and high cholesterol in community and worker cohorts. Environ Health Perspect 2014b; 122:1299-1305.</w:t>
      </w:r>
    </w:p>
    <w:p w14:paraId="050F0405" w14:textId="77777777" w:rsidR="00F6766E" w:rsidRPr="005553DF" w:rsidRDefault="00027FD5"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Wong F</w:t>
      </w:r>
      <w:r w:rsidR="00F6766E" w:rsidRPr="005553DF">
        <w:rPr>
          <w:rFonts w:asciiTheme="minorHAnsi" w:eastAsiaTheme="minorHAnsi" w:hAnsiTheme="minorHAnsi" w:cstheme="minorHAnsi"/>
        </w:rPr>
        <w:t xml:space="preserve">, MacLeod M, Mueller JF, Cousins IT. Enhanced elimination of perfluorooctane sulfonic acid by menstruating women: evidence from population-based pharmacokinetic modeling. Environ Sci Technol. 2014;48(15):8807-14. </w:t>
      </w:r>
    </w:p>
    <w:p w14:paraId="2C19DFE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Worley RR, Yang X, Fisher J. Physiologically based pharmacokinetic modeling of human exposure to perfluorooctanoic acid suggests historical non drinking-water exposures are important for predicting current serum concentrations. Toxicol Appl Pharmacol. 2017a;330:9-21.</w:t>
      </w:r>
    </w:p>
    <w:p w14:paraId="77AE66B8"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Worley RR, Moore, SM, Tierney BC, Ye X, Calafat AM, Campbell S, Woudneh MB, Fisher J. Per- and polyfluoroalkyl substances in human serum and urine samples from a residentially exposed community. Environ Int. 2017b;106:135-143.</w:t>
      </w:r>
    </w:p>
    <w:p w14:paraId="78A79295"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Ye X, Kato K, Wong LY, Jia T, Kalathil A, Latremouille J, Calafat AM. Per- and Polyfluoroalkyl Substances in Sera from Children 3 to 11 Years of Age Participating in the National Health and Nutrition Examination Survey 2013–2014. Int J Hyg Environ Health 2017;Sep29: S1438-4639(17)30588-6 [Epub ahead of print]</w:t>
      </w:r>
    </w:p>
    <w:p w14:paraId="4FAF5424"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Zeng XW, Qian Z, Emo B, Vaughn M, Bao J, Qin XD, Zhu Y, Li J, Lee YL, Dong GH. Association of polyfluoroalkyl chemical exposure with serum lipids in children. Sc Total Environ 2015;512-513;364-370.</w:t>
      </w:r>
    </w:p>
    <w:p w14:paraId="143BC638" w14:textId="77777777" w:rsidR="006B371B" w:rsidRPr="005553DF" w:rsidRDefault="006B371B" w:rsidP="005553DF">
      <w:pPr>
        <w:spacing w:after="240" w:line="240" w:lineRule="auto"/>
        <w:rPr>
          <w:rFonts w:asciiTheme="minorHAnsi" w:hAnsiTheme="minorHAnsi" w:cstheme="minorHAnsi"/>
        </w:rPr>
      </w:pPr>
      <w:r w:rsidRPr="005553DF">
        <w:rPr>
          <w:rFonts w:asciiTheme="minorHAnsi" w:hAnsiTheme="minorHAnsi" w:cstheme="minorHAnsi"/>
        </w:rPr>
        <w:t>Zhang T, Sun H, Qin X, Gan Z, Kannan K. PFOS and PFOA in paired urine and blood from general adults and pregnant women: assessment of urinary elimination. Environ Sci Pollut Res Int. 2015;22(7):5572-9.</w:t>
      </w:r>
    </w:p>
    <w:p w14:paraId="542FFD5A" w14:textId="77777777" w:rsidR="00457D44" w:rsidRPr="005553DF" w:rsidRDefault="00334ECF" w:rsidP="005553DF">
      <w:pPr>
        <w:spacing w:after="240" w:line="240" w:lineRule="auto"/>
        <w:rPr>
          <w:rFonts w:asciiTheme="minorHAnsi" w:eastAsia="Times New Roman" w:hAnsiTheme="minorHAnsi"/>
          <w:b/>
          <w:bCs/>
          <w:kern w:val="32"/>
          <w:sz w:val="32"/>
          <w:szCs w:val="32"/>
        </w:rPr>
      </w:pPr>
      <w:r w:rsidRPr="005553DF">
        <w:rPr>
          <w:rFonts w:asciiTheme="minorHAnsi" w:hAnsiTheme="minorHAnsi" w:cstheme="minorHAnsi"/>
        </w:rPr>
        <w:t>Zhou Y, Hu LW, Qian ZM, Chang JJ, King C, Paul G, Lin S, Chen PC, Lee YL, Dong GH. Association of perfluoroalkyl substances exposure with reproductive hormone levels in adolescents: By sex status. Environ International 2016;94:189-195.</w:t>
      </w:r>
      <w:r w:rsidR="00457D44" w:rsidRPr="005553DF">
        <w:rPr>
          <w:rFonts w:asciiTheme="minorHAnsi" w:hAnsiTheme="minorHAnsi"/>
        </w:rPr>
        <w:br w:type="page"/>
      </w:r>
    </w:p>
    <w:p w14:paraId="50174993" w14:textId="77777777" w:rsidR="00B321E7" w:rsidRPr="005553DF" w:rsidRDefault="00B321E7" w:rsidP="005553DF">
      <w:pPr>
        <w:pStyle w:val="Heading1"/>
        <w:spacing w:before="0" w:after="0"/>
        <w:rPr>
          <w:rFonts w:asciiTheme="minorHAnsi" w:hAnsiTheme="minorHAnsi" w:cstheme="minorHAnsi"/>
          <w:sz w:val="22"/>
          <w:szCs w:val="22"/>
        </w:rPr>
      </w:pPr>
      <w:bookmarkStart w:id="82" w:name="_Toc532224195"/>
      <w:bookmarkStart w:id="83" w:name="_Toc515212372"/>
      <w:bookmarkStart w:id="84" w:name="_Toc500768070"/>
      <w:r w:rsidRPr="005553DF">
        <w:rPr>
          <w:rFonts w:asciiTheme="minorHAnsi" w:hAnsiTheme="minorHAnsi" w:cstheme="minorHAnsi"/>
          <w:sz w:val="22"/>
          <w:szCs w:val="22"/>
        </w:rPr>
        <w:t>7. LIST OF ATTACHMENTS</w:t>
      </w:r>
      <w:bookmarkEnd w:id="82"/>
    </w:p>
    <w:p w14:paraId="286E6B1D"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85" w:name="_Toc532224196"/>
      <w:r w:rsidRPr="005553DF">
        <w:rPr>
          <w:rFonts w:asciiTheme="minorHAnsi" w:hAnsiTheme="minorHAnsi" w:cstheme="minorHAnsi"/>
          <w:b w:val="0"/>
          <w:sz w:val="20"/>
          <w:szCs w:val="20"/>
        </w:rPr>
        <w:t>Attachment 1. Investigators and Key Study Personnel</w:t>
      </w:r>
      <w:bookmarkEnd w:id="85"/>
    </w:p>
    <w:p w14:paraId="2F1001CA"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86" w:name="_Toc532224197"/>
      <w:r w:rsidRPr="005553DF">
        <w:rPr>
          <w:rFonts w:asciiTheme="minorHAnsi" w:hAnsiTheme="minorHAnsi" w:cstheme="minorHAnsi"/>
          <w:b w:val="0"/>
          <w:sz w:val="20"/>
          <w:szCs w:val="20"/>
        </w:rPr>
        <w:t>Attachment 2. PFAS Serum Levels, Pease vs. External Populations</w:t>
      </w:r>
      <w:bookmarkEnd w:id="86"/>
    </w:p>
    <w:p w14:paraId="14217C73"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87" w:name="_Toc532224198"/>
      <w:r w:rsidRPr="005553DF">
        <w:rPr>
          <w:rFonts w:asciiTheme="minorHAnsi" w:hAnsiTheme="minorHAnsi" w:cstheme="minorHAnsi"/>
          <w:b w:val="0"/>
          <w:color w:val="auto"/>
          <w:sz w:val="20"/>
          <w:szCs w:val="20"/>
        </w:rPr>
        <w:t>Attachment 2a. Pease serum PFAS levels in µg/L, by age groups, 2018</w:t>
      </w:r>
      <w:bookmarkEnd w:id="87"/>
    </w:p>
    <w:p w14:paraId="63B007FD"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88" w:name="_Toc532224199"/>
      <w:r w:rsidRPr="005553DF">
        <w:rPr>
          <w:rFonts w:asciiTheme="minorHAnsi" w:hAnsiTheme="minorHAnsi" w:cstheme="minorHAnsi"/>
          <w:b w:val="0"/>
          <w:color w:val="auto"/>
          <w:sz w:val="20"/>
          <w:szCs w:val="20"/>
        </w:rPr>
        <w:t>Attachment 2b. Serum PFAS levels in µg/L, children aged &lt;12 years, Pease vs. comparisons</w:t>
      </w:r>
      <w:bookmarkEnd w:id="88"/>
    </w:p>
    <w:p w14:paraId="732F684C"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89" w:name="_Toc532224200"/>
      <w:r w:rsidRPr="005553DF">
        <w:rPr>
          <w:rFonts w:asciiTheme="minorHAnsi" w:hAnsiTheme="minorHAnsi" w:cstheme="minorHAnsi"/>
          <w:b w:val="0"/>
          <w:color w:val="auto"/>
          <w:sz w:val="20"/>
          <w:szCs w:val="20"/>
        </w:rPr>
        <w:t>Attachment 2c. Serum PFAS levels in µg/L, aged ≥12 years, Pease vs. NHANES</w:t>
      </w:r>
      <w:bookmarkEnd w:id="89"/>
    </w:p>
    <w:p w14:paraId="7CC12151"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90" w:name="_Toc532224201"/>
      <w:r w:rsidRPr="005553DF">
        <w:rPr>
          <w:rFonts w:asciiTheme="minorHAnsi" w:hAnsiTheme="minorHAnsi" w:cstheme="minorHAnsi"/>
          <w:b w:val="0"/>
          <w:sz w:val="20"/>
          <w:szCs w:val="20"/>
        </w:rPr>
        <w:t>Attachment 3.</w:t>
      </w:r>
      <w:bookmarkStart w:id="91" w:name="_Toc329944764"/>
      <w:r w:rsidRPr="005553DF">
        <w:rPr>
          <w:rFonts w:asciiTheme="minorHAnsi" w:hAnsiTheme="minorHAnsi" w:cstheme="minorHAnsi"/>
          <w:b w:val="0"/>
          <w:sz w:val="20"/>
          <w:szCs w:val="20"/>
        </w:rPr>
        <w:t xml:space="preserve"> Biochemical Analytical Plan</w:t>
      </w:r>
      <w:bookmarkEnd w:id="91"/>
      <w:r w:rsidRPr="005553DF">
        <w:rPr>
          <w:rFonts w:asciiTheme="minorHAnsi" w:hAnsiTheme="minorHAnsi" w:cstheme="minorHAnsi"/>
          <w:b w:val="0"/>
          <w:sz w:val="20"/>
          <w:szCs w:val="20"/>
        </w:rPr>
        <w:t xml:space="preserve"> in Children and Adults</w:t>
      </w:r>
      <w:bookmarkEnd w:id="90"/>
    </w:p>
    <w:p w14:paraId="18282E6B"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92" w:name="_Toc532224202"/>
      <w:r w:rsidRPr="005553DF">
        <w:rPr>
          <w:rFonts w:asciiTheme="minorHAnsi" w:hAnsiTheme="minorHAnsi" w:cstheme="minorHAnsi"/>
          <w:b w:val="0"/>
          <w:sz w:val="20"/>
          <w:szCs w:val="20"/>
        </w:rPr>
        <w:t>Attachment 4. Justification for Sample Size Calculations</w:t>
      </w:r>
      <w:bookmarkEnd w:id="92"/>
    </w:p>
    <w:p w14:paraId="58897A70"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93" w:name="_Toc532224203"/>
      <w:r w:rsidRPr="005553DF">
        <w:rPr>
          <w:rFonts w:asciiTheme="minorHAnsi" w:hAnsiTheme="minorHAnsi" w:cstheme="minorHAnsi"/>
          <w:b w:val="0"/>
          <w:color w:val="auto"/>
          <w:sz w:val="20"/>
          <w:szCs w:val="20"/>
        </w:rPr>
        <w:t>Attachment 4a. Sample Size for Child Study</w:t>
      </w:r>
      <w:bookmarkEnd w:id="93"/>
    </w:p>
    <w:p w14:paraId="2D2B040A"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94" w:name="_Toc532224204"/>
      <w:r w:rsidRPr="005553DF">
        <w:rPr>
          <w:rFonts w:asciiTheme="minorHAnsi" w:hAnsiTheme="minorHAnsi" w:cstheme="minorHAnsi"/>
          <w:b w:val="0"/>
          <w:color w:val="auto"/>
          <w:sz w:val="20"/>
          <w:szCs w:val="20"/>
        </w:rPr>
        <w:t>Attachment 4b. Sample Size for Adult Study</w:t>
      </w:r>
      <w:bookmarkEnd w:id="94"/>
    </w:p>
    <w:p w14:paraId="6646B5F1"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95" w:name="_Toc532224205"/>
      <w:r w:rsidRPr="005553DF">
        <w:rPr>
          <w:rFonts w:asciiTheme="minorHAnsi" w:hAnsiTheme="minorHAnsi" w:cstheme="minorHAnsi"/>
          <w:b w:val="0"/>
          <w:sz w:val="20"/>
          <w:szCs w:val="20"/>
        </w:rPr>
        <w:t>Attachment 5 – Pease Study Communication Plan</w:t>
      </w:r>
      <w:bookmarkEnd w:id="95"/>
    </w:p>
    <w:p w14:paraId="41BED53D" w14:textId="77777777" w:rsidR="00B321E7" w:rsidRPr="005553DF" w:rsidRDefault="00B321E7" w:rsidP="005553DF">
      <w:pPr>
        <w:pStyle w:val="Heading3"/>
        <w:spacing w:before="0" w:line="240" w:lineRule="auto"/>
        <w:ind w:left="720"/>
        <w:rPr>
          <w:rFonts w:asciiTheme="minorHAnsi" w:hAnsiTheme="minorHAnsi" w:cstheme="minorHAnsi"/>
          <w:b w:val="0"/>
          <w:color w:val="auto"/>
          <w:sz w:val="20"/>
          <w:szCs w:val="20"/>
        </w:rPr>
      </w:pPr>
      <w:bookmarkStart w:id="96" w:name="_Toc532224206"/>
      <w:r w:rsidRPr="005553DF">
        <w:rPr>
          <w:rFonts w:asciiTheme="minorHAnsi" w:hAnsiTheme="minorHAnsi" w:cstheme="minorHAnsi"/>
          <w:b w:val="0"/>
          <w:color w:val="auto"/>
          <w:sz w:val="20"/>
          <w:szCs w:val="20"/>
        </w:rPr>
        <w:t>Attachment 5a. Pease Study Communication Plan Objectives</w:t>
      </w:r>
      <w:bookmarkEnd w:id="96"/>
    </w:p>
    <w:p w14:paraId="51075435" w14:textId="77777777" w:rsidR="00B321E7" w:rsidRPr="005553DF" w:rsidRDefault="00B321E7" w:rsidP="005553DF">
      <w:pPr>
        <w:pStyle w:val="Heading3"/>
        <w:spacing w:before="0" w:line="240" w:lineRule="auto"/>
        <w:ind w:left="720"/>
        <w:rPr>
          <w:rFonts w:asciiTheme="minorHAnsi" w:hAnsiTheme="minorHAnsi" w:cstheme="minorHAnsi"/>
          <w:b w:val="0"/>
          <w:color w:val="auto"/>
          <w:sz w:val="20"/>
          <w:szCs w:val="20"/>
        </w:rPr>
      </w:pPr>
      <w:bookmarkStart w:id="97" w:name="_Toc532224207"/>
      <w:r w:rsidRPr="005553DF">
        <w:rPr>
          <w:rFonts w:asciiTheme="minorHAnsi" w:hAnsiTheme="minorHAnsi" w:cstheme="minorHAnsi"/>
          <w:b w:val="0"/>
          <w:color w:val="auto"/>
          <w:sz w:val="20"/>
          <w:szCs w:val="20"/>
        </w:rPr>
        <w:t>Attachment 5b. Pease Study Overarching Communication Messages</w:t>
      </w:r>
      <w:bookmarkEnd w:id="97"/>
    </w:p>
    <w:p w14:paraId="2136674C" w14:textId="77777777" w:rsidR="00B321E7" w:rsidRPr="005553DF" w:rsidRDefault="00B321E7" w:rsidP="005553DF">
      <w:pPr>
        <w:pStyle w:val="Heading3"/>
        <w:spacing w:before="0" w:line="240" w:lineRule="auto"/>
        <w:ind w:left="720"/>
        <w:rPr>
          <w:rFonts w:asciiTheme="minorHAnsi" w:hAnsiTheme="minorHAnsi" w:cstheme="minorHAnsi"/>
          <w:b w:val="0"/>
          <w:color w:val="auto"/>
          <w:sz w:val="20"/>
          <w:szCs w:val="20"/>
        </w:rPr>
      </w:pPr>
      <w:bookmarkStart w:id="98" w:name="_Toc532224208"/>
      <w:r w:rsidRPr="005553DF">
        <w:rPr>
          <w:rFonts w:asciiTheme="minorHAnsi" w:hAnsiTheme="minorHAnsi" w:cstheme="minorHAnsi"/>
          <w:b w:val="0"/>
          <w:color w:val="auto"/>
          <w:sz w:val="20"/>
          <w:szCs w:val="20"/>
        </w:rPr>
        <w:t>Attachment 5c. Pease Study Press Release – Launch</w:t>
      </w:r>
      <w:bookmarkEnd w:id="98"/>
      <w:r w:rsidRPr="005553DF">
        <w:rPr>
          <w:rFonts w:asciiTheme="minorHAnsi" w:hAnsiTheme="minorHAnsi" w:cstheme="minorHAnsi"/>
          <w:b w:val="0"/>
          <w:color w:val="auto"/>
          <w:sz w:val="20"/>
          <w:szCs w:val="20"/>
        </w:rPr>
        <w:t xml:space="preserve"> </w:t>
      </w:r>
    </w:p>
    <w:p w14:paraId="3F25939E" w14:textId="77777777" w:rsidR="00B321E7" w:rsidRPr="005553DF" w:rsidRDefault="00B321E7" w:rsidP="005553DF">
      <w:pPr>
        <w:pStyle w:val="Heading3"/>
        <w:spacing w:before="0" w:line="240" w:lineRule="auto"/>
        <w:ind w:left="720"/>
        <w:rPr>
          <w:rFonts w:asciiTheme="minorHAnsi" w:hAnsiTheme="minorHAnsi" w:cstheme="minorHAnsi"/>
          <w:b w:val="0"/>
          <w:color w:val="auto"/>
          <w:sz w:val="20"/>
          <w:szCs w:val="20"/>
        </w:rPr>
      </w:pPr>
      <w:bookmarkStart w:id="99" w:name="_Toc532224209"/>
      <w:r w:rsidRPr="005553DF">
        <w:rPr>
          <w:rFonts w:asciiTheme="minorHAnsi" w:hAnsiTheme="minorHAnsi" w:cstheme="minorHAnsi"/>
          <w:b w:val="0"/>
          <w:color w:val="auto"/>
          <w:sz w:val="20"/>
          <w:szCs w:val="20"/>
        </w:rPr>
        <w:t>Attachment 5d. Pease Study Website Flyer</w:t>
      </w:r>
      <w:bookmarkEnd w:id="99"/>
    </w:p>
    <w:p w14:paraId="1F9CF967" w14:textId="77777777" w:rsidR="00B321E7" w:rsidRPr="005553DF" w:rsidRDefault="00B321E7" w:rsidP="005553DF">
      <w:pPr>
        <w:pStyle w:val="Heading3"/>
        <w:spacing w:before="0" w:line="240" w:lineRule="auto"/>
        <w:ind w:left="720"/>
        <w:rPr>
          <w:rFonts w:asciiTheme="minorHAnsi" w:hAnsiTheme="minorHAnsi" w:cstheme="minorHAnsi"/>
          <w:b w:val="0"/>
          <w:color w:val="auto"/>
          <w:sz w:val="20"/>
          <w:szCs w:val="20"/>
        </w:rPr>
      </w:pPr>
      <w:bookmarkStart w:id="100" w:name="_Toc532224210"/>
      <w:r w:rsidRPr="005553DF">
        <w:rPr>
          <w:rFonts w:asciiTheme="minorHAnsi" w:hAnsiTheme="minorHAnsi" w:cstheme="minorHAnsi"/>
          <w:b w:val="0"/>
          <w:color w:val="auto"/>
          <w:sz w:val="20"/>
          <w:szCs w:val="20"/>
        </w:rPr>
        <w:t>Attachment 5e. Pease Study Public Service Announcement</w:t>
      </w:r>
      <w:bookmarkEnd w:id="100"/>
    </w:p>
    <w:p w14:paraId="6418B890"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01" w:name="_Toc532224211"/>
      <w:r w:rsidRPr="005553DF">
        <w:rPr>
          <w:rFonts w:asciiTheme="minorHAnsi" w:hAnsiTheme="minorHAnsi" w:cstheme="minorHAnsi"/>
          <w:b w:val="0"/>
          <w:sz w:val="20"/>
          <w:szCs w:val="20"/>
        </w:rPr>
        <w:t>Attachment 6 – Wave One - NH DHHS Invitation Letters for Study Roll Out</w:t>
      </w:r>
      <w:bookmarkEnd w:id="101"/>
    </w:p>
    <w:p w14:paraId="236D457B" w14:textId="77777777" w:rsidR="00B321E7" w:rsidRPr="005553DF" w:rsidRDefault="00B321E7" w:rsidP="005553DF">
      <w:pPr>
        <w:pStyle w:val="Heading3"/>
        <w:spacing w:before="0" w:line="240" w:lineRule="auto"/>
        <w:rPr>
          <w:rFonts w:asciiTheme="minorHAnsi" w:hAnsiTheme="minorHAnsi" w:cstheme="minorHAnsi"/>
          <w:b w:val="0"/>
          <w:color w:val="auto"/>
          <w:sz w:val="20"/>
          <w:szCs w:val="20"/>
        </w:rPr>
      </w:pPr>
      <w:r w:rsidRPr="005553DF">
        <w:rPr>
          <w:rFonts w:asciiTheme="minorHAnsi" w:hAnsiTheme="minorHAnsi" w:cstheme="minorHAnsi"/>
          <w:b w:val="0"/>
          <w:color w:val="auto"/>
          <w:sz w:val="20"/>
          <w:szCs w:val="20"/>
        </w:rPr>
        <w:tab/>
      </w:r>
      <w:bookmarkStart w:id="102" w:name="_Toc532224212"/>
      <w:r w:rsidRPr="005553DF">
        <w:rPr>
          <w:rFonts w:asciiTheme="minorHAnsi" w:hAnsiTheme="minorHAnsi" w:cstheme="minorHAnsi"/>
          <w:b w:val="0"/>
          <w:color w:val="auto"/>
          <w:sz w:val="20"/>
          <w:szCs w:val="20"/>
        </w:rPr>
        <w:t>Attachment 6a – NH DHHS Child Invitation Letter</w:t>
      </w:r>
      <w:bookmarkEnd w:id="102"/>
    </w:p>
    <w:p w14:paraId="320F3901"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103" w:name="_Toc532224213"/>
      <w:r w:rsidRPr="005553DF">
        <w:rPr>
          <w:rFonts w:asciiTheme="minorHAnsi" w:hAnsiTheme="minorHAnsi" w:cstheme="minorHAnsi"/>
          <w:b w:val="0"/>
          <w:color w:val="auto"/>
          <w:sz w:val="20"/>
          <w:szCs w:val="20"/>
        </w:rPr>
        <w:t>Attachment 6b – NH DHHS Adult Invitation Letter</w:t>
      </w:r>
      <w:bookmarkEnd w:id="103"/>
    </w:p>
    <w:p w14:paraId="0D0AB37B" w14:textId="77777777" w:rsidR="00B321E7" w:rsidRPr="005553DF" w:rsidRDefault="00B321E7" w:rsidP="005553DF">
      <w:pPr>
        <w:pStyle w:val="Heading3"/>
        <w:spacing w:before="0" w:line="240" w:lineRule="auto"/>
        <w:rPr>
          <w:rFonts w:asciiTheme="minorHAnsi" w:hAnsiTheme="minorHAnsi" w:cstheme="minorHAnsi"/>
          <w:b w:val="0"/>
          <w:color w:val="auto"/>
          <w:sz w:val="20"/>
          <w:szCs w:val="20"/>
        </w:rPr>
      </w:pPr>
      <w:r w:rsidRPr="005553DF">
        <w:rPr>
          <w:rFonts w:asciiTheme="minorHAnsi" w:hAnsiTheme="minorHAnsi" w:cstheme="minorHAnsi"/>
          <w:b w:val="0"/>
          <w:color w:val="auto"/>
          <w:sz w:val="20"/>
          <w:szCs w:val="20"/>
        </w:rPr>
        <w:tab/>
      </w:r>
      <w:bookmarkStart w:id="104" w:name="_Toc532224214"/>
      <w:r w:rsidRPr="005553DF">
        <w:rPr>
          <w:rFonts w:asciiTheme="minorHAnsi" w:hAnsiTheme="minorHAnsi" w:cstheme="minorHAnsi"/>
          <w:b w:val="0"/>
          <w:color w:val="auto"/>
          <w:sz w:val="20"/>
          <w:szCs w:val="20"/>
        </w:rPr>
        <w:t>Attachment 6c – Wave One Eligibility Screening Script</w:t>
      </w:r>
      <w:bookmarkEnd w:id="104"/>
    </w:p>
    <w:p w14:paraId="6E944089"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05" w:name="_Toc532224215"/>
      <w:r w:rsidRPr="005553DF">
        <w:rPr>
          <w:rFonts w:asciiTheme="minorHAnsi" w:hAnsiTheme="minorHAnsi" w:cstheme="minorHAnsi"/>
          <w:b w:val="0"/>
          <w:sz w:val="20"/>
          <w:szCs w:val="20"/>
        </w:rPr>
        <w:t>Attachment 7 – Waves 2 and 3 Recruitment Materials</w:t>
      </w:r>
      <w:bookmarkEnd w:id="105"/>
    </w:p>
    <w:p w14:paraId="487CB337"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106" w:name="_Toc532224216"/>
      <w:r w:rsidRPr="005553DF">
        <w:rPr>
          <w:rFonts w:asciiTheme="minorHAnsi" w:hAnsiTheme="minorHAnsi" w:cstheme="minorHAnsi"/>
          <w:b w:val="0"/>
          <w:color w:val="auto"/>
          <w:sz w:val="20"/>
          <w:szCs w:val="20"/>
        </w:rPr>
        <w:t>Attachment 7a – Wave Two Flyer to Recruit Additional Exposed Children</w:t>
      </w:r>
      <w:bookmarkEnd w:id="106"/>
    </w:p>
    <w:p w14:paraId="72F43119"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107" w:name="_Toc532224217"/>
      <w:r w:rsidRPr="005553DF">
        <w:rPr>
          <w:rFonts w:asciiTheme="minorHAnsi" w:hAnsiTheme="minorHAnsi" w:cstheme="minorHAnsi"/>
          <w:b w:val="0"/>
          <w:color w:val="auto"/>
          <w:sz w:val="20"/>
          <w:szCs w:val="20"/>
        </w:rPr>
        <w:t>Attachment 7b – Wave Two Flyer to Recruit Additional Exposed Adults</w:t>
      </w:r>
      <w:bookmarkEnd w:id="107"/>
    </w:p>
    <w:p w14:paraId="1D0C9068"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108" w:name="_Toc532224218"/>
      <w:r w:rsidRPr="005553DF">
        <w:rPr>
          <w:rFonts w:asciiTheme="minorHAnsi" w:hAnsiTheme="minorHAnsi" w:cstheme="minorHAnsi"/>
          <w:b w:val="0"/>
          <w:color w:val="auto"/>
          <w:sz w:val="20"/>
          <w:szCs w:val="20"/>
        </w:rPr>
        <w:t>Attachment 7c – Wave Two or Wave Three Eligibility Screening Script</w:t>
      </w:r>
      <w:bookmarkEnd w:id="108"/>
    </w:p>
    <w:p w14:paraId="060CB73B"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109" w:name="_Toc532224219"/>
      <w:r w:rsidRPr="005553DF">
        <w:rPr>
          <w:rFonts w:asciiTheme="minorHAnsi" w:hAnsiTheme="minorHAnsi" w:cstheme="minorHAnsi"/>
          <w:b w:val="0"/>
          <w:color w:val="auto"/>
          <w:sz w:val="20"/>
          <w:szCs w:val="20"/>
        </w:rPr>
        <w:t>Attachment 7d – Wave Three Child Flyer for Referent Recruitment</w:t>
      </w:r>
      <w:bookmarkEnd w:id="109"/>
    </w:p>
    <w:p w14:paraId="30DE16EB"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110" w:name="_Toc532224220"/>
      <w:r w:rsidRPr="005553DF">
        <w:rPr>
          <w:rFonts w:asciiTheme="minorHAnsi" w:hAnsiTheme="minorHAnsi" w:cstheme="minorHAnsi"/>
          <w:b w:val="0"/>
          <w:color w:val="auto"/>
          <w:sz w:val="20"/>
          <w:szCs w:val="20"/>
        </w:rPr>
        <w:t>Attachment 7e – Wave Three Adult Flyer for Referent Recruitment</w:t>
      </w:r>
      <w:bookmarkEnd w:id="110"/>
    </w:p>
    <w:p w14:paraId="53220FF5"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11" w:name="_Toc532224221"/>
      <w:r w:rsidRPr="005553DF">
        <w:rPr>
          <w:rFonts w:asciiTheme="minorHAnsi" w:hAnsiTheme="minorHAnsi" w:cstheme="minorHAnsi"/>
          <w:b w:val="0"/>
          <w:sz w:val="20"/>
          <w:szCs w:val="20"/>
        </w:rPr>
        <w:t>Attachment 8 – Recruitment Tracking Form</w:t>
      </w:r>
      <w:bookmarkEnd w:id="111"/>
    </w:p>
    <w:p w14:paraId="5CCB1AFF"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12" w:name="_Toc532224222"/>
      <w:r w:rsidRPr="005553DF">
        <w:rPr>
          <w:rFonts w:asciiTheme="minorHAnsi" w:hAnsiTheme="minorHAnsi" w:cstheme="minorHAnsi"/>
          <w:b w:val="0"/>
          <w:sz w:val="20"/>
          <w:szCs w:val="20"/>
        </w:rPr>
        <w:t>Attachment 9 – Appointment Packet</w:t>
      </w:r>
      <w:bookmarkEnd w:id="112"/>
    </w:p>
    <w:p w14:paraId="76D77F2D" w14:textId="77777777" w:rsidR="00B321E7" w:rsidRPr="005553DF" w:rsidRDefault="00B321E7" w:rsidP="005553DF">
      <w:pPr>
        <w:pStyle w:val="Heading3"/>
        <w:spacing w:before="0" w:line="240" w:lineRule="auto"/>
        <w:ind w:left="720"/>
        <w:rPr>
          <w:rFonts w:asciiTheme="minorHAnsi" w:hAnsiTheme="minorHAnsi" w:cstheme="minorHAnsi"/>
          <w:b w:val="0"/>
          <w:color w:val="auto"/>
          <w:sz w:val="20"/>
          <w:szCs w:val="20"/>
        </w:rPr>
      </w:pPr>
      <w:bookmarkStart w:id="113" w:name="_Toc532224223"/>
      <w:r w:rsidRPr="005553DF">
        <w:rPr>
          <w:rFonts w:asciiTheme="minorHAnsi" w:hAnsiTheme="minorHAnsi" w:cstheme="minorHAnsi"/>
          <w:b w:val="0"/>
          <w:color w:val="auto"/>
          <w:sz w:val="20"/>
          <w:szCs w:val="20"/>
        </w:rPr>
        <w:t>Attachment 9a – Appointment Reminder Card</w:t>
      </w:r>
      <w:bookmarkEnd w:id="113"/>
    </w:p>
    <w:p w14:paraId="4436D9AF" w14:textId="77777777" w:rsidR="00B321E7" w:rsidRPr="005553DF" w:rsidRDefault="00B321E7" w:rsidP="005553DF">
      <w:pPr>
        <w:pStyle w:val="Heading3"/>
        <w:spacing w:before="0" w:line="240" w:lineRule="auto"/>
        <w:ind w:left="720"/>
        <w:rPr>
          <w:rFonts w:asciiTheme="minorHAnsi" w:hAnsiTheme="minorHAnsi" w:cstheme="minorHAnsi"/>
          <w:b w:val="0"/>
          <w:color w:val="auto"/>
          <w:sz w:val="20"/>
          <w:szCs w:val="20"/>
        </w:rPr>
      </w:pPr>
      <w:bookmarkStart w:id="114" w:name="_Toc532224224"/>
      <w:r w:rsidRPr="005553DF">
        <w:rPr>
          <w:rFonts w:asciiTheme="minorHAnsi" w:hAnsiTheme="minorHAnsi" w:cstheme="minorHAnsi"/>
          <w:b w:val="0"/>
          <w:color w:val="auto"/>
          <w:sz w:val="20"/>
          <w:szCs w:val="20"/>
        </w:rPr>
        <w:t>Attachment 9b – Informed Consent Packet</w:t>
      </w:r>
      <w:bookmarkEnd w:id="114"/>
    </w:p>
    <w:p w14:paraId="0749DDA1" w14:textId="77777777" w:rsidR="00B321E7" w:rsidRPr="005553DF" w:rsidRDefault="00B321E7" w:rsidP="005553DF">
      <w:pPr>
        <w:pStyle w:val="Heading4"/>
        <w:spacing w:before="0" w:line="240" w:lineRule="auto"/>
        <w:ind w:left="1440"/>
        <w:rPr>
          <w:rFonts w:asciiTheme="minorHAnsi" w:hAnsiTheme="minorHAnsi" w:cstheme="minorHAnsi"/>
          <w:color w:val="auto"/>
          <w:sz w:val="20"/>
          <w:szCs w:val="20"/>
        </w:rPr>
      </w:pPr>
      <w:bookmarkStart w:id="115" w:name="_Toc532224225"/>
      <w:r w:rsidRPr="005553DF">
        <w:rPr>
          <w:rFonts w:asciiTheme="minorHAnsi" w:hAnsiTheme="minorHAnsi" w:cstheme="minorHAnsi"/>
          <w:color w:val="auto"/>
          <w:sz w:val="20"/>
          <w:szCs w:val="20"/>
        </w:rPr>
        <w:t>Attachment 9b1 – Privacy Act Statement</w:t>
      </w:r>
      <w:bookmarkEnd w:id="115"/>
    </w:p>
    <w:p w14:paraId="37C80ECE" w14:textId="77777777" w:rsidR="00B321E7" w:rsidRPr="005553DF" w:rsidRDefault="00B321E7" w:rsidP="005553DF">
      <w:pPr>
        <w:pStyle w:val="Heading4"/>
        <w:spacing w:before="0" w:line="240" w:lineRule="auto"/>
        <w:ind w:left="1440"/>
        <w:rPr>
          <w:rFonts w:asciiTheme="minorHAnsi" w:hAnsiTheme="minorHAnsi" w:cstheme="minorHAnsi"/>
          <w:color w:val="auto"/>
          <w:sz w:val="20"/>
          <w:szCs w:val="20"/>
        </w:rPr>
      </w:pPr>
      <w:bookmarkStart w:id="116" w:name="_Toc532224226"/>
      <w:r w:rsidRPr="005553DF">
        <w:rPr>
          <w:rFonts w:asciiTheme="minorHAnsi" w:hAnsiTheme="minorHAnsi" w:cstheme="minorHAnsi"/>
          <w:color w:val="auto"/>
          <w:sz w:val="20"/>
          <w:szCs w:val="20"/>
        </w:rPr>
        <w:t>Attachment 9b2 – Parental Permission and Child Assent Forms</w:t>
      </w:r>
      <w:bookmarkEnd w:id="116"/>
    </w:p>
    <w:p w14:paraId="10ECB9D9" w14:textId="77777777" w:rsidR="00B321E7" w:rsidRPr="005553DF" w:rsidRDefault="00B321E7" w:rsidP="005553DF">
      <w:pPr>
        <w:pStyle w:val="Heading4"/>
        <w:spacing w:before="0" w:line="240" w:lineRule="auto"/>
        <w:ind w:left="1440"/>
        <w:rPr>
          <w:rFonts w:asciiTheme="minorHAnsi" w:hAnsiTheme="minorHAnsi" w:cstheme="minorHAnsi"/>
          <w:color w:val="auto"/>
          <w:sz w:val="20"/>
          <w:szCs w:val="20"/>
        </w:rPr>
      </w:pPr>
      <w:bookmarkStart w:id="117" w:name="_Toc532224227"/>
      <w:r w:rsidRPr="005553DF">
        <w:rPr>
          <w:rFonts w:asciiTheme="minorHAnsi" w:hAnsiTheme="minorHAnsi" w:cstheme="minorHAnsi"/>
          <w:color w:val="auto"/>
          <w:sz w:val="20"/>
          <w:szCs w:val="20"/>
        </w:rPr>
        <w:t>Attachment 9b3 – Parental Consent to Release Student Information</w:t>
      </w:r>
      <w:bookmarkEnd w:id="117"/>
    </w:p>
    <w:p w14:paraId="64A27878" w14:textId="77777777" w:rsidR="00B321E7" w:rsidRPr="005553DF" w:rsidRDefault="00B321E7" w:rsidP="005553DF">
      <w:pPr>
        <w:pStyle w:val="Heading4"/>
        <w:spacing w:before="0" w:line="240" w:lineRule="auto"/>
        <w:ind w:left="1440"/>
        <w:rPr>
          <w:rFonts w:asciiTheme="minorHAnsi" w:hAnsiTheme="minorHAnsi" w:cstheme="minorHAnsi"/>
          <w:color w:val="auto"/>
          <w:sz w:val="20"/>
          <w:szCs w:val="20"/>
        </w:rPr>
      </w:pPr>
      <w:bookmarkStart w:id="118" w:name="_Toc532224228"/>
      <w:r w:rsidRPr="005553DF">
        <w:rPr>
          <w:rFonts w:asciiTheme="minorHAnsi" w:hAnsiTheme="minorHAnsi" w:cstheme="minorHAnsi"/>
          <w:color w:val="auto"/>
          <w:sz w:val="20"/>
          <w:szCs w:val="20"/>
        </w:rPr>
        <w:t>Attachment 9b</w:t>
      </w:r>
      <w:r w:rsidR="00BD655E" w:rsidRPr="005553DF">
        <w:rPr>
          <w:rFonts w:asciiTheme="minorHAnsi" w:hAnsiTheme="minorHAnsi" w:cstheme="minorHAnsi"/>
          <w:color w:val="auto"/>
          <w:sz w:val="20"/>
          <w:szCs w:val="20"/>
        </w:rPr>
        <w:t>4</w:t>
      </w:r>
      <w:r w:rsidRPr="005553DF">
        <w:rPr>
          <w:rFonts w:asciiTheme="minorHAnsi" w:hAnsiTheme="minorHAnsi" w:cstheme="minorHAnsi"/>
          <w:color w:val="auto"/>
          <w:sz w:val="20"/>
          <w:szCs w:val="20"/>
        </w:rPr>
        <w:t xml:space="preserve"> – Adult Consent Form</w:t>
      </w:r>
      <w:bookmarkEnd w:id="118"/>
    </w:p>
    <w:p w14:paraId="47F48E1A" w14:textId="77777777" w:rsidR="00B321E7" w:rsidRPr="005553DF" w:rsidRDefault="00B321E7" w:rsidP="005553DF">
      <w:pPr>
        <w:pStyle w:val="Heading4"/>
        <w:spacing w:before="0" w:line="240" w:lineRule="auto"/>
        <w:ind w:left="1440"/>
        <w:rPr>
          <w:rFonts w:asciiTheme="minorHAnsi" w:hAnsiTheme="minorHAnsi" w:cstheme="minorHAnsi"/>
          <w:color w:val="auto"/>
          <w:sz w:val="20"/>
          <w:szCs w:val="20"/>
        </w:rPr>
      </w:pPr>
      <w:bookmarkStart w:id="119" w:name="_Toc532224229"/>
      <w:r w:rsidRPr="005553DF">
        <w:rPr>
          <w:rFonts w:asciiTheme="minorHAnsi" w:hAnsiTheme="minorHAnsi" w:cstheme="minorHAnsi"/>
          <w:color w:val="auto"/>
          <w:sz w:val="20"/>
          <w:szCs w:val="20"/>
        </w:rPr>
        <w:t>Attachment 9b</w:t>
      </w:r>
      <w:r w:rsidR="00BD655E" w:rsidRPr="005553DF">
        <w:rPr>
          <w:rFonts w:asciiTheme="minorHAnsi" w:hAnsiTheme="minorHAnsi" w:cstheme="minorHAnsi"/>
          <w:color w:val="auto"/>
          <w:sz w:val="20"/>
          <w:szCs w:val="20"/>
        </w:rPr>
        <w:t>5</w:t>
      </w:r>
      <w:r w:rsidRPr="005553DF">
        <w:rPr>
          <w:rFonts w:asciiTheme="minorHAnsi" w:hAnsiTheme="minorHAnsi" w:cstheme="minorHAnsi"/>
          <w:color w:val="auto"/>
          <w:sz w:val="20"/>
          <w:szCs w:val="20"/>
        </w:rPr>
        <w:t xml:space="preserve"> – Parent/Child/Adult Permission for Medical Record Abstraction</w:t>
      </w:r>
      <w:bookmarkEnd w:id="119"/>
    </w:p>
    <w:p w14:paraId="0BFC549D"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120" w:name="_Toc532224230"/>
      <w:r w:rsidRPr="005553DF">
        <w:rPr>
          <w:rFonts w:asciiTheme="minorHAnsi" w:hAnsiTheme="minorHAnsi" w:cstheme="minorHAnsi"/>
          <w:b w:val="0"/>
          <w:color w:val="auto"/>
          <w:sz w:val="20"/>
          <w:szCs w:val="20"/>
        </w:rPr>
        <w:t>Attachment 9c – Study Fact Sheet</w:t>
      </w:r>
      <w:bookmarkEnd w:id="120"/>
    </w:p>
    <w:p w14:paraId="6A46C45A"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21" w:name="_Toc532224231"/>
      <w:r w:rsidRPr="005553DF">
        <w:rPr>
          <w:rFonts w:asciiTheme="minorHAnsi" w:hAnsiTheme="minorHAnsi" w:cstheme="minorHAnsi"/>
          <w:b w:val="0"/>
          <w:sz w:val="20"/>
          <w:szCs w:val="20"/>
        </w:rPr>
        <w:t>Attachment 10 – Appointment Reminder Telephone Script</w:t>
      </w:r>
      <w:bookmarkEnd w:id="121"/>
    </w:p>
    <w:p w14:paraId="37E7AF2D"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22" w:name="_Toc532224232"/>
      <w:r w:rsidRPr="005553DF">
        <w:rPr>
          <w:rFonts w:asciiTheme="minorHAnsi" w:hAnsiTheme="minorHAnsi" w:cstheme="minorHAnsi"/>
          <w:b w:val="0"/>
          <w:sz w:val="20"/>
          <w:szCs w:val="20"/>
        </w:rPr>
        <w:t>Attachment 11 – Appointment Tracking Form</w:t>
      </w:r>
      <w:bookmarkEnd w:id="122"/>
    </w:p>
    <w:p w14:paraId="4E381C33"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23" w:name="_Toc532224233"/>
      <w:r w:rsidRPr="005553DF">
        <w:rPr>
          <w:rFonts w:asciiTheme="minorHAnsi" w:hAnsiTheme="minorHAnsi" w:cstheme="minorHAnsi"/>
          <w:b w:val="0"/>
          <w:sz w:val="20"/>
          <w:szCs w:val="20"/>
        </w:rPr>
        <w:t>Attachment 12 – Update Contact Information Hardcopy Form</w:t>
      </w:r>
      <w:bookmarkEnd w:id="123"/>
      <w:r w:rsidRPr="005553DF">
        <w:rPr>
          <w:rFonts w:asciiTheme="minorHAnsi" w:hAnsiTheme="minorHAnsi" w:cstheme="minorHAnsi"/>
          <w:b w:val="0"/>
          <w:sz w:val="20"/>
          <w:szCs w:val="20"/>
        </w:rPr>
        <w:t xml:space="preserve"> </w:t>
      </w:r>
    </w:p>
    <w:p w14:paraId="599EBBF9"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24" w:name="_Toc532224234"/>
      <w:r w:rsidRPr="005553DF">
        <w:rPr>
          <w:rFonts w:asciiTheme="minorHAnsi" w:hAnsiTheme="minorHAnsi" w:cstheme="minorHAnsi"/>
          <w:b w:val="0"/>
          <w:sz w:val="20"/>
          <w:szCs w:val="20"/>
        </w:rPr>
        <w:t>Attachment 13 – Medication List</w:t>
      </w:r>
      <w:bookmarkEnd w:id="124"/>
    </w:p>
    <w:p w14:paraId="399E2B6E" w14:textId="77777777" w:rsidR="00B321E7" w:rsidRPr="005553DF" w:rsidRDefault="00B321E7" w:rsidP="005553DF">
      <w:pPr>
        <w:pStyle w:val="Heading2"/>
        <w:spacing w:before="0" w:after="0" w:line="240" w:lineRule="auto"/>
        <w:ind w:left="1440" w:hanging="1440"/>
        <w:rPr>
          <w:rFonts w:asciiTheme="minorHAnsi" w:hAnsiTheme="minorHAnsi" w:cstheme="minorHAnsi"/>
          <w:b w:val="0"/>
          <w:sz w:val="20"/>
          <w:szCs w:val="20"/>
        </w:rPr>
      </w:pPr>
      <w:bookmarkStart w:id="125" w:name="_Toc532224235"/>
      <w:r w:rsidRPr="005553DF">
        <w:rPr>
          <w:rFonts w:asciiTheme="minorHAnsi" w:hAnsiTheme="minorHAnsi" w:cstheme="minorHAnsi"/>
          <w:b w:val="0"/>
          <w:sz w:val="20"/>
          <w:szCs w:val="20"/>
        </w:rPr>
        <w:t>Attachment 14 – Manual of Procedures</w:t>
      </w:r>
      <w:bookmarkEnd w:id="125"/>
    </w:p>
    <w:p w14:paraId="03F4EAFD"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26" w:name="_Toc532224236"/>
      <w:r w:rsidRPr="005553DF">
        <w:rPr>
          <w:rFonts w:asciiTheme="minorHAnsi" w:hAnsiTheme="minorHAnsi" w:cstheme="minorHAnsi"/>
          <w:b w:val="0"/>
          <w:sz w:val="20"/>
          <w:szCs w:val="20"/>
        </w:rPr>
        <w:t>Attachment 15 – Body and Blood Pressure Measures Form</w:t>
      </w:r>
      <w:bookmarkEnd w:id="126"/>
    </w:p>
    <w:p w14:paraId="65E79F16"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27" w:name="_Toc532224237"/>
      <w:r w:rsidRPr="005553DF">
        <w:rPr>
          <w:rFonts w:asciiTheme="minorHAnsi" w:hAnsiTheme="minorHAnsi" w:cstheme="minorHAnsi"/>
          <w:b w:val="0"/>
          <w:sz w:val="20"/>
          <w:szCs w:val="20"/>
        </w:rPr>
        <w:t>Attachment 16 – Blood Draw and Urine Collection Form</w:t>
      </w:r>
      <w:bookmarkEnd w:id="127"/>
    </w:p>
    <w:p w14:paraId="01CEEB28"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28" w:name="_Toc532224238"/>
      <w:r w:rsidRPr="005553DF">
        <w:rPr>
          <w:rFonts w:asciiTheme="minorHAnsi" w:hAnsiTheme="minorHAnsi" w:cstheme="minorHAnsi"/>
          <w:b w:val="0"/>
          <w:sz w:val="20"/>
          <w:szCs w:val="20"/>
        </w:rPr>
        <w:t>Attachment 17 – Child Questionnaire – Long Form</w:t>
      </w:r>
      <w:bookmarkEnd w:id="128"/>
    </w:p>
    <w:p w14:paraId="7A20210A" w14:textId="77777777" w:rsidR="00B321E7" w:rsidRPr="005553DF" w:rsidRDefault="00B321E7" w:rsidP="005553DF">
      <w:pPr>
        <w:pStyle w:val="Heading3"/>
        <w:spacing w:before="0" w:line="240" w:lineRule="auto"/>
        <w:ind w:firstLine="720"/>
        <w:rPr>
          <w:rFonts w:asciiTheme="minorHAnsi" w:hAnsiTheme="minorHAnsi" w:cstheme="minorHAnsi"/>
          <w:b w:val="0"/>
          <w:i/>
          <w:color w:val="auto"/>
          <w:sz w:val="20"/>
          <w:szCs w:val="20"/>
        </w:rPr>
      </w:pPr>
      <w:bookmarkStart w:id="129" w:name="_Toc532224239"/>
      <w:r w:rsidRPr="005553DF">
        <w:rPr>
          <w:rFonts w:asciiTheme="minorHAnsi" w:hAnsiTheme="minorHAnsi" w:cstheme="minorHAnsi"/>
          <w:b w:val="0"/>
          <w:color w:val="auto"/>
          <w:sz w:val="20"/>
          <w:szCs w:val="20"/>
        </w:rPr>
        <w:t>Attachment 17a – Child Questionnaire – Short Form</w:t>
      </w:r>
      <w:bookmarkEnd w:id="129"/>
    </w:p>
    <w:p w14:paraId="3DA06FBA"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30" w:name="_Toc532224240"/>
      <w:r w:rsidRPr="005553DF">
        <w:rPr>
          <w:rFonts w:asciiTheme="minorHAnsi" w:hAnsiTheme="minorHAnsi" w:cstheme="minorHAnsi"/>
          <w:b w:val="0"/>
          <w:sz w:val="20"/>
          <w:szCs w:val="20"/>
        </w:rPr>
        <w:t>Attachment 18 – Adult Questionnaire</w:t>
      </w:r>
      <w:bookmarkEnd w:id="130"/>
    </w:p>
    <w:p w14:paraId="4EEAFD20"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31" w:name="_Toc532224241"/>
      <w:r w:rsidRPr="005553DF">
        <w:rPr>
          <w:rFonts w:asciiTheme="minorHAnsi" w:hAnsiTheme="minorHAnsi" w:cstheme="minorHAnsi"/>
          <w:b w:val="0"/>
          <w:sz w:val="20"/>
          <w:szCs w:val="20"/>
        </w:rPr>
        <w:t>Attachment 19 – Letter to Provider for Record Abstraction</w:t>
      </w:r>
      <w:bookmarkEnd w:id="131"/>
    </w:p>
    <w:p w14:paraId="27FD8433"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132" w:name="_Toc532224242"/>
      <w:r w:rsidRPr="005553DF">
        <w:rPr>
          <w:rFonts w:asciiTheme="minorHAnsi" w:hAnsiTheme="minorHAnsi" w:cstheme="minorHAnsi"/>
          <w:b w:val="0"/>
          <w:color w:val="auto"/>
          <w:sz w:val="20"/>
          <w:szCs w:val="20"/>
        </w:rPr>
        <w:t>Attachment 19a – Medical Record Abstraction Form</w:t>
      </w:r>
      <w:bookmarkEnd w:id="132"/>
      <w:r w:rsidRPr="005553DF">
        <w:rPr>
          <w:rFonts w:asciiTheme="minorHAnsi" w:hAnsiTheme="minorHAnsi" w:cstheme="minorHAnsi"/>
          <w:b w:val="0"/>
          <w:color w:val="auto"/>
          <w:sz w:val="20"/>
          <w:szCs w:val="20"/>
        </w:rPr>
        <w:t xml:space="preserve"> </w:t>
      </w:r>
    </w:p>
    <w:p w14:paraId="43C56E9F"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133" w:name="_Toc532224243"/>
      <w:r w:rsidRPr="005553DF">
        <w:rPr>
          <w:rFonts w:asciiTheme="minorHAnsi" w:hAnsiTheme="minorHAnsi" w:cstheme="minorHAnsi"/>
          <w:b w:val="0"/>
          <w:color w:val="auto"/>
          <w:sz w:val="20"/>
          <w:szCs w:val="20"/>
        </w:rPr>
        <w:t>Attachment 19b – Medical Record Abstraction Form</w:t>
      </w:r>
      <w:bookmarkEnd w:id="133"/>
      <w:r w:rsidRPr="005553DF">
        <w:rPr>
          <w:rFonts w:asciiTheme="minorHAnsi" w:hAnsiTheme="minorHAnsi" w:cstheme="minorHAnsi"/>
          <w:b w:val="0"/>
          <w:color w:val="auto"/>
          <w:sz w:val="20"/>
          <w:szCs w:val="20"/>
        </w:rPr>
        <w:t xml:space="preserve"> </w:t>
      </w:r>
    </w:p>
    <w:p w14:paraId="0831984A"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34" w:name="_Toc532224244"/>
      <w:r w:rsidRPr="005553DF">
        <w:rPr>
          <w:rFonts w:asciiTheme="minorHAnsi" w:hAnsiTheme="minorHAnsi" w:cstheme="minorHAnsi"/>
          <w:b w:val="0"/>
          <w:sz w:val="20"/>
          <w:szCs w:val="20"/>
        </w:rPr>
        <w:t>Attachment 20 – Child/Parent Neurobehavioral Test Battery</w:t>
      </w:r>
      <w:bookmarkEnd w:id="134"/>
    </w:p>
    <w:p w14:paraId="71AC1025"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135" w:name="_Toc532224245"/>
      <w:r w:rsidRPr="005553DF">
        <w:rPr>
          <w:rFonts w:asciiTheme="minorHAnsi" w:hAnsiTheme="minorHAnsi" w:cstheme="minorHAnsi"/>
          <w:b w:val="0"/>
          <w:color w:val="auto"/>
          <w:sz w:val="20"/>
          <w:szCs w:val="20"/>
        </w:rPr>
        <w:t>Attachment 20a – NBT Time Estimation Table, by Age in Years</w:t>
      </w:r>
      <w:bookmarkEnd w:id="135"/>
    </w:p>
    <w:p w14:paraId="70F43D4C"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136" w:name="_Toc532224246"/>
      <w:r w:rsidRPr="005553DF">
        <w:rPr>
          <w:rFonts w:asciiTheme="minorHAnsi" w:hAnsiTheme="minorHAnsi" w:cstheme="minorHAnsi"/>
          <w:b w:val="0"/>
          <w:color w:val="auto"/>
          <w:sz w:val="20"/>
          <w:szCs w:val="20"/>
        </w:rPr>
        <w:t>Attachment 20b – Child School Record Abstraction Form</w:t>
      </w:r>
      <w:bookmarkEnd w:id="136"/>
      <w:r w:rsidRPr="005553DF">
        <w:rPr>
          <w:rFonts w:asciiTheme="minorHAnsi" w:hAnsiTheme="minorHAnsi" w:cstheme="minorHAnsi"/>
          <w:b w:val="0"/>
          <w:color w:val="auto"/>
          <w:sz w:val="20"/>
          <w:szCs w:val="20"/>
        </w:rPr>
        <w:t xml:space="preserve"> </w:t>
      </w:r>
    </w:p>
    <w:p w14:paraId="64E06F23"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37" w:name="_Toc532224247"/>
      <w:r w:rsidRPr="005553DF">
        <w:rPr>
          <w:rFonts w:asciiTheme="minorHAnsi" w:hAnsiTheme="minorHAnsi" w:cstheme="minorHAnsi"/>
          <w:b w:val="0"/>
          <w:sz w:val="20"/>
          <w:szCs w:val="20"/>
        </w:rPr>
        <w:t>Attachment 21 – Body and Blood Pressure Measurements Report</w:t>
      </w:r>
      <w:bookmarkEnd w:id="137"/>
    </w:p>
    <w:p w14:paraId="11148C87"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38" w:name="_Toc532224248"/>
      <w:r w:rsidRPr="005553DF">
        <w:rPr>
          <w:rFonts w:asciiTheme="minorHAnsi" w:hAnsiTheme="minorHAnsi" w:cstheme="minorHAnsi"/>
          <w:b w:val="0"/>
          <w:sz w:val="20"/>
          <w:szCs w:val="20"/>
        </w:rPr>
        <w:t>Attachment 22 – Advance Reporting Script for Clinical Tests</w:t>
      </w:r>
      <w:bookmarkEnd w:id="138"/>
    </w:p>
    <w:p w14:paraId="5C5FBF5A" w14:textId="77777777" w:rsidR="00B321E7" w:rsidRPr="005553DF" w:rsidRDefault="00B321E7" w:rsidP="005553DF">
      <w:pPr>
        <w:pStyle w:val="Heading3"/>
        <w:spacing w:before="0" w:line="240" w:lineRule="auto"/>
        <w:rPr>
          <w:rFonts w:asciiTheme="minorHAnsi" w:hAnsiTheme="minorHAnsi" w:cstheme="minorHAnsi"/>
          <w:b w:val="0"/>
          <w:color w:val="auto"/>
          <w:sz w:val="20"/>
          <w:szCs w:val="20"/>
        </w:rPr>
      </w:pPr>
      <w:r w:rsidRPr="005553DF">
        <w:rPr>
          <w:rFonts w:asciiTheme="minorHAnsi" w:hAnsiTheme="minorHAnsi" w:cstheme="minorHAnsi"/>
          <w:b w:val="0"/>
          <w:color w:val="auto"/>
          <w:sz w:val="20"/>
          <w:szCs w:val="20"/>
        </w:rPr>
        <w:tab/>
      </w:r>
      <w:bookmarkStart w:id="139" w:name="_Toc532224249"/>
      <w:r w:rsidRPr="005553DF">
        <w:rPr>
          <w:rFonts w:asciiTheme="minorHAnsi" w:hAnsiTheme="minorHAnsi" w:cstheme="minorHAnsi"/>
          <w:b w:val="0"/>
          <w:color w:val="auto"/>
          <w:sz w:val="20"/>
          <w:szCs w:val="20"/>
        </w:rPr>
        <w:t>Attachment 22a – Advance Clinical Test Report Tracking Form</w:t>
      </w:r>
      <w:bookmarkEnd w:id="139"/>
    </w:p>
    <w:p w14:paraId="603CD542" w14:textId="77777777" w:rsidR="00B321E7" w:rsidRPr="005553DF" w:rsidRDefault="00B321E7" w:rsidP="005553DF">
      <w:pPr>
        <w:pStyle w:val="Heading3"/>
        <w:spacing w:before="0" w:line="240" w:lineRule="auto"/>
        <w:ind w:firstLine="720"/>
        <w:rPr>
          <w:rFonts w:asciiTheme="minorHAnsi" w:hAnsiTheme="minorHAnsi" w:cstheme="minorHAnsi"/>
          <w:b w:val="0"/>
          <w:color w:val="auto"/>
          <w:sz w:val="20"/>
          <w:szCs w:val="20"/>
        </w:rPr>
      </w:pPr>
      <w:bookmarkStart w:id="140" w:name="_Toc532224250"/>
      <w:r w:rsidRPr="005553DF">
        <w:rPr>
          <w:rFonts w:asciiTheme="minorHAnsi" w:hAnsiTheme="minorHAnsi" w:cstheme="minorHAnsi"/>
          <w:b w:val="0"/>
          <w:color w:val="auto"/>
          <w:sz w:val="20"/>
          <w:szCs w:val="20"/>
        </w:rPr>
        <w:t>Attachment 22b – Letter Report of Critical Values</w:t>
      </w:r>
      <w:bookmarkEnd w:id="140"/>
      <w:r w:rsidRPr="005553DF">
        <w:rPr>
          <w:rFonts w:asciiTheme="minorHAnsi" w:hAnsiTheme="minorHAnsi" w:cstheme="minorHAnsi"/>
          <w:b w:val="0"/>
          <w:color w:val="auto"/>
          <w:sz w:val="20"/>
          <w:szCs w:val="20"/>
        </w:rPr>
        <w:t xml:space="preserve"> </w:t>
      </w:r>
    </w:p>
    <w:p w14:paraId="18CE1E98" w14:textId="77777777" w:rsidR="00B321E7" w:rsidRPr="005553DF" w:rsidRDefault="00B321E7" w:rsidP="005553DF">
      <w:pPr>
        <w:spacing w:after="0" w:line="240" w:lineRule="auto"/>
        <w:rPr>
          <w:rFonts w:asciiTheme="minorHAnsi" w:hAnsiTheme="minorHAnsi" w:cstheme="minorHAnsi"/>
          <w:i/>
          <w:sz w:val="20"/>
          <w:szCs w:val="20"/>
        </w:rPr>
      </w:pPr>
      <w:r w:rsidRPr="005553DF">
        <w:rPr>
          <w:rFonts w:asciiTheme="minorHAnsi" w:hAnsiTheme="minorHAnsi" w:cstheme="minorHAnsi"/>
          <w:i/>
          <w:sz w:val="20"/>
          <w:szCs w:val="20"/>
        </w:rPr>
        <w:t>Attachment 23 – Clinical Test Results Report</w:t>
      </w:r>
    </w:p>
    <w:p w14:paraId="367869FD" w14:textId="77777777" w:rsidR="00B321E7" w:rsidRPr="005553DF" w:rsidRDefault="00B321E7" w:rsidP="005553DF">
      <w:pPr>
        <w:pStyle w:val="Heading2"/>
        <w:spacing w:before="0" w:after="0" w:line="240" w:lineRule="auto"/>
        <w:rPr>
          <w:rFonts w:asciiTheme="minorHAnsi" w:hAnsiTheme="minorHAnsi" w:cstheme="minorHAnsi"/>
          <w:b w:val="0"/>
          <w:sz w:val="20"/>
          <w:szCs w:val="20"/>
        </w:rPr>
      </w:pPr>
      <w:bookmarkStart w:id="141" w:name="_Toc532224251"/>
      <w:r w:rsidRPr="005553DF">
        <w:rPr>
          <w:rFonts w:asciiTheme="minorHAnsi" w:hAnsiTheme="minorHAnsi" w:cstheme="minorHAnsi"/>
          <w:b w:val="0"/>
          <w:sz w:val="20"/>
          <w:szCs w:val="20"/>
        </w:rPr>
        <w:t>Attachment 24 – PFAS Results Report</w:t>
      </w:r>
      <w:bookmarkEnd w:id="141"/>
    </w:p>
    <w:p w14:paraId="02A52D14" w14:textId="1E71FE8B" w:rsidR="00C67A04" w:rsidRPr="00BD788A" w:rsidRDefault="00B321E7" w:rsidP="00BD788A">
      <w:pPr>
        <w:pStyle w:val="Heading3"/>
        <w:spacing w:before="0" w:line="240" w:lineRule="auto"/>
        <w:rPr>
          <w:rFonts w:asciiTheme="minorHAnsi" w:hAnsiTheme="minorHAnsi" w:cstheme="minorHAnsi"/>
          <w:b w:val="0"/>
          <w:color w:val="auto"/>
          <w:sz w:val="20"/>
          <w:szCs w:val="20"/>
        </w:rPr>
      </w:pPr>
      <w:r w:rsidRPr="005553DF">
        <w:rPr>
          <w:rFonts w:asciiTheme="minorHAnsi" w:hAnsiTheme="minorHAnsi" w:cstheme="minorHAnsi"/>
          <w:b w:val="0"/>
          <w:color w:val="auto"/>
          <w:sz w:val="20"/>
          <w:szCs w:val="20"/>
        </w:rPr>
        <w:tab/>
      </w:r>
      <w:bookmarkStart w:id="142" w:name="_Toc532224252"/>
      <w:r w:rsidRPr="005553DF">
        <w:rPr>
          <w:rFonts w:asciiTheme="minorHAnsi" w:hAnsiTheme="minorHAnsi" w:cstheme="minorHAnsi"/>
          <w:b w:val="0"/>
          <w:color w:val="auto"/>
          <w:sz w:val="20"/>
          <w:szCs w:val="20"/>
        </w:rPr>
        <w:t>Attachment 24a – ATSDR PFAS Factsheet</w:t>
      </w:r>
      <w:bookmarkEnd w:id="142"/>
      <w:bookmarkEnd w:id="83"/>
      <w:bookmarkEnd w:id="84"/>
    </w:p>
    <w:sectPr w:rsidR="00C67A04" w:rsidRPr="00BD788A" w:rsidSect="00B321E7">
      <w:headerReference w:type="default" r:id="rId12"/>
      <w:footerReference w:type="default" r:id="rId13"/>
      <w:pgSz w:w="12240" w:h="15840"/>
      <w:pgMar w:top="1170" w:right="1440" w:bottom="99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85DF8" w14:textId="77777777" w:rsidR="003D2140" w:rsidRDefault="003D2140">
      <w:pPr>
        <w:spacing w:after="0" w:line="240" w:lineRule="auto"/>
      </w:pPr>
      <w:r>
        <w:separator/>
      </w:r>
    </w:p>
  </w:endnote>
  <w:endnote w:type="continuationSeparator" w:id="0">
    <w:p w14:paraId="408C9A5C" w14:textId="77777777" w:rsidR="003D2140" w:rsidRDefault="003D2140">
      <w:pPr>
        <w:spacing w:after="0" w:line="240" w:lineRule="auto"/>
      </w:pPr>
      <w:r>
        <w:continuationSeparator/>
      </w:r>
    </w:p>
  </w:endnote>
  <w:endnote w:type="continuationNotice" w:id="1">
    <w:p w14:paraId="4A96F6CE" w14:textId="77777777" w:rsidR="003D2140" w:rsidRDefault="003D2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466564"/>
      <w:docPartObj>
        <w:docPartGallery w:val="Page Numbers (Bottom of Page)"/>
        <w:docPartUnique/>
      </w:docPartObj>
    </w:sdtPr>
    <w:sdtEndPr>
      <w:rPr>
        <w:noProof/>
      </w:rPr>
    </w:sdtEndPr>
    <w:sdtContent>
      <w:p w14:paraId="38B2A2AF" w14:textId="71D1A709" w:rsidR="003D2140" w:rsidRDefault="003D2140">
        <w:pPr>
          <w:pStyle w:val="Footer"/>
          <w:jc w:val="right"/>
        </w:pPr>
        <w:r>
          <w:fldChar w:fldCharType="begin"/>
        </w:r>
        <w:r>
          <w:instrText xml:space="preserve"> PAGE   \* MERGEFORMAT </w:instrText>
        </w:r>
        <w:r>
          <w:fldChar w:fldCharType="separate"/>
        </w:r>
        <w:r w:rsidR="00313373">
          <w:rPr>
            <w:noProof/>
          </w:rPr>
          <w:t>1</w:t>
        </w:r>
        <w:r>
          <w:rPr>
            <w:noProof/>
          </w:rPr>
          <w:fldChar w:fldCharType="end"/>
        </w:r>
      </w:p>
    </w:sdtContent>
  </w:sdt>
  <w:p w14:paraId="3817E88B" w14:textId="77777777" w:rsidR="003D2140" w:rsidRDefault="003D2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554B7" w14:textId="77777777" w:rsidR="003D2140" w:rsidRDefault="003D2140">
      <w:pPr>
        <w:spacing w:after="0" w:line="240" w:lineRule="auto"/>
      </w:pPr>
      <w:r>
        <w:separator/>
      </w:r>
    </w:p>
  </w:footnote>
  <w:footnote w:type="continuationSeparator" w:id="0">
    <w:p w14:paraId="4FE64472" w14:textId="77777777" w:rsidR="003D2140" w:rsidRDefault="003D2140">
      <w:pPr>
        <w:spacing w:after="0" w:line="240" w:lineRule="auto"/>
      </w:pPr>
      <w:r>
        <w:continuationSeparator/>
      </w:r>
    </w:p>
  </w:footnote>
  <w:footnote w:type="continuationNotice" w:id="1">
    <w:p w14:paraId="5D395440" w14:textId="77777777" w:rsidR="003D2140" w:rsidRDefault="003D214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CEFD1" w14:textId="3FFE2469" w:rsidR="003D2140" w:rsidRDefault="003D21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37"/>
    <w:lvl w:ilvl="0">
      <w:start w:val="1"/>
      <w:numFmt w:val="decimal"/>
      <w:lvlText w:val="%1."/>
      <w:lvlJc w:val="left"/>
      <w:pPr>
        <w:tabs>
          <w:tab w:val="num" w:pos="720"/>
        </w:tabs>
        <w:ind w:left="720" w:hanging="360"/>
      </w:pPr>
    </w:lvl>
  </w:abstractNum>
  <w:abstractNum w:abstractNumId="1">
    <w:nsid w:val="016F2B0C"/>
    <w:multiLevelType w:val="hybridMultilevel"/>
    <w:tmpl w:val="99EA1138"/>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B6962"/>
    <w:multiLevelType w:val="hybridMultilevel"/>
    <w:tmpl w:val="0BA2A2E6"/>
    <w:lvl w:ilvl="0" w:tplc="0409000F">
      <w:start w:val="1"/>
      <w:numFmt w:val="decimal"/>
      <w:lvlText w:val="%1."/>
      <w:lvlJc w:val="left"/>
      <w:pPr>
        <w:ind w:left="720" w:hanging="360"/>
      </w:pPr>
    </w:lvl>
    <w:lvl w:ilvl="1" w:tplc="EBCEC26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75AE0"/>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802AC"/>
    <w:multiLevelType w:val="multilevel"/>
    <w:tmpl w:val="615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A7429"/>
    <w:multiLevelType w:val="multilevel"/>
    <w:tmpl w:val="1C4A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6A6C48"/>
    <w:multiLevelType w:val="multilevel"/>
    <w:tmpl w:val="999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E62E2B"/>
    <w:multiLevelType w:val="multilevel"/>
    <w:tmpl w:val="E4FAE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1A6C2A"/>
    <w:multiLevelType w:val="hybridMultilevel"/>
    <w:tmpl w:val="8994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494551"/>
    <w:multiLevelType w:val="hybridMultilevel"/>
    <w:tmpl w:val="EE22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43673D"/>
    <w:multiLevelType w:val="hybridMultilevel"/>
    <w:tmpl w:val="A1F22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EC1514"/>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577CEE"/>
    <w:multiLevelType w:val="hybridMultilevel"/>
    <w:tmpl w:val="1982D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336D6F"/>
    <w:multiLevelType w:val="hybridMultilevel"/>
    <w:tmpl w:val="3A6A54B0"/>
    <w:lvl w:ilvl="0" w:tplc="460C97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726AD3"/>
    <w:multiLevelType w:val="hybridMultilevel"/>
    <w:tmpl w:val="C60437B0"/>
    <w:lvl w:ilvl="0" w:tplc="171E4CCC">
      <w:start w:val="3"/>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D30F6E"/>
    <w:multiLevelType w:val="hybridMultilevel"/>
    <w:tmpl w:val="BBE61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0A31B0"/>
    <w:multiLevelType w:val="hybridMultilevel"/>
    <w:tmpl w:val="E4FA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883B8C"/>
    <w:multiLevelType w:val="hybridMultilevel"/>
    <w:tmpl w:val="79E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CD4D7D"/>
    <w:multiLevelType w:val="hybridMultilevel"/>
    <w:tmpl w:val="CB562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FE2035"/>
    <w:multiLevelType w:val="hybridMultilevel"/>
    <w:tmpl w:val="A1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571B28"/>
    <w:multiLevelType w:val="hybridMultilevel"/>
    <w:tmpl w:val="D226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9437B0"/>
    <w:multiLevelType w:val="hybridMultilevel"/>
    <w:tmpl w:val="BECA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E54FC1"/>
    <w:multiLevelType w:val="multilevel"/>
    <w:tmpl w:val="AAA062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A6204E4"/>
    <w:multiLevelType w:val="hybridMultilevel"/>
    <w:tmpl w:val="BC86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6C18E7"/>
    <w:multiLevelType w:val="hybridMultilevel"/>
    <w:tmpl w:val="6B2C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613E55"/>
    <w:multiLevelType w:val="hybridMultilevel"/>
    <w:tmpl w:val="F8EA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1F08E1"/>
    <w:multiLevelType w:val="hybridMultilevel"/>
    <w:tmpl w:val="F6BE6FE2"/>
    <w:lvl w:ilvl="0" w:tplc="992EE42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3308FB"/>
    <w:multiLevelType w:val="multilevel"/>
    <w:tmpl w:val="521ED10A"/>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3">
    <w:nsid w:val="4BB21EAB"/>
    <w:multiLevelType w:val="hybridMultilevel"/>
    <w:tmpl w:val="7C4E3F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2E0DB0"/>
    <w:multiLevelType w:val="hybridMultilevel"/>
    <w:tmpl w:val="2AE86F32"/>
    <w:lvl w:ilvl="0" w:tplc="2350F9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EB423FC"/>
    <w:multiLevelType w:val="hybridMultilevel"/>
    <w:tmpl w:val="583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31443E"/>
    <w:multiLevelType w:val="hybridMultilevel"/>
    <w:tmpl w:val="81C8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7128B9"/>
    <w:multiLevelType w:val="hybridMultilevel"/>
    <w:tmpl w:val="28603D82"/>
    <w:lvl w:ilvl="0" w:tplc="8B1069E6">
      <w:start w:val="1"/>
      <w:numFmt w:val="decimal"/>
      <w:lvlText w:val="(%1)"/>
      <w:lvlJc w:val="left"/>
      <w:pPr>
        <w:ind w:left="750" w:hanging="39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A94EF6"/>
    <w:multiLevelType w:val="hybridMultilevel"/>
    <w:tmpl w:val="5C6896F4"/>
    <w:lvl w:ilvl="0" w:tplc="4098687A">
      <w:start w:val="1"/>
      <w:numFmt w:val="decimal"/>
      <w:pStyle w:val="ListNumb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584C1308"/>
    <w:multiLevelType w:val="hybridMultilevel"/>
    <w:tmpl w:val="25E897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4E46F7"/>
    <w:multiLevelType w:val="multilevel"/>
    <w:tmpl w:val="833405D2"/>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42">
    <w:nsid w:val="5B981725"/>
    <w:multiLevelType w:val="hybridMultilevel"/>
    <w:tmpl w:val="38C8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DD629B"/>
    <w:multiLevelType w:val="hybridMultilevel"/>
    <w:tmpl w:val="492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FC05BD"/>
    <w:multiLevelType w:val="multilevel"/>
    <w:tmpl w:val="E4FAE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2D42EE2"/>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513544E"/>
    <w:multiLevelType w:val="multilevel"/>
    <w:tmpl w:val="135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814292"/>
    <w:multiLevelType w:val="hybridMultilevel"/>
    <w:tmpl w:val="18C2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3F1498"/>
    <w:multiLevelType w:val="hybridMultilevel"/>
    <w:tmpl w:val="961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9C85BA3"/>
    <w:multiLevelType w:val="hybridMultilevel"/>
    <w:tmpl w:val="687E3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6E4353"/>
    <w:multiLevelType w:val="hybridMultilevel"/>
    <w:tmpl w:val="2E12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163177"/>
    <w:multiLevelType w:val="hybridMultilevel"/>
    <w:tmpl w:val="D65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407C32"/>
    <w:multiLevelType w:val="hybridMultilevel"/>
    <w:tmpl w:val="AEB2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470A7D"/>
    <w:multiLevelType w:val="multilevel"/>
    <w:tmpl w:val="730898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1F21D1A"/>
    <w:multiLevelType w:val="hybridMultilevel"/>
    <w:tmpl w:val="4C106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4620A9"/>
    <w:multiLevelType w:val="hybridMultilevel"/>
    <w:tmpl w:val="C28E7194"/>
    <w:lvl w:ilvl="0" w:tplc="DA76A4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A3756F3"/>
    <w:multiLevelType w:val="hybridMultilevel"/>
    <w:tmpl w:val="392CD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E84DD3"/>
    <w:multiLevelType w:val="hybridMultilevel"/>
    <w:tmpl w:val="C894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CB51247"/>
    <w:multiLevelType w:val="hybridMultilevel"/>
    <w:tmpl w:val="A626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21243A"/>
    <w:multiLevelType w:val="hybridMultilevel"/>
    <w:tmpl w:val="F538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6B3935"/>
    <w:multiLevelType w:val="hybridMultilevel"/>
    <w:tmpl w:val="BAF0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F6691B"/>
    <w:multiLevelType w:val="hybridMultilevel"/>
    <w:tmpl w:val="209C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8"/>
  </w:num>
  <w:num w:numId="4">
    <w:abstractNumId w:val="3"/>
  </w:num>
  <w:num w:numId="5">
    <w:abstractNumId w:val="43"/>
  </w:num>
  <w:num w:numId="6">
    <w:abstractNumId w:val="31"/>
  </w:num>
  <w:num w:numId="7">
    <w:abstractNumId w:val="6"/>
  </w:num>
  <w:num w:numId="8">
    <w:abstractNumId w:val="13"/>
  </w:num>
  <w:num w:numId="9">
    <w:abstractNumId w:val="54"/>
  </w:num>
  <w:num w:numId="10">
    <w:abstractNumId w:val="55"/>
  </w:num>
  <w:num w:numId="11">
    <w:abstractNumId w:val="18"/>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50"/>
  </w:num>
  <w:num w:numId="15">
    <w:abstractNumId w:val="56"/>
  </w:num>
  <w:num w:numId="16">
    <w:abstractNumId w:val="51"/>
  </w:num>
  <w:num w:numId="17">
    <w:abstractNumId w:val="52"/>
  </w:num>
  <w:num w:numId="18">
    <w:abstractNumId w:val="48"/>
  </w:num>
  <w:num w:numId="19">
    <w:abstractNumId w:val="22"/>
  </w:num>
  <w:num w:numId="20">
    <w:abstractNumId w:val="38"/>
  </w:num>
  <w:num w:numId="21">
    <w:abstractNumId w:val="21"/>
  </w:num>
  <w:num w:numId="22">
    <w:abstractNumId w:val="11"/>
  </w:num>
  <w:num w:numId="23">
    <w:abstractNumId w:val="42"/>
  </w:num>
  <w:num w:numId="24">
    <w:abstractNumId w:val="40"/>
  </w:num>
  <w:num w:numId="25">
    <w:abstractNumId w:val="60"/>
  </w:num>
  <w:num w:numId="26">
    <w:abstractNumId w:val="49"/>
  </w:num>
  <w:num w:numId="27">
    <w:abstractNumId w:val="33"/>
  </w:num>
  <w:num w:numId="28">
    <w:abstractNumId w:val="57"/>
  </w:num>
  <w:num w:numId="29">
    <w:abstractNumId w:val="35"/>
  </w:num>
  <w:num w:numId="30">
    <w:abstractNumId w:val="24"/>
  </w:num>
  <w:num w:numId="31">
    <w:abstractNumId w:val="30"/>
  </w:num>
  <w:num w:numId="32">
    <w:abstractNumId w:val="37"/>
  </w:num>
  <w:num w:numId="33">
    <w:abstractNumId w:val="36"/>
  </w:num>
  <w:num w:numId="34">
    <w:abstractNumId w:val="61"/>
  </w:num>
  <w:num w:numId="35">
    <w:abstractNumId w:val="1"/>
  </w:num>
  <w:num w:numId="36">
    <w:abstractNumId w:val="32"/>
  </w:num>
  <w:num w:numId="37">
    <w:abstractNumId w:val="59"/>
  </w:num>
  <w:num w:numId="38">
    <w:abstractNumId w:val="58"/>
  </w:num>
  <w:num w:numId="39">
    <w:abstractNumId w:val="29"/>
  </w:num>
  <w:num w:numId="40">
    <w:abstractNumId w:val="17"/>
  </w:num>
  <w:num w:numId="41">
    <w:abstractNumId w:val="41"/>
  </w:num>
  <w:num w:numId="42">
    <w:abstractNumId w:val="27"/>
  </w:num>
  <w:num w:numId="43">
    <w:abstractNumId w:val="12"/>
  </w:num>
  <w:num w:numId="44">
    <w:abstractNumId w:val="20"/>
  </w:num>
  <w:num w:numId="45">
    <w:abstractNumId w:val="10"/>
  </w:num>
  <w:num w:numId="46">
    <w:abstractNumId w:val="45"/>
  </w:num>
  <w:num w:numId="47">
    <w:abstractNumId w:val="5"/>
  </w:num>
  <w:num w:numId="48">
    <w:abstractNumId w:val="46"/>
  </w:num>
  <w:num w:numId="49">
    <w:abstractNumId w:val="4"/>
  </w:num>
  <w:num w:numId="50">
    <w:abstractNumId w:val="7"/>
  </w:num>
  <w:num w:numId="51">
    <w:abstractNumId w:val="53"/>
  </w:num>
  <w:num w:numId="52">
    <w:abstractNumId w:val="25"/>
  </w:num>
  <w:num w:numId="53">
    <w:abstractNumId w:val="14"/>
  </w:num>
  <w:num w:numId="54">
    <w:abstractNumId w:val="8"/>
  </w:num>
  <w:num w:numId="55">
    <w:abstractNumId w:val="44"/>
  </w:num>
  <w:num w:numId="56">
    <w:abstractNumId w:val="34"/>
  </w:num>
  <w:num w:numId="57">
    <w:abstractNumId w:val="19"/>
  </w:num>
  <w:num w:numId="58">
    <w:abstractNumId w:val="23"/>
  </w:num>
  <w:num w:numId="59">
    <w:abstractNumId w:val="9"/>
  </w:num>
  <w:num w:numId="60">
    <w:abstractNumId w:val="16"/>
  </w:num>
  <w:num w:numId="61">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41"/>
    <w:rsid w:val="00000027"/>
    <w:rsid w:val="0000054A"/>
    <w:rsid w:val="000005CF"/>
    <w:rsid w:val="00000C70"/>
    <w:rsid w:val="00000E03"/>
    <w:rsid w:val="000017D4"/>
    <w:rsid w:val="00001817"/>
    <w:rsid w:val="00001BB3"/>
    <w:rsid w:val="00001E24"/>
    <w:rsid w:val="00001EF0"/>
    <w:rsid w:val="00005193"/>
    <w:rsid w:val="000102E4"/>
    <w:rsid w:val="00010458"/>
    <w:rsid w:val="0001087C"/>
    <w:rsid w:val="00010916"/>
    <w:rsid w:val="00011C40"/>
    <w:rsid w:val="00011D80"/>
    <w:rsid w:val="00013006"/>
    <w:rsid w:val="00013399"/>
    <w:rsid w:val="00013F19"/>
    <w:rsid w:val="0001494F"/>
    <w:rsid w:val="00015822"/>
    <w:rsid w:val="00015875"/>
    <w:rsid w:val="000158D9"/>
    <w:rsid w:val="00016592"/>
    <w:rsid w:val="000169DE"/>
    <w:rsid w:val="00016DDB"/>
    <w:rsid w:val="000172A6"/>
    <w:rsid w:val="00017BBB"/>
    <w:rsid w:val="00017FC4"/>
    <w:rsid w:val="00020D2A"/>
    <w:rsid w:val="00022441"/>
    <w:rsid w:val="0002344A"/>
    <w:rsid w:val="0002353A"/>
    <w:rsid w:val="0002381F"/>
    <w:rsid w:val="00024BC9"/>
    <w:rsid w:val="000269CC"/>
    <w:rsid w:val="00026B38"/>
    <w:rsid w:val="00027FD5"/>
    <w:rsid w:val="000300AB"/>
    <w:rsid w:val="0003037E"/>
    <w:rsid w:val="00031088"/>
    <w:rsid w:val="0003155C"/>
    <w:rsid w:val="0003191A"/>
    <w:rsid w:val="000322A2"/>
    <w:rsid w:val="0003335E"/>
    <w:rsid w:val="0003364F"/>
    <w:rsid w:val="00033866"/>
    <w:rsid w:val="00033D63"/>
    <w:rsid w:val="00033FDA"/>
    <w:rsid w:val="00035752"/>
    <w:rsid w:val="00036CAB"/>
    <w:rsid w:val="00036F8D"/>
    <w:rsid w:val="00037636"/>
    <w:rsid w:val="00040A7A"/>
    <w:rsid w:val="00041307"/>
    <w:rsid w:val="0004356A"/>
    <w:rsid w:val="00044F1B"/>
    <w:rsid w:val="00045C51"/>
    <w:rsid w:val="00046023"/>
    <w:rsid w:val="00047D94"/>
    <w:rsid w:val="0005158A"/>
    <w:rsid w:val="000525FB"/>
    <w:rsid w:val="000527E7"/>
    <w:rsid w:val="000528DB"/>
    <w:rsid w:val="00052E8F"/>
    <w:rsid w:val="000533E6"/>
    <w:rsid w:val="00053A80"/>
    <w:rsid w:val="00053D92"/>
    <w:rsid w:val="00053F9F"/>
    <w:rsid w:val="00055C8C"/>
    <w:rsid w:val="000575E5"/>
    <w:rsid w:val="000576D4"/>
    <w:rsid w:val="00057A8E"/>
    <w:rsid w:val="00057B73"/>
    <w:rsid w:val="00057EE2"/>
    <w:rsid w:val="000603AA"/>
    <w:rsid w:val="00061BFA"/>
    <w:rsid w:val="00061ECF"/>
    <w:rsid w:val="00062761"/>
    <w:rsid w:val="00062C68"/>
    <w:rsid w:val="00062FDF"/>
    <w:rsid w:val="00065526"/>
    <w:rsid w:val="00065804"/>
    <w:rsid w:val="00067ED7"/>
    <w:rsid w:val="00067F71"/>
    <w:rsid w:val="00070B4D"/>
    <w:rsid w:val="00070C25"/>
    <w:rsid w:val="00072125"/>
    <w:rsid w:val="00072379"/>
    <w:rsid w:val="00073B3C"/>
    <w:rsid w:val="0007493C"/>
    <w:rsid w:val="0007525B"/>
    <w:rsid w:val="00075C26"/>
    <w:rsid w:val="000761CA"/>
    <w:rsid w:val="000767B2"/>
    <w:rsid w:val="00076C03"/>
    <w:rsid w:val="00077FDC"/>
    <w:rsid w:val="000800AB"/>
    <w:rsid w:val="000800BD"/>
    <w:rsid w:val="0008083A"/>
    <w:rsid w:val="00080D1B"/>
    <w:rsid w:val="00081DAB"/>
    <w:rsid w:val="0008277A"/>
    <w:rsid w:val="000829EE"/>
    <w:rsid w:val="00083635"/>
    <w:rsid w:val="0008387B"/>
    <w:rsid w:val="00084294"/>
    <w:rsid w:val="0008597F"/>
    <w:rsid w:val="00085B5A"/>
    <w:rsid w:val="0008657F"/>
    <w:rsid w:val="000866AE"/>
    <w:rsid w:val="000866C4"/>
    <w:rsid w:val="00086EC0"/>
    <w:rsid w:val="00087180"/>
    <w:rsid w:val="00087A1F"/>
    <w:rsid w:val="0009012E"/>
    <w:rsid w:val="00090327"/>
    <w:rsid w:val="00090D7B"/>
    <w:rsid w:val="00090D9B"/>
    <w:rsid w:val="00091CDD"/>
    <w:rsid w:val="0009299B"/>
    <w:rsid w:val="00092FD4"/>
    <w:rsid w:val="000938A7"/>
    <w:rsid w:val="00094545"/>
    <w:rsid w:val="00094704"/>
    <w:rsid w:val="00094B23"/>
    <w:rsid w:val="00095385"/>
    <w:rsid w:val="000953AE"/>
    <w:rsid w:val="00095670"/>
    <w:rsid w:val="00095D58"/>
    <w:rsid w:val="000966B9"/>
    <w:rsid w:val="000968F3"/>
    <w:rsid w:val="00096C86"/>
    <w:rsid w:val="00097CF3"/>
    <w:rsid w:val="000A00BC"/>
    <w:rsid w:val="000A0626"/>
    <w:rsid w:val="000A1192"/>
    <w:rsid w:val="000A1609"/>
    <w:rsid w:val="000A1B97"/>
    <w:rsid w:val="000A1CDE"/>
    <w:rsid w:val="000A26A5"/>
    <w:rsid w:val="000A2C03"/>
    <w:rsid w:val="000A3891"/>
    <w:rsid w:val="000A3A7D"/>
    <w:rsid w:val="000A4141"/>
    <w:rsid w:val="000A54E5"/>
    <w:rsid w:val="000A5D6B"/>
    <w:rsid w:val="000A67CD"/>
    <w:rsid w:val="000A6C2C"/>
    <w:rsid w:val="000A7480"/>
    <w:rsid w:val="000A7CBC"/>
    <w:rsid w:val="000B0B20"/>
    <w:rsid w:val="000B3237"/>
    <w:rsid w:val="000B379C"/>
    <w:rsid w:val="000B3ABE"/>
    <w:rsid w:val="000B4F70"/>
    <w:rsid w:val="000B5A96"/>
    <w:rsid w:val="000B71CE"/>
    <w:rsid w:val="000B7C7A"/>
    <w:rsid w:val="000B7E81"/>
    <w:rsid w:val="000C0B2F"/>
    <w:rsid w:val="000C0CFF"/>
    <w:rsid w:val="000C0D13"/>
    <w:rsid w:val="000C2867"/>
    <w:rsid w:val="000C4BD1"/>
    <w:rsid w:val="000C51BA"/>
    <w:rsid w:val="000C581B"/>
    <w:rsid w:val="000C5D9F"/>
    <w:rsid w:val="000C6088"/>
    <w:rsid w:val="000C6853"/>
    <w:rsid w:val="000C72F4"/>
    <w:rsid w:val="000C743E"/>
    <w:rsid w:val="000C74F0"/>
    <w:rsid w:val="000C7607"/>
    <w:rsid w:val="000C7B39"/>
    <w:rsid w:val="000C7EE9"/>
    <w:rsid w:val="000D1CAF"/>
    <w:rsid w:val="000D1CE0"/>
    <w:rsid w:val="000D24CD"/>
    <w:rsid w:val="000D2510"/>
    <w:rsid w:val="000D2CD2"/>
    <w:rsid w:val="000D2E16"/>
    <w:rsid w:val="000D38DE"/>
    <w:rsid w:val="000D433D"/>
    <w:rsid w:val="000D48F8"/>
    <w:rsid w:val="000D496F"/>
    <w:rsid w:val="000D521E"/>
    <w:rsid w:val="000D6179"/>
    <w:rsid w:val="000D6D8D"/>
    <w:rsid w:val="000D722A"/>
    <w:rsid w:val="000E0457"/>
    <w:rsid w:val="000E0C50"/>
    <w:rsid w:val="000E4C8F"/>
    <w:rsid w:val="000E5C2A"/>
    <w:rsid w:val="000E5CD7"/>
    <w:rsid w:val="000E74ED"/>
    <w:rsid w:val="000E7A0F"/>
    <w:rsid w:val="000F0911"/>
    <w:rsid w:val="000F1953"/>
    <w:rsid w:val="000F1B7D"/>
    <w:rsid w:val="000F1DD2"/>
    <w:rsid w:val="000F2595"/>
    <w:rsid w:val="000F3676"/>
    <w:rsid w:val="000F36A2"/>
    <w:rsid w:val="000F3A31"/>
    <w:rsid w:val="000F4094"/>
    <w:rsid w:val="000F4872"/>
    <w:rsid w:val="000F4D43"/>
    <w:rsid w:val="000F55ED"/>
    <w:rsid w:val="000F5C00"/>
    <w:rsid w:val="000F6083"/>
    <w:rsid w:val="000F7272"/>
    <w:rsid w:val="000F73CB"/>
    <w:rsid w:val="000F7D6C"/>
    <w:rsid w:val="00100176"/>
    <w:rsid w:val="00100515"/>
    <w:rsid w:val="00100F56"/>
    <w:rsid w:val="00101F32"/>
    <w:rsid w:val="00102C96"/>
    <w:rsid w:val="00102D92"/>
    <w:rsid w:val="00103042"/>
    <w:rsid w:val="0010485E"/>
    <w:rsid w:val="001048EB"/>
    <w:rsid w:val="001053BD"/>
    <w:rsid w:val="001054F0"/>
    <w:rsid w:val="00105846"/>
    <w:rsid w:val="00105B50"/>
    <w:rsid w:val="00106387"/>
    <w:rsid w:val="00106538"/>
    <w:rsid w:val="00106DF9"/>
    <w:rsid w:val="00107C57"/>
    <w:rsid w:val="00107DC8"/>
    <w:rsid w:val="00110804"/>
    <w:rsid w:val="00110C24"/>
    <w:rsid w:val="001115DD"/>
    <w:rsid w:val="00111F3C"/>
    <w:rsid w:val="00112953"/>
    <w:rsid w:val="001129EC"/>
    <w:rsid w:val="00112E5F"/>
    <w:rsid w:val="0011354B"/>
    <w:rsid w:val="00114E25"/>
    <w:rsid w:val="00116101"/>
    <w:rsid w:val="00116E83"/>
    <w:rsid w:val="00117061"/>
    <w:rsid w:val="00117BF7"/>
    <w:rsid w:val="00117C78"/>
    <w:rsid w:val="00120796"/>
    <w:rsid w:val="00122C12"/>
    <w:rsid w:val="00123160"/>
    <w:rsid w:val="001234E6"/>
    <w:rsid w:val="00123525"/>
    <w:rsid w:val="00123AA1"/>
    <w:rsid w:val="001254DD"/>
    <w:rsid w:val="00126D8D"/>
    <w:rsid w:val="00127431"/>
    <w:rsid w:val="00127713"/>
    <w:rsid w:val="00132304"/>
    <w:rsid w:val="00133240"/>
    <w:rsid w:val="00134853"/>
    <w:rsid w:val="001358A4"/>
    <w:rsid w:val="00136E5F"/>
    <w:rsid w:val="001370E2"/>
    <w:rsid w:val="001406DC"/>
    <w:rsid w:val="0014079C"/>
    <w:rsid w:val="001418EB"/>
    <w:rsid w:val="00141BB5"/>
    <w:rsid w:val="001420F2"/>
    <w:rsid w:val="001425CD"/>
    <w:rsid w:val="001426C2"/>
    <w:rsid w:val="00142717"/>
    <w:rsid w:val="001429E3"/>
    <w:rsid w:val="00144283"/>
    <w:rsid w:val="001442E3"/>
    <w:rsid w:val="001445D7"/>
    <w:rsid w:val="00145D2F"/>
    <w:rsid w:val="0014625F"/>
    <w:rsid w:val="00146780"/>
    <w:rsid w:val="00146FF3"/>
    <w:rsid w:val="001470B9"/>
    <w:rsid w:val="00147844"/>
    <w:rsid w:val="00147CD4"/>
    <w:rsid w:val="00147EB8"/>
    <w:rsid w:val="00147ECB"/>
    <w:rsid w:val="00150E45"/>
    <w:rsid w:val="00151336"/>
    <w:rsid w:val="00151381"/>
    <w:rsid w:val="001514CF"/>
    <w:rsid w:val="00152039"/>
    <w:rsid w:val="001527AE"/>
    <w:rsid w:val="00152DD2"/>
    <w:rsid w:val="0015317D"/>
    <w:rsid w:val="00153B18"/>
    <w:rsid w:val="00153C95"/>
    <w:rsid w:val="001542DF"/>
    <w:rsid w:val="0015571B"/>
    <w:rsid w:val="0015582E"/>
    <w:rsid w:val="00155B6F"/>
    <w:rsid w:val="00156E9D"/>
    <w:rsid w:val="00156EFC"/>
    <w:rsid w:val="00161E44"/>
    <w:rsid w:val="00162378"/>
    <w:rsid w:val="00162ADC"/>
    <w:rsid w:val="001630C0"/>
    <w:rsid w:val="00163916"/>
    <w:rsid w:val="001645B9"/>
    <w:rsid w:val="00164600"/>
    <w:rsid w:val="00164D66"/>
    <w:rsid w:val="0016587C"/>
    <w:rsid w:val="00165C9A"/>
    <w:rsid w:val="00166ABA"/>
    <w:rsid w:val="00166DCB"/>
    <w:rsid w:val="00166DEC"/>
    <w:rsid w:val="0016727E"/>
    <w:rsid w:val="001702A7"/>
    <w:rsid w:val="00171102"/>
    <w:rsid w:val="0017165F"/>
    <w:rsid w:val="00171A0A"/>
    <w:rsid w:val="00171DA7"/>
    <w:rsid w:val="00172FDF"/>
    <w:rsid w:val="00173194"/>
    <w:rsid w:val="00173A0E"/>
    <w:rsid w:val="001740E7"/>
    <w:rsid w:val="00174848"/>
    <w:rsid w:val="00174D69"/>
    <w:rsid w:val="00175065"/>
    <w:rsid w:val="001750BF"/>
    <w:rsid w:val="0017681C"/>
    <w:rsid w:val="00177060"/>
    <w:rsid w:val="001773E5"/>
    <w:rsid w:val="00181432"/>
    <w:rsid w:val="00181758"/>
    <w:rsid w:val="00181A13"/>
    <w:rsid w:val="00182B99"/>
    <w:rsid w:val="001831E5"/>
    <w:rsid w:val="0018321E"/>
    <w:rsid w:val="00183B8B"/>
    <w:rsid w:val="00183C1B"/>
    <w:rsid w:val="00183E70"/>
    <w:rsid w:val="00183F59"/>
    <w:rsid w:val="001844EE"/>
    <w:rsid w:val="0018502C"/>
    <w:rsid w:val="0018525E"/>
    <w:rsid w:val="0018560A"/>
    <w:rsid w:val="00185C2C"/>
    <w:rsid w:val="001865F0"/>
    <w:rsid w:val="00186DA8"/>
    <w:rsid w:val="00187A55"/>
    <w:rsid w:val="00187DA6"/>
    <w:rsid w:val="001904D4"/>
    <w:rsid w:val="00190DA1"/>
    <w:rsid w:val="001924F6"/>
    <w:rsid w:val="00192600"/>
    <w:rsid w:val="0019387B"/>
    <w:rsid w:val="00193A8A"/>
    <w:rsid w:val="001945D9"/>
    <w:rsid w:val="00195E0E"/>
    <w:rsid w:val="00196289"/>
    <w:rsid w:val="001966E5"/>
    <w:rsid w:val="001969B5"/>
    <w:rsid w:val="00196B58"/>
    <w:rsid w:val="00196BFB"/>
    <w:rsid w:val="0019774E"/>
    <w:rsid w:val="001A02AB"/>
    <w:rsid w:val="001A03B2"/>
    <w:rsid w:val="001A08B0"/>
    <w:rsid w:val="001A0BB4"/>
    <w:rsid w:val="001A0BCE"/>
    <w:rsid w:val="001A164C"/>
    <w:rsid w:val="001A1FA8"/>
    <w:rsid w:val="001A2341"/>
    <w:rsid w:val="001A2654"/>
    <w:rsid w:val="001A3E1C"/>
    <w:rsid w:val="001A4193"/>
    <w:rsid w:val="001A4991"/>
    <w:rsid w:val="001A53F7"/>
    <w:rsid w:val="001A6193"/>
    <w:rsid w:val="001A6AC0"/>
    <w:rsid w:val="001A6ACF"/>
    <w:rsid w:val="001A7B85"/>
    <w:rsid w:val="001B0046"/>
    <w:rsid w:val="001B0153"/>
    <w:rsid w:val="001B07C9"/>
    <w:rsid w:val="001B203E"/>
    <w:rsid w:val="001B2871"/>
    <w:rsid w:val="001B48C3"/>
    <w:rsid w:val="001B5092"/>
    <w:rsid w:val="001B62FC"/>
    <w:rsid w:val="001B6581"/>
    <w:rsid w:val="001B6AAF"/>
    <w:rsid w:val="001B7402"/>
    <w:rsid w:val="001C0028"/>
    <w:rsid w:val="001C07F4"/>
    <w:rsid w:val="001C11ED"/>
    <w:rsid w:val="001C15AF"/>
    <w:rsid w:val="001C267A"/>
    <w:rsid w:val="001C2800"/>
    <w:rsid w:val="001C290B"/>
    <w:rsid w:val="001C303E"/>
    <w:rsid w:val="001C49EB"/>
    <w:rsid w:val="001C4C03"/>
    <w:rsid w:val="001C4E23"/>
    <w:rsid w:val="001C5294"/>
    <w:rsid w:val="001C5EDE"/>
    <w:rsid w:val="001C615C"/>
    <w:rsid w:val="001D02B0"/>
    <w:rsid w:val="001D0A8E"/>
    <w:rsid w:val="001D0C59"/>
    <w:rsid w:val="001D0DEC"/>
    <w:rsid w:val="001D11BD"/>
    <w:rsid w:val="001D1E0D"/>
    <w:rsid w:val="001D1F31"/>
    <w:rsid w:val="001D29C5"/>
    <w:rsid w:val="001D34A0"/>
    <w:rsid w:val="001D3DA7"/>
    <w:rsid w:val="001D4C5D"/>
    <w:rsid w:val="001D4EC7"/>
    <w:rsid w:val="001D4FD7"/>
    <w:rsid w:val="001D6792"/>
    <w:rsid w:val="001D6B70"/>
    <w:rsid w:val="001D6F1E"/>
    <w:rsid w:val="001E0573"/>
    <w:rsid w:val="001E0926"/>
    <w:rsid w:val="001E1248"/>
    <w:rsid w:val="001E1812"/>
    <w:rsid w:val="001E1D2B"/>
    <w:rsid w:val="001E2194"/>
    <w:rsid w:val="001E2D17"/>
    <w:rsid w:val="001E2D47"/>
    <w:rsid w:val="001E2D4B"/>
    <w:rsid w:val="001E2D6B"/>
    <w:rsid w:val="001E35A5"/>
    <w:rsid w:val="001E36FE"/>
    <w:rsid w:val="001E4459"/>
    <w:rsid w:val="001E46CB"/>
    <w:rsid w:val="001E4D68"/>
    <w:rsid w:val="001E51E1"/>
    <w:rsid w:val="001E671C"/>
    <w:rsid w:val="001E76DC"/>
    <w:rsid w:val="001E7CCB"/>
    <w:rsid w:val="001E7E6D"/>
    <w:rsid w:val="001F041E"/>
    <w:rsid w:val="001F0716"/>
    <w:rsid w:val="001F0CBB"/>
    <w:rsid w:val="001F13D1"/>
    <w:rsid w:val="001F3170"/>
    <w:rsid w:val="001F36E0"/>
    <w:rsid w:val="001F3EC6"/>
    <w:rsid w:val="001F3EE8"/>
    <w:rsid w:val="001F404F"/>
    <w:rsid w:val="001F47E7"/>
    <w:rsid w:val="001F4D26"/>
    <w:rsid w:val="001F58BF"/>
    <w:rsid w:val="001F5B68"/>
    <w:rsid w:val="001F5E4B"/>
    <w:rsid w:val="001F633B"/>
    <w:rsid w:val="00200ADB"/>
    <w:rsid w:val="00200FBC"/>
    <w:rsid w:val="00201A50"/>
    <w:rsid w:val="00201B54"/>
    <w:rsid w:val="00201D75"/>
    <w:rsid w:val="00202679"/>
    <w:rsid w:val="00203426"/>
    <w:rsid w:val="002035BA"/>
    <w:rsid w:val="0020397F"/>
    <w:rsid w:val="00204443"/>
    <w:rsid w:val="002064CE"/>
    <w:rsid w:val="002100FB"/>
    <w:rsid w:val="002101CF"/>
    <w:rsid w:val="0021037A"/>
    <w:rsid w:val="002108C3"/>
    <w:rsid w:val="0021096B"/>
    <w:rsid w:val="002113C5"/>
    <w:rsid w:val="00211DF8"/>
    <w:rsid w:val="00212988"/>
    <w:rsid w:val="002139FF"/>
    <w:rsid w:val="00213B9B"/>
    <w:rsid w:val="00213C82"/>
    <w:rsid w:val="00213D2A"/>
    <w:rsid w:val="00214A13"/>
    <w:rsid w:val="00214BEB"/>
    <w:rsid w:val="00214F00"/>
    <w:rsid w:val="0021506A"/>
    <w:rsid w:val="0021509C"/>
    <w:rsid w:val="002156F3"/>
    <w:rsid w:val="00215A13"/>
    <w:rsid w:val="00215E60"/>
    <w:rsid w:val="00216D6D"/>
    <w:rsid w:val="00216EC9"/>
    <w:rsid w:val="0021721E"/>
    <w:rsid w:val="00217244"/>
    <w:rsid w:val="002173F0"/>
    <w:rsid w:val="002175DF"/>
    <w:rsid w:val="00217B2A"/>
    <w:rsid w:val="00220B95"/>
    <w:rsid w:val="00221790"/>
    <w:rsid w:val="00221B91"/>
    <w:rsid w:val="002220C3"/>
    <w:rsid w:val="0022254C"/>
    <w:rsid w:val="00222ECF"/>
    <w:rsid w:val="002241D2"/>
    <w:rsid w:val="00224A07"/>
    <w:rsid w:val="0022517C"/>
    <w:rsid w:val="00225BAC"/>
    <w:rsid w:val="00226982"/>
    <w:rsid w:val="00230320"/>
    <w:rsid w:val="0023041A"/>
    <w:rsid w:val="00231153"/>
    <w:rsid w:val="00231345"/>
    <w:rsid w:val="00233C7E"/>
    <w:rsid w:val="00233F01"/>
    <w:rsid w:val="00237457"/>
    <w:rsid w:val="00237DAF"/>
    <w:rsid w:val="00240AAF"/>
    <w:rsid w:val="002411E4"/>
    <w:rsid w:val="0024185A"/>
    <w:rsid w:val="00241D4B"/>
    <w:rsid w:val="00242C6D"/>
    <w:rsid w:val="00242DE5"/>
    <w:rsid w:val="002432A3"/>
    <w:rsid w:val="0024375C"/>
    <w:rsid w:val="0024422D"/>
    <w:rsid w:val="00244490"/>
    <w:rsid w:val="00244981"/>
    <w:rsid w:val="00244A55"/>
    <w:rsid w:val="00244E1F"/>
    <w:rsid w:val="00245490"/>
    <w:rsid w:val="0024631D"/>
    <w:rsid w:val="00246359"/>
    <w:rsid w:val="00246BFF"/>
    <w:rsid w:val="00247430"/>
    <w:rsid w:val="00250698"/>
    <w:rsid w:val="00251130"/>
    <w:rsid w:val="002511C2"/>
    <w:rsid w:val="002512E5"/>
    <w:rsid w:val="00251336"/>
    <w:rsid w:val="00252C1B"/>
    <w:rsid w:val="002534C2"/>
    <w:rsid w:val="00254EFF"/>
    <w:rsid w:val="00255CC8"/>
    <w:rsid w:val="0025625A"/>
    <w:rsid w:val="00256D83"/>
    <w:rsid w:val="00260096"/>
    <w:rsid w:val="00260798"/>
    <w:rsid w:val="002631F0"/>
    <w:rsid w:val="002640AB"/>
    <w:rsid w:val="002645D5"/>
    <w:rsid w:val="00264811"/>
    <w:rsid w:val="00265475"/>
    <w:rsid w:val="00265D6A"/>
    <w:rsid w:val="002676BA"/>
    <w:rsid w:val="002677C6"/>
    <w:rsid w:val="00267CE9"/>
    <w:rsid w:val="00270273"/>
    <w:rsid w:val="00270406"/>
    <w:rsid w:val="00270BE5"/>
    <w:rsid w:val="00270DFC"/>
    <w:rsid w:val="0027126F"/>
    <w:rsid w:val="00271836"/>
    <w:rsid w:val="00271AC8"/>
    <w:rsid w:val="00271C41"/>
    <w:rsid w:val="00271F13"/>
    <w:rsid w:val="00273C75"/>
    <w:rsid w:val="00273C7E"/>
    <w:rsid w:val="00273E1A"/>
    <w:rsid w:val="00274211"/>
    <w:rsid w:val="002742E9"/>
    <w:rsid w:val="0027551B"/>
    <w:rsid w:val="002755E4"/>
    <w:rsid w:val="00275B52"/>
    <w:rsid w:val="00276A57"/>
    <w:rsid w:val="00277D72"/>
    <w:rsid w:val="00277E25"/>
    <w:rsid w:val="0028041A"/>
    <w:rsid w:val="00280E93"/>
    <w:rsid w:val="00280FBB"/>
    <w:rsid w:val="00281661"/>
    <w:rsid w:val="00281A56"/>
    <w:rsid w:val="00281C8D"/>
    <w:rsid w:val="00281CDB"/>
    <w:rsid w:val="0028255C"/>
    <w:rsid w:val="002825FA"/>
    <w:rsid w:val="00282804"/>
    <w:rsid w:val="00282E70"/>
    <w:rsid w:val="00282F8F"/>
    <w:rsid w:val="00283974"/>
    <w:rsid w:val="00283F64"/>
    <w:rsid w:val="00285577"/>
    <w:rsid w:val="00285C65"/>
    <w:rsid w:val="00286494"/>
    <w:rsid w:val="00286743"/>
    <w:rsid w:val="00286863"/>
    <w:rsid w:val="0028718E"/>
    <w:rsid w:val="002906EB"/>
    <w:rsid w:val="00291898"/>
    <w:rsid w:val="00291B65"/>
    <w:rsid w:val="00292822"/>
    <w:rsid w:val="00292865"/>
    <w:rsid w:val="00293911"/>
    <w:rsid w:val="00293A34"/>
    <w:rsid w:val="002943A2"/>
    <w:rsid w:val="002944DE"/>
    <w:rsid w:val="00294676"/>
    <w:rsid w:val="002950B6"/>
    <w:rsid w:val="00295210"/>
    <w:rsid w:val="00295ABB"/>
    <w:rsid w:val="00295FE9"/>
    <w:rsid w:val="00296E21"/>
    <w:rsid w:val="0029781F"/>
    <w:rsid w:val="002A1B67"/>
    <w:rsid w:val="002A245E"/>
    <w:rsid w:val="002A27A9"/>
    <w:rsid w:val="002A2C23"/>
    <w:rsid w:val="002A2FE4"/>
    <w:rsid w:val="002A32D8"/>
    <w:rsid w:val="002A37D5"/>
    <w:rsid w:val="002A4554"/>
    <w:rsid w:val="002A4C3B"/>
    <w:rsid w:val="002A6506"/>
    <w:rsid w:val="002A6DD0"/>
    <w:rsid w:val="002A79D9"/>
    <w:rsid w:val="002A7A6D"/>
    <w:rsid w:val="002B0055"/>
    <w:rsid w:val="002B101D"/>
    <w:rsid w:val="002B1F3C"/>
    <w:rsid w:val="002B2248"/>
    <w:rsid w:val="002B224B"/>
    <w:rsid w:val="002B3377"/>
    <w:rsid w:val="002B34CF"/>
    <w:rsid w:val="002B3DC2"/>
    <w:rsid w:val="002B55AD"/>
    <w:rsid w:val="002B5A8F"/>
    <w:rsid w:val="002B5A99"/>
    <w:rsid w:val="002B5FC1"/>
    <w:rsid w:val="002B6D44"/>
    <w:rsid w:val="002B7111"/>
    <w:rsid w:val="002B7271"/>
    <w:rsid w:val="002C0773"/>
    <w:rsid w:val="002C11C7"/>
    <w:rsid w:val="002C21FF"/>
    <w:rsid w:val="002C232C"/>
    <w:rsid w:val="002C2864"/>
    <w:rsid w:val="002C38B5"/>
    <w:rsid w:val="002C3C25"/>
    <w:rsid w:val="002C6626"/>
    <w:rsid w:val="002C752F"/>
    <w:rsid w:val="002C7565"/>
    <w:rsid w:val="002C75E2"/>
    <w:rsid w:val="002D008F"/>
    <w:rsid w:val="002D0FE5"/>
    <w:rsid w:val="002D2A33"/>
    <w:rsid w:val="002D33B4"/>
    <w:rsid w:val="002D3E55"/>
    <w:rsid w:val="002D473D"/>
    <w:rsid w:val="002D58C8"/>
    <w:rsid w:val="002D5C79"/>
    <w:rsid w:val="002D6728"/>
    <w:rsid w:val="002D7446"/>
    <w:rsid w:val="002E05BC"/>
    <w:rsid w:val="002E13AD"/>
    <w:rsid w:val="002E1C83"/>
    <w:rsid w:val="002E2813"/>
    <w:rsid w:val="002E3535"/>
    <w:rsid w:val="002E3F13"/>
    <w:rsid w:val="002E4A9B"/>
    <w:rsid w:val="002E5A05"/>
    <w:rsid w:val="002E601C"/>
    <w:rsid w:val="002E6A02"/>
    <w:rsid w:val="002E710C"/>
    <w:rsid w:val="002E7773"/>
    <w:rsid w:val="002E790F"/>
    <w:rsid w:val="002E7DCC"/>
    <w:rsid w:val="002E7FD5"/>
    <w:rsid w:val="002F0FA6"/>
    <w:rsid w:val="002F0FAE"/>
    <w:rsid w:val="002F15B1"/>
    <w:rsid w:val="002F1972"/>
    <w:rsid w:val="002F3697"/>
    <w:rsid w:val="002F480C"/>
    <w:rsid w:val="002F5859"/>
    <w:rsid w:val="002F78EB"/>
    <w:rsid w:val="002F7F52"/>
    <w:rsid w:val="00300B16"/>
    <w:rsid w:val="00301C65"/>
    <w:rsid w:val="003024A9"/>
    <w:rsid w:val="003024EE"/>
    <w:rsid w:val="00302549"/>
    <w:rsid w:val="00302981"/>
    <w:rsid w:val="00304F43"/>
    <w:rsid w:val="00305B6E"/>
    <w:rsid w:val="00305F44"/>
    <w:rsid w:val="003065FE"/>
    <w:rsid w:val="003072A2"/>
    <w:rsid w:val="00307535"/>
    <w:rsid w:val="00307711"/>
    <w:rsid w:val="003100B1"/>
    <w:rsid w:val="003116EB"/>
    <w:rsid w:val="003118C0"/>
    <w:rsid w:val="00311B09"/>
    <w:rsid w:val="00311CE8"/>
    <w:rsid w:val="003126AB"/>
    <w:rsid w:val="0031281C"/>
    <w:rsid w:val="003128B5"/>
    <w:rsid w:val="00312F64"/>
    <w:rsid w:val="00313373"/>
    <w:rsid w:val="003138BB"/>
    <w:rsid w:val="003139C4"/>
    <w:rsid w:val="00313D36"/>
    <w:rsid w:val="00314090"/>
    <w:rsid w:val="003146CD"/>
    <w:rsid w:val="00314A60"/>
    <w:rsid w:val="00314CF2"/>
    <w:rsid w:val="00315591"/>
    <w:rsid w:val="0031572F"/>
    <w:rsid w:val="0031589F"/>
    <w:rsid w:val="003159B9"/>
    <w:rsid w:val="003160B2"/>
    <w:rsid w:val="003173B5"/>
    <w:rsid w:val="003176B3"/>
    <w:rsid w:val="00320F69"/>
    <w:rsid w:val="003213C9"/>
    <w:rsid w:val="00321994"/>
    <w:rsid w:val="00321F58"/>
    <w:rsid w:val="0032337B"/>
    <w:rsid w:val="00324F0A"/>
    <w:rsid w:val="00325595"/>
    <w:rsid w:val="0032621A"/>
    <w:rsid w:val="003262CA"/>
    <w:rsid w:val="00326CBE"/>
    <w:rsid w:val="00327171"/>
    <w:rsid w:val="003302D1"/>
    <w:rsid w:val="00330309"/>
    <w:rsid w:val="00330414"/>
    <w:rsid w:val="00330621"/>
    <w:rsid w:val="00330907"/>
    <w:rsid w:val="003312BD"/>
    <w:rsid w:val="00333442"/>
    <w:rsid w:val="00334E79"/>
    <w:rsid w:val="00334ECF"/>
    <w:rsid w:val="00335A03"/>
    <w:rsid w:val="0033613C"/>
    <w:rsid w:val="003363EE"/>
    <w:rsid w:val="00336CC5"/>
    <w:rsid w:val="003379C8"/>
    <w:rsid w:val="0034112D"/>
    <w:rsid w:val="003416FF"/>
    <w:rsid w:val="00341F05"/>
    <w:rsid w:val="00341F3D"/>
    <w:rsid w:val="00342D74"/>
    <w:rsid w:val="00343348"/>
    <w:rsid w:val="003436BD"/>
    <w:rsid w:val="00344023"/>
    <w:rsid w:val="003453B4"/>
    <w:rsid w:val="00345E1A"/>
    <w:rsid w:val="00346239"/>
    <w:rsid w:val="00346ACD"/>
    <w:rsid w:val="003479E7"/>
    <w:rsid w:val="00347CE0"/>
    <w:rsid w:val="00347D2D"/>
    <w:rsid w:val="00347FA3"/>
    <w:rsid w:val="00351113"/>
    <w:rsid w:val="003516CC"/>
    <w:rsid w:val="00351904"/>
    <w:rsid w:val="00351E87"/>
    <w:rsid w:val="003528D1"/>
    <w:rsid w:val="00352A74"/>
    <w:rsid w:val="00352C72"/>
    <w:rsid w:val="00353120"/>
    <w:rsid w:val="00354D2B"/>
    <w:rsid w:val="0035560E"/>
    <w:rsid w:val="00356787"/>
    <w:rsid w:val="003572C9"/>
    <w:rsid w:val="00357B17"/>
    <w:rsid w:val="00357DCF"/>
    <w:rsid w:val="003602D0"/>
    <w:rsid w:val="0036068E"/>
    <w:rsid w:val="0036099F"/>
    <w:rsid w:val="0036119B"/>
    <w:rsid w:val="00361617"/>
    <w:rsid w:val="00361C8D"/>
    <w:rsid w:val="00362069"/>
    <w:rsid w:val="00362460"/>
    <w:rsid w:val="00362A79"/>
    <w:rsid w:val="00362ECE"/>
    <w:rsid w:val="00362F61"/>
    <w:rsid w:val="00363885"/>
    <w:rsid w:val="003639A2"/>
    <w:rsid w:val="0036438C"/>
    <w:rsid w:val="003654C1"/>
    <w:rsid w:val="00366FFD"/>
    <w:rsid w:val="00367C63"/>
    <w:rsid w:val="00371207"/>
    <w:rsid w:val="00371841"/>
    <w:rsid w:val="00371B5A"/>
    <w:rsid w:val="0037238D"/>
    <w:rsid w:val="00372AF6"/>
    <w:rsid w:val="00372E5D"/>
    <w:rsid w:val="003738C2"/>
    <w:rsid w:val="00373D60"/>
    <w:rsid w:val="0037407D"/>
    <w:rsid w:val="003742EF"/>
    <w:rsid w:val="00374790"/>
    <w:rsid w:val="0037490E"/>
    <w:rsid w:val="00376117"/>
    <w:rsid w:val="00380144"/>
    <w:rsid w:val="0038015B"/>
    <w:rsid w:val="003818B8"/>
    <w:rsid w:val="00381D4B"/>
    <w:rsid w:val="003820FC"/>
    <w:rsid w:val="003829B6"/>
    <w:rsid w:val="00383FE0"/>
    <w:rsid w:val="0038409A"/>
    <w:rsid w:val="00390124"/>
    <w:rsid w:val="003905C8"/>
    <w:rsid w:val="0039066D"/>
    <w:rsid w:val="00391464"/>
    <w:rsid w:val="0039166D"/>
    <w:rsid w:val="00391BA5"/>
    <w:rsid w:val="003922B3"/>
    <w:rsid w:val="003923C3"/>
    <w:rsid w:val="0039399A"/>
    <w:rsid w:val="00393A15"/>
    <w:rsid w:val="00393D53"/>
    <w:rsid w:val="00393E0B"/>
    <w:rsid w:val="00395B5F"/>
    <w:rsid w:val="00395BEC"/>
    <w:rsid w:val="00395CD7"/>
    <w:rsid w:val="00396BC1"/>
    <w:rsid w:val="003978B3"/>
    <w:rsid w:val="00397C20"/>
    <w:rsid w:val="00397C50"/>
    <w:rsid w:val="00397E62"/>
    <w:rsid w:val="003A064D"/>
    <w:rsid w:val="003A075E"/>
    <w:rsid w:val="003A0D92"/>
    <w:rsid w:val="003A13E7"/>
    <w:rsid w:val="003A1D17"/>
    <w:rsid w:val="003A3227"/>
    <w:rsid w:val="003A3DC8"/>
    <w:rsid w:val="003A4364"/>
    <w:rsid w:val="003A5445"/>
    <w:rsid w:val="003A570E"/>
    <w:rsid w:val="003A6135"/>
    <w:rsid w:val="003A66CA"/>
    <w:rsid w:val="003A6BF5"/>
    <w:rsid w:val="003A7709"/>
    <w:rsid w:val="003B078C"/>
    <w:rsid w:val="003B0AAA"/>
    <w:rsid w:val="003B11A4"/>
    <w:rsid w:val="003B1FA4"/>
    <w:rsid w:val="003B24D0"/>
    <w:rsid w:val="003B254E"/>
    <w:rsid w:val="003B25C5"/>
    <w:rsid w:val="003B2FEB"/>
    <w:rsid w:val="003B3A7C"/>
    <w:rsid w:val="003B3D29"/>
    <w:rsid w:val="003B4067"/>
    <w:rsid w:val="003B5AAE"/>
    <w:rsid w:val="003B7436"/>
    <w:rsid w:val="003B74F4"/>
    <w:rsid w:val="003B76E3"/>
    <w:rsid w:val="003B7886"/>
    <w:rsid w:val="003B7F06"/>
    <w:rsid w:val="003C0DA8"/>
    <w:rsid w:val="003C3C55"/>
    <w:rsid w:val="003C497A"/>
    <w:rsid w:val="003C4A19"/>
    <w:rsid w:val="003C544B"/>
    <w:rsid w:val="003C59E3"/>
    <w:rsid w:val="003C5B93"/>
    <w:rsid w:val="003C6330"/>
    <w:rsid w:val="003C6A23"/>
    <w:rsid w:val="003D0066"/>
    <w:rsid w:val="003D0069"/>
    <w:rsid w:val="003D0E1C"/>
    <w:rsid w:val="003D2140"/>
    <w:rsid w:val="003D2A26"/>
    <w:rsid w:val="003D2D5E"/>
    <w:rsid w:val="003D332C"/>
    <w:rsid w:val="003D439F"/>
    <w:rsid w:val="003D56C7"/>
    <w:rsid w:val="003D79DD"/>
    <w:rsid w:val="003E1112"/>
    <w:rsid w:val="003E1F85"/>
    <w:rsid w:val="003E2947"/>
    <w:rsid w:val="003E2BF6"/>
    <w:rsid w:val="003E3C6B"/>
    <w:rsid w:val="003E41E4"/>
    <w:rsid w:val="003E4231"/>
    <w:rsid w:val="003E5988"/>
    <w:rsid w:val="003E6B4E"/>
    <w:rsid w:val="003E6C57"/>
    <w:rsid w:val="003F0141"/>
    <w:rsid w:val="003F30AE"/>
    <w:rsid w:val="003F4016"/>
    <w:rsid w:val="003F478A"/>
    <w:rsid w:val="003F4C19"/>
    <w:rsid w:val="003F783C"/>
    <w:rsid w:val="004005BE"/>
    <w:rsid w:val="004006CB"/>
    <w:rsid w:val="004013AE"/>
    <w:rsid w:val="00402288"/>
    <w:rsid w:val="004022EE"/>
    <w:rsid w:val="00402418"/>
    <w:rsid w:val="004034F8"/>
    <w:rsid w:val="00403DAB"/>
    <w:rsid w:val="004042F8"/>
    <w:rsid w:val="004046E6"/>
    <w:rsid w:val="00404702"/>
    <w:rsid w:val="0040532F"/>
    <w:rsid w:val="0040618A"/>
    <w:rsid w:val="004070AA"/>
    <w:rsid w:val="004071B8"/>
    <w:rsid w:val="00410D7B"/>
    <w:rsid w:val="00410E0F"/>
    <w:rsid w:val="004119BB"/>
    <w:rsid w:val="00411FFD"/>
    <w:rsid w:val="00413941"/>
    <w:rsid w:val="00414057"/>
    <w:rsid w:val="00414634"/>
    <w:rsid w:val="004146C4"/>
    <w:rsid w:val="00414B36"/>
    <w:rsid w:val="00414DDD"/>
    <w:rsid w:val="00414E10"/>
    <w:rsid w:val="00414E45"/>
    <w:rsid w:val="0042042D"/>
    <w:rsid w:val="00420E40"/>
    <w:rsid w:val="00421429"/>
    <w:rsid w:val="0042179F"/>
    <w:rsid w:val="00421847"/>
    <w:rsid w:val="00421CAF"/>
    <w:rsid w:val="0042233F"/>
    <w:rsid w:val="004223F7"/>
    <w:rsid w:val="004227AF"/>
    <w:rsid w:val="004235DC"/>
    <w:rsid w:val="0042608C"/>
    <w:rsid w:val="004269CE"/>
    <w:rsid w:val="00426B52"/>
    <w:rsid w:val="00426BAF"/>
    <w:rsid w:val="00426D06"/>
    <w:rsid w:val="00427133"/>
    <w:rsid w:val="004278C7"/>
    <w:rsid w:val="00427C87"/>
    <w:rsid w:val="0043089B"/>
    <w:rsid w:val="00430E53"/>
    <w:rsid w:val="004315BB"/>
    <w:rsid w:val="00431F94"/>
    <w:rsid w:val="004330DB"/>
    <w:rsid w:val="004331C1"/>
    <w:rsid w:val="0043376E"/>
    <w:rsid w:val="00434075"/>
    <w:rsid w:val="00434140"/>
    <w:rsid w:val="004345A6"/>
    <w:rsid w:val="004359F4"/>
    <w:rsid w:val="00436AED"/>
    <w:rsid w:val="00436C7D"/>
    <w:rsid w:val="0043719F"/>
    <w:rsid w:val="00437B02"/>
    <w:rsid w:val="00440EC3"/>
    <w:rsid w:val="00441388"/>
    <w:rsid w:val="00441719"/>
    <w:rsid w:val="00442293"/>
    <w:rsid w:val="00443A3D"/>
    <w:rsid w:val="00443A7C"/>
    <w:rsid w:val="00444CC5"/>
    <w:rsid w:val="00444D2B"/>
    <w:rsid w:val="00445010"/>
    <w:rsid w:val="00445704"/>
    <w:rsid w:val="00445EA1"/>
    <w:rsid w:val="00445F9C"/>
    <w:rsid w:val="00446181"/>
    <w:rsid w:val="00446788"/>
    <w:rsid w:val="00446FD1"/>
    <w:rsid w:val="004476E1"/>
    <w:rsid w:val="00447A4E"/>
    <w:rsid w:val="00450191"/>
    <w:rsid w:val="004504BF"/>
    <w:rsid w:val="004517FA"/>
    <w:rsid w:val="00452056"/>
    <w:rsid w:val="004525FD"/>
    <w:rsid w:val="00452D0C"/>
    <w:rsid w:val="00452E8B"/>
    <w:rsid w:val="0045374F"/>
    <w:rsid w:val="00453A8F"/>
    <w:rsid w:val="004541C9"/>
    <w:rsid w:val="00454381"/>
    <w:rsid w:val="00455548"/>
    <w:rsid w:val="0045570A"/>
    <w:rsid w:val="00455B8E"/>
    <w:rsid w:val="0045672B"/>
    <w:rsid w:val="004569B8"/>
    <w:rsid w:val="004572C8"/>
    <w:rsid w:val="004579A2"/>
    <w:rsid w:val="00457D44"/>
    <w:rsid w:val="00457ED2"/>
    <w:rsid w:val="0046037F"/>
    <w:rsid w:val="00460758"/>
    <w:rsid w:val="004609DF"/>
    <w:rsid w:val="00460A2F"/>
    <w:rsid w:val="00461456"/>
    <w:rsid w:val="0046277C"/>
    <w:rsid w:val="00462D46"/>
    <w:rsid w:val="004637E4"/>
    <w:rsid w:val="0046426E"/>
    <w:rsid w:val="00465EAD"/>
    <w:rsid w:val="0046754C"/>
    <w:rsid w:val="00467C90"/>
    <w:rsid w:val="00470A0D"/>
    <w:rsid w:val="00470AC8"/>
    <w:rsid w:val="00470B63"/>
    <w:rsid w:val="00470C79"/>
    <w:rsid w:val="004727A7"/>
    <w:rsid w:val="00472806"/>
    <w:rsid w:val="00472BEA"/>
    <w:rsid w:val="00472D30"/>
    <w:rsid w:val="00472E0D"/>
    <w:rsid w:val="004733CE"/>
    <w:rsid w:val="00473F7C"/>
    <w:rsid w:val="004746E3"/>
    <w:rsid w:val="00475AC8"/>
    <w:rsid w:val="00476309"/>
    <w:rsid w:val="00476C52"/>
    <w:rsid w:val="00476DD3"/>
    <w:rsid w:val="00477214"/>
    <w:rsid w:val="00477503"/>
    <w:rsid w:val="00477D4B"/>
    <w:rsid w:val="00480682"/>
    <w:rsid w:val="00482C12"/>
    <w:rsid w:val="004833FB"/>
    <w:rsid w:val="00484263"/>
    <w:rsid w:val="0048464A"/>
    <w:rsid w:val="00484722"/>
    <w:rsid w:val="00484B5D"/>
    <w:rsid w:val="0048546E"/>
    <w:rsid w:val="004862B9"/>
    <w:rsid w:val="0048728A"/>
    <w:rsid w:val="00490C77"/>
    <w:rsid w:val="004914F0"/>
    <w:rsid w:val="00491E57"/>
    <w:rsid w:val="00491F34"/>
    <w:rsid w:val="00492713"/>
    <w:rsid w:val="00492A0D"/>
    <w:rsid w:val="00494985"/>
    <w:rsid w:val="00494CAE"/>
    <w:rsid w:val="00495EDD"/>
    <w:rsid w:val="0049601A"/>
    <w:rsid w:val="004975AA"/>
    <w:rsid w:val="0049788E"/>
    <w:rsid w:val="00497B75"/>
    <w:rsid w:val="00497F3D"/>
    <w:rsid w:val="004A0231"/>
    <w:rsid w:val="004A0CF0"/>
    <w:rsid w:val="004A1E1B"/>
    <w:rsid w:val="004A289D"/>
    <w:rsid w:val="004A2ACE"/>
    <w:rsid w:val="004A2AF0"/>
    <w:rsid w:val="004A3617"/>
    <w:rsid w:val="004A5814"/>
    <w:rsid w:val="004A6443"/>
    <w:rsid w:val="004A6647"/>
    <w:rsid w:val="004A6766"/>
    <w:rsid w:val="004A67F0"/>
    <w:rsid w:val="004A6D8B"/>
    <w:rsid w:val="004A6E72"/>
    <w:rsid w:val="004A721C"/>
    <w:rsid w:val="004A73BB"/>
    <w:rsid w:val="004A7C1E"/>
    <w:rsid w:val="004B0542"/>
    <w:rsid w:val="004B117E"/>
    <w:rsid w:val="004B16B1"/>
    <w:rsid w:val="004B2356"/>
    <w:rsid w:val="004B29DD"/>
    <w:rsid w:val="004B3894"/>
    <w:rsid w:val="004B3A97"/>
    <w:rsid w:val="004B4C49"/>
    <w:rsid w:val="004B7B93"/>
    <w:rsid w:val="004B7F75"/>
    <w:rsid w:val="004C0745"/>
    <w:rsid w:val="004C38B6"/>
    <w:rsid w:val="004C46A1"/>
    <w:rsid w:val="004C5427"/>
    <w:rsid w:val="004C562E"/>
    <w:rsid w:val="004C576C"/>
    <w:rsid w:val="004C64A6"/>
    <w:rsid w:val="004C6A60"/>
    <w:rsid w:val="004C7142"/>
    <w:rsid w:val="004C7740"/>
    <w:rsid w:val="004D0720"/>
    <w:rsid w:val="004D0906"/>
    <w:rsid w:val="004D1320"/>
    <w:rsid w:val="004D180C"/>
    <w:rsid w:val="004D1BE3"/>
    <w:rsid w:val="004D2190"/>
    <w:rsid w:val="004D27A3"/>
    <w:rsid w:val="004D2A2C"/>
    <w:rsid w:val="004D32F9"/>
    <w:rsid w:val="004D3529"/>
    <w:rsid w:val="004D370C"/>
    <w:rsid w:val="004D3FBE"/>
    <w:rsid w:val="004D4B66"/>
    <w:rsid w:val="004D4BBC"/>
    <w:rsid w:val="004D4ED8"/>
    <w:rsid w:val="004D5250"/>
    <w:rsid w:val="004D5F40"/>
    <w:rsid w:val="004D623B"/>
    <w:rsid w:val="004D68C8"/>
    <w:rsid w:val="004E0B20"/>
    <w:rsid w:val="004E0EA6"/>
    <w:rsid w:val="004E24E4"/>
    <w:rsid w:val="004E266C"/>
    <w:rsid w:val="004E4D10"/>
    <w:rsid w:val="004E4D33"/>
    <w:rsid w:val="004E4E15"/>
    <w:rsid w:val="004E5147"/>
    <w:rsid w:val="004E6377"/>
    <w:rsid w:val="004E63E9"/>
    <w:rsid w:val="004E7CDC"/>
    <w:rsid w:val="004F01AF"/>
    <w:rsid w:val="004F06A8"/>
    <w:rsid w:val="004F1FA3"/>
    <w:rsid w:val="004F2225"/>
    <w:rsid w:val="004F2E5E"/>
    <w:rsid w:val="004F397C"/>
    <w:rsid w:val="004F5A12"/>
    <w:rsid w:val="004F5A8E"/>
    <w:rsid w:val="004F5B86"/>
    <w:rsid w:val="004F5B92"/>
    <w:rsid w:val="004F5F7E"/>
    <w:rsid w:val="004F6148"/>
    <w:rsid w:val="004F6793"/>
    <w:rsid w:val="004F735C"/>
    <w:rsid w:val="004F754C"/>
    <w:rsid w:val="004F7564"/>
    <w:rsid w:val="00501912"/>
    <w:rsid w:val="00501C86"/>
    <w:rsid w:val="00501E21"/>
    <w:rsid w:val="00502632"/>
    <w:rsid w:val="0050360F"/>
    <w:rsid w:val="00503895"/>
    <w:rsid w:val="00503ED8"/>
    <w:rsid w:val="0050457A"/>
    <w:rsid w:val="0050487C"/>
    <w:rsid w:val="00504E2B"/>
    <w:rsid w:val="00505358"/>
    <w:rsid w:val="00505F41"/>
    <w:rsid w:val="0050673B"/>
    <w:rsid w:val="00507145"/>
    <w:rsid w:val="00510365"/>
    <w:rsid w:val="00511C66"/>
    <w:rsid w:val="00511F4E"/>
    <w:rsid w:val="00512ADB"/>
    <w:rsid w:val="00514940"/>
    <w:rsid w:val="00514E81"/>
    <w:rsid w:val="00515715"/>
    <w:rsid w:val="00515C58"/>
    <w:rsid w:val="0051636F"/>
    <w:rsid w:val="0051643C"/>
    <w:rsid w:val="005167B1"/>
    <w:rsid w:val="0051711B"/>
    <w:rsid w:val="00517FFE"/>
    <w:rsid w:val="00520B85"/>
    <w:rsid w:val="00520DBC"/>
    <w:rsid w:val="00520DC4"/>
    <w:rsid w:val="00520EB5"/>
    <w:rsid w:val="00520F0F"/>
    <w:rsid w:val="00521000"/>
    <w:rsid w:val="005228F6"/>
    <w:rsid w:val="00523623"/>
    <w:rsid w:val="00523944"/>
    <w:rsid w:val="00524331"/>
    <w:rsid w:val="00524352"/>
    <w:rsid w:val="00524A3E"/>
    <w:rsid w:val="0052671B"/>
    <w:rsid w:val="00526CCF"/>
    <w:rsid w:val="00527B6B"/>
    <w:rsid w:val="00530E4C"/>
    <w:rsid w:val="00531C17"/>
    <w:rsid w:val="00531CC1"/>
    <w:rsid w:val="00531FE7"/>
    <w:rsid w:val="00532435"/>
    <w:rsid w:val="005326EC"/>
    <w:rsid w:val="00532AE4"/>
    <w:rsid w:val="00532D4C"/>
    <w:rsid w:val="00532EAE"/>
    <w:rsid w:val="0053311E"/>
    <w:rsid w:val="00533394"/>
    <w:rsid w:val="005339DA"/>
    <w:rsid w:val="00535F98"/>
    <w:rsid w:val="00536680"/>
    <w:rsid w:val="00536C91"/>
    <w:rsid w:val="00537AAF"/>
    <w:rsid w:val="00537DAC"/>
    <w:rsid w:val="00541113"/>
    <w:rsid w:val="00541659"/>
    <w:rsid w:val="0054228B"/>
    <w:rsid w:val="00542A00"/>
    <w:rsid w:val="00543AC9"/>
    <w:rsid w:val="00545197"/>
    <w:rsid w:val="00545DD3"/>
    <w:rsid w:val="00545F74"/>
    <w:rsid w:val="00547FA5"/>
    <w:rsid w:val="00550AB8"/>
    <w:rsid w:val="00551C81"/>
    <w:rsid w:val="00552212"/>
    <w:rsid w:val="00552B39"/>
    <w:rsid w:val="00552F5B"/>
    <w:rsid w:val="00553D79"/>
    <w:rsid w:val="00554094"/>
    <w:rsid w:val="0055474A"/>
    <w:rsid w:val="005548D6"/>
    <w:rsid w:val="005553DF"/>
    <w:rsid w:val="005564FA"/>
    <w:rsid w:val="00556EE0"/>
    <w:rsid w:val="0055702E"/>
    <w:rsid w:val="00557C3C"/>
    <w:rsid w:val="005605FD"/>
    <w:rsid w:val="00560A31"/>
    <w:rsid w:val="00560CF0"/>
    <w:rsid w:val="0056197A"/>
    <w:rsid w:val="00562E39"/>
    <w:rsid w:val="00564C89"/>
    <w:rsid w:val="0056503F"/>
    <w:rsid w:val="0056535D"/>
    <w:rsid w:val="00565DFC"/>
    <w:rsid w:val="00566E70"/>
    <w:rsid w:val="00566EAF"/>
    <w:rsid w:val="00567481"/>
    <w:rsid w:val="005678C6"/>
    <w:rsid w:val="005704D2"/>
    <w:rsid w:val="00570732"/>
    <w:rsid w:val="00570770"/>
    <w:rsid w:val="00570ACD"/>
    <w:rsid w:val="00570CCE"/>
    <w:rsid w:val="00570DE8"/>
    <w:rsid w:val="005712D8"/>
    <w:rsid w:val="00571A0A"/>
    <w:rsid w:val="005727DB"/>
    <w:rsid w:val="00572B93"/>
    <w:rsid w:val="00573161"/>
    <w:rsid w:val="005732DF"/>
    <w:rsid w:val="005749C2"/>
    <w:rsid w:val="00575B83"/>
    <w:rsid w:val="0057601A"/>
    <w:rsid w:val="00576306"/>
    <w:rsid w:val="00576EA5"/>
    <w:rsid w:val="0058072D"/>
    <w:rsid w:val="0058079A"/>
    <w:rsid w:val="00580A9A"/>
    <w:rsid w:val="00580B25"/>
    <w:rsid w:val="00580CD1"/>
    <w:rsid w:val="00582350"/>
    <w:rsid w:val="00582915"/>
    <w:rsid w:val="00583203"/>
    <w:rsid w:val="005832A0"/>
    <w:rsid w:val="00585FAC"/>
    <w:rsid w:val="00586712"/>
    <w:rsid w:val="0059000A"/>
    <w:rsid w:val="00590D1A"/>
    <w:rsid w:val="005915D6"/>
    <w:rsid w:val="0059278B"/>
    <w:rsid w:val="0059283B"/>
    <w:rsid w:val="00593AED"/>
    <w:rsid w:val="00594893"/>
    <w:rsid w:val="00594D08"/>
    <w:rsid w:val="0059510D"/>
    <w:rsid w:val="00595778"/>
    <w:rsid w:val="005964A2"/>
    <w:rsid w:val="005964B4"/>
    <w:rsid w:val="00597C03"/>
    <w:rsid w:val="00597F3A"/>
    <w:rsid w:val="005A027A"/>
    <w:rsid w:val="005A028E"/>
    <w:rsid w:val="005A03BF"/>
    <w:rsid w:val="005A12EE"/>
    <w:rsid w:val="005A1CCE"/>
    <w:rsid w:val="005A2AA3"/>
    <w:rsid w:val="005A3871"/>
    <w:rsid w:val="005A3A6E"/>
    <w:rsid w:val="005A408B"/>
    <w:rsid w:val="005A469C"/>
    <w:rsid w:val="005A4738"/>
    <w:rsid w:val="005A4B58"/>
    <w:rsid w:val="005A5929"/>
    <w:rsid w:val="005A5CA6"/>
    <w:rsid w:val="005A6C2C"/>
    <w:rsid w:val="005A70D1"/>
    <w:rsid w:val="005A7292"/>
    <w:rsid w:val="005B076F"/>
    <w:rsid w:val="005B1520"/>
    <w:rsid w:val="005B1591"/>
    <w:rsid w:val="005B1FEB"/>
    <w:rsid w:val="005B2AFC"/>
    <w:rsid w:val="005B2C53"/>
    <w:rsid w:val="005B32EA"/>
    <w:rsid w:val="005B348D"/>
    <w:rsid w:val="005B3609"/>
    <w:rsid w:val="005B42BE"/>
    <w:rsid w:val="005B457C"/>
    <w:rsid w:val="005B4DF0"/>
    <w:rsid w:val="005B5DE4"/>
    <w:rsid w:val="005B6784"/>
    <w:rsid w:val="005B6885"/>
    <w:rsid w:val="005B767F"/>
    <w:rsid w:val="005B77DF"/>
    <w:rsid w:val="005B7CEE"/>
    <w:rsid w:val="005C01E0"/>
    <w:rsid w:val="005C1F7F"/>
    <w:rsid w:val="005C28ED"/>
    <w:rsid w:val="005C3BE1"/>
    <w:rsid w:val="005C5109"/>
    <w:rsid w:val="005C678A"/>
    <w:rsid w:val="005C6C3B"/>
    <w:rsid w:val="005C74A4"/>
    <w:rsid w:val="005C792F"/>
    <w:rsid w:val="005D1091"/>
    <w:rsid w:val="005D2393"/>
    <w:rsid w:val="005D27BF"/>
    <w:rsid w:val="005D2B67"/>
    <w:rsid w:val="005D2B92"/>
    <w:rsid w:val="005D2D74"/>
    <w:rsid w:val="005D319B"/>
    <w:rsid w:val="005D3452"/>
    <w:rsid w:val="005D4769"/>
    <w:rsid w:val="005D4E24"/>
    <w:rsid w:val="005D4E72"/>
    <w:rsid w:val="005D54E7"/>
    <w:rsid w:val="005D564C"/>
    <w:rsid w:val="005D5B04"/>
    <w:rsid w:val="005D647D"/>
    <w:rsid w:val="005D684E"/>
    <w:rsid w:val="005D72D7"/>
    <w:rsid w:val="005E0BA2"/>
    <w:rsid w:val="005E0BE9"/>
    <w:rsid w:val="005E1091"/>
    <w:rsid w:val="005E139D"/>
    <w:rsid w:val="005E1524"/>
    <w:rsid w:val="005E1EF4"/>
    <w:rsid w:val="005E2FAA"/>
    <w:rsid w:val="005E33BB"/>
    <w:rsid w:val="005E3704"/>
    <w:rsid w:val="005E3D21"/>
    <w:rsid w:val="005E48E8"/>
    <w:rsid w:val="005E6026"/>
    <w:rsid w:val="005E6645"/>
    <w:rsid w:val="005E6AD8"/>
    <w:rsid w:val="005E74C6"/>
    <w:rsid w:val="005F00D5"/>
    <w:rsid w:val="005F0525"/>
    <w:rsid w:val="005F06AA"/>
    <w:rsid w:val="005F0E89"/>
    <w:rsid w:val="005F28E5"/>
    <w:rsid w:val="005F3160"/>
    <w:rsid w:val="005F3E91"/>
    <w:rsid w:val="005F430D"/>
    <w:rsid w:val="005F4BC9"/>
    <w:rsid w:val="005F50C6"/>
    <w:rsid w:val="005F53F1"/>
    <w:rsid w:val="005F5CDF"/>
    <w:rsid w:val="005F5DDD"/>
    <w:rsid w:val="005F73A3"/>
    <w:rsid w:val="006001F0"/>
    <w:rsid w:val="00600350"/>
    <w:rsid w:val="00600704"/>
    <w:rsid w:val="00600C5B"/>
    <w:rsid w:val="00600C62"/>
    <w:rsid w:val="00601771"/>
    <w:rsid w:val="00601EC4"/>
    <w:rsid w:val="006024B5"/>
    <w:rsid w:val="00602F30"/>
    <w:rsid w:val="006044AC"/>
    <w:rsid w:val="00604BB0"/>
    <w:rsid w:val="00605F81"/>
    <w:rsid w:val="006065B4"/>
    <w:rsid w:val="00606B63"/>
    <w:rsid w:val="00606ECC"/>
    <w:rsid w:val="006070E3"/>
    <w:rsid w:val="0060726B"/>
    <w:rsid w:val="006074A8"/>
    <w:rsid w:val="0061080C"/>
    <w:rsid w:val="0061084C"/>
    <w:rsid w:val="006109C2"/>
    <w:rsid w:val="00610E09"/>
    <w:rsid w:val="00610F98"/>
    <w:rsid w:val="0061105B"/>
    <w:rsid w:val="00611D45"/>
    <w:rsid w:val="00612040"/>
    <w:rsid w:val="006123C3"/>
    <w:rsid w:val="00612B6F"/>
    <w:rsid w:val="00613E10"/>
    <w:rsid w:val="006141A6"/>
    <w:rsid w:val="00614439"/>
    <w:rsid w:val="0061559F"/>
    <w:rsid w:val="00616B73"/>
    <w:rsid w:val="0061708B"/>
    <w:rsid w:val="0061729A"/>
    <w:rsid w:val="006203D9"/>
    <w:rsid w:val="00620836"/>
    <w:rsid w:val="0062210F"/>
    <w:rsid w:val="0062231E"/>
    <w:rsid w:val="0062376E"/>
    <w:rsid w:val="006244EC"/>
    <w:rsid w:val="006249A9"/>
    <w:rsid w:val="00624DCC"/>
    <w:rsid w:val="00625186"/>
    <w:rsid w:val="00625F86"/>
    <w:rsid w:val="00626668"/>
    <w:rsid w:val="00626D16"/>
    <w:rsid w:val="00627573"/>
    <w:rsid w:val="006305E8"/>
    <w:rsid w:val="00630604"/>
    <w:rsid w:val="006314FE"/>
    <w:rsid w:val="00631915"/>
    <w:rsid w:val="00631A43"/>
    <w:rsid w:val="006326F8"/>
    <w:rsid w:val="00632F5C"/>
    <w:rsid w:val="00633295"/>
    <w:rsid w:val="00633F72"/>
    <w:rsid w:val="00634197"/>
    <w:rsid w:val="00634A09"/>
    <w:rsid w:val="006359B9"/>
    <w:rsid w:val="00635BB9"/>
    <w:rsid w:val="00636448"/>
    <w:rsid w:val="00636E9D"/>
    <w:rsid w:val="006407EE"/>
    <w:rsid w:val="006409A5"/>
    <w:rsid w:val="00641847"/>
    <w:rsid w:val="00641EAD"/>
    <w:rsid w:val="006423BF"/>
    <w:rsid w:val="00642BDB"/>
    <w:rsid w:val="006439D2"/>
    <w:rsid w:val="00643F03"/>
    <w:rsid w:val="00644380"/>
    <w:rsid w:val="00644D6F"/>
    <w:rsid w:val="0064513E"/>
    <w:rsid w:val="006454D4"/>
    <w:rsid w:val="00645CD9"/>
    <w:rsid w:val="00645FE6"/>
    <w:rsid w:val="006467F1"/>
    <w:rsid w:val="006470A6"/>
    <w:rsid w:val="00651374"/>
    <w:rsid w:val="0065322E"/>
    <w:rsid w:val="0065376B"/>
    <w:rsid w:val="00655215"/>
    <w:rsid w:val="006562BA"/>
    <w:rsid w:val="006566CA"/>
    <w:rsid w:val="0065697E"/>
    <w:rsid w:val="00656FC3"/>
    <w:rsid w:val="00657153"/>
    <w:rsid w:val="0065752E"/>
    <w:rsid w:val="006575C8"/>
    <w:rsid w:val="00661182"/>
    <w:rsid w:val="0066178E"/>
    <w:rsid w:val="00661D30"/>
    <w:rsid w:val="00662901"/>
    <w:rsid w:val="00662A8C"/>
    <w:rsid w:val="006636BB"/>
    <w:rsid w:val="00663C26"/>
    <w:rsid w:val="00665443"/>
    <w:rsid w:val="00665AD0"/>
    <w:rsid w:val="00665CDD"/>
    <w:rsid w:val="00667A83"/>
    <w:rsid w:val="00667AAF"/>
    <w:rsid w:val="00670401"/>
    <w:rsid w:val="0067128D"/>
    <w:rsid w:val="0067135C"/>
    <w:rsid w:val="00672485"/>
    <w:rsid w:val="006733B2"/>
    <w:rsid w:val="00673679"/>
    <w:rsid w:val="006736CB"/>
    <w:rsid w:val="00673B3C"/>
    <w:rsid w:val="00674F54"/>
    <w:rsid w:val="0067679E"/>
    <w:rsid w:val="0067685B"/>
    <w:rsid w:val="006768A8"/>
    <w:rsid w:val="00677493"/>
    <w:rsid w:val="0068024B"/>
    <w:rsid w:val="00680462"/>
    <w:rsid w:val="00681409"/>
    <w:rsid w:val="006821BD"/>
    <w:rsid w:val="00682542"/>
    <w:rsid w:val="006825E9"/>
    <w:rsid w:val="006826F8"/>
    <w:rsid w:val="00683B8E"/>
    <w:rsid w:val="00683CD9"/>
    <w:rsid w:val="00684B37"/>
    <w:rsid w:val="00684C04"/>
    <w:rsid w:val="00686520"/>
    <w:rsid w:val="00686679"/>
    <w:rsid w:val="006872A0"/>
    <w:rsid w:val="0069056B"/>
    <w:rsid w:val="006911A3"/>
    <w:rsid w:val="00691AAF"/>
    <w:rsid w:val="00691ECB"/>
    <w:rsid w:val="00692ADF"/>
    <w:rsid w:val="006937CE"/>
    <w:rsid w:val="00693F24"/>
    <w:rsid w:val="00694714"/>
    <w:rsid w:val="0069592D"/>
    <w:rsid w:val="00696246"/>
    <w:rsid w:val="00696C0D"/>
    <w:rsid w:val="00697687"/>
    <w:rsid w:val="006A02C0"/>
    <w:rsid w:val="006A042E"/>
    <w:rsid w:val="006A0436"/>
    <w:rsid w:val="006A0F92"/>
    <w:rsid w:val="006A1083"/>
    <w:rsid w:val="006A13EE"/>
    <w:rsid w:val="006A1C40"/>
    <w:rsid w:val="006A2C04"/>
    <w:rsid w:val="006A6538"/>
    <w:rsid w:val="006A65A5"/>
    <w:rsid w:val="006A6C65"/>
    <w:rsid w:val="006A7D03"/>
    <w:rsid w:val="006B0140"/>
    <w:rsid w:val="006B01D5"/>
    <w:rsid w:val="006B02FC"/>
    <w:rsid w:val="006B1854"/>
    <w:rsid w:val="006B282A"/>
    <w:rsid w:val="006B2F12"/>
    <w:rsid w:val="006B316A"/>
    <w:rsid w:val="006B3210"/>
    <w:rsid w:val="006B371B"/>
    <w:rsid w:val="006B434B"/>
    <w:rsid w:val="006B43B9"/>
    <w:rsid w:val="006B4698"/>
    <w:rsid w:val="006B53AB"/>
    <w:rsid w:val="006B57F4"/>
    <w:rsid w:val="006B662F"/>
    <w:rsid w:val="006B6DFA"/>
    <w:rsid w:val="006B7C4F"/>
    <w:rsid w:val="006B7E22"/>
    <w:rsid w:val="006C01E5"/>
    <w:rsid w:val="006C03A9"/>
    <w:rsid w:val="006C151E"/>
    <w:rsid w:val="006C18DA"/>
    <w:rsid w:val="006C1BD6"/>
    <w:rsid w:val="006C2772"/>
    <w:rsid w:val="006C27F8"/>
    <w:rsid w:val="006C3AFA"/>
    <w:rsid w:val="006C3F2F"/>
    <w:rsid w:val="006C622C"/>
    <w:rsid w:val="006C651D"/>
    <w:rsid w:val="006C691C"/>
    <w:rsid w:val="006C6F4F"/>
    <w:rsid w:val="006D1F99"/>
    <w:rsid w:val="006D3379"/>
    <w:rsid w:val="006D342E"/>
    <w:rsid w:val="006D39DF"/>
    <w:rsid w:val="006D4008"/>
    <w:rsid w:val="006D4753"/>
    <w:rsid w:val="006D48E4"/>
    <w:rsid w:val="006D4AA7"/>
    <w:rsid w:val="006D4ACE"/>
    <w:rsid w:val="006D4CF2"/>
    <w:rsid w:val="006D5366"/>
    <w:rsid w:val="006D53EB"/>
    <w:rsid w:val="006D5D0F"/>
    <w:rsid w:val="006D5E52"/>
    <w:rsid w:val="006D5E76"/>
    <w:rsid w:val="006D5FF2"/>
    <w:rsid w:val="006D6765"/>
    <w:rsid w:val="006D6BFA"/>
    <w:rsid w:val="006D6F71"/>
    <w:rsid w:val="006D7493"/>
    <w:rsid w:val="006E0626"/>
    <w:rsid w:val="006E0D22"/>
    <w:rsid w:val="006E1A38"/>
    <w:rsid w:val="006E1B0E"/>
    <w:rsid w:val="006E20D6"/>
    <w:rsid w:val="006E2653"/>
    <w:rsid w:val="006E27F7"/>
    <w:rsid w:val="006E2880"/>
    <w:rsid w:val="006E29F8"/>
    <w:rsid w:val="006E415C"/>
    <w:rsid w:val="006E50D1"/>
    <w:rsid w:val="006E5139"/>
    <w:rsid w:val="006E5DA9"/>
    <w:rsid w:val="006E63A8"/>
    <w:rsid w:val="006E70B8"/>
    <w:rsid w:val="006E717D"/>
    <w:rsid w:val="006E74D2"/>
    <w:rsid w:val="006F09C9"/>
    <w:rsid w:val="006F1423"/>
    <w:rsid w:val="006F163C"/>
    <w:rsid w:val="006F187A"/>
    <w:rsid w:val="006F1CC7"/>
    <w:rsid w:val="006F273A"/>
    <w:rsid w:val="006F338B"/>
    <w:rsid w:val="006F33D5"/>
    <w:rsid w:val="006F4578"/>
    <w:rsid w:val="006F460B"/>
    <w:rsid w:val="006F4999"/>
    <w:rsid w:val="006F4F49"/>
    <w:rsid w:val="006F5280"/>
    <w:rsid w:val="006F55E5"/>
    <w:rsid w:val="006F5968"/>
    <w:rsid w:val="006F5B64"/>
    <w:rsid w:val="006F5C07"/>
    <w:rsid w:val="006F74FB"/>
    <w:rsid w:val="006F7A0C"/>
    <w:rsid w:val="007007B4"/>
    <w:rsid w:val="00700BCF"/>
    <w:rsid w:val="007011F4"/>
    <w:rsid w:val="00702C29"/>
    <w:rsid w:val="00702F6B"/>
    <w:rsid w:val="0070303C"/>
    <w:rsid w:val="0070356A"/>
    <w:rsid w:val="00703D01"/>
    <w:rsid w:val="00703D73"/>
    <w:rsid w:val="007045AB"/>
    <w:rsid w:val="00704789"/>
    <w:rsid w:val="00704AA0"/>
    <w:rsid w:val="00705A33"/>
    <w:rsid w:val="00705A80"/>
    <w:rsid w:val="00705CA8"/>
    <w:rsid w:val="00705CBD"/>
    <w:rsid w:val="00705F26"/>
    <w:rsid w:val="0070690B"/>
    <w:rsid w:val="00707B45"/>
    <w:rsid w:val="00707EC4"/>
    <w:rsid w:val="00710567"/>
    <w:rsid w:val="00710773"/>
    <w:rsid w:val="00711265"/>
    <w:rsid w:val="007121D0"/>
    <w:rsid w:val="00712B8C"/>
    <w:rsid w:val="00713AA6"/>
    <w:rsid w:val="00714C68"/>
    <w:rsid w:val="0071541B"/>
    <w:rsid w:val="007158C0"/>
    <w:rsid w:val="0071647A"/>
    <w:rsid w:val="00716CD5"/>
    <w:rsid w:val="00717E16"/>
    <w:rsid w:val="00721949"/>
    <w:rsid w:val="00721A26"/>
    <w:rsid w:val="00722293"/>
    <w:rsid w:val="00723BF8"/>
    <w:rsid w:val="00724641"/>
    <w:rsid w:val="007253A5"/>
    <w:rsid w:val="00725CF1"/>
    <w:rsid w:val="00726DC7"/>
    <w:rsid w:val="007274EC"/>
    <w:rsid w:val="007304AB"/>
    <w:rsid w:val="007312CB"/>
    <w:rsid w:val="00731369"/>
    <w:rsid w:val="00731729"/>
    <w:rsid w:val="00731AD5"/>
    <w:rsid w:val="00732ECB"/>
    <w:rsid w:val="00734BF3"/>
    <w:rsid w:val="00734C21"/>
    <w:rsid w:val="007353C5"/>
    <w:rsid w:val="00735FAA"/>
    <w:rsid w:val="007365C1"/>
    <w:rsid w:val="00736E4B"/>
    <w:rsid w:val="007415ED"/>
    <w:rsid w:val="007418A0"/>
    <w:rsid w:val="00743D8F"/>
    <w:rsid w:val="00744775"/>
    <w:rsid w:val="007448ED"/>
    <w:rsid w:val="007458F5"/>
    <w:rsid w:val="0074629C"/>
    <w:rsid w:val="007463B2"/>
    <w:rsid w:val="0074640F"/>
    <w:rsid w:val="00747FD4"/>
    <w:rsid w:val="0075003A"/>
    <w:rsid w:val="00751387"/>
    <w:rsid w:val="00751B27"/>
    <w:rsid w:val="007525B7"/>
    <w:rsid w:val="007531E2"/>
    <w:rsid w:val="00753AF5"/>
    <w:rsid w:val="0075449A"/>
    <w:rsid w:val="0075518C"/>
    <w:rsid w:val="007551A6"/>
    <w:rsid w:val="00755537"/>
    <w:rsid w:val="007562DF"/>
    <w:rsid w:val="00756806"/>
    <w:rsid w:val="00757421"/>
    <w:rsid w:val="0076189C"/>
    <w:rsid w:val="0076255E"/>
    <w:rsid w:val="00762929"/>
    <w:rsid w:val="00763387"/>
    <w:rsid w:val="00764A1B"/>
    <w:rsid w:val="00765520"/>
    <w:rsid w:val="0076595E"/>
    <w:rsid w:val="00765A72"/>
    <w:rsid w:val="00765DF5"/>
    <w:rsid w:val="00766517"/>
    <w:rsid w:val="007665D3"/>
    <w:rsid w:val="007670A7"/>
    <w:rsid w:val="007675E1"/>
    <w:rsid w:val="007700E9"/>
    <w:rsid w:val="007702AD"/>
    <w:rsid w:val="007703AE"/>
    <w:rsid w:val="007708E8"/>
    <w:rsid w:val="00771383"/>
    <w:rsid w:val="0077396D"/>
    <w:rsid w:val="00773B9F"/>
    <w:rsid w:val="00774015"/>
    <w:rsid w:val="00775FDB"/>
    <w:rsid w:val="00777404"/>
    <w:rsid w:val="007778C7"/>
    <w:rsid w:val="00777F32"/>
    <w:rsid w:val="007830D8"/>
    <w:rsid w:val="007831C6"/>
    <w:rsid w:val="007837F1"/>
    <w:rsid w:val="0078461F"/>
    <w:rsid w:val="007848F6"/>
    <w:rsid w:val="00784B1A"/>
    <w:rsid w:val="00785FD4"/>
    <w:rsid w:val="00786988"/>
    <w:rsid w:val="00786D62"/>
    <w:rsid w:val="007871FF"/>
    <w:rsid w:val="00787A08"/>
    <w:rsid w:val="00787C53"/>
    <w:rsid w:val="00787F12"/>
    <w:rsid w:val="00790177"/>
    <w:rsid w:val="00790689"/>
    <w:rsid w:val="007907CF"/>
    <w:rsid w:val="00790A28"/>
    <w:rsid w:val="0079113D"/>
    <w:rsid w:val="0079133D"/>
    <w:rsid w:val="00791807"/>
    <w:rsid w:val="00791C7F"/>
    <w:rsid w:val="00791D53"/>
    <w:rsid w:val="007922EF"/>
    <w:rsid w:val="0079232F"/>
    <w:rsid w:val="0079267C"/>
    <w:rsid w:val="007933E4"/>
    <w:rsid w:val="0079435C"/>
    <w:rsid w:val="00794DFD"/>
    <w:rsid w:val="007961E6"/>
    <w:rsid w:val="00796ECE"/>
    <w:rsid w:val="0079727F"/>
    <w:rsid w:val="0079754B"/>
    <w:rsid w:val="007A00DE"/>
    <w:rsid w:val="007A2294"/>
    <w:rsid w:val="007A2575"/>
    <w:rsid w:val="007A2FD9"/>
    <w:rsid w:val="007A3DD3"/>
    <w:rsid w:val="007A3E2B"/>
    <w:rsid w:val="007A6600"/>
    <w:rsid w:val="007A685D"/>
    <w:rsid w:val="007A7355"/>
    <w:rsid w:val="007B0132"/>
    <w:rsid w:val="007B04D7"/>
    <w:rsid w:val="007B04EE"/>
    <w:rsid w:val="007B06DB"/>
    <w:rsid w:val="007B2B9D"/>
    <w:rsid w:val="007B32C6"/>
    <w:rsid w:val="007B37A0"/>
    <w:rsid w:val="007B3B74"/>
    <w:rsid w:val="007B3BFF"/>
    <w:rsid w:val="007B4858"/>
    <w:rsid w:val="007B4D1F"/>
    <w:rsid w:val="007B4F84"/>
    <w:rsid w:val="007B5828"/>
    <w:rsid w:val="007B71FE"/>
    <w:rsid w:val="007B796B"/>
    <w:rsid w:val="007C0035"/>
    <w:rsid w:val="007C0CA1"/>
    <w:rsid w:val="007C2D5B"/>
    <w:rsid w:val="007C3893"/>
    <w:rsid w:val="007C39A4"/>
    <w:rsid w:val="007C5489"/>
    <w:rsid w:val="007C5506"/>
    <w:rsid w:val="007C56F4"/>
    <w:rsid w:val="007C5D5D"/>
    <w:rsid w:val="007C5FAE"/>
    <w:rsid w:val="007C6E27"/>
    <w:rsid w:val="007C7999"/>
    <w:rsid w:val="007D0533"/>
    <w:rsid w:val="007D0ECB"/>
    <w:rsid w:val="007D2159"/>
    <w:rsid w:val="007D2B82"/>
    <w:rsid w:val="007D2FF4"/>
    <w:rsid w:val="007D36F6"/>
    <w:rsid w:val="007D3887"/>
    <w:rsid w:val="007D5D18"/>
    <w:rsid w:val="007D753E"/>
    <w:rsid w:val="007E0769"/>
    <w:rsid w:val="007E13B3"/>
    <w:rsid w:val="007E1673"/>
    <w:rsid w:val="007E27D0"/>
    <w:rsid w:val="007E3C1F"/>
    <w:rsid w:val="007E3E50"/>
    <w:rsid w:val="007E3EEF"/>
    <w:rsid w:val="007E455A"/>
    <w:rsid w:val="007E5C02"/>
    <w:rsid w:val="007E5E5D"/>
    <w:rsid w:val="007E6542"/>
    <w:rsid w:val="007E7CE8"/>
    <w:rsid w:val="007E7EFF"/>
    <w:rsid w:val="007F02B4"/>
    <w:rsid w:val="007F18C0"/>
    <w:rsid w:val="007F1EFD"/>
    <w:rsid w:val="007F2B82"/>
    <w:rsid w:val="007F37E0"/>
    <w:rsid w:val="007F3CEA"/>
    <w:rsid w:val="007F3D3F"/>
    <w:rsid w:val="007F66C0"/>
    <w:rsid w:val="007F71EA"/>
    <w:rsid w:val="00800065"/>
    <w:rsid w:val="008001C7"/>
    <w:rsid w:val="00800F55"/>
    <w:rsid w:val="00800F71"/>
    <w:rsid w:val="0080147F"/>
    <w:rsid w:val="008019CC"/>
    <w:rsid w:val="00801B95"/>
    <w:rsid w:val="0080263C"/>
    <w:rsid w:val="00802B43"/>
    <w:rsid w:val="00802F13"/>
    <w:rsid w:val="00803980"/>
    <w:rsid w:val="008046E6"/>
    <w:rsid w:val="00805579"/>
    <w:rsid w:val="00805D6F"/>
    <w:rsid w:val="00806204"/>
    <w:rsid w:val="00807A66"/>
    <w:rsid w:val="0081048B"/>
    <w:rsid w:val="0081052D"/>
    <w:rsid w:val="008106B9"/>
    <w:rsid w:val="00810963"/>
    <w:rsid w:val="00810EDC"/>
    <w:rsid w:val="00811214"/>
    <w:rsid w:val="008130EE"/>
    <w:rsid w:val="0081429B"/>
    <w:rsid w:val="008144D2"/>
    <w:rsid w:val="00815DAB"/>
    <w:rsid w:val="0081600E"/>
    <w:rsid w:val="0081653A"/>
    <w:rsid w:val="0081765F"/>
    <w:rsid w:val="00817A2C"/>
    <w:rsid w:val="00817EA8"/>
    <w:rsid w:val="008202F2"/>
    <w:rsid w:val="00820576"/>
    <w:rsid w:val="0082093B"/>
    <w:rsid w:val="00821D71"/>
    <w:rsid w:val="00821D96"/>
    <w:rsid w:val="008226EE"/>
    <w:rsid w:val="00822964"/>
    <w:rsid w:val="008232FA"/>
    <w:rsid w:val="008233CC"/>
    <w:rsid w:val="0082352F"/>
    <w:rsid w:val="0082483A"/>
    <w:rsid w:val="0082564B"/>
    <w:rsid w:val="008263E5"/>
    <w:rsid w:val="0082775A"/>
    <w:rsid w:val="0082782F"/>
    <w:rsid w:val="00827EED"/>
    <w:rsid w:val="00830973"/>
    <w:rsid w:val="00831377"/>
    <w:rsid w:val="00831527"/>
    <w:rsid w:val="00831DEB"/>
    <w:rsid w:val="00832033"/>
    <w:rsid w:val="0083213F"/>
    <w:rsid w:val="0083252F"/>
    <w:rsid w:val="00832898"/>
    <w:rsid w:val="00832E6B"/>
    <w:rsid w:val="008333CB"/>
    <w:rsid w:val="00833652"/>
    <w:rsid w:val="00835647"/>
    <w:rsid w:val="008357F6"/>
    <w:rsid w:val="008369BA"/>
    <w:rsid w:val="0083780C"/>
    <w:rsid w:val="0084046B"/>
    <w:rsid w:val="0084159D"/>
    <w:rsid w:val="00842581"/>
    <w:rsid w:val="00842E05"/>
    <w:rsid w:val="0084328A"/>
    <w:rsid w:val="008432B8"/>
    <w:rsid w:val="00843CAA"/>
    <w:rsid w:val="0084407D"/>
    <w:rsid w:val="00845C91"/>
    <w:rsid w:val="00845EB3"/>
    <w:rsid w:val="0084789B"/>
    <w:rsid w:val="008479EE"/>
    <w:rsid w:val="00851177"/>
    <w:rsid w:val="0085160E"/>
    <w:rsid w:val="008519CD"/>
    <w:rsid w:val="00851EAA"/>
    <w:rsid w:val="00852956"/>
    <w:rsid w:val="00852A45"/>
    <w:rsid w:val="00854288"/>
    <w:rsid w:val="00855CE9"/>
    <w:rsid w:val="00856002"/>
    <w:rsid w:val="00856400"/>
    <w:rsid w:val="008568EE"/>
    <w:rsid w:val="00857106"/>
    <w:rsid w:val="00857FC5"/>
    <w:rsid w:val="008604B0"/>
    <w:rsid w:val="00861305"/>
    <w:rsid w:val="00861E63"/>
    <w:rsid w:val="00862545"/>
    <w:rsid w:val="008626E7"/>
    <w:rsid w:val="00863020"/>
    <w:rsid w:val="00863464"/>
    <w:rsid w:val="008639A6"/>
    <w:rsid w:val="00863BCA"/>
    <w:rsid w:val="00863E7D"/>
    <w:rsid w:val="00864486"/>
    <w:rsid w:val="00864BF0"/>
    <w:rsid w:val="00864EA0"/>
    <w:rsid w:val="00865007"/>
    <w:rsid w:val="00865E90"/>
    <w:rsid w:val="0086612E"/>
    <w:rsid w:val="0086619E"/>
    <w:rsid w:val="00866DEB"/>
    <w:rsid w:val="00867DDF"/>
    <w:rsid w:val="008717D2"/>
    <w:rsid w:val="00872494"/>
    <w:rsid w:val="00873125"/>
    <w:rsid w:val="00873707"/>
    <w:rsid w:val="00874728"/>
    <w:rsid w:val="00874F56"/>
    <w:rsid w:val="0087628A"/>
    <w:rsid w:val="00876877"/>
    <w:rsid w:val="008768EC"/>
    <w:rsid w:val="008768FE"/>
    <w:rsid w:val="0088037C"/>
    <w:rsid w:val="00880A2C"/>
    <w:rsid w:val="0088102B"/>
    <w:rsid w:val="008814D5"/>
    <w:rsid w:val="00881E6C"/>
    <w:rsid w:val="00881F46"/>
    <w:rsid w:val="0088206E"/>
    <w:rsid w:val="00882A7C"/>
    <w:rsid w:val="00883349"/>
    <w:rsid w:val="0088351B"/>
    <w:rsid w:val="00883E23"/>
    <w:rsid w:val="00884AF2"/>
    <w:rsid w:val="008863D3"/>
    <w:rsid w:val="00886B9C"/>
    <w:rsid w:val="0088772E"/>
    <w:rsid w:val="00890511"/>
    <w:rsid w:val="00890940"/>
    <w:rsid w:val="00890A63"/>
    <w:rsid w:val="008914C3"/>
    <w:rsid w:val="00891721"/>
    <w:rsid w:val="00891987"/>
    <w:rsid w:val="00891A48"/>
    <w:rsid w:val="008920A1"/>
    <w:rsid w:val="00893341"/>
    <w:rsid w:val="00893869"/>
    <w:rsid w:val="00893ECF"/>
    <w:rsid w:val="008942E6"/>
    <w:rsid w:val="008944E6"/>
    <w:rsid w:val="008949FB"/>
    <w:rsid w:val="008955B7"/>
    <w:rsid w:val="00895890"/>
    <w:rsid w:val="008961C9"/>
    <w:rsid w:val="008A0B2B"/>
    <w:rsid w:val="008A0C6B"/>
    <w:rsid w:val="008A1958"/>
    <w:rsid w:val="008A34C8"/>
    <w:rsid w:val="008A3EC6"/>
    <w:rsid w:val="008A40E7"/>
    <w:rsid w:val="008A5134"/>
    <w:rsid w:val="008A544A"/>
    <w:rsid w:val="008A66EA"/>
    <w:rsid w:val="008A681C"/>
    <w:rsid w:val="008A722C"/>
    <w:rsid w:val="008A7236"/>
    <w:rsid w:val="008A7A92"/>
    <w:rsid w:val="008B11F2"/>
    <w:rsid w:val="008B1400"/>
    <w:rsid w:val="008B3465"/>
    <w:rsid w:val="008B3667"/>
    <w:rsid w:val="008B3690"/>
    <w:rsid w:val="008B499B"/>
    <w:rsid w:val="008B5899"/>
    <w:rsid w:val="008B5C3B"/>
    <w:rsid w:val="008B60B2"/>
    <w:rsid w:val="008B674C"/>
    <w:rsid w:val="008B7E48"/>
    <w:rsid w:val="008C0121"/>
    <w:rsid w:val="008C0122"/>
    <w:rsid w:val="008C0223"/>
    <w:rsid w:val="008C16DC"/>
    <w:rsid w:val="008C22EB"/>
    <w:rsid w:val="008C2AE2"/>
    <w:rsid w:val="008C39CC"/>
    <w:rsid w:val="008C4A18"/>
    <w:rsid w:val="008C4CDD"/>
    <w:rsid w:val="008C6829"/>
    <w:rsid w:val="008C6B07"/>
    <w:rsid w:val="008D0424"/>
    <w:rsid w:val="008D0545"/>
    <w:rsid w:val="008D13E0"/>
    <w:rsid w:val="008D1437"/>
    <w:rsid w:val="008D161B"/>
    <w:rsid w:val="008D1A04"/>
    <w:rsid w:val="008D1B61"/>
    <w:rsid w:val="008D1CF0"/>
    <w:rsid w:val="008D252C"/>
    <w:rsid w:val="008D2F2A"/>
    <w:rsid w:val="008D31B4"/>
    <w:rsid w:val="008D3F14"/>
    <w:rsid w:val="008D412A"/>
    <w:rsid w:val="008D4A16"/>
    <w:rsid w:val="008D4B0B"/>
    <w:rsid w:val="008D4E98"/>
    <w:rsid w:val="008D576B"/>
    <w:rsid w:val="008D5E2F"/>
    <w:rsid w:val="008D607E"/>
    <w:rsid w:val="008D66B9"/>
    <w:rsid w:val="008D6B48"/>
    <w:rsid w:val="008D7B06"/>
    <w:rsid w:val="008D7E9A"/>
    <w:rsid w:val="008E0191"/>
    <w:rsid w:val="008E0449"/>
    <w:rsid w:val="008E0695"/>
    <w:rsid w:val="008E0932"/>
    <w:rsid w:val="008E180B"/>
    <w:rsid w:val="008E2007"/>
    <w:rsid w:val="008E2071"/>
    <w:rsid w:val="008E213D"/>
    <w:rsid w:val="008E39E8"/>
    <w:rsid w:val="008E3DC5"/>
    <w:rsid w:val="008E4D18"/>
    <w:rsid w:val="008E4E81"/>
    <w:rsid w:val="008E50EA"/>
    <w:rsid w:val="008E55DA"/>
    <w:rsid w:val="008E5D7D"/>
    <w:rsid w:val="008E66DE"/>
    <w:rsid w:val="008E6CAB"/>
    <w:rsid w:val="008E74DF"/>
    <w:rsid w:val="008E7527"/>
    <w:rsid w:val="008E77A1"/>
    <w:rsid w:val="008F0586"/>
    <w:rsid w:val="008F07AC"/>
    <w:rsid w:val="008F082F"/>
    <w:rsid w:val="008F13B7"/>
    <w:rsid w:val="008F1447"/>
    <w:rsid w:val="008F26CD"/>
    <w:rsid w:val="008F2A03"/>
    <w:rsid w:val="008F33BE"/>
    <w:rsid w:val="008F3FE4"/>
    <w:rsid w:val="008F560B"/>
    <w:rsid w:val="008F5CDA"/>
    <w:rsid w:val="008F71DF"/>
    <w:rsid w:val="008F7448"/>
    <w:rsid w:val="008F7523"/>
    <w:rsid w:val="008F7AFA"/>
    <w:rsid w:val="008F7B80"/>
    <w:rsid w:val="008F7DEC"/>
    <w:rsid w:val="009010C2"/>
    <w:rsid w:val="00901564"/>
    <w:rsid w:val="00902697"/>
    <w:rsid w:val="00903C94"/>
    <w:rsid w:val="00904081"/>
    <w:rsid w:val="00904284"/>
    <w:rsid w:val="0090517B"/>
    <w:rsid w:val="009054B7"/>
    <w:rsid w:val="00905A56"/>
    <w:rsid w:val="009070C7"/>
    <w:rsid w:val="00907EEE"/>
    <w:rsid w:val="00910969"/>
    <w:rsid w:val="0091133A"/>
    <w:rsid w:val="009123AA"/>
    <w:rsid w:val="009127A9"/>
    <w:rsid w:val="00912A56"/>
    <w:rsid w:val="009133E9"/>
    <w:rsid w:val="009135F2"/>
    <w:rsid w:val="00913825"/>
    <w:rsid w:val="0091441D"/>
    <w:rsid w:val="0091452E"/>
    <w:rsid w:val="0091461D"/>
    <w:rsid w:val="00915010"/>
    <w:rsid w:val="009150D9"/>
    <w:rsid w:val="00915F27"/>
    <w:rsid w:val="00916C84"/>
    <w:rsid w:val="00917320"/>
    <w:rsid w:val="00917368"/>
    <w:rsid w:val="00920B1B"/>
    <w:rsid w:val="00920CB4"/>
    <w:rsid w:val="009210EE"/>
    <w:rsid w:val="00922ABA"/>
    <w:rsid w:val="00922EBC"/>
    <w:rsid w:val="009234AF"/>
    <w:rsid w:val="00923629"/>
    <w:rsid w:val="0092383F"/>
    <w:rsid w:val="00923B9D"/>
    <w:rsid w:val="00924D62"/>
    <w:rsid w:val="009255F4"/>
    <w:rsid w:val="00925C21"/>
    <w:rsid w:val="00926177"/>
    <w:rsid w:val="009268CD"/>
    <w:rsid w:val="00930D28"/>
    <w:rsid w:val="0093145B"/>
    <w:rsid w:val="00931783"/>
    <w:rsid w:val="009317DF"/>
    <w:rsid w:val="00931C02"/>
    <w:rsid w:val="009323D8"/>
    <w:rsid w:val="00932E82"/>
    <w:rsid w:val="00933A36"/>
    <w:rsid w:val="00933C49"/>
    <w:rsid w:val="00935063"/>
    <w:rsid w:val="0093629B"/>
    <w:rsid w:val="0093671D"/>
    <w:rsid w:val="00936B65"/>
    <w:rsid w:val="00936F38"/>
    <w:rsid w:val="00940B6C"/>
    <w:rsid w:val="00941B3A"/>
    <w:rsid w:val="00942B6C"/>
    <w:rsid w:val="0094426D"/>
    <w:rsid w:val="009452DA"/>
    <w:rsid w:val="009473EC"/>
    <w:rsid w:val="009515BE"/>
    <w:rsid w:val="00951C6E"/>
    <w:rsid w:val="00952253"/>
    <w:rsid w:val="009525F6"/>
    <w:rsid w:val="009551FA"/>
    <w:rsid w:val="00955D33"/>
    <w:rsid w:val="00955D99"/>
    <w:rsid w:val="0095655A"/>
    <w:rsid w:val="00956A1F"/>
    <w:rsid w:val="00956FCF"/>
    <w:rsid w:val="00957268"/>
    <w:rsid w:val="009574E7"/>
    <w:rsid w:val="00960A9A"/>
    <w:rsid w:val="009616CB"/>
    <w:rsid w:val="00961D2B"/>
    <w:rsid w:val="0096203B"/>
    <w:rsid w:val="00962E73"/>
    <w:rsid w:val="0096300D"/>
    <w:rsid w:val="00963AEB"/>
    <w:rsid w:val="00963FEF"/>
    <w:rsid w:val="00964FFD"/>
    <w:rsid w:val="009656F3"/>
    <w:rsid w:val="00965B8E"/>
    <w:rsid w:val="00966324"/>
    <w:rsid w:val="009669D2"/>
    <w:rsid w:val="00967082"/>
    <w:rsid w:val="00970316"/>
    <w:rsid w:val="00971790"/>
    <w:rsid w:val="009717CD"/>
    <w:rsid w:val="00971846"/>
    <w:rsid w:val="00971892"/>
    <w:rsid w:val="00971DC9"/>
    <w:rsid w:val="00972669"/>
    <w:rsid w:val="00972D3E"/>
    <w:rsid w:val="00974E38"/>
    <w:rsid w:val="00975450"/>
    <w:rsid w:val="00976C05"/>
    <w:rsid w:val="00977326"/>
    <w:rsid w:val="00977736"/>
    <w:rsid w:val="00977B4A"/>
    <w:rsid w:val="00977E5E"/>
    <w:rsid w:val="009801D8"/>
    <w:rsid w:val="0098040C"/>
    <w:rsid w:val="009806B7"/>
    <w:rsid w:val="009814B1"/>
    <w:rsid w:val="00984CB8"/>
    <w:rsid w:val="0098527A"/>
    <w:rsid w:val="00986374"/>
    <w:rsid w:val="00987070"/>
    <w:rsid w:val="0098783B"/>
    <w:rsid w:val="00991567"/>
    <w:rsid w:val="009915AE"/>
    <w:rsid w:val="009921D3"/>
    <w:rsid w:val="009941F6"/>
    <w:rsid w:val="009941FB"/>
    <w:rsid w:val="009944CC"/>
    <w:rsid w:val="009949E9"/>
    <w:rsid w:val="00994F22"/>
    <w:rsid w:val="009959D0"/>
    <w:rsid w:val="00997621"/>
    <w:rsid w:val="009A08E9"/>
    <w:rsid w:val="009A147B"/>
    <w:rsid w:val="009A1707"/>
    <w:rsid w:val="009A18BD"/>
    <w:rsid w:val="009A23ED"/>
    <w:rsid w:val="009A2527"/>
    <w:rsid w:val="009A2A30"/>
    <w:rsid w:val="009A2CEB"/>
    <w:rsid w:val="009A3A86"/>
    <w:rsid w:val="009A5495"/>
    <w:rsid w:val="009A60DF"/>
    <w:rsid w:val="009A6D53"/>
    <w:rsid w:val="009A70E0"/>
    <w:rsid w:val="009B094A"/>
    <w:rsid w:val="009B14A7"/>
    <w:rsid w:val="009B1923"/>
    <w:rsid w:val="009B1E2C"/>
    <w:rsid w:val="009B1FCE"/>
    <w:rsid w:val="009B2D17"/>
    <w:rsid w:val="009B3008"/>
    <w:rsid w:val="009B3567"/>
    <w:rsid w:val="009B4573"/>
    <w:rsid w:val="009B539F"/>
    <w:rsid w:val="009B5C76"/>
    <w:rsid w:val="009B6330"/>
    <w:rsid w:val="009B6D28"/>
    <w:rsid w:val="009B7113"/>
    <w:rsid w:val="009B7447"/>
    <w:rsid w:val="009B7ABA"/>
    <w:rsid w:val="009C02E3"/>
    <w:rsid w:val="009C04A0"/>
    <w:rsid w:val="009C1ADE"/>
    <w:rsid w:val="009C226D"/>
    <w:rsid w:val="009C2885"/>
    <w:rsid w:val="009C33C7"/>
    <w:rsid w:val="009C3829"/>
    <w:rsid w:val="009C3ABB"/>
    <w:rsid w:val="009C418D"/>
    <w:rsid w:val="009C5398"/>
    <w:rsid w:val="009C5AE1"/>
    <w:rsid w:val="009C5BA6"/>
    <w:rsid w:val="009C5EC1"/>
    <w:rsid w:val="009C5FA7"/>
    <w:rsid w:val="009C6EF1"/>
    <w:rsid w:val="009C75D3"/>
    <w:rsid w:val="009D00C1"/>
    <w:rsid w:val="009D06E3"/>
    <w:rsid w:val="009D262B"/>
    <w:rsid w:val="009D2C8D"/>
    <w:rsid w:val="009D3366"/>
    <w:rsid w:val="009D34A5"/>
    <w:rsid w:val="009D3821"/>
    <w:rsid w:val="009D47D0"/>
    <w:rsid w:val="009D52FA"/>
    <w:rsid w:val="009D6257"/>
    <w:rsid w:val="009D6A38"/>
    <w:rsid w:val="009D7164"/>
    <w:rsid w:val="009D77B8"/>
    <w:rsid w:val="009E06CC"/>
    <w:rsid w:val="009E08DE"/>
    <w:rsid w:val="009E13EF"/>
    <w:rsid w:val="009E14A3"/>
    <w:rsid w:val="009E1567"/>
    <w:rsid w:val="009E167D"/>
    <w:rsid w:val="009E193F"/>
    <w:rsid w:val="009E370C"/>
    <w:rsid w:val="009E4621"/>
    <w:rsid w:val="009E4F0F"/>
    <w:rsid w:val="009E4FEC"/>
    <w:rsid w:val="009E5F78"/>
    <w:rsid w:val="009E6069"/>
    <w:rsid w:val="009E710F"/>
    <w:rsid w:val="009E7A07"/>
    <w:rsid w:val="009E7BA4"/>
    <w:rsid w:val="009F028B"/>
    <w:rsid w:val="009F093F"/>
    <w:rsid w:val="009F0DE9"/>
    <w:rsid w:val="009F1F9C"/>
    <w:rsid w:val="009F2924"/>
    <w:rsid w:val="009F2FB3"/>
    <w:rsid w:val="009F3C73"/>
    <w:rsid w:val="009F444D"/>
    <w:rsid w:val="009F4E59"/>
    <w:rsid w:val="009F5C73"/>
    <w:rsid w:val="009F5D27"/>
    <w:rsid w:val="009F5D67"/>
    <w:rsid w:val="009F601D"/>
    <w:rsid w:val="009F6631"/>
    <w:rsid w:val="009F74B3"/>
    <w:rsid w:val="009F77BE"/>
    <w:rsid w:val="009F7E84"/>
    <w:rsid w:val="00A00A01"/>
    <w:rsid w:val="00A0128D"/>
    <w:rsid w:val="00A01A0D"/>
    <w:rsid w:val="00A01AE5"/>
    <w:rsid w:val="00A02048"/>
    <w:rsid w:val="00A027DF"/>
    <w:rsid w:val="00A029DA"/>
    <w:rsid w:val="00A03A77"/>
    <w:rsid w:val="00A03E1C"/>
    <w:rsid w:val="00A04D20"/>
    <w:rsid w:val="00A053AA"/>
    <w:rsid w:val="00A05F7D"/>
    <w:rsid w:val="00A067B8"/>
    <w:rsid w:val="00A069AA"/>
    <w:rsid w:val="00A06D5A"/>
    <w:rsid w:val="00A071E8"/>
    <w:rsid w:val="00A07431"/>
    <w:rsid w:val="00A075B0"/>
    <w:rsid w:val="00A10A71"/>
    <w:rsid w:val="00A114CB"/>
    <w:rsid w:val="00A11823"/>
    <w:rsid w:val="00A1231C"/>
    <w:rsid w:val="00A1236E"/>
    <w:rsid w:val="00A14AC4"/>
    <w:rsid w:val="00A15099"/>
    <w:rsid w:val="00A159E2"/>
    <w:rsid w:val="00A15A13"/>
    <w:rsid w:val="00A15F01"/>
    <w:rsid w:val="00A160B6"/>
    <w:rsid w:val="00A17CA5"/>
    <w:rsid w:val="00A17CC3"/>
    <w:rsid w:val="00A20A15"/>
    <w:rsid w:val="00A21873"/>
    <w:rsid w:val="00A218DC"/>
    <w:rsid w:val="00A2302A"/>
    <w:rsid w:val="00A235D0"/>
    <w:rsid w:val="00A23A6A"/>
    <w:rsid w:val="00A23DB1"/>
    <w:rsid w:val="00A25155"/>
    <w:rsid w:val="00A2585F"/>
    <w:rsid w:val="00A2696D"/>
    <w:rsid w:val="00A27B9B"/>
    <w:rsid w:val="00A304D4"/>
    <w:rsid w:val="00A30AAF"/>
    <w:rsid w:val="00A31BA1"/>
    <w:rsid w:val="00A31E73"/>
    <w:rsid w:val="00A3232C"/>
    <w:rsid w:val="00A330D2"/>
    <w:rsid w:val="00A33E13"/>
    <w:rsid w:val="00A33E81"/>
    <w:rsid w:val="00A344DB"/>
    <w:rsid w:val="00A34D69"/>
    <w:rsid w:val="00A3539E"/>
    <w:rsid w:val="00A35CF4"/>
    <w:rsid w:val="00A36C2F"/>
    <w:rsid w:val="00A36E4E"/>
    <w:rsid w:val="00A36F26"/>
    <w:rsid w:val="00A3704F"/>
    <w:rsid w:val="00A37887"/>
    <w:rsid w:val="00A3788F"/>
    <w:rsid w:val="00A37D22"/>
    <w:rsid w:val="00A40BA9"/>
    <w:rsid w:val="00A417B0"/>
    <w:rsid w:val="00A41BD1"/>
    <w:rsid w:val="00A41D5D"/>
    <w:rsid w:val="00A423A9"/>
    <w:rsid w:val="00A424D5"/>
    <w:rsid w:val="00A4263B"/>
    <w:rsid w:val="00A42E10"/>
    <w:rsid w:val="00A43244"/>
    <w:rsid w:val="00A44A35"/>
    <w:rsid w:val="00A44C67"/>
    <w:rsid w:val="00A4510D"/>
    <w:rsid w:val="00A45B12"/>
    <w:rsid w:val="00A466A6"/>
    <w:rsid w:val="00A46A6B"/>
    <w:rsid w:val="00A4724C"/>
    <w:rsid w:val="00A478A8"/>
    <w:rsid w:val="00A47A20"/>
    <w:rsid w:val="00A50284"/>
    <w:rsid w:val="00A51A7A"/>
    <w:rsid w:val="00A51FD2"/>
    <w:rsid w:val="00A537E4"/>
    <w:rsid w:val="00A53D1E"/>
    <w:rsid w:val="00A544A3"/>
    <w:rsid w:val="00A55AD4"/>
    <w:rsid w:val="00A55C1B"/>
    <w:rsid w:val="00A56E72"/>
    <w:rsid w:val="00A57705"/>
    <w:rsid w:val="00A57AD4"/>
    <w:rsid w:val="00A57D84"/>
    <w:rsid w:val="00A61A32"/>
    <w:rsid w:val="00A61C0D"/>
    <w:rsid w:val="00A6238B"/>
    <w:rsid w:val="00A62826"/>
    <w:rsid w:val="00A6347E"/>
    <w:rsid w:val="00A6385F"/>
    <w:rsid w:val="00A63A3B"/>
    <w:rsid w:val="00A63C48"/>
    <w:rsid w:val="00A64292"/>
    <w:rsid w:val="00A642FC"/>
    <w:rsid w:val="00A64DCB"/>
    <w:rsid w:val="00A6590A"/>
    <w:rsid w:val="00A65A22"/>
    <w:rsid w:val="00A65E2E"/>
    <w:rsid w:val="00A669FD"/>
    <w:rsid w:val="00A66C24"/>
    <w:rsid w:val="00A670AE"/>
    <w:rsid w:val="00A67259"/>
    <w:rsid w:val="00A67414"/>
    <w:rsid w:val="00A67DD2"/>
    <w:rsid w:val="00A67F10"/>
    <w:rsid w:val="00A67F24"/>
    <w:rsid w:val="00A702FC"/>
    <w:rsid w:val="00A70D16"/>
    <w:rsid w:val="00A71299"/>
    <w:rsid w:val="00A713BC"/>
    <w:rsid w:val="00A71A1C"/>
    <w:rsid w:val="00A72A55"/>
    <w:rsid w:val="00A73905"/>
    <w:rsid w:val="00A73F98"/>
    <w:rsid w:val="00A745C8"/>
    <w:rsid w:val="00A74852"/>
    <w:rsid w:val="00A74EF5"/>
    <w:rsid w:val="00A756CF"/>
    <w:rsid w:val="00A76265"/>
    <w:rsid w:val="00A76CE0"/>
    <w:rsid w:val="00A7716C"/>
    <w:rsid w:val="00A7748D"/>
    <w:rsid w:val="00A80CC8"/>
    <w:rsid w:val="00A82030"/>
    <w:rsid w:val="00A8255C"/>
    <w:rsid w:val="00A832C2"/>
    <w:rsid w:val="00A84430"/>
    <w:rsid w:val="00A848D0"/>
    <w:rsid w:val="00A84D1C"/>
    <w:rsid w:val="00A84E4A"/>
    <w:rsid w:val="00A85240"/>
    <w:rsid w:val="00A85293"/>
    <w:rsid w:val="00A852AF"/>
    <w:rsid w:val="00A85870"/>
    <w:rsid w:val="00A85DAF"/>
    <w:rsid w:val="00A86C96"/>
    <w:rsid w:val="00A86FFE"/>
    <w:rsid w:val="00A91CA4"/>
    <w:rsid w:val="00A93492"/>
    <w:rsid w:val="00A93983"/>
    <w:rsid w:val="00A94569"/>
    <w:rsid w:val="00A94CA8"/>
    <w:rsid w:val="00A94FF4"/>
    <w:rsid w:val="00A96755"/>
    <w:rsid w:val="00A96EE9"/>
    <w:rsid w:val="00AA0238"/>
    <w:rsid w:val="00AA141A"/>
    <w:rsid w:val="00AA1CFA"/>
    <w:rsid w:val="00AA2960"/>
    <w:rsid w:val="00AA29ED"/>
    <w:rsid w:val="00AA529D"/>
    <w:rsid w:val="00AA567B"/>
    <w:rsid w:val="00AA6272"/>
    <w:rsid w:val="00AA6D41"/>
    <w:rsid w:val="00AA79E7"/>
    <w:rsid w:val="00AA7D5C"/>
    <w:rsid w:val="00AB0693"/>
    <w:rsid w:val="00AB0933"/>
    <w:rsid w:val="00AB1D24"/>
    <w:rsid w:val="00AB3340"/>
    <w:rsid w:val="00AB3DEF"/>
    <w:rsid w:val="00AB4FBD"/>
    <w:rsid w:val="00AB5AA3"/>
    <w:rsid w:val="00AB686C"/>
    <w:rsid w:val="00AC01FA"/>
    <w:rsid w:val="00AC02D2"/>
    <w:rsid w:val="00AC13F4"/>
    <w:rsid w:val="00AC1429"/>
    <w:rsid w:val="00AC1509"/>
    <w:rsid w:val="00AC2170"/>
    <w:rsid w:val="00AC2D22"/>
    <w:rsid w:val="00AC3E91"/>
    <w:rsid w:val="00AC42F1"/>
    <w:rsid w:val="00AC599F"/>
    <w:rsid w:val="00AC5F0A"/>
    <w:rsid w:val="00AC60E0"/>
    <w:rsid w:val="00AC6D17"/>
    <w:rsid w:val="00AC6DBA"/>
    <w:rsid w:val="00AC715B"/>
    <w:rsid w:val="00AC745C"/>
    <w:rsid w:val="00AC7DF4"/>
    <w:rsid w:val="00AD133E"/>
    <w:rsid w:val="00AD1B67"/>
    <w:rsid w:val="00AD24EB"/>
    <w:rsid w:val="00AD2BE4"/>
    <w:rsid w:val="00AD2D4E"/>
    <w:rsid w:val="00AD2EEB"/>
    <w:rsid w:val="00AD4672"/>
    <w:rsid w:val="00AD4EFA"/>
    <w:rsid w:val="00AD506E"/>
    <w:rsid w:val="00AD5E4C"/>
    <w:rsid w:val="00AD65FD"/>
    <w:rsid w:val="00AD67DF"/>
    <w:rsid w:val="00AE04E3"/>
    <w:rsid w:val="00AE1651"/>
    <w:rsid w:val="00AE1B6A"/>
    <w:rsid w:val="00AE2831"/>
    <w:rsid w:val="00AE332C"/>
    <w:rsid w:val="00AE3780"/>
    <w:rsid w:val="00AE38BD"/>
    <w:rsid w:val="00AE42F3"/>
    <w:rsid w:val="00AE5274"/>
    <w:rsid w:val="00AE5AFB"/>
    <w:rsid w:val="00AE5D82"/>
    <w:rsid w:val="00AE5DC2"/>
    <w:rsid w:val="00AE66E4"/>
    <w:rsid w:val="00AE6BDD"/>
    <w:rsid w:val="00AE70C0"/>
    <w:rsid w:val="00AE7CA7"/>
    <w:rsid w:val="00AF0294"/>
    <w:rsid w:val="00AF0AF2"/>
    <w:rsid w:val="00AF0FBA"/>
    <w:rsid w:val="00AF29AF"/>
    <w:rsid w:val="00AF3071"/>
    <w:rsid w:val="00AF30CB"/>
    <w:rsid w:val="00AF3591"/>
    <w:rsid w:val="00AF5064"/>
    <w:rsid w:val="00AF5ADD"/>
    <w:rsid w:val="00AF61AC"/>
    <w:rsid w:val="00AF6C25"/>
    <w:rsid w:val="00AF7177"/>
    <w:rsid w:val="00AF748A"/>
    <w:rsid w:val="00B0085F"/>
    <w:rsid w:val="00B008B3"/>
    <w:rsid w:val="00B00AB6"/>
    <w:rsid w:val="00B01409"/>
    <w:rsid w:val="00B01636"/>
    <w:rsid w:val="00B01AA0"/>
    <w:rsid w:val="00B01C3C"/>
    <w:rsid w:val="00B026D4"/>
    <w:rsid w:val="00B02971"/>
    <w:rsid w:val="00B031CA"/>
    <w:rsid w:val="00B031D7"/>
    <w:rsid w:val="00B034BC"/>
    <w:rsid w:val="00B0353F"/>
    <w:rsid w:val="00B0360D"/>
    <w:rsid w:val="00B03811"/>
    <w:rsid w:val="00B03E60"/>
    <w:rsid w:val="00B044D8"/>
    <w:rsid w:val="00B05109"/>
    <w:rsid w:val="00B05822"/>
    <w:rsid w:val="00B07E16"/>
    <w:rsid w:val="00B10A8F"/>
    <w:rsid w:val="00B1109B"/>
    <w:rsid w:val="00B1172B"/>
    <w:rsid w:val="00B12B91"/>
    <w:rsid w:val="00B12F3C"/>
    <w:rsid w:val="00B12F4A"/>
    <w:rsid w:val="00B13088"/>
    <w:rsid w:val="00B15178"/>
    <w:rsid w:val="00B15A74"/>
    <w:rsid w:val="00B15D0C"/>
    <w:rsid w:val="00B16644"/>
    <w:rsid w:val="00B17352"/>
    <w:rsid w:val="00B2040A"/>
    <w:rsid w:val="00B207A4"/>
    <w:rsid w:val="00B22AC9"/>
    <w:rsid w:val="00B2358B"/>
    <w:rsid w:val="00B2395D"/>
    <w:rsid w:val="00B23EAD"/>
    <w:rsid w:val="00B24872"/>
    <w:rsid w:val="00B24F99"/>
    <w:rsid w:val="00B254B0"/>
    <w:rsid w:val="00B255E5"/>
    <w:rsid w:val="00B25E66"/>
    <w:rsid w:val="00B263DD"/>
    <w:rsid w:val="00B26519"/>
    <w:rsid w:val="00B26586"/>
    <w:rsid w:val="00B307A5"/>
    <w:rsid w:val="00B318A7"/>
    <w:rsid w:val="00B321E7"/>
    <w:rsid w:val="00B32D48"/>
    <w:rsid w:val="00B32F14"/>
    <w:rsid w:val="00B33B6B"/>
    <w:rsid w:val="00B34E8B"/>
    <w:rsid w:val="00B35227"/>
    <w:rsid w:val="00B3529F"/>
    <w:rsid w:val="00B352C3"/>
    <w:rsid w:val="00B3539E"/>
    <w:rsid w:val="00B35964"/>
    <w:rsid w:val="00B36531"/>
    <w:rsid w:val="00B36945"/>
    <w:rsid w:val="00B37999"/>
    <w:rsid w:val="00B40336"/>
    <w:rsid w:val="00B40507"/>
    <w:rsid w:val="00B405F0"/>
    <w:rsid w:val="00B40778"/>
    <w:rsid w:val="00B438AD"/>
    <w:rsid w:val="00B43E93"/>
    <w:rsid w:val="00B44AD5"/>
    <w:rsid w:val="00B45982"/>
    <w:rsid w:val="00B46120"/>
    <w:rsid w:val="00B470C5"/>
    <w:rsid w:val="00B47B13"/>
    <w:rsid w:val="00B47D73"/>
    <w:rsid w:val="00B504B7"/>
    <w:rsid w:val="00B50945"/>
    <w:rsid w:val="00B509A5"/>
    <w:rsid w:val="00B51B96"/>
    <w:rsid w:val="00B521B7"/>
    <w:rsid w:val="00B522A6"/>
    <w:rsid w:val="00B522AF"/>
    <w:rsid w:val="00B52AFC"/>
    <w:rsid w:val="00B53FA5"/>
    <w:rsid w:val="00B57A10"/>
    <w:rsid w:val="00B57F25"/>
    <w:rsid w:val="00B603BE"/>
    <w:rsid w:val="00B6056D"/>
    <w:rsid w:val="00B61222"/>
    <w:rsid w:val="00B613D6"/>
    <w:rsid w:val="00B61854"/>
    <w:rsid w:val="00B62CB7"/>
    <w:rsid w:val="00B630A2"/>
    <w:rsid w:val="00B63F8E"/>
    <w:rsid w:val="00B640B9"/>
    <w:rsid w:val="00B65197"/>
    <w:rsid w:val="00B6566D"/>
    <w:rsid w:val="00B65E91"/>
    <w:rsid w:val="00B67AF3"/>
    <w:rsid w:val="00B67E51"/>
    <w:rsid w:val="00B70ED9"/>
    <w:rsid w:val="00B71A31"/>
    <w:rsid w:val="00B71F56"/>
    <w:rsid w:val="00B7207C"/>
    <w:rsid w:val="00B747AC"/>
    <w:rsid w:val="00B74B38"/>
    <w:rsid w:val="00B7534F"/>
    <w:rsid w:val="00B75356"/>
    <w:rsid w:val="00B7540C"/>
    <w:rsid w:val="00B75561"/>
    <w:rsid w:val="00B758BF"/>
    <w:rsid w:val="00B761F8"/>
    <w:rsid w:val="00B7664A"/>
    <w:rsid w:val="00B76CA1"/>
    <w:rsid w:val="00B77099"/>
    <w:rsid w:val="00B77374"/>
    <w:rsid w:val="00B800EF"/>
    <w:rsid w:val="00B802A3"/>
    <w:rsid w:val="00B803CD"/>
    <w:rsid w:val="00B82074"/>
    <w:rsid w:val="00B8291B"/>
    <w:rsid w:val="00B83736"/>
    <w:rsid w:val="00B83785"/>
    <w:rsid w:val="00B83AC6"/>
    <w:rsid w:val="00B8431C"/>
    <w:rsid w:val="00B85D5B"/>
    <w:rsid w:val="00B865F2"/>
    <w:rsid w:val="00B86A23"/>
    <w:rsid w:val="00B86B2C"/>
    <w:rsid w:val="00B90720"/>
    <w:rsid w:val="00B90747"/>
    <w:rsid w:val="00B90CDA"/>
    <w:rsid w:val="00B92974"/>
    <w:rsid w:val="00B93104"/>
    <w:rsid w:val="00B9503F"/>
    <w:rsid w:val="00B959C8"/>
    <w:rsid w:val="00B95A55"/>
    <w:rsid w:val="00B95CDA"/>
    <w:rsid w:val="00B9769C"/>
    <w:rsid w:val="00B979CD"/>
    <w:rsid w:val="00BA05E5"/>
    <w:rsid w:val="00BA1102"/>
    <w:rsid w:val="00BA14FF"/>
    <w:rsid w:val="00BA17F0"/>
    <w:rsid w:val="00BA188A"/>
    <w:rsid w:val="00BA1E4F"/>
    <w:rsid w:val="00BA30E8"/>
    <w:rsid w:val="00BA422B"/>
    <w:rsid w:val="00BA4375"/>
    <w:rsid w:val="00BA5697"/>
    <w:rsid w:val="00BA6366"/>
    <w:rsid w:val="00BA6732"/>
    <w:rsid w:val="00BA71A8"/>
    <w:rsid w:val="00BA794A"/>
    <w:rsid w:val="00BA7B7E"/>
    <w:rsid w:val="00BB06A1"/>
    <w:rsid w:val="00BB0BD8"/>
    <w:rsid w:val="00BB1041"/>
    <w:rsid w:val="00BB178F"/>
    <w:rsid w:val="00BB19F0"/>
    <w:rsid w:val="00BB259B"/>
    <w:rsid w:val="00BB345D"/>
    <w:rsid w:val="00BB3B03"/>
    <w:rsid w:val="00BB3BE9"/>
    <w:rsid w:val="00BB4DC2"/>
    <w:rsid w:val="00BB5C7A"/>
    <w:rsid w:val="00BB6D28"/>
    <w:rsid w:val="00BB6DA1"/>
    <w:rsid w:val="00BB7764"/>
    <w:rsid w:val="00BB783B"/>
    <w:rsid w:val="00BC26F6"/>
    <w:rsid w:val="00BC2735"/>
    <w:rsid w:val="00BC2B22"/>
    <w:rsid w:val="00BC2B58"/>
    <w:rsid w:val="00BC37EE"/>
    <w:rsid w:val="00BC3F26"/>
    <w:rsid w:val="00BC44D8"/>
    <w:rsid w:val="00BC4927"/>
    <w:rsid w:val="00BC56DF"/>
    <w:rsid w:val="00BC5CF5"/>
    <w:rsid w:val="00BC6098"/>
    <w:rsid w:val="00BC6684"/>
    <w:rsid w:val="00BC676C"/>
    <w:rsid w:val="00BC732B"/>
    <w:rsid w:val="00BC7B42"/>
    <w:rsid w:val="00BD0151"/>
    <w:rsid w:val="00BD0181"/>
    <w:rsid w:val="00BD063F"/>
    <w:rsid w:val="00BD0976"/>
    <w:rsid w:val="00BD0D50"/>
    <w:rsid w:val="00BD14D1"/>
    <w:rsid w:val="00BD1702"/>
    <w:rsid w:val="00BD1938"/>
    <w:rsid w:val="00BD21CA"/>
    <w:rsid w:val="00BD2417"/>
    <w:rsid w:val="00BD3B50"/>
    <w:rsid w:val="00BD439A"/>
    <w:rsid w:val="00BD4586"/>
    <w:rsid w:val="00BD48AD"/>
    <w:rsid w:val="00BD4A4F"/>
    <w:rsid w:val="00BD54CF"/>
    <w:rsid w:val="00BD56FC"/>
    <w:rsid w:val="00BD6469"/>
    <w:rsid w:val="00BD655E"/>
    <w:rsid w:val="00BD6871"/>
    <w:rsid w:val="00BD6EFA"/>
    <w:rsid w:val="00BD788A"/>
    <w:rsid w:val="00BD793C"/>
    <w:rsid w:val="00BD7EAF"/>
    <w:rsid w:val="00BE0825"/>
    <w:rsid w:val="00BE0EF1"/>
    <w:rsid w:val="00BE1774"/>
    <w:rsid w:val="00BE1CC9"/>
    <w:rsid w:val="00BE1DA7"/>
    <w:rsid w:val="00BE1E45"/>
    <w:rsid w:val="00BE2183"/>
    <w:rsid w:val="00BE224E"/>
    <w:rsid w:val="00BE46EB"/>
    <w:rsid w:val="00BE477A"/>
    <w:rsid w:val="00BE4C85"/>
    <w:rsid w:val="00BE54B3"/>
    <w:rsid w:val="00BE590A"/>
    <w:rsid w:val="00BE6378"/>
    <w:rsid w:val="00BE6624"/>
    <w:rsid w:val="00BE6E63"/>
    <w:rsid w:val="00BE7218"/>
    <w:rsid w:val="00BF146C"/>
    <w:rsid w:val="00BF22AA"/>
    <w:rsid w:val="00BF30A1"/>
    <w:rsid w:val="00BF414F"/>
    <w:rsid w:val="00BF49EB"/>
    <w:rsid w:val="00BF541F"/>
    <w:rsid w:val="00BF606C"/>
    <w:rsid w:val="00BF64E6"/>
    <w:rsid w:val="00BF6C59"/>
    <w:rsid w:val="00BF77AE"/>
    <w:rsid w:val="00BF7F8A"/>
    <w:rsid w:val="00C00793"/>
    <w:rsid w:val="00C00BAB"/>
    <w:rsid w:val="00C01250"/>
    <w:rsid w:val="00C017DF"/>
    <w:rsid w:val="00C04DFE"/>
    <w:rsid w:val="00C053AC"/>
    <w:rsid w:val="00C055AF"/>
    <w:rsid w:val="00C056C9"/>
    <w:rsid w:val="00C06B7D"/>
    <w:rsid w:val="00C072BC"/>
    <w:rsid w:val="00C07467"/>
    <w:rsid w:val="00C1007A"/>
    <w:rsid w:val="00C10B11"/>
    <w:rsid w:val="00C112D7"/>
    <w:rsid w:val="00C11B42"/>
    <w:rsid w:val="00C12629"/>
    <w:rsid w:val="00C12BFB"/>
    <w:rsid w:val="00C12EB8"/>
    <w:rsid w:val="00C137CE"/>
    <w:rsid w:val="00C13914"/>
    <w:rsid w:val="00C15695"/>
    <w:rsid w:val="00C163BC"/>
    <w:rsid w:val="00C17EFD"/>
    <w:rsid w:val="00C20328"/>
    <w:rsid w:val="00C2288D"/>
    <w:rsid w:val="00C22C8B"/>
    <w:rsid w:val="00C22CAA"/>
    <w:rsid w:val="00C233CF"/>
    <w:rsid w:val="00C234D8"/>
    <w:rsid w:val="00C23904"/>
    <w:rsid w:val="00C24D96"/>
    <w:rsid w:val="00C250D3"/>
    <w:rsid w:val="00C2528E"/>
    <w:rsid w:val="00C262FB"/>
    <w:rsid w:val="00C27A85"/>
    <w:rsid w:val="00C30B6E"/>
    <w:rsid w:val="00C30C00"/>
    <w:rsid w:val="00C3152A"/>
    <w:rsid w:val="00C31563"/>
    <w:rsid w:val="00C31F9E"/>
    <w:rsid w:val="00C327AE"/>
    <w:rsid w:val="00C33CE4"/>
    <w:rsid w:val="00C33FFB"/>
    <w:rsid w:val="00C343BB"/>
    <w:rsid w:val="00C345D7"/>
    <w:rsid w:val="00C34D5A"/>
    <w:rsid w:val="00C35410"/>
    <w:rsid w:val="00C35941"/>
    <w:rsid w:val="00C36376"/>
    <w:rsid w:val="00C364BD"/>
    <w:rsid w:val="00C36CF6"/>
    <w:rsid w:val="00C43AC3"/>
    <w:rsid w:val="00C440B7"/>
    <w:rsid w:val="00C445DD"/>
    <w:rsid w:val="00C44E4C"/>
    <w:rsid w:val="00C45AA6"/>
    <w:rsid w:val="00C46A1D"/>
    <w:rsid w:val="00C4703B"/>
    <w:rsid w:val="00C47CDD"/>
    <w:rsid w:val="00C50C6E"/>
    <w:rsid w:val="00C5129B"/>
    <w:rsid w:val="00C513A4"/>
    <w:rsid w:val="00C521BB"/>
    <w:rsid w:val="00C52549"/>
    <w:rsid w:val="00C52FC4"/>
    <w:rsid w:val="00C53CAD"/>
    <w:rsid w:val="00C54231"/>
    <w:rsid w:val="00C54740"/>
    <w:rsid w:val="00C54B43"/>
    <w:rsid w:val="00C54DA3"/>
    <w:rsid w:val="00C553C8"/>
    <w:rsid w:val="00C55587"/>
    <w:rsid w:val="00C56AA5"/>
    <w:rsid w:val="00C56EC5"/>
    <w:rsid w:val="00C57ED0"/>
    <w:rsid w:val="00C60AB0"/>
    <w:rsid w:val="00C60C15"/>
    <w:rsid w:val="00C613E4"/>
    <w:rsid w:val="00C62515"/>
    <w:rsid w:val="00C6258C"/>
    <w:rsid w:val="00C648FF"/>
    <w:rsid w:val="00C64996"/>
    <w:rsid w:val="00C64DDD"/>
    <w:rsid w:val="00C65FBF"/>
    <w:rsid w:val="00C66452"/>
    <w:rsid w:val="00C6653F"/>
    <w:rsid w:val="00C66DB3"/>
    <w:rsid w:val="00C67384"/>
    <w:rsid w:val="00C67649"/>
    <w:rsid w:val="00C67A04"/>
    <w:rsid w:val="00C7165B"/>
    <w:rsid w:val="00C71FE5"/>
    <w:rsid w:val="00C7200C"/>
    <w:rsid w:val="00C72992"/>
    <w:rsid w:val="00C72EEC"/>
    <w:rsid w:val="00C73152"/>
    <w:rsid w:val="00C73B5A"/>
    <w:rsid w:val="00C748BB"/>
    <w:rsid w:val="00C75F46"/>
    <w:rsid w:val="00C762D5"/>
    <w:rsid w:val="00C76E8F"/>
    <w:rsid w:val="00C773AA"/>
    <w:rsid w:val="00C77F46"/>
    <w:rsid w:val="00C8127A"/>
    <w:rsid w:val="00C8147C"/>
    <w:rsid w:val="00C8158A"/>
    <w:rsid w:val="00C81E34"/>
    <w:rsid w:val="00C83137"/>
    <w:rsid w:val="00C83CD9"/>
    <w:rsid w:val="00C84D8B"/>
    <w:rsid w:val="00C85400"/>
    <w:rsid w:val="00C85830"/>
    <w:rsid w:val="00C85880"/>
    <w:rsid w:val="00C85F03"/>
    <w:rsid w:val="00C86337"/>
    <w:rsid w:val="00C8649A"/>
    <w:rsid w:val="00C87920"/>
    <w:rsid w:val="00C87C28"/>
    <w:rsid w:val="00C87D1D"/>
    <w:rsid w:val="00C9039D"/>
    <w:rsid w:val="00C90422"/>
    <w:rsid w:val="00C91087"/>
    <w:rsid w:val="00C91760"/>
    <w:rsid w:val="00C919F2"/>
    <w:rsid w:val="00C9233B"/>
    <w:rsid w:val="00C928CA"/>
    <w:rsid w:val="00C92A1F"/>
    <w:rsid w:val="00C92CBC"/>
    <w:rsid w:val="00C934A8"/>
    <w:rsid w:val="00C93639"/>
    <w:rsid w:val="00C938FD"/>
    <w:rsid w:val="00C93DFA"/>
    <w:rsid w:val="00C96413"/>
    <w:rsid w:val="00C964B0"/>
    <w:rsid w:val="00C96E14"/>
    <w:rsid w:val="00C96F2E"/>
    <w:rsid w:val="00CA1324"/>
    <w:rsid w:val="00CA1E9E"/>
    <w:rsid w:val="00CA386C"/>
    <w:rsid w:val="00CA3921"/>
    <w:rsid w:val="00CA3CF5"/>
    <w:rsid w:val="00CA4730"/>
    <w:rsid w:val="00CA4F8B"/>
    <w:rsid w:val="00CA5D94"/>
    <w:rsid w:val="00CA6873"/>
    <w:rsid w:val="00CA70BE"/>
    <w:rsid w:val="00CA71A7"/>
    <w:rsid w:val="00CA76B6"/>
    <w:rsid w:val="00CA7A7B"/>
    <w:rsid w:val="00CB012D"/>
    <w:rsid w:val="00CB076E"/>
    <w:rsid w:val="00CB2596"/>
    <w:rsid w:val="00CB3003"/>
    <w:rsid w:val="00CB32D5"/>
    <w:rsid w:val="00CB4185"/>
    <w:rsid w:val="00CB44F1"/>
    <w:rsid w:val="00CB4CFB"/>
    <w:rsid w:val="00CB5A02"/>
    <w:rsid w:val="00CB5D12"/>
    <w:rsid w:val="00CB62E3"/>
    <w:rsid w:val="00CB6746"/>
    <w:rsid w:val="00CB6DEA"/>
    <w:rsid w:val="00CB759C"/>
    <w:rsid w:val="00CC07B2"/>
    <w:rsid w:val="00CC0E8B"/>
    <w:rsid w:val="00CC1797"/>
    <w:rsid w:val="00CC1A4C"/>
    <w:rsid w:val="00CC1B1E"/>
    <w:rsid w:val="00CC1FAA"/>
    <w:rsid w:val="00CC3739"/>
    <w:rsid w:val="00CC4119"/>
    <w:rsid w:val="00CC4824"/>
    <w:rsid w:val="00CC4961"/>
    <w:rsid w:val="00CC4F80"/>
    <w:rsid w:val="00CC50D5"/>
    <w:rsid w:val="00CC59D0"/>
    <w:rsid w:val="00CC5CDC"/>
    <w:rsid w:val="00CC6075"/>
    <w:rsid w:val="00CC6309"/>
    <w:rsid w:val="00CC7D05"/>
    <w:rsid w:val="00CD09B0"/>
    <w:rsid w:val="00CD0A47"/>
    <w:rsid w:val="00CD2B6B"/>
    <w:rsid w:val="00CD33D0"/>
    <w:rsid w:val="00CD34C7"/>
    <w:rsid w:val="00CD3A48"/>
    <w:rsid w:val="00CD46E2"/>
    <w:rsid w:val="00CD4CA3"/>
    <w:rsid w:val="00CD4E70"/>
    <w:rsid w:val="00CD4F1B"/>
    <w:rsid w:val="00CD5348"/>
    <w:rsid w:val="00CD546D"/>
    <w:rsid w:val="00CD5A55"/>
    <w:rsid w:val="00CD5AED"/>
    <w:rsid w:val="00CD5C23"/>
    <w:rsid w:val="00CD6312"/>
    <w:rsid w:val="00CD6D77"/>
    <w:rsid w:val="00CD6E46"/>
    <w:rsid w:val="00CD722F"/>
    <w:rsid w:val="00CD7AAA"/>
    <w:rsid w:val="00CD7B65"/>
    <w:rsid w:val="00CE02A6"/>
    <w:rsid w:val="00CE02B2"/>
    <w:rsid w:val="00CE0F79"/>
    <w:rsid w:val="00CE1440"/>
    <w:rsid w:val="00CE1D6B"/>
    <w:rsid w:val="00CE204C"/>
    <w:rsid w:val="00CE22A7"/>
    <w:rsid w:val="00CE2D59"/>
    <w:rsid w:val="00CE3D43"/>
    <w:rsid w:val="00CE4635"/>
    <w:rsid w:val="00CE4A8C"/>
    <w:rsid w:val="00CE5329"/>
    <w:rsid w:val="00CE5CBF"/>
    <w:rsid w:val="00CE609E"/>
    <w:rsid w:val="00CE6D02"/>
    <w:rsid w:val="00CE71F0"/>
    <w:rsid w:val="00CE72D7"/>
    <w:rsid w:val="00CE756A"/>
    <w:rsid w:val="00CE78C2"/>
    <w:rsid w:val="00CE7F67"/>
    <w:rsid w:val="00CF01B1"/>
    <w:rsid w:val="00CF0929"/>
    <w:rsid w:val="00CF0E3B"/>
    <w:rsid w:val="00CF1C30"/>
    <w:rsid w:val="00CF2133"/>
    <w:rsid w:val="00CF2334"/>
    <w:rsid w:val="00CF2D5E"/>
    <w:rsid w:val="00CF3A35"/>
    <w:rsid w:val="00CF3D85"/>
    <w:rsid w:val="00CF4464"/>
    <w:rsid w:val="00CF45F2"/>
    <w:rsid w:val="00CF4934"/>
    <w:rsid w:val="00CF4D8E"/>
    <w:rsid w:val="00CF6222"/>
    <w:rsid w:val="00CF6472"/>
    <w:rsid w:val="00CF7CF0"/>
    <w:rsid w:val="00D00140"/>
    <w:rsid w:val="00D00D12"/>
    <w:rsid w:val="00D016C0"/>
    <w:rsid w:val="00D01FE5"/>
    <w:rsid w:val="00D02C1A"/>
    <w:rsid w:val="00D03D23"/>
    <w:rsid w:val="00D044AA"/>
    <w:rsid w:val="00D04784"/>
    <w:rsid w:val="00D053E0"/>
    <w:rsid w:val="00D05E6E"/>
    <w:rsid w:val="00D06187"/>
    <w:rsid w:val="00D06FA5"/>
    <w:rsid w:val="00D07765"/>
    <w:rsid w:val="00D07776"/>
    <w:rsid w:val="00D07940"/>
    <w:rsid w:val="00D07CC6"/>
    <w:rsid w:val="00D10099"/>
    <w:rsid w:val="00D1129E"/>
    <w:rsid w:val="00D1131A"/>
    <w:rsid w:val="00D13FF7"/>
    <w:rsid w:val="00D147F0"/>
    <w:rsid w:val="00D14BC5"/>
    <w:rsid w:val="00D14F1D"/>
    <w:rsid w:val="00D15056"/>
    <w:rsid w:val="00D166C9"/>
    <w:rsid w:val="00D16B6E"/>
    <w:rsid w:val="00D17031"/>
    <w:rsid w:val="00D1763B"/>
    <w:rsid w:val="00D17DDA"/>
    <w:rsid w:val="00D20DA3"/>
    <w:rsid w:val="00D20ED1"/>
    <w:rsid w:val="00D2148F"/>
    <w:rsid w:val="00D21E76"/>
    <w:rsid w:val="00D21FD0"/>
    <w:rsid w:val="00D22123"/>
    <w:rsid w:val="00D228C9"/>
    <w:rsid w:val="00D22BB0"/>
    <w:rsid w:val="00D22D70"/>
    <w:rsid w:val="00D2403C"/>
    <w:rsid w:val="00D24268"/>
    <w:rsid w:val="00D24D6A"/>
    <w:rsid w:val="00D260C6"/>
    <w:rsid w:val="00D2622F"/>
    <w:rsid w:val="00D26BCB"/>
    <w:rsid w:val="00D2744C"/>
    <w:rsid w:val="00D30704"/>
    <w:rsid w:val="00D309FA"/>
    <w:rsid w:val="00D30C6E"/>
    <w:rsid w:val="00D30E3D"/>
    <w:rsid w:val="00D317D2"/>
    <w:rsid w:val="00D32762"/>
    <w:rsid w:val="00D32D14"/>
    <w:rsid w:val="00D32F84"/>
    <w:rsid w:val="00D33884"/>
    <w:rsid w:val="00D33C07"/>
    <w:rsid w:val="00D33D1C"/>
    <w:rsid w:val="00D33D27"/>
    <w:rsid w:val="00D35E7E"/>
    <w:rsid w:val="00D36B19"/>
    <w:rsid w:val="00D37FEC"/>
    <w:rsid w:val="00D40787"/>
    <w:rsid w:val="00D40A45"/>
    <w:rsid w:val="00D40DAD"/>
    <w:rsid w:val="00D41118"/>
    <w:rsid w:val="00D4240C"/>
    <w:rsid w:val="00D4254C"/>
    <w:rsid w:val="00D42FC7"/>
    <w:rsid w:val="00D4395E"/>
    <w:rsid w:val="00D4449F"/>
    <w:rsid w:val="00D45CE8"/>
    <w:rsid w:val="00D462CA"/>
    <w:rsid w:val="00D464D8"/>
    <w:rsid w:val="00D46501"/>
    <w:rsid w:val="00D468E2"/>
    <w:rsid w:val="00D50874"/>
    <w:rsid w:val="00D50A64"/>
    <w:rsid w:val="00D51520"/>
    <w:rsid w:val="00D51591"/>
    <w:rsid w:val="00D522E3"/>
    <w:rsid w:val="00D52D5C"/>
    <w:rsid w:val="00D53018"/>
    <w:rsid w:val="00D538F9"/>
    <w:rsid w:val="00D53EB6"/>
    <w:rsid w:val="00D54254"/>
    <w:rsid w:val="00D54D6F"/>
    <w:rsid w:val="00D55BB5"/>
    <w:rsid w:val="00D5685D"/>
    <w:rsid w:val="00D56CE0"/>
    <w:rsid w:val="00D6128E"/>
    <w:rsid w:val="00D61641"/>
    <w:rsid w:val="00D617A3"/>
    <w:rsid w:val="00D61F81"/>
    <w:rsid w:val="00D62A7F"/>
    <w:rsid w:val="00D6435F"/>
    <w:rsid w:val="00D65434"/>
    <w:rsid w:val="00D67AE3"/>
    <w:rsid w:val="00D704B1"/>
    <w:rsid w:val="00D70BB7"/>
    <w:rsid w:val="00D70E37"/>
    <w:rsid w:val="00D710C0"/>
    <w:rsid w:val="00D71AE9"/>
    <w:rsid w:val="00D723A5"/>
    <w:rsid w:val="00D7351F"/>
    <w:rsid w:val="00D73CC9"/>
    <w:rsid w:val="00D73F4F"/>
    <w:rsid w:val="00D74438"/>
    <w:rsid w:val="00D74A5A"/>
    <w:rsid w:val="00D74BFF"/>
    <w:rsid w:val="00D75C98"/>
    <w:rsid w:val="00D765E3"/>
    <w:rsid w:val="00D76FC2"/>
    <w:rsid w:val="00D770E1"/>
    <w:rsid w:val="00D7787D"/>
    <w:rsid w:val="00D8071A"/>
    <w:rsid w:val="00D815E0"/>
    <w:rsid w:val="00D817C3"/>
    <w:rsid w:val="00D81B7F"/>
    <w:rsid w:val="00D8259A"/>
    <w:rsid w:val="00D827B2"/>
    <w:rsid w:val="00D82A27"/>
    <w:rsid w:val="00D82B47"/>
    <w:rsid w:val="00D82E85"/>
    <w:rsid w:val="00D83542"/>
    <w:rsid w:val="00D83DBF"/>
    <w:rsid w:val="00D83FEB"/>
    <w:rsid w:val="00D8480C"/>
    <w:rsid w:val="00D848AC"/>
    <w:rsid w:val="00D84937"/>
    <w:rsid w:val="00D84F28"/>
    <w:rsid w:val="00D85889"/>
    <w:rsid w:val="00D85D4B"/>
    <w:rsid w:val="00D8631E"/>
    <w:rsid w:val="00D86BB4"/>
    <w:rsid w:val="00D910C9"/>
    <w:rsid w:val="00D917B9"/>
    <w:rsid w:val="00D92A73"/>
    <w:rsid w:val="00D93487"/>
    <w:rsid w:val="00D9363A"/>
    <w:rsid w:val="00D94894"/>
    <w:rsid w:val="00D95AB7"/>
    <w:rsid w:val="00D9628F"/>
    <w:rsid w:val="00D969DC"/>
    <w:rsid w:val="00D96BB4"/>
    <w:rsid w:val="00DA0E0D"/>
    <w:rsid w:val="00DA120A"/>
    <w:rsid w:val="00DA1B5C"/>
    <w:rsid w:val="00DA1B9E"/>
    <w:rsid w:val="00DA1F62"/>
    <w:rsid w:val="00DA234F"/>
    <w:rsid w:val="00DA396F"/>
    <w:rsid w:val="00DA4A35"/>
    <w:rsid w:val="00DA4A4F"/>
    <w:rsid w:val="00DA5A38"/>
    <w:rsid w:val="00DA5F1F"/>
    <w:rsid w:val="00DA6308"/>
    <w:rsid w:val="00DA662A"/>
    <w:rsid w:val="00DA759A"/>
    <w:rsid w:val="00DB0E67"/>
    <w:rsid w:val="00DB19C8"/>
    <w:rsid w:val="00DB1B4C"/>
    <w:rsid w:val="00DB241D"/>
    <w:rsid w:val="00DB27E0"/>
    <w:rsid w:val="00DB3A54"/>
    <w:rsid w:val="00DB471B"/>
    <w:rsid w:val="00DB685E"/>
    <w:rsid w:val="00DB72B0"/>
    <w:rsid w:val="00DB7C28"/>
    <w:rsid w:val="00DC0041"/>
    <w:rsid w:val="00DC04BD"/>
    <w:rsid w:val="00DC05AC"/>
    <w:rsid w:val="00DC0B7A"/>
    <w:rsid w:val="00DC12C1"/>
    <w:rsid w:val="00DC1461"/>
    <w:rsid w:val="00DC15B6"/>
    <w:rsid w:val="00DC1FD5"/>
    <w:rsid w:val="00DC2A8D"/>
    <w:rsid w:val="00DC51E5"/>
    <w:rsid w:val="00DC5976"/>
    <w:rsid w:val="00DC5D70"/>
    <w:rsid w:val="00DC691D"/>
    <w:rsid w:val="00DC69EA"/>
    <w:rsid w:val="00DD0DE0"/>
    <w:rsid w:val="00DD0EE6"/>
    <w:rsid w:val="00DD3558"/>
    <w:rsid w:val="00DD3919"/>
    <w:rsid w:val="00DD568F"/>
    <w:rsid w:val="00DD6A1E"/>
    <w:rsid w:val="00DD7DB3"/>
    <w:rsid w:val="00DE09A3"/>
    <w:rsid w:val="00DE0A46"/>
    <w:rsid w:val="00DE0E05"/>
    <w:rsid w:val="00DE1039"/>
    <w:rsid w:val="00DE1BC4"/>
    <w:rsid w:val="00DE1FA7"/>
    <w:rsid w:val="00DE202C"/>
    <w:rsid w:val="00DE2BCA"/>
    <w:rsid w:val="00DE4264"/>
    <w:rsid w:val="00DE7680"/>
    <w:rsid w:val="00DE79E4"/>
    <w:rsid w:val="00DE7F16"/>
    <w:rsid w:val="00DF38B2"/>
    <w:rsid w:val="00DF398C"/>
    <w:rsid w:val="00DF4549"/>
    <w:rsid w:val="00DF4969"/>
    <w:rsid w:val="00DF54E7"/>
    <w:rsid w:val="00DF5518"/>
    <w:rsid w:val="00DF6C66"/>
    <w:rsid w:val="00DF7659"/>
    <w:rsid w:val="00E001E8"/>
    <w:rsid w:val="00E00B70"/>
    <w:rsid w:val="00E0115A"/>
    <w:rsid w:val="00E015FD"/>
    <w:rsid w:val="00E0170D"/>
    <w:rsid w:val="00E01DF1"/>
    <w:rsid w:val="00E01F29"/>
    <w:rsid w:val="00E0244F"/>
    <w:rsid w:val="00E0287B"/>
    <w:rsid w:val="00E0293E"/>
    <w:rsid w:val="00E041C8"/>
    <w:rsid w:val="00E04FD2"/>
    <w:rsid w:val="00E05342"/>
    <w:rsid w:val="00E07A55"/>
    <w:rsid w:val="00E07AF1"/>
    <w:rsid w:val="00E10A00"/>
    <w:rsid w:val="00E10A1F"/>
    <w:rsid w:val="00E10CCC"/>
    <w:rsid w:val="00E10D58"/>
    <w:rsid w:val="00E11015"/>
    <w:rsid w:val="00E110C9"/>
    <w:rsid w:val="00E12646"/>
    <w:rsid w:val="00E126EA"/>
    <w:rsid w:val="00E12A6C"/>
    <w:rsid w:val="00E12D96"/>
    <w:rsid w:val="00E145D4"/>
    <w:rsid w:val="00E14F92"/>
    <w:rsid w:val="00E15876"/>
    <w:rsid w:val="00E1663C"/>
    <w:rsid w:val="00E16EC9"/>
    <w:rsid w:val="00E173A0"/>
    <w:rsid w:val="00E20369"/>
    <w:rsid w:val="00E205FB"/>
    <w:rsid w:val="00E223BC"/>
    <w:rsid w:val="00E225F9"/>
    <w:rsid w:val="00E26558"/>
    <w:rsid w:val="00E266B9"/>
    <w:rsid w:val="00E273C1"/>
    <w:rsid w:val="00E27644"/>
    <w:rsid w:val="00E27F02"/>
    <w:rsid w:val="00E302BF"/>
    <w:rsid w:val="00E31420"/>
    <w:rsid w:val="00E320A2"/>
    <w:rsid w:val="00E32B99"/>
    <w:rsid w:val="00E32BA5"/>
    <w:rsid w:val="00E33645"/>
    <w:rsid w:val="00E33AA0"/>
    <w:rsid w:val="00E34E3B"/>
    <w:rsid w:val="00E34F15"/>
    <w:rsid w:val="00E35941"/>
    <w:rsid w:val="00E364D4"/>
    <w:rsid w:val="00E36AFE"/>
    <w:rsid w:val="00E375D5"/>
    <w:rsid w:val="00E41B90"/>
    <w:rsid w:val="00E43146"/>
    <w:rsid w:val="00E44382"/>
    <w:rsid w:val="00E445AD"/>
    <w:rsid w:val="00E463AD"/>
    <w:rsid w:val="00E463E7"/>
    <w:rsid w:val="00E46654"/>
    <w:rsid w:val="00E469F5"/>
    <w:rsid w:val="00E470FD"/>
    <w:rsid w:val="00E4737F"/>
    <w:rsid w:val="00E47ACC"/>
    <w:rsid w:val="00E47B6D"/>
    <w:rsid w:val="00E514E7"/>
    <w:rsid w:val="00E52431"/>
    <w:rsid w:val="00E52480"/>
    <w:rsid w:val="00E525E1"/>
    <w:rsid w:val="00E53294"/>
    <w:rsid w:val="00E54BAF"/>
    <w:rsid w:val="00E55145"/>
    <w:rsid w:val="00E5583B"/>
    <w:rsid w:val="00E55C05"/>
    <w:rsid w:val="00E55C1A"/>
    <w:rsid w:val="00E562EC"/>
    <w:rsid w:val="00E5647B"/>
    <w:rsid w:val="00E56AC1"/>
    <w:rsid w:val="00E57514"/>
    <w:rsid w:val="00E57B12"/>
    <w:rsid w:val="00E57F87"/>
    <w:rsid w:val="00E60484"/>
    <w:rsid w:val="00E61B0E"/>
    <w:rsid w:val="00E62591"/>
    <w:rsid w:val="00E62E2D"/>
    <w:rsid w:val="00E633A5"/>
    <w:rsid w:val="00E635B1"/>
    <w:rsid w:val="00E63637"/>
    <w:rsid w:val="00E63B99"/>
    <w:rsid w:val="00E65365"/>
    <w:rsid w:val="00E65661"/>
    <w:rsid w:val="00E66DC9"/>
    <w:rsid w:val="00E66E32"/>
    <w:rsid w:val="00E66F4A"/>
    <w:rsid w:val="00E66F53"/>
    <w:rsid w:val="00E67716"/>
    <w:rsid w:val="00E67CF2"/>
    <w:rsid w:val="00E67DF2"/>
    <w:rsid w:val="00E67EBA"/>
    <w:rsid w:val="00E704C5"/>
    <w:rsid w:val="00E70D04"/>
    <w:rsid w:val="00E71930"/>
    <w:rsid w:val="00E719A9"/>
    <w:rsid w:val="00E719FA"/>
    <w:rsid w:val="00E71E69"/>
    <w:rsid w:val="00E726D3"/>
    <w:rsid w:val="00E729C7"/>
    <w:rsid w:val="00E72E52"/>
    <w:rsid w:val="00E738EF"/>
    <w:rsid w:val="00E74898"/>
    <w:rsid w:val="00E748AB"/>
    <w:rsid w:val="00E74A44"/>
    <w:rsid w:val="00E74ABB"/>
    <w:rsid w:val="00E75637"/>
    <w:rsid w:val="00E75666"/>
    <w:rsid w:val="00E758DE"/>
    <w:rsid w:val="00E75C3B"/>
    <w:rsid w:val="00E75FBE"/>
    <w:rsid w:val="00E76253"/>
    <w:rsid w:val="00E771F8"/>
    <w:rsid w:val="00E77462"/>
    <w:rsid w:val="00E77FE2"/>
    <w:rsid w:val="00E809F6"/>
    <w:rsid w:val="00E80D72"/>
    <w:rsid w:val="00E80F1F"/>
    <w:rsid w:val="00E81A84"/>
    <w:rsid w:val="00E81E0F"/>
    <w:rsid w:val="00E82C75"/>
    <w:rsid w:val="00E82EE8"/>
    <w:rsid w:val="00E83691"/>
    <w:rsid w:val="00E847CF"/>
    <w:rsid w:val="00E8482C"/>
    <w:rsid w:val="00E84A54"/>
    <w:rsid w:val="00E84BF8"/>
    <w:rsid w:val="00E8716D"/>
    <w:rsid w:val="00E871CD"/>
    <w:rsid w:val="00E87225"/>
    <w:rsid w:val="00E87E8B"/>
    <w:rsid w:val="00E87FB9"/>
    <w:rsid w:val="00E90607"/>
    <w:rsid w:val="00E90D11"/>
    <w:rsid w:val="00E919C9"/>
    <w:rsid w:val="00E933A2"/>
    <w:rsid w:val="00E93C0F"/>
    <w:rsid w:val="00E93CA4"/>
    <w:rsid w:val="00E93F46"/>
    <w:rsid w:val="00E944F7"/>
    <w:rsid w:val="00E94A94"/>
    <w:rsid w:val="00E94D51"/>
    <w:rsid w:val="00E94D91"/>
    <w:rsid w:val="00E94F56"/>
    <w:rsid w:val="00E963A7"/>
    <w:rsid w:val="00E968BA"/>
    <w:rsid w:val="00E96A85"/>
    <w:rsid w:val="00E96A94"/>
    <w:rsid w:val="00E97942"/>
    <w:rsid w:val="00E97FD2"/>
    <w:rsid w:val="00EA007C"/>
    <w:rsid w:val="00EA062E"/>
    <w:rsid w:val="00EA0CF0"/>
    <w:rsid w:val="00EA1B2C"/>
    <w:rsid w:val="00EA1B98"/>
    <w:rsid w:val="00EA1DBC"/>
    <w:rsid w:val="00EA2378"/>
    <w:rsid w:val="00EA3383"/>
    <w:rsid w:val="00EA36E1"/>
    <w:rsid w:val="00EA3A30"/>
    <w:rsid w:val="00EA3A7E"/>
    <w:rsid w:val="00EA454C"/>
    <w:rsid w:val="00EA4B9A"/>
    <w:rsid w:val="00EA4E3A"/>
    <w:rsid w:val="00EA5536"/>
    <w:rsid w:val="00EA5896"/>
    <w:rsid w:val="00EA6CB1"/>
    <w:rsid w:val="00EA734D"/>
    <w:rsid w:val="00EA754E"/>
    <w:rsid w:val="00EA79E0"/>
    <w:rsid w:val="00EB0A80"/>
    <w:rsid w:val="00EB0C74"/>
    <w:rsid w:val="00EB16A0"/>
    <w:rsid w:val="00EB1876"/>
    <w:rsid w:val="00EB2F75"/>
    <w:rsid w:val="00EB47E9"/>
    <w:rsid w:val="00EB4CCB"/>
    <w:rsid w:val="00EB55E8"/>
    <w:rsid w:val="00EB5CCD"/>
    <w:rsid w:val="00EB63F2"/>
    <w:rsid w:val="00EB69ED"/>
    <w:rsid w:val="00EB71C0"/>
    <w:rsid w:val="00EC05A9"/>
    <w:rsid w:val="00EC0F40"/>
    <w:rsid w:val="00EC17ED"/>
    <w:rsid w:val="00EC2415"/>
    <w:rsid w:val="00EC297A"/>
    <w:rsid w:val="00EC333A"/>
    <w:rsid w:val="00EC33B8"/>
    <w:rsid w:val="00EC35BC"/>
    <w:rsid w:val="00EC38D1"/>
    <w:rsid w:val="00EC3A46"/>
    <w:rsid w:val="00EC3ABF"/>
    <w:rsid w:val="00EC3C65"/>
    <w:rsid w:val="00EC4116"/>
    <w:rsid w:val="00EC4436"/>
    <w:rsid w:val="00EC464D"/>
    <w:rsid w:val="00EC7C34"/>
    <w:rsid w:val="00ED009E"/>
    <w:rsid w:val="00ED0AAD"/>
    <w:rsid w:val="00ED15D5"/>
    <w:rsid w:val="00ED1DB4"/>
    <w:rsid w:val="00ED21A4"/>
    <w:rsid w:val="00ED221B"/>
    <w:rsid w:val="00ED3049"/>
    <w:rsid w:val="00ED3C6A"/>
    <w:rsid w:val="00ED3E2B"/>
    <w:rsid w:val="00ED4394"/>
    <w:rsid w:val="00ED45C0"/>
    <w:rsid w:val="00ED4683"/>
    <w:rsid w:val="00ED4F36"/>
    <w:rsid w:val="00ED56BB"/>
    <w:rsid w:val="00ED7044"/>
    <w:rsid w:val="00ED7778"/>
    <w:rsid w:val="00EE1B68"/>
    <w:rsid w:val="00EE20DB"/>
    <w:rsid w:val="00EE2150"/>
    <w:rsid w:val="00EE22ED"/>
    <w:rsid w:val="00EE37E4"/>
    <w:rsid w:val="00EE3B61"/>
    <w:rsid w:val="00EE4427"/>
    <w:rsid w:val="00EE4572"/>
    <w:rsid w:val="00EE6F03"/>
    <w:rsid w:val="00EE753B"/>
    <w:rsid w:val="00EE75D1"/>
    <w:rsid w:val="00EE7C74"/>
    <w:rsid w:val="00EF2678"/>
    <w:rsid w:val="00EF2E4A"/>
    <w:rsid w:val="00EF2E8A"/>
    <w:rsid w:val="00EF3E0C"/>
    <w:rsid w:val="00EF543D"/>
    <w:rsid w:val="00EF645C"/>
    <w:rsid w:val="00EF757A"/>
    <w:rsid w:val="00F00FA7"/>
    <w:rsid w:val="00F01646"/>
    <w:rsid w:val="00F020A8"/>
    <w:rsid w:val="00F02485"/>
    <w:rsid w:val="00F02F19"/>
    <w:rsid w:val="00F0368E"/>
    <w:rsid w:val="00F041B3"/>
    <w:rsid w:val="00F05B76"/>
    <w:rsid w:val="00F05DCF"/>
    <w:rsid w:val="00F05EF3"/>
    <w:rsid w:val="00F05F58"/>
    <w:rsid w:val="00F065BA"/>
    <w:rsid w:val="00F10743"/>
    <w:rsid w:val="00F11917"/>
    <w:rsid w:val="00F12129"/>
    <w:rsid w:val="00F12328"/>
    <w:rsid w:val="00F1282E"/>
    <w:rsid w:val="00F141A3"/>
    <w:rsid w:val="00F14A98"/>
    <w:rsid w:val="00F14CE3"/>
    <w:rsid w:val="00F16028"/>
    <w:rsid w:val="00F169EE"/>
    <w:rsid w:val="00F16CD2"/>
    <w:rsid w:val="00F174F2"/>
    <w:rsid w:val="00F20278"/>
    <w:rsid w:val="00F20978"/>
    <w:rsid w:val="00F2098B"/>
    <w:rsid w:val="00F20E04"/>
    <w:rsid w:val="00F20ED9"/>
    <w:rsid w:val="00F21073"/>
    <w:rsid w:val="00F215B2"/>
    <w:rsid w:val="00F21679"/>
    <w:rsid w:val="00F21941"/>
    <w:rsid w:val="00F221A9"/>
    <w:rsid w:val="00F227E1"/>
    <w:rsid w:val="00F22A85"/>
    <w:rsid w:val="00F2376E"/>
    <w:rsid w:val="00F23A8A"/>
    <w:rsid w:val="00F24139"/>
    <w:rsid w:val="00F24660"/>
    <w:rsid w:val="00F24E67"/>
    <w:rsid w:val="00F256C3"/>
    <w:rsid w:val="00F256DC"/>
    <w:rsid w:val="00F26A96"/>
    <w:rsid w:val="00F30584"/>
    <w:rsid w:val="00F30759"/>
    <w:rsid w:val="00F31BEC"/>
    <w:rsid w:val="00F320E3"/>
    <w:rsid w:val="00F3240A"/>
    <w:rsid w:val="00F32C5C"/>
    <w:rsid w:val="00F32FC2"/>
    <w:rsid w:val="00F33A40"/>
    <w:rsid w:val="00F346BC"/>
    <w:rsid w:val="00F352A7"/>
    <w:rsid w:val="00F35AD1"/>
    <w:rsid w:val="00F363E4"/>
    <w:rsid w:val="00F37915"/>
    <w:rsid w:val="00F37D0E"/>
    <w:rsid w:val="00F37EB7"/>
    <w:rsid w:val="00F40671"/>
    <w:rsid w:val="00F40C2C"/>
    <w:rsid w:val="00F41621"/>
    <w:rsid w:val="00F422D0"/>
    <w:rsid w:val="00F42377"/>
    <w:rsid w:val="00F426E6"/>
    <w:rsid w:val="00F42B3C"/>
    <w:rsid w:val="00F4392A"/>
    <w:rsid w:val="00F441E6"/>
    <w:rsid w:val="00F44925"/>
    <w:rsid w:val="00F4709F"/>
    <w:rsid w:val="00F471FA"/>
    <w:rsid w:val="00F47253"/>
    <w:rsid w:val="00F47FA0"/>
    <w:rsid w:val="00F50081"/>
    <w:rsid w:val="00F501CF"/>
    <w:rsid w:val="00F51A61"/>
    <w:rsid w:val="00F53064"/>
    <w:rsid w:val="00F539F7"/>
    <w:rsid w:val="00F53BF4"/>
    <w:rsid w:val="00F546A7"/>
    <w:rsid w:val="00F54E31"/>
    <w:rsid w:val="00F550D8"/>
    <w:rsid w:val="00F570B4"/>
    <w:rsid w:val="00F57A80"/>
    <w:rsid w:val="00F600DE"/>
    <w:rsid w:val="00F614A6"/>
    <w:rsid w:val="00F6185F"/>
    <w:rsid w:val="00F61C3D"/>
    <w:rsid w:val="00F61D4C"/>
    <w:rsid w:val="00F61E29"/>
    <w:rsid w:val="00F61FBC"/>
    <w:rsid w:val="00F629B5"/>
    <w:rsid w:val="00F62A0A"/>
    <w:rsid w:val="00F634EB"/>
    <w:rsid w:val="00F63E29"/>
    <w:rsid w:val="00F64880"/>
    <w:rsid w:val="00F64B81"/>
    <w:rsid w:val="00F652C9"/>
    <w:rsid w:val="00F6594E"/>
    <w:rsid w:val="00F659D3"/>
    <w:rsid w:val="00F66A76"/>
    <w:rsid w:val="00F6766E"/>
    <w:rsid w:val="00F67AE6"/>
    <w:rsid w:val="00F701C1"/>
    <w:rsid w:val="00F703D5"/>
    <w:rsid w:val="00F705B3"/>
    <w:rsid w:val="00F70EC6"/>
    <w:rsid w:val="00F71C83"/>
    <w:rsid w:val="00F730BE"/>
    <w:rsid w:val="00F732EE"/>
    <w:rsid w:val="00F739E8"/>
    <w:rsid w:val="00F73CA5"/>
    <w:rsid w:val="00F7445D"/>
    <w:rsid w:val="00F7486D"/>
    <w:rsid w:val="00F753B3"/>
    <w:rsid w:val="00F76F96"/>
    <w:rsid w:val="00F771E4"/>
    <w:rsid w:val="00F7721C"/>
    <w:rsid w:val="00F77D8F"/>
    <w:rsid w:val="00F80DD7"/>
    <w:rsid w:val="00F80E06"/>
    <w:rsid w:val="00F81702"/>
    <w:rsid w:val="00F81DB8"/>
    <w:rsid w:val="00F82263"/>
    <w:rsid w:val="00F82F64"/>
    <w:rsid w:val="00F836E4"/>
    <w:rsid w:val="00F842B3"/>
    <w:rsid w:val="00F84F03"/>
    <w:rsid w:val="00F8506E"/>
    <w:rsid w:val="00F857CB"/>
    <w:rsid w:val="00F85D66"/>
    <w:rsid w:val="00F86ECF"/>
    <w:rsid w:val="00F8723C"/>
    <w:rsid w:val="00F87276"/>
    <w:rsid w:val="00F874BF"/>
    <w:rsid w:val="00F8761F"/>
    <w:rsid w:val="00F9018D"/>
    <w:rsid w:val="00F9022B"/>
    <w:rsid w:val="00F91224"/>
    <w:rsid w:val="00F91A99"/>
    <w:rsid w:val="00F92036"/>
    <w:rsid w:val="00F924B4"/>
    <w:rsid w:val="00F929D7"/>
    <w:rsid w:val="00F9301B"/>
    <w:rsid w:val="00F95BDD"/>
    <w:rsid w:val="00F96440"/>
    <w:rsid w:val="00F96C06"/>
    <w:rsid w:val="00F97567"/>
    <w:rsid w:val="00F97B30"/>
    <w:rsid w:val="00FA0E62"/>
    <w:rsid w:val="00FA1265"/>
    <w:rsid w:val="00FA374A"/>
    <w:rsid w:val="00FA3DC1"/>
    <w:rsid w:val="00FA4BEA"/>
    <w:rsid w:val="00FA4DF1"/>
    <w:rsid w:val="00FA55C3"/>
    <w:rsid w:val="00FA5934"/>
    <w:rsid w:val="00FA6C7D"/>
    <w:rsid w:val="00FA706A"/>
    <w:rsid w:val="00FA71FF"/>
    <w:rsid w:val="00FA776B"/>
    <w:rsid w:val="00FA7B9B"/>
    <w:rsid w:val="00FB0116"/>
    <w:rsid w:val="00FB0DC4"/>
    <w:rsid w:val="00FB1DF7"/>
    <w:rsid w:val="00FB2A73"/>
    <w:rsid w:val="00FB3706"/>
    <w:rsid w:val="00FB3DDE"/>
    <w:rsid w:val="00FB3F23"/>
    <w:rsid w:val="00FB445C"/>
    <w:rsid w:val="00FB462B"/>
    <w:rsid w:val="00FB5C7F"/>
    <w:rsid w:val="00FB681E"/>
    <w:rsid w:val="00FC0A56"/>
    <w:rsid w:val="00FC0DDE"/>
    <w:rsid w:val="00FC0F67"/>
    <w:rsid w:val="00FC1B59"/>
    <w:rsid w:val="00FC2326"/>
    <w:rsid w:val="00FC25C7"/>
    <w:rsid w:val="00FC2E67"/>
    <w:rsid w:val="00FC35F9"/>
    <w:rsid w:val="00FC3EFC"/>
    <w:rsid w:val="00FC4302"/>
    <w:rsid w:val="00FC5515"/>
    <w:rsid w:val="00FC5BC6"/>
    <w:rsid w:val="00FC7CC4"/>
    <w:rsid w:val="00FD0983"/>
    <w:rsid w:val="00FD0ACD"/>
    <w:rsid w:val="00FD145A"/>
    <w:rsid w:val="00FD27F5"/>
    <w:rsid w:val="00FD2B2C"/>
    <w:rsid w:val="00FD2D21"/>
    <w:rsid w:val="00FD41E3"/>
    <w:rsid w:val="00FD4396"/>
    <w:rsid w:val="00FD43D6"/>
    <w:rsid w:val="00FD4929"/>
    <w:rsid w:val="00FD55D8"/>
    <w:rsid w:val="00FD66AF"/>
    <w:rsid w:val="00FD71DE"/>
    <w:rsid w:val="00FE0576"/>
    <w:rsid w:val="00FE1189"/>
    <w:rsid w:val="00FE1216"/>
    <w:rsid w:val="00FE2651"/>
    <w:rsid w:val="00FE2959"/>
    <w:rsid w:val="00FE2A1D"/>
    <w:rsid w:val="00FE2B2B"/>
    <w:rsid w:val="00FE3A81"/>
    <w:rsid w:val="00FE3BBA"/>
    <w:rsid w:val="00FE3BFA"/>
    <w:rsid w:val="00FE405D"/>
    <w:rsid w:val="00FE4B6F"/>
    <w:rsid w:val="00FE4D1D"/>
    <w:rsid w:val="00FE561F"/>
    <w:rsid w:val="00FE7213"/>
    <w:rsid w:val="00FE7656"/>
    <w:rsid w:val="00FE7C08"/>
    <w:rsid w:val="00FE7C41"/>
    <w:rsid w:val="00FF0180"/>
    <w:rsid w:val="00FF1AAB"/>
    <w:rsid w:val="00FF1BE0"/>
    <w:rsid w:val="00FF2073"/>
    <w:rsid w:val="00FF2096"/>
    <w:rsid w:val="00FF2EBB"/>
    <w:rsid w:val="00FF3EDC"/>
    <w:rsid w:val="00FF55FC"/>
    <w:rsid w:val="00FF6088"/>
    <w:rsid w:val="00FF6D6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F1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41"/>
    <w:rPr>
      <w:rFonts w:ascii="Calibri" w:eastAsia="Calibri" w:hAnsi="Calibri" w:cs="Times New Roman"/>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2244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2244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2244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22441"/>
    <w:rPr>
      <w:rFonts w:asciiTheme="majorHAnsi" w:eastAsiaTheme="majorEastAsia" w:hAnsiTheme="majorHAnsi" w:cstheme="majorBidi"/>
      <w:b/>
      <w:bCs/>
      <w:color w:val="4F81BD" w:themeColor="accen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line="360" w:lineRule="auto"/>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spacing w:line="360" w:lineRule="auto"/>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41"/>
    <w:rPr>
      <w:rFonts w:ascii="Calibri" w:eastAsia="Calibri" w:hAnsi="Calibri" w:cs="Times New Roman"/>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2244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2244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2244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22441"/>
    <w:rPr>
      <w:rFonts w:asciiTheme="majorHAnsi" w:eastAsiaTheme="majorEastAsia" w:hAnsiTheme="majorHAnsi" w:cstheme="majorBidi"/>
      <w:b/>
      <w:bCs/>
      <w:color w:val="4F81BD" w:themeColor="accen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line="360" w:lineRule="auto"/>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spacing w:line="360" w:lineRule="auto"/>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64605">
      <w:bodyDiv w:val="1"/>
      <w:marLeft w:val="0"/>
      <w:marRight w:val="0"/>
      <w:marTop w:val="0"/>
      <w:marBottom w:val="0"/>
      <w:divBdr>
        <w:top w:val="none" w:sz="0" w:space="0" w:color="auto"/>
        <w:left w:val="none" w:sz="0" w:space="0" w:color="auto"/>
        <w:bottom w:val="none" w:sz="0" w:space="0" w:color="auto"/>
        <w:right w:val="none" w:sz="0" w:space="0" w:color="auto"/>
      </w:divBdr>
      <w:divsChild>
        <w:div w:id="1150094624">
          <w:marLeft w:val="0"/>
          <w:marRight w:val="0"/>
          <w:marTop w:val="0"/>
          <w:marBottom w:val="0"/>
          <w:divBdr>
            <w:top w:val="none" w:sz="0" w:space="0" w:color="auto"/>
            <w:left w:val="none" w:sz="0" w:space="0" w:color="auto"/>
            <w:bottom w:val="none" w:sz="0" w:space="0" w:color="auto"/>
            <w:right w:val="none" w:sz="0" w:space="0" w:color="auto"/>
          </w:divBdr>
          <w:divsChild>
            <w:div w:id="463425056">
              <w:marLeft w:val="0"/>
              <w:marRight w:val="0"/>
              <w:marTop w:val="0"/>
              <w:marBottom w:val="0"/>
              <w:divBdr>
                <w:top w:val="none" w:sz="0" w:space="0" w:color="auto"/>
                <w:left w:val="none" w:sz="0" w:space="0" w:color="auto"/>
                <w:bottom w:val="none" w:sz="0" w:space="0" w:color="auto"/>
                <w:right w:val="none" w:sz="0" w:space="0" w:color="auto"/>
              </w:divBdr>
              <w:divsChild>
                <w:div w:id="1152256849">
                  <w:marLeft w:val="0"/>
                  <w:marRight w:val="0"/>
                  <w:marTop w:val="0"/>
                  <w:marBottom w:val="0"/>
                  <w:divBdr>
                    <w:top w:val="none" w:sz="0" w:space="0" w:color="auto"/>
                    <w:left w:val="none" w:sz="0" w:space="0" w:color="auto"/>
                    <w:bottom w:val="none" w:sz="0" w:space="0" w:color="auto"/>
                    <w:right w:val="none" w:sz="0" w:space="0" w:color="auto"/>
                  </w:divBdr>
                  <w:divsChild>
                    <w:div w:id="1447693985">
                      <w:marLeft w:val="0"/>
                      <w:marRight w:val="0"/>
                      <w:marTop w:val="0"/>
                      <w:marBottom w:val="0"/>
                      <w:divBdr>
                        <w:top w:val="none" w:sz="0" w:space="0" w:color="auto"/>
                        <w:left w:val="none" w:sz="0" w:space="0" w:color="auto"/>
                        <w:bottom w:val="none" w:sz="0" w:space="0" w:color="auto"/>
                        <w:right w:val="none" w:sz="0" w:space="0" w:color="auto"/>
                      </w:divBdr>
                      <w:divsChild>
                        <w:div w:id="59981544">
                          <w:marLeft w:val="0"/>
                          <w:marRight w:val="0"/>
                          <w:marTop w:val="0"/>
                          <w:marBottom w:val="0"/>
                          <w:divBdr>
                            <w:top w:val="none" w:sz="0" w:space="0" w:color="auto"/>
                            <w:left w:val="none" w:sz="0" w:space="0" w:color="auto"/>
                            <w:bottom w:val="none" w:sz="0" w:space="0" w:color="auto"/>
                            <w:right w:val="none" w:sz="0" w:space="0" w:color="auto"/>
                          </w:divBdr>
                          <w:divsChild>
                            <w:div w:id="10552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38624">
      <w:bodyDiv w:val="1"/>
      <w:marLeft w:val="0"/>
      <w:marRight w:val="0"/>
      <w:marTop w:val="0"/>
      <w:marBottom w:val="0"/>
      <w:divBdr>
        <w:top w:val="none" w:sz="0" w:space="0" w:color="auto"/>
        <w:left w:val="none" w:sz="0" w:space="0" w:color="auto"/>
        <w:bottom w:val="none" w:sz="0" w:space="0" w:color="auto"/>
        <w:right w:val="none" w:sz="0" w:space="0" w:color="auto"/>
      </w:divBdr>
    </w:div>
    <w:div w:id="552736620">
      <w:bodyDiv w:val="1"/>
      <w:marLeft w:val="0"/>
      <w:marRight w:val="0"/>
      <w:marTop w:val="0"/>
      <w:marBottom w:val="0"/>
      <w:divBdr>
        <w:top w:val="none" w:sz="0" w:space="0" w:color="auto"/>
        <w:left w:val="none" w:sz="0" w:space="0" w:color="auto"/>
        <w:bottom w:val="none" w:sz="0" w:space="0" w:color="auto"/>
        <w:right w:val="none" w:sz="0" w:space="0" w:color="auto"/>
      </w:divBdr>
    </w:div>
    <w:div w:id="933248950">
      <w:bodyDiv w:val="1"/>
      <w:marLeft w:val="0"/>
      <w:marRight w:val="0"/>
      <w:marTop w:val="0"/>
      <w:marBottom w:val="0"/>
      <w:divBdr>
        <w:top w:val="none" w:sz="0" w:space="0" w:color="auto"/>
        <w:left w:val="none" w:sz="0" w:space="0" w:color="auto"/>
        <w:bottom w:val="none" w:sz="0" w:space="0" w:color="auto"/>
        <w:right w:val="none" w:sz="0" w:space="0" w:color="auto"/>
      </w:divBdr>
      <w:divsChild>
        <w:div w:id="159005508">
          <w:marLeft w:val="0"/>
          <w:marRight w:val="0"/>
          <w:marTop w:val="0"/>
          <w:marBottom w:val="0"/>
          <w:divBdr>
            <w:top w:val="single" w:sz="36" w:space="0" w:color="075290"/>
            <w:left w:val="none" w:sz="0" w:space="0" w:color="auto"/>
            <w:bottom w:val="none" w:sz="0" w:space="0" w:color="auto"/>
            <w:right w:val="none" w:sz="0" w:space="0" w:color="auto"/>
          </w:divBdr>
          <w:divsChild>
            <w:div w:id="2142919289">
              <w:marLeft w:val="0"/>
              <w:marRight w:val="0"/>
              <w:marTop w:val="0"/>
              <w:marBottom w:val="0"/>
              <w:divBdr>
                <w:top w:val="none" w:sz="0" w:space="0" w:color="auto"/>
                <w:left w:val="none" w:sz="0" w:space="0" w:color="auto"/>
                <w:bottom w:val="none" w:sz="0" w:space="0" w:color="auto"/>
                <w:right w:val="none" w:sz="0" w:space="0" w:color="auto"/>
              </w:divBdr>
              <w:divsChild>
                <w:div w:id="2090732027">
                  <w:marLeft w:val="0"/>
                  <w:marRight w:val="0"/>
                  <w:marTop w:val="150"/>
                  <w:marBottom w:val="0"/>
                  <w:divBdr>
                    <w:top w:val="none" w:sz="0" w:space="0" w:color="auto"/>
                    <w:left w:val="none" w:sz="0" w:space="0" w:color="auto"/>
                    <w:bottom w:val="none" w:sz="0" w:space="0" w:color="auto"/>
                    <w:right w:val="none" w:sz="0" w:space="0" w:color="auto"/>
                  </w:divBdr>
                  <w:divsChild>
                    <w:div w:id="274413034">
                      <w:marLeft w:val="-150"/>
                      <w:marRight w:val="0"/>
                      <w:marTop w:val="0"/>
                      <w:marBottom w:val="0"/>
                      <w:divBdr>
                        <w:top w:val="none" w:sz="0" w:space="0" w:color="auto"/>
                        <w:left w:val="none" w:sz="0" w:space="0" w:color="auto"/>
                        <w:bottom w:val="none" w:sz="0" w:space="0" w:color="auto"/>
                        <w:right w:val="none" w:sz="0" w:space="0" w:color="auto"/>
                      </w:divBdr>
                      <w:divsChild>
                        <w:div w:id="1864591378">
                          <w:marLeft w:val="0"/>
                          <w:marRight w:val="0"/>
                          <w:marTop w:val="0"/>
                          <w:marBottom w:val="0"/>
                          <w:divBdr>
                            <w:top w:val="none" w:sz="0" w:space="0" w:color="auto"/>
                            <w:left w:val="none" w:sz="0" w:space="0" w:color="auto"/>
                            <w:bottom w:val="none" w:sz="0" w:space="0" w:color="auto"/>
                            <w:right w:val="none" w:sz="0" w:space="0" w:color="auto"/>
                          </w:divBdr>
                          <w:divsChild>
                            <w:div w:id="954942391">
                              <w:marLeft w:val="0"/>
                              <w:marRight w:val="0"/>
                              <w:marTop w:val="0"/>
                              <w:marBottom w:val="0"/>
                              <w:divBdr>
                                <w:top w:val="none" w:sz="0" w:space="0" w:color="auto"/>
                                <w:left w:val="none" w:sz="0" w:space="0" w:color="auto"/>
                                <w:bottom w:val="none" w:sz="0" w:space="0" w:color="auto"/>
                                <w:right w:val="none" w:sz="0" w:space="0" w:color="auto"/>
                              </w:divBdr>
                              <w:divsChild>
                                <w:div w:id="930505970">
                                  <w:marLeft w:val="0"/>
                                  <w:marRight w:val="0"/>
                                  <w:marTop w:val="0"/>
                                  <w:marBottom w:val="0"/>
                                  <w:divBdr>
                                    <w:top w:val="none" w:sz="0" w:space="0" w:color="auto"/>
                                    <w:left w:val="none" w:sz="0" w:space="0" w:color="auto"/>
                                    <w:bottom w:val="none" w:sz="0" w:space="0" w:color="auto"/>
                                    <w:right w:val="none" w:sz="0" w:space="0" w:color="auto"/>
                                  </w:divBdr>
                                  <w:divsChild>
                                    <w:div w:id="1451169641">
                                      <w:marLeft w:val="-150"/>
                                      <w:marRight w:val="0"/>
                                      <w:marTop w:val="0"/>
                                      <w:marBottom w:val="0"/>
                                      <w:divBdr>
                                        <w:top w:val="none" w:sz="0" w:space="0" w:color="auto"/>
                                        <w:left w:val="none" w:sz="0" w:space="0" w:color="auto"/>
                                        <w:bottom w:val="none" w:sz="0" w:space="0" w:color="auto"/>
                                        <w:right w:val="none" w:sz="0" w:space="0" w:color="auto"/>
                                      </w:divBdr>
                                      <w:divsChild>
                                        <w:div w:id="13527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241539">
      <w:bodyDiv w:val="1"/>
      <w:marLeft w:val="0"/>
      <w:marRight w:val="0"/>
      <w:marTop w:val="0"/>
      <w:marBottom w:val="0"/>
      <w:divBdr>
        <w:top w:val="none" w:sz="0" w:space="0" w:color="auto"/>
        <w:left w:val="none" w:sz="0" w:space="0" w:color="auto"/>
        <w:bottom w:val="none" w:sz="0" w:space="0" w:color="auto"/>
        <w:right w:val="none" w:sz="0" w:space="0" w:color="auto"/>
      </w:divBdr>
      <w:divsChild>
        <w:div w:id="1764910269">
          <w:marLeft w:val="0"/>
          <w:marRight w:val="0"/>
          <w:marTop w:val="0"/>
          <w:marBottom w:val="0"/>
          <w:divBdr>
            <w:top w:val="none" w:sz="0" w:space="0" w:color="auto"/>
            <w:left w:val="none" w:sz="0" w:space="0" w:color="auto"/>
            <w:bottom w:val="none" w:sz="0" w:space="0" w:color="auto"/>
            <w:right w:val="none" w:sz="0" w:space="0" w:color="auto"/>
          </w:divBdr>
          <w:divsChild>
            <w:div w:id="212623366">
              <w:marLeft w:val="0"/>
              <w:marRight w:val="0"/>
              <w:marTop w:val="0"/>
              <w:marBottom w:val="0"/>
              <w:divBdr>
                <w:top w:val="none" w:sz="0" w:space="0" w:color="auto"/>
                <w:left w:val="none" w:sz="0" w:space="0" w:color="auto"/>
                <w:bottom w:val="none" w:sz="0" w:space="0" w:color="auto"/>
                <w:right w:val="none" w:sz="0" w:space="0" w:color="auto"/>
              </w:divBdr>
              <w:divsChild>
                <w:div w:id="19477798">
                  <w:marLeft w:val="0"/>
                  <w:marRight w:val="0"/>
                  <w:marTop w:val="0"/>
                  <w:marBottom w:val="0"/>
                  <w:divBdr>
                    <w:top w:val="none" w:sz="0" w:space="0" w:color="auto"/>
                    <w:left w:val="none" w:sz="0" w:space="0" w:color="auto"/>
                    <w:bottom w:val="none" w:sz="0" w:space="0" w:color="auto"/>
                    <w:right w:val="none" w:sz="0" w:space="0" w:color="auto"/>
                  </w:divBdr>
                  <w:divsChild>
                    <w:div w:id="444809290">
                      <w:marLeft w:val="0"/>
                      <w:marRight w:val="0"/>
                      <w:marTop w:val="0"/>
                      <w:marBottom w:val="0"/>
                      <w:divBdr>
                        <w:top w:val="none" w:sz="0" w:space="0" w:color="auto"/>
                        <w:left w:val="none" w:sz="0" w:space="0" w:color="auto"/>
                        <w:bottom w:val="none" w:sz="0" w:space="0" w:color="auto"/>
                        <w:right w:val="none" w:sz="0" w:space="0" w:color="auto"/>
                      </w:divBdr>
                      <w:divsChild>
                        <w:div w:id="122964341">
                          <w:marLeft w:val="0"/>
                          <w:marRight w:val="0"/>
                          <w:marTop w:val="0"/>
                          <w:marBottom w:val="0"/>
                          <w:divBdr>
                            <w:top w:val="none" w:sz="0" w:space="0" w:color="auto"/>
                            <w:left w:val="none" w:sz="0" w:space="0" w:color="auto"/>
                            <w:bottom w:val="none" w:sz="0" w:space="0" w:color="auto"/>
                            <w:right w:val="none" w:sz="0" w:space="0" w:color="auto"/>
                          </w:divBdr>
                          <w:divsChild>
                            <w:div w:id="983002647">
                              <w:marLeft w:val="0"/>
                              <w:marRight w:val="0"/>
                              <w:marTop w:val="0"/>
                              <w:marBottom w:val="0"/>
                              <w:divBdr>
                                <w:top w:val="none" w:sz="0" w:space="0" w:color="auto"/>
                                <w:left w:val="none" w:sz="0" w:space="0" w:color="auto"/>
                                <w:bottom w:val="none" w:sz="0" w:space="0" w:color="auto"/>
                                <w:right w:val="none" w:sz="0" w:space="0" w:color="auto"/>
                              </w:divBdr>
                              <w:divsChild>
                                <w:div w:id="1480340572">
                                  <w:marLeft w:val="0"/>
                                  <w:marRight w:val="0"/>
                                  <w:marTop w:val="0"/>
                                  <w:marBottom w:val="0"/>
                                  <w:divBdr>
                                    <w:top w:val="none" w:sz="0" w:space="0" w:color="auto"/>
                                    <w:left w:val="none" w:sz="0" w:space="0" w:color="auto"/>
                                    <w:bottom w:val="none" w:sz="0" w:space="0" w:color="auto"/>
                                    <w:right w:val="none" w:sz="0" w:space="0" w:color="auto"/>
                                  </w:divBdr>
                                  <w:divsChild>
                                    <w:div w:id="639119702">
                                      <w:marLeft w:val="0"/>
                                      <w:marRight w:val="0"/>
                                      <w:marTop w:val="0"/>
                                      <w:marBottom w:val="0"/>
                                      <w:divBdr>
                                        <w:top w:val="none" w:sz="0" w:space="0" w:color="auto"/>
                                        <w:left w:val="none" w:sz="0" w:space="0" w:color="auto"/>
                                        <w:bottom w:val="none" w:sz="0" w:space="0" w:color="auto"/>
                                        <w:right w:val="none" w:sz="0" w:space="0" w:color="auto"/>
                                      </w:divBdr>
                                      <w:divsChild>
                                        <w:div w:id="262030245">
                                          <w:marLeft w:val="0"/>
                                          <w:marRight w:val="0"/>
                                          <w:marTop w:val="0"/>
                                          <w:marBottom w:val="0"/>
                                          <w:divBdr>
                                            <w:top w:val="none" w:sz="0" w:space="0" w:color="auto"/>
                                            <w:left w:val="none" w:sz="0" w:space="0" w:color="auto"/>
                                            <w:bottom w:val="none" w:sz="0" w:space="0" w:color="auto"/>
                                            <w:right w:val="none" w:sz="0" w:space="0" w:color="auto"/>
                                          </w:divBdr>
                                          <w:divsChild>
                                            <w:div w:id="284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185">
                                      <w:marLeft w:val="0"/>
                                      <w:marRight w:val="0"/>
                                      <w:marTop w:val="0"/>
                                      <w:marBottom w:val="0"/>
                                      <w:divBdr>
                                        <w:top w:val="none" w:sz="0" w:space="0" w:color="auto"/>
                                        <w:left w:val="none" w:sz="0" w:space="0" w:color="auto"/>
                                        <w:bottom w:val="none" w:sz="0" w:space="0" w:color="auto"/>
                                        <w:right w:val="none" w:sz="0" w:space="0" w:color="auto"/>
                                      </w:divBdr>
                                      <w:divsChild>
                                        <w:div w:id="544876954">
                                          <w:marLeft w:val="0"/>
                                          <w:marRight w:val="0"/>
                                          <w:marTop w:val="0"/>
                                          <w:marBottom w:val="0"/>
                                          <w:divBdr>
                                            <w:top w:val="none" w:sz="0" w:space="0" w:color="auto"/>
                                            <w:left w:val="none" w:sz="0" w:space="0" w:color="auto"/>
                                            <w:bottom w:val="none" w:sz="0" w:space="0" w:color="auto"/>
                                            <w:right w:val="none" w:sz="0" w:space="0" w:color="auto"/>
                                          </w:divBdr>
                                          <w:divsChild>
                                            <w:div w:id="11671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5527">
                                      <w:marLeft w:val="0"/>
                                      <w:marRight w:val="0"/>
                                      <w:marTop w:val="0"/>
                                      <w:marBottom w:val="0"/>
                                      <w:divBdr>
                                        <w:top w:val="none" w:sz="0" w:space="0" w:color="auto"/>
                                        <w:left w:val="none" w:sz="0" w:space="0" w:color="auto"/>
                                        <w:bottom w:val="none" w:sz="0" w:space="0" w:color="auto"/>
                                        <w:right w:val="none" w:sz="0" w:space="0" w:color="auto"/>
                                      </w:divBdr>
                                      <w:divsChild>
                                        <w:div w:id="1527057077">
                                          <w:marLeft w:val="0"/>
                                          <w:marRight w:val="0"/>
                                          <w:marTop w:val="0"/>
                                          <w:marBottom w:val="0"/>
                                          <w:divBdr>
                                            <w:top w:val="none" w:sz="0" w:space="0" w:color="auto"/>
                                            <w:left w:val="none" w:sz="0" w:space="0" w:color="auto"/>
                                            <w:bottom w:val="none" w:sz="0" w:space="0" w:color="auto"/>
                                            <w:right w:val="none" w:sz="0" w:space="0" w:color="auto"/>
                                          </w:divBdr>
                                          <w:divsChild>
                                            <w:div w:id="12926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282352">
      <w:bodyDiv w:val="1"/>
      <w:marLeft w:val="0"/>
      <w:marRight w:val="0"/>
      <w:marTop w:val="0"/>
      <w:marBottom w:val="0"/>
      <w:divBdr>
        <w:top w:val="none" w:sz="0" w:space="0" w:color="auto"/>
        <w:left w:val="none" w:sz="0" w:space="0" w:color="auto"/>
        <w:bottom w:val="none" w:sz="0" w:space="0" w:color="auto"/>
        <w:right w:val="none" w:sz="0" w:space="0" w:color="auto"/>
      </w:divBdr>
      <w:divsChild>
        <w:div w:id="354501539">
          <w:marLeft w:val="0"/>
          <w:marRight w:val="1"/>
          <w:marTop w:val="0"/>
          <w:marBottom w:val="0"/>
          <w:divBdr>
            <w:top w:val="none" w:sz="0" w:space="0" w:color="auto"/>
            <w:left w:val="none" w:sz="0" w:space="0" w:color="auto"/>
            <w:bottom w:val="none" w:sz="0" w:space="0" w:color="auto"/>
            <w:right w:val="none" w:sz="0" w:space="0" w:color="auto"/>
          </w:divBdr>
          <w:divsChild>
            <w:div w:id="1807431584">
              <w:marLeft w:val="0"/>
              <w:marRight w:val="0"/>
              <w:marTop w:val="0"/>
              <w:marBottom w:val="0"/>
              <w:divBdr>
                <w:top w:val="none" w:sz="0" w:space="0" w:color="auto"/>
                <w:left w:val="none" w:sz="0" w:space="0" w:color="auto"/>
                <w:bottom w:val="none" w:sz="0" w:space="0" w:color="auto"/>
                <w:right w:val="none" w:sz="0" w:space="0" w:color="auto"/>
              </w:divBdr>
              <w:divsChild>
                <w:div w:id="651300814">
                  <w:marLeft w:val="0"/>
                  <w:marRight w:val="1"/>
                  <w:marTop w:val="0"/>
                  <w:marBottom w:val="0"/>
                  <w:divBdr>
                    <w:top w:val="none" w:sz="0" w:space="0" w:color="auto"/>
                    <w:left w:val="none" w:sz="0" w:space="0" w:color="auto"/>
                    <w:bottom w:val="none" w:sz="0" w:space="0" w:color="auto"/>
                    <w:right w:val="none" w:sz="0" w:space="0" w:color="auto"/>
                  </w:divBdr>
                  <w:divsChild>
                    <w:div w:id="971860667">
                      <w:marLeft w:val="0"/>
                      <w:marRight w:val="0"/>
                      <w:marTop w:val="0"/>
                      <w:marBottom w:val="0"/>
                      <w:divBdr>
                        <w:top w:val="none" w:sz="0" w:space="0" w:color="auto"/>
                        <w:left w:val="none" w:sz="0" w:space="0" w:color="auto"/>
                        <w:bottom w:val="none" w:sz="0" w:space="0" w:color="auto"/>
                        <w:right w:val="none" w:sz="0" w:space="0" w:color="auto"/>
                      </w:divBdr>
                      <w:divsChild>
                        <w:div w:id="1143423656">
                          <w:marLeft w:val="0"/>
                          <w:marRight w:val="0"/>
                          <w:marTop w:val="0"/>
                          <w:marBottom w:val="0"/>
                          <w:divBdr>
                            <w:top w:val="none" w:sz="0" w:space="0" w:color="auto"/>
                            <w:left w:val="none" w:sz="0" w:space="0" w:color="auto"/>
                            <w:bottom w:val="none" w:sz="0" w:space="0" w:color="auto"/>
                            <w:right w:val="none" w:sz="0" w:space="0" w:color="auto"/>
                          </w:divBdr>
                          <w:divsChild>
                            <w:div w:id="321157093">
                              <w:marLeft w:val="0"/>
                              <w:marRight w:val="0"/>
                              <w:marTop w:val="120"/>
                              <w:marBottom w:val="360"/>
                              <w:divBdr>
                                <w:top w:val="none" w:sz="0" w:space="0" w:color="auto"/>
                                <w:left w:val="none" w:sz="0" w:space="0" w:color="auto"/>
                                <w:bottom w:val="none" w:sz="0" w:space="0" w:color="auto"/>
                                <w:right w:val="none" w:sz="0" w:space="0" w:color="auto"/>
                              </w:divBdr>
                              <w:divsChild>
                                <w:div w:id="1763137940">
                                  <w:marLeft w:val="420"/>
                                  <w:marRight w:val="0"/>
                                  <w:marTop w:val="0"/>
                                  <w:marBottom w:val="0"/>
                                  <w:divBdr>
                                    <w:top w:val="none" w:sz="0" w:space="0" w:color="auto"/>
                                    <w:left w:val="none" w:sz="0" w:space="0" w:color="auto"/>
                                    <w:bottom w:val="none" w:sz="0" w:space="0" w:color="auto"/>
                                    <w:right w:val="none" w:sz="0" w:space="0" w:color="auto"/>
                                  </w:divBdr>
                                  <w:divsChild>
                                    <w:div w:id="13263225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977556">
      <w:bodyDiv w:val="1"/>
      <w:marLeft w:val="0"/>
      <w:marRight w:val="0"/>
      <w:marTop w:val="0"/>
      <w:marBottom w:val="0"/>
      <w:divBdr>
        <w:top w:val="none" w:sz="0" w:space="0" w:color="auto"/>
        <w:left w:val="none" w:sz="0" w:space="0" w:color="auto"/>
        <w:bottom w:val="none" w:sz="0" w:space="0" w:color="auto"/>
        <w:right w:val="none" w:sz="0" w:space="0" w:color="auto"/>
      </w:divBdr>
    </w:div>
    <w:div w:id="1667130046">
      <w:bodyDiv w:val="1"/>
      <w:marLeft w:val="0"/>
      <w:marRight w:val="0"/>
      <w:marTop w:val="0"/>
      <w:marBottom w:val="0"/>
      <w:divBdr>
        <w:top w:val="none" w:sz="0" w:space="0" w:color="auto"/>
        <w:left w:val="none" w:sz="0" w:space="0" w:color="auto"/>
        <w:bottom w:val="none" w:sz="0" w:space="0" w:color="auto"/>
        <w:right w:val="none" w:sz="0" w:space="0" w:color="auto"/>
      </w:divBdr>
    </w:div>
    <w:div w:id="1679772245">
      <w:bodyDiv w:val="1"/>
      <w:marLeft w:val="0"/>
      <w:marRight w:val="0"/>
      <w:marTop w:val="0"/>
      <w:marBottom w:val="0"/>
      <w:divBdr>
        <w:top w:val="none" w:sz="0" w:space="0" w:color="auto"/>
        <w:left w:val="none" w:sz="0" w:space="0" w:color="auto"/>
        <w:bottom w:val="none" w:sz="0" w:space="0" w:color="auto"/>
        <w:right w:val="none" w:sz="0" w:space="0" w:color="auto"/>
      </w:divBdr>
      <w:divsChild>
        <w:div w:id="1854495973">
          <w:marLeft w:val="0"/>
          <w:marRight w:val="1"/>
          <w:marTop w:val="0"/>
          <w:marBottom w:val="0"/>
          <w:divBdr>
            <w:top w:val="none" w:sz="0" w:space="0" w:color="auto"/>
            <w:left w:val="none" w:sz="0" w:space="0" w:color="auto"/>
            <w:bottom w:val="none" w:sz="0" w:space="0" w:color="auto"/>
            <w:right w:val="none" w:sz="0" w:space="0" w:color="auto"/>
          </w:divBdr>
          <w:divsChild>
            <w:div w:id="1372145662">
              <w:marLeft w:val="0"/>
              <w:marRight w:val="0"/>
              <w:marTop w:val="0"/>
              <w:marBottom w:val="0"/>
              <w:divBdr>
                <w:top w:val="none" w:sz="0" w:space="0" w:color="auto"/>
                <w:left w:val="none" w:sz="0" w:space="0" w:color="auto"/>
                <w:bottom w:val="none" w:sz="0" w:space="0" w:color="auto"/>
                <w:right w:val="none" w:sz="0" w:space="0" w:color="auto"/>
              </w:divBdr>
              <w:divsChild>
                <w:div w:id="1646005317">
                  <w:marLeft w:val="0"/>
                  <w:marRight w:val="1"/>
                  <w:marTop w:val="0"/>
                  <w:marBottom w:val="0"/>
                  <w:divBdr>
                    <w:top w:val="none" w:sz="0" w:space="0" w:color="auto"/>
                    <w:left w:val="none" w:sz="0" w:space="0" w:color="auto"/>
                    <w:bottom w:val="none" w:sz="0" w:space="0" w:color="auto"/>
                    <w:right w:val="none" w:sz="0" w:space="0" w:color="auto"/>
                  </w:divBdr>
                  <w:divsChild>
                    <w:div w:id="1134719287">
                      <w:marLeft w:val="0"/>
                      <w:marRight w:val="0"/>
                      <w:marTop w:val="0"/>
                      <w:marBottom w:val="0"/>
                      <w:divBdr>
                        <w:top w:val="none" w:sz="0" w:space="0" w:color="auto"/>
                        <w:left w:val="none" w:sz="0" w:space="0" w:color="auto"/>
                        <w:bottom w:val="none" w:sz="0" w:space="0" w:color="auto"/>
                        <w:right w:val="none" w:sz="0" w:space="0" w:color="auto"/>
                      </w:divBdr>
                      <w:divsChild>
                        <w:div w:id="964239744">
                          <w:marLeft w:val="0"/>
                          <w:marRight w:val="0"/>
                          <w:marTop w:val="0"/>
                          <w:marBottom w:val="0"/>
                          <w:divBdr>
                            <w:top w:val="none" w:sz="0" w:space="0" w:color="auto"/>
                            <w:left w:val="none" w:sz="0" w:space="0" w:color="auto"/>
                            <w:bottom w:val="none" w:sz="0" w:space="0" w:color="auto"/>
                            <w:right w:val="none" w:sz="0" w:space="0" w:color="auto"/>
                          </w:divBdr>
                          <w:divsChild>
                            <w:div w:id="297221950">
                              <w:marLeft w:val="0"/>
                              <w:marRight w:val="0"/>
                              <w:marTop w:val="120"/>
                              <w:marBottom w:val="360"/>
                              <w:divBdr>
                                <w:top w:val="none" w:sz="0" w:space="0" w:color="auto"/>
                                <w:left w:val="none" w:sz="0" w:space="0" w:color="auto"/>
                                <w:bottom w:val="none" w:sz="0" w:space="0" w:color="auto"/>
                                <w:right w:val="none" w:sz="0" w:space="0" w:color="auto"/>
                              </w:divBdr>
                              <w:divsChild>
                                <w:div w:id="521092558">
                                  <w:marLeft w:val="420"/>
                                  <w:marRight w:val="0"/>
                                  <w:marTop w:val="0"/>
                                  <w:marBottom w:val="0"/>
                                  <w:divBdr>
                                    <w:top w:val="none" w:sz="0" w:space="0" w:color="auto"/>
                                    <w:left w:val="none" w:sz="0" w:space="0" w:color="auto"/>
                                    <w:bottom w:val="none" w:sz="0" w:space="0" w:color="auto"/>
                                    <w:right w:val="none" w:sz="0" w:space="0" w:color="auto"/>
                                  </w:divBdr>
                                  <w:divsChild>
                                    <w:div w:id="15802172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hs.nh.gov/dphs/documents/pease-pfc-blood-testing.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dc.gov/exposurereport/" TargetMode="External"/><Relationship Id="rId4" Type="http://schemas.microsoft.com/office/2007/relationships/stylesWithEffects" Target="stylesWithEffects.xml"/><Relationship Id="rId9" Type="http://schemas.openxmlformats.org/officeDocument/2006/relationships/hyperlink" Target="https://www.atsdr.cdc.gov/sites/pease/documents/Pease_Feasibility_Assessment_November-2017_50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0844C-F50E-4FEF-AB12-7D5BD2C1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26472</Words>
  <Characters>150892</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(CDC/ONDIEH/NCEH)</dc:creator>
  <cp:keywords/>
  <dc:description/>
  <cp:lastModifiedBy>SYSTEM</cp:lastModifiedBy>
  <cp:revision>2</cp:revision>
  <cp:lastPrinted>2018-05-31T13:26:00Z</cp:lastPrinted>
  <dcterms:created xsi:type="dcterms:W3CDTF">2018-12-20T20:36:00Z</dcterms:created>
  <dcterms:modified xsi:type="dcterms:W3CDTF">2018-12-20T20:36:00Z</dcterms:modified>
</cp:coreProperties>
</file>