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EA99" w14:textId="77777777" w:rsidR="00BA2DBE" w:rsidRPr="00E707C0" w:rsidRDefault="00BA2DBE">
      <w:pPr>
        <w:rPr>
          <w:rFonts w:ascii="Arial" w:hAnsi="Arial" w:cs="Arial"/>
        </w:rPr>
      </w:pPr>
      <w:bookmarkStart w:id="0" w:name="_Toc337198071"/>
      <w:bookmarkStart w:id="1" w:name="_Toc423335421"/>
      <w:bookmarkStart w:id="2" w:name="_GoBack"/>
      <w:bookmarkEnd w:id="2"/>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47DB5150" w14:textId="77777777" w:rsidR="009E47C4" w:rsidRDefault="009E47C4" w:rsidP="009E47C4">
      <w:pPr>
        <w:pStyle w:val="Title"/>
        <w:rPr>
          <w:rFonts w:ascii="Cambria" w:hAnsi="Cambria" w:cs="Courier New"/>
          <w:bCs/>
          <w:iCs/>
          <w:color w:val="000000"/>
          <w:sz w:val="48"/>
          <w:szCs w:val="48"/>
        </w:rPr>
      </w:pPr>
    </w:p>
    <w:p w14:paraId="60520E94" w14:textId="6D3FE905" w:rsidR="009E47C4" w:rsidRPr="009E47C4" w:rsidRDefault="009E47C4" w:rsidP="009E47C4">
      <w:pPr>
        <w:pStyle w:val="Title"/>
        <w:rPr>
          <w:rFonts w:ascii="Cambria" w:hAnsi="Cambria" w:cs="Courier New"/>
          <w:bCs/>
          <w:iCs/>
          <w:color w:val="000000"/>
          <w:sz w:val="48"/>
          <w:szCs w:val="48"/>
        </w:rPr>
      </w:pPr>
      <w:r w:rsidRPr="009E47C4">
        <w:rPr>
          <w:rFonts w:ascii="Cambria" w:hAnsi="Cambria" w:cs="Courier New"/>
          <w:bCs/>
          <w:iCs/>
          <w:color w:val="000000"/>
          <w:sz w:val="48"/>
          <w:szCs w:val="48"/>
        </w:rPr>
        <w:t xml:space="preserve">Human Health Effects of Drinking Water Exposures to Per- and Polyfluoroalkyl Substances (PFAS) at Pease International Tradeport, Portsmouth, NH </w:t>
      </w:r>
    </w:p>
    <w:p w14:paraId="47063D60" w14:textId="77777777" w:rsidR="009E47C4" w:rsidRPr="009E47C4" w:rsidRDefault="009E47C4" w:rsidP="009E47C4">
      <w:pPr>
        <w:pStyle w:val="Title"/>
        <w:rPr>
          <w:rFonts w:ascii="Cambria" w:hAnsi="Cambria" w:cs="Courier New"/>
          <w:bCs/>
          <w:iCs/>
          <w:color w:val="000000"/>
          <w:sz w:val="48"/>
          <w:szCs w:val="48"/>
        </w:rPr>
      </w:pPr>
    </w:p>
    <w:p w14:paraId="556D5E25" w14:textId="77777777" w:rsidR="009E47C4" w:rsidRPr="009E47C4" w:rsidRDefault="009E47C4" w:rsidP="009E47C4">
      <w:pPr>
        <w:pStyle w:val="Title"/>
        <w:rPr>
          <w:rFonts w:ascii="Cambria" w:hAnsi="Cambria"/>
          <w:color w:val="auto"/>
          <w:sz w:val="48"/>
          <w:szCs w:val="48"/>
        </w:rPr>
      </w:pPr>
      <w:r w:rsidRPr="009E47C4">
        <w:rPr>
          <w:rFonts w:ascii="Cambria" w:hAnsi="Cambria" w:cs="Courier New"/>
          <w:bCs/>
          <w:iCs/>
          <w:color w:val="000000"/>
          <w:sz w:val="48"/>
          <w:szCs w:val="48"/>
        </w:rPr>
        <w:t>(The Pease Study)</w:t>
      </w:r>
    </w:p>
    <w:p w14:paraId="5FC19C36" w14:textId="77777777" w:rsidR="009E47C4" w:rsidRPr="009E47C4" w:rsidRDefault="009E47C4" w:rsidP="009E47C4">
      <w:pPr>
        <w:spacing w:after="200" w:line="276" w:lineRule="auto"/>
        <w:rPr>
          <w:rFonts w:ascii="Cambria" w:hAnsi="Cambria" w:cs="Arial"/>
          <w:sz w:val="36"/>
          <w:szCs w:val="36"/>
        </w:rPr>
      </w:pPr>
    </w:p>
    <w:p w14:paraId="2192BD9A" w14:textId="77777777" w:rsidR="009E47C4" w:rsidRPr="009E47C4" w:rsidRDefault="009E47C4" w:rsidP="009E47C4">
      <w:pPr>
        <w:spacing w:after="200" w:line="276" w:lineRule="auto"/>
        <w:rPr>
          <w:rFonts w:ascii="Cambria" w:hAnsi="Cambria" w:cs="Arial"/>
          <w:sz w:val="36"/>
          <w:szCs w:val="36"/>
        </w:rPr>
      </w:pPr>
      <w:r w:rsidRPr="009E47C4">
        <w:rPr>
          <w:rFonts w:ascii="Cambria" w:hAnsi="Cambria" w:cs="Arial"/>
          <w:sz w:val="36"/>
          <w:szCs w:val="36"/>
        </w:rPr>
        <w:t>New Information Collection Request</w:t>
      </w:r>
    </w:p>
    <w:p w14:paraId="15808BB3" w14:textId="77777777" w:rsidR="009E47C4" w:rsidRPr="009E47C4" w:rsidRDefault="009E47C4" w:rsidP="009E47C4">
      <w:pPr>
        <w:pStyle w:val="Subtitle"/>
        <w:rPr>
          <w:rFonts w:ascii="Cambria" w:hAnsi="Cambria"/>
          <w:color w:val="auto"/>
        </w:rPr>
      </w:pPr>
    </w:p>
    <w:p w14:paraId="56A0F39C" w14:textId="77777777" w:rsidR="009E47C4" w:rsidRPr="00E707C0" w:rsidRDefault="009E47C4" w:rsidP="009E47C4">
      <w:pPr>
        <w:pStyle w:val="Subtitle"/>
        <w:rPr>
          <w:rFonts w:ascii="Cambria" w:hAnsi="Cambria"/>
          <w:color w:val="auto"/>
        </w:rPr>
      </w:pPr>
      <w:r w:rsidRPr="00E707C0">
        <w:rPr>
          <w:rFonts w:ascii="Cambria" w:hAnsi="Cambria"/>
          <w:color w:val="auto"/>
        </w:rPr>
        <w:t xml:space="preserve">Supporting Statement Part B – </w:t>
      </w:r>
    </w:p>
    <w:p w14:paraId="77AE88A0" w14:textId="77777777" w:rsidR="009E47C4" w:rsidRPr="00E707C0" w:rsidRDefault="009E47C4" w:rsidP="009E47C4">
      <w:pPr>
        <w:pStyle w:val="Subtitle"/>
        <w:rPr>
          <w:rFonts w:ascii="Cambria" w:hAnsi="Cambria"/>
          <w:color w:val="auto"/>
        </w:rPr>
      </w:pPr>
      <w:r w:rsidRPr="00E707C0">
        <w:rPr>
          <w:rFonts w:ascii="Cambria" w:hAnsi="Cambria"/>
          <w:color w:val="auto"/>
        </w:rPr>
        <w:t>Collections of Information Employing Statistical Methods</w:t>
      </w:r>
    </w:p>
    <w:p w14:paraId="0309D798" w14:textId="77777777" w:rsidR="009E47C4" w:rsidRPr="009E47C4" w:rsidRDefault="009E47C4" w:rsidP="009E47C4">
      <w:pPr>
        <w:rPr>
          <w:rFonts w:ascii="Cambria" w:hAnsi="Cambria"/>
        </w:rPr>
      </w:pPr>
    </w:p>
    <w:p w14:paraId="2BA0A50E" w14:textId="77777777" w:rsidR="009E47C4" w:rsidRPr="009E47C4" w:rsidRDefault="009E47C4" w:rsidP="009E47C4">
      <w:pPr>
        <w:spacing w:after="200" w:line="276" w:lineRule="auto"/>
        <w:rPr>
          <w:rFonts w:ascii="Cambria" w:hAnsi="Cambria" w:cs="Arial"/>
          <w:sz w:val="36"/>
          <w:szCs w:val="36"/>
        </w:rPr>
      </w:pPr>
    </w:p>
    <w:p w14:paraId="4CE8E4D3" w14:textId="77777777" w:rsidR="009E47C4" w:rsidRPr="009E47C4" w:rsidRDefault="009E47C4" w:rsidP="009E47C4">
      <w:pPr>
        <w:pStyle w:val="Subtitle"/>
        <w:spacing w:after="0"/>
        <w:rPr>
          <w:rFonts w:ascii="Cambria" w:hAnsi="Cambria"/>
          <w:color w:val="auto"/>
        </w:rPr>
      </w:pPr>
      <w:r w:rsidRPr="009E47C4">
        <w:rPr>
          <w:rFonts w:ascii="Cambria" w:hAnsi="Cambria"/>
          <w:color w:val="auto"/>
        </w:rPr>
        <w:t xml:space="preserve">Principal Investigator: Marian Pavuk, MD, PhD </w:t>
      </w:r>
    </w:p>
    <w:p w14:paraId="1D9F6239" w14:textId="77777777" w:rsidR="009E47C4" w:rsidRPr="009E47C4" w:rsidRDefault="009E47C4" w:rsidP="009E47C4">
      <w:pPr>
        <w:pStyle w:val="Subtitle"/>
        <w:spacing w:after="0"/>
        <w:rPr>
          <w:rFonts w:ascii="Cambria" w:hAnsi="Cambria"/>
          <w:color w:val="auto"/>
        </w:rPr>
      </w:pPr>
      <w:r w:rsidRPr="009E47C4">
        <w:rPr>
          <w:rFonts w:ascii="Cambria" w:hAnsi="Cambria"/>
          <w:color w:val="auto"/>
        </w:rPr>
        <w:t>Title: Senior Epidemiologist</w:t>
      </w:r>
    </w:p>
    <w:p w14:paraId="0687E9F2" w14:textId="77777777" w:rsidR="009E47C4" w:rsidRPr="009E47C4" w:rsidRDefault="009E47C4" w:rsidP="009E47C4">
      <w:pPr>
        <w:pStyle w:val="Subtitle"/>
        <w:spacing w:after="0"/>
        <w:ind w:firstLine="720"/>
        <w:rPr>
          <w:rFonts w:ascii="Cambria" w:hAnsi="Cambria"/>
          <w:color w:val="auto"/>
        </w:rPr>
      </w:pPr>
      <w:r w:rsidRPr="009E47C4">
        <w:rPr>
          <w:rFonts w:ascii="Cambria" w:hAnsi="Cambria"/>
          <w:color w:val="auto"/>
        </w:rPr>
        <w:t>ATSDR Division of Toxicology and Human Health Sciences</w:t>
      </w:r>
    </w:p>
    <w:p w14:paraId="27269619" w14:textId="77777777" w:rsidR="009E47C4" w:rsidRPr="009E47C4" w:rsidRDefault="009E47C4" w:rsidP="009E47C4">
      <w:pPr>
        <w:pStyle w:val="Subtitle"/>
        <w:spacing w:after="0"/>
        <w:rPr>
          <w:rFonts w:ascii="Cambria" w:hAnsi="Cambria"/>
          <w:color w:val="auto"/>
        </w:rPr>
      </w:pPr>
      <w:r w:rsidRPr="009E47C4">
        <w:rPr>
          <w:rFonts w:ascii="Cambria" w:hAnsi="Cambria"/>
          <w:color w:val="auto"/>
        </w:rPr>
        <w:t>Email: fsh8@cdc.gov</w:t>
      </w:r>
    </w:p>
    <w:p w14:paraId="0E5904DE" w14:textId="77777777" w:rsidR="009E47C4" w:rsidRPr="009E47C4" w:rsidRDefault="009E47C4" w:rsidP="009E47C4">
      <w:pPr>
        <w:pStyle w:val="Subtitle"/>
        <w:spacing w:after="0"/>
        <w:rPr>
          <w:rFonts w:ascii="Cambria" w:hAnsi="Cambria"/>
          <w:color w:val="auto"/>
        </w:rPr>
      </w:pPr>
      <w:r w:rsidRPr="009E47C4">
        <w:rPr>
          <w:rFonts w:ascii="Cambria" w:hAnsi="Cambria"/>
          <w:color w:val="auto"/>
        </w:rPr>
        <w:t>Phone: 770-488-3671</w:t>
      </w:r>
    </w:p>
    <w:p w14:paraId="081C6C94" w14:textId="77777777" w:rsidR="009E47C4" w:rsidRPr="009E47C4" w:rsidRDefault="009E47C4" w:rsidP="009E47C4">
      <w:pPr>
        <w:pStyle w:val="Subtitle"/>
        <w:spacing w:after="0"/>
        <w:rPr>
          <w:rFonts w:ascii="Cambria" w:hAnsi="Cambria"/>
          <w:color w:val="auto"/>
        </w:rPr>
      </w:pPr>
      <w:r w:rsidRPr="009E47C4">
        <w:rPr>
          <w:rFonts w:ascii="Cambria" w:hAnsi="Cambria"/>
          <w:color w:val="auto"/>
        </w:rPr>
        <w:t xml:space="preserve">Fax: </w:t>
      </w:r>
      <w:r w:rsidRPr="009E47C4">
        <w:rPr>
          <w:rFonts w:ascii="Cambria" w:hAnsi="Cambria" w:cs="Tahoma"/>
          <w:color w:val="333333"/>
        </w:rPr>
        <w:t>770-488-1541</w:t>
      </w:r>
    </w:p>
    <w:p w14:paraId="457E1885" w14:textId="77777777" w:rsidR="009E47C4" w:rsidRPr="009E47C4" w:rsidRDefault="009E47C4" w:rsidP="009E47C4">
      <w:pPr>
        <w:pStyle w:val="Subtitle"/>
        <w:spacing w:after="0"/>
        <w:rPr>
          <w:rFonts w:ascii="Cambria" w:hAnsi="Cambria"/>
          <w:color w:val="auto"/>
        </w:rPr>
      </w:pPr>
    </w:p>
    <w:p w14:paraId="0361988D" w14:textId="47D42786" w:rsidR="00BA2DBE" w:rsidRPr="009E47C4" w:rsidRDefault="000267F6" w:rsidP="009E47C4">
      <w:pPr>
        <w:rPr>
          <w:rFonts w:ascii="Cambria" w:hAnsi="Cambria" w:cs="Arial"/>
          <w:sz w:val="30"/>
          <w:szCs w:val="30"/>
        </w:rPr>
      </w:pPr>
      <w:r>
        <w:rPr>
          <w:rFonts w:ascii="Cambria" w:hAnsi="Cambria"/>
          <w:sz w:val="30"/>
          <w:szCs w:val="30"/>
        </w:rPr>
        <w:t xml:space="preserve">Date: </w:t>
      </w:r>
      <w:r w:rsidR="009923BD">
        <w:rPr>
          <w:rFonts w:ascii="Cambria" w:hAnsi="Cambria"/>
          <w:sz w:val="30"/>
          <w:szCs w:val="30"/>
        </w:rPr>
        <w:t xml:space="preserve">December </w:t>
      </w:r>
      <w:r w:rsidR="006C078F">
        <w:rPr>
          <w:rFonts w:ascii="Cambria" w:hAnsi="Cambria"/>
          <w:sz w:val="30"/>
          <w:szCs w:val="30"/>
        </w:rPr>
        <w:t>11</w:t>
      </w:r>
      <w:r w:rsidR="009E47C4" w:rsidRPr="009E47C4">
        <w:rPr>
          <w:rFonts w:ascii="Cambria" w:hAnsi="Cambria"/>
          <w:sz w:val="30"/>
          <w:szCs w:val="30"/>
        </w:rPr>
        <w:t>, 2018</w:t>
      </w:r>
    </w:p>
    <w:p w14:paraId="52261623" w14:textId="77777777" w:rsidR="00BA2DBE" w:rsidRPr="00E707C0" w:rsidRDefault="00BA2DBE">
      <w:pPr>
        <w:rPr>
          <w:rFonts w:ascii="Arial" w:hAnsi="Arial" w:cs="Arial"/>
        </w:rPr>
      </w:pP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07B38144" w14:textId="3A8DF22D" w:rsidR="0007292F" w:rsidRPr="0007292F" w:rsidRDefault="004B3CEA">
          <w:pPr>
            <w:pStyle w:val="TOC1"/>
            <w:tabs>
              <w:tab w:val="left" w:pos="630"/>
              <w:tab w:val="right" w:leader="dot" w:pos="9350"/>
            </w:tabs>
            <w:rPr>
              <w:rFonts w:cstheme="minorHAnsi"/>
              <w:noProof/>
              <w:sz w:val="22"/>
              <w:szCs w:val="22"/>
            </w:rPr>
          </w:pPr>
          <w:r w:rsidRPr="0007292F">
            <w:rPr>
              <w:rFonts w:cstheme="minorHAnsi"/>
            </w:rPr>
            <w:fldChar w:fldCharType="begin"/>
          </w:r>
          <w:r w:rsidRPr="0007292F">
            <w:rPr>
              <w:rFonts w:cstheme="minorHAnsi"/>
            </w:rPr>
            <w:instrText xml:space="preserve"> TOC \o "1-5" \h \z \u </w:instrText>
          </w:r>
          <w:r w:rsidRPr="0007292F">
            <w:rPr>
              <w:rFonts w:cstheme="minorHAnsi"/>
            </w:rPr>
            <w:fldChar w:fldCharType="separate"/>
          </w:r>
          <w:hyperlink w:anchor="_Toc532227530" w:history="1">
            <w:r w:rsidR="0007292F" w:rsidRPr="0007292F">
              <w:rPr>
                <w:rStyle w:val="Hyperlink"/>
                <w:rFonts w:cstheme="minorHAnsi"/>
                <w:noProof/>
              </w:rPr>
              <w:t>B.1.</w:t>
            </w:r>
            <w:r w:rsidR="0007292F" w:rsidRPr="0007292F">
              <w:rPr>
                <w:rFonts w:cstheme="minorHAnsi"/>
                <w:noProof/>
                <w:sz w:val="22"/>
                <w:szCs w:val="22"/>
              </w:rPr>
              <w:tab/>
            </w:r>
            <w:r w:rsidR="0007292F" w:rsidRPr="0007292F">
              <w:rPr>
                <w:rStyle w:val="Hyperlink"/>
                <w:rFonts w:cstheme="minorHAnsi"/>
                <w:noProof/>
              </w:rPr>
              <w:t>Respondent Universe and Sampling Methods</w:t>
            </w:r>
            <w:r w:rsidR="0007292F" w:rsidRPr="0007292F">
              <w:rPr>
                <w:rFonts w:cstheme="minorHAnsi"/>
                <w:noProof/>
                <w:webHidden/>
              </w:rPr>
              <w:tab/>
            </w:r>
            <w:r w:rsidR="0007292F" w:rsidRPr="0007292F">
              <w:rPr>
                <w:rFonts w:cstheme="minorHAnsi"/>
                <w:noProof/>
                <w:webHidden/>
              </w:rPr>
              <w:fldChar w:fldCharType="begin"/>
            </w:r>
            <w:r w:rsidR="0007292F" w:rsidRPr="0007292F">
              <w:rPr>
                <w:rFonts w:cstheme="minorHAnsi"/>
                <w:noProof/>
                <w:webHidden/>
              </w:rPr>
              <w:instrText xml:space="preserve"> PAGEREF _Toc532227530 \h </w:instrText>
            </w:r>
            <w:r w:rsidR="0007292F" w:rsidRPr="0007292F">
              <w:rPr>
                <w:rFonts w:cstheme="minorHAnsi"/>
                <w:noProof/>
                <w:webHidden/>
              </w:rPr>
            </w:r>
            <w:r w:rsidR="0007292F" w:rsidRPr="0007292F">
              <w:rPr>
                <w:rFonts w:cstheme="minorHAnsi"/>
                <w:noProof/>
                <w:webHidden/>
              </w:rPr>
              <w:fldChar w:fldCharType="separate"/>
            </w:r>
            <w:r w:rsidR="0007292F" w:rsidRPr="0007292F">
              <w:rPr>
                <w:rFonts w:cstheme="minorHAnsi"/>
                <w:noProof/>
                <w:webHidden/>
              </w:rPr>
              <w:t>3</w:t>
            </w:r>
            <w:r w:rsidR="0007292F" w:rsidRPr="0007292F">
              <w:rPr>
                <w:rFonts w:cstheme="minorHAnsi"/>
                <w:noProof/>
                <w:webHidden/>
              </w:rPr>
              <w:fldChar w:fldCharType="end"/>
            </w:r>
          </w:hyperlink>
        </w:p>
        <w:p w14:paraId="0C72C6CD" w14:textId="6E3FAAC4" w:rsidR="0007292F" w:rsidRPr="0007292F" w:rsidRDefault="001228CE">
          <w:pPr>
            <w:pStyle w:val="TOC1"/>
            <w:tabs>
              <w:tab w:val="left" w:pos="630"/>
              <w:tab w:val="right" w:leader="dot" w:pos="9350"/>
            </w:tabs>
            <w:rPr>
              <w:rFonts w:cstheme="minorHAnsi"/>
              <w:noProof/>
              <w:sz w:val="22"/>
              <w:szCs w:val="22"/>
            </w:rPr>
          </w:pPr>
          <w:hyperlink w:anchor="_Toc532227531" w:history="1">
            <w:r w:rsidR="0007292F" w:rsidRPr="0007292F">
              <w:rPr>
                <w:rStyle w:val="Hyperlink"/>
                <w:rFonts w:cstheme="minorHAnsi"/>
                <w:noProof/>
              </w:rPr>
              <w:t>B.2.</w:t>
            </w:r>
            <w:r w:rsidR="0007292F" w:rsidRPr="0007292F">
              <w:rPr>
                <w:rFonts w:cstheme="minorHAnsi"/>
                <w:noProof/>
                <w:sz w:val="22"/>
                <w:szCs w:val="22"/>
              </w:rPr>
              <w:tab/>
            </w:r>
            <w:r w:rsidR="0007292F" w:rsidRPr="0007292F">
              <w:rPr>
                <w:rStyle w:val="Hyperlink"/>
                <w:rFonts w:cstheme="minorHAnsi"/>
                <w:noProof/>
              </w:rPr>
              <w:t>Procedures for the Collection of Information</w:t>
            </w:r>
            <w:r w:rsidR="0007292F" w:rsidRPr="0007292F">
              <w:rPr>
                <w:rFonts w:cstheme="minorHAnsi"/>
                <w:noProof/>
                <w:webHidden/>
              </w:rPr>
              <w:tab/>
            </w:r>
            <w:r w:rsidR="0007292F" w:rsidRPr="0007292F">
              <w:rPr>
                <w:rFonts w:cstheme="minorHAnsi"/>
                <w:noProof/>
                <w:webHidden/>
              </w:rPr>
              <w:fldChar w:fldCharType="begin"/>
            </w:r>
            <w:r w:rsidR="0007292F" w:rsidRPr="0007292F">
              <w:rPr>
                <w:rFonts w:cstheme="minorHAnsi"/>
                <w:noProof/>
                <w:webHidden/>
              </w:rPr>
              <w:instrText xml:space="preserve"> PAGEREF _Toc532227531 \h </w:instrText>
            </w:r>
            <w:r w:rsidR="0007292F" w:rsidRPr="0007292F">
              <w:rPr>
                <w:rFonts w:cstheme="minorHAnsi"/>
                <w:noProof/>
                <w:webHidden/>
              </w:rPr>
            </w:r>
            <w:r w:rsidR="0007292F" w:rsidRPr="0007292F">
              <w:rPr>
                <w:rFonts w:cstheme="minorHAnsi"/>
                <w:noProof/>
                <w:webHidden/>
              </w:rPr>
              <w:fldChar w:fldCharType="separate"/>
            </w:r>
            <w:r w:rsidR="0007292F" w:rsidRPr="0007292F">
              <w:rPr>
                <w:rFonts w:cstheme="minorHAnsi"/>
                <w:noProof/>
                <w:webHidden/>
              </w:rPr>
              <w:t>5</w:t>
            </w:r>
            <w:r w:rsidR="0007292F" w:rsidRPr="0007292F">
              <w:rPr>
                <w:rFonts w:cstheme="minorHAnsi"/>
                <w:noProof/>
                <w:webHidden/>
              </w:rPr>
              <w:fldChar w:fldCharType="end"/>
            </w:r>
          </w:hyperlink>
        </w:p>
        <w:p w14:paraId="2A4169AF" w14:textId="35AACE12" w:rsidR="0007292F" w:rsidRPr="0007292F" w:rsidRDefault="001228CE">
          <w:pPr>
            <w:pStyle w:val="TOC1"/>
            <w:tabs>
              <w:tab w:val="left" w:pos="630"/>
              <w:tab w:val="right" w:leader="dot" w:pos="9350"/>
            </w:tabs>
            <w:rPr>
              <w:rFonts w:cstheme="minorHAnsi"/>
              <w:noProof/>
              <w:sz w:val="22"/>
              <w:szCs w:val="22"/>
            </w:rPr>
          </w:pPr>
          <w:hyperlink w:anchor="_Toc532227532" w:history="1">
            <w:r w:rsidR="0007292F" w:rsidRPr="0007292F">
              <w:rPr>
                <w:rStyle w:val="Hyperlink"/>
                <w:rFonts w:cstheme="minorHAnsi"/>
                <w:noProof/>
              </w:rPr>
              <w:t>B.3.</w:t>
            </w:r>
            <w:r w:rsidR="0007292F" w:rsidRPr="0007292F">
              <w:rPr>
                <w:rFonts w:cstheme="minorHAnsi"/>
                <w:noProof/>
                <w:sz w:val="22"/>
                <w:szCs w:val="22"/>
              </w:rPr>
              <w:tab/>
            </w:r>
            <w:r w:rsidR="0007292F" w:rsidRPr="0007292F">
              <w:rPr>
                <w:rStyle w:val="Hyperlink"/>
                <w:rFonts w:cstheme="minorHAnsi"/>
                <w:noProof/>
              </w:rPr>
              <w:t>Methods to Maximize Response Rates and Deal with Non-response</w:t>
            </w:r>
            <w:r w:rsidR="0007292F" w:rsidRPr="0007292F">
              <w:rPr>
                <w:rFonts w:cstheme="minorHAnsi"/>
                <w:noProof/>
                <w:webHidden/>
              </w:rPr>
              <w:tab/>
            </w:r>
            <w:r w:rsidR="0007292F" w:rsidRPr="0007292F">
              <w:rPr>
                <w:rFonts w:cstheme="minorHAnsi"/>
                <w:noProof/>
                <w:webHidden/>
              </w:rPr>
              <w:fldChar w:fldCharType="begin"/>
            </w:r>
            <w:r w:rsidR="0007292F" w:rsidRPr="0007292F">
              <w:rPr>
                <w:rFonts w:cstheme="minorHAnsi"/>
                <w:noProof/>
                <w:webHidden/>
              </w:rPr>
              <w:instrText xml:space="preserve"> PAGEREF _Toc532227532 \h </w:instrText>
            </w:r>
            <w:r w:rsidR="0007292F" w:rsidRPr="0007292F">
              <w:rPr>
                <w:rFonts w:cstheme="minorHAnsi"/>
                <w:noProof/>
                <w:webHidden/>
              </w:rPr>
            </w:r>
            <w:r w:rsidR="0007292F" w:rsidRPr="0007292F">
              <w:rPr>
                <w:rFonts w:cstheme="minorHAnsi"/>
                <w:noProof/>
                <w:webHidden/>
              </w:rPr>
              <w:fldChar w:fldCharType="separate"/>
            </w:r>
            <w:r w:rsidR="0007292F" w:rsidRPr="0007292F">
              <w:rPr>
                <w:rFonts w:cstheme="minorHAnsi"/>
                <w:noProof/>
                <w:webHidden/>
              </w:rPr>
              <w:t>6</w:t>
            </w:r>
            <w:r w:rsidR="0007292F" w:rsidRPr="0007292F">
              <w:rPr>
                <w:rFonts w:cstheme="minorHAnsi"/>
                <w:noProof/>
                <w:webHidden/>
              </w:rPr>
              <w:fldChar w:fldCharType="end"/>
            </w:r>
          </w:hyperlink>
        </w:p>
        <w:p w14:paraId="2A8035CB" w14:textId="43133D1B" w:rsidR="0007292F" w:rsidRPr="0007292F" w:rsidRDefault="001228CE">
          <w:pPr>
            <w:pStyle w:val="TOC1"/>
            <w:tabs>
              <w:tab w:val="left" w:pos="630"/>
              <w:tab w:val="right" w:leader="dot" w:pos="9350"/>
            </w:tabs>
            <w:rPr>
              <w:rFonts w:cstheme="minorHAnsi"/>
              <w:noProof/>
              <w:sz w:val="22"/>
              <w:szCs w:val="22"/>
            </w:rPr>
          </w:pPr>
          <w:hyperlink w:anchor="_Toc532227533" w:history="1">
            <w:r w:rsidR="0007292F" w:rsidRPr="0007292F">
              <w:rPr>
                <w:rStyle w:val="Hyperlink"/>
                <w:rFonts w:cstheme="minorHAnsi"/>
                <w:noProof/>
              </w:rPr>
              <w:t>B.4.</w:t>
            </w:r>
            <w:r w:rsidR="0007292F" w:rsidRPr="0007292F">
              <w:rPr>
                <w:rFonts w:cstheme="minorHAnsi"/>
                <w:noProof/>
                <w:sz w:val="22"/>
                <w:szCs w:val="22"/>
              </w:rPr>
              <w:tab/>
            </w:r>
            <w:r w:rsidR="0007292F" w:rsidRPr="0007292F">
              <w:rPr>
                <w:rStyle w:val="Hyperlink"/>
                <w:rFonts w:cstheme="minorHAnsi"/>
                <w:noProof/>
              </w:rPr>
              <w:t>Test of Procedures or Methods to be Undertaken</w:t>
            </w:r>
            <w:r w:rsidR="0007292F" w:rsidRPr="0007292F">
              <w:rPr>
                <w:rFonts w:cstheme="minorHAnsi"/>
                <w:noProof/>
                <w:webHidden/>
              </w:rPr>
              <w:tab/>
            </w:r>
            <w:r w:rsidR="0007292F" w:rsidRPr="0007292F">
              <w:rPr>
                <w:rFonts w:cstheme="minorHAnsi"/>
                <w:noProof/>
                <w:webHidden/>
              </w:rPr>
              <w:fldChar w:fldCharType="begin"/>
            </w:r>
            <w:r w:rsidR="0007292F" w:rsidRPr="0007292F">
              <w:rPr>
                <w:rFonts w:cstheme="minorHAnsi"/>
                <w:noProof/>
                <w:webHidden/>
              </w:rPr>
              <w:instrText xml:space="preserve"> PAGEREF _Toc532227533 \h </w:instrText>
            </w:r>
            <w:r w:rsidR="0007292F" w:rsidRPr="0007292F">
              <w:rPr>
                <w:rFonts w:cstheme="minorHAnsi"/>
                <w:noProof/>
                <w:webHidden/>
              </w:rPr>
            </w:r>
            <w:r w:rsidR="0007292F" w:rsidRPr="0007292F">
              <w:rPr>
                <w:rFonts w:cstheme="minorHAnsi"/>
                <w:noProof/>
                <w:webHidden/>
              </w:rPr>
              <w:fldChar w:fldCharType="separate"/>
            </w:r>
            <w:r w:rsidR="0007292F" w:rsidRPr="0007292F">
              <w:rPr>
                <w:rFonts w:cstheme="minorHAnsi"/>
                <w:noProof/>
                <w:webHidden/>
              </w:rPr>
              <w:t>7</w:t>
            </w:r>
            <w:r w:rsidR="0007292F" w:rsidRPr="0007292F">
              <w:rPr>
                <w:rFonts w:cstheme="minorHAnsi"/>
                <w:noProof/>
                <w:webHidden/>
              </w:rPr>
              <w:fldChar w:fldCharType="end"/>
            </w:r>
          </w:hyperlink>
        </w:p>
        <w:p w14:paraId="139C70B6" w14:textId="3AC1B5B9" w:rsidR="0007292F" w:rsidRPr="0007292F" w:rsidRDefault="001228CE">
          <w:pPr>
            <w:pStyle w:val="TOC1"/>
            <w:tabs>
              <w:tab w:val="left" w:pos="630"/>
              <w:tab w:val="right" w:leader="dot" w:pos="9350"/>
            </w:tabs>
            <w:rPr>
              <w:rFonts w:cstheme="minorHAnsi"/>
              <w:noProof/>
              <w:sz w:val="22"/>
              <w:szCs w:val="22"/>
            </w:rPr>
          </w:pPr>
          <w:hyperlink w:anchor="_Toc532227534" w:history="1">
            <w:r w:rsidR="0007292F" w:rsidRPr="0007292F">
              <w:rPr>
                <w:rStyle w:val="Hyperlink"/>
                <w:rFonts w:cstheme="minorHAnsi"/>
                <w:noProof/>
              </w:rPr>
              <w:t>B.5.</w:t>
            </w:r>
            <w:r w:rsidR="0007292F" w:rsidRPr="0007292F">
              <w:rPr>
                <w:rFonts w:cstheme="minorHAnsi"/>
                <w:noProof/>
                <w:sz w:val="22"/>
                <w:szCs w:val="22"/>
              </w:rPr>
              <w:tab/>
            </w:r>
            <w:r w:rsidR="0007292F" w:rsidRPr="0007292F">
              <w:rPr>
                <w:rStyle w:val="Hyperlink"/>
                <w:rFonts w:cstheme="minorHAnsi"/>
                <w:noProof/>
              </w:rPr>
              <w:t>Individuals Consulted on Statistical Aspects and Individuals Collecting and/or Analyzing Data</w:t>
            </w:r>
            <w:r w:rsidR="0007292F" w:rsidRPr="0007292F">
              <w:rPr>
                <w:rFonts w:cstheme="minorHAnsi"/>
                <w:noProof/>
                <w:webHidden/>
              </w:rPr>
              <w:tab/>
            </w:r>
            <w:r w:rsidR="0007292F" w:rsidRPr="0007292F">
              <w:rPr>
                <w:rFonts w:cstheme="minorHAnsi"/>
                <w:noProof/>
                <w:webHidden/>
              </w:rPr>
              <w:fldChar w:fldCharType="begin"/>
            </w:r>
            <w:r w:rsidR="0007292F" w:rsidRPr="0007292F">
              <w:rPr>
                <w:rFonts w:cstheme="minorHAnsi"/>
                <w:noProof/>
                <w:webHidden/>
              </w:rPr>
              <w:instrText xml:space="preserve"> PAGEREF _Toc532227534 \h </w:instrText>
            </w:r>
            <w:r w:rsidR="0007292F" w:rsidRPr="0007292F">
              <w:rPr>
                <w:rFonts w:cstheme="minorHAnsi"/>
                <w:noProof/>
                <w:webHidden/>
              </w:rPr>
            </w:r>
            <w:r w:rsidR="0007292F" w:rsidRPr="0007292F">
              <w:rPr>
                <w:rFonts w:cstheme="minorHAnsi"/>
                <w:noProof/>
                <w:webHidden/>
              </w:rPr>
              <w:fldChar w:fldCharType="separate"/>
            </w:r>
            <w:r w:rsidR="0007292F" w:rsidRPr="0007292F">
              <w:rPr>
                <w:rFonts w:cstheme="minorHAnsi"/>
                <w:noProof/>
                <w:webHidden/>
              </w:rPr>
              <w:t>7</w:t>
            </w:r>
            <w:r w:rsidR="0007292F" w:rsidRPr="0007292F">
              <w:rPr>
                <w:rFonts w:cstheme="minorHAnsi"/>
                <w:noProof/>
                <w:webHidden/>
              </w:rPr>
              <w:fldChar w:fldCharType="end"/>
            </w:r>
          </w:hyperlink>
        </w:p>
        <w:p w14:paraId="739C9FED" w14:textId="0FC3F49A" w:rsidR="0007292F" w:rsidRPr="0007292F" w:rsidRDefault="001228CE">
          <w:pPr>
            <w:pStyle w:val="TOC1"/>
            <w:tabs>
              <w:tab w:val="right" w:leader="dot" w:pos="9350"/>
            </w:tabs>
            <w:rPr>
              <w:rFonts w:cstheme="minorHAnsi"/>
              <w:noProof/>
              <w:sz w:val="22"/>
              <w:szCs w:val="22"/>
            </w:rPr>
          </w:pPr>
          <w:hyperlink w:anchor="_Toc532227535" w:history="1">
            <w:r w:rsidR="0007292F" w:rsidRPr="0007292F">
              <w:rPr>
                <w:rStyle w:val="Hyperlink"/>
                <w:rFonts w:cstheme="minorHAnsi"/>
                <w:noProof/>
              </w:rPr>
              <w:t>References</w:t>
            </w:r>
            <w:r w:rsidR="0007292F" w:rsidRPr="0007292F">
              <w:rPr>
                <w:rFonts w:cstheme="minorHAnsi"/>
                <w:noProof/>
                <w:webHidden/>
              </w:rPr>
              <w:tab/>
            </w:r>
            <w:r w:rsidR="0007292F" w:rsidRPr="0007292F">
              <w:rPr>
                <w:rFonts w:cstheme="minorHAnsi"/>
                <w:noProof/>
                <w:webHidden/>
              </w:rPr>
              <w:fldChar w:fldCharType="begin"/>
            </w:r>
            <w:r w:rsidR="0007292F" w:rsidRPr="0007292F">
              <w:rPr>
                <w:rFonts w:cstheme="minorHAnsi"/>
                <w:noProof/>
                <w:webHidden/>
              </w:rPr>
              <w:instrText xml:space="preserve"> PAGEREF _Toc532227535 \h </w:instrText>
            </w:r>
            <w:r w:rsidR="0007292F" w:rsidRPr="0007292F">
              <w:rPr>
                <w:rFonts w:cstheme="minorHAnsi"/>
                <w:noProof/>
                <w:webHidden/>
              </w:rPr>
            </w:r>
            <w:r w:rsidR="0007292F" w:rsidRPr="0007292F">
              <w:rPr>
                <w:rFonts w:cstheme="minorHAnsi"/>
                <w:noProof/>
                <w:webHidden/>
              </w:rPr>
              <w:fldChar w:fldCharType="separate"/>
            </w:r>
            <w:r w:rsidR="0007292F" w:rsidRPr="0007292F">
              <w:rPr>
                <w:rFonts w:cstheme="minorHAnsi"/>
                <w:noProof/>
                <w:webHidden/>
              </w:rPr>
              <w:t>8</w:t>
            </w:r>
            <w:r w:rsidR="0007292F" w:rsidRPr="0007292F">
              <w:rPr>
                <w:rFonts w:cstheme="minorHAnsi"/>
                <w:noProof/>
                <w:webHidden/>
              </w:rPr>
              <w:fldChar w:fldCharType="end"/>
            </w:r>
          </w:hyperlink>
        </w:p>
        <w:p w14:paraId="5AB02E93" w14:textId="5C363235" w:rsidR="0007292F" w:rsidRPr="0007292F" w:rsidRDefault="001228CE">
          <w:pPr>
            <w:pStyle w:val="TOC1"/>
            <w:tabs>
              <w:tab w:val="right" w:leader="dot" w:pos="9350"/>
            </w:tabs>
            <w:rPr>
              <w:rFonts w:cstheme="minorHAnsi"/>
              <w:noProof/>
              <w:sz w:val="22"/>
              <w:szCs w:val="22"/>
            </w:rPr>
          </w:pPr>
          <w:hyperlink w:anchor="_Toc532227536" w:history="1">
            <w:r w:rsidR="0007292F" w:rsidRPr="0007292F">
              <w:rPr>
                <w:rStyle w:val="Hyperlink"/>
                <w:rFonts w:cstheme="minorHAnsi"/>
                <w:noProof/>
              </w:rPr>
              <w:t>List of Appendices and Protocol Attachments</w:t>
            </w:r>
            <w:r w:rsidR="0007292F" w:rsidRPr="0007292F">
              <w:rPr>
                <w:rFonts w:cstheme="minorHAnsi"/>
                <w:noProof/>
                <w:webHidden/>
              </w:rPr>
              <w:tab/>
            </w:r>
            <w:r w:rsidR="0007292F" w:rsidRPr="0007292F">
              <w:rPr>
                <w:rFonts w:cstheme="minorHAnsi"/>
                <w:noProof/>
                <w:webHidden/>
              </w:rPr>
              <w:fldChar w:fldCharType="begin"/>
            </w:r>
            <w:r w:rsidR="0007292F" w:rsidRPr="0007292F">
              <w:rPr>
                <w:rFonts w:cstheme="minorHAnsi"/>
                <w:noProof/>
                <w:webHidden/>
              </w:rPr>
              <w:instrText xml:space="preserve"> PAGEREF _Toc532227536 \h </w:instrText>
            </w:r>
            <w:r w:rsidR="0007292F" w:rsidRPr="0007292F">
              <w:rPr>
                <w:rFonts w:cstheme="minorHAnsi"/>
                <w:noProof/>
                <w:webHidden/>
              </w:rPr>
            </w:r>
            <w:r w:rsidR="0007292F" w:rsidRPr="0007292F">
              <w:rPr>
                <w:rFonts w:cstheme="minorHAnsi"/>
                <w:noProof/>
                <w:webHidden/>
              </w:rPr>
              <w:fldChar w:fldCharType="separate"/>
            </w:r>
            <w:r w:rsidR="0007292F" w:rsidRPr="0007292F">
              <w:rPr>
                <w:rFonts w:cstheme="minorHAnsi"/>
                <w:noProof/>
                <w:webHidden/>
              </w:rPr>
              <w:t>9</w:t>
            </w:r>
            <w:r w:rsidR="0007292F" w:rsidRPr="0007292F">
              <w:rPr>
                <w:rFonts w:cstheme="minorHAnsi"/>
                <w:noProof/>
                <w:webHidden/>
              </w:rPr>
              <w:fldChar w:fldCharType="end"/>
            </w:r>
          </w:hyperlink>
        </w:p>
        <w:p w14:paraId="25E671BB" w14:textId="4A17A220" w:rsidR="00D33AE3" w:rsidRPr="00E707C0" w:rsidRDefault="004B3CEA">
          <w:r w:rsidRPr="0007292F">
            <w:rPr>
              <w:rFonts w:cstheme="minorHAnsi"/>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0CA00EEF"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3" w:name="_Toc532227530"/>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901860F" w14:textId="77777777" w:rsidR="00EA6E06" w:rsidRPr="00E707C0" w:rsidRDefault="00EA6E06" w:rsidP="00EA6E06">
      <w:pPr>
        <w:spacing w:line="240" w:lineRule="auto"/>
        <w:rPr>
          <w:sz w:val="24"/>
          <w:szCs w:val="24"/>
        </w:rPr>
      </w:pPr>
    </w:p>
    <w:p w14:paraId="4DCC3097" w14:textId="77777777" w:rsidR="00E377A0" w:rsidRDefault="00E377A0" w:rsidP="00A97246">
      <w:pPr>
        <w:autoSpaceDE w:val="0"/>
        <w:autoSpaceDN w:val="0"/>
        <w:adjustRightInd w:val="0"/>
        <w:spacing w:line="276" w:lineRule="auto"/>
        <w:rPr>
          <w:sz w:val="24"/>
          <w:szCs w:val="24"/>
        </w:rPr>
      </w:pPr>
      <w:r>
        <w:rPr>
          <w:sz w:val="24"/>
          <w:szCs w:val="24"/>
        </w:rPr>
        <w:t xml:space="preserve">Statistical methods will not be used to recruit participants for the Pease Study. </w:t>
      </w:r>
    </w:p>
    <w:p w14:paraId="04807851" w14:textId="433B3322" w:rsidR="00556567" w:rsidRDefault="00A97246" w:rsidP="00A97246">
      <w:pPr>
        <w:autoSpaceDE w:val="0"/>
        <w:autoSpaceDN w:val="0"/>
        <w:adjustRightInd w:val="0"/>
        <w:spacing w:line="276" w:lineRule="auto"/>
        <w:rPr>
          <w:sz w:val="24"/>
          <w:szCs w:val="24"/>
        </w:rPr>
      </w:pPr>
      <w:r w:rsidRPr="00A97246">
        <w:rPr>
          <w:sz w:val="24"/>
          <w:szCs w:val="24"/>
        </w:rPr>
        <w:t xml:space="preserve">The respondent universe and </w:t>
      </w:r>
      <w:r w:rsidR="00E377A0">
        <w:rPr>
          <w:sz w:val="24"/>
          <w:szCs w:val="24"/>
        </w:rPr>
        <w:t xml:space="preserve">the rationale for using convenience </w:t>
      </w:r>
      <w:r w:rsidRPr="00A97246">
        <w:rPr>
          <w:sz w:val="24"/>
          <w:szCs w:val="24"/>
        </w:rPr>
        <w:t xml:space="preserve">sampling </w:t>
      </w:r>
      <w:r w:rsidR="00CE4431">
        <w:rPr>
          <w:sz w:val="24"/>
          <w:szCs w:val="24"/>
        </w:rPr>
        <w:t>methods are described</w:t>
      </w:r>
      <w:r w:rsidRPr="00A97246">
        <w:rPr>
          <w:sz w:val="24"/>
          <w:szCs w:val="24"/>
        </w:rPr>
        <w:t xml:space="preserve"> in the </w:t>
      </w:r>
      <w:r w:rsidRPr="00A97246">
        <w:rPr>
          <w:b/>
          <w:sz w:val="24"/>
          <w:szCs w:val="24"/>
        </w:rPr>
        <w:t>Pease Study Protocol</w:t>
      </w:r>
      <w:r w:rsidRPr="00A97246">
        <w:rPr>
          <w:sz w:val="24"/>
          <w:szCs w:val="24"/>
        </w:rPr>
        <w:t xml:space="preserve">. </w:t>
      </w:r>
      <w:r w:rsidR="00C46F6C" w:rsidRPr="003A551F">
        <w:rPr>
          <w:rFonts w:cstheme="minorHAnsi"/>
          <w:sz w:val="24"/>
          <w:szCs w:val="24"/>
        </w:rPr>
        <w:t>The main goals of the research study are to: 1) evaluate the study procedures and methods to identify any issues that need to be addressed before</w:t>
      </w:r>
      <w:r w:rsidR="00C46F6C" w:rsidRPr="00A75C00">
        <w:rPr>
          <w:rFonts w:cstheme="minorHAnsi"/>
          <w:sz w:val="24"/>
          <w:szCs w:val="24"/>
        </w:rPr>
        <w:t xml:space="preserve"> embarking on a national multi-site study; and 2) examine associations between health outcomes and measured and historically reco</w:t>
      </w:r>
      <w:r w:rsidR="00C46F6C">
        <w:rPr>
          <w:rFonts w:cstheme="minorHAnsi"/>
          <w:sz w:val="24"/>
          <w:szCs w:val="24"/>
        </w:rPr>
        <w:t>nstructed serum levels of PFAS.</w:t>
      </w:r>
    </w:p>
    <w:p w14:paraId="69CA76C2" w14:textId="6B8154F7" w:rsidR="0031356E" w:rsidRPr="00E707C0" w:rsidRDefault="00556567" w:rsidP="0031356E">
      <w:pPr>
        <w:autoSpaceDE w:val="0"/>
        <w:autoSpaceDN w:val="0"/>
        <w:adjustRightInd w:val="0"/>
        <w:spacing w:line="276" w:lineRule="auto"/>
        <w:rPr>
          <w:rFonts w:cs="ITCFranklinGothicStd-Book"/>
          <w:sz w:val="24"/>
          <w:szCs w:val="24"/>
        </w:rPr>
      </w:pPr>
      <w:r>
        <w:rPr>
          <w:sz w:val="24"/>
          <w:szCs w:val="24"/>
          <w:u w:val="single"/>
        </w:rPr>
        <w:t xml:space="preserve">Respondent </w:t>
      </w:r>
      <w:r w:rsidRPr="00556567">
        <w:rPr>
          <w:sz w:val="24"/>
          <w:szCs w:val="24"/>
          <w:u w:val="single"/>
        </w:rPr>
        <w:t>Universe</w:t>
      </w:r>
      <w:r>
        <w:rPr>
          <w:sz w:val="24"/>
          <w:szCs w:val="24"/>
        </w:rPr>
        <w:t xml:space="preserve">: </w:t>
      </w:r>
      <w:r w:rsidR="00A97246" w:rsidRPr="00556567">
        <w:rPr>
          <w:sz w:val="24"/>
          <w:szCs w:val="24"/>
        </w:rPr>
        <w:t>In</w:t>
      </w:r>
      <w:r w:rsidR="00A97246" w:rsidRPr="00A97246">
        <w:rPr>
          <w:sz w:val="24"/>
          <w:szCs w:val="24"/>
        </w:rPr>
        <w:t xml:space="preserve"> summary, ATSDR will enroll 1,625 participants (1,100 adults and 525 children and their parents). </w:t>
      </w:r>
      <w:r w:rsidR="00CE4431">
        <w:rPr>
          <w:sz w:val="24"/>
          <w:szCs w:val="24"/>
        </w:rPr>
        <w:t xml:space="preserve">The study populations and eligibility are discussed in the </w:t>
      </w:r>
      <w:r w:rsidR="00CE4431">
        <w:rPr>
          <w:b/>
          <w:sz w:val="24"/>
          <w:szCs w:val="24"/>
        </w:rPr>
        <w:t xml:space="preserve">Pease Study Protocol Section 3.2. </w:t>
      </w:r>
      <w:r w:rsidR="00CE4431">
        <w:rPr>
          <w:rFonts w:cs="ITCFranklinGothicStd-Book"/>
          <w:sz w:val="24"/>
          <w:szCs w:val="24"/>
        </w:rPr>
        <w:t>S</w:t>
      </w:r>
      <w:r w:rsidR="00CE4431" w:rsidRPr="00E707C0">
        <w:rPr>
          <w:rFonts w:cs="ITCFranklinGothicStd-Book"/>
          <w:sz w:val="24"/>
          <w:szCs w:val="24"/>
        </w:rPr>
        <w:t>t</w:t>
      </w:r>
      <w:r w:rsidR="00CE4431">
        <w:rPr>
          <w:rFonts w:cs="ITCFranklinGothicStd-Book"/>
          <w:sz w:val="24"/>
          <w:szCs w:val="24"/>
        </w:rPr>
        <w:t xml:space="preserve">atistical justification for desired </w:t>
      </w:r>
      <w:r w:rsidR="00CE4431" w:rsidRPr="00E707C0">
        <w:rPr>
          <w:rFonts w:cs="ITCFranklinGothicStd-Book"/>
          <w:sz w:val="24"/>
          <w:szCs w:val="24"/>
        </w:rPr>
        <w:t>sample size</w:t>
      </w:r>
      <w:r w:rsidR="00CE4431">
        <w:rPr>
          <w:rFonts w:cs="ITCFranklinGothicStd-Book"/>
          <w:sz w:val="24"/>
          <w:szCs w:val="24"/>
        </w:rPr>
        <w:t xml:space="preserve">s is provided in </w:t>
      </w:r>
      <w:r w:rsidR="00467DA7">
        <w:rPr>
          <w:b/>
          <w:sz w:val="24"/>
          <w:szCs w:val="24"/>
        </w:rPr>
        <w:t xml:space="preserve">Pease Study Protocol Section 3.3 </w:t>
      </w:r>
      <w:r w:rsidR="00467DA7">
        <w:rPr>
          <w:sz w:val="24"/>
          <w:szCs w:val="24"/>
        </w:rPr>
        <w:t>and in more detail in</w:t>
      </w:r>
      <w:r w:rsidR="00467DA7">
        <w:rPr>
          <w:b/>
          <w:sz w:val="24"/>
          <w:szCs w:val="24"/>
        </w:rPr>
        <w:t xml:space="preserve"> </w:t>
      </w:r>
      <w:r w:rsidR="00CE4431">
        <w:rPr>
          <w:rFonts w:cs="ITCFranklinGothicStd-Book"/>
          <w:b/>
          <w:sz w:val="24"/>
          <w:szCs w:val="24"/>
        </w:rPr>
        <w:t>Attachment 4</w:t>
      </w:r>
      <w:r w:rsidR="00CE4431" w:rsidRPr="00E707C0">
        <w:rPr>
          <w:rFonts w:cs="ITCFranklinGothicStd-Book"/>
          <w:sz w:val="24"/>
          <w:szCs w:val="24"/>
        </w:rPr>
        <w:t>.</w:t>
      </w:r>
    </w:p>
    <w:p w14:paraId="34F64320" w14:textId="275555FC" w:rsidR="00A97246" w:rsidRDefault="00A97246" w:rsidP="00A97246">
      <w:pPr>
        <w:autoSpaceDE w:val="0"/>
        <w:autoSpaceDN w:val="0"/>
        <w:adjustRightInd w:val="0"/>
        <w:spacing w:line="276" w:lineRule="auto"/>
        <w:rPr>
          <w:sz w:val="24"/>
          <w:szCs w:val="24"/>
        </w:rPr>
      </w:pPr>
      <w:r w:rsidRPr="00A97246">
        <w:rPr>
          <w:rFonts w:cstheme="minorHAnsi"/>
          <w:sz w:val="24"/>
          <w:szCs w:val="24"/>
        </w:rPr>
        <w:t xml:space="preserve">Adults will be 18 years or older, and children will be 4-17 years of age at enrollment. </w:t>
      </w:r>
      <w:r w:rsidRPr="00A97246">
        <w:rPr>
          <w:sz w:val="24"/>
          <w:szCs w:val="24"/>
        </w:rPr>
        <w:t>Ideally, the parent should be the mother, who can best answer some survey questions about the child’s exposures and about the mother’s pregnancy and breastfeeding history. A parent can enroll with more than one child. In this case, ATSDR will enroll each child separately along with his or her parent. Parents, if eligible, may also enroll in the adult study.</w:t>
      </w:r>
    </w:p>
    <w:p w14:paraId="0FD0697C" w14:textId="65E66651" w:rsidR="00556567" w:rsidRPr="00A97246" w:rsidRDefault="00556567" w:rsidP="00556567">
      <w:pPr>
        <w:autoSpaceDE w:val="0"/>
        <w:autoSpaceDN w:val="0"/>
        <w:adjustRightInd w:val="0"/>
        <w:spacing w:line="276" w:lineRule="auto"/>
        <w:rPr>
          <w:rFonts w:cs="ITCFranklinGothicStd-Book"/>
          <w:sz w:val="24"/>
          <w:szCs w:val="24"/>
        </w:rPr>
      </w:pPr>
      <w:r w:rsidRPr="00BB45FF">
        <w:rPr>
          <w:sz w:val="24"/>
          <w:szCs w:val="24"/>
        </w:rPr>
        <w:t>To restrict this study to drinking water exposures, any adult occupationally exposed to PFAS will not be eligible for the study (i.e. ever firefighters or in chemical manufacture). Likewise, children whose birth mothers were occupationally exposed will not be eligible. This restriction applies to both the exposure and the referent group.</w:t>
      </w:r>
    </w:p>
    <w:p w14:paraId="5D963800" w14:textId="2AAF033D" w:rsidR="00A97246" w:rsidRPr="00BB45FF" w:rsidRDefault="00A97246" w:rsidP="00A97246">
      <w:pPr>
        <w:rPr>
          <w:sz w:val="24"/>
          <w:szCs w:val="24"/>
        </w:rPr>
      </w:pPr>
      <w:r w:rsidRPr="00A97246">
        <w:rPr>
          <w:sz w:val="24"/>
          <w:szCs w:val="24"/>
        </w:rPr>
        <w:t>For the exposure group (n=1,350), ATSDR will enroll 1,000 adults and 350 children. Eligible participants had to work at, live on, or attend childcare</w:t>
      </w:r>
      <w:r w:rsidRPr="00BB45FF">
        <w:rPr>
          <w:sz w:val="24"/>
          <w:szCs w:val="24"/>
        </w:rPr>
        <w:t xml:space="preserve"> at the former Pease Air Force Base or the Pease International Tradeport, or live in a nearby home that was served by a PFAS-contaminated private well. Drinking water exposures must have occurred at some time between 2004 and May 2014, after which remediation of the public water supply occurred.</w:t>
      </w:r>
    </w:p>
    <w:p w14:paraId="66EF3DE7" w14:textId="70216BFB" w:rsidR="00A97246" w:rsidRPr="00BB45FF" w:rsidRDefault="00A97246" w:rsidP="00A97246">
      <w:pPr>
        <w:rPr>
          <w:sz w:val="24"/>
          <w:szCs w:val="24"/>
        </w:rPr>
      </w:pPr>
      <w:r w:rsidRPr="00BB45FF">
        <w:rPr>
          <w:sz w:val="24"/>
          <w:szCs w:val="24"/>
        </w:rPr>
        <w:t>For the referent group (n=275), ATSDR will enroll 100 adults and 175 child</w:t>
      </w:r>
      <w:r>
        <w:rPr>
          <w:sz w:val="24"/>
          <w:szCs w:val="24"/>
        </w:rPr>
        <w:t xml:space="preserve">ren. </w:t>
      </w:r>
      <w:r w:rsidRPr="00BB45FF">
        <w:rPr>
          <w:sz w:val="24"/>
          <w:szCs w:val="24"/>
        </w:rPr>
        <w:t>Eligible participants, never exposed to PFAS-contaminated drinking water from Pease, will come from other areas of Portsmouth, NH.  Birth mothers of referent children likewise must never have had PFAS drinking water exposure.</w:t>
      </w:r>
    </w:p>
    <w:p w14:paraId="430B1CBA" w14:textId="7FA36DC1" w:rsidR="00A97246" w:rsidRPr="0023410B" w:rsidRDefault="00556567" w:rsidP="00A97246">
      <w:pPr>
        <w:autoSpaceDE w:val="0"/>
        <w:autoSpaceDN w:val="0"/>
        <w:adjustRightInd w:val="0"/>
        <w:spacing w:line="276" w:lineRule="auto"/>
        <w:rPr>
          <w:rFonts w:cstheme="minorHAnsi"/>
          <w:sz w:val="24"/>
          <w:szCs w:val="24"/>
        </w:rPr>
      </w:pPr>
      <w:r>
        <w:rPr>
          <w:rFonts w:cstheme="minorHAnsi"/>
          <w:sz w:val="24"/>
          <w:szCs w:val="24"/>
          <w:u w:val="single"/>
        </w:rPr>
        <w:t>Sampling Methods</w:t>
      </w:r>
      <w:r w:rsidRPr="00556567">
        <w:rPr>
          <w:rFonts w:cstheme="minorHAnsi"/>
          <w:sz w:val="24"/>
          <w:szCs w:val="24"/>
        </w:rPr>
        <w:t xml:space="preserve">: </w:t>
      </w:r>
      <w:r w:rsidR="004C72B0" w:rsidRPr="003A551F">
        <w:rPr>
          <w:rFonts w:cstheme="minorHAnsi"/>
          <w:sz w:val="24"/>
          <w:szCs w:val="24"/>
        </w:rPr>
        <w:t>The Pease Study will be cross-sectional in design, drawing from a convenience sample of people with and without exposure to PFAS-contamina</w:t>
      </w:r>
      <w:r w:rsidR="004C72B0">
        <w:rPr>
          <w:rFonts w:cstheme="minorHAnsi"/>
          <w:sz w:val="24"/>
          <w:szCs w:val="24"/>
        </w:rPr>
        <w:t xml:space="preserve">ted drinking water from Pease. </w:t>
      </w:r>
      <w:r w:rsidR="00CE4431">
        <w:rPr>
          <w:rFonts w:cstheme="minorHAnsi"/>
          <w:sz w:val="24"/>
          <w:szCs w:val="24"/>
        </w:rPr>
        <w:t xml:space="preserve">Recruitment methods are described in the </w:t>
      </w:r>
      <w:r w:rsidR="00CE4431">
        <w:rPr>
          <w:rFonts w:cstheme="minorHAnsi"/>
          <w:b/>
          <w:sz w:val="24"/>
          <w:szCs w:val="24"/>
        </w:rPr>
        <w:t>Pease Study Protocol Section 3.5</w:t>
      </w:r>
      <w:r w:rsidR="00CE4431">
        <w:rPr>
          <w:rFonts w:cstheme="minorHAnsi"/>
          <w:sz w:val="24"/>
          <w:szCs w:val="24"/>
        </w:rPr>
        <w:t>.</w:t>
      </w:r>
      <w:r w:rsidR="009700C5">
        <w:rPr>
          <w:rFonts w:cstheme="minorHAnsi"/>
          <w:sz w:val="24"/>
          <w:szCs w:val="24"/>
        </w:rPr>
        <w:t xml:space="preserve"> No statistical methods will be employed for recruitment. The Pease Study builds off the existing state and local PFAS exposure assessments during the 2015-7 NH DHHS PFAS blood testing program, which employed convenience sampling to address community concern. See further discussion in </w:t>
      </w:r>
      <w:r w:rsidR="009700C5">
        <w:rPr>
          <w:rFonts w:cstheme="minorHAnsi"/>
          <w:b/>
          <w:sz w:val="24"/>
          <w:szCs w:val="24"/>
        </w:rPr>
        <w:t xml:space="preserve">Section </w:t>
      </w:r>
      <w:r w:rsidR="0023410B">
        <w:rPr>
          <w:rFonts w:cstheme="minorHAnsi"/>
          <w:b/>
          <w:sz w:val="24"/>
          <w:szCs w:val="24"/>
        </w:rPr>
        <w:t xml:space="preserve">A.2 </w:t>
      </w:r>
      <w:r w:rsidR="0023410B">
        <w:rPr>
          <w:rFonts w:cstheme="minorHAnsi"/>
          <w:sz w:val="24"/>
          <w:szCs w:val="24"/>
        </w:rPr>
        <w:t xml:space="preserve">of </w:t>
      </w:r>
      <w:r w:rsidR="0023410B">
        <w:rPr>
          <w:rFonts w:cstheme="minorHAnsi"/>
          <w:b/>
          <w:sz w:val="24"/>
          <w:szCs w:val="24"/>
        </w:rPr>
        <w:t>Supporting Statement A – Justification</w:t>
      </w:r>
      <w:r w:rsidR="0023410B">
        <w:rPr>
          <w:rFonts w:cstheme="minorHAnsi"/>
          <w:sz w:val="24"/>
          <w:szCs w:val="24"/>
        </w:rPr>
        <w:t>.</w:t>
      </w:r>
    </w:p>
    <w:p w14:paraId="4D8E7B71" w14:textId="2F7509CE" w:rsidR="008820DB" w:rsidRDefault="00CE4431" w:rsidP="00175596">
      <w:pPr>
        <w:rPr>
          <w:sz w:val="24"/>
          <w:szCs w:val="24"/>
        </w:rPr>
      </w:pPr>
      <w:r>
        <w:rPr>
          <w:sz w:val="24"/>
          <w:szCs w:val="24"/>
        </w:rPr>
        <w:t xml:space="preserve">Trained study staff </w:t>
      </w:r>
      <w:r w:rsidR="0023410B">
        <w:rPr>
          <w:sz w:val="24"/>
          <w:szCs w:val="24"/>
        </w:rPr>
        <w:t xml:space="preserve">and contractors </w:t>
      </w:r>
      <w:r>
        <w:rPr>
          <w:sz w:val="24"/>
          <w:szCs w:val="24"/>
        </w:rPr>
        <w:t xml:space="preserve">from </w:t>
      </w:r>
      <w:r w:rsidR="004C72B0" w:rsidRPr="00BB45FF">
        <w:rPr>
          <w:sz w:val="24"/>
          <w:szCs w:val="24"/>
        </w:rPr>
        <w:t>ATSDR will recruit, screen for eligibility, and enroll in three waves</w:t>
      </w:r>
      <w:r w:rsidR="004C72B0">
        <w:rPr>
          <w:sz w:val="24"/>
          <w:szCs w:val="24"/>
        </w:rPr>
        <w:t xml:space="preserve"> (</w:t>
      </w:r>
      <w:r w:rsidR="004C72B0">
        <w:rPr>
          <w:b/>
          <w:sz w:val="24"/>
          <w:szCs w:val="24"/>
        </w:rPr>
        <w:t>Attachments 6c&amp;7c</w:t>
      </w:r>
      <w:r w:rsidR="004C72B0">
        <w:rPr>
          <w:sz w:val="24"/>
          <w:szCs w:val="24"/>
        </w:rPr>
        <w:t>)</w:t>
      </w:r>
      <w:r w:rsidR="004C72B0" w:rsidRPr="00BB45FF">
        <w:rPr>
          <w:sz w:val="24"/>
          <w:szCs w:val="24"/>
        </w:rPr>
        <w:t xml:space="preserve">. </w:t>
      </w:r>
      <w:r w:rsidR="00175596" w:rsidRPr="00BB45FF">
        <w:rPr>
          <w:sz w:val="24"/>
          <w:szCs w:val="24"/>
        </w:rPr>
        <w:t>ATSDR assumes that 5 percent of the people who volunteer will not meet eligibility requirements.</w:t>
      </w:r>
    </w:p>
    <w:p w14:paraId="2F7096EF" w14:textId="750908B7" w:rsidR="008820DB" w:rsidRDefault="003E4957" w:rsidP="008820DB">
      <w:pPr>
        <w:pStyle w:val="ListParagraph"/>
        <w:numPr>
          <w:ilvl w:val="0"/>
          <w:numId w:val="17"/>
        </w:numPr>
        <w:rPr>
          <w:sz w:val="24"/>
          <w:szCs w:val="24"/>
        </w:rPr>
      </w:pPr>
      <w:r>
        <w:rPr>
          <w:sz w:val="24"/>
          <w:szCs w:val="24"/>
        </w:rPr>
        <w:t xml:space="preserve">Due to the substantial community, state, and Congressional interest in the Pease Study, </w:t>
      </w:r>
      <w:r w:rsidR="004C72B0" w:rsidRPr="008820DB">
        <w:rPr>
          <w:sz w:val="24"/>
          <w:szCs w:val="24"/>
        </w:rPr>
        <w:t>ATSDR estimates that 90 percent of the exposure group will be enrolled in Wa</w:t>
      </w:r>
      <w:r w:rsidR="00556567" w:rsidRPr="008820DB">
        <w:rPr>
          <w:sz w:val="24"/>
          <w:szCs w:val="24"/>
        </w:rPr>
        <w:t>ve One (n=1,215</w:t>
      </w:r>
      <w:r w:rsidR="004C72B0" w:rsidRPr="008820DB">
        <w:rPr>
          <w:sz w:val="24"/>
          <w:szCs w:val="24"/>
        </w:rPr>
        <w:t>), that is, will be past participants of the 2015-7 NH DHHS PFAS blood testing program. NH DHHS will assist ATSDR by sending out letters of invitation to its former blood testing program participants (</w:t>
      </w:r>
      <w:r w:rsidR="004C72B0" w:rsidRPr="008820DB">
        <w:rPr>
          <w:b/>
          <w:sz w:val="24"/>
          <w:szCs w:val="24"/>
        </w:rPr>
        <w:t>Attachments 6a&amp;6b</w:t>
      </w:r>
      <w:r w:rsidR="004C72B0" w:rsidRPr="008820DB">
        <w:rPr>
          <w:sz w:val="24"/>
          <w:szCs w:val="24"/>
        </w:rPr>
        <w:t xml:space="preserve">). </w:t>
      </w:r>
    </w:p>
    <w:p w14:paraId="06790F9A" w14:textId="5872DFFF" w:rsidR="00175596" w:rsidRDefault="00175596" w:rsidP="00175596">
      <w:pPr>
        <w:pStyle w:val="ListParagraph"/>
        <w:numPr>
          <w:ilvl w:val="1"/>
          <w:numId w:val="17"/>
        </w:numPr>
        <w:autoSpaceDE w:val="0"/>
        <w:autoSpaceDN w:val="0"/>
        <w:adjustRightInd w:val="0"/>
        <w:spacing w:line="276" w:lineRule="auto"/>
        <w:rPr>
          <w:sz w:val="24"/>
          <w:szCs w:val="24"/>
        </w:rPr>
      </w:pPr>
      <w:r w:rsidRPr="00175596">
        <w:rPr>
          <w:sz w:val="24"/>
          <w:szCs w:val="24"/>
        </w:rPr>
        <w:t>Assuming that all of the blood testing program cohort will respond to the NH DHHS letters of invitation (</w:t>
      </w:r>
      <w:r w:rsidRPr="00175596">
        <w:rPr>
          <w:b/>
          <w:sz w:val="24"/>
          <w:szCs w:val="24"/>
        </w:rPr>
        <w:t>Attachments 6a&amp;6b</w:t>
      </w:r>
      <w:r w:rsidRPr="00175596">
        <w:rPr>
          <w:sz w:val="24"/>
          <w:szCs w:val="24"/>
        </w:rPr>
        <w:t>),</w:t>
      </w:r>
      <w:r w:rsidR="003E4957">
        <w:rPr>
          <w:sz w:val="24"/>
          <w:szCs w:val="24"/>
        </w:rPr>
        <w:t xml:space="preserve"> </w:t>
      </w:r>
      <w:r w:rsidR="003E4957" w:rsidRPr="00175596">
        <w:rPr>
          <w:sz w:val="24"/>
          <w:szCs w:val="24"/>
        </w:rPr>
        <w:t xml:space="preserve">ATSDR will screen the 1,578 people from the NH DHHS PFAS blood testing program in Wave One. </w:t>
      </w:r>
      <w:r w:rsidRPr="00175596">
        <w:rPr>
          <w:sz w:val="24"/>
          <w:szCs w:val="24"/>
        </w:rPr>
        <w:t xml:space="preserve"> </w:t>
      </w:r>
      <w:r w:rsidR="003E4957">
        <w:rPr>
          <w:sz w:val="24"/>
          <w:szCs w:val="24"/>
        </w:rPr>
        <w:t xml:space="preserve">Of the past participants of the NH DHHS PFAS blood testing program, </w:t>
      </w:r>
      <w:r w:rsidRPr="00175596">
        <w:rPr>
          <w:sz w:val="24"/>
          <w:szCs w:val="24"/>
        </w:rPr>
        <w:t>1,499 persons will be eligible.</w:t>
      </w:r>
    </w:p>
    <w:p w14:paraId="4A0829A7" w14:textId="6F0E2964" w:rsidR="003E4957" w:rsidRPr="00175596" w:rsidRDefault="00716A35" w:rsidP="00175596">
      <w:pPr>
        <w:pStyle w:val="ListParagraph"/>
        <w:numPr>
          <w:ilvl w:val="1"/>
          <w:numId w:val="17"/>
        </w:numPr>
        <w:autoSpaceDE w:val="0"/>
        <w:autoSpaceDN w:val="0"/>
        <w:adjustRightInd w:val="0"/>
        <w:spacing w:line="276" w:lineRule="auto"/>
        <w:rPr>
          <w:sz w:val="24"/>
          <w:szCs w:val="24"/>
        </w:rPr>
      </w:pPr>
      <w:r>
        <w:rPr>
          <w:sz w:val="24"/>
          <w:szCs w:val="24"/>
        </w:rPr>
        <w:t>If 1,215 enroll in Wave One</w:t>
      </w:r>
      <w:r w:rsidR="003E4957">
        <w:rPr>
          <w:sz w:val="24"/>
          <w:szCs w:val="24"/>
        </w:rPr>
        <w:t xml:space="preserve"> that will result in a response rate to the </w:t>
      </w:r>
      <w:r w:rsidR="0023410B">
        <w:rPr>
          <w:sz w:val="24"/>
          <w:szCs w:val="24"/>
        </w:rPr>
        <w:t xml:space="preserve">NH DHHS </w:t>
      </w:r>
      <w:r w:rsidR="003E4957">
        <w:rPr>
          <w:sz w:val="24"/>
          <w:szCs w:val="24"/>
        </w:rPr>
        <w:t>letter of invitation of 81 percent.</w:t>
      </w:r>
    </w:p>
    <w:p w14:paraId="2683FFE7" w14:textId="77777777" w:rsidR="002C7E5B" w:rsidRPr="008820DB" w:rsidRDefault="002C7E5B" w:rsidP="002C7E5B">
      <w:pPr>
        <w:pStyle w:val="ListParagraph"/>
        <w:numPr>
          <w:ilvl w:val="0"/>
          <w:numId w:val="17"/>
        </w:numPr>
        <w:rPr>
          <w:sz w:val="24"/>
          <w:szCs w:val="24"/>
        </w:rPr>
      </w:pPr>
      <w:r w:rsidRPr="008820DB">
        <w:rPr>
          <w:sz w:val="24"/>
          <w:szCs w:val="24"/>
        </w:rPr>
        <w:t>Wave Two and Wave Three recruits will call to volunteer after ATSDR opens those waves to enrollment.</w:t>
      </w:r>
    </w:p>
    <w:p w14:paraId="40F295E4" w14:textId="33C6EABE" w:rsidR="008820DB" w:rsidRDefault="004C72B0" w:rsidP="002C7E5B">
      <w:pPr>
        <w:pStyle w:val="ListParagraph"/>
        <w:numPr>
          <w:ilvl w:val="1"/>
          <w:numId w:val="17"/>
        </w:numPr>
        <w:rPr>
          <w:sz w:val="24"/>
          <w:szCs w:val="24"/>
        </w:rPr>
      </w:pPr>
      <w:r w:rsidRPr="008820DB">
        <w:rPr>
          <w:sz w:val="24"/>
          <w:szCs w:val="24"/>
        </w:rPr>
        <w:t>To achieve the desired sample size, the other 10 percent of the expos</w:t>
      </w:r>
      <w:r w:rsidR="00556567" w:rsidRPr="008820DB">
        <w:rPr>
          <w:sz w:val="24"/>
          <w:szCs w:val="24"/>
        </w:rPr>
        <w:t>ure group (n=135</w:t>
      </w:r>
      <w:r w:rsidRPr="008820DB">
        <w:rPr>
          <w:sz w:val="24"/>
          <w:szCs w:val="24"/>
        </w:rPr>
        <w:t>)</w:t>
      </w:r>
      <w:r w:rsidR="002C7E5B">
        <w:rPr>
          <w:sz w:val="24"/>
          <w:szCs w:val="24"/>
        </w:rPr>
        <w:t xml:space="preserve"> will be recruited in Wave Two </w:t>
      </w:r>
      <w:r w:rsidR="002C7E5B" w:rsidRPr="008820DB">
        <w:rPr>
          <w:sz w:val="24"/>
          <w:szCs w:val="24"/>
        </w:rPr>
        <w:t>(</w:t>
      </w:r>
      <w:r w:rsidR="002C7E5B">
        <w:rPr>
          <w:b/>
          <w:sz w:val="24"/>
          <w:szCs w:val="24"/>
        </w:rPr>
        <w:t>Attachments 7a&amp;7b</w:t>
      </w:r>
      <w:r w:rsidR="002C7E5B">
        <w:rPr>
          <w:sz w:val="24"/>
          <w:szCs w:val="24"/>
        </w:rPr>
        <w:t>).</w:t>
      </w:r>
      <w:r w:rsidRPr="008820DB">
        <w:rPr>
          <w:sz w:val="24"/>
          <w:szCs w:val="24"/>
        </w:rPr>
        <w:t xml:space="preserve"> These will be people who were eligible for the PFAS blood testing program but did not take part. </w:t>
      </w:r>
    </w:p>
    <w:p w14:paraId="71285C0E" w14:textId="7060883C" w:rsidR="00175596" w:rsidRDefault="00175596" w:rsidP="00175596">
      <w:pPr>
        <w:pStyle w:val="ListParagraph"/>
        <w:numPr>
          <w:ilvl w:val="2"/>
          <w:numId w:val="17"/>
        </w:numPr>
        <w:rPr>
          <w:sz w:val="24"/>
          <w:szCs w:val="24"/>
        </w:rPr>
      </w:pPr>
      <w:r w:rsidRPr="00BB45FF">
        <w:rPr>
          <w:sz w:val="24"/>
          <w:szCs w:val="24"/>
        </w:rPr>
        <w:t>ATSDR will screen at least 142</w:t>
      </w:r>
      <w:r>
        <w:rPr>
          <w:sz w:val="24"/>
          <w:szCs w:val="24"/>
        </w:rPr>
        <w:t xml:space="preserve"> exposed people in Wave Two to get 135 eligible.</w:t>
      </w:r>
    </w:p>
    <w:p w14:paraId="5F9650FD" w14:textId="77777777" w:rsidR="00175596" w:rsidRDefault="004C72B0" w:rsidP="00175596">
      <w:pPr>
        <w:pStyle w:val="ListParagraph"/>
        <w:numPr>
          <w:ilvl w:val="1"/>
          <w:numId w:val="17"/>
        </w:numPr>
        <w:rPr>
          <w:sz w:val="24"/>
          <w:szCs w:val="24"/>
        </w:rPr>
      </w:pPr>
      <w:r w:rsidRPr="008820DB">
        <w:rPr>
          <w:sz w:val="24"/>
          <w:szCs w:val="24"/>
        </w:rPr>
        <w:t>The referent group will be recruited in Wave Thre</w:t>
      </w:r>
      <w:r w:rsidR="00556567" w:rsidRPr="008820DB">
        <w:rPr>
          <w:sz w:val="24"/>
          <w:szCs w:val="24"/>
        </w:rPr>
        <w:t>e (n=275</w:t>
      </w:r>
      <w:r w:rsidRPr="008820DB">
        <w:rPr>
          <w:sz w:val="24"/>
          <w:szCs w:val="24"/>
        </w:rPr>
        <w:t>), which can occur concurrently with Wave One and Wave Two (</w:t>
      </w:r>
      <w:r w:rsidRPr="008820DB">
        <w:rPr>
          <w:b/>
          <w:sz w:val="24"/>
          <w:szCs w:val="24"/>
        </w:rPr>
        <w:t>Attachments 7d&amp;7e</w:t>
      </w:r>
      <w:r w:rsidR="00175596">
        <w:rPr>
          <w:sz w:val="24"/>
          <w:szCs w:val="24"/>
        </w:rPr>
        <w:t>).</w:t>
      </w:r>
    </w:p>
    <w:p w14:paraId="07EDC93E" w14:textId="1AA9A0A6" w:rsidR="00556567" w:rsidRPr="00175596" w:rsidRDefault="00175596" w:rsidP="00175596">
      <w:pPr>
        <w:pStyle w:val="ListParagraph"/>
        <w:numPr>
          <w:ilvl w:val="2"/>
          <w:numId w:val="17"/>
        </w:numPr>
        <w:rPr>
          <w:sz w:val="24"/>
          <w:szCs w:val="24"/>
        </w:rPr>
      </w:pPr>
      <w:r>
        <w:rPr>
          <w:sz w:val="24"/>
          <w:szCs w:val="24"/>
        </w:rPr>
        <w:t>ATSDR will screen</w:t>
      </w:r>
      <w:r w:rsidR="004C72B0" w:rsidRPr="00175596">
        <w:rPr>
          <w:sz w:val="24"/>
          <w:szCs w:val="24"/>
        </w:rPr>
        <w:t xml:space="preserve"> at least 289 une</w:t>
      </w:r>
      <w:r w:rsidR="00F71108" w:rsidRPr="00175596">
        <w:rPr>
          <w:sz w:val="24"/>
          <w:szCs w:val="24"/>
        </w:rPr>
        <w:t>xposed people in Wave Three</w:t>
      </w:r>
      <w:r w:rsidR="00BE15D8" w:rsidRPr="00175596">
        <w:rPr>
          <w:sz w:val="24"/>
          <w:szCs w:val="24"/>
        </w:rPr>
        <w:t xml:space="preserve"> to get 275 eligible</w:t>
      </w:r>
      <w:r w:rsidR="004C72B0" w:rsidRPr="00175596">
        <w:rPr>
          <w:sz w:val="24"/>
          <w:szCs w:val="24"/>
        </w:rPr>
        <w:t>.</w:t>
      </w:r>
    </w:p>
    <w:p w14:paraId="7107133E" w14:textId="35365119" w:rsidR="00CE4431" w:rsidRDefault="00CE4431" w:rsidP="004C72B0">
      <w:pPr>
        <w:autoSpaceDE w:val="0"/>
        <w:autoSpaceDN w:val="0"/>
        <w:adjustRightInd w:val="0"/>
        <w:spacing w:line="276" w:lineRule="auto"/>
        <w:rPr>
          <w:sz w:val="24"/>
          <w:szCs w:val="24"/>
        </w:rPr>
      </w:pPr>
      <w:r>
        <w:rPr>
          <w:sz w:val="24"/>
          <w:szCs w:val="24"/>
        </w:rPr>
        <w:t>Steps in screening are:</w:t>
      </w:r>
    </w:p>
    <w:p w14:paraId="7FD1FB34" w14:textId="3C230E34" w:rsidR="00CE4431" w:rsidRDefault="00CE4431" w:rsidP="00CE4431">
      <w:pPr>
        <w:pStyle w:val="ListParagraph"/>
        <w:numPr>
          <w:ilvl w:val="0"/>
          <w:numId w:val="18"/>
        </w:numPr>
        <w:autoSpaceDE w:val="0"/>
        <w:autoSpaceDN w:val="0"/>
        <w:adjustRightInd w:val="0"/>
        <w:spacing w:line="276" w:lineRule="auto"/>
        <w:rPr>
          <w:sz w:val="24"/>
          <w:szCs w:val="24"/>
        </w:rPr>
      </w:pPr>
      <w:r>
        <w:rPr>
          <w:sz w:val="24"/>
          <w:szCs w:val="24"/>
        </w:rPr>
        <w:t>Administer the eligibility screening scripts</w:t>
      </w:r>
      <w:r w:rsidR="005E1ED1">
        <w:rPr>
          <w:sz w:val="24"/>
          <w:szCs w:val="24"/>
        </w:rPr>
        <w:t xml:space="preserve"> and schedule appointments</w:t>
      </w:r>
      <w:r>
        <w:rPr>
          <w:sz w:val="24"/>
          <w:szCs w:val="24"/>
        </w:rPr>
        <w:t xml:space="preserve"> (</w:t>
      </w:r>
      <w:r>
        <w:rPr>
          <w:b/>
          <w:sz w:val="24"/>
          <w:szCs w:val="24"/>
        </w:rPr>
        <w:t>Attachments 6c&amp;7c</w:t>
      </w:r>
      <w:r>
        <w:rPr>
          <w:sz w:val="24"/>
          <w:szCs w:val="24"/>
        </w:rPr>
        <w:t>).</w:t>
      </w:r>
    </w:p>
    <w:p w14:paraId="0983DF64" w14:textId="7D73E2B6" w:rsidR="00CE4431" w:rsidRDefault="005E1ED1" w:rsidP="00CE4431">
      <w:pPr>
        <w:pStyle w:val="ListParagraph"/>
        <w:numPr>
          <w:ilvl w:val="0"/>
          <w:numId w:val="18"/>
        </w:numPr>
        <w:autoSpaceDE w:val="0"/>
        <w:autoSpaceDN w:val="0"/>
        <w:adjustRightInd w:val="0"/>
        <w:spacing w:line="276" w:lineRule="auto"/>
        <w:rPr>
          <w:sz w:val="24"/>
          <w:szCs w:val="24"/>
        </w:rPr>
      </w:pPr>
      <w:r>
        <w:rPr>
          <w:sz w:val="24"/>
          <w:szCs w:val="24"/>
        </w:rPr>
        <w:t>Begin tracking the recruitment process</w:t>
      </w:r>
      <w:r w:rsidR="00CE4431">
        <w:rPr>
          <w:sz w:val="24"/>
          <w:szCs w:val="24"/>
        </w:rPr>
        <w:t xml:space="preserve"> (</w:t>
      </w:r>
      <w:r w:rsidR="00CE4431">
        <w:rPr>
          <w:b/>
          <w:sz w:val="24"/>
          <w:szCs w:val="24"/>
        </w:rPr>
        <w:t>Attachment 8</w:t>
      </w:r>
      <w:r w:rsidR="00CE4431">
        <w:rPr>
          <w:sz w:val="24"/>
          <w:szCs w:val="24"/>
        </w:rPr>
        <w:t>).</w:t>
      </w:r>
    </w:p>
    <w:p w14:paraId="79694B2A" w14:textId="0B044885" w:rsidR="00CE4431" w:rsidRDefault="005E1ED1" w:rsidP="00CE4431">
      <w:pPr>
        <w:pStyle w:val="ListParagraph"/>
        <w:numPr>
          <w:ilvl w:val="0"/>
          <w:numId w:val="18"/>
        </w:numPr>
        <w:autoSpaceDE w:val="0"/>
        <w:autoSpaceDN w:val="0"/>
        <w:adjustRightInd w:val="0"/>
        <w:spacing w:line="276" w:lineRule="auto"/>
        <w:rPr>
          <w:sz w:val="24"/>
          <w:szCs w:val="24"/>
        </w:rPr>
      </w:pPr>
      <w:r>
        <w:rPr>
          <w:sz w:val="24"/>
          <w:szCs w:val="24"/>
        </w:rPr>
        <w:t>Mail out appointment packets (</w:t>
      </w:r>
      <w:r>
        <w:rPr>
          <w:b/>
          <w:sz w:val="24"/>
          <w:szCs w:val="24"/>
        </w:rPr>
        <w:t>Attachment 9</w:t>
      </w:r>
      <w:r w:rsidR="00582EB8">
        <w:rPr>
          <w:sz w:val="24"/>
          <w:szCs w:val="24"/>
        </w:rPr>
        <w:t>), which will contain</w:t>
      </w:r>
      <w:r w:rsidR="0006476E">
        <w:rPr>
          <w:sz w:val="24"/>
          <w:szCs w:val="24"/>
        </w:rPr>
        <w:t xml:space="preserve"> the following documents to keep</w:t>
      </w:r>
      <w:r w:rsidR="00C86CD9">
        <w:rPr>
          <w:sz w:val="24"/>
          <w:szCs w:val="24"/>
        </w:rPr>
        <w:t xml:space="preserve"> and read before their appointments</w:t>
      </w:r>
      <w:r w:rsidR="00582EB8">
        <w:rPr>
          <w:sz w:val="24"/>
          <w:szCs w:val="24"/>
        </w:rPr>
        <w:t>:</w:t>
      </w:r>
    </w:p>
    <w:p w14:paraId="6F6D6A4E" w14:textId="1E28B7BF" w:rsidR="00582EB8" w:rsidRPr="00582EB8" w:rsidRDefault="00582EB8" w:rsidP="00582EB8">
      <w:pPr>
        <w:pStyle w:val="ListParagraph"/>
        <w:numPr>
          <w:ilvl w:val="1"/>
          <w:numId w:val="18"/>
        </w:numPr>
        <w:autoSpaceDE w:val="0"/>
        <w:autoSpaceDN w:val="0"/>
        <w:adjustRightInd w:val="0"/>
        <w:spacing w:after="0" w:line="276" w:lineRule="auto"/>
        <w:contextualSpacing w:val="0"/>
        <w:rPr>
          <w:sz w:val="24"/>
          <w:szCs w:val="24"/>
        </w:rPr>
      </w:pPr>
      <w:r w:rsidRPr="00582EB8">
        <w:rPr>
          <w:sz w:val="24"/>
          <w:szCs w:val="24"/>
        </w:rPr>
        <w:t>Appointment reminder cards (</w:t>
      </w:r>
      <w:r w:rsidRPr="00582EB8">
        <w:rPr>
          <w:b/>
          <w:sz w:val="24"/>
          <w:szCs w:val="24"/>
        </w:rPr>
        <w:t>Attachment 9a</w:t>
      </w:r>
      <w:r w:rsidRPr="00582EB8">
        <w:rPr>
          <w:sz w:val="24"/>
          <w:szCs w:val="24"/>
        </w:rPr>
        <w:t>),</w:t>
      </w:r>
      <w:r w:rsidR="00C86CD9">
        <w:rPr>
          <w:sz w:val="24"/>
          <w:szCs w:val="24"/>
        </w:rPr>
        <w:t xml:space="preserve"> with instructions on how to prepare for the appointment</w:t>
      </w:r>
    </w:p>
    <w:p w14:paraId="415D0F00" w14:textId="77777777" w:rsidR="00582EB8" w:rsidRDefault="00582EB8" w:rsidP="00582EB8">
      <w:pPr>
        <w:pStyle w:val="ListParagraph"/>
        <w:numPr>
          <w:ilvl w:val="1"/>
          <w:numId w:val="18"/>
        </w:numPr>
        <w:autoSpaceDE w:val="0"/>
        <w:autoSpaceDN w:val="0"/>
        <w:adjustRightInd w:val="0"/>
        <w:spacing w:after="0" w:line="276" w:lineRule="auto"/>
        <w:contextualSpacing w:val="0"/>
        <w:rPr>
          <w:sz w:val="24"/>
          <w:szCs w:val="24"/>
        </w:rPr>
      </w:pPr>
      <w:r w:rsidRPr="00582EB8">
        <w:rPr>
          <w:sz w:val="24"/>
          <w:szCs w:val="24"/>
        </w:rPr>
        <w:t>Informed consent packets (</w:t>
      </w:r>
      <w:r w:rsidRPr="00582EB8">
        <w:rPr>
          <w:b/>
          <w:sz w:val="24"/>
          <w:szCs w:val="24"/>
        </w:rPr>
        <w:t>Attachment 9b</w:t>
      </w:r>
      <w:r w:rsidRPr="00582EB8">
        <w:rPr>
          <w:sz w:val="24"/>
          <w:szCs w:val="24"/>
        </w:rPr>
        <w:t>),</w:t>
      </w:r>
    </w:p>
    <w:p w14:paraId="6C71689F" w14:textId="77777777" w:rsidR="00582EB8" w:rsidRPr="00582EB8" w:rsidRDefault="00582EB8" w:rsidP="00582EB8">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Privacy Act Statement</w:t>
      </w:r>
      <w:r>
        <w:rPr>
          <w:rFonts w:cstheme="minorHAnsi"/>
          <w:sz w:val="24"/>
          <w:szCs w:val="24"/>
        </w:rPr>
        <w:t xml:space="preserve"> (</w:t>
      </w:r>
      <w:r w:rsidRPr="00582EB8">
        <w:rPr>
          <w:rFonts w:cstheme="minorHAnsi"/>
          <w:b/>
          <w:sz w:val="24"/>
          <w:szCs w:val="24"/>
        </w:rPr>
        <w:t>Attachment 9b1</w:t>
      </w:r>
      <w:r w:rsidRPr="00582EB8">
        <w:rPr>
          <w:rFonts w:cstheme="minorHAnsi"/>
          <w:sz w:val="24"/>
          <w:szCs w:val="24"/>
        </w:rPr>
        <w:t>)</w:t>
      </w:r>
    </w:p>
    <w:p w14:paraId="647B885D" w14:textId="77777777" w:rsidR="00582EB8" w:rsidRPr="00582EB8" w:rsidRDefault="00582EB8" w:rsidP="00582EB8">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Parental Permission and Child Assent Forms</w:t>
      </w:r>
      <w:r>
        <w:rPr>
          <w:rFonts w:cstheme="minorHAnsi"/>
          <w:sz w:val="24"/>
          <w:szCs w:val="24"/>
        </w:rPr>
        <w:t xml:space="preserve"> (</w:t>
      </w:r>
      <w:r w:rsidRPr="00582EB8">
        <w:rPr>
          <w:rFonts w:cstheme="minorHAnsi"/>
          <w:b/>
          <w:sz w:val="24"/>
          <w:szCs w:val="24"/>
        </w:rPr>
        <w:t>Attachment 9b2</w:t>
      </w:r>
      <w:r>
        <w:rPr>
          <w:rFonts w:cstheme="minorHAnsi"/>
          <w:sz w:val="24"/>
          <w:szCs w:val="24"/>
        </w:rPr>
        <w:t>)</w:t>
      </w:r>
    </w:p>
    <w:p w14:paraId="11A53AF6" w14:textId="77777777" w:rsidR="00582EB8" w:rsidRPr="00582EB8" w:rsidRDefault="00582EB8" w:rsidP="00582EB8">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Parental Consent to Release Student Information</w:t>
      </w:r>
      <w:r>
        <w:rPr>
          <w:rFonts w:cstheme="minorHAnsi"/>
          <w:sz w:val="24"/>
          <w:szCs w:val="24"/>
        </w:rPr>
        <w:t xml:space="preserve"> (</w:t>
      </w:r>
      <w:r w:rsidRPr="00582EB8">
        <w:rPr>
          <w:rFonts w:cstheme="minorHAnsi"/>
          <w:b/>
          <w:sz w:val="24"/>
          <w:szCs w:val="24"/>
        </w:rPr>
        <w:t>Attachment 9b3</w:t>
      </w:r>
      <w:r>
        <w:rPr>
          <w:rFonts w:cstheme="minorHAnsi"/>
          <w:sz w:val="24"/>
          <w:szCs w:val="24"/>
        </w:rPr>
        <w:t>)</w:t>
      </w:r>
    </w:p>
    <w:p w14:paraId="4D4C9F9C" w14:textId="77777777" w:rsidR="00582EB8" w:rsidRPr="00582EB8" w:rsidRDefault="00582EB8" w:rsidP="00582EB8">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Adult Consent Form</w:t>
      </w:r>
      <w:r>
        <w:rPr>
          <w:rFonts w:cstheme="minorHAnsi"/>
          <w:sz w:val="24"/>
          <w:szCs w:val="24"/>
        </w:rPr>
        <w:t xml:space="preserve"> (</w:t>
      </w:r>
      <w:r w:rsidRPr="00582EB8">
        <w:rPr>
          <w:rFonts w:cstheme="minorHAnsi"/>
          <w:b/>
          <w:sz w:val="24"/>
          <w:szCs w:val="24"/>
        </w:rPr>
        <w:t>Attachment 9b4</w:t>
      </w:r>
      <w:r>
        <w:rPr>
          <w:rFonts w:cstheme="minorHAnsi"/>
          <w:sz w:val="24"/>
          <w:szCs w:val="24"/>
        </w:rPr>
        <w:t>)</w:t>
      </w:r>
    </w:p>
    <w:p w14:paraId="310DD482" w14:textId="77777777" w:rsidR="0006476E" w:rsidRPr="0006476E" w:rsidRDefault="00582EB8" w:rsidP="0006476E">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Parent/Child/Adult Permission for Medical Record Abstraction</w:t>
      </w:r>
      <w:r w:rsidR="0006476E">
        <w:rPr>
          <w:rFonts w:cstheme="minorHAnsi"/>
          <w:sz w:val="24"/>
          <w:szCs w:val="24"/>
        </w:rPr>
        <w:t xml:space="preserve"> (</w:t>
      </w:r>
      <w:r w:rsidR="0006476E" w:rsidRPr="0006476E">
        <w:rPr>
          <w:rFonts w:cstheme="minorHAnsi"/>
          <w:b/>
          <w:sz w:val="24"/>
          <w:szCs w:val="24"/>
        </w:rPr>
        <w:t>Attachment 9b5</w:t>
      </w:r>
      <w:r w:rsidR="0006476E">
        <w:rPr>
          <w:rFonts w:cstheme="minorHAnsi"/>
          <w:sz w:val="24"/>
          <w:szCs w:val="24"/>
        </w:rPr>
        <w:t>)</w:t>
      </w:r>
    </w:p>
    <w:p w14:paraId="70ACE902" w14:textId="7423BD72" w:rsidR="00582EB8" w:rsidRPr="0006476E" w:rsidRDefault="00582EB8" w:rsidP="0006476E">
      <w:pPr>
        <w:pStyle w:val="ListParagraph"/>
        <w:numPr>
          <w:ilvl w:val="1"/>
          <w:numId w:val="18"/>
        </w:numPr>
        <w:autoSpaceDE w:val="0"/>
        <w:autoSpaceDN w:val="0"/>
        <w:adjustRightInd w:val="0"/>
        <w:spacing w:after="0" w:line="276" w:lineRule="auto"/>
        <w:contextualSpacing w:val="0"/>
        <w:rPr>
          <w:sz w:val="24"/>
          <w:szCs w:val="24"/>
        </w:rPr>
      </w:pPr>
      <w:r w:rsidRPr="0006476E">
        <w:rPr>
          <w:rFonts w:cstheme="minorHAnsi"/>
          <w:sz w:val="24"/>
          <w:szCs w:val="24"/>
        </w:rPr>
        <w:t>Study Fact Sheet</w:t>
      </w:r>
      <w:r w:rsidR="0006476E">
        <w:rPr>
          <w:rFonts w:cstheme="minorHAnsi"/>
          <w:sz w:val="24"/>
          <w:szCs w:val="24"/>
        </w:rPr>
        <w:t xml:space="preserve"> (</w:t>
      </w:r>
      <w:r w:rsidR="0006476E" w:rsidRPr="0006476E">
        <w:rPr>
          <w:rFonts w:cstheme="minorHAnsi"/>
          <w:b/>
          <w:sz w:val="24"/>
          <w:szCs w:val="24"/>
        </w:rPr>
        <w:t>Attachment 9c</w:t>
      </w:r>
      <w:r w:rsidR="0006476E">
        <w:rPr>
          <w:rFonts w:cstheme="minorHAnsi"/>
          <w:sz w:val="24"/>
          <w:szCs w:val="24"/>
        </w:rPr>
        <w:t>)</w:t>
      </w:r>
    </w:p>
    <w:p w14:paraId="1E699B12" w14:textId="56126D29" w:rsidR="005E1ED1" w:rsidRPr="00CE4431" w:rsidRDefault="00582EB8" w:rsidP="00582EB8">
      <w:pPr>
        <w:pStyle w:val="ListParagraph"/>
        <w:numPr>
          <w:ilvl w:val="0"/>
          <w:numId w:val="18"/>
        </w:numPr>
        <w:autoSpaceDE w:val="0"/>
        <w:autoSpaceDN w:val="0"/>
        <w:adjustRightInd w:val="0"/>
        <w:spacing w:after="0" w:line="276" w:lineRule="auto"/>
        <w:contextualSpacing w:val="0"/>
        <w:rPr>
          <w:sz w:val="24"/>
          <w:szCs w:val="24"/>
        </w:rPr>
      </w:pPr>
      <w:r w:rsidRPr="00582EB8">
        <w:rPr>
          <w:sz w:val="24"/>
          <w:szCs w:val="24"/>
        </w:rPr>
        <w:t>Encourage participation</w:t>
      </w:r>
      <w:r w:rsidR="005E1ED1">
        <w:rPr>
          <w:sz w:val="24"/>
          <w:szCs w:val="24"/>
        </w:rPr>
        <w:t xml:space="preserve"> with appointment reminder calls (</w:t>
      </w:r>
      <w:r w:rsidR="005E1ED1">
        <w:rPr>
          <w:b/>
          <w:sz w:val="24"/>
          <w:szCs w:val="24"/>
        </w:rPr>
        <w:t>Attachments 10&amp;11</w:t>
      </w:r>
      <w:r w:rsidR="005E1ED1">
        <w:rPr>
          <w:sz w:val="24"/>
          <w:szCs w:val="24"/>
        </w:rPr>
        <w:t>).</w:t>
      </w:r>
    </w:p>
    <w:p w14:paraId="6759D52E" w14:textId="77777777" w:rsidR="00B45002" w:rsidRPr="00E707C0" w:rsidRDefault="00D33AE3" w:rsidP="008D0F27">
      <w:pPr>
        <w:pStyle w:val="Heading1"/>
        <w:pBdr>
          <w:bottom w:val="none" w:sz="0" w:space="0" w:color="auto"/>
        </w:pBdr>
        <w:rPr>
          <w:rFonts w:ascii="Cambria" w:hAnsi="Cambria"/>
          <w:color w:val="auto"/>
        </w:rPr>
      </w:pPr>
      <w:bookmarkStart w:id="4" w:name="_Toc532227531"/>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4444A623" w14:textId="77777777" w:rsidR="00EA6E06" w:rsidRPr="00E707C0" w:rsidRDefault="00EA6E06" w:rsidP="00EA6E06"/>
    <w:p w14:paraId="34153248" w14:textId="517EB7AA" w:rsidR="00CE4431" w:rsidRDefault="00611853" w:rsidP="00611853">
      <w:pPr>
        <w:autoSpaceDE w:val="0"/>
        <w:autoSpaceDN w:val="0"/>
        <w:adjustRightInd w:val="0"/>
        <w:spacing w:line="276" w:lineRule="auto"/>
        <w:rPr>
          <w:rFonts w:cs="ITCFranklinGothicStd-Book"/>
          <w:sz w:val="24"/>
          <w:szCs w:val="24"/>
        </w:rPr>
      </w:pPr>
      <w:r>
        <w:rPr>
          <w:rFonts w:cs="ITCFranklinGothicStd-Book"/>
          <w:sz w:val="24"/>
          <w:szCs w:val="24"/>
        </w:rPr>
        <w:t>At the appointment, e</w:t>
      </w:r>
      <w:r w:rsidR="00CE4431">
        <w:rPr>
          <w:rFonts w:cs="ITCFranklinGothicStd-Book"/>
          <w:sz w:val="24"/>
          <w:szCs w:val="24"/>
        </w:rPr>
        <w:t xml:space="preserve">nrollment </w:t>
      </w:r>
      <w:r w:rsidR="00EE47D1">
        <w:rPr>
          <w:rFonts w:cs="ITCFranklinGothicStd-Book"/>
          <w:sz w:val="24"/>
          <w:szCs w:val="24"/>
        </w:rPr>
        <w:t xml:space="preserve">and data collection </w:t>
      </w:r>
      <w:r w:rsidR="00CE4431">
        <w:rPr>
          <w:rFonts w:cs="ITCFranklinGothicStd-Book"/>
          <w:sz w:val="24"/>
          <w:szCs w:val="24"/>
        </w:rPr>
        <w:t xml:space="preserve">procedures are described in the </w:t>
      </w:r>
      <w:r w:rsidR="00CE4431">
        <w:rPr>
          <w:rFonts w:cs="ITCFranklinGothicStd-Book"/>
          <w:b/>
          <w:sz w:val="24"/>
          <w:szCs w:val="24"/>
        </w:rPr>
        <w:t>Pease Study Protocol Section 3.5.3</w:t>
      </w:r>
      <w:r w:rsidR="00EE47D1">
        <w:rPr>
          <w:rFonts w:cs="ITCFranklinGothicStd-Book"/>
          <w:sz w:val="24"/>
          <w:szCs w:val="24"/>
        </w:rPr>
        <w:t xml:space="preserve">, </w:t>
      </w:r>
      <w:r w:rsidR="00EE47D1">
        <w:rPr>
          <w:rFonts w:cs="ITCFranklinGothicStd-Book"/>
          <w:b/>
          <w:sz w:val="24"/>
          <w:szCs w:val="24"/>
        </w:rPr>
        <w:t>Section 3.6</w:t>
      </w:r>
      <w:r w:rsidR="00EE47D1">
        <w:rPr>
          <w:rFonts w:cs="ITCFranklinGothicStd-Book"/>
          <w:sz w:val="24"/>
          <w:szCs w:val="24"/>
        </w:rPr>
        <w:t>, and in the Manual of Procedures</w:t>
      </w:r>
      <w:r w:rsidR="0069074E">
        <w:rPr>
          <w:rFonts w:cs="ITCFranklinGothicStd-Book"/>
          <w:sz w:val="24"/>
          <w:szCs w:val="24"/>
        </w:rPr>
        <w:t xml:space="preserve"> for staff and contractor training</w:t>
      </w:r>
      <w:r w:rsidR="00EE47D1">
        <w:rPr>
          <w:rFonts w:cs="ITCFranklinGothicStd-Book"/>
          <w:sz w:val="24"/>
          <w:szCs w:val="24"/>
        </w:rPr>
        <w:t xml:space="preserve"> (</w:t>
      </w:r>
      <w:r w:rsidR="00EE47D1">
        <w:rPr>
          <w:rFonts w:cs="ITCFranklinGothicStd-Book"/>
          <w:b/>
          <w:sz w:val="24"/>
          <w:szCs w:val="24"/>
        </w:rPr>
        <w:t>Attachment</w:t>
      </w:r>
      <w:r w:rsidR="00EE47D1" w:rsidRPr="00EE47D1">
        <w:rPr>
          <w:rFonts w:cs="ITCFranklinGothicStd-Book"/>
          <w:b/>
          <w:sz w:val="24"/>
          <w:szCs w:val="24"/>
        </w:rPr>
        <w:t xml:space="preserve"> 14</w:t>
      </w:r>
      <w:r w:rsidR="00EE47D1">
        <w:rPr>
          <w:rFonts w:cs="ITCFranklinGothicStd-Book"/>
          <w:sz w:val="24"/>
          <w:szCs w:val="24"/>
        </w:rPr>
        <w:t xml:space="preserve">). </w:t>
      </w:r>
      <w:r w:rsidR="00CE4431" w:rsidRPr="00EE47D1">
        <w:rPr>
          <w:rFonts w:cs="ITCFranklinGothicStd-Book"/>
          <w:sz w:val="24"/>
          <w:szCs w:val="24"/>
        </w:rPr>
        <w:t>Steps</w:t>
      </w:r>
      <w:r w:rsidR="00CE4431">
        <w:rPr>
          <w:rFonts w:cs="ITCFranklinGothicStd-Book"/>
          <w:sz w:val="24"/>
          <w:szCs w:val="24"/>
        </w:rPr>
        <w:t xml:space="preserve"> in enrollment are:</w:t>
      </w:r>
    </w:p>
    <w:p w14:paraId="41E78AEE" w14:textId="70A6CCDD" w:rsidR="00611853" w:rsidRDefault="00611853" w:rsidP="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Administration of informed consent, parental permission, and child assent (</w:t>
      </w:r>
      <w:r>
        <w:rPr>
          <w:rFonts w:cs="ITCFranklinGothicStd-Book"/>
          <w:b/>
          <w:sz w:val="24"/>
          <w:szCs w:val="24"/>
        </w:rPr>
        <w:t>Attachment 9b</w:t>
      </w:r>
      <w:r>
        <w:rPr>
          <w:rFonts w:cs="ITCFranklinGothicStd-Book"/>
          <w:sz w:val="24"/>
          <w:szCs w:val="24"/>
        </w:rPr>
        <w:t>).</w:t>
      </w:r>
    </w:p>
    <w:p w14:paraId="4A0E3D56" w14:textId="5F423F8D" w:rsidR="00611853" w:rsidRDefault="00611853" w:rsidP="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Update participant contact information, if needed (</w:t>
      </w:r>
      <w:r>
        <w:rPr>
          <w:rFonts w:cs="ITCFranklinGothicStd-Book"/>
          <w:b/>
          <w:sz w:val="24"/>
          <w:szCs w:val="24"/>
        </w:rPr>
        <w:t xml:space="preserve">Attachment </w:t>
      </w:r>
      <w:r w:rsidR="00EE47D1">
        <w:rPr>
          <w:rFonts w:cs="ITCFranklinGothicStd-Book"/>
          <w:b/>
          <w:sz w:val="24"/>
          <w:szCs w:val="24"/>
        </w:rPr>
        <w:t>12</w:t>
      </w:r>
      <w:r w:rsidR="00EE47D1">
        <w:rPr>
          <w:rFonts w:cs="ITCFranklinGothicStd-Book"/>
          <w:sz w:val="24"/>
          <w:szCs w:val="24"/>
        </w:rPr>
        <w:t>).</w:t>
      </w:r>
    </w:p>
    <w:p w14:paraId="0B8CEF73" w14:textId="7A82DE94" w:rsidR="00EE47D1" w:rsidRDefault="00EE47D1" w:rsidP="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Record participant medication list (</w:t>
      </w:r>
      <w:r>
        <w:rPr>
          <w:rFonts w:cs="ITCFranklinGothicStd-Book"/>
          <w:b/>
          <w:sz w:val="24"/>
          <w:szCs w:val="24"/>
        </w:rPr>
        <w:t>Attachment 13</w:t>
      </w:r>
      <w:r>
        <w:rPr>
          <w:rFonts w:cs="ITCFranklinGothicStd-Book"/>
          <w:sz w:val="24"/>
          <w:szCs w:val="24"/>
        </w:rPr>
        <w:t>).</w:t>
      </w:r>
    </w:p>
    <w:p w14:paraId="5A2DA945" w14:textId="59BD5AB9" w:rsidR="00611853" w:rsidRDefault="00611853" w:rsidP="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 xml:space="preserve">Take body </w:t>
      </w:r>
      <w:r w:rsidR="00EE47D1">
        <w:rPr>
          <w:rFonts w:cs="ITCFranklinGothicStd-Book"/>
          <w:sz w:val="24"/>
          <w:szCs w:val="24"/>
        </w:rPr>
        <w:t>and blood pressure measures</w:t>
      </w:r>
      <w:r>
        <w:rPr>
          <w:rFonts w:cs="ITCFranklinGothicStd-Book"/>
          <w:sz w:val="24"/>
          <w:szCs w:val="24"/>
        </w:rPr>
        <w:t xml:space="preserve"> (</w:t>
      </w:r>
      <w:r>
        <w:rPr>
          <w:rFonts w:cs="ITCFranklinGothicStd-Book"/>
          <w:b/>
          <w:sz w:val="24"/>
          <w:szCs w:val="24"/>
        </w:rPr>
        <w:t>Attachment 15</w:t>
      </w:r>
      <w:r>
        <w:rPr>
          <w:rFonts w:cs="ITCFranklinGothicStd-Book"/>
          <w:sz w:val="24"/>
          <w:szCs w:val="24"/>
        </w:rPr>
        <w:t>).</w:t>
      </w:r>
    </w:p>
    <w:p w14:paraId="504E40ED" w14:textId="6F7CB679" w:rsidR="00EE47D1" w:rsidRDefault="00EE47D1" w:rsidP="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Collect blood and urine biospecimens (</w:t>
      </w:r>
      <w:r>
        <w:rPr>
          <w:rFonts w:cs="ITCFranklinGothicStd-Book"/>
          <w:b/>
          <w:sz w:val="24"/>
          <w:szCs w:val="24"/>
        </w:rPr>
        <w:t>Attachment 16</w:t>
      </w:r>
      <w:r>
        <w:rPr>
          <w:rFonts w:cs="ITCFranklinGothicStd-Book"/>
          <w:sz w:val="24"/>
          <w:szCs w:val="24"/>
        </w:rPr>
        <w:t>).</w:t>
      </w:r>
    </w:p>
    <w:p w14:paraId="1E713B11" w14:textId="66A0E4BA" w:rsidR="00EE47D1" w:rsidRDefault="00EE47D1" w:rsidP="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Administer questionnaire (</w:t>
      </w:r>
      <w:r>
        <w:rPr>
          <w:rFonts w:cs="ITCFranklinGothicStd-Book"/>
          <w:b/>
          <w:sz w:val="24"/>
          <w:szCs w:val="24"/>
        </w:rPr>
        <w:t>Attachment 17,</w:t>
      </w:r>
      <w:r w:rsidR="00716A35">
        <w:rPr>
          <w:rFonts w:cs="ITCFranklinGothicStd-Book"/>
          <w:b/>
          <w:sz w:val="24"/>
          <w:szCs w:val="24"/>
        </w:rPr>
        <w:t xml:space="preserve"> </w:t>
      </w:r>
      <w:r>
        <w:rPr>
          <w:rFonts w:cs="ITCFranklinGothicStd-Book"/>
          <w:b/>
          <w:sz w:val="24"/>
          <w:szCs w:val="24"/>
        </w:rPr>
        <w:t>17a,</w:t>
      </w:r>
      <w:r w:rsidR="00716A35">
        <w:rPr>
          <w:rFonts w:cs="ITCFranklinGothicStd-Book"/>
          <w:b/>
          <w:sz w:val="24"/>
          <w:szCs w:val="24"/>
        </w:rPr>
        <w:t xml:space="preserve"> </w:t>
      </w:r>
      <w:r>
        <w:rPr>
          <w:rFonts w:cs="ITCFranklinGothicStd-Book"/>
          <w:b/>
          <w:sz w:val="24"/>
          <w:szCs w:val="24"/>
        </w:rPr>
        <w:t>18</w:t>
      </w:r>
      <w:r>
        <w:rPr>
          <w:rFonts w:cs="ITCFranklinGothicStd-Book"/>
          <w:sz w:val="24"/>
          <w:szCs w:val="24"/>
        </w:rPr>
        <w:t>).</w:t>
      </w:r>
    </w:p>
    <w:p w14:paraId="25A73FDE" w14:textId="44668A2E" w:rsidR="00EE47D1" w:rsidRDefault="00EE47D1" w:rsidP="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(For children and parents) Administer the neurobehavioral test battery (</w:t>
      </w:r>
      <w:r>
        <w:rPr>
          <w:rFonts w:cs="ITCFranklinGothicStd-Book"/>
          <w:b/>
          <w:sz w:val="24"/>
          <w:szCs w:val="24"/>
        </w:rPr>
        <w:t>Attachment 20</w:t>
      </w:r>
      <w:r>
        <w:rPr>
          <w:rFonts w:cs="ITCFranklinGothicStd-Book"/>
          <w:sz w:val="24"/>
          <w:szCs w:val="24"/>
        </w:rPr>
        <w:t>).</w:t>
      </w:r>
    </w:p>
    <w:p w14:paraId="636DC318" w14:textId="77777777" w:rsidR="003E4957" w:rsidRDefault="00EE47D1" w:rsidP="00CE4431">
      <w:pPr>
        <w:autoSpaceDE w:val="0"/>
        <w:autoSpaceDN w:val="0"/>
        <w:adjustRightInd w:val="0"/>
        <w:spacing w:line="276" w:lineRule="auto"/>
        <w:rPr>
          <w:rFonts w:cs="ITCFranklinGothicStd-Book"/>
          <w:sz w:val="24"/>
          <w:szCs w:val="24"/>
        </w:rPr>
      </w:pPr>
      <w:r>
        <w:rPr>
          <w:rFonts w:cs="ITCFranklinGothicStd-Book"/>
          <w:sz w:val="24"/>
          <w:szCs w:val="24"/>
        </w:rPr>
        <w:t>After the appointment, ATSDR will seek</w:t>
      </w:r>
      <w:r w:rsidR="003E4957">
        <w:rPr>
          <w:rFonts w:cs="ITCFranklinGothicStd-Book"/>
          <w:sz w:val="24"/>
          <w:szCs w:val="24"/>
        </w:rPr>
        <w:t xml:space="preserve">: </w:t>
      </w:r>
    </w:p>
    <w:p w14:paraId="074F85C8" w14:textId="0538AFE4" w:rsidR="003E4957" w:rsidRDefault="003E4957" w:rsidP="003E4957">
      <w:pPr>
        <w:pStyle w:val="ListParagraph"/>
        <w:numPr>
          <w:ilvl w:val="0"/>
          <w:numId w:val="20"/>
        </w:numPr>
        <w:autoSpaceDE w:val="0"/>
        <w:autoSpaceDN w:val="0"/>
        <w:adjustRightInd w:val="0"/>
        <w:spacing w:line="276" w:lineRule="auto"/>
        <w:rPr>
          <w:rFonts w:cs="ITCFranklinGothicStd-Book"/>
          <w:sz w:val="24"/>
          <w:szCs w:val="24"/>
        </w:rPr>
      </w:pPr>
      <w:r>
        <w:rPr>
          <w:rFonts w:cs="ITCFranklinGothicStd-Book"/>
          <w:sz w:val="24"/>
          <w:szCs w:val="24"/>
        </w:rPr>
        <w:t>M</w:t>
      </w:r>
      <w:r w:rsidR="00EE47D1" w:rsidRPr="003E4957">
        <w:rPr>
          <w:rFonts w:cs="ITCFranklinGothicStd-Book"/>
          <w:sz w:val="24"/>
          <w:szCs w:val="24"/>
        </w:rPr>
        <w:t>edical record verification for self-reported conditions noted in the questionnaire (</w:t>
      </w:r>
      <w:r w:rsidR="00EE47D1" w:rsidRPr="003E4957">
        <w:rPr>
          <w:rFonts w:cs="ITCFranklinGothicStd-Book"/>
          <w:b/>
          <w:sz w:val="24"/>
          <w:szCs w:val="24"/>
        </w:rPr>
        <w:t xml:space="preserve">Attachment </w:t>
      </w:r>
      <w:r w:rsidR="0069074E" w:rsidRPr="003E4957">
        <w:rPr>
          <w:rFonts w:cs="ITCFranklinGothicStd-Book"/>
          <w:b/>
          <w:sz w:val="24"/>
          <w:szCs w:val="24"/>
        </w:rPr>
        <w:t>19,</w:t>
      </w:r>
      <w:r w:rsidR="00716A35">
        <w:rPr>
          <w:rFonts w:cs="ITCFranklinGothicStd-Book"/>
          <w:b/>
          <w:sz w:val="24"/>
          <w:szCs w:val="24"/>
        </w:rPr>
        <w:t xml:space="preserve"> </w:t>
      </w:r>
      <w:r w:rsidR="0069074E" w:rsidRPr="003E4957">
        <w:rPr>
          <w:rFonts w:cs="ITCFranklinGothicStd-Book"/>
          <w:b/>
          <w:sz w:val="24"/>
          <w:szCs w:val="24"/>
        </w:rPr>
        <w:t>19a,</w:t>
      </w:r>
      <w:r w:rsidR="00716A35">
        <w:rPr>
          <w:rFonts w:cs="ITCFranklinGothicStd-Book"/>
          <w:b/>
          <w:sz w:val="24"/>
          <w:szCs w:val="24"/>
        </w:rPr>
        <w:t xml:space="preserve"> </w:t>
      </w:r>
      <w:r w:rsidR="0069074E" w:rsidRPr="003E4957">
        <w:rPr>
          <w:rFonts w:cs="ITCFranklinGothicStd-Book"/>
          <w:b/>
          <w:sz w:val="24"/>
          <w:szCs w:val="24"/>
        </w:rPr>
        <w:t>19b</w:t>
      </w:r>
      <w:r>
        <w:rPr>
          <w:rFonts w:cs="ITCFranklinGothicStd-Book"/>
          <w:sz w:val="24"/>
          <w:szCs w:val="24"/>
        </w:rPr>
        <w:t xml:space="preserve">). </w:t>
      </w:r>
    </w:p>
    <w:p w14:paraId="598234A5" w14:textId="6ADBD130" w:rsidR="00CE4431" w:rsidRPr="003E4957" w:rsidRDefault="003E4957" w:rsidP="003E4957">
      <w:pPr>
        <w:pStyle w:val="ListParagraph"/>
        <w:numPr>
          <w:ilvl w:val="0"/>
          <w:numId w:val="20"/>
        </w:numPr>
        <w:autoSpaceDE w:val="0"/>
        <w:autoSpaceDN w:val="0"/>
        <w:adjustRightInd w:val="0"/>
        <w:spacing w:line="276" w:lineRule="auto"/>
        <w:rPr>
          <w:rFonts w:cs="ITCFranklinGothicStd-Book"/>
          <w:sz w:val="24"/>
          <w:szCs w:val="24"/>
        </w:rPr>
      </w:pPr>
      <w:r>
        <w:rPr>
          <w:rFonts w:cs="ITCFranklinGothicStd-Book"/>
          <w:sz w:val="24"/>
          <w:szCs w:val="24"/>
        </w:rPr>
        <w:t>Education record verification to compare to the</w:t>
      </w:r>
      <w:r w:rsidR="0069074E" w:rsidRPr="003E4957">
        <w:rPr>
          <w:rFonts w:cs="ITCFranklinGothicStd-Book"/>
          <w:sz w:val="24"/>
          <w:szCs w:val="24"/>
        </w:rPr>
        <w:t xml:space="preserve"> results of the children’s neurobehavioral assessments</w:t>
      </w:r>
      <w:r>
        <w:rPr>
          <w:rFonts w:cs="ITCFranklinGothicStd-Book"/>
          <w:sz w:val="24"/>
          <w:szCs w:val="24"/>
        </w:rPr>
        <w:t xml:space="preserve"> and their parents’ assessments</w:t>
      </w:r>
      <w:r w:rsidR="00B352E0">
        <w:rPr>
          <w:rFonts w:cs="ITCFranklinGothicStd-Book"/>
          <w:sz w:val="24"/>
          <w:szCs w:val="24"/>
        </w:rPr>
        <w:t xml:space="preserve"> of their children</w:t>
      </w:r>
      <w:r w:rsidR="0069074E" w:rsidRPr="003E4957">
        <w:rPr>
          <w:rFonts w:cs="ITCFranklinGothicStd-Book"/>
          <w:sz w:val="24"/>
          <w:szCs w:val="24"/>
        </w:rPr>
        <w:t xml:space="preserve"> (</w:t>
      </w:r>
      <w:r w:rsidR="0069074E" w:rsidRPr="003E4957">
        <w:rPr>
          <w:rFonts w:cs="ITCFranklinGothicStd-Book"/>
          <w:b/>
          <w:sz w:val="24"/>
          <w:szCs w:val="24"/>
        </w:rPr>
        <w:t>Attachment 20b</w:t>
      </w:r>
      <w:r w:rsidR="0069074E" w:rsidRPr="003E4957">
        <w:rPr>
          <w:rFonts w:cs="ITCFranklinGothicStd-Book"/>
          <w:sz w:val="24"/>
          <w:szCs w:val="24"/>
        </w:rPr>
        <w:t>).</w:t>
      </w:r>
    </w:p>
    <w:p w14:paraId="7C5431E7" w14:textId="33CABCD9" w:rsidR="00B45002" w:rsidRPr="00E707C0" w:rsidRDefault="00D33AE3" w:rsidP="008D0F27">
      <w:pPr>
        <w:pStyle w:val="Heading1"/>
        <w:pBdr>
          <w:bottom w:val="none" w:sz="0" w:space="0" w:color="auto"/>
        </w:pBdr>
        <w:rPr>
          <w:rFonts w:ascii="Cambria" w:hAnsi="Cambria"/>
          <w:color w:val="auto"/>
        </w:rPr>
      </w:pPr>
      <w:bookmarkStart w:id="5" w:name="_Toc532227532"/>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823A90">
        <w:rPr>
          <w:rFonts w:ascii="Cambria" w:hAnsi="Cambria"/>
          <w:color w:val="auto"/>
        </w:rPr>
        <w:t>n-r</w:t>
      </w:r>
      <w:r w:rsidR="00B45002" w:rsidRPr="00E707C0">
        <w:rPr>
          <w:rFonts w:ascii="Cambria" w:hAnsi="Cambria"/>
          <w:color w:val="auto"/>
        </w:rPr>
        <w:t>esponse</w:t>
      </w:r>
      <w:bookmarkEnd w:id="5"/>
    </w:p>
    <w:p w14:paraId="35480865" w14:textId="77777777" w:rsidR="00D0744A" w:rsidRPr="00E707C0" w:rsidRDefault="00D0744A" w:rsidP="00E632AF">
      <w:pPr>
        <w:spacing w:line="240" w:lineRule="auto"/>
        <w:rPr>
          <w:sz w:val="24"/>
          <w:szCs w:val="24"/>
        </w:rPr>
      </w:pPr>
    </w:p>
    <w:p w14:paraId="62363836" w14:textId="043C4A59" w:rsidR="000B2EDE" w:rsidRPr="00467DA7" w:rsidRDefault="00467DA7" w:rsidP="000B2EDE">
      <w:pPr>
        <w:autoSpaceDE w:val="0"/>
        <w:autoSpaceDN w:val="0"/>
        <w:adjustRightInd w:val="0"/>
        <w:spacing w:line="276" w:lineRule="auto"/>
        <w:rPr>
          <w:rFonts w:cs="ITCFranklinGothicStd-Book"/>
          <w:sz w:val="24"/>
          <w:szCs w:val="24"/>
        </w:rPr>
      </w:pPr>
      <w:r>
        <w:rPr>
          <w:rFonts w:cs="ITCFranklinGothicStd-Book"/>
          <w:sz w:val="24"/>
          <w:szCs w:val="24"/>
        </w:rPr>
        <w:t xml:space="preserve">The </w:t>
      </w:r>
      <w:r>
        <w:rPr>
          <w:rFonts w:cs="ITCFranklinGothicStd-Book"/>
          <w:b/>
          <w:sz w:val="24"/>
          <w:szCs w:val="24"/>
        </w:rPr>
        <w:t>Pease Study Protocol Section 3.2.1</w:t>
      </w:r>
      <w:r>
        <w:rPr>
          <w:rFonts w:cs="ITCFranklinGothicStd-Book"/>
          <w:sz w:val="24"/>
          <w:szCs w:val="24"/>
        </w:rPr>
        <w:t xml:space="preserve"> describes the estimated number of eligible childre</w:t>
      </w:r>
      <w:r w:rsidR="00C86CD9">
        <w:rPr>
          <w:rFonts w:cs="ITCFranklinGothicStd-Book"/>
          <w:sz w:val="24"/>
          <w:szCs w:val="24"/>
        </w:rPr>
        <w:t>n and assumptions about</w:t>
      </w:r>
      <w:r>
        <w:rPr>
          <w:rFonts w:cs="ITCFranklinGothicStd-Book"/>
          <w:sz w:val="24"/>
          <w:szCs w:val="24"/>
        </w:rPr>
        <w:t xml:space="preserve"> participation rates</w:t>
      </w:r>
      <w:r w:rsidR="00C86CD9">
        <w:rPr>
          <w:rFonts w:cs="ITCFranklinGothicStd-Book"/>
          <w:sz w:val="24"/>
          <w:szCs w:val="24"/>
        </w:rPr>
        <w:t xml:space="preserve"> needed to achieve statistical goals</w:t>
      </w:r>
      <w:r>
        <w:rPr>
          <w:rFonts w:cs="ITCFranklinGothicStd-Book"/>
          <w:sz w:val="24"/>
          <w:szCs w:val="24"/>
        </w:rPr>
        <w:t>:</w:t>
      </w:r>
    </w:p>
    <w:p w14:paraId="0AF97B9A" w14:textId="77777777" w:rsidR="00C86CD9" w:rsidRDefault="00467DA7" w:rsidP="00467DA7">
      <w:pPr>
        <w:spacing w:line="276" w:lineRule="auto"/>
        <w:ind w:left="720"/>
        <w:jc w:val="both"/>
        <w:rPr>
          <w:sz w:val="24"/>
          <w:szCs w:val="24"/>
        </w:rPr>
      </w:pPr>
      <w:r>
        <w:rPr>
          <w:sz w:val="24"/>
          <w:szCs w:val="24"/>
        </w:rPr>
        <w:t>“</w:t>
      </w:r>
      <w:r w:rsidRPr="00467DA7">
        <w:rPr>
          <w:sz w:val="24"/>
          <w:szCs w:val="24"/>
        </w:rPr>
        <w:t xml:space="preserve">Assuming that a minimum of about 500 children attended the two day-care centers at Pease before June 2014 and would be aged 4–17 years in 2018, we would require a participation rate of about 70% to recruit 350 Pease children into the study. Such a participation rate is possible given the high visibility of the study, strong interest in the community, and the commitment of the Pease CAP and associated organizations to conduct outreach for the study. </w:t>
      </w:r>
    </w:p>
    <w:p w14:paraId="00E2490F" w14:textId="7D7BA1C2" w:rsidR="00467DA7" w:rsidRDefault="00467DA7" w:rsidP="00467DA7">
      <w:pPr>
        <w:spacing w:line="276" w:lineRule="auto"/>
        <w:ind w:left="720"/>
        <w:jc w:val="both"/>
        <w:rPr>
          <w:sz w:val="24"/>
          <w:szCs w:val="24"/>
        </w:rPr>
      </w:pPr>
      <w:r w:rsidRPr="00467DA7">
        <w:rPr>
          <w:sz w:val="24"/>
          <w:szCs w:val="24"/>
        </w:rPr>
        <w:t>It would also be feasible to recruit at least 175 children in the same age range from the schools in Portsmouth, NH, who were unexposed to the PFAS-contaminated drinking water at the Pease Tradeport and whose parents did not work at the Pease Tradeport or have occupational exposures to PFAS.</w:t>
      </w:r>
      <w:r>
        <w:rPr>
          <w:sz w:val="24"/>
          <w:szCs w:val="24"/>
        </w:rPr>
        <w:t>”</w:t>
      </w:r>
    </w:p>
    <w:p w14:paraId="09F81423" w14:textId="266E85D1" w:rsidR="00467DA7" w:rsidRPr="008053F4" w:rsidRDefault="00467DA7" w:rsidP="008053F4">
      <w:pPr>
        <w:autoSpaceDE w:val="0"/>
        <w:autoSpaceDN w:val="0"/>
        <w:adjustRightInd w:val="0"/>
        <w:spacing w:line="276" w:lineRule="auto"/>
        <w:rPr>
          <w:rFonts w:cs="ITCFranklinGothicStd-Book"/>
          <w:sz w:val="24"/>
          <w:szCs w:val="24"/>
        </w:rPr>
      </w:pPr>
      <w:r>
        <w:rPr>
          <w:rFonts w:cs="ITCFranklinGothicStd-Book"/>
          <w:sz w:val="24"/>
          <w:szCs w:val="24"/>
        </w:rPr>
        <w:t xml:space="preserve">The </w:t>
      </w:r>
      <w:r>
        <w:rPr>
          <w:rFonts w:cs="ITCFranklinGothicStd-Book"/>
          <w:b/>
          <w:sz w:val="24"/>
          <w:szCs w:val="24"/>
        </w:rPr>
        <w:t>Pease Study Protocol Section 3.2.2</w:t>
      </w:r>
      <w:r>
        <w:rPr>
          <w:rFonts w:cs="ITCFranklinGothicStd-Book"/>
          <w:sz w:val="24"/>
          <w:szCs w:val="24"/>
        </w:rPr>
        <w:t xml:space="preserve"> describes the estimated number of eligible adults and assumptions </w:t>
      </w:r>
      <w:r w:rsidR="00C86CD9">
        <w:rPr>
          <w:rFonts w:cs="ITCFranklinGothicStd-Book"/>
          <w:sz w:val="24"/>
          <w:szCs w:val="24"/>
        </w:rPr>
        <w:t>about participation rates needed to achieve statistical goals</w:t>
      </w:r>
      <w:r>
        <w:rPr>
          <w:rFonts w:cs="ITCFranklinGothicStd-Book"/>
          <w:sz w:val="24"/>
          <w:szCs w:val="24"/>
        </w:rPr>
        <w:t>:</w:t>
      </w:r>
    </w:p>
    <w:p w14:paraId="22837BE3" w14:textId="29075581" w:rsidR="00467DA7" w:rsidRPr="00467DA7" w:rsidRDefault="00467DA7" w:rsidP="00467DA7">
      <w:pPr>
        <w:spacing w:line="276" w:lineRule="auto"/>
        <w:ind w:left="720"/>
        <w:jc w:val="both"/>
        <w:rPr>
          <w:rFonts w:cstheme="minorHAnsi"/>
          <w:bCs/>
          <w:iCs/>
          <w:color w:val="000000"/>
          <w:sz w:val="24"/>
          <w:szCs w:val="24"/>
        </w:rPr>
      </w:pPr>
      <w:r>
        <w:rPr>
          <w:rFonts w:cstheme="minorHAnsi"/>
          <w:bCs/>
          <w:iCs/>
          <w:color w:val="000000"/>
          <w:sz w:val="24"/>
          <w:szCs w:val="24"/>
        </w:rPr>
        <w:t>“</w:t>
      </w:r>
      <w:r w:rsidRPr="00467DA7">
        <w:rPr>
          <w:rFonts w:cstheme="minorHAnsi"/>
          <w:bCs/>
          <w:iCs/>
          <w:color w:val="000000"/>
          <w:sz w:val="24"/>
          <w:szCs w:val="24"/>
        </w:rPr>
        <w:t xml:space="preserve">Apart from the occupational exposure exclusion, the study will recruit adults who participated in the Pease biomonitoring program. Adults who did not participate in biomonitoring program but meet eligibility criteria could also enroll in the current study in order to meet sample size requirements.  About 1,430 adults have participated in this program.  A participation rate of 70% would result in a sample size of about 1,000.  In addition, for some of the outcomes of interest, e.g., serum level of total cholesterol, hyperuricemia, and cardiovascular disease, a sample size of 1,000 would be sufficient for PFAS serum levels categorized into quartiles.  </w:t>
      </w:r>
    </w:p>
    <w:p w14:paraId="29346FEF" w14:textId="06C38913" w:rsidR="00467DA7" w:rsidRPr="00C15DBE" w:rsidRDefault="00467DA7" w:rsidP="00C15DBE">
      <w:pPr>
        <w:spacing w:line="276" w:lineRule="auto"/>
        <w:ind w:left="720"/>
        <w:jc w:val="both"/>
        <w:rPr>
          <w:color w:val="000000"/>
          <w:sz w:val="24"/>
          <w:szCs w:val="24"/>
        </w:rPr>
      </w:pPr>
      <w:r w:rsidRPr="00467DA7">
        <w:rPr>
          <w:rFonts w:cstheme="minorHAnsi"/>
          <w:bCs/>
          <w:iCs/>
          <w:color w:val="000000"/>
          <w:sz w:val="24"/>
          <w:szCs w:val="24"/>
        </w:rPr>
        <w:t>The study will recruit a comparison population of 100 adults, unexposed to the contaminated drinking water at Pease, consisting of adults aged ≥ 18 years, taking into account the age distribution of the adults who participated in th</w:t>
      </w:r>
      <w:r>
        <w:rPr>
          <w:rFonts w:cstheme="minorHAnsi"/>
          <w:bCs/>
          <w:iCs/>
          <w:color w:val="000000"/>
          <w:sz w:val="24"/>
          <w:szCs w:val="24"/>
        </w:rPr>
        <w:t xml:space="preserve">e Pease biomonitoring </w:t>
      </w:r>
      <w:r w:rsidRPr="00C15DBE">
        <w:rPr>
          <w:rFonts w:cstheme="minorHAnsi"/>
          <w:bCs/>
          <w:iCs/>
          <w:color w:val="000000"/>
          <w:sz w:val="24"/>
          <w:szCs w:val="24"/>
        </w:rPr>
        <w:t>program.”</w:t>
      </w:r>
    </w:p>
    <w:p w14:paraId="7EB0A30F" w14:textId="77777777" w:rsidR="0052147A" w:rsidRDefault="00467DA7" w:rsidP="00C15DBE">
      <w:pPr>
        <w:spacing w:line="276" w:lineRule="auto"/>
        <w:jc w:val="both"/>
        <w:rPr>
          <w:rFonts w:cstheme="minorHAnsi"/>
          <w:bCs/>
          <w:iCs/>
          <w:color w:val="000000"/>
          <w:sz w:val="24"/>
          <w:szCs w:val="24"/>
        </w:rPr>
      </w:pPr>
      <w:r w:rsidRPr="00C15DBE">
        <w:rPr>
          <w:sz w:val="24"/>
          <w:szCs w:val="24"/>
        </w:rPr>
        <w:t>In order to maximize participation</w:t>
      </w:r>
      <w:r w:rsidR="00C15DBE" w:rsidRPr="00C15DBE">
        <w:rPr>
          <w:sz w:val="24"/>
          <w:szCs w:val="24"/>
        </w:rPr>
        <w:t xml:space="preserve"> in the Pease Study</w:t>
      </w:r>
      <w:r w:rsidR="008053F4">
        <w:rPr>
          <w:sz w:val="24"/>
          <w:szCs w:val="24"/>
        </w:rPr>
        <w:t>,</w:t>
      </w:r>
      <w:r w:rsidR="00C15DBE" w:rsidRPr="00C15DBE">
        <w:rPr>
          <w:sz w:val="24"/>
          <w:szCs w:val="24"/>
        </w:rPr>
        <w:t xml:space="preserve"> ATSDR will</w:t>
      </w:r>
      <w:r w:rsidR="00C15DBE" w:rsidRPr="00C15DBE">
        <w:rPr>
          <w:rFonts w:cstheme="minorHAnsi"/>
          <w:bCs/>
          <w:iCs/>
          <w:color w:val="000000"/>
          <w:sz w:val="24"/>
          <w:szCs w:val="24"/>
        </w:rPr>
        <w:t xml:space="preserve"> provide the flexibility to schedule or re-schedule office or home visits within the study period</w:t>
      </w:r>
      <w:r w:rsidR="008053F4">
        <w:rPr>
          <w:rFonts w:cstheme="minorHAnsi"/>
          <w:bCs/>
          <w:iCs/>
          <w:color w:val="000000"/>
          <w:sz w:val="24"/>
          <w:szCs w:val="24"/>
        </w:rPr>
        <w:t xml:space="preserve"> </w:t>
      </w:r>
      <w:r w:rsidR="008053F4" w:rsidRPr="00C15DBE">
        <w:rPr>
          <w:sz w:val="24"/>
          <w:szCs w:val="24"/>
        </w:rPr>
        <w:t>(</w:t>
      </w:r>
      <w:r w:rsidR="008053F4" w:rsidRPr="00C15DBE">
        <w:rPr>
          <w:b/>
          <w:sz w:val="24"/>
          <w:szCs w:val="24"/>
        </w:rPr>
        <w:t>Pease Study Protocol Section 3.5.3</w:t>
      </w:r>
      <w:r w:rsidR="008053F4">
        <w:rPr>
          <w:sz w:val="24"/>
          <w:szCs w:val="24"/>
        </w:rPr>
        <w:t>)</w:t>
      </w:r>
      <w:r w:rsidR="00C15DBE" w:rsidRPr="00C15DBE">
        <w:rPr>
          <w:rFonts w:cstheme="minorHAnsi"/>
          <w:bCs/>
          <w:iCs/>
          <w:color w:val="000000"/>
          <w:sz w:val="24"/>
          <w:szCs w:val="24"/>
        </w:rPr>
        <w:t xml:space="preserve">. </w:t>
      </w:r>
    </w:p>
    <w:p w14:paraId="3463D4F7" w14:textId="77777777" w:rsidR="0052147A" w:rsidRPr="0052147A" w:rsidRDefault="00C15DBE" w:rsidP="0052147A">
      <w:pPr>
        <w:pStyle w:val="ListParagraph"/>
        <w:numPr>
          <w:ilvl w:val="0"/>
          <w:numId w:val="21"/>
        </w:numPr>
        <w:spacing w:line="276" w:lineRule="auto"/>
        <w:jc w:val="both"/>
        <w:rPr>
          <w:sz w:val="24"/>
          <w:szCs w:val="24"/>
        </w:rPr>
      </w:pPr>
      <w:r w:rsidRPr="0052147A">
        <w:rPr>
          <w:rFonts w:cstheme="minorHAnsi"/>
          <w:bCs/>
          <w:iCs/>
          <w:color w:val="000000"/>
          <w:sz w:val="24"/>
          <w:szCs w:val="24"/>
        </w:rPr>
        <w:t xml:space="preserve">Interested recruits who are unable or unwilling to come to the study office, will be offered an in-home appointment by trained study staff to complete the study. Interested recruits who request or require a home interview, blood draw, and urine collection, must reside within a one-hour drive from </w:t>
      </w:r>
      <w:r w:rsidR="0052147A">
        <w:rPr>
          <w:rFonts w:cstheme="minorHAnsi"/>
          <w:sz w:val="24"/>
          <w:szCs w:val="24"/>
        </w:rPr>
        <w:t>the study office.</w:t>
      </w:r>
    </w:p>
    <w:p w14:paraId="0C11AD37" w14:textId="77777777" w:rsidR="0052147A" w:rsidRPr="0052147A" w:rsidRDefault="00C15DBE" w:rsidP="0052147A">
      <w:pPr>
        <w:pStyle w:val="ListParagraph"/>
        <w:numPr>
          <w:ilvl w:val="0"/>
          <w:numId w:val="21"/>
        </w:numPr>
        <w:spacing w:line="276" w:lineRule="auto"/>
        <w:jc w:val="both"/>
        <w:rPr>
          <w:sz w:val="24"/>
          <w:szCs w:val="24"/>
        </w:rPr>
      </w:pPr>
      <w:r w:rsidRPr="0052147A">
        <w:rPr>
          <w:rFonts w:cstheme="minorHAnsi"/>
          <w:bCs/>
          <w:iCs/>
          <w:color w:val="000000"/>
          <w:sz w:val="24"/>
          <w:szCs w:val="24"/>
        </w:rPr>
        <w:t>Study staff will give the interested recruit a reminder telephone call one to two days before the scheduled appointment (</w:t>
      </w:r>
      <w:r w:rsidRPr="0052147A">
        <w:rPr>
          <w:rFonts w:cstheme="minorHAnsi"/>
          <w:b/>
          <w:bCs/>
          <w:iCs/>
          <w:color w:val="000000"/>
          <w:sz w:val="24"/>
          <w:szCs w:val="24"/>
        </w:rPr>
        <w:t>Attachment 10</w:t>
      </w:r>
      <w:r w:rsidR="0052147A">
        <w:rPr>
          <w:rFonts w:cstheme="minorHAnsi"/>
          <w:bCs/>
          <w:iCs/>
          <w:color w:val="000000"/>
          <w:sz w:val="24"/>
          <w:szCs w:val="24"/>
        </w:rPr>
        <w:t>).</w:t>
      </w:r>
    </w:p>
    <w:p w14:paraId="354EFFCF" w14:textId="57F278D0" w:rsidR="00467DA7" w:rsidRPr="0052147A" w:rsidRDefault="00C15DBE" w:rsidP="0052147A">
      <w:pPr>
        <w:pStyle w:val="ListParagraph"/>
        <w:numPr>
          <w:ilvl w:val="1"/>
          <w:numId w:val="21"/>
        </w:numPr>
        <w:spacing w:line="276" w:lineRule="auto"/>
        <w:jc w:val="both"/>
        <w:rPr>
          <w:sz w:val="24"/>
          <w:szCs w:val="24"/>
        </w:rPr>
      </w:pPr>
      <w:r w:rsidRPr="0052147A">
        <w:rPr>
          <w:rFonts w:cstheme="minorHAnsi"/>
          <w:sz w:val="24"/>
          <w:szCs w:val="24"/>
        </w:rPr>
        <w:t xml:space="preserve">The study staff will make up to five contact attempts to an </w:t>
      </w:r>
      <w:r w:rsidRPr="0052147A">
        <w:rPr>
          <w:rFonts w:cstheme="minorHAnsi"/>
          <w:bCs/>
          <w:iCs/>
          <w:color w:val="000000"/>
          <w:sz w:val="24"/>
          <w:szCs w:val="24"/>
        </w:rPr>
        <w:t>interested recruit</w:t>
      </w:r>
      <w:r w:rsidRPr="0052147A">
        <w:rPr>
          <w:rFonts w:cstheme="minorHAnsi"/>
          <w:sz w:val="24"/>
          <w:szCs w:val="24"/>
        </w:rPr>
        <w:t xml:space="preserve"> who misses an appointment in order to reschedule the appointment and maximize the number of completed appointments (</w:t>
      </w:r>
      <w:r w:rsidRPr="0052147A">
        <w:rPr>
          <w:rFonts w:cstheme="minorHAnsi"/>
          <w:b/>
          <w:bCs/>
          <w:iCs/>
          <w:sz w:val="24"/>
          <w:szCs w:val="24"/>
        </w:rPr>
        <w:t>Attachment 11</w:t>
      </w:r>
      <w:r w:rsidRPr="0052147A">
        <w:rPr>
          <w:rFonts w:cstheme="minorHAnsi"/>
          <w:bCs/>
          <w:iCs/>
          <w:sz w:val="24"/>
          <w:szCs w:val="24"/>
        </w:rPr>
        <w:t>).</w:t>
      </w:r>
    </w:p>
    <w:p w14:paraId="450B7636" w14:textId="79F73759" w:rsidR="00B45002" w:rsidRPr="00E707C0" w:rsidRDefault="00D33AE3" w:rsidP="008D0F27">
      <w:pPr>
        <w:pStyle w:val="Heading1"/>
        <w:pBdr>
          <w:bottom w:val="none" w:sz="0" w:space="0" w:color="auto"/>
        </w:pBdr>
        <w:rPr>
          <w:rFonts w:ascii="Cambria" w:hAnsi="Cambria"/>
          <w:color w:val="auto"/>
        </w:rPr>
      </w:pPr>
      <w:bookmarkStart w:id="6" w:name="_Toc532227533"/>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6"/>
    </w:p>
    <w:p w14:paraId="64B9CC57" w14:textId="77777777" w:rsidR="00BD2639" w:rsidRPr="00E707C0" w:rsidRDefault="00BD2639" w:rsidP="001C121D">
      <w:pPr>
        <w:spacing w:line="240" w:lineRule="auto"/>
      </w:pPr>
    </w:p>
    <w:p w14:paraId="406D39D8" w14:textId="2BAF2B37" w:rsidR="00B50B01" w:rsidRPr="005044EF" w:rsidRDefault="00B50B01" w:rsidP="00C15DBE">
      <w:pPr>
        <w:autoSpaceDE w:val="0"/>
        <w:autoSpaceDN w:val="0"/>
        <w:adjustRightInd w:val="0"/>
        <w:spacing w:line="276" w:lineRule="auto"/>
        <w:rPr>
          <w:rFonts w:cs="ITCFranklinGothicStd-Book"/>
          <w:sz w:val="24"/>
          <w:szCs w:val="24"/>
        </w:rPr>
      </w:pPr>
      <w:r>
        <w:rPr>
          <w:sz w:val="24"/>
          <w:szCs w:val="24"/>
        </w:rPr>
        <w:t>T</w:t>
      </w:r>
      <w:r w:rsidRPr="00A97246">
        <w:rPr>
          <w:sz w:val="24"/>
          <w:szCs w:val="24"/>
        </w:rPr>
        <w:t xml:space="preserve">he </w:t>
      </w:r>
      <w:r w:rsidRPr="00A97246">
        <w:rPr>
          <w:b/>
          <w:sz w:val="24"/>
          <w:szCs w:val="24"/>
        </w:rPr>
        <w:t>Pease Study Protocol</w:t>
      </w:r>
      <w:r>
        <w:rPr>
          <w:sz w:val="24"/>
          <w:szCs w:val="24"/>
        </w:rPr>
        <w:t xml:space="preserve"> will serve as the proof of concept research </w:t>
      </w:r>
      <w:r w:rsidR="002B3B93">
        <w:rPr>
          <w:sz w:val="24"/>
          <w:szCs w:val="24"/>
        </w:rPr>
        <w:t xml:space="preserve">study. </w:t>
      </w:r>
      <w:r w:rsidR="006106B8">
        <w:rPr>
          <w:rFonts w:cstheme="minorHAnsi"/>
          <w:sz w:val="24"/>
          <w:szCs w:val="24"/>
        </w:rPr>
        <w:t>One of t</w:t>
      </w:r>
      <w:r w:rsidR="002B3B93" w:rsidRPr="003A551F">
        <w:rPr>
          <w:rFonts w:cstheme="minorHAnsi"/>
          <w:sz w:val="24"/>
          <w:szCs w:val="24"/>
        </w:rPr>
        <w:t>he main</w:t>
      </w:r>
      <w:r w:rsidR="006106B8">
        <w:rPr>
          <w:rFonts w:cstheme="minorHAnsi"/>
          <w:sz w:val="24"/>
          <w:szCs w:val="24"/>
        </w:rPr>
        <w:t xml:space="preserve"> goals of the research study is to</w:t>
      </w:r>
      <w:r w:rsidR="002B3B93" w:rsidRPr="003A551F">
        <w:rPr>
          <w:rFonts w:cstheme="minorHAnsi"/>
          <w:sz w:val="24"/>
          <w:szCs w:val="24"/>
        </w:rPr>
        <w:t xml:space="preserve"> evaluate the study procedures and methods to identify any issues that need to be addressed before</w:t>
      </w:r>
      <w:r w:rsidR="002B3B93" w:rsidRPr="00A75C00">
        <w:rPr>
          <w:rFonts w:cstheme="minorHAnsi"/>
          <w:sz w:val="24"/>
          <w:szCs w:val="24"/>
        </w:rPr>
        <w:t xml:space="preserve"> embarking on a national mul</w:t>
      </w:r>
      <w:r w:rsidR="006106B8">
        <w:rPr>
          <w:rFonts w:cstheme="minorHAnsi"/>
          <w:sz w:val="24"/>
          <w:szCs w:val="24"/>
        </w:rPr>
        <w:t>ti-site study</w:t>
      </w:r>
      <w:r w:rsidR="002B3B93" w:rsidRPr="005044EF">
        <w:rPr>
          <w:rFonts w:cstheme="minorHAnsi"/>
          <w:sz w:val="24"/>
          <w:szCs w:val="24"/>
        </w:rPr>
        <w:t>.</w:t>
      </w:r>
    </w:p>
    <w:p w14:paraId="079972C9" w14:textId="77777777" w:rsidR="006106B8" w:rsidRDefault="002B3B93" w:rsidP="00C15DBE">
      <w:pPr>
        <w:autoSpaceDE w:val="0"/>
        <w:autoSpaceDN w:val="0"/>
        <w:adjustRightInd w:val="0"/>
        <w:spacing w:line="276" w:lineRule="auto"/>
        <w:rPr>
          <w:rFonts w:cs="ITCFranklinGothicStd-Book"/>
          <w:sz w:val="24"/>
          <w:szCs w:val="24"/>
        </w:rPr>
      </w:pPr>
      <w:r w:rsidRPr="005044EF">
        <w:rPr>
          <w:rFonts w:cs="ITCFranklinGothicStd-Book"/>
          <w:sz w:val="24"/>
          <w:szCs w:val="24"/>
        </w:rPr>
        <w:t>ATSDR will use the proof of concept study experience to</w:t>
      </w:r>
      <w:r w:rsidR="00006EDD" w:rsidRPr="005044EF">
        <w:rPr>
          <w:rFonts w:cs="ITCFranklinGothicStd-Book"/>
          <w:sz w:val="24"/>
          <w:szCs w:val="24"/>
        </w:rPr>
        <w:t xml:space="preserve"> refi</w:t>
      </w:r>
      <w:r w:rsidRPr="005044EF">
        <w:rPr>
          <w:rFonts w:cs="ITCFranklinGothicStd-Book"/>
          <w:sz w:val="24"/>
          <w:szCs w:val="24"/>
        </w:rPr>
        <w:t>ne questions,</w:t>
      </w:r>
      <w:r w:rsidR="00BD2639" w:rsidRPr="005044EF">
        <w:rPr>
          <w:rFonts w:cs="ITCFranklinGothicStd-Book"/>
          <w:sz w:val="24"/>
          <w:szCs w:val="24"/>
        </w:rPr>
        <w:t xml:space="preserve"> minimize burden</w:t>
      </w:r>
      <w:r w:rsidRPr="005044EF">
        <w:rPr>
          <w:rFonts w:cs="ITCFranklinGothicStd-Book"/>
          <w:sz w:val="24"/>
          <w:szCs w:val="24"/>
        </w:rPr>
        <w:t>,</w:t>
      </w:r>
      <w:r w:rsidR="00BD2639" w:rsidRPr="005044EF">
        <w:rPr>
          <w:rFonts w:cs="ITCFranklinGothicStd-Book"/>
          <w:sz w:val="24"/>
          <w:szCs w:val="24"/>
        </w:rPr>
        <w:t xml:space="preserve"> and improve utility. </w:t>
      </w:r>
      <w:r w:rsidRPr="005044EF">
        <w:rPr>
          <w:rFonts w:cs="ITCFranklinGothicStd-Book"/>
          <w:sz w:val="24"/>
          <w:szCs w:val="24"/>
        </w:rPr>
        <w:t>Some of the</w:t>
      </w:r>
      <w:r w:rsidR="00BD2639" w:rsidRPr="005044EF">
        <w:rPr>
          <w:rFonts w:cs="ITCFranklinGothicStd-Book"/>
          <w:sz w:val="24"/>
          <w:szCs w:val="24"/>
        </w:rPr>
        <w:t xml:space="preserve"> proposed data/information collect</w:t>
      </w:r>
      <w:r w:rsidRPr="005044EF">
        <w:rPr>
          <w:rFonts w:cs="ITCFranklinGothicStd-Book"/>
          <w:sz w:val="24"/>
          <w:szCs w:val="24"/>
        </w:rPr>
        <w:t xml:space="preserve">ion instruments have been based on those </w:t>
      </w:r>
      <w:r w:rsidR="005044EF" w:rsidRPr="005044EF">
        <w:rPr>
          <w:rFonts w:cs="ITCFranklinGothicStd-Book"/>
          <w:sz w:val="24"/>
          <w:szCs w:val="24"/>
        </w:rPr>
        <w:t xml:space="preserve">successfully used </w:t>
      </w:r>
      <w:r w:rsidRPr="005044EF">
        <w:rPr>
          <w:rFonts w:cs="ITCFranklinGothicStd-Book"/>
          <w:sz w:val="24"/>
          <w:szCs w:val="24"/>
        </w:rPr>
        <w:t xml:space="preserve">in the </w:t>
      </w:r>
      <w:r w:rsidR="005044EF">
        <w:rPr>
          <w:rFonts w:cs="ITCFranklinGothicStd-Book"/>
          <w:sz w:val="24"/>
          <w:szCs w:val="24"/>
        </w:rPr>
        <w:t>“</w:t>
      </w:r>
      <w:r w:rsidRPr="005044EF">
        <w:rPr>
          <w:rFonts w:cs="ITCFranklinGothicStd-Book"/>
          <w:sz w:val="24"/>
          <w:szCs w:val="24"/>
        </w:rPr>
        <w:t>Anniston Community Health Survey: Follow up and Dioxin Analyses (ACHS-II)</w:t>
      </w:r>
      <w:r w:rsidR="005044EF">
        <w:rPr>
          <w:rFonts w:cs="ITCFranklinGothicStd-Book"/>
          <w:sz w:val="24"/>
          <w:szCs w:val="24"/>
        </w:rPr>
        <w:t>”</w:t>
      </w:r>
      <w:r w:rsidRPr="005044EF">
        <w:rPr>
          <w:rFonts w:cs="ITCFranklinGothicStd-Book"/>
          <w:sz w:val="24"/>
          <w:szCs w:val="24"/>
        </w:rPr>
        <w:t xml:space="preserve"> (OMB Control No. 0923-0049; discontinued 11/12/2015) (</w:t>
      </w:r>
      <w:r w:rsidR="005044EF" w:rsidRPr="005044EF">
        <w:rPr>
          <w:rFonts w:cs="ITCFranklinGothicStd-Book"/>
          <w:b/>
          <w:sz w:val="24"/>
          <w:szCs w:val="24"/>
        </w:rPr>
        <w:t>Attachments 12, 13, 15, 16</w:t>
      </w:r>
      <w:r w:rsidR="005044EF" w:rsidRPr="005044EF">
        <w:rPr>
          <w:rFonts w:cs="ITCFranklinGothicStd-Book"/>
          <w:sz w:val="24"/>
          <w:szCs w:val="24"/>
        </w:rPr>
        <w:t>).</w:t>
      </w:r>
      <w:r w:rsidR="005044EF">
        <w:rPr>
          <w:rFonts w:cs="ITCFranklinGothicStd-Book"/>
          <w:sz w:val="24"/>
          <w:szCs w:val="24"/>
        </w:rPr>
        <w:t xml:space="preserve"> </w:t>
      </w:r>
    </w:p>
    <w:p w14:paraId="29EB8A9C" w14:textId="63FFCD0D" w:rsidR="00BD2639" w:rsidRPr="00CC05B0" w:rsidRDefault="005044EF" w:rsidP="00C15DBE">
      <w:pPr>
        <w:autoSpaceDE w:val="0"/>
        <w:autoSpaceDN w:val="0"/>
        <w:adjustRightInd w:val="0"/>
        <w:spacing w:line="276" w:lineRule="auto"/>
        <w:rPr>
          <w:rFonts w:cs="ITCFranklinGothicStd-Book"/>
          <w:sz w:val="24"/>
          <w:szCs w:val="24"/>
        </w:rPr>
      </w:pPr>
      <w:r>
        <w:rPr>
          <w:rFonts w:cs="ITCFranklinGothicStd-Book"/>
          <w:sz w:val="24"/>
          <w:szCs w:val="24"/>
        </w:rPr>
        <w:t>The Pease Study questionnaires (</w:t>
      </w:r>
      <w:r>
        <w:rPr>
          <w:rFonts w:cs="ITCFranklinGothicStd-Book"/>
          <w:b/>
          <w:sz w:val="24"/>
          <w:szCs w:val="24"/>
        </w:rPr>
        <w:t>Attachments 17, 17a, 18</w:t>
      </w:r>
      <w:r>
        <w:rPr>
          <w:rFonts w:cs="ITCFranklinGothicStd-Book"/>
          <w:sz w:val="24"/>
          <w:szCs w:val="24"/>
        </w:rPr>
        <w:t xml:space="preserve">) were developed specifically for </w:t>
      </w:r>
      <w:r w:rsidR="006106B8">
        <w:rPr>
          <w:rFonts w:cs="ITCFranklinGothicStd-Book"/>
          <w:sz w:val="24"/>
          <w:szCs w:val="24"/>
        </w:rPr>
        <w:t xml:space="preserve">the unique </w:t>
      </w:r>
      <w:r>
        <w:rPr>
          <w:rFonts w:cs="ITCFranklinGothicStd-Book"/>
          <w:sz w:val="24"/>
          <w:szCs w:val="24"/>
        </w:rPr>
        <w:t>PFAS exposure scenarios at Pease; therefore, ATSDR will use this</w:t>
      </w:r>
      <w:r w:rsidR="00056243">
        <w:rPr>
          <w:rFonts w:cs="ITCFranklinGothicStd-Book"/>
          <w:sz w:val="24"/>
          <w:szCs w:val="24"/>
        </w:rPr>
        <w:t xml:space="preserve"> proof of concept</w:t>
      </w:r>
      <w:r>
        <w:rPr>
          <w:rFonts w:cs="ITCFranklinGothicStd-Book"/>
          <w:sz w:val="24"/>
          <w:szCs w:val="24"/>
        </w:rPr>
        <w:t xml:space="preserve"> experience to see if questionnaire </w:t>
      </w:r>
      <w:r w:rsidR="00056243">
        <w:rPr>
          <w:rFonts w:cs="ITCFranklinGothicStd-Book"/>
          <w:sz w:val="24"/>
          <w:szCs w:val="24"/>
        </w:rPr>
        <w:t>refinement will be recommended for the multi-site protocol. Additionally, eligibility screeners (</w:t>
      </w:r>
      <w:r w:rsidR="00056243">
        <w:rPr>
          <w:rFonts w:cs="ITCFranklinGothicStd-Book"/>
          <w:b/>
          <w:sz w:val="24"/>
          <w:szCs w:val="24"/>
        </w:rPr>
        <w:t>Attachments</w:t>
      </w:r>
      <w:r w:rsidR="00056243">
        <w:rPr>
          <w:b/>
          <w:sz w:val="24"/>
          <w:szCs w:val="24"/>
        </w:rPr>
        <w:t xml:space="preserve"> 6c, 7c</w:t>
      </w:r>
      <w:r w:rsidR="00056243">
        <w:rPr>
          <w:sz w:val="24"/>
          <w:szCs w:val="24"/>
        </w:rPr>
        <w:t xml:space="preserve">), </w:t>
      </w:r>
      <w:r w:rsidR="00056243" w:rsidRPr="00056243">
        <w:rPr>
          <w:sz w:val="24"/>
          <w:szCs w:val="24"/>
        </w:rPr>
        <w:t>medical records abstraction forms (</w:t>
      </w:r>
      <w:r w:rsidR="00056243">
        <w:rPr>
          <w:b/>
          <w:sz w:val="24"/>
          <w:szCs w:val="24"/>
        </w:rPr>
        <w:t>Attachments 19a, 19b</w:t>
      </w:r>
      <w:r w:rsidR="00056243">
        <w:rPr>
          <w:sz w:val="24"/>
          <w:szCs w:val="24"/>
        </w:rPr>
        <w:t>), and</w:t>
      </w:r>
      <w:r w:rsidR="00CC05B0">
        <w:rPr>
          <w:sz w:val="24"/>
          <w:szCs w:val="24"/>
        </w:rPr>
        <w:t xml:space="preserve"> the school records abstraction form</w:t>
      </w:r>
      <w:r w:rsidR="00056243">
        <w:rPr>
          <w:b/>
          <w:sz w:val="24"/>
          <w:szCs w:val="24"/>
        </w:rPr>
        <w:t xml:space="preserve"> </w:t>
      </w:r>
      <w:r w:rsidR="00CC05B0">
        <w:rPr>
          <w:sz w:val="24"/>
          <w:szCs w:val="24"/>
        </w:rPr>
        <w:t>(</w:t>
      </w:r>
      <w:r w:rsidR="00CC05B0">
        <w:rPr>
          <w:b/>
          <w:sz w:val="24"/>
          <w:szCs w:val="24"/>
        </w:rPr>
        <w:t xml:space="preserve">Attachment </w:t>
      </w:r>
      <w:r w:rsidR="00056243">
        <w:rPr>
          <w:b/>
          <w:sz w:val="24"/>
          <w:szCs w:val="24"/>
        </w:rPr>
        <w:t>20b</w:t>
      </w:r>
      <w:r w:rsidR="006106B8">
        <w:rPr>
          <w:sz w:val="24"/>
          <w:szCs w:val="24"/>
        </w:rPr>
        <w:t>) are new forms to be tested for ease of use and utility.</w:t>
      </w:r>
    </w:p>
    <w:p w14:paraId="63C2C2DE" w14:textId="77777777" w:rsidR="00DC57CC" w:rsidRPr="00E707C0" w:rsidRDefault="00D33AE3" w:rsidP="008D0F27">
      <w:pPr>
        <w:pStyle w:val="Heading1"/>
        <w:pBdr>
          <w:bottom w:val="none" w:sz="0" w:space="0" w:color="auto"/>
        </w:pBdr>
        <w:rPr>
          <w:rFonts w:ascii="Cambria" w:hAnsi="Cambria"/>
          <w:color w:val="auto"/>
        </w:rPr>
      </w:pPr>
      <w:bookmarkStart w:id="7" w:name="_Toc532227534"/>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7CAA0761" w14:textId="074DB78E" w:rsidR="007F0E10" w:rsidRDefault="007F0E10" w:rsidP="007F0E10">
      <w:pPr>
        <w:autoSpaceDE w:val="0"/>
        <w:autoSpaceDN w:val="0"/>
        <w:adjustRightInd w:val="0"/>
        <w:spacing w:after="0" w:line="240" w:lineRule="auto"/>
        <w:jc w:val="both"/>
        <w:rPr>
          <w:rFonts w:cstheme="minorHAnsi"/>
          <w:b/>
          <w:sz w:val="24"/>
          <w:szCs w:val="24"/>
        </w:rPr>
      </w:pPr>
    </w:p>
    <w:p w14:paraId="4C4E240E" w14:textId="2AB2BC18" w:rsidR="007F0E10" w:rsidRPr="007F0E10" w:rsidRDefault="009700C5" w:rsidP="007F0E10">
      <w:pPr>
        <w:autoSpaceDE w:val="0"/>
        <w:autoSpaceDN w:val="0"/>
        <w:adjustRightInd w:val="0"/>
        <w:spacing w:after="0" w:line="240" w:lineRule="auto"/>
        <w:jc w:val="both"/>
        <w:rPr>
          <w:rFonts w:cstheme="minorHAnsi"/>
          <w:sz w:val="24"/>
          <w:szCs w:val="24"/>
        </w:rPr>
      </w:pPr>
      <w:r>
        <w:rPr>
          <w:rFonts w:cstheme="minorHAnsi"/>
          <w:sz w:val="24"/>
          <w:szCs w:val="24"/>
        </w:rPr>
        <w:t xml:space="preserve">Table B.5.1. </w:t>
      </w:r>
      <w:r w:rsidR="0031214F">
        <w:rPr>
          <w:rFonts w:cstheme="minorHAnsi"/>
          <w:sz w:val="24"/>
          <w:szCs w:val="24"/>
        </w:rPr>
        <w:t>Personnel Consulted</w:t>
      </w:r>
      <w:r w:rsidR="00E410B4">
        <w:rPr>
          <w:rFonts w:cstheme="minorHAnsi"/>
          <w:sz w:val="24"/>
          <w:szCs w:val="24"/>
        </w:rPr>
        <w:t xml:space="preserve"> on Statistical Design</w:t>
      </w:r>
    </w:p>
    <w:p w14:paraId="6CCA098C" w14:textId="77777777" w:rsidR="007F0E10" w:rsidRPr="007F0E10" w:rsidRDefault="007F0E10" w:rsidP="007F0E10">
      <w:pPr>
        <w:pStyle w:val="ListParagraph"/>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00"/>
        <w:gridCol w:w="1260"/>
        <w:gridCol w:w="1530"/>
        <w:gridCol w:w="2430"/>
      </w:tblGrid>
      <w:tr w:rsidR="007F0E10" w:rsidRPr="00D20211" w14:paraId="40C6622A" w14:textId="77777777" w:rsidTr="009700C5">
        <w:tc>
          <w:tcPr>
            <w:tcW w:w="2340" w:type="dxa"/>
            <w:tcBorders>
              <w:top w:val="single" w:sz="8" w:space="0" w:color="auto"/>
              <w:left w:val="nil"/>
              <w:bottom w:val="single" w:sz="8" w:space="0" w:color="auto"/>
              <w:right w:val="nil"/>
            </w:tcBorders>
            <w:shd w:val="clear" w:color="auto" w:fill="auto"/>
          </w:tcPr>
          <w:p w14:paraId="1DDD1F3F"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Name</w:t>
            </w:r>
          </w:p>
        </w:tc>
        <w:tc>
          <w:tcPr>
            <w:tcW w:w="1800" w:type="dxa"/>
            <w:tcBorders>
              <w:top w:val="single" w:sz="8" w:space="0" w:color="auto"/>
              <w:left w:val="nil"/>
              <w:bottom w:val="single" w:sz="8" w:space="0" w:color="auto"/>
              <w:right w:val="nil"/>
            </w:tcBorders>
            <w:shd w:val="clear" w:color="auto" w:fill="auto"/>
          </w:tcPr>
          <w:p w14:paraId="47047034"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Title</w:t>
            </w:r>
          </w:p>
        </w:tc>
        <w:tc>
          <w:tcPr>
            <w:tcW w:w="1260" w:type="dxa"/>
            <w:tcBorders>
              <w:top w:val="single" w:sz="8" w:space="0" w:color="auto"/>
              <w:left w:val="nil"/>
              <w:bottom w:val="single" w:sz="8" w:space="0" w:color="auto"/>
              <w:right w:val="nil"/>
            </w:tcBorders>
            <w:shd w:val="clear" w:color="auto" w:fill="auto"/>
          </w:tcPr>
          <w:p w14:paraId="10515D33"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Affiliation</w:t>
            </w:r>
          </w:p>
        </w:tc>
        <w:tc>
          <w:tcPr>
            <w:tcW w:w="1530" w:type="dxa"/>
            <w:tcBorders>
              <w:top w:val="single" w:sz="8" w:space="0" w:color="auto"/>
              <w:left w:val="nil"/>
              <w:bottom w:val="single" w:sz="8" w:space="0" w:color="auto"/>
              <w:right w:val="nil"/>
            </w:tcBorders>
            <w:shd w:val="clear" w:color="auto" w:fill="auto"/>
          </w:tcPr>
          <w:p w14:paraId="1C712CFE"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Phone</w:t>
            </w:r>
          </w:p>
        </w:tc>
        <w:tc>
          <w:tcPr>
            <w:tcW w:w="2430" w:type="dxa"/>
            <w:tcBorders>
              <w:top w:val="single" w:sz="8" w:space="0" w:color="auto"/>
              <w:left w:val="nil"/>
              <w:bottom w:val="single" w:sz="8" w:space="0" w:color="auto"/>
              <w:right w:val="nil"/>
            </w:tcBorders>
            <w:shd w:val="clear" w:color="auto" w:fill="auto"/>
          </w:tcPr>
          <w:p w14:paraId="3CD7E058"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Email</w:t>
            </w:r>
          </w:p>
        </w:tc>
      </w:tr>
      <w:tr w:rsidR="007F0E10" w:rsidRPr="00D20211" w14:paraId="3A1E428E" w14:textId="77777777" w:rsidTr="00AE70E7">
        <w:tc>
          <w:tcPr>
            <w:tcW w:w="9360" w:type="dxa"/>
            <w:gridSpan w:val="5"/>
            <w:tcBorders>
              <w:top w:val="single" w:sz="8" w:space="0" w:color="auto"/>
              <w:left w:val="nil"/>
              <w:bottom w:val="single" w:sz="8" w:space="0" w:color="auto"/>
              <w:right w:val="nil"/>
            </w:tcBorders>
            <w:shd w:val="clear" w:color="auto" w:fill="auto"/>
            <w:vAlign w:val="center"/>
          </w:tcPr>
          <w:p w14:paraId="15B0C911" w14:textId="3E9F416A" w:rsidR="007F0E10" w:rsidRPr="00D20211" w:rsidRDefault="00E410B4" w:rsidP="00AE70E7">
            <w:pPr>
              <w:autoSpaceDE w:val="0"/>
              <w:autoSpaceDN w:val="0"/>
              <w:adjustRightInd w:val="0"/>
              <w:spacing w:after="0" w:line="240" w:lineRule="auto"/>
              <w:jc w:val="both"/>
              <w:rPr>
                <w:rFonts w:cstheme="minorHAnsi"/>
                <w:i/>
                <w:sz w:val="20"/>
                <w:szCs w:val="20"/>
              </w:rPr>
            </w:pPr>
            <w:r>
              <w:rPr>
                <w:rFonts w:cstheme="minorHAnsi"/>
                <w:i/>
                <w:sz w:val="20"/>
                <w:szCs w:val="20"/>
              </w:rPr>
              <w:t>FEDERAL AGENCY</w:t>
            </w:r>
          </w:p>
        </w:tc>
      </w:tr>
      <w:tr w:rsidR="00E410B4" w:rsidRPr="00D20211" w14:paraId="62EA3DE9" w14:textId="77777777" w:rsidTr="009700C5">
        <w:tc>
          <w:tcPr>
            <w:tcW w:w="2340" w:type="dxa"/>
            <w:tcBorders>
              <w:top w:val="single" w:sz="8" w:space="0" w:color="auto"/>
              <w:left w:val="nil"/>
              <w:bottom w:val="single" w:sz="8" w:space="0" w:color="auto"/>
              <w:right w:val="nil"/>
            </w:tcBorders>
            <w:shd w:val="clear" w:color="auto" w:fill="auto"/>
            <w:vAlign w:val="center"/>
          </w:tcPr>
          <w:p w14:paraId="4E68DDEC" w14:textId="0F5B1080" w:rsidR="00E410B4" w:rsidRPr="004F7094" w:rsidRDefault="009700C5" w:rsidP="00E410B4">
            <w:pPr>
              <w:autoSpaceDE w:val="0"/>
              <w:autoSpaceDN w:val="0"/>
              <w:adjustRightInd w:val="0"/>
              <w:spacing w:after="0" w:line="240" w:lineRule="auto"/>
              <w:jc w:val="both"/>
              <w:rPr>
                <w:rFonts w:cstheme="minorHAnsi"/>
                <w:sz w:val="20"/>
                <w:szCs w:val="20"/>
              </w:rPr>
            </w:pPr>
            <w:r w:rsidRPr="004F7094">
              <w:rPr>
                <w:rFonts w:cstheme="minorHAnsi"/>
                <w:sz w:val="20"/>
                <w:szCs w:val="20"/>
              </w:rPr>
              <w:t>Marian Pavuk</w:t>
            </w:r>
            <w:r w:rsidR="00E410B4" w:rsidRPr="004F7094">
              <w:rPr>
                <w:rFonts w:cstheme="minorHAnsi"/>
                <w:sz w:val="20"/>
                <w:szCs w:val="20"/>
              </w:rPr>
              <w:t xml:space="preserve">, </w:t>
            </w:r>
            <w:r w:rsidR="00F1518B" w:rsidRPr="004F7094">
              <w:rPr>
                <w:rFonts w:cstheme="minorHAnsi"/>
                <w:sz w:val="20"/>
                <w:szCs w:val="20"/>
              </w:rPr>
              <w:t xml:space="preserve">MD, </w:t>
            </w:r>
            <w:r w:rsidR="00E410B4" w:rsidRPr="004F7094">
              <w:rPr>
                <w:rFonts w:cstheme="minorHAnsi"/>
                <w:sz w:val="20"/>
                <w:szCs w:val="20"/>
              </w:rPr>
              <w:t>PhD</w:t>
            </w:r>
          </w:p>
        </w:tc>
        <w:tc>
          <w:tcPr>
            <w:tcW w:w="1800" w:type="dxa"/>
            <w:tcBorders>
              <w:top w:val="single" w:sz="8" w:space="0" w:color="auto"/>
              <w:left w:val="nil"/>
              <w:bottom w:val="single" w:sz="8" w:space="0" w:color="auto"/>
              <w:right w:val="nil"/>
            </w:tcBorders>
            <w:shd w:val="clear" w:color="auto" w:fill="auto"/>
            <w:vAlign w:val="center"/>
          </w:tcPr>
          <w:p w14:paraId="21B683F2" w14:textId="77777777" w:rsidR="009700C5" w:rsidRPr="004F7094" w:rsidRDefault="009700C5" w:rsidP="009700C5">
            <w:pPr>
              <w:autoSpaceDE w:val="0"/>
              <w:autoSpaceDN w:val="0"/>
              <w:adjustRightInd w:val="0"/>
              <w:spacing w:after="0" w:line="240" w:lineRule="auto"/>
              <w:rPr>
                <w:rFonts w:cstheme="minorHAnsi"/>
                <w:sz w:val="20"/>
                <w:szCs w:val="20"/>
              </w:rPr>
            </w:pPr>
            <w:r w:rsidRPr="004F7094">
              <w:rPr>
                <w:rFonts w:cstheme="minorHAnsi"/>
                <w:sz w:val="20"/>
                <w:szCs w:val="20"/>
              </w:rPr>
              <w:t xml:space="preserve">Senior Epidemiologist, </w:t>
            </w:r>
          </w:p>
          <w:p w14:paraId="281685E5" w14:textId="3CF1C244" w:rsidR="00E410B4" w:rsidRPr="004F7094" w:rsidRDefault="009700C5" w:rsidP="009700C5">
            <w:pPr>
              <w:autoSpaceDE w:val="0"/>
              <w:autoSpaceDN w:val="0"/>
              <w:adjustRightInd w:val="0"/>
              <w:spacing w:after="0" w:line="240" w:lineRule="auto"/>
              <w:rPr>
                <w:rFonts w:cstheme="minorHAnsi"/>
                <w:sz w:val="20"/>
                <w:szCs w:val="20"/>
              </w:rPr>
            </w:pPr>
            <w:r w:rsidRPr="004F7094">
              <w:rPr>
                <w:rFonts w:cstheme="minorHAnsi"/>
                <w:sz w:val="20"/>
                <w:szCs w:val="20"/>
              </w:rPr>
              <w:t>PI Pease Study</w:t>
            </w:r>
          </w:p>
        </w:tc>
        <w:tc>
          <w:tcPr>
            <w:tcW w:w="1260" w:type="dxa"/>
            <w:tcBorders>
              <w:top w:val="single" w:sz="8" w:space="0" w:color="auto"/>
              <w:left w:val="nil"/>
              <w:bottom w:val="single" w:sz="8" w:space="0" w:color="auto"/>
              <w:right w:val="nil"/>
            </w:tcBorders>
            <w:shd w:val="clear" w:color="auto" w:fill="auto"/>
            <w:vAlign w:val="center"/>
          </w:tcPr>
          <w:p w14:paraId="031B6FE5" w14:textId="144959F1" w:rsidR="00E410B4" w:rsidRPr="004F7094" w:rsidRDefault="00E410B4" w:rsidP="00E410B4">
            <w:pPr>
              <w:autoSpaceDE w:val="0"/>
              <w:autoSpaceDN w:val="0"/>
              <w:adjustRightInd w:val="0"/>
              <w:spacing w:after="0" w:line="240" w:lineRule="auto"/>
              <w:jc w:val="both"/>
              <w:rPr>
                <w:rFonts w:cstheme="minorHAnsi"/>
                <w:sz w:val="20"/>
                <w:szCs w:val="20"/>
              </w:rPr>
            </w:pPr>
            <w:r w:rsidRPr="004F7094">
              <w:rPr>
                <w:rFonts w:cstheme="minorHAnsi"/>
                <w:sz w:val="20"/>
                <w:szCs w:val="20"/>
              </w:rPr>
              <w:t>A</w:t>
            </w:r>
            <w:r w:rsidR="00B5171E" w:rsidRPr="004F7094">
              <w:rPr>
                <w:rFonts w:cstheme="minorHAnsi"/>
                <w:sz w:val="20"/>
                <w:szCs w:val="20"/>
              </w:rPr>
              <w:t>TSDR</w:t>
            </w:r>
          </w:p>
        </w:tc>
        <w:tc>
          <w:tcPr>
            <w:tcW w:w="1530" w:type="dxa"/>
            <w:tcBorders>
              <w:top w:val="single" w:sz="8" w:space="0" w:color="auto"/>
              <w:left w:val="nil"/>
              <w:bottom w:val="single" w:sz="8" w:space="0" w:color="auto"/>
              <w:right w:val="nil"/>
            </w:tcBorders>
            <w:shd w:val="clear" w:color="auto" w:fill="auto"/>
            <w:vAlign w:val="center"/>
          </w:tcPr>
          <w:p w14:paraId="4EA06587" w14:textId="4E32B9BE" w:rsidR="00E410B4" w:rsidRPr="004F7094" w:rsidRDefault="004F7094" w:rsidP="00E410B4">
            <w:pPr>
              <w:autoSpaceDE w:val="0"/>
              <w:autoSpaceDN w:val="0"/>
              <w:adjustRightInd w:val="0"/>
              <w:spacing w:after="0" w:line="240" w:lineRule="auto"/>
              <w:jc w:val="both"/>
              <w:rPr>
                <w:rFonts w:cstheme="minorHAnsi"/>
                <w:sz w:val="20"/>
                <w:szCs w:val="20"/>
              </w:rPr>
            </w:pPr>
            <w:r w:rsidRPr="004F7094">
              <w:rPr>
                <w:rFonts w:cstheme="minorHAnsi"/>
                <w:sz w:val="20"/>
                <w:szCs w:val="20"/>
              </w:rPr>
              <w:t>(770) 488-3671</w:t>
            </w:r>
          </w:p>
        </w:tc>
        <w:tc>
          <w:tcPr>
            <w:tcW w:w="2430" w:type="dxa"/>
            <w:tcBorders>
              <w:top w:val="single" w:sz="8" w:space="0" w:color="auto"/>
              <w:left w:val="nil"/>
              <w:bottom w:val="single" w:sz="8" w:space="0" w:color="auto"/>
              <w:right w:val="nil"/>
            </w:tcBorders>
            <w:shd w:val="clear" w:color="auto" w:fill="auto"/>
            <w:vAlign w:val="center"/>
          </w:tcPr>
          <w:p w14:paraId="7A63D4DE" w14:textId="5DC9D10D" w:rsidR="00E410B4" w:rsidRPr="004F7094" w:rsidRDefault="001228CE" w:rsidP="00E410B4">
            <w:pPr>
              <w:autoSpaceDE w:val="0"/>
              <w:autoSpaceDN w:val="0"/>
              <w:adjustRightInd w:val="0"/>
              <w:spacing w:after="0" w:line="240" w:lineRule="auto"/>
              <w:jc w:val="both"/>
              <w:rPr>
                <w:sz w:val="20"/>
                <w:szCs w:val="20"/>
              </w:rPr>
            </w:pPr>
            <w:hyperlink r:id="rId9" w:history="1">
              <w:r w:rsidR="00F431E1" w:rsidRPr="004F7094">
                <w:rPr>
                  <w:rStyle w:val="Hyperlink"/>
                  <w:sz w:val="20"/>
                  <w:szCs w:val="20"/>
                </w:rPr>
                <w:t>fsh8</w:t>
              </w:r>
              <w:r w:rsidR="00F431E1" w:rsidRPr="004F7094">
                <w:rPr>
                  <w:rStyle w:val="Hyperlink"/>
                  <w:rFonts w:cstheme="minorHAnsi"/>
                  <w:sz w:val="20"/>
                  <w:szCs w:val="20"/>
                </w:rPr>
                <w:t>@cdc.gov</w:t>
              </w:r>
            </w:hyperlink>
            <w:r w:rsidR="00F431E1" w:rsidRPr="004F7094">
              <w:rPr>
                <w:rFonts w:cstheme="minorHAnsi"/>
                <w:sz w:val="20"/>
                <w:szCs w:val="20"/>
              </w:rPr>
              <w:t xml:space="preserve"> </w:t>
            </w:r>
          </w:p>
        </w:tc>
      </w:tr>
      <w:tr w:rsidR="00F1518B" w:rsidRPr="00D20211" w14:paraId="5B976666" w14:textId="77777777" w:rsidTr="009700C5">
        <w:tc>
          <w:tcPr>
            <w:tcW w:w="2340" w:type="dxa"/>
            <w:tcBorders>
              <w:top w:val="single" w:sz="8" w:space="0" w:color="auto"/>
              <w:left w:val="nil"/>
              <w:bottom w:val="single" w:sz="8" w:space="0" w:color="auto"/>
              <w:right w:val="nil"/>
            </w:tcBorders>
            <w:shd w:val="clear" w:color="auto" w:fill="auto"/>
            <w:vAlign w:val="center"/>
          </w:tcPr>
          <w:p w14:paraId="22FD95B0" w14:textId="2A6DCF2B" w:rsidR="00F1518B" w:rsidRPr="004F7094" w:rsidRDefault="00F431E1" w:rsidP="00F1518B">
            <w:pPr>
              <w:autoSpaceDE w:val="0"/>
              <w:autoSpaceDN w:val="0"/>
              <w:adjustRightInd w:val="0"/>
              <w:spacing w:after="0" w:line="240" w:lineRule="auto"/>
              <w:jc w:val="both"/>
              <w:rPr>
                <w:rFonts w:cstheme="minorHAnsi"/>
                <w:sz w:val="20"/>
                <w:szCs w:val="20"/>
              </w:rPr>
            </w:pPr>
            <w:r w:rsidRPr="004F7094">
              <w:rPr>
                <w:rFonts w:cstheme="minorHAnsi"/>
                <w:sz w:val="20"/>
                <w:szCs w:val="20"/>
              </w:rPr>
              <w:t>Frank Bove, DSc</w:t>
            </w:r>
          </w:p>
        </w:tc>
        <w:tc>
          <w:tcPr>
            <w:tcW w:w="1800" w:type="dxa"/>
            <w:tcBorders>
              <w:top w:val="single" w:sz="8" w:space="0" w:color="auto"/>
              <w:left w:val="nil"/>
              <w:bottom w:val="single" w:sz="8" w:space="0" w:color="auto"/>
              <w:right w:val="nil"/>
            </w:tcBorders>
            <w:shd w:val="clear" w:color="auto" w:fill="auto"/>
            <w:vAlign w:val="center"/>
          </w:tcPr>
          <w:p w14:paraId="2E97F712" w14:textId="77777777" w:rsidR="00F1518B" w:rsidRPr="004F7094" w:rsidRDefault="00F1518B" w:rsidP="00F1518B">
            <w:pPr>
              <w:autoSpaceDE w:val="0"/>
              <w:autoSpaceDN w:val="0"/>
              <w:adjustRightInd w:val="0"/>
              <w:spacing w:after="0" w:line="240" w:lineRule="auto"/>
              <w:rPr>
                <w:rFonts w:cstheme="minorHAnsi"/>
                <w:sz w:val="20"/>
                <w:szCs w:val="20"/>
              </w:rPr>
            </w:pPr>
            <w:r w:rsidRPr="004F7094">
              <w:rPr>
                <w:rFonts w:cstheme="minorHAnsi"/>
                <w:sz w:val="20"/>
                <w:szCs w:val="20"/>
              </w:rPr>
              <w:t xml:space="preserve">Senior Epidemiologist, </w:t>
            </w:r>
          </w:p>
          <w:p w14:paraId="756435E9" w14:textId="16EE3A7E" w:rsidR="00F1518B" w:rsidRPr="004F7094" w:rsidRDefault="00F1518B" w:rsidP="00F1518B">
            <w:pPr>
              <w:autoSpaceDE w:val="0"/>
              <w:autoSpaceDN w:val="0"/>
              <w:adjustRightInd w:val="0"/>
              <w:spacing w:after="0" w:line="240" w:lineRule="auto"/>
              <w:jc w:val="both"/>
              <w:rPr>
                <w:rFonts w:cstheme="minorHAnsi"/>
                <w:sz w:val="20"/>
                <w:szCs w:val="20"/>
              </w:rPr>
            </w:pPr>
            <w:r w:rsidRPr="004F7094">
              <w:rPr>
                <w:rFonts w:cstheme="minorHAnsi"/>
                <w:sz w:val="20"/>
                <w:szCs w:val="20"/>
              </w:rPr>
              <w:t>PI Pease Study</w:t>
            </w:r>
          </w:p>
        </w:tc>
        <w:tc>
          <w:tcPr>
            <w:tcW w:w="1260" w:type="dxa"/>
            <w:tcBorders>
              <w:top w:val="single" w:sz="8" w:space="0" w:color="auto"/>
              <w:left w:val="nil"/>
              <w:bottom w:val="single" w:sz="8" w:space="0" w:color="auto"/>
              <w:right w:val="nil"/>
            </w:tcBorders>
            <w:shd w:val="clear" w:color="auto" w:fill="auto"/>
            <w:vAlign w:val="center"/>
          </w:tcPr>
          <w:p w14:paraId="20751598" w14:textId="55A6D7A6" w:rsidR="00F1518B" w:rsidRPr="004F7094" w:rsidRDefault="00F1518B" w:rsidP="00F1518B">
            <w:pPr>
              <w:autoSpaceDE w:val="0"/>
              <w:autoSpaceDN w:val="0"/>
              <w:adjustRightInd w:val="0"/>
              <w:spacing w:after="0" w:line="240" w:lineRule="auto"/>
              <w:jc w:val="both"/>
              <w:rPr>
                <w:rFonts w:cstheme="minorHAnsi"/>
                <w:sz w:val="20"/>
                <w:szCs w:val="20"/>
              </w:rPr>
            </w:pPr>
            <w:r w:rsidRPr="004F7094">
              <w:rPr>
                <w:rFonts w:cstheme="minorHAnsi"/>
                <w:sz w:val="20"/>
                <w:szCs w:val="20"/>
              </w:rPr>
              <w:t>ATSDR</w:t>
            </w:r>
          </w:p>
        </w:tc>
        <w:tc>
          <w:tcPr>
            <w:tcW w:w="1530" w:type="dxa"/>
            <w:tcBorders>
              <w:top w:val="single" w:sz="8" w:space="0" w:color="auto"/>
              <w:left w:val="nil"/>
              <w:bottom w:val="single" w:sz="8" w:space="0" w:color="auto"/>
              <w:right w:val="nil"/>
            </w:tcBorders>
            <w:shd w:val="clear" w:color="auto" w:fill="auto"/>
            <w:vAlign w:val="center"/>
          </w:tcPr>
          <w:p w14:paraId="46CA3C10" w14:textId="14CE3E82" w:rsidR="00F1518B" w:rsidRPr="004F7094" w:rsidRDefault="004F7094" w:rsidP="00F1518B">
            <w:pPr>
              <w:autoSpaceDE w:val="0"/>
              <w:autoSpaceDN w:val="0"/>
              <w:adjustRightInd w:val="0"/>
              <w:spacing w:after="0" w:line="240" w:lineRule="auto"/>
              <w:jc w:val="both"/>
              <w:rPr>
                <w:rFonts w:cstheme="minorHAnsi"/>
                <w:sz w:val="20"/>
                <w:szCs w:val="20"/>
              </w:rPr>
            </w:pPr>
            <w:r w:rsidRPr="004F7094">
              <w:rPr>
                <w:rFonts w:cstheme="minorHAnsi"/>
                <w:sz w:val="20"/>
                <w:szCs w:val="20"/>
              </w:rPr>
              <w:t>(770) 488-3809</w:t>
            </w:r>
          </w:p>
        </w:tc>
        <w:tc>
          <w:tcPr>
            <w:tcW w:w="2430" w:type="dxa"/>
            <w:tcBorders>
              <w:top w:val="single" w:sz="8" w:space="0" w:color="auto"/>
              <w:left w:val="nil"/>
              <w:bottom w:val="single" w:sz="8" w:space="0" w:color="auto"/>
              <w:right w:val="nil"/>
            </w:tcBorders>
            <w:shd w:val="clear" w:color="auto" w:fill="auto"/>
            <w:vAlign w:val="center"/>
          </w:tcPr>
          <w:p w14:paraId="576F1577" w14:textId="3D6FFBA4" w:rsidR="00F1518B" w:rsidRPr="004F7094" w:rsidRDefault="001228CE" w:rsidP="00F1518B">
            <w:pPr>
              <w:autoSpaceDE w:val="0"/>
              <w:autoSpaceDN w:val="0"/>
              <w:adjustRightInd w:val="0"/>
              <w:spacing w:after="0" w:line="240" w:lineRule="auto"/>
              <w:jc w:val="both"/>
              <w:rPr>
                <w:sz w:val="20"/>
                <w:szCs w:val="20"/>
              </w:rPr>
            </w:pPr>
            <w:hyperlink r:id="rId10" w:history="1">
              <w:r w:rsidR="004F7094" w:rsidRPr="004F7094">
                <w:rPr>
                  <w:rStyle w:val="Hyperlink"/>
                  <w:sz w:val="20"/>
                  <w:szCs w:val="20"/>
                </w:rPr>
                <w:t>fjb0</w:t>
              </w:r>
              <w:r w:rsidR="004F7094" w:rsidRPr="004F7094">
                <w:rPr>
                  <w:rStyle w:val="Hyperlink"/>
                  <w:rFonts w:cstheme="minorHAnsi"/>
                  <w:sz w:val="20"/>
                  <w:szCs w:val="20"/>
                </w:rPr>
                <w:t>@cdc.gov</w:t>
              </w:r>
            </w:hyperlink>
            <w:r w:rsidR="00F1518B" w:rsidRPr="004F7094">
              <w:rPr>
                <w:rFonts w:cstheme="minorHAnsi"/>
                <w:sz w:val="20"/>
                <w:szCs w:val="20"/>
              </w:rPr>
              <w:t xml:space="preserve"> </w:t>
            </w:r>
          </w:p>
        </w:tc>
      </w:tr>
    </w:tbl>
    <w:p w14:paraId="7838E58E" w14:textId="77777777" w:rsidR="007F0E10" w:rsidRPr="007F0E10" w:rsidRDefault="007F0E10" w:rsidP="007F0E10">
      <w:pPr>
        <w:pStyle w:val="ListParagraph"/>
        <w:autoSpaceDE w:val="0"/>
        <w:autoSpaceDN w:val="0"/>
        <w:adjustRightInd w:val="0"/>
        <w:spacing w:line="240" w:lineRule="auto"/>
        <w:rPr>
          <w:rFonts w:cs="ITCFranklinGothicStd-Book"/>
          <w:sz w:val="24"/>
          <w:szCs w:val="24"/>
        </w:rPr>
      </w:pPr>
    </w:p>
    <w:p w14:paraId="39CB6336" w14:textId="0E199161" w:rsidR="007F0E10" w:rsidRPr="007F0E10" w:rsidRDefault="009700C5" w:rsidP="007F0E10">
      <w:pPr>
        <w:autoSpaceDE w:val="0"/>
        <w:autoSpaceDN w:val="0"/>
        <w:adjustRightInd w:val="0"/>
        <w:spacing w:after="0" w:line="240" w:lineRule="auto"/>
        <w:jc w:val="both"/>
        <w:rPr>
          <w:rFonts w:cstheme="minorHAnsi"/>
          <w:sz w:val="24"/>
          <w:szCs w:val="24"/>
        </w:rPr>
      </w:pPr>
      <w:r>
        <w:rPr>
          <w:rFonts w:cstheme="minorHAnsi"/>
          <w:sz w:val="24"/>
          <w:szCs w:val="24"/>
        </w:rPr>
        <w:t xml:space="preserve">Table B.5.2. </w:t>
      </w:r>
      <w:r w:rsidR="00E410B4">
        <w:rPr>
          <w:rFonts w:cstheme="minorHAnsi"/>
          <w:sz w:val="24"/>
          <w:szCs w:val="24"/>
        </w:rPr>
        <w:t>Personnel Responsible for Collection and Analysis of Information</w:t>
      </w:r>
    </w:p>
    <w:p w14:paraId="4AA9D460" w14:textId="77777777" w:rsidR="007F0E10" w:rsidRPr="007F0E10" w:rsidRDefault="007F0E10" w:rsidP="007F0E10">
      <w:pPr>
        <w:pStyle w:val="ListParagraph"/>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764"/>
        <w:gridCol w:w="137"/>
        <w:gridCol w:w="1282"/>
        <w:gridCol w:w="85"/>
        <w:gridCol w:w="1483"/>
        <w:gridCol w:w="2731"/>
      </w:tblGrid>
      <w:tr w:rsidR="00347B36" w:rsidRPr="00D20211" w14:paraId="2DA5F27B" w14:textId="77777777" w:rsidTr="00716A35">
        <w:tc>
          <w:tcPr>
            <w:tcW w:w="2174" w:type="dxa"/>
            <w:tcBorders>
              <w:top w:val="single" w:sz="8" w:space="0" w:color="auto"/>
              <w:left w:val="nil"/>
              <w:bottom w:val="single" w:sz="8" w:space="0" w:color="auto"/>
              <w:right w:val="nil"/>
            </w:tcBorders>
          </w:tcPr>
          <w:p w14:paraId="704544D5"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Name</w:t>
            </w:r>
          </w:p>
        </w:tc>
        <w:tc>
          <w:tcPr>
            <w:tcW w:w="1786" w:type="dxa"/>
            <w:tcBorders>
              <w:top w:val="single" w:sz="8" w:space="0" w:color="auto"/>
              <w:left w:val="nil"/>
              <w:bottom w:val="single" w:sz="8" w:space="0" w:color="auto"/>
              <w:right w:val="nil"/>
            </w:tcBorders>
          </w:tcPr>
          <w:p w14:paraId="2C6E970A"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Title</w:t>
            </w:r>
          </w:p>
        </w:tc>
        <w:tc>
          <w:tcPr>
            <w:tcW w:w="1530" w:type="dxa"/>
            <w:gridSpan w:val="3"/>
            <w:tcBorders>
              <w:top w:val="single" w:sz="8" w:space="0" w:color="auto"/>
              <w:left w:val="nil"/>
              <w:bottom w:val="single" w:sz="8" w:space="0" w:color="auto"/>
              <w:right w:val="nil"/>
            </w:tcBorders>
          </w:tcPr>
          <w:p w14:paraId="29A5379F"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Affiliation</w:t>
            </w:r>
          </w:p>
        </w:tc>
        <w:tc>
          <w:tcPr>
            <w:tcW w:w="1530" w:type="dxa"/>
            <w:tcBorders>
              <w:top w:val="single" w:sz="8" w:space="0" w:color="auto"/>
              <w:left w:val="nil"/>
              <w:bottom w:val="single" w:sz="8" w:space="0" w:color="auto"/>
              <w:right w:val="nil"/>
            </w:tcBorders>
          </w:tcPr>
          <w:p w14:paraId="42539233"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Phone</w:t>
            </w:r>
          </w:p>
        </w:tc>
        <w:tc>
          <w:tcPr>
            <w:tcW w:w="2340" w:type="dxa"/>
            <w:tcBorders>
              <w:top w:val="single" w:sz="8" w:space="0" w:color="auto"/>
              <w:left w:val="nil"/>
              <w:bottom w:val="single" w:sz="8" w:space="0" w:color="auto"/>
              <w:right w:val="nil"/>
            </w:tcBorders>
          </w:tcPr>
          <w:p w14:paraId="1B1C744A"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Email</w:t>
            </w:r>
          </w:p>
        </w:tc>
      </w:tr>
      <w:tr w:rsidR="00347B36" w:rsidRPr="004F7094" w14:paraId="40956CDE" w14:textId="77777777" w:rsidTr="00716A35">
        <w:tc>
          <w:tcPr>
            <w:tcW w:w="2174" w:type="dxa"/>
            <w:tcBorders>
              <w:top w:val="single" w:sz="8" w:space="0" w:color="auto"/>
              <w:left w:val="nil"/>
              <w:bottom w:val="single" w:sz="8" w:space="0" w:color="auto"/>
              <w:right w:val="nil"/>
            </w:tcBorders>
            <w:shd w:val="clear" w:color="auto" w:fill="auto"/>
            <w:vAlign w:val="center"/>
          </w:tcPr>
          <w:p w14:paraId="3F891425"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Marian Pavuk, MD, PhD</w:t>
            </w:r>
          </w:p>
        </w:tc>
        <w:tc>
          <w:tcPr>
            <w:tcW w:w="1930" w:type="dxa"/>
            <w:gridSpan w:val="2"/>
            <w:tcBorders>
              <w:top w:val="single" w:sz="8" w:space="0" w:color="auto"/>
              <w:left w:val="nil"/>
              <w:bottom w:val="single" w:sz="8" w:space="0" w:color="auto"/>
              <w:right w:val="nil"/>
            </w:tcBorders>
            <w:shd w:val="clear" w:color="auto" w:fill="auto"/>
            <w:vAlign w:val="center"/>
          </w:tcPr>
          <w:p w14:paraId="08D6A384" w14:textId="77777777" w:rsidR="004F7094" w:rsidRPr="004F7094" w:rsidRDefault="004F7094" w:rsidP="00B50B01">
            <w:pPr>
              <w:autoSpaceDE w:val="0"/>
              <w:autoSpaceDN w:val="0"/>
              <w:adjustRightInd w:val="0"/>
              <w:spacing w:after="0" w:line="240" w:lineRule="auto"/>
              <w:rPr>
                <w:rFonts w:cstheme="minorHAnsi"/>
                <w:sz w:val="20"/>
                <w:szCs w:val="20"/>
              </w:rPr>
            </w:pPr>
            <w:r w:rsidRPr="004F7094">
              <w:rPr>
                <w:rFonts w:cstheme="minorHAnsi"/>
                <w:sz w:val="20"/>
                <w:szCs w:val="20"/>
              </w:rPr>
              <w:t xml:space="preserve">Senior Epidemiologist, </w:t>
            </w:r>
          </w:p>
          <w:p w14:paraId="2D4BAACA" w14:textId="77777777" w:rsidR="004F7094" w:rsidRPr="004F7094" w:rsidRDefault="004F7094" w:rsidP="00B50B01">
            <w:pPr>
              <w:autoSpaceDE w:val="0"/>
              <w:autoSpaceDN w:val="0"/>
              <w:adjustRightInd w:val="0"/>
              <w:spacing w:after="0" w:line="240" w:lineRule="auto"/>
              <w:rPr>
                <w:rFonts w:cstheme="minorHAnsi"/>
                <w:sz w:val="20"/>
                <w:szCs w:val="20"/>
              </w:rPr>
            </w:pPr>
            <w:r w:rsidRPr="004F7094">
              <w:rPr>
                <w:rFonts w:cstheme="minorHAnsi"/>
                <w:sz w:val="20"/>
                <w:szCs w:val="20"/>
              </w:rPr>
              <w:t>PI Pease Study</w:t>
            </w:r>
          </w:p>
        </w:tc>
        <w:tc>
          <w:tcPr>
            <w:tcW w:w="1296" w:type="dxa"/>
            <w:tcBorders>
              <w:top w:val="single" w:sz="8" w:space="0" w:color="auto"/>
              <w:left w:val="nil"/>
              <w:bottom w:val="single" w:sz="8" w:space="0" w:color="auto"/>
              <w:right w:val="nil"/>
            </w:tcBorders>
            <w:shd w:val="clear" w:color="auto" w:fill="auto"/>
            <w:vAlign w:val="center"/>
          </w:tcPr>
          <w:p w14:paraId="4AE3C4D3"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ATSDR</w:t>
            </w:r>
          </w:p>
        </w:tc>
        <w:tc>
          <w:tcPr>
            <w:tcW w:w="1620" w:type="dxa"/>
            <w:gridSpan w:val="2"/>
            <w:tcBorders>
              <w:top w:val="single" w:sz="8" w:space="0" w:color="auto"/>
              <w:left w:val="nil"/>
              <w:bottom w:val="single" w:sz="8" w:space="0" w:color="auto"/>
              <w:right w:val="nil"/>
            </w:tcBorders>
            <w:shd w:val="clear" w:color="auto" w:fill="auto"/>
            <w:vAlign w:val="center"/>
          </w:tcPr>
          <w:p w14:paraId="1F02AA65"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(770) 488-3671</w:t>
            </w:r>
          </w:p>
        </w:tc>
        <w:tc>
          <w:tcPr>
            <w:tcW w:w="2340" w:type="dxa"/>
            <w:tcBorders>
              <w:top w:val="single" w:sz="8" w:space="0" w:color="auto"/>
              <w:left w:val="nil"/>
              <w:bottom w:val="single" w:sz="8" w:space="0" w:color="auto"/>
              <w:right w:val="nil"/>
            </w:tcBorders>
            <w:shd w:val="clear" w:color="auto" w:fill="auto"/>
            <w:vAlign w:val="center"/>
          </w:tcPr>
          <w:p w14:paraId="444FB311" w14:textId="77777777" w:rsidR="004F7094" w:rsidRPr="004F7094" w:rsidRDefault="001228CE" w:rsidP="00B50B01">
            <w:pPr>
              <w:autoSpaceDE w:val="0"/>
              <w:autoSpaceDN w:val="0"/>
              <w:adjustRightInd w:val="0"/>
              <w:spacing w:after="0" w:line="240" w:lineRule="auto"/>
              <w:jc w:val="both"/>
              <w:rPr>
                <w:sz w:val="20"/>
                <w:szCs w:val="20"/>
              </w:rPr>
            </w:pPr>
            <w:hyperlink r:id="rId11" w:history="1">
              <w:r w:rsidR="004F7094" w:rsidRPr="004F7094">
                <w:rPr>
                  <w:rStyle w:val="Hyperlink"/>
                  <w:sz w:val="20"/>
                  <w:szCs w:val="20"/>
                </w:rPr>
                <w:t>fsh8</w:t>
              </w:r>
              <w:r w:rsidR="004F7094" w:rsidRPr="004F7094">
                <w:rPr>
                  <w:rStyle w:val="Hyperlink"/>
                  <w:rFonts w:cstheme="minorHAnsi"/>
                  <w:sz w:val="20"/>
                  <w:szCs w:val="20"/>
                </w:rPr>
                <w:t>@cdc.gov</w:t>
              </w:r>
            </w:hyperlink>
            <w:r w:rsidR="004F7094" w:rsidRPr="004F7094">
              <w:rPr>
                <w:rFonts w:cstheme="minorHAnsi"/>
                <w:sz w:val="20"/>
                <w:szCs w:val="20"/>
              </w:rPr>
              <w:t xml:space="preserve"> </w:t>
            </w:r>
          </w:p>
        </w:tc>
      </w:tr>
      <w:tr w:rsidR="00347B36" w:rsidRPr="004F7094" w14:paraId="52B700F6" w14:textId="77777777" w:rsidTr="00716A35">
        <w:tc>
          <w:tcPr>
            <w:tcW w:w="2174" w:type="dxa"/>
            <w:tcBorders>
              <w:top w:val="single" w:sz="8" w:space="0" w:color="auto"/>
              <w:left w:val="nil"/>
              <w:bottom w:val="single" w:sz="8" w:space="0" w:color="auto"/>
              <w:right w:val="nil"/>
            </w:tcBorders>
            <w:shd w:val="clear" w:color="auto" w:fill="auto"/>
            <w:vAlign w:val="center"/>
          </w:tcPr>
          <w:p w14:paraId="3F7E4462"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Frank Bove, DSc</w:t>
            </w:r>
          </w:p>
        </w:tc>
        <w:tc>
          <w:tcPr>
            <w:tcW w:w="1930" w:type="dxa"/>
            <w:gridSpan w:val="2"/>
            <w:tcBorders>
              <w:top w:val="single" w:sz="8" w:space="0" w:color="auto"/>
              <w:left w:val="nil"/>
              <w:bottom w:val="single" w:sz="8" w:space="0" w:color="auto"/>
              <w:right w:val="nil"/>
            </w:tcBorders>
            <w:shd w:val="clear" w:color="auto" w:fill="auto"/>
            <w:vAlign w:val="center"/>
          </w:tcPr>
          <w:p w14:paraId="6A12453B" w14:textId="77777777" w:rsidR="004F7094" w:rsidRPr="004F7094" w:rsidRDefault="004F7094" w:rsidP="00B50B01">
            <w:pPr>
              <w:autoSpaceDE w:val="0"/>
              <w:autoSpaceDN w:val="0"/>
              <w:adjustRightInd w:val="0"/>
              <w:spacing w:after="0" w:line="240" w:lineRule="auto"/>
              <w:rPr>
                <w:rFonts w:cstheme="minorHAnsi"/>
                <w:sz w:val="20"/>
                <w:szCs w:val="20"/>
              </w:rPr>
            </w:pPr>
            <w:r w:rsidRPr="004F7094">
              <w:rPr>
                <w:rFonts w:cstheme="minorHAnsi"/>
                <w:sz w:val="20"/>
                <w:szCs w:val="20"/>
              </w:rPr>
              <w:t xml:space="preserve">Senior Epidemiologist, </w:t>
            </w:r>
          </w:p>
          <w:p w14:paraId="59F6DC45"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PI Pease Study</w:t>
            </w:r>
          </w:p>
        </w:tc>
        <w:tc>
          <w:tcPr>
            <w:tcW w:w="1296" w:type="dxa"/>
            <w:tcBorders>
              <w:top w:val="single" w:sz="8" w:space="0" w:color="auto"/>
              <w:left w:val="nil"/>
              <w:bottom w:val="single" w:sz="8" w:space="0" w:color="auto"/>
              <w:right w:val="nil"/>
            </w:tcBorders>
            <w:shd w:val="clear" w:color="auto" w:fill="auto"/>
            <w:vAlign w:val="center"/>
          </w:tcPr>
          <w:p w14:paraId="6E6D3C39"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ATSDR</w:t>
            </w:r>
          </w:p>
        </w:tc>
        <w:tc>
          <w:tcPr>
            <w:tcW w:w="1620" w:type="dxa"/>
            <w:gridSpan w:val="2"/>
            <w:tcBorders>
              <w:top w:val="single" w:sz="8" w:space="0" w:color="auto"/>
              <w:left w:val="nil"/>
              <w:bottom w:val="single" w:sz="8" w:space="0" w:color="auto"/>
              <w:right w:val="nil"/>
            </w:tcBorders>
            <w:shd w:val="clear" w:color="auto" w:fill="auto"/>
            <w:vAlign w:val="center"/>
          </w:tcPr>
          <w:p w14:paraId="6FAC4BE4"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(770) 488-3809</w:t>
            </w:r>
          </w:p>
        </w:tc>
        <w:tc>
          <w:tcPr>
            <w:tcW w:w="2340" w:type="dxa"/>
            <w:tcBorders>
              <w:top w:val="single" w:sz="8" w:space="0" w:color="auto"/>
              <w:left w:val="nil"/>
              <w:bottom w:val="single" w:sz="8" w:space="0" w:color="auto"/>
              <w:right w:val="nil"/>
            </w:tcBorders>
            <w:shd w:val="clear" w:color="auto" w:fill="auto"/>
            <w:vAlign w:val="center"/>
          </w:tcPr>
          <w:p w14:paraId="3FE86D54" w14:textId="77777777" w:rsidR="004F7094" w:rsidRPr="004F7094" w:rsidRDefault="001228CE" w:rsidP="00B50B01">
            <w:pPr>
              <w:autoSpaceDE w:val="0"/>
              <w:autoSpaceDN w:val="0"/>
              <w:adjustRightInd w:val="0"/>
              <w:spacing w:after="0" w:line="240" w:lineRule="auto"/>
              <w:jc w:val="both"/>
              <w:rPr>
                <w:sz w:val="20"/>
                <w:szCs w:val="20"/>
              </w:rPr>
            </w:pPr>
            <w:hyperlink r:id="rId12" w:history="1">
              <w:r w:rsidR="004F7094" w:rsidRPr="004F7094">
                <w:rPr>
                  <w:rStyle w:val="Hyperlink"/>
                  <w:sz w:val="20"/>
                  <w:szCs w:val="20"/>
                </w:rPr>
                <w:t>fjb0</w:t>
              </w:r>
              <w:r w:rsidR="004F7094" w:rsidRPr="004F7094">
                <w:rPr>
                  <w:rStyle w:val="Hyperlink"/>
                  <w:rFonts w:cstheme="minorHAnsi"/>
                  <w:sz w:val="20"/>
                  <w:szCs w:val="20"/>
                </w:rPr>
                <w:t>@cdc.gov</w:t>
              </w:r>
            </w:hyperlink>
            <w:r w:rsidR="004F7094" w:rsidRPr="004F7094">
              <w:rPr>
                <w:rFonts w:cstheme="minorHAnsi"/>
                <w:sz w:val="20"/>
                <w:szCs w:val="20"/>
              </w:rPr>
              <w:t xml:space="preserve"> </w:t>
            </w:r>
          </w:p>
        </w:tc>
      </w:tr>
      <w:tr w:rsidR="00347B36" w:rsidRPr="00D20211" w14:paraId="0D65D007" w14:textId="77777777" w:rsidTr="00716A35">
        <w:tc>
          <w:tcPr>
            <w:tcW w:w="2174" w:type="dxa"/>
            <w:tcBorders>
              <w:top w:val="single" w:sz="8" w:space="0" w:color="auto"/>
              <w:left w:val="nil"/>
              <w:bottom w:val="single" w:sz="8" w:space="0" w:color="auto"/>
              <w:right w:val="nil"/>
            </w:tcBorders>
            <w:vAlign w:val="center"/>
          </w:tcPr>
          <w:p w14:paraId="525429FB" w14:textId="5218286F" w:rsidR="007F0E10" w:rsidRPr="00D20211" w:rsidRDefault="004F7094" w:rsidP="00AE70E7">
            <w:pPr>
              <w:autoSpaceDE w:val="0"/>
              <w:autoSpaceDN w:val="0"/>
              <w:adjustRightInd w:val="0"/>
              <w:spacing w:after="0" w:line="240" w:lineRule="auto"/>
              <w:rPr>
                <w:rFonts w:cstheme="minorHAnsi"/>
                <w:sz w:val="20"/>
                <w:szCs w:val="20"/>
              </w:rPr>
            </w:pPr>
            <w:r>
              <w:rPr>
                <w:rFonts w:cstheme="minorHAnsi"/>
                <w:sz w:val="20"/>
                <w:szCs w:val="20"/>
              </w:rPr>
              <w:t>Michael Lewin, MS</w:t>
            </w:r>
          </w:p>
        </w:tc>
        <w:tc>
          <w:tcPr>
            <w:tcW w:w="1930" w:type="dxa"/>
            <w:gridSpan w:val="2"/>
            <w:tcBorders>
              <w:top w:val="single" w:sz="8" w:space="0" w:color="auto"/>
              <w:left w:val="nil"/>
              <w:bottom w:val="single" w:sz="8" w:space="0" w:color="auto"/>
              <w:right w:val="nil"/>
            </w:tcBorders>
            <w:vAlign w:val="center"/>
          </w:tcPr>
          <w:p w14:paraId="01DB5F19" w14:textId="152672B0" w:rsidR="007F0E10" w:rsidRPr="00D20211" w:rsidRDefault="004F7094" w:rsidP="00AE70E7">
            <w:pPr>
              <w:autoSpaceDE w:val="0"/>
              <w:autoSpaceDN w:val="0"/>
              <w:adjustRightInd w:val="0"/>
              <w:spacing w:after="0" w:line="240" w:lineRule="auto"/>
              <w:rPr>
                <w:rFonts w:cstheme="minorHAnsi"/>
                <w:sz w:val="20"/>
                <w:szCs w:val="20"/>
              </w:rPr>
            </w:pPr>
            <w:r>
              <w:rPr>
                <w:rFonts w:cstheme="minorHAnsi"/>
                <w:sz w:val="20"/>
                <w:szCs w:val="20"/>
              </w:rPr>
              <w:t>Mathematical Statistician</w:t>
            </w:r>
          </w:p>
        </w:tc>
        <w:tc>
          <w:tcPr>
            <w:tcW w:w="1296" w:type="dxa"/>
            <w:tcBorders>
              <w:top w:val="single" w:sz="8" w:space="0" w:color="auto"/>
              <w:left w:val="nil"/>
              <w:bottom w:val="single" w:sz="8" w:space="0" w:color="auto"/>
              <w:right w:val="nil"/>
            </w:tcBorders>
            <w:vAlign w:val="center"/>
          </w:tcPr>
          <w:p w14:paraId="57DBFE8C" w14:textId="1EB61F96" w:rsidR="007F0E10" w:rsidRPr="00D20211" w:rsidRDefault="00754B3D" w:rsidP="00AE70E7">
            <w:pPr>
              <w:autoSpaceDE w:val="0"/>
              <w:autoSpaceDN w:val="0"/>
              <w:adjustRightInd w:val="0"/>
              <w:spacing w:after="0" w:line="240" w:lineRule="auto"/>
              <w:rPr>
                <w:rFonts w:cstheme="minorHAnsi"/>
                <w:sz w:val="20"/>
                <w:szCs w:val="20"/>
              </w:rPr>
            </w:pPr>
            <w:r>
              <w:rPr>
                <w:rFonts w:cstheme="minorHAnsi"/>
                <w:sz w:val="20"/>
                <w:szCs w:val="20"/>
              </w:rPr>
              <w:t>ATSDR</w:t>
            </w:r>
          </w:p>
        </w:tc>
        <w:tc>
          <w:tcPr>
            <w:tcW w:w="1620" w:type="dxa"/>
            <w:gridSpan w:val="2"/>
            <w:tcBorders>
              <w:top w:val="single" w:sz="8" w:space="0" w:color="auto"/>
              <w:left w:val="nil"/>
              <w:bottom w:val="single" w:sz="8" w:space="0" w:color="auto"/>
              <w:right w:val="nil"/>
            </w:tcBorders>
            <w:vAlign w:val="center"/>
          </w:tcPr>
          <w:p w14:paraId="2DC1311B" w14:textId="71357BD0" w:rsidR="007F0E10" w:rsidRPr="004042C9" w:rsidRDefault="004042C9" w:rsidP="00AE70E7">
            <w:pPr>
              <w:autoSpaceDE w:val="0"/>
              <w:autoSpaceDN w:val="0"/>
              <w:adjustRightInd w:val="0"/>
              <w:spacing w:after="0" w:line="240" w:lineRule="auto"/>
              <w:jc w:val="both"/>
              <w:rPr>
                <w:rStyle w:val="Emphasis"/>
                <w:rFonts w:cstheme="minorHAnsi"/>
                <w:sz w:val="20"/>
                <w:szCs w:val="20"/>
              </w:rPr>
            </w:pPr>
            <w:r>
              <w:rPr>
                <w:rFonts w:cstheme="minorHAnsi"/>
                <w:sz w:val="20"/>
                <w:szCs w:val="20"/>
              </w:rPr>
              <w:t>(770) 488-</w:t>
            </w:r>
            <w:r w:rsidRPr="004042C9">
              <w:rPr>
                <w:rFonts w:cstheme="minorHAnsi"/>
                <w:sz w:val="20"/>
                <w:szCs w:val="20"/>
              </w:rPr>
              <w:t>3812</w:t>
            </w:r>
          </w:p>
        </w:tc>
        <w:tc>
          <w:tcPr>
            <w:tcW w:w="2340" w:type="dxa"/>
            <w:tcBorders>
              <w:top w:val="single" w:sz="8" w:space="0" w:color="auto"/>
              <w:left w:val="nil"/>
              <w:bottom w:val="single" w:sz="8" w:space="0" w:color="auto"/>
              <w:right w:val="nil"/>
            </w:tcBorders>
            <w:vAlign w:val="center"/>
          </w:tcPr>
          <w:p w14:paraId="6785A708" w14:textId="6479060D" w:rsidR="007F0E10" w:rsidRPr="00D20211" w:rsidRDefault="001228CE" w:rsidP="00AE70E7">
            <w:pPr>
              <w:autoSpaceDE w:val="0"/>
              <w:autoSpaceDN w:val="0"/>
              <w:adjustRightInd w:val="0"/>
              <w:spacing w:after="0" w:line="240" w:lineRule="auto"/>
              <w:jc w:val="both"/>
              <w:rPr>
                <w:rStyle w:val="Emphasis"/>
                <w:rFonts w:cstheme="minorHAnsi"/>
                <w:sz w:val="20"/>
                <w:szCs w:val="20"/>
              </w:rPr>
            </w:pPr>
            <w:hyperlink r:id="rId13" w:history="1">
              <w:r w:rsidR="004042C9" w:rsidRPr="001C5CD3">
                <w:rPr>
                  <w:rStyle w:val="Hyperlink"/>
                </w:rPr>
                <w:t>mdl0@cdc.gov</w:t>
              </w:r>
            </w:hyperlink>
            <w:r w:rsidR="007F0E10" w:rsidRPr="00D20211">
              <w:t xml:space="preserve"> </w:t>
            </w:r>
            <w:r w:rsidR="007F0E10" w:rsidRPr="00D20211">
              <w:rPr>
                <w:rStyle w:val="Emphasis"/>
                <w:rFonts w:cstheme="minorHAnsi"/>
                <w:sz w:val="20"/>
                <w:szCs w:val="20"/>
              </w:rPr>
              <w:t xml:space="preserve"> </w:t>
            </w:r>
          </w:p>
        </w:tc>
      </w:tr>
      <w:tr w:rsidR="00347B36" w:rsidRPr="00D20211" w14:paraId="108B5BF2" w14:textId="77777777" w:rsidTr="00716A35">
        <w:tc>
          <w:tcPr>
            <w:tcW w:w="2174" w:type="dxa"/>
            <w:tcBorders>
              <w:top w:val="single" w:sz="8" w:space="0" w:color="auto"/>
              <w:left w:val="nil"/>
              <w:bottom w:val="nil"/>
              <w:right w:val="nil"/>
            </w:tcBorders>
            <w:vAlign w:val="center"/>
          </w:tcPr>
          <w:p w14:paraId="15EA4229" w14:textId="646F0061" w:rsidR="007F0E10" w:rsidRPr="00D20211" w:rsidRDefault="00716A35" w:rsidP="00AE70E7">
            <w:pPr>
              <w:autoSpaceDE w:val="0"/>
              <w:autoSpaceDN w:val="0"/>
              <w:adjustRightInd w:val="0"/>
              <w:spacing w:after="0" w:line="240" w:lineRule="auto"/>
              <w:rPr>
                <w:rFonts w:cstheme="minorHAnsi"/>
                <w:sz w:val="20"/>
                <w:szCs w:val="20"/>
              </w:rPr>
            </w:pPr>
            <w:r>
              <w:rPr>
                <w:rFonts w:cstheme="minorHAnsi"/>
                <w:sz w:val="20"/>
                <w:szCs w:val="20"/>
              </w:rPr>
              <w:t>Danielle Hunt</w:t>
            </w:r>
            <w:r w:rsidR="007F0E10" w:rsidRPr="00D20211">
              <w:rPr>
                <w:rFonts w:cstheme="minorHAnsi"/>
                <w:sz w:val="20"/>
                <w:szCs w:val="20"/>
              </w:rPr>
              <w:t>, PhD</w:t>
            </w:r>
          </w:p>
        </w:tc>
        <w:tc>
          <w:tcPr>
            <w:tcW w:w="1930" w:type="dxa"/>
            <w:gridSpan w:val="2"/>
            <w:tcBorders>
              <w:top w:val="single" w:sz="8" w:space="0" w:color="auto"/>
              <w:left w:val="nil"/>
              <w:bottom w:val="nil"/>
              <w:right w:val="nil"/>
            </w:tcBorders>
            <w:vAlign w:val="center"/>
          </w:tcPr>
          <w:p w14:paraId="56F8D96A" w14:textId="56C9D2EE" w:rsidR="007F0E10" w:rsidRPr="00D20211" w:rsidRDefault="00716A35" w:rsidP="00AE70E7">
            <w:pPr>
              <w:autoSpaceDE w:val="0"/>
              <w:autoSpaceDN w:val="0"/>
              <w:adjustRightInd w:val="0"/>
              <w:spacing w:after="0" w:line="240" w:lineRule="auto"/>
              <w:rPr>
                <w:rFonts w:cstheme="minorHAnsi"/>
                <w:sz w:val="20"/>
                <w:szCs w:val="20"/>
              </w:rPr>
            </w:pPr>
            <w:r>
              <w:rPr>
                <w:rFonts w:cstheme="minorHAnsi"/>
                <w:sz w:val="20"/>
                <w:szCs w:val="20"/>
              </w:rPr>
              <w:t>Project Director</w:t>
            </w:r>
          </w:p>
        </w:tc>
        <w:tc>
          <w:tcPr>
            <w:tcW w:w="1296" w:type="dxa"/>
            <w:tcBorders>
              <w:top w:val="single" w:sz="8" w:space="0" w:color="auto"/>
              <w:left w:val="nil"/>
              <w:bottom w:val="nil"/>
              <w:right w:val="nil"/>
            </w:tcBorders>
            <w:vAlign w:val="center"/>
          </w:tcPr>
          <w:p w14:paraId="23B98C07" w14:textId="21058ABC" w:rsidR="007F0E10" w:rsidRPr="00D20211" w:rsidRDefault="00716A35" w:rsidP="00AE70E7">
            <w:pPr>
              <w:autoSpaceDE w:val="0"/>
              <w:autoSpaceDN w:val="0"/>
              <w:adjustRightInd w:val="0"/>
              <w:spacing w:after="0" w:line="240" w:lineRule="auto"/>
              <w:rPr>
                <w:rFonts w:cstheme="minorHAnsi"/>
                <w:sz w:val="20"/>
                <w:szCs w:val="20"/>
              </w:rPr>
            </w:pPr>
            <w:r>
              <w:rPr>
                <w:rFonts w:cstheme="minorHAnsi"/>
                <w:sz w:val="20"/>
                <w:szCs w:val="20"/>
              </w:rPr>
              <w:t>Abt</w:t>
            </w:r>
            <w:r w:rsidR="00D57DF0">
              <w:rPr>
                <w:rFonts w:cstheme="minorHAnsi"/>
                <w:sz w:val="20"/>
                <w:szCs w:val="20"/>
              </w:rPr>
              <w:t xml:space="preserve"> Assoc.</w:t>
            </w:r>
          </w:p>
        </w:tc>
        <w:tc>
          <w:tcPr>
            <w:tcW w:w="1620" w:type="dxa"/>
            <w:gridSpan w:val="2"/>
            <w:tcBorders>
              <w:top w:val="single" w:sz="8" w:space="0" w:color="auto"/>
              <w:left w:val="nil"/>
              <w:bottom w:val="nil"/>
              <w:right w:val="nil"/>
            </w:tcBorders>
          </w:tcPr>
          <w:p w14:paraId="203DBE30" w14:textId="7816759A" w:rsidR="007F0E10" w:rsidRPr="004042C9" w:rsidRDefault="00347B36" w:rsidP="00AE70E7">
            <w:pPr>
              <w:autoSpaceDE w:val="0"/>
              <w:autoSpaceDN w:val="0"/>
              <w:adjustRightInd w:val="0"/>
              <w:spacing w:after="0" w:line="240" w:lineRule="auto"/>
              <w:jc w:val="both"/>
              <w:rPr>
                <w:rStyle w:val="Emphasis"/>
                <w:rFonts w:cstheme="minorHAnsi"/>
                <w:sz w:val="20"/>
                <w:szCs w:val="20"/>
              </w:rPr>
            </w:pPr>
            <w:r>
              <w:rPr>
                <w:rFonts w:cstheme="minorHAnsi"/>
                <w:sz w:val="20"/>
                <w:szCs w:val="20"/>
              </w:rPr>
              <w:t>(</w:t>
            </w:r>
            <w:r w:rsidRPr="00347B36">
              <w:rPr>
                <w:rFonts w:cstheme="minorHAnsi"/>
                <w:sz w:val="20"/>
                <w:szCs w:val="20"/>
              </w:rPr>
              <w:t>404</w:t>
            </w:r>
            <w:r>
              <w:rPr>
                <w:rFonts w:cstheme="minorHAnsi"/>
                <w:sz w:val="20"/>
                <w:szCs w:val="20"/>
              </w:rPr>
              <w:t xml:space="preserve">) </w:t>
            </w:r>
            <w:r w:rsidRPr="00347B36">
              <w:rPr>
                <w:rFonts w:cstheme="minorHAnsi"/>
                <w:sz w:val="20"/>
                <w:szCs w:val="20"/>
              </w:rPr>
              <w:t>946-6305</w:t>
            </w:r>
          </w:p>
        </w:tc>
        <w:tc>
          <w:tcPr>
            <w:tcW w:w="2340" w:type="dxa"/>
            <w:tcBorders>
              <w:top w:val="single" w:sz="8" w:space="0" w:color="auto"/>
              <w:left w:val="nil"/>
              <w:bottom w:val="nil"/>
              <w:right w:val="nil"/>
            </w:tcBorders>
            <w:vAlign w:val="center"/>
          </w:tcPr>
          <w:p w14:paraId="7BB60283" w14:textId="37E05995" w:rsidR="007F0E10" w:rsidRPr="00D20211" w:rsidRDefault="001228CE" w:rsidP="00AE70E7">
            <w:pPr>
              <w:autoSpaceDE w:val="0"/>
              <w:autoSpaceDN w:val="0"/>
              <w:adjustRightInd w:val="0"/>
              <w:spacing w:after="0" w:line="240" w:lineRule="auto"/>
              <w:jc w:val="both"/>
              <w:rPr>
                <w:rStyle w:val="Emphasis"/>
                <w:rFonts w:cstheme="minorHAnsi"/>
                <w:sz w:val="20"/>
                <w:szCs w:val="20"/>
              </w:rPr>
            </w:pPr>
            <w:hyperlink r:id="rId14" w:history="1">
              <w:r w:rsidR="00D57DF0" w:rsidRPr="007F5AB5">
                <w:rPr>
                  <w:rStyle w:val="Hyperlink"/>
                  <w:rFonts w:cstheme="minorHAnsi"/>
                  <w:sz w:val="20"/>
                  <w:szCs w:val="20"/>
                </w:rPr>
                <w:t xml:space="preserve">Danielle_Hunt@abtassoc.com </w:t>
              </w:r>
            </w:hyperlink>
            <w:r w:rsidR="009C2F5A">
              <w:rPr>
                <w:rFonts w:cstheme="minorHAnsi"/>
                <w:sz w:val="20"/>
                <w:szCs w:val="20"/>
              </w:rPr>
              <w:t xml:space="preserve"> </w:t>
            </w:r>
            <w:r w:rsidR="007F0E10" w:rsidRPr="00D20211">
              <w:rPr>
                <w:rStyle w:val="Emphasis"/>
                <w:rFonts w:cstheme="minorHAnsi"/>
                <w:sz w:val="20"/>
                <w:szCs w:val="20"/>
              </w:rPr>
              <w:t xml:space="preserve"> </w:t>
            </w:r>
          </w:p>
        </w:tc>
      </w:tr>
      <w:tr w:rsidR="00347B36" w:rsidRPr="00D20211" w14:paraId="370AB249" w14:textId="77777777" w:rsidTr="00716A35">
        <w:tc>
          <w:tcPr>
            <w:tcW w:w="2174" w:type="dxa"/>
            <w:tcBorders>
              <w:top w:val="nil"/>
              <w:left w:val="nil"/>
              <w:bottom w:val="nil"/>
              <w:right w:val="nil"/>
            </w:tcBorders>
            <w:vAlign w:val="center"/>
          </w:tcPr>
          <w:p w14:paraId="4D530C3C" w14:textId="11981D1C" w:rsidR="007F0E10" w:rsidRPr="00D20211" w:rsidRDefault="00716A35" w:rsidP="00AE70E7">
            <w:pPr>
              <w:autoSpaceDE w:val="0"/>
              <w:autoSpaceDN w:val="0"/>
              <w:adjustRightInd w:val="0"/>
              <w:spacing w:after="0" w:line="240" w:lineRule="auto"/>
              <w:jc w:val="both"/>
              <w:rPr>
                <w:rFonts w:cstheme="minorHAnsi"/>
                <w:sz w:val="20"/>
                <w:szCs w:val="20"/>
              </w:rPr>
            </w:pPr>
            <w:r>
              <w:rPr>
                <w:rFonts w:cstheme="minorHAnsi"/>
                <w:sz w:val="20"/>
                <w:szCs w:val="20"/>
              </w:rPr>
              <w:t>Sheryl Kluberg</w:t>
            </w:r>
            <w:r w:rsidR="007F0E10" w:rsidRPr="00D20211">
              <w:rPr>
                <w:rFonts w:cstheme="minorHAnsi"/>
                <w:sz w:val="20"/>
                <w:szCs w:val="20"/>
              </w:rPr>
              <w:t>, PhD</w:t>
            </w:r>
          </w:p>
        </w:tc>
        <w:tc>
          <w:tcPr>
            <w:tcW w:w="1930" w:type="dxa"/>
            <w:gridSpan w:val="2"/>
            <w:tcBorders>
              <w:top w:val="nil"/>
              <w:left w:val="nil"/>
              <w:bottom w:val="nil"/>
              <w:right w:val="nil"/>
            </w:tcBorders>
            <w:vAlign w:val="center"/>
          </w:tcPr>
          <w:p w14:paraId="060931EB" w14:textId="1C58018C" w:rsidR="007F0E10" w:rsidRPr="00D20211" w:rsidRDefault="00716A35" w:rsidP="00AE70E7">
            <w:pPr>
              <w:autoSpaceDE w:val="0"/>
              <w:autoSpaceDN w:val="0"/>
              <w:adjustRightInd w:val="0"/>
              <w:spacing w:after="0" w:line="240" w:lineRule="auto"/>
              <w:jc w:val="both"/>
              <w:rPr>
                <w:rFonts w:cstheme="minorHAnsi"/>
                <w:sz w:val="20"/>
                <w:szCs w:val="20"/>
              </w:rPr>
            </w:pPr>
            <w:r>
              <w:rPr>
                <w:rFonts w:cstheme="minorHAnsi"/>
                <w:sz w:val="20"/>
                <w:szCs w:val="20"/>
              </w:rPr>
              <w:t>Project Manager</w:t>
            </w:r>
          </w:p>
        </w:tc>
        <w:tc>
          <w:tcPr>
            <w:tcW w:w="1296" w:type="dxa"/>
            <w:tcBorders>
              <w:top w:val="nil"/>
              <w:left w:val="nil"/>
              <w:bottom w:val="nil"/>
              <w:right w:val="nil"/>
            </w:tcBorders>
            <w:vAlign w:val="center"/>
          </w:tcPr>
          <w:p w14:paraId="29CCA8DD" w14:textId="43865E6D" w:rsidR="007F0E10" w:rsidRPr="00D20211" w:rsidRDefault="00716A35" w:rsidP="00AE70E7">
            <w:pPr>
              <w:autoSpaceDE w:val="0"/>
              <w:autoSpaceDN w:val="0"/>
              <w:adjustRightInd w:val="0"/>
              <w:spacing w:after="0" w:line="240" w:lineRule="auto"/>
              <w:jc w:val="both"/>
              <w:rPr>
                <w:rFonts w:cstheme="minorHAnsi"/>
                <w:sz w:val="20"/>
                <w:szCs w:val="20"/>
              </w:rPr>
            </w:pPr>
            <w:r>
              <w:rPr>
                <w:rFonts w:cstheme="minorHAnsi"/>
                <w:sz w:val="20"/>
                <w:szCs w:val="20"/>
              </w:rPr>
              <w:t>Abt</w:t>
            </w:r>
            <w:r w:rsidR="00D57DF0">
              <w:rPr>
                <w:rFonts w:cstheme="minorHAnsi"/>
                <w:sz w:val="20"/>
                <w:szCs w:val="20"/>
              </w:rPr>
              <w:t xml:space="preserve"> Assoc.</w:t>
            </w:r>
          </w:p>
        </w:tc>
        <w:tc>
          <w:tcPr>
            <w:tcW w:w="1620" w:type="dxa"/>
            <w:gridSpan w:val="2"/>
            <w:tcBorders>
              <w:top w:val="nil"/>
              <w:left w:val="nil"/>
              <w:bottom w:val="nil"/>
              <w:right w:val="nil"/>
            </w:tcBorders>
          </w:tcPr>
          <w:p w14:paraId="2B76EB5F" w14:textId="601345DF" w:rsidR="007F0E10" w:rsidRPr="004042C9" w:rsidRDefault="00347B36" w:rsidP="00AE70E7">
            <w:pPr>
              <w:autoSpaceDE w:val="0"/>
              <w:autoSpaceDN w:val="0"/>
              <w:adjustRightInd w:val="0"/>
              <w:spacing w:after="0" w:line="240" w:lineRule="auto"/>
              <w:jc w:val="both"/>
              <w:rPr>
                <w:rStyle w:val="Emphasis"/>
                <w:rFonts w:cstheme="minorHAnsi"/>
                <w:sz w:val="20"/>
                <w:szCs w:val="20"/>
              </w:rPr>
            </w:pPr>
            <w:r w:rsidRPr="00347B36">
              <w:rPr>
                <w:rFonts w:cstheme="minorHAnsi"/>
                <w:sz w:val="20"/>
                <w:szCs w:val="20"/>
              </w:rPr>
              <w:t>(617) 520-3858</w:t>
            </w:r>
          </w:p>
        </w:tc>
        <w:tc>
          <w:tcPr>
            <w:tcW w:w="2340" w:type="dxa"/>
            <w:tcBorders>
              <w:top w:val="nil"/>
              <w:left w:val="nil"/>
              <w:bottom w:val="nil"/>
              <w:right w:val="nil"/>
            </w:tcBorders>
            <w:vAlign w:val="center"/>
          </w:tcPr>
          <w:p w14:paraId="0C306120" w14:textId="0FD905E2" w:rsidR="007F0E10" w:rsidRPr="00D20211" w:rsidRDefault="00716A35" w:rsidP="00AE70E7">
            <w:pPr>
              <w:autoSpaceDE w:val="0"/>
              <w:autoSpaceDN w:val="0"/>
              <w:adjustRightInd w:val="0"/>
              <w:spacing w:after="0" w:line="240" w:lineRule="auto"/>
              <w:jc w:val="both"/>
              <w:rPr>
                <w:rStyle w:val="Emphasis"/>
                <w:rFonts w:cstheme="minorHAnsi"/>
                <w:sz w:val="20"/>
                <w:szCs w:val="20"/>
              </w:rPr>
            </w:pPr>
            <w:r>
              <w:rPr>
                <w:rStyle w:val="Hyperlink"/>
                <w:rFonts w:cstheme="minorHAnsi"/>
                <w:sz w:val="20"/>
                <w:szCs w:val="20"/>
              </w:rPr>
              <w:t>Sheryl_Kluberg@abtassoc.com</w:t>
            </w:r>
          </w:p>
        </w:tc>
      </w:tr>
      <w:tr w:rsidR="00347B36" w:rsidRPr="00D20211" w14:paraId="3A9832A0" w14:textId="77777777" w:rsidTr="00716A35">
        <w:tc>
          <w:tcPr>
            <w:tcW w:w="2174" w:type="dxa"/>
            <w:tcBorders>
              <w:top w:val="nil"/>
              <w:left w:val="nil"/>
              <w:bottom w:val="single" w:sz="8" w:space="0" w:color="auto"/>
              <w:right w:val="nil"/>
            </w:tcBorders>
            <w:vAlign w:val="center"/>
          </w:tcPr>
          <w:p w14:paraId="3066740F" w14:textId="7E02C690" w:rsidR="007F0E10" w:rsidRPr="00D20211" w:rsidRDefault="00D57DF0" w:rsidP="00AE70E7">
            <w:pPr>
              <w:autoSpaceDE w:val="0"/>
              <w:autoSpaceDN w:val="0"/>
              <w:adjustRightInd w:val="0"/>
              <w:spacing w:after="0" w:line="240" w:lineRule="auto"/>
              <w:jc w:val="both"/>
              <w:rPr>
                <w:rFonts w:cstheme="minorHAnsi"/>
                <w:sz w:val="20"/>
                <w:szCs w:val="20"/>
              </w:rPr>
            </w:pPr>
            <w:r>
              <w:rPr>
                <w:rFonts w:cstheme="minorHAnsi"/>
                <w:sz w:val="20"/>
                <w:szCs w:val="20"/>
              </w:rPr>
              <w:t>Chris Spera</w:t>
            </w:r>
            <w:r w:rsidR="007F0E10" w:rsidRPr="00D20211">
              <w:rPr>
                <w:rFonts w:cstheme="minorHAnsi"/>
                <w:sz w:val="20"/>
                <w:szCs w:val="20"/>
              </w:rPr>
              <w:t>, PhD</w:t>
            </w:r>
          </w:p>
        </w:tc>
        <w:tc>
          <w:tcPr>
            <w:tcW w:w="1930" w:type="dxa"/>
            <w:gridSpan w:val="2"/>
            <w:tcBorders>
              <w:top w:val="nil"/>
              <w:left w:val="nil"/>
              <w:bottom w:val="single" w:sz="8" w:space="0" w:color="auto"/>
              <w:right w:val="nil"/>
            </w:tcBorders>
            <w:vAlign w:val="center"/>
          </w:tcPr>
          <w:p w14:paraId="657F3F9C" w14:textId="7508940A" w:rsidR="007F0E10" w:rsidRPr="00D20211" w:rsidRDefault="009E7CCE" w:rsidP="00D57DF0">
            <w:pPr>
              <w:autoSpaceDE w:val="0"/>
              <w:autoSpaceDN w:val="0"/>
              <w:adjustRightInd w:val="0"/>
              <w:spacing w:after="0" w:line="240" w:lineRule="auto"/>
              <w:rPr>
                <w:rFonts w:cstheme="minorHAnsi"/>
                <w:sz w:val="20"/>
                <w:szCs w:val="20"/>
              </w:rPr>
            </w:pPr>
            <w:r>
              <w:rPr>
                <w:rFonts w:cstheme="minorHAnsi"/>
                <w:sz w:val="20"/>
                <w:szCs w:val="20"/>
              </w:rPr>
              <w:t xml:space="preserve">Division </w:t>
            </w:r>
            <w:r w:rsidR="00D57DF0">
              <w:rPr>
                <w:rFonts w:cstheme="minorHAnsi"/>
                <w:sz w:val="20"/>
                <w:szCs w:val="20"/>
              </w:rPr>
              <w:t>Vice President</w:t>
            </w:r>
            <w:r>
              <w:rPr>
                <w:rFonts w:cstheme="minorHAnsi"/>
                <w:sz w:val="20"/>
                <w:szCs w:val="20"/>
              </w:rPr>
              <w:t xml:space="preserve">, </w:t>
            </w:r>
            <w:r w:rsidR="00D57DF0">
              <w:rPr>
                <w:rFonts w:cstheme="minorHAnsi"/>
                <w:sz w:val="20"/>
                <w:szCs w:val="20"/>
              </w:rPr>
              <w:t>Domestic Health</w:t>
            </w:r>
          </w:p>
        </w:tc>
        <w:tc>
          <w:tcPr>
            <w:tcW w:w="1296" w:type="dxa"/>
            <w:tcBorders>
              <w:top w:val="nil"/>
              <w:left w:val="nil"/>
              <w:bottom w:val="single" w:sz="8" w:space="0" w:color="auto"/>
              <w:right w:val="nil"/>
            </w:tcBorders>
            <w:vAlign w:val="center"/>
          </w:tcPr>
          <w:p w14:paraId="5DB82D8B" w14:textId="4DDE38F0" w:rsidR="007F0E10" w:rsidRPr="00D20211" w:rsidRDefault="00716A35" w:rsidP="00AE70E7">
            <w:pPr>
              <w:autoSpaceDE w:val="0"/>
              <w:autoSpaceDN w:val="0"/>
              <w:adjustRightInd w:val="0"/>
              <w:spacing w:after="0" w:line="240" w:lineRule="auto"/>
              <w:jc w:val="both"/>
              <w:rPr>
                <w:rFonts w:cstheme="minorHAnsi"/>
                <w:sz w:val="20"/>
                <w:szCs w:val="20"/>
              </w:rPr>
            </w:pPr>
            <w:r>
              <w:rPr>
                <w:rFonts w:cstheme="minorHAnsi"/>
                <w:sz w:val="20"/>
                <w:szCs w:val="20"/>
              </w:rPr>
              <w:t>Abt</w:t>
            </w:r>
            <w:r w:rsidR="00D57DF0">
              <w:rPr>
                <w:rFonts w:cstheme="minorHAnsi"/>
                <w:sz w:val="20"/>
                <w:szCs w:val="20"/>
              </w:rPr>
              <w:t xml:space="preserve"> Associates</w:t>
            </w:r>
          </w:p>
        </w:tc>
        <w:tc>
          <w:tcPr>
            <w:tcW w:w="1620" w:type="dxa"/>
            <w:gridSpan w:val="2"/>
            <w:tcBorders>
              <w:top w:val="nil"/>
              <w:left w:val="nil"/>
              <w:bottom w:val="single" w:sz="8" w:space="0" w:color="auto"/>
              <w:right w:val="nil"/>
            </w:tcBorders>
          </w:tcPr>
          <w:p w14:paraId="7DB82095" w14:textId="09DD21E5" w:rsidR="007F0E10" w:rsidRPr="004042C9" w:rsidRDefault="009E7CCE" w:rsidP="00AE70E7">
            <w:pPr>
              <w:autoSpaceDE w:val="0"/>
              <w:autoSpaceDN w:val="0"/>
              <w:adjustRightInd w:val="0"/>
              <w:spacing w:after="0" w:line="240" w:lineRule="auto"/>
              <w:jc w:val="both"/>
              <w:rPr>
                <w:rStyle w:val="Emphasis"/>
                <w:rFonts w:cstheme="minorHAnsi"/>
                <w:sz w:val="20"/>
                <w:szCs w:val="20"/>
              </w:rPr>
            </w:pPr>
            <w:r>
              <w:rPr>
                <w:rFonts w:cstheme="minorHAnsi"/>
                <w:sz w:val="20"/>
                <w:szCs w:val="20"/>
              </w:rPr>
              <w:t>(</w:t>
            </w:r>
            <w:r w:rsidRPr="009E7CCE">
              <w:rPr>
                <w:rFonts w:cstheme="minorHAnsi"/>
                <w:sz w:val="20"/>
                <w:szCs w:val="20"/>
              </w:rPr>
              <w:t>301</w:t>
            </w:r>
            <w:r>
              <w:rPr>
                <w:rFonts w:cstheme="minorHAnsi"/>
                <w:sz w:val="20"/>
                <w:szCs w:val="20"/>
              </w:rPr>
              <w:t xml:space="preserve">) </w:t>
            </w:r>
            <w:r w:rsidRPr="009E7CCE">
              <w:rPr>
                <w:rFonts w:cstheme="minorHAnsi"/>
                <w:sz w:val="20"/>
                <w:szCs w:val="20"/>
              </w:rPr>
              <w:t>347-5950</w:t>
            </w:r>
          </w:p>
        </w:tc>
        <w:tc>
          <w:tcPr>
            <w:tcW w:w="2340" w:type="dxa"/>
            <w:tcBorders>
              <w:top w:val="nil"/>
              <w:left w:val="nil"/>
              <w:bottom w:val="single" w:sz="8" w:space="0" w:color="auto"/>
              <w:right w:val="nil"/>
            </w:tcBorders>
            <w:vAlign w:val="center"/>
          </w:tcPr>
          <w:p w14:paraId="1BC6F455" w14:textId="6A094B7C" w:rsidR="007F0E10" w:rsidRPr="00D20211" w:rsidRDefault="001228CE" w:rsidP="00AE70E7">
            <w:pPr>
              <w:autoSpaceDE w:val="0"/>
              <w:autoSpaceDN w:val="0"/>
              <w:adjustRightInd w:val="0"/>
              <w:spacing w:after="0" w:line="240" w:lineRule="auto"/>
              <w:jc w:val="both"/>
              <w:rPr>
                <w:rStyle w:val="Emphasis"/>
                <w:rFonts w:cstheme="minorHAnsi"/>
                <w:sz w:val="20"/>
                <w:szCs w:val="20"/>
              </w:rPr>
            </w:pPr>
            <w:hyperlink r:id="rId15" w:history="1">
              <w:r w:rsidR="000C6804" w:rsidRPr="007F5AB5">
                <w:rPr>
                  <w:rStyle w:val="Hyperlink"/>
                  <w:rFonts w:cstheme="minorHAnsi"/>
                  <w:sz w:val="20"/>
                  <w:szCs w:val="20"/>
                </w:rPr>
                <w:t xml:space="preserve">Chris_Spera@abtassoc.com </w:t>
              </w:r>
            </w:hyperlink>
          </w:p>
        </w:tc>
      </w:tr>
    </w:tbl>
    <w:p w14:paraId="7BDB047B" w14:textId="77777777" w:rsidR="007F0E10" w:rsidRPr="00E410B4" w:rsidRDefault="007F0E10" w:rsidP="00E410B4">
      <w:pPr>
        <w:autoSpaceDE w:val="0"/>
        <w:autoSpaceDN w:val="0"/>
        <w:adjustRightInd w:val="0"/>
        <w:spacing w:line="240" w:lineRule="auto"/>
        <w:rPr>
          <w:rFonts w:cs="ITCFranklinGothicStd-Book"/>
          <w:sz w:val="24"/>
          <w:szCs w:val="24"/>
        </w:rPr>
      </w:pPr>
    </w:p>
    <w:p w14:paraId="13A3F6F8" w14:textId="77777777" w:rsidR="00984634" w:rsidRPr="00E707C0" w:rsidRDefault="00984634" w:rsidP="00984634"/>
    <w:p w14:paraId="3D02F9B5" w14:textId="41BA3C31" w:rsidR="00A76C6D" w:rsidRPr="001B3512" w:rsidRDefault="00A76C6D" w:rsidP="001B3512">
      <w:pPr>
        <w:pStyle w:val="Heading1"/>
        <w:pBdr>
          <w:bottom w:val="none" w:sz="0" w:space="0" w:color="auto"/>
        </w:pBdr>
        <w:rPr>
          <w:rFonts w:ascii="Cambria" w:hAnsi="Cambria"/>
          <w:color w:val="auto"/>
        </w:rPr>
      </w:pPr>
      <w:bookmarkStart w:id="8" w:name="_Toc431814724"/>
      <w:bookmarkStart w:id="9" w:name="_Toc532227535"/>
      <w:r w:rsidRPr="00E707C0">
        <w:rPr>
          <w:rFonts w:ascii="Cambria" w:hAnsi="Cambria"/>
          <w:color w:val="auto"/>
        </w:rPr>
        <w:t>References</w:t>
      </w:r>
      <w:bookmarkEnd w:id="8"/>
      <w:bookmarkEnd w:id="9"/>
    </w:p>
    <w:p w14:paraId="5FD957F2" w14:textId="6B3D9191" w:rsidR="003A1961" w:rsidRPr="007A234C" w:rsidRDefault="003A1961" w:rsidP="001B3512">
      <w:pPr>
        <w:spacing w:before="160" w:after="240" w:line="240" w:lineRule="auto"/>
        <w:rPr>
          <w:rFonts w:cstheme="minorHAnsi"/>
          <w:color w:val="000000"/>
          <w:sz w:val="24"/>
          <w:szCs w:val="24"/>
        </w:rPr>
      </w:pPr>
      <w:r w:rsidRPr="007A234C">
        <w:rPr>
          <w:rFonts w:cstheme="minorHAnsi"/>
          <w:sz w:val="24"/>
          <w:szCs w:val="24"/>
        </w:rPr>
        <w:t xml:space="preserve">Agency for Toxic Substances and Disease Registry (ATSDR). Feasibility Assessment for Epidemiological Studies at Pease International Tradeport. Portsmouth, New Hampshire. November </w:t>
      </w:r>
      <w:r w:rsidRPr="007A234C">
        <w:rPr>
          <w:rFonts w:eastAsiaTheme="minorHAnsi" w:cstheme="minorHAnsi"/>
          <w:sz w:val="24"/>
          <w:szCs w:val="24"/>
        </w:rPr>
        <w:t>2017</w:t>
      </w:r>
      <w:r w:rsidRPr="007A234C">
        <w:rPr>
          <w:rFonts w:cstheme="minorHAnsi"/>
          <w:sz w:val="24"/>
          <w:szCs w:val="24"/>
        </w:rPr>
        <w:t xml:space="preserve">. </w:t>
      </w:r>
      <w:r w:rsidRPr="00124C4A">
        <w:rPr>
          <w:rFonts w:cstheme="minorHAnsi"/>
          <w:b/>
          <w:sz w:val="24"/>
          <w:szCs w:val="24"/>
        </w:rPr>
        <w:t>A</w:t>
      </w:r>
      <w:r w:rsidR="00124C4A" w:rsidRPr="00124C4A">
        <w:rPr>
          <w:rFonts w:cstheme="minorHAnsi"/>
          <w:b/>
          <w:sz w:val="24"/>
          <w:szCs w:val="24"/>
        </w:rPr>
        <w:t>ppendix C</w:t>
      </w:r>
      <w:r w:rsidR="00124C4A">
        <w:rPr>
          <w:rFonts w:cstheme="minorHAnsi"/>
          <w:sz w:val="24"/>
          <w:szCs w:val="24"/>
        </w:rPr>
        <w:t xml:space="preserve"> a</w:t>
      </w:r>
      <w:r w:rsidRPr="007A234C">
        <w:rPr>
          <w:rFonts w:cstheme="minorHAnsi"/>
          <w:sz w:val="24"/>
          <w:szCs w:val="24"/>
        </w:rPr>
        <w:t xml:space="preserve">vailable at: </w:t>
      </w:r>
      <w:hyperlink r:id="rId16" w:history="1">
        <w:r w:rsidRPr="007A234C">
          <w:rPr>
            <w:rStyle w:val="Hyperlink"/>
            <w:rFonts w:cstheme="minorHAnsi"/>
            <w:sz w:val="24"/>
            <w:szCs w:val="24"/>
          </w:rPr>
          <w:t>https://www.atsdr.cdc.gov/sites/pease/documents/Pease_Feasibility_Assessment_November-2017_508.pdf</w:t>
        </w:r>
      </w:hyperlink>
    </w:p>
    <w:p w14:paraId="300FCDCF" w14:textId="77777777" w:rsidR="003A1961" w:rsidRPr="007A234C" w:rsidRDefault="003A1961" w:rsidP="003A1961">
      <w:pPr>
        <w:autoSpaceDE w:val="0"/>
        <w:autoSpaceDN w:val="0"/>
        <w:adjustRightInd w:val="0"/>
        <w:spacing w:after="240" w:line="240" w:lineRule="auto"/>
        <w:rPr>
          <w:rFonts w:eastAsiaTheme="minorHAnsi" w:cstheme="minorHAnsi"/>
          <w:sz w:val="24"/>
          <w:szCs w:val="24"/>
        </w:rPr>
      </w:pPr>
      <w:r w:rsidRPr="007A234C">
        <w:rPr>
          <w:rFonts w:eastAsiaTheme="minorHAnsi" w:cstheme="minorHAnsi"/>
          <w:sz w:val="24"/>
          <w:szCs w:val="24"/>
        </w:rPr>
        <w:t>Checkoway H, Pearce N, Kriebel D. Research Methods in Occupational Epidemiology, Second Edition. Oxford U. Press 2004.</w:t>
      </w:r>
    </w:p>
    <w:p w14:paraId="69575171" w14:textId="77777777" w:rsidR="003A1961" w:rsidRPr="007A234C" w:rsidRDefault="003A1961" w:rsidP="003A1961">
      <w:pPr>
        <w:spacing w:after="240" w:line="240" w:lineRule="auto"/>
        <w:rPr>
          <w:rFonts w:eastAsiaTheme="minorHAnsi" w:cstheme="minorHAnsi"/>
          <w:sz w:val="24"/>
          <w:szCs w:val="24"/>
        </w:rPr>
      </w:pPr>
      <w:r w:rsidRPr="007A234C">
        <w:rPr>
          <w:rFonts w:eastAsiaTheme="minorHAnsi" w:cstheme="minorHAnsi"/>
          <w:sz w:val="24"/>
          <w:szCs w:val="24"/>
        </w:rPr>
        <w:t>Flanders WD, Lin L, Pirkle JL, Caudill SP. Assessing the direction of causality in cross-sectional studies. Am J Epidemiol 1992;135:926-935.</w:t>
      </w:r>
    </w:p>
    <w:p w14:paraId="49AA711D" w14:textId="55DC54AF" w:rsidR="003A1961" w:rsidRPr="00E707C0" w:rsidRDefault="003A1961" w:rsidP="003A1961">
      <w:pPr>
        <w:rPr>
          <w:rFonts w:ascii="Cambria" w:hAnsi="Cambria"/>
          <w:sz w:val="36"/>
          <w:szCs w:val="36"/>
        </w:rPr>
      </w:pPr>
      <w:r w:rsidRPr="007A234C">
        <w:rPr>
          <w:rFonts w:eastAsiaTheme="minorHAnsi" w:cstheme="minorHAnsi"/>
          <w:sz w:val="24"/>
          <w:szCs w:val="24"/>
        </w:rPr>
        <w:t>Flanders WD, Klein M, Mirabelli MC. Conditions for valid estimation of causal effects on prevalence in cross-sectional and other studies. Ann Epidemiol 2016;26:389-394.</w:t>
      </w:r>
    </w:p>
    <w:p w14:paraId="25E7DDFE" w14:textId="77777777" w:rsidR="000D54F7" w:rsidRPr="00067E18" w:rsidRDefault="000D54F7" w:rsidP="000D54F7">
      <w:pPr>
        <w:pStyle w:val="Heading1"/>
        <w:pBdr>
          <w:bottom w:val="none" w:sz="0" w:space="0" w:color="auto"/>
        </w:pBdr>
        <w:rPr>
          <w:rFonts w:ascii="Cambria" w:hAnsi="Cambria" w:cstheme="minorHAnsi"/>
          <w:color w:val="auto"/>
        </w:rPr>
      </w:pPr>
      <w:bookmarkStart w:id="10" w:name="_Toc532227322"/>
      <w:bookmarkStart w:id="11" w:name="_Toc532227536"/>
      <w:r w:rsidRPr="00067E18">
        <w:rPr>
          <w:rFonts w:ascii="Cambria" w:hAnsi="Cambria" w:cstheme="minorHAnsi"/>
          <w:color w:val="auto"/>
        </w:rPr>
        <w:t>List of Appendices and Protocol Attachments</w:t>
      </w:r>
      <w:bookmarkEnd w:id="10"/>
      <w:bookmarkEnd w:id="11"/>
    </w:p>
    <w:p w14:paraId="4B3C2566" w14:textId="77777777" w:rsidR="000D54F7" w:rsidRDefault="000D54F7" w:rsidP="000D54F7">
      <w:pPr>
        <w:spacing w:after="0" w:line="240" w:lineRule="auto"/>
        <w:rPr>
          <w:rFonts w:cstheme="minorHAnsi"/>
          <w:sz w:val="24"/>
          <w:szCs w:val="24"/>
        </w:rPr>
      </w:pPr>
    </w:p>
    <w:p w14:paraId="5D73A8DF" w14:textId="77777777" w:rsidR="000D54F7" w:rsidRPr="008F293F" w:rsidRDefault="000D54F7" w:rsidP="000D54F7">
      <w:pPr>
        <w:spacing w:line="240" w:lineRule="auto"/>
      </w:pPr>
      <w:r w:rsidRPr="008F293F">
        <w:t>Appendix A. Authorizing Legislation</w:t>
      </w:r>
    </w:p>
    <w:p w14:paraId="392265A7" w14:textId="77777777" w:rsidR="000D54F7" w:rsidRPr="008F293F" w:rsidRDefault="000D54F7" w:rsidP="000D54F7">
      <w:pPr>
        <w:spacing w:line="240" w:lineRule="auto"/>
      </w:pPr>
      <w:r w:rsidRPr="008F293F">
        <w:t>Appendix B. 60-day Federal Register Notice</w:t>
      </w:r>
    </w:p>
    <w:p w14:paraId="77A28E0F" w14:textId="77777777" w:rsidR="000D54F7" w:rsidRPr="008F293F" w:rsidRDefault="000D54F7" w:rsidP="000D54F7">
      <w:pPr>
        <w:spacing w:line="240" w:lineRule="auto"/>
        <w:ind w:firstLine="720"/>
      </w:pPr>
      <w:r w:rsidRPr="008F293F">
        <w:t>Appendix B1. Public Comments and Program Responses</w:t>
      </w:r>
    </w:p>
    <w:p w14:paraId="3230BFD9" w14:textId="77777777" w:rsidR="000D54F7" w:rsidRPr="008F293F" w:rsidRDefault="000D54F7" w:rsidP="000D54F7">
      <w:pPr>
        <w:spacing w:line="240" w:lineRule="auto"/>
      </w:pPr>
      <w:r w:rsidRPr="008F293F">
        <w:t>Appendix C. ATSDR Pease Feasibility Assessment</w:t>
      </w:r>
    </w:p>
    <w:p w14:paraId="133CBEFA" w14:textId="77777777" w:rsidR="000D54F7" w:rsidRPr="008F293F" w:rsidRDefault="000D54F7" w:rsidP="000D54F7">
      <w:pPr>
        <w:spacing w:line="240" w:lineRule="auto"/>
      </w:pPr>
      <w:r w:rsidRPr="008F293F">
        <w:t>Appendix D. Privacy Impact Assessment</w:t>
      </w:r>
    </w:p>
    <w:p w14:paraId="1C7739D0" w14:textId="77777777" w:rsidR="000D54F7" w:rsidRPr="008F293F" w:rsidRDefault="000D54F7" w:rsidP="000D54F7">
      <w:pPr>
        <w:spacing w:line="240" w:lineRule="auto"/>
      </w:pPr>
      <w:r w:rsidRPr="008F293F">
        <w:t>Appendix E. IRB Approval Memo</w:t>
      </w:r>
    </w:p>
    <w:p w14:paraId="24F1B4DC" w14:textId="77777777" w:rsidR="000D54F7" w:rsidRPr="008F293F" w:rsidRDefault="000D54F7" w:rsidP="000D54F7">
      <w:pPr>
        <w:spacing w:line="240" w:lineRule="auto"/>
      </w:pPr>
    </w:p>
    <w:p w14:paraId="67B41CA8" w14:textId="77777777" w:rsidR="000D54F7" w:rsidRPr="008F293F" w:rsidRDefault="000D54F7" w:rsidP="000D54F7">
      <w:pPr>
        <w:spacing w:line="240" w:lineRule="auto"/>
      </w:pPr>
      <w:r w:rsidRPr="008F293F">
        <w:t>Pease Study Protocol and Attachments</w:t>
      </w:r>
      <w:bookmarkStart w:id="12" w:name="_Toc517259236"/>
    </w:p>
    <w:p w14:paraId="03BC56D7" w14:textId="77777777" w:rsidR="000D54F7" w:rsidRPr="008F293F" w:rsidRDefault="000D54F7" w:rsidP="000D54F7">
      <w:pPr>
        <w:spacing w:line="240" w:lineRule="auto"/>
        <w:ind w:left="720"/>
      </w:pPr>
      <w:r w:rsidRPr="008F293F">
        <w:t>Attachment 1. Investigators and Key Study Personnel</w:t>
      </w:r>
      <w:bookmarkStart w:id="13" w:name="_Toc517259237"/>
      <w:bookmarkEnd w:id="12"/>
    </w:p>
    <w:p w14:paraId="6B5C289B" w14:textId="77777777" w:rsidR="000D54F7" w:rsidRPr="008F293F" w:rsidRDefault="000D54F7" w:rsidP="000D54F7">
      <w:pPr>
        <w:spacing w:line="240" w:lineRule="auto"/>
        <w:ind w:left="720"/>
      </w:pPr>
      <w:r w:rsidRPr="008F293F">
        <w:t>Attachment 2. PFAS Serum Levels, Pease vs. External Populations</w:t>
      </w:r>
      <w:bookmarkStart w:id="14" w:name="_Toc517259238"/>
      <w:bookmarkEnd w:id="13"/>
    </w:p>
    <w:p w14:paraId="498EAC7B" w14:textId="77777777" w:rsidR="000D54F7" w:rsidRPr="008F293F" w:rsidRDefault="000D54F7" w:rsidP="000D54F7">
      <w:pPr>
        <w:spacing w:line="240" w:lineRule="auto"/>
        <w:ind w:left="1440"/>
      </w:pPr>
      <w:r w:rsidRPr="008F293F">
        <w:t>Attachment 2a. Pease serum PFAS levels in µg/L, by age groups, 2018</w:t>
      </w:r>
      <w:bookmarkStart w:id="15" w:name="_Toc517259239"/>
      <w:bookmarkEnd w:id="14"/>
    </w:p>
    <w:p w14:paraId="017BD35D" w14:textId="77777777" w:rsidR="000D54F7" w:rsidRPr="008F293F" w:rsidRDefault="000D54F7" w:rsidP="000D54F7">
      <w:pPr>
        <w:spacing w:line="240" w:lineRule="auto"/>
        <w:ind w:left="1440"/>
      </w:pPr>
      <w:r w:rsidRPr="008F293F">
        <w:t>Attachment 2b. Serum PFAS levels in µg/L, children aged &lt;12 years, Pease vs. comparisons</w:t>
      </w:r>
      <w:bookmarkEnd w:id="15"/>
    </w:p>
    <w:p w14:paraId="066840C0" w14:textId="77777777" w:rsidR="000D54F7" w:rsidRPr="008F293F" w:rsidRDefault="000D54F7" w:rsidP="000D54F7">
      <w:pPr>
        <w:spacing w:line="240" w:lineRule="auto"/>
        <w:ind w:left="1440"/>
      </w:pPr>
      <w:bookmarkStart w:id="16" w:name="_Toc517259240"/>
      <w:r w:rsidRPr="008F293F">
        <w:t>Attachment 2c. Serum PFAS levels in µg/L, aged ≥12 years, Pease vs. NHANES</w:t>
      </w:r>
      <w:bookmarkEnd w:id="16"/>
    </w:p>
    <w:p w14:paraId="6888AE6F" w14:textId="77777777" w:rsidR="000D54F7" w:rsidRPr="008F293F" w:rsidRDefault="000D54F7" w:rsidP="000D54F7">
      <w:pPr>
        <w:spacing w:line="240" w:lineRule="auto"/>
        <w:ind w:left="720"/>
        <w:rPr>
          <w:b/>
        </w:rPr>
      </w:pPr>
      <w:bookmarkStart w:id="17" w:name="_Toc517259241"/>
      <w:r w:rsidRPr="008F293F">
        <w:t>Attachment 3.</w:t>
      </w:r>
      <w:bookmarkStart w:id="18" w:name="_Toc329944764"/>
      <w:r w:rsidRPr="008F293F">
        <w:t xml:space="preserve"> Biochemical Analytical Plan</w:t>
      </w:r>
      <w:bookmarkEnd w:id="18"/>
      <w:r w:rsidRPr="008F293F">
        <w:t xml:space="preserve"> in Children and Adults</w:t>
      </w:r>
      <w:bookmarkEnd w:id="17"/>
    </w:p>
    <w:p w14:paraId="5E98D5DC" w14:textId="77777777" w:rsidR="000D54F7" w:rsidRPr="008F293F" w:rsidRDefault="000D54F7" w:rsidP="000D54F7">
      <w:pPr>
        <w:spacing w:line="240" w:lineRule="auto"/>
        <w:ind w:left="720"/>
        <w:rPr>
          <w:b/>
        </w:rPr>
      </w:pPr>
      <w:bookmarkStart w:id="19" w:name="_Toc517259242"/>
      <w:r w:rsidRPr="008F293F">
        <w:t>Attachment 4. Justification for Sample Size Calculations</w:t>
      </w:r>
      <w:bookmarkEnd w:id="19"/>
    </w:p>
    <w:p w14:paraId="28514B57" w14:textId="77777777" w:rsidR="000D54F7" w:rsidRPr="008F293F" w:rsidRDefault="000D54F7" w:rsidP="000D54F7">
      <w:pPr>
        <w:spacing w:line="240" w:lineRule="auto"/>
        <w:ind w:left="1440"/>
        <w:rPr>
          <w:b/>
        </w:rPr>
      </w:pPr>
      <w:bookmarkStart w:id="20" w:name="_Toc517259243"/>
      <w:r w:rsidRPr="008F293F">
        <w:t>Attachment 4a. Sample Size for Child Study</w:t>
      </w:r>
      <w:bookmarkEnd w:id="20"/>
    </w:p>
    <w:p w14:paraId="51C40A18" w14:textId="77777777" w:rsidR="000D54F7" w:rsidRPr="008F293F" w:rsidRDefault="000D54F7" w:rsidP="000D54F7">
      <w:pPr>
        <w:spacing w:line="240" w:lineRule="auto"/>
        <w:ind w:left="1440"/>
        <w:rPr>
          <w:b/>
        </w:rPr>
      </w:pPr>
      <w:bookmarkStart w:id="21" w:name="_Toc517259244"/>
      <w:r w:rsidRPr="008F293F">
        <w:t>Attachment 4b. Sample Size for Adult Study</w:t>
      </w:r>
      <w:bookmarkEnd w:id="21"/>
    </w:p>
    <w:p w14:paraId="68C40B1D" w14:textId="77777777" w:rsidR="000D54F7" w:rsidRPr="008F293F" w:rsidRDefault="000D54F7" w:rsidP="000D54F7">
      <w:pPr>
        <w:spacing w:line="240" w:lineRule="auto"/>
        <w:ind w:left="720"/>
        <w:rPr>
          <w:b/>
        </w:rPr>
      </w:pPr>
      <w:bookmarkStart w:id="22" w:name="_Toc517259245"/>
      <w:r w:rsidRPr="008F293F">
        <w:t>Attachment 5 – Pease Study Communication Plan</w:t>
      </w:r>
      <w:bookmarkEnd w:id="22"/>
    </w:p>
    <w:p w14:paraId="43EB53EB" w14:textId="77777777" w:rsidR="000D54F7" w:rsidRPr="008F293F" w:rsidRDefault="000D54F7" w:rsidP="000D54F7">
      <w:pPr>
        <w:spacing w:line="240" w:lineRule="auto"/>
        <w:ind w:left="1440"/>
        <w:rPr>
          <w:b/>
        </w:rPr>
      </w:pPr>
      <w:bookmarkStart w:id="23" w:name="_Toc517259246"/>
      <w:r w:rsidRPr="008F293F">
        <w:t>Attachment 5a. Pease Study Communication Plan Objectives</w:t>
      </w:r>
      <w:bookmarkEnd w:id="23"/>
    </w:p>
    <w:p w14:paraId="35FF25EE" w14:textId="77777777" w:rsidR="000D54F7" w:rsidRPr="008F293F" w:rsidRDefault="000D54F7" w:rsidP="000D54F7">
      <w:pPr>
        <w:spacing w:line="240" w:lineRule="auto"/>
        <w:ind w:left="1440"/>
        <w:rPr>
          <w:b/>
        </w:rPr>
      </w:pPr>
      <w:bookmarkStart w:id="24" w:name="_Toc517259247"/>
      <w:r w:rsidRPr="008F293F">
        <w:t>Attachment 5b. Pease Study Overarching Communication Messages</w:t>
      </w:r>
      <w:bookmarkEnd w:id="24"/>
    </w:p>
    <w:p w14:paraId="185EE0D9" w14:textId="77777777" w:rsidR="000D54F7" w:rsidRPr="008F293F" w:rsidRDefault="000D54F7" w:rsidP="000D54F7">
      <w:pPr>
        <w:spacing w:line="240" w:lineRule="auto"/>
        <w:ind w:left="1440"/>
        <w:rPr>
          <w:b/>
        </w:rPr>
      </w:pPr>
      <w:bookmarkStart w:id="25" w:name="_Toc517259248"/>
      <w:r w:rsidRPr="008F293F">
        <w:t>Attachment 5c. Pease Study Press Release – Launch</w:t>
      </w:r>
      <w:bookmarkEnd w:id="25"/>
      <w:r w:rsidRPr="008F293F">
        <w:t xml:space="preserve"> </w:t>
      </w:r>
    </w:p>
    <w:p w14:paraId="0AE49FF4" w14:textId="77777777" w:rsidR="000D54F7" w:rsidRPr="008F293F" w:rsidRDefault="000D54F7" w:rsidP="000D54F7">
      <w:pPr>
        <w:spacing w:line="240" w:lineRule="auto"/>
        <w:ind w:left="1440"/>
        <w:rPr>
          <w:b/>
        </w:rPr>
      </w:pPr>
      <w:bookmarkStart w:id="26" w:name="_Toc517259249"/>
      <w:r w:rsidRPr="008F293F">
        <w:t>Attachment 5d. Pease Study Website Flyer</w:t>
      </w:r>
      <w:bookmarkEnd w:id="26"/>
    </w:p>
    <w:p w14:paraId="7FD9132D" w14:textId="77777777" w:rsidR="000D54F7" w:rsidRPr="008F293F" w:rsidRDefault="000D54F7" w:rsidP="000D54F7">
      <w:pPr>
        <w:spacing w:line="240" w:lineRule="auto"/>
        <w:ind w:left="1440"/>
        <w:rPr>
          <w:b/>
        </w:rPr>
      </w:pPr>
      <w:bookmarkStart w:id="27" w:name="_Toc517259250"/>
      <w:r w:rsidRPr="008F293F">
        <w:t>Attachment 5e. Pease Study Public Service Announcement</w:t>
      </w:r>
      <w:bookmarkEnd w:id="27"/>
    </w:p>
    <w:p w14:paraId="45C1A6C0" w14:textId="77777777" w:rsidR="000D54F7" w:rsidRPr="008F293F" w:rsidRDefault="000D54F7" w:rsidP="000D54F7">
      <w:pPr>
        <w:spacing w:line="240" w:lineRule="auto"/>
        <w:ind w:left="720"/>
        <w:rPr>
          <w:b/>
        </w:rPr>
      </w:pPr>
      <w:bookmarkStart w:id="28" w:name="_Toc517259251"/>
      <w:r w:rsidRPr="008F293F">
        <w:t>Attachment 6 – Wave One - NH DHHS Invitation Letters for Study Roll Out</w:t>
      </w:r>
      <w:bookmarkEnd w:id="28"/>
    </w:p>
    <w:p w14:paraId="3126E1E7" w14:textId="77777777" w:rsidR="000D54F7" w:rsidRPr="008F293F" w:rsidRDefault="000D54F7" w:rsidP="000D54F7">
      <w:pPr>
        <w:spacing w:line="240" w:lineRule="auto"/>
        <w:ind w:left="1440"/>
        <w:rPr>
          <w:b/>
        </w:rPr>
      </w:pPr>
      <w:bookmarkStart w:id="29" w:name="_Toc517259252"/>
      <w:r w:rsidRPr="008F293F">
        <w:t>Attachment 6a – NH DHHS Child Invitation Letter</w:t>
      </w:r>
      <w:bookmarkEnd w:id="29"/>
    </w:p>
    <w:p w14:paraId="3BB51FB4" w14:textId="77777777" w:rsidR="000D54F7" w:rsidRPr="008F293F" w:rsidRDefault="000D54F7" w:rsidP="000D54F7">
      <w:pPr>
        <w:spacing w:line="240" w:lineRule="auto"/>
        <w:ind w:left="1440"/>
        <w:rPr>
          <w:b/>
        </w:rPr>
      </w:pPr>
      <w:bookmarkStart w:id="30" w:name="_Toc517259253"/>
      <w:r w:rsidRPr="008F293F">
        <w:t>Attachment 6b – NH DHHS Adult Invitation Letter</w:t>
      </w:r>
      <w:bookmarkEnd w:id="30"/>
    </w:p>
    <w:p w14:paraId="2E8E0C7E" w14:textId="77777777" w:rsidR="000D54F7" w:rsidRPr="008F293F" w:rsidRDefault="000D54F7" w:rsidP="000D54F7">
      <w:pPr>
        <w:spacing w:line="240" w:lineRule="auto"/>
        <w:ind w:left="1440"/>
        <w:rPr>
          <w:b/>
        </w:rPr>
      </w:pPr>
      <w:bookmarkStart w:id="31" w:name="_Toc517259254"/>
      <w:r w:rsidRPr="008F293F">
        <w:t>Attachment 6c – Wave One Eligibility Screening Script</w:t>
      </w:r>
      <w:bookmarkEnd w:id="31"/>
    </w:p>
    <w:p w14:paraId="1A81F7EC" w14:textId="77777777" w:rsidR="000D54F7" w:rsidRPr="008F293F" w:rsidRDefault="000D54F7" w:rsidP="000D54F7">
      <w:pPr>
        <w:spacing w:line="240" w:lineRule="auto"/>
        <w:ind w:left="720"/>
        <w:rPr>
          <w:b/>
        </w:rPr>
      </w:pPr>
      <w:bookmarkStart w:id="32" w:name="_Toc517259255"/>
      <w:r w:rsidRPr="008F293F">
        <w:t>Attachment 7 – Waves Two and Three Recruitment Materials</w:t>
      </w:r>
      <w:bookmarkEnd w:id="32"/>
    </w:p>
    <w:p w14:paraId="0710CA6A" w14:textId="77777777" w:rsidR="000D54F7" w:rsidRPr="008F293F" w:rsidRDefault="000D54F7" w:rsidP="000D54F7">
      <w:pPr>
        <w:spacing w:line="240" w:lineRule="auto"/>
        <w:ind w:left="1440"/>
        <w:rPr>
          <w:b/>
        </w:rPr>
      </w:pPr>
      <w:bookmarkStart w:id="33" w:name="_Toc517259256"/>
      <w:r w:rsidRPr="008F293F">
        <w:t>Attachment 7a – Wave Two Flyer to Recruit Additional Exposed Children</w:t>
      </w:r>
      <w:bookmarkEnd w:id="33"/>
    </w:p>
    <w:p w14:paraId="2A320865" w14:textId="77777777" w:rsidR="000D54F7" w:rsidRPr="008F293F" w:rsidRDefault="000D54F7" w:rsidP="000D54F7">
      <w:pPr>
        <w:spacing w:line="240" w:lineRule="auto"/>
        <w:ind w:left="1440"/>
        <w:rPr>
          <w:b/>
        </w:rPr>
      </w:pPr>
      <w:bookmarkStart w:id="34" w:name="_Toc517259257"/>
      <w:r w:rsidRPr="008F293F">
        <w:t>Attachment 7b – Wave Two Flyer to Recruit Additional Exposed Adults</w:t>
      </w:r>
      <w:bookmarkEnd w:id="34"/>
    </w:p>
    <w:p w14:paraId="5C78D3E5" w14:textId="77777777" w:rsidR="000D54F7" w:rsidRPr="008F293F" w:rsidRDefault="000D54F7" w:rsidP="000D54F7">
      <w:pPr>
        <w:spacing w:line="240" w:lineRule="auto"/>
        <w:ind w:left="1440"/>
        <w:rPr>
          <w:b/>
        </w:rPr>
      </w:pPr>
      <w:bookmarkStart w:id="35" w:name="_Toc517259258"/>
      <w:r w:rsidRPr="008F293F">
        <w:t>Attachment 7c – Wave Two or Wave Three Eligibility Screening Script</w:t>
      </w:r>
      <w:bookmarkEnd w:id="35"/>
    </w:p>
    <w:p w14:paraId="2265E3CA" w14:textId="77777777" w:rsidR="000D54F7" w:rsidRPr="008F293F" w:rsidRDefault="000D54F7" w:rsidP="000D54F7">
      <w:pPr>
        <w:spacing w:line="240" w:lineRule="auto"/>
        <w:ind w:left="1440"/>
        <w:rPr>
          <w:b/>
        </w:rPr>
      </w:pPr>
      <w:bookmarkStart w:id="36" w:name="_Toc517259259"/>
      <w:r w:rsidRPr="008F293F">
        <w:t>Attachment 7d – Wave Three Child Flyer for Referent Recruitment</w:t>
      </w:r>
      <w:bookmarkEnd w:id="36"/>
    </w:p>
    <w:p w14:paraId="39E08FEE" w14:textId="77777777" w:rsidR="000D54F7" w:rsidRPr="008F293F" w:rsidRDefault="000D54F7" w:rsidP="000D54F7">
      <w:pPr>
        <w:spacing w:line="240" w:lineRule="auto"/>
        <w:ind w:left="1440"/>
      </w:pPr>
      <w:bookmarkStart w:id="37" w:name="_Toc517259260"/>
      <w:r w:rsidRPr="008F293F">
        <w:t>Attachment 7e – Wave Three Adult Flyer for Referent Recruitment</w:t>
      </w:r>
      <w:bookmarkEnd w:id="37"/>
    </w:p>
    <w:p w14:paraId="76FE653D" w14:textId="77777777" w:rsidR="000D54F7" w:rsidRPr="008F293F" w:rsidRDefault="000D54F7" w:rsidP="000D54F7">
      <w:pPr>
        <w:spacing w:line="240" w:lineRule="auto"/>
        <w:ind w:left="720"/>
        <w:rPr>
          <w:b/>
        </w:rPr>
      </w:pPr>
      <w:bookmarkStart w:id="38" w:name="_Toc517259261"/>
      <w:r w:rsidRPr="008F293F">
        <w:t>Attachment 8 – Recruitment Tracking Form</w:t>
      </w:r>
      <w:bookmarkEnd w:id="38"/>
    </w:p>
    <w:p w14:paraId="187ED5D1" w14:textId="77777777" w:rsidR="000D54F7" w:rsidRPr="008F293F" w:rsidRDefault="000D54F7" w:rsidP="000D54F7">
      <w:pPr>
        <w:spacing w:line="240" w:lineRule="auto"/>
        <w:ind w:left="720"/>
        <w:rPr>
          <w:b/>
        </w:rPr>
      </w:pPr>
      <w:bookmarkStart w:id="39" w:name="_Toc517259262"/>
      <w:r w:rsidRPr="008F293F">
        <w:t>Attachment 9 – Appointment Packet</w:t>
      </w:r>
      <w:bookmarkEnd w:id="39"/>
    </w:p>
    <w:p w14:paraId="54DD61C1" w14:textId="77777777" w:rsidR="000D54F7" w:rsidRPr="008F293F" w:rsidRDefault="000D54F7" w:rsidP="000D54F7">
      <w:pPr>
        <w:spacing w:line="240" w:lineRule="auto"/>
        <w:ind w:left="1440"/>
        <w:rPr>
          <w:b/>
        </w:rPr>
      </w:pPr>
      <w:bookmarkStart w:id="40" w:name="_Toc517259263"/>
      <w:r w:rsidRPr="008F293F">
        <w:t>Attachment 9a – Appointment Reminder Card</w:t>
      </w:r>
      <w:bookmarkEnd w:id="40"/>
    </w:p>
    <w:p w14:paraId="4BFC171C" w14:textId="77777777" w:rsidR="000D54F7" w:rsidRPr="008F293F" w:rsidRDefault="000D54F7" w:rsidP="000D54F7">
      <w:pPr>
        <w:spacing w:line="240" w:lineRule="auto"/>
        <w:ind w:left="1440"/>
        <w:rPr>
          <w:b/>
        </w:rPr>
      </w:pPr>
      <w:bookmarkStart w:id="41" w:name="_Toc517259264"/>
      <w:r w:rsidRPr="008F293F">
        <w:t>Attachment 9b – Informed Consent Packet</w:t>
      </w:r>
      <w:bookmarkEnd w:id="41"/>
    </w:p>
    <w:p w14:paraId="210F5987" w14:textId="77777777" w:rsidR="000D54F7" w:rsidRPr="008F293F" w:rsidRDefault="000D54F7" w:rsidP="000D54F7">
      <w:pPr>
        <w:spacing w:line="240" w:lineRule="auto"/>
        <w:ind w:left="2160"/>
        <w:rPr>
          <w:i/>
        </w:rPr>
      </w:pPr>
      <w:bookmarkStart w:id="42" w:name="_Toc517259265"/>
      <w:r w:rsidRPr="008F293F">
        <w:t>Attachment 9b1 – Privacy Act Statement</w:t>
      </w:r>
      <w:bookmarkEnd w:id="42"/>
    </w:p>
    <w:p w14:paraId="64EA470A" w14:textId="77777777" w:rsidR="000D54F7" w:rsidRPr="008F293F" w:rsidRDefault="000D54F7" w:rsidP="000D54F7">
      <w:pPr>
        <w:spacing w:line="240" w:lineRule="auto"/>
        <w:ind w:left="2160"/>
        <w:rPr>
          <w:i/>
        </w:rPr>
      </w:pPr>
      <w:bookmarkStart w:id="43" w:name="_Toc517259266"/>
      <w:r w:rsidRPr="008F293F">
        <w:t>Attachment 9b2 – Parental Permission and Child Assent Forms</w:t>
      </w:r>
      <w:bookmarkEnd w:id="43"/>
    </w:p>
    <w:p w14:paraId="0AB430EA" w14:textId="77777777" w:rsidR="000D54F7" w:rsidRPr="008F293F" w:rsidRDefault="000D54F7" w:rsidP="000D54F7">
      <w:pPr>
        <w:spacing w:line="240" w:lineRule="auto"/>
        <w:ind w:left="2160"/>
        <w:rPr>
          <w:i/>
        </w:rPr>
      </w:pPr>
      <w:bookmarkStart w:id="44" w:name="_Toc517259267"/>
      <w:r w:rsidRPr="008F293F">
        <w:t>Attachment 9b3 – Parental Consent to Release Student Information</w:t>
      </w:r>
      <w:bookmarkEnd w:id="44"/>
    </w:p>
    <w:p w14:paraId="3DC53229" w14:textId="77777777" w:rsidR="000D54F7" w:rsidRPr="008F293F" w:rsidRDefault="000D54F7" w:rsidP="000D54F7">
      <w:pPr>
        <w:spacing w:line="240" w:lineRule="auto"/>
        <w:ind w:left="2160"/>
        <w:rPr>
          <w:i/>
        </w:rPr>
      </w:pPr>
      <w:bookmarkStart w:id="45" w:name="_Toc517259268"/>
      <w:r w:rsidRPr="008F293F">
        <w:t>Attachment 9b4 – Adult Consent Form</w:t>
      </w:r>
      <w:bookmarkEnd w:id="45"/>
    </w:p>
    <w:p w14:paraId="51222EBA" w14:textId="77777777" w:rsidR="000D54F7" w:rsidRPr="008F293F" w:rsidRDefault="000D54F7" w:rsidP="000D54F7">
      <w:pPr>
        <w:spacing w:line="240" w:lineRule="auto"/>
        <w:ind w:left="2160"/>
        <w:rPr>
          <w:i/>
        </w:rPr>
      </w:pPr>
      <w:bookmarkStart w:id="46" w:name="_Toc517259269"/>
      <w:r w:rsidRPr="008F293F">
        <w:t>Attachment 9b5 – Parent/Child/Adult Permission for Medical Record Abstraction</w:t>
      </w:r>
      <w:bookmarkEnd w:id="46"/>
    </w:p>
    <w:p w14:paraId="27677BA0" w14:textId="77777777" w:rsidR="000D54F7" w:rsidRPr="008F293F" w:rsidRDefault="000D54F7" w:rsidP="000D54F7">
      <w:pPr>
        <w:spacing w:line="240" w:lineRule="auto"/>
        <w:ind w:left="720" w:firstLine="720"/>
        <w:rPr>
          <w:b/>
        </w:rPr>
      </w:pPr>
      <w:bookmarkStart w:id="47" w:name="_Toc517259270"/>
      <w:r w:rsidRPr="008F293F">
        <w:t>Attachment 9c – Study Fact Sheet</w:t>
      </w:r>
      <w:bookmarkEnd w:id="47"/>
    </w:p>
    <w:p w14:paraId="47FE6BBC" w14:textId="77777777" w:rsidR="000D54F7" w:rsidRPr="008F293F" w:rsidRDefault="000D54F7" w:rsidP="000D54F7">
      <w:pPr>
        <w:spacing w:line="240" w:lineRule="auto"/>
        <w:ind w:left="720"/>
        <w:rPr>
          <w:b/>
        </w:rPr>
      </w:pPr>
      <w:r w:rsidRPr="008F293F">
        <w:t>Attachment 10 – Appointment Reminder Telephone Script</w:t>
      </w:r>
    </w:p>
    <w:p w14:paraId="0677F77F" w14:textId="77777777" w:rsidR="000D54F7" w:rsidRPr="008F293F" w:rsidRDefault="000D54F7" w:rsidP="000D54F7">
      <w:pPr>
        <w:spacing w:line="240" w:lineRule="auto"/>
        <w:ind w:left="720"/>
        <w:rPr>
          <w:b/>
        </w:rPr>
      </w:pPr>
      <w:r w:rsidRPr="008F293F">
        <w:t>Attachment 11 – Appointment Tracking Form</w:t>
      </w:r>
    </w:p>
    <w:p w14:paraId="435E81B4" w14:textId="77777777" w:rsidR="000D54F7" w:rsidRPr="008F293F" w:rsidRDefault="000D54F7" w:rsidP="000D54F7">
      <w:pPr>
        <w:spacing w:line="240" w:lineRule="auto"/>
        <w:ind w:left="720"/>
        <w:rPr>
          <w:b/>
        </w:rPr>
      </w:pPr>
      <w:r w:rsidRPr="008F293F">
        <w:t xml:space="preserve">Attachment 12 – Update Contact Information Hardcopy Form </w:t>
      </w:r>
    </w:p>
    <w:p w14:paraId="1BA2A392" w14:textId="77777777" w:rsidR="000D54F7" w:rsidRPr="008F293F" w:rsidRDefault="000D54F7" w:rsidP="000D54F7">
      <w:pPr>
        <w:spacing w:line="240" w:lineRule="auto"/>
        <w:ind w:left="720"/>
        <w:rPr>
          <w:b/>
        </w:rPr>
      </w:pPr>
      <w:r w:rsidRPr="008F293F">
        <w:t>Attachment 13 – Medication List</w:t>
      </w:r>
    </w:p>
    <w:p w14:paraId="4969CEF6" w14:textId="77777777" w:rsidR="000D54F7" w:rsidRPr="008F293F" w:rsidRDefault="000D54F7" w:rsidP="000D54F7">
      <w:pPr>
        <w:spacing w:line="240" w:lineRule="auto"/>
        <w:ind w:left="720"/>
        <w:rPr>
          <w:b/>
        </w:rPr>
      </w:pPr>
      <w:r w:rsidRPr="008F293F">
        <w:t>Attachment 14 – Manual of Procedures</w:t>
      </w:r>
    </w:p>
    <w:p w14:paraId="7B3592AC" w14:textId="77777777" w:rsidR="000D54F7" w:rsidRPr="008F293F" w:rsidRDefault="000D54F7" w:rsidP="000D54F7">
      <w:pPr>
        <w:spacing w:line="240" w:lineRule="auto"/>
        <w:ind w:left="720"/>
        <w:rPr>
          <w:b/>
        </w:rPr>
      </w:pPr>
      <w:bookmarkStart w:id="48" w:name="_Toc517259276"/>
      <w:r w:rsidRPr="008F293F">
        <w:t>Attachment 15 – Body and Blood Pressure Measures Form</w:t>
      </w:r>
      <w:bookmarkEnd w:id="48"/>
    </w:p>
    <w:p w14:paraId="5148D27C" w14:textId="77777777" w:rsidR="000D54F7" w:rsidRPr="008F293F" w:rsidRDefault="000D54F7" w:rsidP="000D54F7">
      <w:pPr>
        <w:spacing w:line="240" w:lineRule="auto"/>
        <w:ind w:left="720"/>
        <w:rPr>
          <w:b/>
        </w:rPr>
      </w:pPr>
      <w:bookmarkStart w:id="49" w:name="_Toc517259277"/>
      <w:r w:rsidRPr="008F293F">
        <w:t>Attachment 16 – Blood Draw and Urine Collection Form</w:t>
      </w:r>
      <w:bookmarkEnd w:id="49"/>
    </w:p>
    <w:p w14:paraId="71BFBE94" w14:textId="77777777" w:rsidR="000D54F7" w:rsidRPr="008F293F" w:rsidRDefault="000D54F7" w:rsidP="000D54F7">
      <w:pPr>
        <w:spacing w:line="240" w:lineRule="auto"/>
        <w:ind w:left="720"/>
        <w:rPr>
          <w:b/>
        </w:rPr>
      </w:pPr>
      <w:bookmarkStart w:id="50" w:name="_Toc517259278"/>
      <w:r w:rsidRPr="008F293F">
        <w:t>Attachment 17 – Child Questionnaire – Long Form</w:t>
      </w:r>
      <w:bookmarkEnd w:id="50"/>
    </w:p>
    <w:p w14:paraId="63FF244E" w14:textId="77777777" w:rsidR="000D54F7" w:rsidRPr="008F293F" w:rsidRDefault="000D54F7" w:rsidP="000D54F7">
      <w:pPr>
        <w:spacing w:line="240" w:lineRule="auto"/>
        <w:ind w:left="720" w:firstLine="720"/>
        <w:rPr>
          <w:b/>
        </w:rPr>
      </w:pPr>
      <w:bookmarkStart w:id="51" w:name="_Toc517259279"/>
      <w:r w:rsidRPr="008F293F">
        <w:t>Attachment 17a – Child Questionnaire – Short Form</w:t>
      </w:r>
      <w:bookmarkEnd w:id="51"/>
    </w:p>
    <w:p w14:paraId="4E20BDF2" w14:textId="77777777" w:rsidR="000D54F7" w:rsidRPr="008F293F" w:rsidRDefault="000D54F7" w:rsidP="000D54F7">
      <w:pPr>
        <w:spacing w:line="240" w:lineRule="auto"/>
        <w:ind w:left="720"/>
        <w:rPr>
          <w:b/>
        </w:rPr>
      </w:pPr>
      <w:bookmarkStart w:id="52" w:name="_Toc517259280"/>
      <w:r w:rsidRPr="008F293F">
        <w:t>Attachment 18 – Adult Questionnaire</w:t>
      </w:r>
      <w:bookmarkEnd w:id="52"/>
    </w:p>
    <w:p w14:paraId="5923BF2F" w14:textId="77777777" w:rsidR="000D54F7" w:rsidRPr="008F293F" w:rsidRDefault="000D54F7" w:rsidP="000D54F7">
      <w:pPr>
        <w:spacing w:line="240" w:lineRule="auto"/>
        <w:ind w:left="720"/>
        <w:rPr>
          <w:b/>
        </w:rPr>
      </w:pPr>
      <w:bookmarkStart w:id="53" w:name="_Toc517259281"/>
      <w:r w:rsidRPr="008F293F">
        <w:t>Attachment 19 – Letter to Provider for Record Abstraction</w:t>
      </w:r>
      <w:bookmarkEnd w:id="53"/>
    </w:p>
    <w:p w14:paraId="4B6A58D9" w14:textId="77777777" w:rsidR="000D54F7" w:rsidRPr="008F293F" w:rsidRDefault="000D54F7" w:rsidP="000D54F7">
      <w:pPr>
        <w:spacing w:line="240" w:lineRule="auto"/>
        <w:ind w:left="720" w:firstLine="720"/>
        <w:rPr>
          <w:b/>
        </w:rPr>
      </w:pPr>
      <w:bookmarkStart w:id="54" w:name="_Toc517259282"/>
      <w:r w:rsidRPr="008F293F">
        <w:t>Attachment 19a – Medical Record Abstraction Form</w:t>
      </w:r>
      <w:bookmarkEnd w:id="54"/>
      <w:r w:rsidRPr="008F293F">
        <w:t xml:space="preserve"> - Adult</w:t>
      </w:r>
    </w:p>
    <w:p w14:paraId="49DF5074" w14:textId="77777777" w:rsidR="000D54F7" w:rsidRPr="008F293F" w:rsidRDefault="000D54F7" w:rsidP="000D54F7">
      <w:pPr>
        <w:spacing w:line="240" w:lineRule="auto"/>
        <w:ind w:left="720" w:firstLine="720"/>
        <w:rPr>
          <w:b/>
        </w:rPr>
      </w:pPr>
      <w:bookmarkStart w:id="55" w:name="_Toc517259283"/>
      <w:r w:rsidRPr="008F293F">
        <w:t>Attachment 19b – Medical Record Abstraction Form</w:t>
      </w:r>
      <w:bookmarkEnd w:id="55"/>
      <w:r w:rsidRPr="008F293F">
        <w:t xml:space="preserve"> - Child</w:t>
      </w:r>
    </w:p>
    <w:p w14:paraId="171E40E5" w14:textId="77777777" w:rsidR="000D54F7" w:rsidRPr="008F293F" w:rsidRDefault="000D54F7" w:rsidP="000D54F7">
      <w:pPr>
        <w:spacing w:line="240" w:lineRule="auto"/>
        <w:ind w:left="720"/>
        <w:rPr>
          <w:b/>
        </w:rPr>
      </w:pPr>
      <w:bookmarkStart w:id="56" w:name="_Toc517259284"/>
      <w:r w:rsidRPr="008F293F">
        <w:t>Attachment 20 – Child/Parent Neurobehavioral Test Battery</w:t>
      </w:r>
      <w:bookmarkEnd w:id="56"/>
    </w:p>
    <w:p w14:paraId="7EAC40FE" w14:textId="77777777" w:rsidR="000D54F7" w:rsidRPr="008F293F" w:rsidRDefault="000D54F7" w:rsidP="000D54F7">
      <w:pPr>
        <w:spacing w:line="240" w:lineRule="auto"/>
        <w:ind w:left="720" w:firstLine="720"/>
        <w:rPr>
          <w:b/>
        </w:rPr>
      </w:pPr>
      <w:bookmarkStart w:id="57" w:name="_Toc517259285"/>
      <w:r w:rsidRPr="008F293F">
        <w:t>Attachment 20a – NBT Time Estimation Table, by Age in Years</w:t>
      </w:r>
      <w:bookmarkEnd w:id="57"/>
    </w:p>
    <w:p w14:paraId="31464C22" w14:textId="77777777" w:rsidR="000D54F7" w:rsidRPr="008F293F" w:rsidRDefault="000D54F7" w:rsidP="000D54F7">
      <w:pPr>
        <w:spacing w:line="240" w:lineRule="auto"/>
        <w:ind w:left="720" w:firstLine="720"/>
        <w:rPr>
          <w:b/>
        </w:rPr>
      </w:pPr>
      <w:bookmarkStart w:id="58" w:name="_Toc517259286"/>
      <w:r w:rsidRPr="008F293F">
        <w:t>Attachment 20b – Child School Record Abstraction Form</w:t>
      </w:r>
      <w:bookmarkEnd w:id="58"/>
      <w:r w:rsidRPr="008F293F">
        <w:t xml:space="preserve"> </w:t>
      </w:r>
    </w:p>
    <w:p w14:paraId="70E37191" w14:textId="77777777" w:rsidR="000D54F7" w:rsidRPr="008F293F" w:rsidRDefault="000D54F7" w:rsidP="000D54F7">
      <w:pPr>
        <w:spacing w:line="240" w:lineRule="auto"/>
        <w:ind w:left="720"/>
        <w:rPr>
          <w:b/>
        </w:rPr>
      </w:pPr>
      <w:bookmarkStart w:id="59" w:name="_Toc517259287"/>
      <w:r w:rsidRPr="008F293F">
        <w:t>Attachment 21 – Body and Blood Pressure Measurements Report</w:t>
      </w:r>
      <w:bookmarkEnd w:id="59"/>
    </w:p>
    <w:p w14:paraId="6088B0E0" w14:textId="77777777" w:rsidR="000D54F7" w:rsidRPr="008F293F" w:rsidRDefault="000D54F7" w:rsidP="000D54F7">
      <w:pPr>
        <w:spacing w:line="240" w:lineRule="auto"/>
        <w:ind w:left="720"/>
        <w:rPr>
          <w:b/>
        </w:rPr>
      </w:pPr>
      <w:bookmarkStart w:id="60" w:name="_Toc517259288"/>
      <w:r w:rsidRPr="008F293F">
        <w:t>Attachment 22 – Advance Reporting Script for Clinical Tests</w:t>
      </w:r>
      <w:bookmarkEnd w:id="60"/>
    </w:p>
    <w:p w14:paraId="76F65C1C" w14:textId="77777777" w:rsidR="000D54F7" w:rsidRPr="008F293F" w:rsidRDefault="000D54F7" w:rsidP="000D54F7">
      <w:pPr>
        <w:spacing w:line="240" w:lineRule="auto"/>
        <w:ind w:left="720"/>
        <w:rPr>
          <w:b/>
        </w:rPr>
      </w:pPr>
      <w:r w:rsidRPr="008F293F">
        <w:tab/>
      </w:r>
      <w:bookmarkStart w:id="61" w:name="_Toc517259289"/>
      <w:r w:rsidRPr="008F293F">
        <w:t>Attachment 22a – Advance Clinical Test Report Tracking Form</w:t>
      </w:r>
      <w:bookmarkEnd w:id="61"/>
    </w:p>
    <w:p w14:paraId="64389D19" w14:textId="77777777" w:rsidR="000D54F7" w:rsidRPr="008F293F" w:rsidRDefault="000D54F7" w:rsidP="000D54F7">
      <w:pPr>
        <w:spacing w:line="240" w:lineRule="auto"/>
        <w:ind w:left="720" w:firstLine="720"/>
        <w:rPr>
          <w:b/>
        </w:rPr>
      </w:pPr>
      <w:bookmarkStart w:id="62" w:name="_Toc517259290"/>
      <w:r w:rsidRPr="008F293F">
        <w:t>Attachment 22b – Letter Report of Critical Values</w:t>
      </w:r>
      <w:bookmarkEnd w:id="62"/>
      <w:r w:rsidRPr="008F293F">
        <w:t xml:space="preserve"> </w:t>
      </w:r>
    </w:p>
    <w:p w14:paraId="6AEFBCE5" w14:textId="77777777" w:rsidR="000D54F7" w:rsidRPr="008F293F" w:rsidRDefault="000D54F7" w:rsidP="000D54F7">
      <w:pPr>
        <w:spacing w:line="240" w:lineRule="auto"/>
        <w:ind w:left="720"/>
      </w:pPr>
      <w:r w:rsidRPr="008F293F">
        <w:t>Attachment 23 – Clinical Test Results Report</w:t>
      </w:r>
    </w:p>
    <w:p w14:paraId="0A2E7DDA" w14:textId="77777777" w:rsidR="000D54F7" w:rsidRPr="008F293F" w:rsidRDefault="000D54F7" w:rsidP="000D54F7">
      <w:pPr>
        <w:spacing w:line="240" w:lineRule="auto"/>
        <w:ind w:left="720"/>
        <w:rPr>
          <w:b/>
        </w:rPr>
      </w:pPr>
      <w:bookmarkStart w:id="63" w:name="_Toc517259291"/>
      <w:r w:rsidRPr="008F293F">
        <w:t>Attachment 24 – PFAS Results Report</w:t>
      </w:r>
      <w:bookmarkEnd w:id="63"/>
    </w:p>
    <w:p w14:paraId="14463714" w14:textId="2CC27ED8" w:rsidR="00984634" w:rsidRPr="000D54F7" w:rsidRDefault="000D54F7" w:rsidP="000D54F7">
      <w:pPr>
        <w:spacing w:line="240" w:lineRule="auto"/>
        <w:ind w:left="720"/>
        <w:rPr>
          <w:b/>
        </w:rPr>
      </w:pPr>
      <w:r w:rsidRPr="008F293F">
        <w:tab/>
      </w:r>
      <w:bookmarkStart w:id="64" w:name="_Toc517259292"/>
      <w:r w:rsidRPr="008F293F">
        <w:t>Attachment 24a – ATSDR PFAS Factsheet</w:t>
      </w:r>
      <w:bookmarkEnd w:id="64"/>
    </w:p>
    <w:sectPr w:rsidR="00984634" w:rsidRPr="000D54F7" w:rsidSect="001961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D9A22" w14:textId="77777777" w:rsidR="00716A35" w:rsidRDefault="00716A35" w:rsidP="008B5D54">
      <w:r>
        <w:separator/>
      </w:r>
    </w:p>
  </w:endnote>
  <w:endnote w:type="continuationSeparator" w:id="0">
    <w:p w14:paraId="1DBC72D1" w14:textId="77777777" w:rsidR="00716A35" w:rsidRDefault="00716A3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791411"/>
      <w:docPartObj>
        <w:docPartGallery w:val="Page Numbers (Bottom of Page)"/>
        <w:docPartUnique/>
      </w:docPartObj>
    </w:sdtPr>
    <w:sdtEndPr>
      <w:rPr>
        <w:noProof/>
      </w:rPr>
    </w:sdtEndPr>
    <w:sdtContent>
      <w:p w14:paraId="32FC0F21" w14:textId="319C32C5" w:rsidR="00716A35" w:rsidRDefault="00716A35">
        <w:pPr>
          <w:pStyle w:val="Footer"/>
          <w:jc w:val="right"/>
        </w:pPr>
        <w:r>
          <w:fldChar w:fldCharType="begin"/>
        </w:r>
        <w:r>
          <w:instrText xml:space="preserve"> PAGE   \* MERGEFORMAT </w:instrText>
        </w:r>
        <w:r>
          <w:fldChar w:fldCharType="separate"/>
        </w:r>
        <w:r w:rsidR="001228CE">
          <w:rPr>
            <w:noProof/>
          </w:rPr>
          <w:t>1</w:t>
        </w:r>
        <w:r>
          <w:rPr>
            <w:noProof/>
          </w:rPr>
          <w:fldChar w:fldCharType="end"/>
        </w:r>
      </w:p>
    </w:sdtContent>
  </w:sdt>
  <w:p w14:paraId="0859E56F" w14:textId="77777777" w:rsidR="00716A35" w:rsidRDefault="00716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7E713" w14:textId="77777777" w:rsidR="00716A35" w:rsidRDefault="00716A35" w:rsidP="008B5D54">
      <w:r>
        <w:separator/>
      </w:r>
    </w:p>
  </w:footnote>
  <w:footnote w:type="continuationSeparator" w:id="0">
    <w:p w14:paraId="6B02AAA8" w14:textId="77777777" w:rsidR="00716A35" w:rsidRDefault="00716A3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7F829E6"/>
    <w:multiLevelType w:val="hybridMultilevel"/>
    <w:tmpl w:val="37DEA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791B1D"/>
    <w:multiLevelType w:val="hybridMultilevel"/>
    <w:tmpl w:val="A1EC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65026A"/>
    <w:multiLevelType w:val="hybridMultilevel"/>
    <w:tmpl w:val="A0CA1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571994"/>
    <w:multiLevelType w:val="hybridMultilevel"/>
    <w:tmpl w:val="0224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E84C9C"/>
    <w:multiLevelType w:val="hybridMultilevel"/>
    <w:tmpl w:val="8062CF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93B2734"/>
    <w:multiLevelType w:val="hybridMultilevel"/>
    <w:tmpl w:val="5EE8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9"/>
  </w:num>
  <w:num w:numId="12">
    <w:abstractNumId w:val="5"/>
  </w:num>
  <w:num w:numId="13">
    <w:abstractNumId w:val="12"/>
  </w:num>
  <w:num w:numId="14">
    <w:abstractNumId w:val="8"/>
  </w:num>
  <w:num w:numId="15">
    <w:abstractNumId w:val="6"/>
  </w:num>
  <w:num w:numId="16">
    <w:abstractNumId w:val="3"/>
  </w:num>
  <w:num w:numId="17">
    <w:abstractNumId w:val="4"/>
  </w:num>
  <w:num w:numId="18">
    <w:abstractNumId w:val="1"/>
  </w:num>
  <w:num w:numId="19">
    <w:abstractNumId w:val="11"/>
  </w:num>
  <w:num w:numId="20">
    <w:abstractNumId w:val="2"/>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6EDD"/>
    <w:rsid w:val="000108E1"/>
    <w:rsid w:val="000267F6"/>
    <w:rsid w:val="000329FE"/>
    <w:rsid w:val="000337CA"/>
    <w:rsid w:val="00056243"/>
    <w:rsid w:val="0006476E"/>
    <w:rsid w:val="00067E18"/>
    <w:rsid w:val="0007292F"/>
    <w:rsid w:val="000B2EDE"/>
    <w:rsid w:val="000C6804"/>
    <w:rsid w:val="000D41A0"/>
    <w:rsid w:val="000D54F7"/>
    <w:rsid w:val="001228CE"/>
    <w:rsid w:val="00124C4A"/>
    <w:rsid w:val="00143D86"/>
    <w:rsid w:val="00156EEB"/>
    <w:rsid w:val="00175596"/>
    <w:rsid w:val="00196116"/>
    <w:rsid w:val="001A5BF8"/>
    <w:rsid w:val="001B3512"/>
    <w:rsid w:val="001C121D"/>
    <w:rsid w:val="001C2319"/>
    <w:rsid w:val="0023410B"/>
    <w:rsid w:val="002751FF"/>
    <w:rsid w:val="002869DD"/>
    <w:rsid w:val="002B3B93"/>
    <w:rsid w:val="002C7E5B"/>
    <w:rsid w:val="002D0271"/>
    <w:rsid w:val="003041F7"/>
    <w:rsid w:val="0031214F"/>
    <w:rsid w:val="0031356E"/>
    <w:rsid w:val="00330F29"/>
    <w:rsid w:val="00347B36"/>
    <w:rsid w:val="003567AB"/>
    <w:rsid w:val="003A1961"/>
    <w:rsid w:val="003E4957"/>
    <w:rsid w:val="004042C9"/>
    <w:rsid w:val="00416A94"/>
    <w:rsid w:val="00425A8D"/>
    <w:rsid w:val="00467DA7"/>
    <w:rsid w:val="0048550B"/>
    <w:rsid w:val="004A7B18"/>
    <w:rsid w:val="004B3CEA"/>
    <w:rsid w:val="004C72B0"/>
    <w:rsid w:val="004F0BE4"/>
    <w:rsid w:val="004F7094"/>
    <w:rsid w:val="00500B15"/>
    <w:rsid w:val="005044EF"/>
    <w:rsid w:val="0052147A"/>
    <w:rsid w:val="00522073"/>
    <w:rsid w:val="00556567"/>
    <w:rsid w:val="005624FE"/>
    <w:rsid w:val="00582EB8"/>
    <w:rsid w:val="005E1ED1"/>
    <w:rsid w:val="00605765"/>
    <w:rsid w:val="006106B8"/>
    <w:rsid w:val="00611853"/>
    <w:rsid w:val="006560B1"/>
    <w:rsid w:val="006615FB"/>
    <w:rsid w:val="0069074E"/>
    <w:rsid w:val="006C078F"/>
    <w:rsid w:val="006C6578"/>
    <w:rsid w:val="006E1E0E"/>
    <w:rsid w:val="006F2ABA"/>
    <w:rsid w:val="0070554F"/>
    <w:rsid w:val="00716A35"/>
    <w:rsid w:val="00717257"/>
    <w:rsid w:val="007234FE"/>
    <w:rsid w:val="00754B3D"/>
    <w:rsid w:val="00792A59"/>
    <w:rsid w:val="00796D76"/>
    <w:rsid w:val="007B7F20"/>
    <w:rsid w:val="007D595C"/>
    <w:rsid w:val="007F0E10"/>
    <w:rsid w:val="008053F4"/>
    <w:rsid w:val="00805B09"/>
    <w:rsid w:val="00823A90"/>
    <w:rsid w:val="00850074"/>
    <w:rsid w:val="008820DB"/>
    <w:rsid w:val="008861AB"/>
    <w:rsid w:val="008929E8"/>
    <w:rsid w:val="008B5D54"/>
    <w:rsid w:val="008D0F27"/>
    <w:rsid w:val="008D3BE8"/>
    <w:rsid w:val="00935FD5"/>
    <w:rsid w:val="00965C2A"/>
    <w:rsid w:val="009700C5"/>
    <w:rsid w:val="00976C14"/>
    <w:rsid w:val="00984634"/>
    <w:rsid w:val="009923BD"/>
    <w:rsid w:val="009C2F5A"/>
    <w:rsid w:val="009D635A"/>
    <w:rsid w:val="009E47C4"/>
    <w:rsid w:val="009E7CCE"/>
    <w:rsid w:val="00A0629D"/>
    <w:rsid w:val="00A40A5C"/>
    <w:rsid w:val="00A532B0"/>
    <w:rsid w:val="00A76C6D"/>
    <w:rsid w:val="00A97246"/>
    <w:rsid w:val="00AC3B7E"/>
    <w:rsid w:val="00AC4C54"/>
    <w:rsid w:val="00AE2F5E"/>
    <w:rsid w:val="00AE70E7"/>
    <w:rsid w:val="00B21D28"/>
    <w:rsid w:val="00B31F1B"/>
    <w:rsid w:val="00B352E0"/>
    <w:rsid w:val="00B45002"/>
    <w:rsid w:val="00B50B01"/>
    <w:rsid w:val="00B5171E"/>
    <w:rsid w:val="00B55735"/>
    <w:rsid w:val="00B608AC"/>
    <w:rsid w:val="00B73D70"/>
    <w:rsid w:val="00B745A8"/>
    <w:rsid w:val="00B92C85"/>
    <w:rsid w:val="00BA2DBE"/>
    <w:rsid w:val="00BA30FE"/>
    <w:rsid w:val="00BD2639"/>
    <w:rsid w:val="00BE15D8"/>
    <w:rsid w:val="00C15DBE"/>
    <w:rsid w:val="00C46F6C"/>
    <w:rsid w:val="00C86CD9"/>
    <w:rsid w:val="00C929D2"/>
    <w:rsid w:val="00CC05B0"/>
    <w:rsid w:val="00CD0E02"/>
    <w:rsid w:val="00CE4431"/>
    <w:rsid w:val="00D0744A"/>
    <w:rsid w:val="00D14114"/>
    <w:rsid w:val="00D33AE3"/>
    <w:rsid w:val="00D45E7B"/>
    <w:rsid w:val="00D479BA"/>
    <w:rsid w:val="00D57DF0"/>
    <w:rsid w:val="00D80142"/>
    <w:rsid w:val="00DA796B"/>
    <w:rsid w:val="00DC57CC"/>
    <w:rsid w:val="00DC5A93"/>
    <w:rsid w:val="00DD2606"/>
    <w:rsid w:val="00E2405B"/>
    <w:rsid w:val="00E377A0"/>
    <w:rsid w:val="00E410B4"/>
    <w:rsid w:val="00E5157D"/>
    <w:rsid w:val="00E632AF"/>
    <w:rsid w:val="00E707C0"/>
    <w:rsid w:val="00EA6E06"/>
    <w:rsid w:val="00EE47D1"/>
    <w:rsid w:val="00EF2494"/>
    <w:rsid w:val="00EF5132"/>
    <w:rsid w:val="00F1518B"/>
    <w:rsid w:val="00F431E1"/>
    <w:rsid w:val="00F71108"/>
    <w:rsid w:val="00F8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TOC2">
    <w:name w:val="toc 2"/>
    <w:basedOn w:val="Normal"/>
    <w:next w:val="Normal"/>
    <w:autoRedefine/>
    <w:uiPriority w:val="39"/>
    <w:unhideWhenUsed/>
    <w:rsid w:val="003E4957"/>
    <w:pPr>
      <w:spacing w:after="100"/>
      <w:ind w:left="210"/>
    </w:pPr>
  </w:style>
  <w:style w:type="paragraph" w:styleId="TOC3">
    <w:name w:val="toc 3"/>
    <w:basedOn w:val="Normal"/>
    <w:next w:val="Normal"/>
    <w:autoRedefine/>
    <w:uiPriority w:val="39"/>
    <w:unhideWhenUsed/>
    <w:rsid w:val="003E4957"/>
    <w:pPr>
      <w:spacing w:after="100"/>
      <w:ind w:left="420"/>
    </w:pPr>
  </w:style>
  <w:style w:type="paragraph" w:styleId="TOC4">
    <w:name w:val="toc 4"/>
    <w:basedOn w:val="Normal"/>
    <w:next w:val="Normal"/>
    <w:autoRedefine/>
    <w:uiPriority w:val="39"/>
    <w:unhideWhenUsed/>
    <w:rsid w:val="004B3CEA"/>
    <w:pPr>
      <w:spacing w:after="100"/>
      <w:ind w:left="630"/>
    </w:pPr>
  </w:style>
  <w:style w:type="paragraph" w:styleId="TOC5">
    <w:name w:val="toc 5"/>
    <w:basedOn w:val="Normal"/>
    <w:next w:val="Normal"/>
    <w:autoRedefine/>
    <w:uiPriority w:val="39"/>
    <w:unhideWhenUsed/>
    <w:rsid w:val="004B3CEA"/>
    <w:pPr>
      <w:spacing w:after="100"/>
      <w:ind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TOC2">
    <w:name w:val="toc 2"/>
    <w:basedOn w:val="Normal"/>
    <w:next w:val="Normal"/>
    <w:autoRedefine/>
    <w:uiPriority w:val="39"/>
    <w:unhideWhenUsed/>
    <w:rsid w:val="003E4957"/>
    <w:pPr>
      <w:spacing w:after="100"/>
      <w:ind w:left="210"/>
    </w:pPr>
  </w:style>
  <w:style w:type="paragraph" w:styleId="TOC3">
    <w:name w:val="toc 3"/>
    <w:basedOn w:val="Normal"/>
    <w:next w:val="Normal"/>
    <w:autoRedefine/>
    <w:uiPriority w:val="39"/>
    <w:unhideWhenUsed/>
    <w:rsid w:val="003E4957"/>
    <w:pPr>
      <w:spacing w:after="100"/>
      <w:ind w:left="420"/>
    </w:pPr>
  </w:style>
  <w:style w:type="paragraph" w:styleId="TOC4">
    <w:name w:val="toc 4"/>
    <w:basedOn w:val="Normal"/>
    <w:next w:val="Normal"/>
    <w:autoRedefine/>
    <w:uiPriority w:val="39"/>
    <w:unhideWhenUsed/>
    <w:rsid w:val="004B3CEA"/>
    <w:pPr>
      <w:spacing w:after="100"/>
      <w:ind w:left="630"/>
    </w:pPr>
  </w:style>
  <w:style w:type="paragraph" w:styleId="TOC5">
    <w:name w:val="toc 5"/>
    <w:basedOn w:val="Normal"/>
    <w:next w:val="Normal"/>
    <w:autoRedefine/>
    <w:uiPriority w:val="39"/>
    <w:unhideWhenUsed/>
    <w:rsid w:val="004B3CEA"/>
    <w:pPr>
      <w:spacing w:after="100"/>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8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dl0@cd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jb0@cdc.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tsdr.cdc.gov/sites/pease/documents/Pease_Feasibility_Assessment_November-2017_50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sh8@cdc.gov" TargetMode="External"/><Relationship Id="rId5" Type="http://schemas.openxmlformats.org/officeDocument/2006/relationships/settings" Target="settings.xml"/><Relationship Id="rId15" Type="http://schemas.openxmlformats.org/officeDocument/2006/relationships/hyperlink" Target="mailto:Chris_Spera@abtassoc.com%20" TargetMode="External"/><Relationship Id="rId10" Type="http://schemas.openxmlformats.org/officeDocument/2006/relationships/hyperlink" Target="mailto:fjb0@cdc.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fsh8@cdc.gov" TargetMode="External"/><Relationship Id="rId14" Type="http://schemas.openxmlformats.org/officeDocument/2006/relationships/hyperlink" Target="mailto:Danielle_Hunt@abtassoc.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ACBE6-7FDA-423F-AEF5-09948E19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dcterms:created xsi:type="dcterms:W3CDTF">2018-12-20T19:09:00Z</dcterms:created>
  <dcterms:modified xsi:type="dcterms:W3CDTF">2018-12-20T19:09:00Z</dcterms:modified>
</cp:coreProperties>
</file>