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9DA9C" w14:textId="77777777" w:rsidR="00716F94" w:rsidRPr="0049341F" w:rsidRDefault="00716F94" w:rsidP="00716F94">
      <w:pPr>
        <w:spacing w:after="0"/>
        <w:rPr>
          <w:b/>
        </w:rPr>
      </w:pPr>
      <w:bookmarkStart w:id="0" w:name="_GoBack"/>
      <w:bookmarkEnd w:id="0"/>
    </w:p>
    <w:p w14:paraId="00444674" w14:textId="77777777" w:rsidR="009B4A51" w:rsidRPr="0049341F" w:rsidRDefault="009B4A51" w:rsidP="00716F94">
      <w:pPr>
        <w:spacing w:after="0"/>
        <w:rPr>
          <w:b/>
        </w:rPr>
      </w:pPr>
    </w:p>
    <w:p w14:paraId="564F70F5" w14:textId="77777777" w:rsidR="009B4A51" w:rsidRPr="0049341F" w:rsidRDefault="009B4A51" w:rsidP="009B4A51">
      <w:pPr>
        <w:spacing w:after="0"/>
        <w:jc w:val="center"/>
        <w:rPr>
          <w:b/>
        </w:rPr>
      </w:pPr>
    </w:p>
    <w:p w14:paraId="40AD5646" w14:textId="77777777" w:rsidR="009B4A51" w:rsidRPr="0049341F" w:rsidRDefault="009B4A51" w:rsidP="00C612E7">
      <w:pPr>
        <w:spacing w:after="0"/>
        <w:rPr>
          <w:color w:val="0033CC"/>
          <w:sz w:val="28"/>
          <w:lang w:eastAsia="ja-JP"/>
        </w:rPr>
      </w:pPr>
    </w:p>
    <w:p w14:paraId="54D3998A" w14:textId="77777777" w:rsidR="00667C89" w:rsidRPr="0049341F" w:rsidRDefault="00667C89" w:rsidP="009B4A51">
      <w:pPr>
        <w:spacing w:after="0"/>
        <w:jc w:val="center"/>
        <w:rPr>
          <w:color w:val="0033CC"/>
          <w:sz w:val="28"/>
        </w:rPr>
      </w:pPr>
    </w:p>
    <w:p w14:paraId="54B6225E" w14:textId="60BA1D84" w:rsidR="002F2FE9" w:rsidRPr="004974B1" w:rsidRDefault="00F6773D" w:rsidP="002F2FE9">
      <w:pPr>
        <w:pStyle w:val="BRFSSHeading"/>
        <w:pBdr>
          <w:bottom w:val="single" w:sz="4" w:space="3" w:color="auto"/>
        </w:pBdr>
        <w:ind w:left="-360"/>
        <w:jc w:val="center"/>
        <w:outlineLvl w:val="0"/>
        <w:rPr>
          <w:rFonts w:asciiTheme="minorHAnsi" w:eastAsia="MS Mincho" w:hAnsiTheme="minorHAnsi" w:cstheme="minorHAnsi"/>
          <w:sz w:val="32"/>
          <w:szCs w:val="32"/>
        </w:rPr>
      </w:pPr>
      <w:bookmarkStart w:id="1" w:name="_Toc519148123"/>
      <w:bookmarkStart w:id="2" w:name="_Toc519148198"/>
      <w:bookmarkStart w:id="3" w:name="_Toc519148219"/>
      <w:r>
        <w:rPr>
          <w:rFonts w:asciiTheme="minorHAnsi" w:eastAsia="MS Mincho" w:hAnsiTheme="minorHAnsi" w:cstheme="minorHAnsi"/>
          <w:sz w:val="32"/>
          <w:szCs w:val="32"/>
        </w:rPr>
        <w:t>F</w:t>
      </w:r>
      <w:r w:rsidR="00335492" w:rsidRPr="004974B1">
        <w:rPr>
          <w:rFonts w:asciiTheme="minorHAnsi" w:eastAsia="MS Mincho" w:hAnsiTheme="minorHAnsi" w:cstheme="minorHAnsi"/>
          <w:sz w:val="32"/>
          <w:szCs w:val="32"/>
        </w:rPr>
        <w:t>oodNet Population</w:t>
      </w:r>
      <w:r w:rsidR="002F2FE9" w:rsidRPr="004974B1">
        <w:rPr>
          <w:rFonts w:asciiTheme="minorHAnsi" w:eastAsia="MS Mincho" w:hAnsiTheme="minorHAnsi" w:cstheme="minorHAnsi"/>
          <w:sz w:val="32"/>
          <w:szCs w:val="32"/>
        </w:rPr>
        <w:t xml:space="preserve"> Survey</w:t>
      </w:r>
      <w:bookmarkEnd w:id="1"/>
      <w:bookmarkEnd w:id="2"/>
      <w:bookmarkEnd w:id="3"/>
      <w:r w:rsidR="002F2FE9" w:rsidRPr="004974B1">
        <w:rPr>
          <w:rFonts w:asciiTheme="minorHAnsi" w:eastAsia="MS Mincho" w:hAnsiTheme="minorHAnsi" w:cstheme="minorHAnsi"/>
          <w:sz w:val="32"/>
          <w:szCs w:val="32"/>
        </w:rPr>
        <w:t xml:space="preserve"> </w:t>
      </w:r>
    </w:p>
    <w:p w14:paraId="6A5144D1" w14:textId="77777777" w:rsidR="00CF6E77" w:rsidRPr="004974B1" w:rsidRDefault="00CF6E77" w:rsidP="00CF6E77">
      <w:pPr>
        <w:spacing w:after="0"/>
        <w:jc w:val="center"/>
        <w:rPr>
          <w:rFonts w:cstheme="minorHAnsi"/>
          <w:b/>
          <w:lang w:eastAsia="ja-JP"/>
        </w:rPr>
      </w:pPr>
    </w:p>
    <w:p w14:paraId="4AC9E981" w14:textId="77777777" w:rsidR="00484011" w:rsidRPr="004974B1" w:rsidRDefault="00484011" w:rsidP="00484011">
      <w:pPr>
        <w:pStyle w:val="Header"/>
        <w:tabs>
          <w:tab w:val="clear" w:pos="4680"/>
        </w:tabs>
        <w:jc w:val="center"/>
      </w:pPr>
    </w:p>
    <w:p w14:paraId="08AC0083" w14:textId="5B3CF74E" w:rsidR="00230213" w:rsidRPr="004C0A2B" w:rsidRDefault="002A13A1" w:rsidP="00230213">
      <w:pPr>
        <w:jc w:val="center"/>
        <w:rPr>
          <w:b/>
          <w:sz w:val="24"/>
          <w:szCs w:val="24"/>
        </w:rPr>
      </w:pPr>
      <w:r w:rsidRPr="006A1D99">
        <w:rPr>
          <w:b/>
          <w:sz w:val="24"/>
          <w:szCs w:val="24"/>
        </w:rPr>
        <w:t>0920-1112</w:t>
      </w:r>
    </w:p>
    <w:p w14:paraId="5F86B78D" w14:textId="77777777" w:rsidR="009B4A51" w:rsidRPr="004974B1" w:rsidRDefault="009B4A51" w:rsidP="00716F94">
      <w:pPr>
        <w:spacing w:after="0"/>
        <w:rPr>
          <w:b/>
        </w:rPr>
      </w:pPr>
    </w:p>
    <w:p w14:paraId="4E3C74CA" w14:textId="77777777" w:rsidR="00AA3192" w:rsidRPr="004974B1" w:rsidRDefault="00AA3192" w:rsidP="00716F94">
      <w:pPr>
        <w:spacing w:after="0"/>
        <w:rPr>
          <w:b/>
        </w:rPr>
      </w:pPr>
    </w:p>
    <w:p w14:paraId="5A74893A" w14:textId="77777777" w:rsidR="00566AE7" w:rsidRDefault="00D351B4" w:rsidP="009B4A51">
      <w:pPr>
        <w:spacing w:after="0"/>
        <w:jc w:val="center"/>
        <w:rPr>
          <w:b/>
          <w:sz w:val="32"/>
        </w:rPr>
      </w:pPr>
      <w:r>
        <w:rPr>
          <w:b/>
          <w:sz w:val="32"/>
        </w:rPr>
        <w:t>Supporting Statement</w:t>
      </w:r>
      <w:r w:rsidR="00C10A47">
        <w:rPr>
          <w:b/>
          <w:sz w:val="32"/>
        </w:rPr>
        <w:t xml:space="preserve"> – Section A</w:t>
      </w:r>
    </w:p>
    <w:p w14:paraId="695EC53B" w14:textId="77777777" w:rsidR="00566AE7" w:rsidRDefault="00566AE7" w:rsidP="009B4A51">
      <w:pPr>
        <w:spacing w:after="0"/>
        <w:jc w:val="center"/>
        <w:rPr>
          <w:b/>
          <w:sz w:val="32"/>
        </w:rPr>
      </w:pPr>
    </w:p>
    <w:p w14:paraId="06138897" w14:textId="398F7192" w:rsidR="00D351B4" w:rsidRDefault="00566AE7" w:rsidP="009B4A51">
      <w:pPr>
        <w:spacing w:after="0"/>
        <w:jc w:val="center"/>
        <w:rPr>
          <w:b/>
          <w:sz w:val="32"/>
        </w:rPr>
      </w:pPr>
      <w:r>
        <w:rPr>
          <w:b/>
          <w:sz w:val="32"/>
        </w:rPr>
        <w:t>Extension ICR</w:t>
      </w:r>
      <w:r w:rsidR="00C10A47">
        <w:rPr>
          <w:b/>
          <w:sz w:val="32"/>
        </w:rPr>
        <w:t xml:space="preserve"> </w:t>
      </w:r>
    </w:p>
    <w:p w14:paraId="005937B0" w14:textId="0932C5D2" w:rsidR="009B4A51" w:rsidRPr="004974B1" w:rsidRDefault="009B4A51" w:rsidP="009B4A51">
      <w:pPr>
        <w:spacing w:after="0"/>
        <w:jc w:val="center"/>
        <w:rPr>
          <w:sz w:val="32"/>
        </w:rPr>
      </w:pPr>
    </w:p>
    <w:p w14:paraId="79BA074B" w14:textId="77777777" w:rsidR="009B4A51" w:rsidRPr="004974B1" w:rsidRDefault="009B4A51" w:rsidP="00716F94">
      <w:pPr>
        <w:spacing w:after="0"/>
        <w:rPr>
          <w:b/>
        </w:rPr>
      </w:pPr>
    </w:p>
    <w:p w14:paraId="70B6B677" w14:textId="77777777" w:rsidR="00484011" w:rsidRPr="004974B1" w:rsidRDefault="00484011" w:rsidP="00716F94">
      <w:pPr>
        <w:spacing w:after="0"/>
        <w:rPr>
          <w:b/>
        </w:rPr>
      </w:pPr>
    </w:p>
    <w:p w14:paraId="34495786" w14:textId="5F67C174" w:rsidR="009B4A51" w:rsidRPr="00566AE7" w:rsidRDefault="006C2680" w:rsidP="009B4A51">
      <w:pPr>
        <w:spacing w:after="0"/>
        <w:jc w:val="center"/>
      </w:pPr>
      <w:r>
        <w:rPr>
          <w:b/>
        </w:rPr>
        <w:t xml:space="preserve">November </w:t>
      </w:r>
      <w:r w:rsidR="00872E71">
        <w:rPr>
          <w:b/>
        </w:rPr>
        <w:t>2</w:t>
      </w:r>
      <w:r w:rsidR="00D1697C">
        <w:rPr>
          <w:b/>
        </w:rPr>
        <w:t>8</w:t>
      </w:r>
      <w:r w:rsidR="004D35E3" w:rsidRPr="006A1D99">
        <w:rPr>
          <w:b/>
        </w:rPr>
        <w:t>, 2018</w:t>
      </w:r>
    </w:p>
    <w:p w14:paraId="7CAF81F3" w14:textId="77777777" w:rsidR="009B4A51" w:rsidRPr="00566AE7" w:rsidRDefault="009B4A51" w:rsidP="00716F94">
      <w:pPr>
        <w:spacing w:after="0"/>
        <w:rPr>
          <w:b/>
        </w:rPr>
      </w:pPr>
    </w:p>
    <w:p w14:paraId="7419320C" w14:textId="77777777" w:rsidR="00AA3192" w:rsidRPr="00566AE7" w:rsidRDefault="00AA3192" w:rsidP="00716F94">
      <w:pPr>
        <w:spacing w:after="0"/>
        <w:rPr>
          <w:b/>
        </w:rPr>
      </w:pPr>
    </w:p>
    <w:p w14:paraId="05A1F06C" w14:textId="77777777" w:rsidR="003F5DBD" w:rsidRPr="00566AE7" w:rsidRDefault="00716F94" w:rsidP="000B0962">
      <w:pPr>
        <w:spacing w:after="0"/>
      </w:pPr>
      <w:r w:rsidRPr="00566AE7">
        <w:rPr>
          <w:b/>
          <w:u w:val="single"/>
        </w:rPr>
        <w:t>P</w:t>
      </w:r>
      <w:r w:rsidR="00667C89" w:rsidRPr="00566AE7">
        <w:rPr>
          <w:b/>
          <w:u w:val="single"/>
        </w:rPr>
        <w:t>rogram Official/Project Officer</w:t>
      </w:r>
      <w:r w:rsidR="005F679C" w:rsidRPr="00566AE7">
        <w:rPr>
          <w:b/>
          <w:u w:val="single"/>
        </w:rPr>
        <w:t>s</w:t>
      </w:r>
    </w:p>
    <w:p w14:paraId="47EC68C6" w14:textId="16A8D558" w:rsidR="00FD5DFD" w:rsidRPr="00566AE7" w:rsidRDefault="005A3001" w:rsidP="003F5DBD">
      <w:pPr>
        <w:pStyle w:val="Header"/>
        <w:tabs>
          <w:tab w:val="clear" w:pos="4680"/>
        </w:tabs>
        <w:spacing w:line="276" w:lineRule="auto"/>
        <w:ind w:left="720"/>
      </w:pPr>
      <w:bookmarkStart w:id="4" w:name="_MailAutoSig"/>
      <w:r>
        <w:t>Lee Samuel</w:t>
      </w:r>
    </w:p>
    <w:p w14:paraId="537C45AD" w14:textId="77777777" w:rsidR="00FD5DFD" w:rsidRPr="00566AE7" w:rsidRDefault="003F5DBD" w:rsidP="003F5DBD">
      <w:pPr>
        <w:pStyle w:val="Header"/>
        <w:tabs>
          <w:tab w:val="clear" w:pos="4680"/>
        </w:tabs>
        <w:spacing w:line="276" w:lineRule="auto"/>
        <w:ind w:left="720"/>
      </w:pPr>
      <w:r w:rsidRPr="00566AE7">
        <w:t xml:space="preserve">National Center for Emerging and Zoonotic Infectious Diseases, </w:t>
      </w:r>
    </w:p>
    <w:p w14:paraId="6189DE34" w14:textId="77777777" w:rsidR="003F5DBD" w:rsidRPr="00566AE7" w:rsidRDefault="003F5DBD" w:rsidP="003F5DBD">
      <w:pPr>
        <w:pStyle w:val="Header"/>
        <w:tabs>
          <w:tab w:val="clear" w:pos="4680"/>
        </w:tabs>
        <w:spacing w:line="276" w:lineRule="auto"/>
        <w:ind w:left="720"/>
      </w:pPr>
      <w:r w:rsidRPr="00566AE7">
        <w:t>Centers for Disease Control and Prevention</w:t>
      </w:r>
    </w:p>
    <w:p w14:paraId="011E615D" w14:textId="56C0C1FA" w:rsidR="000B0962" w:rsidRPr="006A1D99" w:rsidRDefault="009249C8" w:rsidP="002F2FE9">
      <w:pPr>
        <w:pStyle w:val="Header"/>
        <w:tabs>
          <w:tab w:val="clear" w:pos="4680"/>
        </w:tabs>
        <w:spacing w:line="276" w:lineRule="auto"/>
        <w:ind w:left="720"/>
        <w:rPr>
          <w:lang w:eastAsia="ja-JP"/>
        </w:rPr>
      </w:pPr>
      <w:r w:rsidRPr="00566AE7">
        <w:t xml:space="preserve">1600 Clifton Road NE MS </w:t>
      </w:r>
      <w:r w:rsidR="005A3001">
        <w:t>H16-5</w:t>
      </w:r>
      <w:r w:rsidR="003F5DBD" w:rsidRPr="00566AE7">
        <w:t>, Atlanta, GA303</w:t>
      </w:r>
      <w:r w:rsidR="00335492" w:rsidRPr="00566AE7">
        <w:t>33</w:t>
      </w:r>
      <w:r w:rsidR="003F5DBD" w:rsidRPr="00566AE7">
        <w:br/>
      </w:r>
      <w:bookmarkEnd w:id="4"/>
      <w:r w:rsidR="00335492" w:rsidRPr="006A1D99">
        <w:rPr>
          <w:lang w:eastAsia="ja-JP"/>
        </w:rPr>
        <w:t xml:space="preserve">Office: (404) </w:t>
      </w:r>
      <w:r w:rsidR="005A3001">
        <w:rPr>
          <w:lang w:eastAsia="ja-JP"/>
        </w:rPr>
        <w:t>718</w:t>
      </w:r>
      <w:r w:rsidR="00335492" w:rsidRPr="006A1D99">
        <w:rPr>
          <w:lang w:eastAsia="ja-JP"/>
        </w:rPr>
        <w:t>-</w:t>
      </w:r>
      <w:r w:rsidR="005A3001">
        <w:rPr>
          <w:lang w:eastAsia="ja-JP"/>
        </w:rPr>
        <w:t>1616</w:t>
      </w:r>
    </w:p>
    <w:p w14:paraId="0589D28E" w14:textId="6841C017" w:rsidR="005F679C" w:rsidRPr="004974B1" w:rsidRDefault="002F2FE9" w:rsidP="002F2FE9">
      <w:pPr>
        <w:pStyle w:val="Header"/>
        <w:tabs>
          <w:tab w:val="clear" w:pos="4680"/>
        </w:tabs>
        <w:spacing w:line="276" w:lineRule="auto"/>
        <w:ind w:left="720"/>
        <w:rPr>
          <w:lang w:eastAsia="ja-JP"/>
        </w:rPr>
      </w:pPr>
      <w:r w:rsidRPr="006A1D99">
        <w:rPr>
          <w:lang w:eastAsia="ja-JP"/>
        </w:rPr>
        <w:t xml:space="preserve">Email: </w:t>
      </w:r>
      <w:hyperlink r:id="rId9" w:history="1">
        <w:r w:rsidR="005A3001" w:rsidRPr="00C84369">
          <w:rPr>
            <w:rStyle w:val="Hyperlink"/>
            <w:lang w:eastAsia="ja-JP"/>
          </w:rPr>
          <w:t>llj3@cdc.gov</w:t>
        </w:r>
      </w:hyperlink>
      <w:r w:rsidR="00335492" w:rsidRPr="004974B1">
        <w:rPr>
          <w:lang w:eastAsia="ja-JP"/>
        </w:rPr>
        <w:t xml:space="preserve"> </w:t>
      </w:r>
    </w:p>
    <w:p w14:paraId="135F33AF" w14:textId="77777777" w:rsidR="00335492" w:rsidRPr="004974B1" w:rsidRDefault="00335492" w:rsidP="002F2FE9">
      <w:pPr>
        <w:pStyle w:val="Header"/>
        <w:tabs>
          <w:tab w:val="clear" w:pos="4680"/>
        </w:tabs>
        <w:spacing w:line="276" w:lineRule="auto"/>
        <w:ind w:left="720"/>
        <w:rPr>
          <w:lang w:eastAsia="ja-JP"/>
        </w:rPr>
      </w:pPr>
    </w:p>
    <w:p w14:paraId="464E71FC" w14:textId="77777777" w:rsidR="00335492" w:rsidRPr="004974B1" w:rsidRDefault="00335492">
      <w:pPr>
        <w:rPr>
          <w:lang w:eastAsia="ja-JP"/>
        </w:rPr>
      </w:pPr>
      <w:r w:rsidRPr="004974B1">
        <w:rPr>
          <w:lang w:eastAsia="ja-JP"/>
        </w:rPr>
        <w:br w:type="page"/>
      </w:r>
    </w:p>
    <w:sdt>
      <w:sdtPr>
        <w:rPr>
          <w:rFonts w:asciiTheme="minorHAnsi" w:eastAsiaTheme="minorEastAsia" w:hAnsiTheme="minorHAnsi" w:cstheme="minorBidi"/>
          <w:color w:val="auto"/>
          <w:sz w:val="22"/>
          <w:szCs w:val="22"/>
        </w:rPr>
        <w:id w:val="-1689284623"/>
        <w:docPartObj>
          <w:docPartGallery w:val="Table of Contents"/>
          <w:docPartUnique/>
        </w:docPartObj>
      </w:sdtPr>
      <w:sdtEndPr>
        <w:rPr>
          <w:b/>
          <w:bCs/>
          <w:noProof/>
        </w:rPr>
      </w:sdtEndPr>
      <w:sdtContent>
        <w:p w14:paraId="571B9443" w14:textId="04D5819A" w:rsidR="005558B7" w:rsidRPr="006A1D99" w:rsidRDefault="00566AE7" w:rsidP="006A1D99">
          <w:pPr>
            <w:pStyle w:val="TOCHeading"/>
            <w:jc w:val="center"/>
            <w:rPr>
              <w:color w:val="auto"/>
            </w:rPr>
          </w:pPr>
          <w:r w:rsidRPr="006A1D99">
            <w:rPr>
              <w:color w:val="auto"/>
            </w:rPr>
            <w:t xml:space="preserve">Table of </w:t>
          </w:r>
          <w:r w:rsidR="005558B7" w:rsidRPr="006A1D99">
            <w:rPr>
              <w:color w:val="auto"/>
            </w:rPr>
            <w:t>Contents</w:t>
          </w:r>
        </w:p>
        <w:p w14:paraId="2640F20B" w14:textId="06995816" w:rsidR="005558B7" w:rsidRDefault="005558B7">
          <w:pPr>
            <w:pStyle w:val="TOC1"/>
            <w:rPr>
              <w:noProof/>
            </w:rPr>
          </w:pPr>
          <w:r>
            <w:fldChar w:fldCharType="begin"/>
          </w:r>
          <w:r>
            <w:instrText xml:space="preserve"> TOC \o "1-3" \h \z \u </w:instrText>
          </w:r>
          <w:r>
            <w:fldChar w:fldCharType="separate"/>
          </w:r>
          <w:r w:rsidRPr="00404428" w:rsidDel="005558B7">
            <w:rPr>
              <w:rStyle w:val="Hyperlink"/>
              <w:noProof/>
            </w:rPr>
            <w:t xml:space="preserve"> </w:t>
          </w:r>
        </w:p>
        <w:p w14:paraId="2492686A" w14:textId="6B99A567" w:rsidR="005558B7" w:rsidRDefault="00770B3A" w:rsidP="006A1D99">
          <w:pPr>
            <w:pStyle w:val="TOC1"/>
            <w:rPr>
              <w:noProof/>
            </w:rPr>
          </w:pPr>
          <w:hyperlink w:anchor="_Toc519148220" w:history="1">
            <w:r w:rsidR="005558B7" w:rsidRPr="00404428">
              <w:rPr>
                <w:rStyle w:val="Hyperlink"/>
                <w:noProof/>
              </w:rPr>
              <w:t>1.</w:t>
            </w:r>
            <w:r w:rsidR="00566AE7">
              <w:rPr>
                <w:rStyle w:val="Hyperlink"/>
                <w:noProof/>
              </w:rPr>
              <w:t xml:space="preserve">    </w:t>
            </w:r>
            <w:r w:rsidR="005558B7" w:rsidRPr="00404428">
              <w:rPr>
                <w:rStyle w:val="Hyperlink"/>
                <w:noProof/>
              </w:rPr>
              <w:t>Circumstances Making the Collection of Information Necessary</w:t>
            </w:r>
            <w:r w:rsidR="005558B7">
              <w:rPr>
                <w:noProof/>
                <w:webHidden/>
              </w:rPr>
              <w:tab/>
            </w:r>
            <w:r w:rsidR="005558B7">
              <w:rPr>
                <w:noProof/>
                <w:webHidden/>
              </w:rPr>
              <w:fldChar w:fldCharType="begin"/>
            </w:r>
            <w:r w:rsidR="005558B7">
              <w:rPr>
                <w:noProof/>
                <w:webHidden/>
              </w:rPr>
              <w:instrText xml:space="preserve"> PAGEREF _Toc519148220 \h </w:instrText>
            </w:r>
            <w:r w:rsidR="005558B7">
              <w:rPr>
                <w:noProof/>
                <w:webHidden/>
              </w:rPr>
            </w:r>
            <w:r w:rsidR="005558B7">
              <w:rPr>
                <w:noProof/>
                <w:webHidden/>
              </w:rPr>
              <w:fldChar w:fldCharType="separate"/>
            </w:r>
            <w:r w:rsidR="00EF028C">
              <w:rPr>
                <w:noProof/>
                <w:webHidden/>
              </w:rPr>
              <w:t>3</w:t>
            </w:r>
            <w:r w:rsidR="005558B7">
              <w:rPr>
                <w:noProof/>
                <w:webHidden/>
              </w:rPr>
              <w:fldChar w:fldCharType="end"/>
            </w:r>
          </w:hyperlink>
        </w:p>
        <w:p w14:paraId="1FBC6AE0" w14:textId="2C1B9556" w:rsidR="005558B7" w:rsidRDefault="00770B3A" w:rsidP="00566AE7">
          <w:pPr>
            <w:pStyle w:val="TOC2"/>
            <w:tabs>
              <w:tab w:val="left" w:pos="90"/>
            </w:tabs>
            <w:ind w:left="-270"/>
            <w:rPr>
              <w:noProof/>
            </w:rPr>
          </w:pPr>
          <w:hyperlink w:anchor="_Toc519148221" w:history="1">
            <w:r w:rsidR="005558B7" w:rsidRPr="00404428">
              <w:rPr>
                <w:rStyle w:val="Hyperlink"/>
                <w:noProof/>
              </w:rPr>
              <w:t>2.</w:t>
            </w:r>
            <w:r w:rsidR="005558B7">
              <w:rPr>
                <w:noProof/>
              </w:rPr>
              <w:tab/>
            </w:r>
            <w:r w:rsidR="005558B7" w:rsidRPr="00404428">
              <w:rPr>
                <w:rStyle w:val="Hyperlink"/>
                <w:noProof/>
              </w:rPr>
              <w:t>Purpose and Use of the Information Collection</w:t>
            </w:r>
            <w:r w:rsidR="005558B7">
              <w:rPr>
                <w:noProof/>
                <w:webHidden/>
              </w:rPr>
              <w:tab/>
            </w:r>
            <w:r w:rsidR="005558B7">
              <w:rPr>
                <w:noProof/>
                <w:webHidden/>
              </w:rPr>
              <w:fldChar w:fldCharType="begin"/>
            </w:r>
            <w:r w:rsidR="005558B7">
              <w:rPr>
                <w:noProof/>
                <w:webHidden/>
              </w:rPr>
              <w:instrText xml:space="preserve"> PAGEREF _Toc519148221 \h </w:instrText>
            </w:r>
            <w:r w:rsidR="005558B7">
              <w:rPr>
                <w:noProof/>
                <w:webHidden/>
              </w:rPr>
            </w:r>
            <w:r w:rsidR="005558B7">
              <w:rPr>
                <w:noProof/>
                <w:webHidden/>
              </w:rPr>
              <w:fldChar w:fldCharType="separate"/>
            </w:r>
            <w:r w:rsidR="00EF028C">
              <w:rPr>
                <w:noProof/>
                <w:webHidden/>
              </w:rPr>
              <w:t>4</w:t>
            </w:r>
            <w:r w:rsidR="005558B7">
              <w:rPr>
                <w:noProof/>
                <w:webHidden/>
              </w:rPr>
              <w:fldChar w:fldCharType="end"/>
            </w:r>
          </w:hyperlink>
        </w:p>
        <w:p w14:paraId="1A5CC7FA" w14:textId="2CAF993D" w:rsidR="005558B7" w:rsidRDefault="00770B3A" w:rsidP="00566AE7">
          <w:pPr>
            <w:pStyle w:val="TOC2"/>
            <w:tabs>
              <w:tab w:val="left" w:pos="90"/>
            </w:tabs>
            <w:ind w:left="-270"/>
            <w:rPr>
              <w:noProof/>
            </w:rPr>
          </w:pPr>
          <w:hyperlink w:anchor="_Toc519148222" w:history="1">
            <w:r w:rsidR="005558B7" w:rsidRPr="00404428">
              <w:rPr>
                <w:rStyle w:val="Hyperlink"/>
                <w:noProof/>
              </w:rPr>
              <w:t>3.</w:t>
            </w:r>
            <w:r w:rsidR="005558B7">
              <w:rPr>
                <w:noProof/>
              </w:rPr>
              <w:tab/>
            </w:r>
            <w:r w:rsidR="005558B7" w:rsidRPr="00404428">
              <w:rPr>
                <w:rStyle w:val="Hyperlink"/>
                <w:noProof/>
              </w:rPr>
              <w:t>Use of Improved Information Technology and Burden Reduction</w:t>
            </w:r>
            <w:r w:rsidR="005558B7">
              <w:rPr>
                <w:noProof/>
                <w:webHidden/>
              </w:rPr>
              <w:tab/>
            </w:r>
            <w:r w:rsidR="005558B7">
              <w:rPr>
                <w:noProof/>
                <w:webHidden/>
              </w:rPr>
              <w:fldChar w:fldCharType="begin"/>
            </w:r>
            <w:r w:rsidR="005558B7">
              <w:rPr>
                <w:noProof/>
                <w:webHidden/>
              </w:rPr>
              <w:instrText xml:space="preserve"> PAGEREF _Toc519148222 \h </w:instrText>
            </w:r>
            <w:r w:rsidR="005558B7">
              <w:rPr>
                <w:noProof/>
                <w:webHidden/>
              </w:rPr>
            </w:r>
            <w:r w:rsidR="005558B7">
              <w:rPr>
                <w:noProof/>
                <w:webHidden/>
              </w:rPr>
              <w:fldChar w:fldCharType="separate"/>
            </w:r>
            <w:r w:rsidR="00EF028C">
              <w:rPr>
                <w:noProof/>
                <w:webHidden/>
              </w:rPr>
              <w:t>6</w:t>
            </w:r>
            <w:r w:rsidR="005558B7">
              <w:rPr>
                <w:noProof/>
                <w:webHidden/>
              </w:rPr>
              <w:fldChar w:fldCharType="end"/>
            </w:r>
          </w:hyperlink>
        </w:p>
        <w:p w14:paraId="747088ED" w14:textId="7912838D" w:rsidR="005558B7" w:rsidRDefault="00770B3A" w:rsidP="00566AE7">
          <w:pPr>
            <w:pStyle w:val="TOC2"/>
            <w:tabs>
              <w:tab w:val="left" w:pos="90"/>
            </w:tabs>
            <w:ind w:left="-270"/>
            <w:rPr>
              <w:noProof/>
            </w:rPr>
          </w:pPr>
          <w:hyperlink w:anchor="_Toc519148223" w:history="1">
            <w:r w:rsidR="005558B7" w:rsidRPr="00404428">
              <w:rPr>
                <w:rStyle w:val="Hyperlink"/>
                <w:noProof/>
              </w:rPr>
              <w:t>4.</w:t>
            </w:r>
            <w:r w:rsidR="005558B7">
              <w:rPr>
                <w:noProof/>
              </w:rPr>
              <w:tab/>
            </w:r>
            <w:r w:rsidR="005558B7" w:rsidRPr="00404428">
              <w:rPr>
                <w:rStyle w:val="Hyperlink"/>
                <w:noProof/>
              </w:rPr>
              <w:t>Efforts to Identify Duplication and Use of Similar Information</w:t>
            </w:r>
            <w:r w:rsidR="005558B7">
              <w:rPr>
                <w:noProof/>
                <w:webHidden/>
              </w:rPr>
              <w:tab/>
            </w:r>
            <w:r w:rsidR="005558B7">
              <w:rPr>
                <w:noProof/>
                <w:webHidden/>
              </w:rPr>
              <w:fldChar w:fldCharType="begin"/>
            </w:r>
            <w:r w:rsidR="005558B7">
              <w:rPr>
                <w:noProof/>
                <w:webHidden/>
              </w:rPr>
              <w:instrText xml:space="preserve"> PAGEREF _Toc519148223 \h </w:instrText>
            </w:r>
            <w:r w:rsidR="005558B7">
              <w:rPr>
                <w:noProof/>
                <w:webHidden/>
              </w:rPr>
            </w:r>
            <w:r w:rsidR="005558B7">
              <w:rPr>
                <w:noProof/>
                <w:webHidden/>
              </w:rPr>
              <w:fldChar w:fldCharType="separate"/>
            </w:r>
            <w:r w:rsidR="00EF028C">
              <w:rPr>
                <w:noProof/>
                <w:webHidden/>
              </w:rPr>
              <w:t>6</w:t>
            </w:r>
            <w:r w:rsidR="005558B7">
              <w:rPr>
                <w:noProof/>
                <w:webHidden/>
              </w:rPr>
              <w:fldChar w:fldCharType="end"/>
            </w:r>
          </w:hyperlink>
        </w:p>
        <w:p w14:paraId="1C41D466" w14:textId="59CF00D8" w:rsidR="005558B7" w:rsidRDefault="00770B3A" w:rsidP="00566AE7">
          <w:pPr>
            <w:pStyle w:val="TOC2"/>
            <w:tabs>
              <w:tab w:val="left" w:pos="90"/>
            </w:tabs>
            <w:ind w:left="-270"/>
            <w:rPr>
              <w:noProof/>
            </w:rPr>
          </w:pPr>
          <w:hyperlink w:anchor="_Toc519148224" w:history="1">
            <w:r w:rsidR="005558B7" w:rsidRPr="00404428">
              <w:rPr>
                <w:rStyle w:val="Hyperlink"/>
                <w:noProof/>
              </w:rPr>
              <w:t>5.</w:t>
            </w:r>
            <w:r w:rsidR="005558B7">
              <w:rPr>
                <w:noProof/>
              </w:rPr>
              <w:tab/>
            </w:r>
            <w:r w:rsidR="005558B7" w:rsidRPr="00404428">
              <w:rPr>
                <w:rStyle w:val="Hyperlink"/>
                <w:noProof/>
              </w:rPr>
              <w:t>Impact on Small Businesses or Other Small Entities</w:t>
            </w:r>
            <w:r w:rsidR="005558B7">
              <w:rPr>
                <w:noProof/>
                <w:webHidden/>
              </w:rPr>
              <w:tab/>
            </w:r>
            <w:r w:rsidR="005558B7">
              <w:rPr>
                <w:noProof/>
                <w:webHidden/>
              </w:rPr>
              <w:fldChar w:fldCharType="begin"/>
            </w:r>
            <w:r w:rsidR="005558B7">
              <w:rPr>
                <w:noProof/>
                <w:webHidden/>
              </w:rPr>
              <w:instrText xml:space="preserve"> PAGEREF _Toc519148224 \h </w:instrText>
            </w:r>
            <w:r w:rsidR="005558B7">
              <w:rPr>
                <w:noProof/>
                <w:webHidden/>
              </w:rPr>
            </w:r>
            <w:r w:rsidR="005558B7">
              <w:rPr>
                <w:noProof/>
                <w:webHidden/>
              </w:rPr>
              <w:fldChar w:fldCharType="separate"/>
            </w:r>
            <w:r w:rsidR="00EF028C">
              <w:rPr>
                <w:noProof/>
                <w:webHidden/>
              </w:rPr>
              <w:t>7</w:t>
            </w:r>
            <w:r w:rsidR="005558B7">
              <w:rPr>
                <w:noProof/>
                <w:webHidden/>
              </w:rPr>
              <w:fldChar w:fldCharType="end"/>
            </w:r>
          </w:hyperlink>
        </w:p>
        <w:p w14:paraId="247E20E7" w14:textId="760077BE" w:rsidR="005558B7" w:rsidRDefault="00770B3A" w:rsidP="00566AE7">
          <w:pPr>
            <w:pStyle w:val="TOC2"/>
            <w:tabs>
              <w:tab w:val="left" w:pos="90"/>
            </w:tabs>
            <w:ind w:left="-270"/>
            <w:rPr>
              <w:noProof/>
            </w:rPr>
          </w:pPr>
          <w:hyperlink w:anchor="_Toc519148225" w:history="1">
            <w:r w:rsidR="005558B7" w:rsidRPr="00404428">
              <w:rPr>
                <w:rStyle w:val="Hyperlink"/>
                <w:noProof/>
              </w:rPr>
              <w:t>6.</w:t>
            </w:r>
            <w:r w:rsidR="005558B7">
              <w:rPr>
                <w:noProof/>
              </w:rPr>
              <w:tab/>
            </w:r>
            <w:r w:rsidR="005558B7" w:rsidRPr="00404428">
              <w:rPr>
                <w:rStyle w:val="Hyperlink"/>
                <w:noProof/>
              </w:rPr>
              <w:t>Consequences of Collecting the Information Less Frequently</w:t>
            </w:r>
            <w:r w:rsidR="005558B7">
              <w:rPr>
                <w:noProof/>
                <w:webHidden/>
              </w:rPr>
              <w:tab/>
            </w:r>
            <w:r w:rsidR="005558B7">
              <w:rPr>
                <w:noProof/>
                <w:webHidden/>
              </w:rPr>
              <w:fldChar w:fldCharType="begin"/>
            </w:r>
            <w:r w:rsidR="005558B7">
              <w:rPr>
                <w:noProof/>
                <w:webHidden/>
              </w:rPr>
              <w:instrText xml:space="preserve"> PAGEREF _Toc519148225 \h </w:instrText>
            </w:r>
            <w:r w:rsidR="005558B7">
              <w:rPr>
                <w:noProof/>
                <w:webHidden/>
              </w:rPr>
            </w:r>
            <w:r w:rsidR="005558B7">
              <w:rPr>
                <w:noProof/>
                <w:webHidden/>
              </w:rPr>
              <w:fldChar w:fldCharType="separate"/>
            </w:r>
            <w:r w:rsidR="00EF028C">
              <w:rPr>
                <w:noProof/>
                <w:webHidden/>
              </w:rPr>
              <w:t>7</w:t>
            </w:r>
            <w:r w:rsidR="005558B7">
              <w:rPr>
                <w:noProof/>
                <w:webHidden/>
              </w:rPr>
              <w:fldChar w:fldCharType="end"/>
            </w:r>
          </w:hyperlink>
        </w:p>
        <w:p w14:paraId="15C0FB36" w14:textId="3D97CB34" w:rsidR="005558B7" w:rsidRDefault="00770B3A" w:rsidP="00566AE7">
          <w:pPr>
            <w:pStyle w:val="TOC2"/>
            <w:tabs>
              <w:tab w:val="left" w:pos="90"/>
            </w:tabs>
            <w:ind w:left="-270"/>
            <w:rPr>
              <w:noProof/>
            </w:rPr>
          </w:pPr>
          <w:hyperlink w:anchor="_Toc519148226" w:history="1">
            <w:r w:rsidR="005558B7" w:rsidRPr="00404428">
              <w:rPr>
                <w:rStyle w:val="Hyperlink"/>
                <w:noProof/>
              </w:rPr>
              <w:t>7.</w:t>
            </w:r>
            <w:r w:rsidR="005558B7">
              <w:rPr>
                <w:noProof/>
              </w:rPr>
              <w:tab/>
            </w:r>
            <w:r w:rsidR="005558B7" w:rsidRPr="00404428">
              <w:rPr>
                <w:rStyle w:val="Hyperlink"/>
                <w:noProof/>
              </w:rPr>
              <w:t>Special Circumstances Relating to the Guidelines of 5 CFR 1320.5</w:t>
            </w:r>
            <w:r w:rsidR="005558B7">
              <w:rPr>
                <w:noProof/>
                <w:webHidden/>
              </w:rPr>
              <w:tab/>
            </w:r>
            <w:r w:rsidR="005558B7">
              <w:rPr>
                <w:noProof/>
                <w:webHidden/>
              </w:rPr>
              <w:fldChar w:fldCharType="begin"/>
            </w:r>
            <w:r w:rsidR="005558B7">
              <w:rPr>
                <w:noProof/>
                <w:webHidden/>
              </w:rPr>
              <w:instrText xml:space="preserve"> PAGEREF _Toc519148226 \h </w:instrText>
            </w:r>
            <w:r w:rsidR="005558B7">
              <w:rPr>
                <w:noProof/>
                <w:webHidden/>
              </w:rPr>
            </w:r>
            <w:r w:rsidR="005558B7">
              <w:rPr>
                <w:noProof/>
                <w:webHidden/>
              </w:rPr>
              <w:fldChar w:fldCharType="separate"/>
            </w:r>
            <w:r w:rsidR="00EF028C">
              <w:rPr>
                <w:noProof/>
                <w:webHidden/>
              </w:rPr>
              <w:t>7</w:t>
            </w:r>
            <w:r w:rsidR="005558B7">
              <w:rPr>
                <w:noProof/>
                <w:webHidden/>
              </w:rPr>
              <w:fldChar w:fldCharType="end"/>
            </w:r>
          </w:hyperlink>
        </w:p>
        <w:p w14:paraId="2772106C" w14:textId="00FA23EA" w:rsidR="005558B7" w:rsidRDefault="00770B3A" w:rsidP="00566AE7">
          <w:pPr>
            <w:pStyle w:val="TOC2"/>
            <w:tabs>
              <w:tab w:val="left" w:pos="90"/>
            </w:tabs>
            <w:ind w:left="-270"/>
            <w:rPr>
              <w:noProof/>
            </w:rPr>
          </w:pPr>
          <w:hyperlink w:anchor="_Toc519148227" w:history="1">
            <w:r w:rsidR="005558B7" w:rsidRPr="00404428">
              <w:rPr>
                <w:rStyle w:val="Hyperlink"/>
                <w:noProof/>
              </w:rPr>
              <w:t>8.</w:t>
            </w:r>
            <w:r w:rsidR="005558B7">
              <w:rPr>
                <w:noProof/>
              </w:rPr>
              <w:tab/>
            </w:r>
            <w:r w:rsidR="005558B7" w:rsidRPr="00404428">
              <w:rPr>
                <w:rStyle w:val="Hyperlink"/>
                <w:noProof/>
              </w:rPr>
              <w:t>Comments in Response to the Federal Register Notice and Efforts to Consult Outside the Agency</w:t>
            </w:r>
            <w:r w:rsidR="005558B7">
              <w:rPr>
                <w:noProof/>
                <w:webHidden/>
              </w:rPr>
              <w:tab/>
            </w:r>
            <w:r w:rsidR="005558B7">
              <w:rPr>
                <w:noProof/>
                <w:webHidden/>
              </w:rPr>
              <w:fldChar w:fldCharType="begin"/>
            </w:r>
            <w:r w:rsidR="005558B7">
              <w:rPr>
                <w:noProof/>
                <w:webHidden/>
              </w:rPr>
              <w:instrText xml:space="preserve"> PAGEREF _Toc519148227 \h </w:instrText>
            </w:r>
            <w:r w:rsidR="005558B7">
              <w:rPr>
                <w:noProof/>
                <w:webHidden/>
              </w:rPr>
            </w:r>
            <w:r w:rsidR="005558B7">
              <w:rPr>
                <w:noProof/>
                <w:webHidden/>
              </w:rPr>
              <w:fldChar w:fldCharType="separate"/>
            </w:r>
            <w:r w:rsidR="00EF028C">
              <w:rPr>
                <w:noProof/>
                <w:webHidden/>
              </w:rPr>
              <w:t>8</w:t>
            </w:r>
            <w:r w:rsidR="005558B7">
              <w:rPr>
                <w:noProof/>
                <w:webHidden/>
              </w:rPr>
              <w:fldChar w:fldCharType="end"/>
            </w:r>
          </w:hyperlink>
        </w:p>
        <w:p w14:paraId="5DECD5DA" w14:textId="1660AECB" w:rsidR="005558B7" w:rsidRDefault="00770B3A" w:rsidP="00566AE7">
          <w:pPr>
            <w:pStyle w:val="TOC2"/>
            <w:tabs>
              <w:tab w:val="left" w:pos="90"/>
            </w:tabs>
            <w:ind w:left="-270"/>
            <w:rPr>
              <w:noProof/>
            </w:rPr>
          </w:pPr>
          <w:hyperlink w:anchor="_Toc519148228" w:history="1">
            <w:r w:rsidR="005558B7" w:rsidRPr="00404428">
              <w:rPr>
                <w:rStyle w:val="Hyperlink"/>
                <w:noProof/>
              </w:rPr>
              <w:t>9.</w:t>
            </w:r>
            <w:r w:rsidR="005558B7">
              <w:rPr>
                <w:noProof/>
              </w:rPr>
              <w:tab/>
            </w:r>
            <w:r w:rsidR="005558B7" w:rsidRPr="00404428">
              <w:rPr>
                <w:rStyle w:val="Hyperlink"/>
                <w:noProof/>
              </w:rPr>
              <w:t>Explanation of Any Payment or Gift to Respondents</w:t>
            </w:r>
            <w:r w:rsidR="005558B7">
              <w:rPr>
                <w:noProof/>
                <w:webHidden/>
              </w:rPr>
              <w:tab/>
            </w:r>
            <w:r w:rsidR="005558B7">
              <w:rPr>
                <w:noProof/>
                <w:webHidden/>
              </w:rPr>
              <w:fldChar w:fldCharType="begin"/>
            </w:r>
            <w:r w:rsidR="005558B7">
              <w:rPr>
                <w:noProof/>
                <w:webHidden/>
              </w:rPr>
              <w:instrText xml:space="preserve"> PAGEREF _Toc519148228 \h </w:instrText>
            </w:r>
            <w:r w:rsidR="005558B7">
              <w:rPr>
                <w:noProof/>
                <w:webHidden/>
              </w:rPr>
            </w:r>
            <w:r w:rsidR="005558B7">
              <w:rPr>
                <w:noProof/>
                <w:webHidden/>
              </w:rPr>
              <w:fldChar w:fldCharType="separate"/>
            </w:r>
            <w:r w:rsidR="00EF028C">
              <w:rPr>
                <w:noProof/>
                <w:webHidden/>
              </w:rPr>
              <w:t>8</w:t>
            </w:r>
            <w:r w:rsidR="005558B7">
              <w:rPr>
                <w:noProof/>
                <w:webHidden/>
              </w:rPr>
              <w:fldChar w:fldCharType="end"/>
            </w:r>
          </w:hyperlink>
        </w:p>
        <w:p w14:paraId="61D4E522" w14:textId="52C2AA70" w:rsidR="005558B7" w:rsidRDefault="00770B3A" w:rsidP="00566AE7">
          <w:pPr>
            <w:pStyle w:val="TOC2"/>
            <w:tabs>
              <w:tab w:val="left" w:pos="90"/>
            </w:tabs>
            <w:ind w:left="-270"/>
            <w:rPr>
              <w:noProof/>
            </w:rPr>
          </w:pPr>
          <w:hyperlink w:anchor="_Toc519148229" w:history="1">
            <w:r w:rsidR="005558B7" w:rsidRPr="00404428">
              <w:rPr>
                <w:rStyle w:val="Hyperlink"/>
                <w:noProof/>
              </w:rPr>
              <w:t>10.</w:t>
            </w:r>
            <w:r w:rsidR="005558B7">
              <w:rPr>
                <w:noProof/>
              </w:rPr>
              <w:tab/>
            </w:r>
            <w:r w:rsidR="005558B7" w:rsidRPr="00404428">
              <w:rPr>
                <w:rStyle w:val="Hyperlink"/>
                <w:noProof/>
              </w:rPr>
              <w:t>Protection of the Privacy and Confidentiality of Information Provided by Respondents</w:t>
            </w:r>
            <w:r w:rsidR="005558B7">
              <w:rPr>
                <w:noProof/>
                <w:webHidden/>
              </w:rPr>
              <w:tab/>
            </w:r>
            <w:r w:rsidR="005558B7">
              <w:rPr>
                <w:noProof/>
                <w:webHidden/>
              </w:rPr>
              <w:fldChar w:fldCharType="begin"/>
            </w:r>
            <w:r w:rsidR="005558B7">
              <w:rPr>
                <w:noProof/>
                <w:webHidden/>
              </w:rPr>
              <w:instrText xml:space="preserve"> PAGEREF _Toc519148229 \h </w:instrText>
            </w:r>
            <w:r w:rsidR="005558B7">
              <w:rPr>
                <w:noProof/>
                <w:webHidden/>
              </w:rPr>
            </w:r>
            <w:r w:rsidR="005558B7">
              <w:rPr>
                <w:noProof/>
                <w:webHidden/>
              </w:rPr>
              <w:fldChar w:fldCharType="separate"/>
            </w:r>
            <w:r w:rsidR="00EF028C">
              <w:rPr>
                <w:noProof/>
                <w:webHidden/>
              </w:rPr>
              <w:t>8</w:t>
            </w:r>
            <w:r w:rsidR="005558B7">
              <w:rPr>
                <w:noProof/>
                <w:webHidden/>
              </w:rPr>
              <w:fldChar w:fldCharType="end"/>
            </w:r>
          </w:hyperlink>
        </w:p>
        <w:p w14:paraId="3F673A7E" w14:textId="0C4D6AE9" w:rsidR="005558B7" w:rsidRDefault="00770B3A" w:rsidP="00566AE7">
          <w:pPr>
            <w:pStyle w:val="TOC2"/>
            <w:tabs>
              <w:tab w:val="left" w:pos="90"/>
            </w:tabs>
            <w:ind w:left="-270"/>
            <w:rPr>
              <w:noProof/>
            </w:rPr>
          </w:pPr>
          <w:hyperlink w:anchor="_Toc519148232" w:history="1">
            <w:r w:rsidR="005558B7" w:rsidRPr="00404428">
              <w:rPr>
                <w:rStyle w:val="Hyperlink"/>
                <w:noProof/>
              </w:rPr>
              <w:t>11.</w:t>
            </w:r>
            <w:r w:rsidR="005558B7">
              <w:rPr>
                <w:noProof/>
              </w:rPr>
              <w:tab/>
            </w:r>
            <w:r w:rsidR="005558B7" w:rsidRPr="00404428">
              <w:rPr>
                <w:rStyle w:val="Hyperlink"/>
                <w:noProof/>
              </w:rPr>
              <w:t>Institutional Review Board (IRB) and Justification for Sensitive Questions</w:t>
            </w:r>
            <w:r w:rsidR="005558B7">
              <w:rPr>
                <w:noProof/>
                <w:webHidden/>
              </w:rPr>
              <w:tab/>
            </w:r>
            <w:r w:rsidR="005558B7">
              <w:rPr>
                <w:noProof/>
                <w:webHidden/>
              </w:rPr>
              <w:fldChar w:fldCharType="begin"/>
            </w:r>
            <w:r w:rsidR="005558B7">
              <w:rPr>
                <w:noProof/>
                <w:webHidden/>
              </w:rPr>
              <w:instrText xml:space="preserve"> PAGEREF _Toc519148232 \h </w:instrText>
            </w:r>
            <w:r w:rsidR="005558B7">
              <w:rPr>
                <w:noProof/>
                <w:webHidden/>
              </w:rPr>
            </w:r>
            <w:r w:rsidR="005558B7">
              <w:rPr>
                <w:noProof/>
                <w:webHidden/>
              </w:rPr>
              <w:fldChar w:fldCharType="separate"/>
            </w:r>
            <w:r w:rsidR="00EF028C">
              <w:rPr>
                <w:noProof/>
                <w:webHidden/>
              </w:rPr>
              <w:t>9</w:t>
            </w:r>
            <w:r w:rsidR="005558B7">
              <w:rPr>
                <w:noProof/>
                <w:webHidden/>
              </w:rPr>
              <w:fldChar w:fldCharType="end"/>
            </w:r>
          </w:hyperlink>
        </w:p>
        <w:p w14:paraId="763BD840" w14:textId="0FFD200C" w:rsidR="005558B7" w:rsidRDefault="00770B3A" w:rsidP="00566AE7">
          <w:pPr>
            <w:pStyle w:val="TOC2"/>
            <w:tabs>
              <w:tab w:val="left" w:pos="90"/>
            </w:tabs>
            <w:ind w:left="-270"/>
            <w:rPr>
              <w:noProof/>
            </w:rPr>
          </w:pPr>
          <w:hyperlink w:anchor="_Toc519148233" w:history="1">
            <w:r w:rsidR="005558B7" w:rsidRPr="00404428">
              <w:rPr>
                <w:rStyle w:val="Hyperlink"/>
                <w:noProof/>
              </w:rPr>
              <w:t>12.</w:t>
            </w:r>
            <w:r w:rsidR="005558B7">
              <w:rPr>
                <w:noProof/>
              </w:rPr>
              <w:tab/>
            </w:r>
            <w:r w:rsidR="005558B7" w:rsidRPr="00404428">
              <w:rPr>
                <w:rStyle w:val="Hyperlink"/>
                <w:noProof/>
              </w:rPr>
              <w:t>Estimates of Annualized Burden Hours and Costs</w:t>
            </w:r>
            <w:r w:rsidR="005558B7">
              <w:rPr>
                <w:noProof/>
                <w:webHidden/>
              </w:rPr>
              <w:tab/>
            </w:r>
            <w:r w:rsidR="005558B7">
              <w:rPr>
                <w:noProof/>
                <w:webHidden/>
              </w:rPr>
              <w:fldChar w:fldCharType="begin"/>
            </w:r>
            <w:r w:rsidR="005558B7">
              <w:rPr>
                <w:noProof/>
                <w:webHidden/>
              </w:rPr>
              <w:instrText xml:space="preserve"> PAGEREF _Toc519148233 \h </w:instrText>
            </w:r>
            <w:r w:rsidR="005558B7">
              <w:rPr>
                <w:noProof/>
                <w:webHidden/>
              </w:rPr>
            </w:r>
            <w:r w:rsidR="005558B7">
              <w:rPr>
                <w:noProof/>
                <w:webHidden/>
              </w:rPr>
              <w:fldChar w:fldCharType="separate"/>
            </w:r>
            <w:r w:rsidR="00EF028C">
              <w:rPr>
                <w:noProof/>
                <w:webHidden/>
              </w:rPr>
              <w:t>9</w:t>
            </w:r>
            <w:r w:rsidR="005558B7">
              <w:rPr>
                <w:noProof/>
                <w:webHidden/>
              </w:rPr>
              <w:fldChar w:fldCharType="end"/>
            </w:r>
          </w:hyperlink>
        </w:p>
        <w:p w14:paraId="70E3FF57" w14:textId="2E0497EF" w:rsidR="005558B7" w:rsidRDefault="00770B3A" w:rsidP="00566AE7">
          <w:pPr>
            <w:pStyle w:val="TOC2"/>
            <w:tabs>
              <w:tab w:val="left" w:pos="90"/>
            </w:tabs>
            <w:ind w:left="-270"/>
            <w:rPr>
              <w:noProof/>
            </w:rPr>
          </w:pPr>
          <w:hyperlink w:anchor="_Toc519148234" w:history="1">
            <w:r w:rsidR="005558B7" w:rsidRPr="00404428">
              <w:rPr>
                <w:rStyle w:val="Hyperlink"/>
                <w:noProof/>
              </w:rPr>
              <w:t>13.</w:t>
            </w:r>
            <w:r w:rsidR="005558B7">
              <w:rPr>
                <w:noProof/>
              </w:rPr>
              <w:tab/>
            </w:r>
            <w:r w:rsidR="005558B7" w:rsidRPr="00404428">
              <w:rPr>
                <w:rStyle w:val="Hyperlink"/>
                <w:noProof/>
              </w:rPr>
              <w:t>Estimates of Other Total Annual Cost Burden to Respondents or Record Keepers</w:t>
            </w:r>
            <w:r w:rsidR="005558B7">
              <w:rPr>
                <w:noProof/>
                <w:webHidden/>
              </w:rPr>
              <w:tab/>
            </w:r>
            <w:r w:rsidR="005558B7">
              <w:rPr>
                <w:noProof/>
                <w:webHidden/>
              </w:rPr>
              <w:fldChar w:fldCharType="begin"/>
            </w:r>
            <w:r w:rsidR="005558B7">
              <w:rPr>
                <w:noProof/>
                <w:webHidden/>
              </w:rPr>
              <w:instrText xml:space="preserve"> PAGEREF _Toc519148234 \h </w:instrText>
            </w:r>
            <w:r w:rsidR="005558B7">
              <w:rPr>
                <w:noProof/>
                <w:webHidden/>
              </w:rPr>
            </w:r>
            <w:r w:rsidR="005558B7">
              <w:rPr>
                <w:noProof/>
                <w:webHidden/>
              </w:rPr>
              <w:fldChar w:fldCharType="separate"/>
            </w:r>
            <w:r w:rsidR="00EF028C">
              <w:rPr>
                <w:noProof/>
                <w:webHidden/>
              </w:rPr>
              <w:t>10</w:t>
            </w:r>
            <w:r w:rsidR="005558B7">
              <w:rPr>
                <w:noProof/>
                <w:webHidden/>
              </w:rPr>
              <w:fldChar w:fldCharType="end"/>
            </w:r>
          </w:hyperlink>
        </w:p>
        <w:p w14:paraId="75C7A29D" w14:textId="660FC156" w:rsidR="005558B7" w:rsidRDefault="00770B3A" w:rsidP="00566AE7">
          <w:pPr>
            <w:pStyle w:val="TOC2"/>
            <w:tabs>
              <w:tab w:val="left" w:pos="90"/>
            </w:tabs>
            <w:ind w:left="-270"/>
            <w:rPr>
              <w:noProof/>
            </w:rPr>
          </w:pPr>
          <w:hyperlink w:anchor="_Toc519148235" w:history="1">
            <w:r w:rsidR="005558B7" w:rsidRPr="00404428">
              <w:rPr>
                <w:rStyle w:val="Hyperlink"/>
                <w:noProof/>
              </w:rPr>
              <w:t>14.</w:t>
            </w:r>
            <w:r w:rsidR="005558B7">
              <w:rPr>
                <w:noProof/>
              </w:rPr>
              <w:tab/>
            </w:r>
            <w:r w:rsidR="005558B7" w:rsidRPr="00404428">
              <w:rPr>
                <w:rStyle w:val="Hyperlink"/>
                <w:noProof/>
              </w:rPr>
              <w:t>Annualized Cost to the Government</w:t>
            </w:r>
            <w:r w:rsidR="005558B7">
              <w:rPr>
                <w:noProof/>
                <w:webHidden/>
              </w:rPr>
              <w:tab/>
            </w:r>
            <w:r w:rsidR="005558B7">
              <w:rPr>
                <w:noProof/>
                <w:webHidden/>
              </w:rPr>
              <w:fldChar w:fldCharType="begin"/>
            </w:r>
            <w:r w:rsidR="005558B7">
              <w:rPr>
                <w:noProof/>
                <w:webHidden/>
              </w:rPr>
              <w:instrText xml:space="preserve"> PAGEREF _Toc519148235 \h </w:instrText>
            </w:r>
            <w:r w:rsidR="005558B7">
              <w:rPr>
                <w:noProof/>
                <w:webHidden/>
              </w:rPr>
            </w:r>
            <w:r w:rsidR="005558B7">
              <w:rPr>
                <w:noProof/>
                <w:webHidden/>
              </w:rPr>
              <w:fldChar w:fldCharType="separate"/>
            </w:r>
            <w:r w:rsidR="00EF028C">
              <w:rPr>
                <w:noProof/>
                <w:webHidden/>
              </w:rPr>
              <w:t>10</w:t>
            </w:r>
            <w:r w:rsidR="005558B7">
              <w:rPr>
                <w:noProof/>
                <w:webHidden/>
              </w:rPr>
              <w:fldChar w:fldCharType="end"/>
            </w:r>
          </w:hyperlink>
        </w:p>
        <w:p w14:paraId="06B6648A" w14:textId="127B3484" w:rsidR="005558B7" w:rsidRDefault="00770B3A" w:rsidP="00566AE7">
          <w:pPr>
            <w:pStyle w:val="TOC2"/>
            <w:tabs>
              <w:tab w:val="left" w:pos="90"/>
            </w:tabs>
            <w:ind w:left="-270"/>
            <w:rPr>
              <w:noProof/>
            </w:rPr>
          </w:pPr>
          <w:hyperlink w:anchor="_Toc519148236" w:history="1">
            <w:r w:rsidR="005558B7" w:rsidRPr="00404428">
              <w:rPr>
                <w:rStyle w:val="Hyperlink"/>
                <w:noProof/>
              </w:rPr>
              <w:t>15.</w:t>
            </w:r>
            <w:r w:rsidR="005558B7">
              <w:rPr>
                <w:noProof/>
              </w:rPr>
              <w:tab/>
            </w:r>
            <w:r w:rsidR="005558B7" w:rsidRPr="00404428">
              <w:rPr>
                <w:rStyle w:val="Hyperlink"/>
                <w:noProof/>
              </w:rPr>
              <w:t>Explanation for Program Changes or Adjustments</w:t>
            </w:r>
            <w:r w:rsidR="005558B7">
              <w:rPr>
                <w:noProof/>
                <w:webHidden/>
              </w:rPr>
              <w:tab/>
            </w:r>
            <w:r w:rsidR="005558B7">
              <w:rPr>
                <w:noProof/>
                <w:webHidden/>
              </w:rPr>
              <w:fldChar w:fldCharType="begin"/>
            </w:r>
            <w:r w:rsidR="005558B7">
              <w:rPr>
                <w:noProof/>
                <w:webHidden/>
              </w:rPr>
              <w:instrText xml:space="preserve"> PAGEREF _Toc519148236 \h </w:instrText>
            </w:r>
            <w:r w:rsidR="005558B7">
              <w:rPr>
                <w:noProof/>
                <w:webHidden/>
              </w:rPr>
            </w:r>
            <w:r w:rsidR="005558B7">
              <w:rPr>
                <w:noProof/>
                <w:webHidden/>
              </w:rPr>
              <w:fldChar w:fldCharType="separate"/>
            </w:r>
            <w:r w:rsidR="00EF028C">
              <w:rPr>
                <w:noProof/>
                <w:webHidden/>
              </w:rPr>
              <w:t>11</w:t>
            </w:r>
            <w:r w:rsidR="005558B7">
              <w:rPr>
                <w:noProof/>
                <w:webHidden/>
              </w:rPr>
              <w:fldChar w:fldCharType="end"/>
            </w:r>
          </w:hyperlink>
        </w:p>
        <w:p w14:paraId="1E3BAD38" w14:textId="72B89FE7" w:rsidR="005558B7" w:rsidRDefault="00770B3A" w:rsidP="00566AE7">
          <w:pPr>
            <w:pStyle w:val="TOC2"/>
            <w:tabs>
              <w:tab w:val="left" w:pos="90"/>
            </w:tabs>
            <w:ind w:left="-270"/>
            <w:rPr>
              <w:noProof/>
            </w:rPr>
          </w:pPr>
          <w:hyperlink w:anchor="_Toc519148237" w:history="1">
            <w:r w:rsidR="005558B7" w:rsidRPr="00404428">
              <w:rPr>
                <w:rStyle w:val="Hyperlink"/>
                <w:noProof/>
              </w:rPr>
              <w:t>16.</w:t>
            </w:r>
            <w:r w:rsidR="005558B7">
              <w:rPr>
                <w:noProof/>
              </w:rPr>
              <w:tab/>
            </w:r>
            <w:r w:rsidR="005558B7" w:rsidRPr="00404428">
              <w:rPr>
                <w:rStyle w:val="Hyperlink"/>
                <w:noProof/>
              </w:rPr>
              <w:t>Plans for Tabulation and Publication and Project Time Schedule</w:t>
            </w:r>
            <w:r w:rsidR="005558B7">
              <w:rPr>
                <w:noProof/>
                <w:webHidden/>
              </w:rPr>
              <w:tab/>
            </w:r>
            <w:r w:rsidR="005558B7">
              <w:rPr>
                <w:noProof/>
                <w:webHidden/>
              </w:rPr>
              <w:fldChar w:fldCharType="begin"/>
            </w:r>
            <w:r w:rsidR="005558B7">
              <w:rPr>
                <w:noProof/>
                <w:webHidden/>
              </w:rPr>
              <w:instrText xml:space="preserve"> PAGEREF _Toc519148237 \h </w:instrText>
            </w:r>
            <w:r w:rsidR="005558B7">
              <w:rPr>
                <w:noProof/>
                <w:webHidden/>
              </w:rPr>
            </w:r>
            <w:r w:rsidR="005558B7">
              <w:rPr>
                <w:noProof/>
                <w:webHidden/>
              </w:rPr>
              <w:fldChar w:fldCharType="separate"/>
            </w:r>
            <w:r w:rsidR="00EF028C">
              <w:rPr>
                <w:noProof/>
                <w:webHidden/>
              </w:rPr>
              <w:t>11</w:t>
            </w:r>
            <w:r w:rsidR="005558B7">
              <w:rPr>
                <w:noProof/>
                <w:webHidden/>
              </w:rPr>
              <w:fldChar w:fldCharType="end"/>
            </w:r>
          </w:hyperlink>
        </w:p>
        <w:p w14:paraId="727101D3" w14:textId="2E71722E" w:rsidR="005558B7" w:rsidRDefault="00770B3A" w:rsidP="00566AE7">
          <w:pPr>
            <w:pStyle w:val="TOC2"/>
            <w:tabs>
              <w:tab w:val="left" w:pos="90"/>
            </w:tabs>
            <w:ind w:left="-270"/>
            <w:rPr>
              <w:noProof/>
            </w:rPr>
          </w:pPr>
          <w:hyperlink w:anchor="_Toc519148238" w:history="1">
            <w:r w:rsidR="005558B7" w:rsidRPr="00404428">
              <w:rPr>
                <w:rStyle w:val="Hyperlink"/>
                <w:noProof/>
              </w:rPr>
              <w:t>17.</w:t>
            </w:r>
            <w:r w:rsidR="005558B7">
              <w:rPr>
                <w:noProof/>
              </w:rPr>
              <w:tab/>
            </w:r>
            <w:r w:rsidR="005558B7" w:rsidRPr="00404428">
              <w:rPr>
                <w:rStyle w:val="Hyperlink"/>
                <w:noProof/>
              </w:rPr>
              <w:t>Reason(s) Display of OMB Expiration Date is Inappropriate</w:t>
            </w:r>
            <w:r w:rsidR="005558B7">
              <w:rPr>
                <w:noProof/>
                <w:webHidden/>
              </w:rPr>
              <w:tab/>
            </w:r>
            <w:r w:rsidR="005558B7">
              <w:rPr>
                <w:noProof/>
                <w:webHidden/>
              </w:rPr>
              <w:fldChar w:fldCharType="begin"/>
            </w:r>
            <w:r w:rsidR="005558B7">
              <w:rPr>
                <w:noProof/>
                <w:webHidden/>
              </w:rPr>
              <w:instrText xml:space="preserve"> PAGEREF _Toc519148238 \h </w:instrText>
            </w:r>
            <w:r w:rsidR="005558B7">
              <w:rPr>
                <w:noProof/>
                <w:webHidden/>
              </w:rPr>
            </w:r>
            <w:r w:rsidR="005558B7">
              <w:rPr>
                <w:noProof/>
                <w:webHidden/>
              </w:rPr>
              <w:fldChar w:fldCharType="separate"/>
            </w:r>
            <w:r w:rsidR="00EF028C">
              <w:rPr>
                <w:noProof/>
                <w:webHidden/>
              </w:rPr>
              <w:t>12</w:t>
            </w:r>
            <w:r w:rsidR="005558B7">
              <w:rPr>
                <w:noProof/>
                <w:webHidden/>
              </w:rPr>
              <w:fldChar w:fldCharType="end"/>
            </w:r>
          </w:hyperlink>
        </w:p>
        <w:p w14:paraId="745FFC9A" w14:textId="4AA43DBD" w:rsidR="005558B7" w:rsidRDefault="00770B3A" w:rsidP="00566AE7">
          <w:pPr>
            <w:pStyle w:val="TOC2"/>
            <w:tabs>
              <w:tab w:val="left" w:pos="90"/>
            </w:tabs>
            <w:ind w:left="-270"/>
            <w:rPr>
              <w:noProof/>
            </w:rPr>
          </w:pPr>
          <w:hyperlink w:anchor="_Toc519148239" w:history="1">
            <w:r w:rsidR="005558B7" w:rsidRPr="00404428">
              <w:rPr>
                <w:rStyle w:val="Hyperlink"/>
                <w:noProof/>
              </w:rPr>
              <w:t>18.</w:t>
            </w:r>
            <w:r w:rsidR="005558B7">
              <w:rPr>
                <w:noProof/>
              </w:rPr>
              <w:tab/>
            </w:r>
            <w:r w:rsidR="005558B7" w:rsidRPr="00404428">
              <w:rPr>
                <w:rStyle w:val="Hyperlink"/>
                <w:noProof/>
              </w:rPr>
              <w:t>Exceptions to Certification for Paperwork Reduction Act Submissions</w:t>
            </w:r>
            <w:r w:rsidR="005558B7">
              <w:rPr>
                <w:noProof/>
                <w:webHidden/>
              </w:rPr>
              <w:tab/>
            </w:r>
            <w:r w:rsidR="005558B7">
              <w:rPr>
                <w:noProof/>
                <w:webHidden/>
              </w:rPr>
              <w:fldChar w:fldCharType="begin"/>
            </w:r>
            <w:r w:rsidR="005558B7">
              <w:rPr>
                <w:noProof/>
                <w:webHidden/>
              </w:rPr>
              <w:instrText xml:space="preserve"> PAGEREF _Toc519148239 \h </w:instrText>
            </w:r>
            <w:r w:rsidR="005558B7">
              <w:rPr>
                <w:noProof/>
                <w:webHidden/>
              </w:rPr>
            </w:r>
            <w:r w:rsidR="005558B7">
              <w:rPr>
                <w:noProof/>
                <w:webHidden/>
              </w:rPr>
              <w:fldChar w:fldCharType="separate"/>
            </w:r>
            <w:r w:rsidR="00EF028C">
              <w:rPr>
                <w:noProof/>
                <w:webHidden/>
              </w:rPr>
              <w:t>12</w:t>
            </w:r>
            <w:r w:rsidR="005558B7">
              <w:rPr>
                <w:noProof/>
                <w:webHidden/>
              </w:rPr>
              <w:fldChar w:fldCharType="end"/>
            </w:r>
          </w:hyperlink>
        </w:p>
        <w:p w14:paraId="5813B092" w14:textId="41EF5298" w:rsidR="005558B7" w:rsidRDefault="005558B7" w:rsidP="00566AE7">
          <w:pPr>
            <w:tabs>
              <w:tab w:val="left" w:pos="90"/>
            </w:tabs>
            <w:ind w:left="-270"/>
            <w:rPr>
              <w:b/>
              <w:bCs/>
              <w:noProof/>
            </w:rPr>
          </w:pPr>
          <w:r>
            <w:rPr>
              <w:b/>
              <w:bCs/>
              <w:noProof/>
            </w:rPr>
            <w:fldChar w:fldCharType="end"/>
          </w:r>
        </w:p>
      </w:sdtContent>
    </w:sdt>
    <w:p w14:paraId="1B3E76F0" w14:textId="77777777" w:rsidR="00A65260" w:rsidRPr="00D351B4" w:rsidRDefault="00A65260" w:rsidP="00A65260">
      <w:pPr>
        <w:spacing w:after="0"/>
        <w:ind w:left="-270"/>
        <w:rPr>
          <w:sz w:val="24"/>
          <w:szCs w:val="24"/>
        </w:rPr>
      </w:pPr>
      <w:r w:rsidRPr="00F71CDD">
        <w:rPr>
          <w:b/>
          <w:sz w:val="24"/>
          <w:szCs w:val="24"/>
        </w:rPr>
        <w:t>List of Attachments</w:t>
      </w:r>
      <w:r w:rsidRPr="00D351B4">
        <w:rPr>
          <w:b/>
          <w:sz w:val="24"/>
          <w:szCs w:val="24"/>
        </w:rPr>
        <w:t xml:space="preserve"> </w:t>
      </w:r>
    </w:p>
    <w:p w14:paraId="4665A283" w14:textId="77777777" w:rsidR="00A65260" w:rsidRPr="0086399E" w:rsidRDefault="00A65260" w:rsidP="00A65260">
      <w:pPr>
        <w:spacing w:after="0"/>
        <w:ind w:left="-270"/>
        <w:rPr>
          <w:sz w:val="20"/>
        </w:rPr>
      </w:pPr>
      <w:r w:rsidRPr="0086399E">
        <w:rPr>
          <w:sz w:val="20"/>
        </w:rPr>
        <w:t>Note: Attachments are included as separate files as instructed.</w:t>
      </w:r>
    </w:p>
    <w:p w14:paraId="441866D0" w14:textId="77777777" w:rsidR="00A65260" w:rsidRPr="0086399E" w:rsidRDefault="00A65260" w:rsidP="00A65260">
      <w:pPr>
        <w:spacing w:after="0" w:line="360" w:lineRule="auto"/>
        <w:ind w:left="-270"/>
        <w:rPr>
          <w:b/>
        </w:rPr>
      </w:pPr>
    </w:p>
    <w:p w14:paraId="772D10A0" w14:textId="77777777" w:rsidR="00A65260" w:rsidRDefault="00A65260" w:rsidP="00A65260">
      <w:pPr>
        <w:pStyle w:val="ListParagraph"/>
        <w:numPr>
          <w:ilvl w:val="0"/>
          <w:numId w:val="7"/>
        </w:numPr>
        <w:spacing w:after="0" w:line="240" w:lineRule="auto"/>
        <w:ind w:left="90"/>
        <w:rPr>
          <w:b/>
        </w:rPr>
      </w:pPr>
      <w:r>
        <w:rPr>
          <w:b/>
        </w:rPr>
        <w:t>Attachment A: Authorizing Legislation</w:t>
      </w:r>
    </w:p>
    <w:p w14:paraId="16E3CCE1" w14:textId="165442C2" w:rsidR="00A65260" w:rsidRDefault="00A65260" w:rsidP="00A65260">
      <w:pPr>
        <w:pStyle w:val="ListParagraph"/>
        <w:numPr>
          <w:ilvl w:val="0"/>
          <w:numId w:val="7"/>
        </w:numPr>
        <w:spacing w:after="0" w:line="240" w:lineRule="auto"/>
        <w:ind w:left="90"/>
        <w:rPr>
          <w:b/>
        </w:rPr>
      </w:pPr>
      <w:r>
        <w:rPr>
          <w:b/>
        </w:rPr>
        <w:t>Attachment B: 60-day Federal Register notice</w:t>
      </w:r>
    </w:p>
    <w:p w14:paraId="3C3785DE" w14:textId="776D7E04" w:rsidR="00A65260" w:rsidRPr="0086399E" w:rsidRDefault="00A65260" w:rsidP="00A65260">
      <w:pPr>
        <w:pStyle w:val="ListParagraph"/>
        <w:numPr>
          <w:ilvl w:val="0"/>
          <w:numId w:val="7"/>
        </w:numPr>
        <w:spacing w:after="0" w:line="240" w:lineRule="auto"/>
        <w:ind w:left="90"/>
        <w:rPr>
          <w:b/>
        </w:rPr>
      </w:pPr>
      <w:r w:rsidRPr="0086399E">
        <w:rPr>
          <w:b/>
          <w:lang w:eastAsia="ja-JP"/>
        </w:rPr>
        <w:t xml:space="preserve">Attachment </w:t>
      </w:r>
      <w:r>
        <w:rPr>
          <w:b/>
          <w:lang w:eastAsia="ja-JP"/>
        </w:rPr>
        <w:t>C</w:t>
      </w:r>
      <w:r w:rsidRPr="0086399E">
        <w:rPr>
          <w:b/>
          <w:lang w:eastAsia="ja-JP"/>
        </w:rPr>
        <w:t xml:space="preserve">: </w:t>
      </w:r>
      <w:r>
        <w:rPr>
          <w:b/>
          <w:lang w:eastAsia="ja-JP"/>
        </w:rPr>
        <w:t>FoodNet Population Survey</w:t>
      </w:r>
    </w:p>
    <w:p w14:paraId="15406EA8" w14:textId="6C83BF60" w:rsidR="00A65260" w:rsidRDefault="00A65260" w:rsidP="00697B08">
      <w:pPr>
        <w:pStyle w:val="ListParagraph"/>
        <w:numPr>
          <w:ilvl w:val="0"/>
          <w:numId w:val="7"/>
        </w:numPr>
        <w:spacing w:after="0" w:line="240" w:lineRule="auto"/>
        <w:ind w:left="90"/>
        <w:rPr>
          <w:b/>
        </w:rPr>
      </w:pPr>
      <w:r>
        <w:rPr>
          <w:b/>
        </w:rPr>
        <w:t>Attachment D:</w:t>
      </w:r>
      <w:r w:rsidRPr="00734C94">
        <w:rPr>
          <w:b/>
        </w:rPr>
        <w:t xml:space="preserve"> </w:t>
      </w:r>
      <w:r>
        <w:rPr>
          <w:b/>
        </w:rPr>
        <w:t>IRB Approval</w:t>
      </w:r>
    </w:p>
    <w:p w14:paraId="1551C9C0" w14:textId="01DD1601" w:rsidR="00A65260" w:rsidRPr="00697B08" w:rsidRDefault="00A65260" w:rsidP="00697B08">
      <w:pPr>
        <w:pStyle w:val="ListParagraph"/>
        <w:numPr>
          <w:ilvl w:val="0"/>
          <w:numId w:val="7"/>
        </w:numPr>
        <w:spacing w:after="0" w:line="240" w:lineRule="auto"/>
        <w:ind w:left="90"/>
        <w:rPr>
          <w:b/>
        </w:rPr>
      </w:pPr>
      <w:r>
        <w:rPr>
          <w:b/>
        </w:rPr>
        <w:t xml:space="preserve">Attachment E: </w:t>
      </w:r>
      <w:r w:rsidR="00EA585D">
        <w:rPr>
          <w:b/>
        </w:rPr>
        <w:t>Contract</w:t>
      </w:r>
    </w:p>
    <w:p w14:paraId="24E172D2" w14:textId="566355D9" w:rsidR="005558B7" w:rsidRPr="006A1D99" w:rsidRDefault="005558B7" w:rsidP="0048148B">
      <w:pPr>
        <w:pStyle w:val="TOCHeading"/>
      </w:pPr>
    </w:p>
    <w:p w14:paraId="72305C8F" w14:textId="77777777" w:rsidR="00E82AED" w:rsidRDefault="00E82AED" w:rsidP="00716F94">
      <w:pPr>
        <w:spacing w:after="0"/>
        <w:rPr>
          <w:b/>
          <w:sz w:val="24"/>
          <w:szCs w:val="24"/>
        </w:rPr>
      </w:pPr>
    </w:p>
    <w:p w14:paraId="0ECAAA2A" w14:textId="77777777" w:rsidR="00E82AED" w:rsidRDefault="00E82AED">
      <w:pPr>
        <w:rPr>
          <w:b/>
          <w:sz w:val="24"/>
          <w:szCs w:val="24"/>
        </w:rPr>
      </w:pPr>
      <w:r>
        <w:rPr>
          <w:b/>
          <w:sz w:val="24"/>
          <w:szCs w:val="24"/>
        </w:rPr>
        <w:br w:type="page"/>
      </w:r>
    </w:p>
    <w:p w14:paraId="4A77ADF7" w14:textId="2CACEC32" w:rsidR="00CD1EA8" w:rsidRDefault="0030168A" w:rsidP="00716F94">
      <w:pPr>
        <w:spacing w:after="0"/>
        <w:rPr>
          <w:b/>
          <w:sz w:val="24"/>
          <w:szCs w:val="24"/>
        </w:rPr>
      </w:pPr>
      <w:r w:rsidRPr="006E7652">
        <w:rPr>
          <w:b/>
          <w:noProof/>
        </w:rPr>
        <w:lastRenderedPageBreak/>
        <mc:AlternateContent>
          <mc:Choice Requires="wps">
            <w:drawing>
              <wp:anchor distT="0" distB="0" distL="114300" distR="114300" simplePos="0" relativeHeight="251659264" behindDoc="1" locked="0" layoutInCell="1" allowOverlap="1" wp14:anchorId="6349B060" wp14:editId="08829D30">
                <wp:simplePos x="0" y="0"/>
                <wp:positionH relativeFrom="column">
                  <wp:posOffset>-228600</wp:posOffset>
                </wp:positionH>
                <wp:positionV relativeFrom="page">
                  <wp:posOffset>685800</wp:posOffset>
                </wp:positionV>
                <wp:extent cx="6477000" cy="2560320"/>
                <wp:effectExtent l="0" t="0" r="19050" b="11430"/>
                <wp:wrapTight wrapText="bothSides">
                  <wp:wrapPolygon edited="0">
                    <wp:start x="0" y="0"/>
                    <wp:lineTo x="0" y="21536"/>
                    <wp:lineTo x="21600" y="21536"/>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60320"/>
                        </a:xfrm>
                        <a:prstGeom prst="rect">
                          <a:avLst/>
                        </a:prstGeom>
                        <a:solidFill>
                          <a:srgbClr val="FFFFFF"/>
                        </a:solidFill>
                        <a:ln w="9525">
                          <a:solidFill>
                            <a:srgbClr val="000000"/>
                          </a:solidFill>
                          <a:miter lim="800000"/>
                          <a:headEnd/>
                          <a:tailEnd/>
                        </a:ln>
                      </wps:spPr>
                      <wps:txbx>
                        <w:txbxContent>
                          <w:p w14:paraId="015375B0" w14:textId="3CD7D0D5" w:rsidR="0030168A" w:rsidRPr="0030168A" w:rsidRDefault="0030168A" w:rsidP="0030168A">
                            <w:pPr>
                              <w:pStyle w:val="Bullets"/>
                              <w:rPr>
                                <w:rFonts w:asciiTheme="minorHAnsi" w:hAnsiTheme="minorHAnsi" w:cstheme="minorHAnsi"/>
                                <w:sz w:val="22"/>
                              </w:rPr>
                            </w:pPr>
                            <w:r w:rsidRPr="0030168A">
                              <w:rPr>
                                <w:rFonts w:asciiTheme="minorHAnsi" w:hAnsiTheme="minorHAnsi" w:cstheme="minorHAnsi"/>
                                <w:b/>
                                <w:sz w:val="22"/>
                              </w:rPr>
                              <w:t xml:space="preserve">Goal of the study: </w:t>
                            </w:r>
                            <w:r w:rsidRPr="0030168A">
                              <w:rPr>
                                <w:rFonts w:asciiTheme="minorHAnsi" w:hAnsiTheme="minorHAnsi" w:cstheme="minorHAnsi"/>
                                <w:sz w:val="22"/>
                              </w:rPr>
                              <w:t>The FoodNet Population Survey will provide necessary data to estimate the burden of acute diarrheal illness and frequency of exposures commonly associated with foodborne illness in the catchment area. This data is used for modeling the burden in the United States more broadly.</w:t>
                            </w:r>
                          </w:p>
                          <w:p w14:paraId="79D68D38" w14:textId="6A749292" w:rsidR="0030168A" w:rsidRPr="0030168A" w:rsidRDefault="0030168A" w:rsidP="0030168A">
                            <w:pPr>
                              <w:pStyle w:val="Bullets"/>
                              <w:rPr>
                                <w:rFonts w:asciiTheme="minorHAnsi" w:hAnsiTheme="minorHAnsi" w:cstheme="minorHAnsi"/>
                                <w:b/>
                                <w:sz w:val="22"/>
                              </w:rPr>
                            </w:pPr>
                            <w:r w:rsidRPr="0030168A">
                              <w:rPr>
                                <w:rFonts w:asciiTheme="minorHAnsi" w:hAnsiTheme="minorHAnsi" w:cstheme="minorHAnsi"/>
                                <w:b/>
                                <w:sz w:val="22"/>
                              </w:rPr>
                              <w:t xml:space="preserve">Intended use of the resulting data: </w:t>
                            </w:r>
                            <w:r w:rsidRPr="0030168A">
                              <w:rPr>
                                <w:rFonts w:asciiTheme="minorHAnsi" w:hAnsiTheme="minorHAnsi" w:cstheme="minorHAnsi"/>
                                <w:sz w:val="22"/>
                              </w:rPr>
                              <w:t>The information collected will update current burden estimates of acute diarrheal illness in the United States and aid in hypothesis generating in outbreak investigations.</w:t>
                            </w:r>
                          </w:p>
                          <w:p w14:paraId="36F48499" w14:textId="5D93660C" w:rsidR="0030168A" w:rsidRPr="0030168A" w:rsidRDefault="0030168A" w:rsidP="0030168A">
                            <w:pPr>
                              <w:pStyle w:val="Bullets"/>
                              <w:rPr>
                                <w:rFonts w:asciiTheme="minorHAnsi" w:hAnsiTheme="minorHAnsi" w:cstheme="minorHAnsi"/>
                                <w:sz w:val="22"/>
                              </w:rPr>
                            </w:pPr>
                            <w:r w:rsidRPr="0030168A">
                              <w:rPr>
                                <w:rFonts w:asciiTheme="minorHAnsi" w:hAnsiTheme="minorHAnsi" w:cstheme="minorHAnsi"/>
                                <w:b/>
                                <w:sz w:val="22"/>
                              </w:rPr>
                              <w:t xml:space="preserve">Methods to be used to collect: </w:t>
                            </w:r>
                            <w:r w:rsidRPr="0030168A">
                              <w:rPr>
                                <w:rFonts w:asciiTheme="minorHAnsi" w:hAnsiTheme="minorHAnsi" w:cstheme="minorHAnsi"/>
                                <w:sz w:val="22"/>
                              </w:rPr>
                              <w:t>A multi-mode survey consisting of landline, cell phone, web, and mail surveys will be used.</w:t>
                            </w:r>
                          </w:p>
                          <w:p w14:paraId="7B302C53" w14:textId="77777777" w:rsidR="0030168A" w:rsidRPr="0030168A" w:rsidRDefault="0030168A" w:rsidP="0030168A">
                            <w:pPr>
                              <w:pStyle w:val="Bullets"/>
                              <w:rPr>
                                <w:rFonts w:asciiTheme="minorHAnsi" w:hAnsiTheme="minorHAnsi" w:cstheme="minorHAnsi"/>
                                <w:b/>
                                <w:sz w:val="22"/>
                              </w:rPr>
                            </w:pPr>
                            <w:r w:rsidRPr="0030168A">
                              <w:rPr>
                                <w:rFonts w:asciiTheme="minorHAnsi" w:hAnsiTheme="minorHAnsi" w:cstheme="minorHAnsi"/>
                                <w:b/>
                                <w:sz w:val="22"/>
                              </w:rPr>
                              <w:t xml:space="preserve">The subpopulation to be studied: </w:t>
                            </w:r>
                            <w:r w:rsidRPr="0030168A">
                              <w:rPr>
                                <w:rFonts w:asciiTheme="minorHAnsi" w:hAnsiTheme="minorHAnsi" w:cstheme="minorHAnsi"/>
                                <w:sz w:val="22"/>
                              </w:rPr>
                              <w:t xml:space="preserve">The  survey will be conducted in the 10 states in FoodNet's catchment area: California, Colorado, Connecticut, Georgia, Maryland, Minnesota, New Mexico, New York, Oregon and Tennessee. </w:t>
                            </w:r>
                          </w:p>
                          <w:p w14:paraId="6BCB8A49" w14:textId="20A5D6BC" w:rsidR="0030168A" w:rsidRPr="0030168A" w:rsidRDefault="0030168A" w:rsidP="0030168A">
                            <w:pPr>
                              <w:pStyle w:val="Bullets"/>
                              <w:rPr>
                                <w:rFonts w:asciiTheme="minorHAnsi" w:hAnsiTheme="minorHAnsi" w:cstheme="minorHAnsi"/>
                                <w:b/>
                                <w:sz w:val="22"/>
                              </w:rPr>
                            </w:pPr>
                            <w:r w:rsidRPr="0030168A">
                              <w:rPr>
                                <w:rFonts w:asciiTheme="minorHAnsi" w:hAnsiTheme="minorHAnsi" w:cstheme="minorHAnsi"/>
                                <w:b/>
                                <w:sz w:val="22"/>
                              </w:rPr>
                              <w:t xml:space="preserve">How data will be analyzed: </w:t>
                            </w:r>
                            <w:r w:rsidRPr="0030168A">
                              <w:rPr>
                                <w:rFonts w:asciiTheme="minorHAnsi" w:hAnsiTheme="minorHAnsi" w:cstheme="minorHAnsi"/>
                                <w:sz w:val="22"/>
                              </w:rPr>
                              <w:t>CDC staff will perform analysis using SAS v9.3. The analysis will consist of descriptive statistics and regression modeling, as appropriate.</w:t>
                            </w:r>
                          </w:p>
                          <w:p w14:paraId="5D9C5B6B" w14:textId="77777777" w:rsidR="0030168A" w:rsidRDefault="0030168A" w:rsidP="0030168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pt;width:510pt;height:20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">
                <v:textbox>
                  <w:txbxContent>
                    <w:p w14:paraId="015375B0" w14:textId="3CD7D0D5" w:rsidR="0030168A" w:rsidRPr="0030168A" w:rsidRDefault="0030168A" w:rsidP="0030168A">
                      <w:pPr>
                        <w:pStyle w:val="Bullets"/>
                        <w:rPr>
                          <w:rFonts w:asciiTheme="minorHAnsi" w:hAnsiTheme="minorHAnsi" w:cstheme="minorHAnsi"/>
                          <w:sz w:val="22"/>
                        </w:rPr>
                      </w:pPr>
                      <w:r w:rsidRPr="0030168A">
                        <w:rPr>
                          <w:rFonts w:asciiTheme="minorHAnsi" w:hAnsiTheme="minorHAnsi" w:cstheme="minorHAnsi"/>
                          <w:b/>
                          <w:sz w:val="22"/>
                        </w:rPr>
                        <w:t xml:space="preserve">Goal of the study: </w:t>
                      </w:r>
                      <w:r w:rsidRPr="0030168A">
                        <w:rPr>
                          <w:rFonts w:asciiTheme="minorHAnsi" w:hAnsiTheme="minorHAnsi" w:cstheme="minorHAnsi"/>
                          <w:sz w:val="22"/>
                        </w:rPr>
                        <w:t>The FoodNet Population Survey will provide necessary data to estimate the burden of acute diarrheal illness and frequency of exposures commonly associated with foodborne illness in the catchment area. This data is used for modeling the burden in the United States more broadly.</w:t>
                      </w:r>
                    </w:p>
                    <w:p w14:paraId="79D68D38" w14:textId="6A749292" w:rsidR="0030168A" w:rsidRPr="0030168A" w:rsidRDefault="0030168A" w:rsidP="0030168A">
                      <w:pPr>
                        <w:pStyle w:val="Bullets"/>
                        <w:rPr>
                          <w:rFonts w:asciiTheme="minorHAnsi" w:hAnsiTheme="minorHAnsi" w:cstheme="minorHAnsi"/>
                          <w:b/>
                          <w:sz w:val="22"/>
                        </w:rPr>
                      </w:pPr>
                      <w:r w:rsidRPr="0030168A">
                        <w:rPr>
                          <w:rFonts w:asciiTheme="minorHAnsi" w:hAnsiTheme="minorHAnsi" w:cstheme="minorHAnsi"/>
                          <w:b/>
                          <w:sz w:val="22"/>
                        </w:rPr>
                        <w:t xml:space="preserve">Intended use of the resulting data: </w:t>
                      </w:r>
                      <w:r w:rsidRPr="0030168A">
                        <w:rPr>
                          <w:rFonts w:asciiTheme="minorHAnsi" w:hAnsiTheme="minorHAnsi" w:cstheme="minorHAnsi"/>
                          <w:sz w:val="22"/>
                        </w:rPr>
                        <w:t>The information collected will update current burden estimates of acute diarrheal illness in the United States and aid in hypothesis generating in outbreak investigations.</w:t>
                      </w:r>
                    </w:p>
                    <w:p w14:paraId="36F48499" w14:textId="5D93660C" w:rsidR="0030168A" w:rsidRPr="0030168A" w:rsidRDefault="0030168A" w:rsidP="0030168A">
                      <w:pPr>
                        <w:pStyle w:val="Bullets"/>
                        <w:rPr>
                          <w:rFonts w:asciiTheme="minorHAnsi" w:hAnsiTheme="minorHAnsi" w:cstheme="minorHAnsi"/>
                          <w:sz w:val="22"/>
                        </w:rPr>
                      </w:pPr>
                      <w:r w:rsidRPr="0030168A">
                        <w:rPr>
                          <w:rFonts w:asciiTheme="minorHAnsi" w:hAnsiTheme="minorHAnsi" w:cstheme="minorHAnsi"/>
                          <w:b/>
                          <w:sz w:val="22"/>
                        </w:rPr>
                        <w:t xml:space="preserve">Methods to be used to collect: </w:t>
                      </w:r>
                      <w:r w:rsidRPr="0030168A">
                        <w:rPr>
                          <w:rFonts w:asciiTheme="minorHAnsi" w:hAnsiTheme="minorHAnsi" w:cstheme="minorHAnsi"/>
                          <w:sz w:val="22"/>
                        </w:rPr>
                        <w:t>A multi-mode survey consisting of landline, cell phone, web, and mail surveys will be used.</w:t>
                      </w:r>
                    </w:p>
                    <w:p w14:paraId="7B302C53" w14:textId="77777777" w:rsidR="0030168A" w:rsidRPr="0030168A" w:rsidRDefault="0030168A" w:rsidP="0030168A">
                      <w:pPr>
                        <w:pStyle w:val="Bullets"/>
                        <w:rPr>
                          <w:rFonts w:asciiTheme="minorHAnsi" w:hAnsiTheme="minorHAnsi" w:cstheme="minorHAnsi"/>
                          <w:b/>
                          <w:sz w:val="22"/>
                        </w:rPr>
                      </w:pPr>
                      <w:r w:rsidRPr="0030168A">
                        <w:rPr>
                          <w:rFonts w:asciiTheme="minorHAnsi" w:hAnsiTheme="minorHAnsi" w:cstheme="minorHAnsi"/>
                          <w:b/>
                          <w:sz w:val="22"/>
                        </w:rPr>
                        <w:t xml:space="preserve">The subpopulation to be studied: </w:t>
                      </w:r>
                      <w:r w:rsidRPr="0030168A">
                        <w:rPr>
                          <w:rFonts w:asciiTheme="minorHAnsi" w:hAnsiTheme="minorHAnsi" w:cstheme="minorHAnsi"/>
                          <w:sz w:val="22"/>
                        </w:rPr>
                        <w:t xml:space="preserve">The  survey will be conducted in the 10 states in FoodNet's catchment area: California, Colorado, Connecticut, Georgia, Maryland, Minnesota, New Mexico, New York, Oregon and Tennessee. </w:t>
                      </w:r>
                    </w:p>
                    <w:p w14:paraId="6BCB8A49" w14:textId="20A5D6BC" w:rsidR="0030168A" w:rsidRPr="0030168A" w:rsidRDefault="0030168A" w:rsidP="0030168A">
                      <w:pPr>
                        <w:pStyle w:val="Bullets"/>
                        <w:rPr>
                          <w:rFonts w:asciiTheme="minorHAnsi" w:hAnsiTheme="minorHAnsi" w:cstheme="minorHAnsi"/>
                          <w:b/>
                          <w:sz w:val="22"/>
                        </w:rPr>
                      </w:pPr>
                      <w:r w:rsidRPr="0030168A">
                        <w:rPr>
                          <w:rFonts w:asciiTheme="minorHAnsi" w:hAnsiTheme="minorHAnsi" w:cstheme="minorHAnsi"/>
                          <w:b/>
                          <w:sz w:val="22"/>
                        </w:rPr>
                        <w:t xml:space="preserve">How data will be analyzed: </w:t>
                      </w:r>
                      <w:r w:rsidRPr="0030168A">
                        <w:rPr>
                          <w:rFonts w:asciiTheme="minorHAnsi" w:hAnsiTheme="minorHAnsi" w:cstheme="minorHAnsi"/>
                          <w:sz w:val="22"/>
                        </w:rPr>
                        <w:t>CDC staff will perform analysis using SAS v9.3. The analysis will consist of descriptive statistics and regression modeling, as appropriate.</w:t>
                      </w:r>
                    </w:p>
                    <w:p w14:paraId="5D9C5B6B" w14:textId="77777777" w:rsidR="0030168A" w:rsidRDefault="0030168A" w:rsidP="0030168A"/>
                  </w:txbxContent>
                </v:textbox>
                <w10:wrap type="tight" anchory="page"/>
              </v:shape>
            </w:pict>
          </mc:Fallback>
        </mc:AlternateContent>
      </w:r>
      <w:r w:rsidR="00D351B4">
        <w:rPr>
          <w:b/>
          <w:sz w:val="24"/>
          <w:szCs w:val="24"/>
        </w:rPr>
        <w:t>J</w:t>
      </w:r>
      <w:r w:rsidR="00B12F51" w:rsidRPr="00D351B4">
        <w:rPr>
          <w:b/>
          <w:sz w:val="24"/>
          <w:szCs w:val="24"/>
        </w:rPr>
        <w:t>ustification</w:t>
      </w:r>
    </w:p>
    <w:p w14:paraId="791311F3" w14:textId="1C8B8BEE" w:rsidR="00DC54CA" w:rsidRDefault="00DC54CA" w:rsidP="00716F94">
      <w:pPr>
        <w:spacing w:after="0"/>
        <w:rPr>
          <w:b/>
          <w:sz w:val="24"/>
          <w:szCs w:val="24"/>
        </w:rPr>
      </w:pPr>
    </w:p>
    <w:p w14:paraId="3083D9DE" w14:textId="11A60A7D" w:rsidR="00DC54CA" w:rsidRPr="00D51147" w:rsidRDefault="00DC54CA" w:rsidP="00716F94">
      <w:pPr>
        <w:spacing w:after="0"/>
      </w:pPr>
      <w:r w:rsidRPr="00D51147">
        <w:t xml:space="preserve">CDC is seeking </w:t>
      </w:r>
      <w:r w:rsidR="006A1D99">
        <w:t>three</w:t>
      </w:r>
      <w:r w:rsidR="006A1D99" w:rsidRPr="00D51147">
        <w:t xml:space="preserve"> </w:t>
      </w:r>
      <w:r w:rsidRPr="00D51147">
        <w:t xml:space="preserve">years of OMB clearance for an extension of control number 0920-1112, FoodNet Population Survey.  </w:t>
      </w:r>
    </w:p>
    <w:p w14:paraId="6C59AB7A" w14:textId="77777777" w:rsidR="00B12F51" w:rsidRPr="004974B1" w:rsidRDefault="00B12F51" w:rsidP="00716F94">
      <w:pPr>
        <w:spacing w:after="0"/>
        <w:rPr>
          <w:b/>
        </w:rPr>
      </w:pPr>
    </w:p>
    <w:p w14:paraId="471463DA" w14:textId="77777777" w:rsidR="00CD1EA8" w:rsidRPr="005558B7" w:rsidRDefault="00B12F51" w:rsidP="00D51147">
      <w:pPr>
        <w:pStyle w:val="Heading2"/>
      </w:pPr>
      <w:bookmarkStart w:id="5" w:name="_Toc519148124"/>
      <w:bookmarkStart w:id="6" w:name="_Toc519148199"/>
      <w:bookmarkStart w:id="7" w:name="_Toc519148220"/>
      <w:r w:rsidRPr="005558B7">
        <w:t>Circumstances Making the Collection of Information Necessary</w:t>
      </w:r>
      <w:bookmarkEnd w:id="5"/>
      <w:bookmarkEnd w:id="6"/>
      <w:bookmarkEnd w:id="7"/>
    </w:p>
    <w:p w14:paraId="744777D6" w14:textId="77777777" w:rsidR="00E33E1B" w:rsidRPr="004974B1" w:rsidRDefault="00E33E1B" w:rsidP="009D373D">
      <w:pPr>
        <w:spacing w:after="0"/>
        <w:ind w:left="720"/>
        <w:rPr>
          <w:b/>
        </w:rPr>
      </w:pPr>
    </w:p>
    <w:p w14:paraId="74CD3E2E" w14:textId="77777777" w:rsidR="006F36D8" w:rsidRPr="004974B1" w:rsidRDefault="00E33E1B" w:rsidP="00CE1BD8">
      <w:pPr>
        <w:spacing w:after="0" w:line="240" w:lineRule="auto"/>
        <w:ind w:left="720"/>
        <w:rPr>
          <w:b/>
        </w:rPr>
      </w:pPr>
      <w:r w:rsidRPr="004974B1">
        <w:rPr>
          <w:b/>
        </w:rPr>
        <w:t>Background</w:t>
      </w:r>
    </w:p>
    <w:p w14:paraId="1DB6F193" w14:textId="4579E1E5" w:rsidR="004C5621" w:rsidRPr="006908F5" w:rsidRDefault="004C5621" w:rsidP="00CE1BD8">
      <w:pPr>
        <w:pStyle w:val="Header"/>
        <w:ind w:left="720"/>
        <w:rPr>
          <w:bCs/>
          <w:lang w:val="en" w:eastAsia="ja-JP"/>
        </w:rPr>
      </w:pPr>
      <w:r>
        <w:rPr>
          <w:bCs/>
        </w:rPr>
        <w:t xml:space="preserve">Foodborne </w:t>
      </w:r>
      <w:r w:rsidRPr="0049341F">
        <w:rPr>
          <w:bCs/>
        </w:rPr>
        <w:t xml:space="preserve">illnesses </w:t>
      </w:r>
      <w:r>
        <w:rPr>
          <w:bCs/>
        </w:rPr>
        <w:t xml:space="preserve">represent </w:t>
      </w:r>
      <w:r w:rsidRPr="0049341F">
        <w:rPr>
          <w:bCs/>
        </w:rPr>
        <w:t xml:space="preserve">a </w:t>
      </w:r>
      <w:r>
        <w:rPr>
          <w:bCs/>
        </w:rPr>
        <w:t>significant</w:t>
      </w:r>
      <w:r w:rsidRPr="0049341F">
        <w:rPr>
          <w:bCs/>
        </w:rPr>
        <w:t xml:space="preserve"> public health burden in the United States. It is estimated that each year, 48 million Americans (1 in 6) </w:t>
      </w:r>
      <w:r w:rsidRPr="0049341F">
        <w:rPr>
          <w:bCs/>
          <w:lang w:eastAsia="ja-JP"/>
        </w:rPr>
        <w:t>become ill, 128,000 are hospitalized, and 3,000 die</w:t>
      </w:r>
      <w:r w:rsidRPr="0049341F">
        <w:rPr>
          <w:bCs/>
        </w:rPr>
        <w:t xml:space="preserve"> as the result of a foodborne illness</w:t>
      </w:r>
      <w:r w:rsidRPr="004C5621">
        <w:rPr>
          <w:bCs/>
          <w:vertAlign w:val="superscript"/>
        </w:rPr>
        <w:t>1</w:t>
      </w:r>
      <w:r>
        <w:rPr>
          <w:bCs/>
        </w:rPr>
        <w:t xml:space="preserve">. </w:t>
      </w:r>
      <w:r w:rsidRPr="005043DE">
        <w:rPr>
          <w:bCs/>
        </w:rPr>
        <w:t xml:space="preserve">Because foodborne illness poses a substantial public health challenge, </w:t>
      </w:r>
      <w:r w:rsidRPr="005043DE">
        <w:rPr>
          <w:bCs/>
          <w:lang w:eastAsia="ja-JP"/>
        </w:rPr>
        <w:t>food safety has been identified as one of CDC’s ten “winnable battles</w:t>
      </w:r>
      <w:r>
        <w:rPr>
          <w:bCs/>
          <w:lang w:eastAsia="ja-JP"/>
        </w:rPr>
        <w:t>”</w:t>
      </w:r>
      <w:r w:rsidRPr="005043DE">
        <w:rPr>
          <w:bCs/>
          <w:lang w:eastAsia="ja-JP"/>
        </w:rPr>
        <w:t xml:space="preserve">, </w:t>
      </w:r>
      <w:r w:rsidRPr="005043DE">
        <w:rPr>
          <w:bCs/>
          <w:lang w:val="en" w:eastAsia="ja-JP"/>
        </w:rPr>
        <w:t xml:space="preserve">public health priorities with large-scale impact on health and with known, effective strategies to </w:t>
      </w:r>
      <w:r w:rsidR="00863A0C">
        <w:rPr>
          <w:bCs/>
          <w:lang w:val="en" w:eastAsia="ja-JP"/>
        </w:rPr>
        <w:t>address them</w:t>
      </w:r>
      <w:r w:rsidR="00812A8F">
        <w:rPr>
          <w:bCs/>
          <w:lang w:val="en" w:eastAsia="ja-JP"/>
        </w:rPr>
        <w:t>.</w:t>
      </w:r>
    </w:p>
    <w:p w14:paraId="5E217C20" w14:textId="77777777" w:rsidR="004C5621" w:rsidRDefault="004C5621" w:rsidP="00CE1BD8">
      <w:pPr>
        <w:spacing w:after="0" w:line="240" w:lineRule="auto"/>
        <w:ind w:left="720"/>
      </w:pPr>
    </w:p>
    <w:p w14:paraId="0113A013" w14:textId="7A3107E6" w:rsidR="00952B44" w:rsidRDefault="00A24829" w:rsidP="00CE1BD8">
      <w:pPr>
        <w:spacing w:after="0" w:line="240" w:lineRule="auto"/>
        <w:ind w:left="720"/>
      </w:pPr>
      <w:r w:rsidRPr="004974B1">
        <w:t>The Foodborne Diseases Active Surveillance Network (</w:t>
      </w:r>
      <w:r w:rsidRPr="003D014A">
        <w:t xml:space="preserve">FoodNet) </w:t>
      </w:r>
      <w:r w:rsidR="00142FA9" w:rsidRPr="003D014A">
        <w:t xml:space="preserve">is the principal foodborne disease component of CDC's Emerging Infections Program (EIP) </w:t>
      </w:r>
      <w:r w:rsidR="003D014A" w:rsidRPr="003D014A">
        <w:rPr>
          <w:rStyle w:val="Hyperlink"/>
          <w:color w:val="auto"/>
          <w:u w:val="none"/>
        </w:rPr>
        <w:t xml:space="preserve">(OMB: </w:t>
      </w:r>
      <w:r w:rsidR="003D014A" w:rsidRPr="003D014A">
        <w:t xml:space="preserve">0920-0978) </w:t>
      </w:r>
      <w:r w:rsidR="00142FA9" w:rsidRPr="003D014A">
        <w:t xml:space="preserve">and a collaborative project of the CDC, ten EIP sites (California, Colorado, Connecticut, Georgia, New York, Maryland, Minnesota, Oregon, Tennessee and New Mexico), the </w:t>
      </w:r>
      <w:hyperlink r:id="rId10" w:history="1">
        <w:r w:rsidR="00142FA9" w:rsidRPr="003D014A">
          <w:rPr>
            <w:rStyle w:val="Hyperlink"/>
            <w:color w:val="auto"/>
            <w:u w:val="none"/>
          </w:rPr>
          <w:t>U.S. Department of Agriculture (USDA)</w:t>
        </w:r>
      </w:hyperlink>
      <w:r w:rsidR="00142FA9" w:rsidRPr="004974B1">
        <w:t xml:space="preserve">, and the </w:t>
      </w:r>
      <w:hyperlink r:id="rId11" w:history="1">
        <w:r w:rsidR="00142FA9" w:rsidRPr="004974B1">
          <w:rPr>
            <w:rStyle w:val="Hyperlink"/>
            <w:color w:val="auto"/>
            <w:u w:val="none"/>
          </w:rPr>
          <w:t>Food and Drug Administration (FDA)</w:t>
        </w:r>
      </w:hyperlink>
      <w:r w:rsidR="003D014A">
        <w:rPr>
          <w:color w:val="1F497D"/>
        </w:rPr>
        <w:t xml:space="preserve">. </w:t>
      </w:r>
      <w:r w:rsidR="004C5621">
        <w:t xml:space="preserve">Since 1996, </w:t>
      </w:r>
      <w:r w:rsidRPr="004974B1">
        <w:t xml:space="preserve">FoodNet </w:t>
      </w:r>
      <w:r w:rsidR="004C5621">
        <w:t>has conducted</w:t>
      </w:r>
      <w:r w:rsidRPr="004974B1">
        <w:t xml:space="preserve"> </w:t>
      </w:r>
      <w:r w:rsidR="004C5621">
        <w:t xml:space="preserve">active </w:t>
      </w:r>
      <w:r w:rsidRPr="004974B1">
        <w:t xml:space="preserve">population-based surveillance for </w:t>
      </w:r>
      <w:r w:rsidR="004C5621" w:rsidRPr="004C5621">
        <w:rPr>
          <w:i/>
        </w:rPr>
        <w:t>Campylobacter</w:t>
      </w:r>
      <w:r w:rsidR="004C5621">
        <w:t xml:space="preserve">, </w:t>
      </w:r>
      <w:r w:rsidR="004C5621" w:rsidRPr="004C5621">
        <w:rPr>
          <w:i/>
        </w:rPr>
        <w:t>Cryptosporidium</w:t>
      </w:r>
      <w:r w:rsidR="004C5621">
        <w:t xml:space="preserve">, </w:t>
      </w:r>
      <w:r w:rsidR="004C5621" w:rsidRPr="004C5621">
        <w:rPr>
          <w:i/>
        </w:rPr>
        <w:t>Cyclospora</w:t>
      </w:r>
      <w:r w:rsidR="004C5621">
        <w:t xml:space="preserve">, </w:t>
      </w:r>
      <w:r w:rsidR="004C5621" w:rsidRPr="004C5621">
        <w:rPr>
          <w:i/>
        </w:rPr>
        <w:t>Listeria</w:t>
      </w:r>
      <w:r w:rsidR="004C5621">
        <w:t xml:space="preserve">, </w:t>
      </w:r>
      <w:r w:rsidR="004C5621" w:rsidRPr="004C5621">
        <w:rPr>
          <w:i/>
        </w:rPr>
        <w:t>Salmonella</w:t>
      </w:r>
      <w:r w:rsidR="004C5621">
        <w:t xml:space="preserve">, Shiga toxin-producing </w:t>
      </w:r>
      <w:r w:rsidR="004C5621" w:rsidRPr="004C5621">
        <w:rPr>
          <w:i/>
        </w:rPr>
        <w:t>Escherichia coli</w:t>
      </w:r>
      <w:r w:rsidR="004C5621">
        <w:t xml:space="preserve"> O157 and non-O157, </w:t>
      </w:r>
      <w:r w:rsidR="004C5621" w:rsidRPr="004C5621">
        <w:rPr>
          <w:i/>
        </w:rPr>
        <w:t>Shigella</w:t>
      </w:r>
      <w:r w:rsidR="004C5621">
        <w:t xml:space="preserve">, </w:t>
      </w:r>
      <w:r w:rsidR="004C5621" w:rsidRPr="004C5621">
        <w:rPr>
          <w:i/>
        </w:rPr>
        <w:t>Vibrio</w:t>
      </w:r>
      <w:r w:rsidR="004C5621">
        <w:t xml:space="preserve">, and </w:t>
      </w:r>
      <w:r w:rsidR="004C5621" w:rsidRPr="004C5621">
        <w:rPr>
          <w:i/>
        </w:rPr>
        <w:t>Yersinia</w:t>
      </w:r>
      <w:r w:rsidR="004C5621">
        <w:t xml:space="preserve"> </w:t>
      </w:r>
      <w:r w:rsidR="004C5621" w:rsidRPr="004C5621">
        <w:t>infections</w:t>
      </w:r>
      <w:r w:rsidR="004C5621">
        <w:t>.</w:t>
      </w:r>
      <w:r w:rsidR="00A26C0C" w:rsidRPr="00A26C0C">
        <w:t xml:space="preserve"> The surveillance area includes 15% of the United States population (48 million persons).</w:t>
      </w:r>
      <w:r w:rsidR="004C5621">
        <w:t xml:space="preserve"> </w:t>
      </w:r>
      <w:r w:rsidR="00952B44">
        <w:t>Data from FoodNet serve as the nation’s “report card” on food safety by monitoring progress toward Healthy People 2020 objectives.</w:t>
      </w:r>
    </w:p>
    <w:p w14:paraId="74F4ECB1" w14:textId="77777777" w:rsidR="00952B44" w:rsidRPr="00E2710F" w:rsidRDefault="00952B44" w:rsidP="00CE1BD8">
      <w:pPr>
        <w:spacing w:after="0" w:line="240" w:lineRule="auto"/>
        <w:ind w:left="720"/>
      </w:pPr>
    </w:p>
    <w:p w14:paraId="24584215" w14:textId="7AD2AB4F" w:rsidR="00BD3AFC" w:rsidRPr="00BD3AFC" w:rsidRDefault="00E2710F" w:rsidP="007339BB">
      <w:pPr>
        <w:spacing w:after="0" w:line="240" w:lineRule="auto"/>
        <w:ind w:left="749"/>
      </w:pPr>
      <w:r w:rsidRPr="00E2710F">
        <w:rPr>
          <w:color w:val="000000"/>
          <w:lang w:val="en"/>
        </w:rPr>
        <w:t>FoodNet determines the incidence of laboratory-confirmed infections for bacterial pathogens transmitted commonly through food. However, these reports represent only a subset of the number of cases of diarrheal illness that occur in the community</w:t>
      </w:r>
      <w:r>
        <w:rPr>
          <w:color w:val="000000"/>
          <w:lang w:val="en"/>
        </w:rPr>
        <w:t>. M</w:t>
      </w:r>
      <w:r w:rsidRPr="00E2710F">
        <w:rPr>
          <w:color w:val="000000"/>
          <w:lang w:val="en"/>
        </w:rPr>
        <w:t xml:space="preserve">ost diarrheal illnesses are undiagnosed and, therefore, not reported. </w:t>
      </w:r>
      <w:r w:rsidRPr="004974B1">
        <w:t xml:space="preserve">In order for a case of foodborne illness to be reported: the person must become ill, the ill person must seek and have access to medical care, a health care provider must obtain a specimen for microbial analysis from the ill person and submit the specimen to a laboratory, the laboratory must test for the pathogen and identify the pathogen, the laboratory must report the case to the local or state health department, and the case must be reported to CDC.  Understanding the degree of underreporting that occurs at each of these steps is a critical piece in understanding the burden of foodborne illness in the </w:t>
      </w:r>
      <w:r w:rsidR="00CC1905">
        <w:t>surveillance area</w:t>
      </w:r>
      <w:r w:rsidRPr="004974B1">
        <w:t xml:space="preserve">. </w:t>
      </w:r>
    </w:p>
    <w:p w14:paraId="3D3BFFE2" w14:textId="77777777" w:rsidR="00BD3AFC" w:rsidRPr="00BD3AFC" w:rsidRDefault="00BD3AFC" w:rsidP="007339BB">
      <w:pPr>
        <w:spacing w:after="0" w:line="240" w:lineRule="auto"/>
        <w:ind w:left="749"/>
      </w:pPr>
    </w:p>
    <w:p w14:paraId="24E3FAC3" w14:textId="7F02EE55" w:rsidR="00E2710F" w:rsidRPr="00BD3AFC" w:rsidRDefault="0058590A" w:rsidP="001E4E16">
      <w:pPr>
        <w:spacing w:after="0" w:line="240" w:lineRule="auto"/>
        <w:ind w:left="749"/>
        <w:rPr>
          <w:color w:val="FF0000"/>
        </w:rPr>
      </w:pPr>
      <w:r>
        <w:rPr>
          <w:lang w:val="en"/>
        </w:rPr>
        <w:t xml:space="preserve">Evaluation of efforts </w:t>
      </w:r>
      <w:r w:rsidR="00D93CFD">
        <w:rPr>
          <w:lang w:val="en"/>
        </w:rPr>
        <w:t>to control foodborne illnesses can only be</w:t>
      </w:r>
      <w:r>
        <w:rPr>
          <w:lang w:val="en"/>
        </w:rPr>
        <w:t xml:space="preserve"> done effectively if </w:t>
      </w:r>
      <w:r w:rsidR="00D93CFD">
        <w:rPr>
          <w:lang w:val="en"/>
        </w:rPr>
        <w:t>there is an accurate estimate of the total number of illness that occur</w:t>
      </w:r>
      <w:r>
        <w:rPr>
          <w:lang w:val="en"/>
        </w:rPr>
        <w:t xml:space="preserve"> and if these estimates are recalculated and monitored over time</w:t>
      </w:r>
      <w:r w:rsidR="00D93CFD">
        <w:rPr>
          <w:lang w:val="en"/>
        </w:rPr>
        <w:t xml:space="preserve">. Estimates of the total burden start with accurate and reliable estimates of the number of acute gastrointestinal illness episodes </w:t>
      </w:r>
      <w:r w:rsidR="00547220">
        <w:rPr>
          <w:lang w:val="en"/>
        </w:rPr>
        <w:t xml:space="preserve">that </w:t>
      </w:r>
      <w:r w:rsidR="00D93CFD">
        <w:rPr>
          <w:lang w:val="en"/>
        </w:rPr>
        <w:t xml:space="preserve">occur in the general community. </w:t>
      </w:r>
      <w:r w:rsidR="007339BB" w:rsidRPr="00BD3AFC">
        <w:rPr>
          <w:lang w:val="en"/>
        </w:rPr>
        <w:t xml:space="preserve">To more precisely estimate </w:t>
      </w:r>
      <w:r w:rsidR="00D93CFD">
        <w:rPr>
          <w:lang w:val="en"/>
        </w:rPr>
        <w:t>the number</w:t>
      </w:r>
      <w:r w:rsidR="007339BB" w:rsidRPr="00BD3AFC">
        <w:rPr>
          <w:lang w:val="en"/>
        </w:rPr>
        <w:t xml:space="preserve"> of acute diarrheal illness and to describe the frequency of important exposures associated with illness, FoodNet created the Population Survey. Th</w:t>
      </w:r>
      <w:r w:rsidR="00377AD6">
        <w:rPr>
          <w:lang w:val="en"/>
        </w:rPr>
        <w:t xml:space="preserve">e methods for this </w:t>
      </w:r>
      <w:r w:rsidR="007339BB" w:rsidRPr="00BD3AFC">
        <w:rPr>
          <w:lang w:val="en"/>
        </w:rPr>
        <w:t xml:space="preserve">population-based survey of persons residing in the surveillance area is modeled after the BRFSS. Data are </w:t>
      </w:r>
      <w:r w:rsidR="00BD3AFC" w:rsidRPr="00BD3AFC">
        <w:rPr>
          <w:lang w:val="en"/>
        </w:rPr>
        <w:t xml:space="preserve">collected on the </w:t>
      </w:r>
      <w:r w:rsidR="007339BB" w:rsidRPr="00BD3AFC">
        <w:rPr>
          <w:lang w:val="en"/>
        </w:rPr>
        <w:t xml:space="preserve">prevalence and severity of </w:t>
      </w:r>
      <w:r w:rsidR="00BD3AFC" w:rsidRPr="00BD3AFC">
        <w:rPr>
          <w:lang w:val="en"/>
        </w:rPr>
        <w:t xml:space="preserve">acute </w:t>
      </w:r>
      <w:r w:rsidR="00BD3AFC">
        <w:rPr>
          <w:lang w:val="en"/>
        </w:rPr>
        <w:t xml:space="preserve">gastrointestinal </w:t>
      </w:r>
      <w:r w:rsidR="007339BB" w:rsidRPr="00BD3AFC">
        <w:rPr>
          <w:lang w:val="en"/>
        </w:rPr>
        <w:t xml:space="preserve">illness </w:t>
      </w:r>
      <w:r w:rsidR="00BD3AFC">
        <w:rPr>
          <w:lang w:val="en"/>
        </w:rPr>
        <w:t xml:space="preserve">(AGI) </w:t>
      </w:r>
      <w:r w:rsidR="007339BB" w:rsidRPr="00BD3AFC">
        <w:rPr>
          <w:lang w:val="en"/>
        </w:rPr>
        <w:t xml:space="preserve">in the </w:t>
      </w:r>
      <w:r w:rsidR="00BD3AFC" w:rsidRPr="00BD3AFC">
        <w:rPr>
          <w:lang w:val="en"/>
        </w:rPr>
        <w:t>general population</w:t>
      </w:r>
      <w:r w:rsidR="00CC1905">
        <w:rPr>
          <w:lang w:val="en"/>
        </w:rPr>
        <w:t xml:space="preserve"> of the FoodNet geographic areas</w:t>
      </w:r>
      <w:r w:rsidR="00BD3AFC" w:rsidRPr="00BD3AFC">
        <w:rPr>
          <w:lang w:val="en"/>
        </w:rPr>
        <w:t xml:space="preserve">, </w:t>
      </w:r>
      <w:r w:rsidR="007339BB" w:rsidRPr="00BD3AFC">
        <w:rPr>
          <w:lang w:val="en"/>
        </w:rPr>
        <w:t xml:space="preserve">describe common symptoms associated with diarrhea, and determine the proportion of persons with diarrhea who seek medical care. </w:t>
      </w:r>
      <w:r w:rsidR="00BD3AFC" w:rsidRPr="00BD3AFC">
        <w:t xml:space="preserve">The survey also collects data on exposures (e.g. food, water, animal contact) commonly associated with foodborne illness.  </w:t>
      </w:r>
      <w:r w:rsidR="007339BB" w:rsidRPr="00BD3AFC">
        <w:rPr>
          <w:lang w:val="en"/>
        </w:rPr>
        <w:t>To date, f</w:t>
      </w:r>
      <w:r w:rsidR="00E2710F" w:rsidRPr="00BD3AFC">
        <w:rPr>
          <w:lang w:val="en"/>
        </w:rPr>
        <w:t xml:space="preserve">ive 12-month cycles of the survey have been completed: 1996-1997, </w:t>
      </w:r>
      <w:r w:rsidR="007339BB" w:rsidRPr="00BD3AFC">
        <w:rPr>
          <w:lang w:val="en"/>
        </w:rPr>
        <w:t xml:space="preserve">1998-1999, 2000-2001, </w:t>
      </w:r>
      <w:r w:rsidR="00E2710F" w:rsidRPr="00BD3AFC">
        <w:rPr>
          <w:lang w:val="en"/>
        </w:rPr>
        <w:t xml:space="preserve">2002-2003, </w:t>
      </w:r>
      <w:r w:rsidR="007339BB" w:rsidRPr="00BD3AFC">
        <w:rPr>
          <w:lang w:val="en"/>
        </w:rPr>
        <w:t xml:space="preserve">and </w:t>
      </w:r>
      <w:r w:rsidR="00E2710F" w:rsidRPr="00BD3AFC">
        <w:rPr>
          <w:lang w:val="en"/>
        </w:rPr>
        <w:t xml:space="preserve">2006-2007. </w:t>
      </w:r>
      <w:r w:rsidR="009316B1">
        <w:rPr>
          <w:lang w:val="en"/>
        </w:rPr>
        <w:t xml:space="preserve">By </w:t>
      </w:r>
      <w:r w:rsidR="001E4E16">
        <w:rPr>
          <w:lang w:val="en"/>
        </w:rPr>
        <w:t>conducting</w:t>
      </w:r>
      <w:r w:rsidR="009316B1">
        <w:rPr>
          <w:lang w:val="en"/>
        </w:rPr>
        <w:t xml:space="preserve"> the Population Survey in </w:t>
      </w:r>
      <w:r w:rsidR="00A26C0C">
        <w:rPr>
          <w:lang w:val="en"/>
        </w:rPr>
        <w:t>the same geographic areas served by FoodNet</w:t>
      </w:r>
      <w:r w:rsidR="009316B1">
        <w:rPr>
          <w:lang w:val="en"/>
        </w:rPr>
        <w:t xml:space="preserve">, it is possible </w:t>
      </w:r>
      <w:r w:rsidR="00A26C0C">
        <w:rPr>
          <w:lang w:val="en"/>
        </w:rPr>
        <w:t>to adjust pathogen-specific incidence</w:t>
      </w:r>
      <w:r w:rsidR="009A6E51">
        <w:rPr>
          <w:lang w:val="en"/>
        </w:rPr>
        <w:t xml:space="preserve"> of foodborne diseases</w:t>
      </w:r>
      <w:r w:rsidR="009316B1">
        <w:rPr>
          <w:lang w:val="en"/>
        </w:rPr>
        <w:t xml:space="preserve"> for underdiagnosis resulting from </w:t>
      </w:r>
      <w:r w:rsidR="00A26C0C">
        <w:rPr>
          <w:lang w:val="en"/>
        </w:rPr>
        <w:t xml:space="preserve">medical care seeking and </w:t>
      </w:r>
      <w:r w:rsidR="00A26C0C" w:rsidRPr="00A26C0C">
        <w:rPr>
          <w:lang w:val="en"/>
        </w:rPr>
        <w:t>specimen submissio</w:t>
      </w:r>
      <w:r w:rsidR="00A26C0C">
        <w:rPr>
          <w:lang w:val="en"/>
        </w:rPr>
        <w:t>n and to link these data with other relevant information, including hospitalizations, deaths, and history of travel.</w:t>
      </w:r>
      <w:r w:rsidR="001E4E16">
        <w:rPr>
          <w:lang w:val="en"/>
        </w:rPr>
        <w:t xml:space="preserve"> </w:t>
      </w:r>
      <w:r w:rsidR="00A26C0C" w:rsidRPr="00A26C0C">
        <w:rPr>
          <w:lang w:val="en"/>
        </w:rPr>
        <w:t>Because FoodNet conduct</w:t>
      </w:r>
      <w:r w:rsidR="00A26C0C">
        <w:rPr>
          <w:lang w:val="en"/>
        </w:rPr>
        <w:t xml:space="preserve">s surveillance at 10 </w:t>
      </w:r>
      <w:r w:rsidR="001E4E16">
        <w:rPr>
          <w:lang w:val="en"/>
        </w:rPr>
        <w:t xml:space="preserve">US </w:t>
      </w:r>
      <w:r w:rsidR="00A26C0C">
        <w:rPr>
          <w:lang w:val="en"/>
        </w:rPr>
        <w:t>sites, t</w:t>
      </w:r>
      <w:r w:rsidR="00A26C0C" w:rsidRPr="00A26C0C">
        <w:rPr>
          <w:lang w:val="en"/>
        </w:rPr>
        <w:t>hese data are further adjusted for geographical coverage</w:t>
      </w:r>
      <w:r w:rsidR="00A26C0C">
        <w:rPr>
          <w:lang w:val="en"/>
        </w:rPr>
        <w:t xml:space="preserve"> (</w:t>
      </w:r>
      <w:r w:rsidR="001E4E16">
        <w:rPr>
          <w:lang w:val="en"/>
        </w:rPr>
        <w:t>online Technical Appendix).</w:t>
      </w:r>
      <w:r w:rsidR="001E4E16">
        <w:rPr>
          <w:rStyle w:val="FootnoteReference"/>
          <w:lang w:val="en"/>
        </w:rPr>
        <w:footnoteReference w:id="2"/>
      </w:r>
    </w:p>
    <w:p w14:paraId="42ACFB4F" w14:textId="341E8820" w:rsidR="00E2710F" w:rsidRPr="007339BB" w:rsidRDefault="00E2710F" w:rsidP="00C50324">
      <w:pPr>
        <w:spacing w:after="0" w:line="240" w:lineRule="auto"/>
        <w:rPr>
          <w:color w:val="FF0000"/>
          <w:lang w:val="en"/>
        </w:rPr>
      </w:pPr>
    </w:p>
    <w:p w14:paraId="2C02BAEE" w14:textId="77444A74" w:rsidR="004974B1" w:rsidRDefault="00BD3AFC" w:rsidP="00CE1BD8">
      <w:pPr>
        <w:spacing w:after="0" w:line="240" w:lineRule="auto"/>
        <w:ind w:left="749"/>
      </w:pPr>
      <w:r w:rsidRPr="007C144A">
        <w:t>Dat</w:t>
      </w:r>
      <w:r w:rsidR="00547220">
        <w:t>a from the population survey have</w:t>
      </w:r>
      <w:r w:rsidRPr="007C144A">
        <w:t xml:space="preserve"> </w:t>
      </w:r>
      <w:r w:rsidR="00D93CFD">
        <w:t>multiple uses</w:t>
      </w:r>
      <w:r w:rsidRPr="007C144A">
        <w:t xml:space="preserve">. Information on AGI and health-seeking </w:t>
      </w:r>
      <w:r w:rsidR="002B2BBE">
        <w:t xml:space="preserve">and testing </w:t>
      </w:r>
      <w:r w:rsidRPr="007C144A">
        <w:t>behaviors</w:t>
      </w:r>
      <w:r w:rsidR="002B2BBE">
        <w:t>, used in conjunction with foodborne disease surveillance, serve as</w:t>
      </w:r>
      <w:r w:rsidRPr="007C144A">
        <w:t xml:space="preserve"> the foundation of </w:t>
      </w:r>
      <w:r w:rsidR="00D93CFD">
        <w:t xml:space="preserve">estimates of total number of foodborne </w:t>
      </w:r>
      <w:r w:rsidRPr="007C144A">
        <w:t>illness</w:t>
      </w:r>
      <w:r w:rsidR="00D93CFD">
        <w:t>es in the United States</w:t>
      </w:r>
      <w:r w:rsidRPr="007C144A">
        <w:t xml:space="preserve"> </w:t>
      </w:r>
      <w:r w:rsidR="00D93CFD">
        <w:t xml:space="preserve">summarized in publications by </w:t>
      </w:r>
      <w:r w:rsidRPr="007C144A">
        <w:t>Mead</w:t>
      </w:r>
      <w:r w:rsidR="00D93CFD">
        <w:t xml:space="preserve"> et al, in 1999</w:t>
      </w:r>
      <w:r w:rsidR="007C144A" w:rsidRPr="007C144A">
        <w:rPr>
          <w:vertAlign w:val="superscript"/>
        </w:rPr>
        <w:t>3</w:t>
      </w:r>
      <w:r w:rsidRPr="007C144A">
        <w:t xml:space="preserve"> and Scallan</w:t>
      </w:r>
      <w:r w:rsidR="00D93CFD">
        <w:t xml:space="preserve"> et al, in 2011</w:t>
      </w:r>
      <w:r w:rsidRPr="007C144A">
        <w:rPr>
          <w:vertAlign w:val="superscript"/>
        </w:rPr>
        <w:t>1</w:t>
      </w:r>
      <w:r w:rsidRPr="007C144A">
        <w:t>. Data on food exposures in the general public ha</w:t>
      </w:r>
      <w:r w:rsidR="00547220">
        <w:t>ve</w:t>
      </w:r>
      <w:r w:rsidRPr="007C144A">
        <w:t xml:space="preserve"> proved invaluable to outbreak investigations. The ability to compare exposures reported by outbreak cases to the ‘background’ exposure in the general population allows investigators to more quickly pinpoint a source and enact control measures. </w:t>
      </w:r>
      <w:r w:rsidR="00CE1F22">
        <w:t xml:space="preserve">More than two </w:t>
      </w:r>
      <w:r w:rsidR="0062463B" w:rsidRPr="007C144A">
        <w:t>dozen manuscripts incorporating population survey data have been published</w:t>
      </w:r>
      <w:r w:rsidR="00CE1F22">
        <w:rPr>
          <w:vertAlign w:val="superscript"/>
        </w:rPr>
        <w:t>1,3-2</w:t>
      </w:r>
      <w:r w:rsidR="007C144A" w:rsidRPr="007C144A">
        <w:rPr>
          <w:vertAlign w:val="superscript"/>
        </w:rPr>
        <w:t>4</w:t>
      </w:r>
      <w:r w:rsidR="007C144A" w:rsidRPr="007C144A">
        <w:t xml:space="preserve">. </w:t>
      </w:r>
      <w:r w:rsidR="0062463B" w:rsidRPr="007C144A">
        <w:t xml:space="preserve">  </w:t>
      </w:r>
    </w:p>
    <w:p w14:paraId="11E94253" w14:textId="20B349D4" w:rsidR="00830702" w:rsidRDefault="00830702" w:rsidP="00CE1BD8">
      <w:pPr>
        <w:spacing w:after="0" w:line="240" w:lineRule="auto"/>
        <w:ind w:left="749"/>
      </w:pPr>
    </w:p>
    <w:p w14:paraId="19241F70" w14:textId="761131DA" w:rsidR="00830702" w:rsidRPr="004974B1" w:rsidRDefault="00830702" w:rsidP="00CE1BD8">
      <w:pPr>
        <w:spacing w:after="0" w:line="240" w:lineRule="auto"/>
        <w:ind w:left="749"/>
      </w:pPr>
      <w:r w:rsidRPr="00830702">
        <w:rPr>
          <w:highlight w:val="yellow"/>
        </w:rPr>
        <w:t xml:space="preserve">Since the </w:t>
      </w:r>
      <w:r w:rsidR="00183957">
        <w:rPr>
          <w:highlight w:val="yellow"/>
        </w:rPr>
        <w:t xml:space="preserve">previous </w:t>
      </w:r>
      <w:r>
        <w:rPr>
          <w:highlight w:val="yellow"/>
        </w:rPr>
        <w:t>OMB approval</w:t>
      </w:r>
      <w:r w:rsidR="00183957">
        <w:rPr>
          <w:highlight w:val="yellow"/>
        </w:rPr>
        <w:t>,</w:t>
      </w:r>
      <w:r>
        <w:rPr>
          <w:highlight w:val="yellow"/>
        </w:rPr>
        <w:t xml:space="preserve"> </w:t>
      </w:r>
      <w:r w:rsidR="00183957">
        <w:rPr>
          <w:highlight w:val="yellow"/>
        </w:rPr>
        <w:t>we began</w:t>
      </w:r>
      <w:r>
        <w:rPr>
          <w:highlight w:val="yellow"/>
        </w:rPr>
        <w:t xml:space="preserve"> </w:t>
      </w:r>
      <w:r w:rsidRPr="00830702">
        <w:rPr>
          <w:highlight w:val="yellow"/>
        </w:rPr>
        <w:t xml:space="preserve">data collection in all states. As of July 10, 2018 a total of 11,657 surveys have been completed between all </w:t>
      </w:r>
      <w:r w:rsidR="009730C3">
        <w:rPr>
          <w:highlight w:val="yellow"/>
        </w:rPr>
        <w:t xml:space="preserve">survey modes including </w:t>
      </w:r>
      <w:r w:rsidRPr="00830702">
        <w:rPr>
          <w:highlight w:val="yellow"/>
        </w:rPr>
        <w:t>landline, cell phone, web</w:t>
      </w:r>
      <w:r w:rsidR="00183957">
        <w:rPr>
          <w:highlight w:val="yellow"/>
        </w:rPr>
        <w:t>,</w:t>
      </w:r>
      <w:r w:rsidRPr="00830702">
        <w:rPr>
          <w:highlight w:val="yellow"/>
        </w:rPr>
        <w:t xml:space="preserve"> and </w:t>
      </w:r>
      <w:r w:rsidR="009730C3">
        <w:rPr>
          <w:highlight w:val="yellow"/>
        </w:rPr>
        <w:t>mail</w:t>
      </w:r>
      <w:r w:rsidRPr="00830702">
        <w:rPr>
          <w:highlight w:val="yellow"/>
        </w:rPr>
        <w:t>.</w:t>
      </w:r>
      <w:r>
        <w:t xml:space="preserve">    </w:t>
      </w:r>
    </w:p>
    <w:p w14:paraId="566BEFF6" w14:textId="77777777" w:rsidR="00CC1905" w:rsidRDefault="00CC1905" w:rsidP="00826BDC">
      <w:pPr>
        <w:spacing w:after="0" w:line="240" w:lineRule="auto"/>
        <w:ind w:left="720"/>
      </w:pPr>
    </w:p>
    <w:p w14:paraId="09D753DA" w14:textId="77777777" w:rsidR="00826BDC" w:rsidRDefault="00826BDC" w:rsidP="00826BDC">
      <w:pPr>
        <w:spacing w:after="0" w:line="240" w:lineRule="auto"/>
        <w:ind w:left="720"/>
      </w:pPr>
      <w:r w:rsidRPr="004974B1">
        <w:t>This data collection is authorized by Section 301 of the Public Health Service Act (42 U.S.C. 241)</w:t>
      </w:r>
      <w:r>
        <w:t xml:space="preserve"> (Attachment A)</w:t>
      </w:r>
      <w:r w:rsidRPr="004974B1">
        <w:t>.</w:t>
      </w:r>
    </w:p>
    <w:p w14:paraId="78A1CBA4" w14:textId="57586A2B" w:rsidR="00092A45" w:rsidRDefault="009513FA" w:rsidP="009513FA">
      <w:pPr>
        <w:tabs>
          <w:tab w:val="left" w:pos="1110"/>
        </w:tabs>
        <w:spacing w:after="0"/>
        <w:rPr>
          <w:color w:val="FF0000"/>
        </w:rPr>
      </w:pPr>
      <w:r>
        <w:rPr>
          <w:color w:val="FF0000"/>
        </w:rPr>
        <w:tab/>
      </w:r>
    </w:p>
    <w:p w14:paraId="6F64EB88" w14:textId="77777777" w:rsidR="005C51FA" w:rsidRPr="004974B1" w:rsidRDefault="00B12F51" w:rsidP="00D51147">
      <w:pPr>
        <w:pStyle w:val="Heading2"/>
      </w:pPr>
      <w:bookmarkStart w:id="8" w:name="_Toc519148125"/>
      <w:bookmarkStart w:id="9" w:name="_Toc519148200"/>
      <w:bookmarkStart w:id="10" w:name="_Toc519148221"/>
      <w:r w:rsidRPr="004974B1">
        <w:t>Purpose and Use of the Information Collection</w:t>
      </w:r>
      <w:bookmarkEnd w:id="8"/>
      <w:bookmarkEnd w:id="9"/>
      <w:bookmarkEnd w:id="10"/>
    </w:p>
    <w:p w14:paraId="0DACAE41" w14:textId="77777777" w:rsidR="005C51FA" w:rsidRPr="004974B1" w:rsidRDefault="005C51FA" w:rsidP="00CE1BD8">
      <w:pPr>
        <w:pStyle w:val="ListParagraph"/>
        <w:spacing w:after="0" w:line="240" w:lineRule="auto"/>
        <w:ind w:left="810"/>
        <w:rPr>
          <w:b/>
        </w:rPr>
      </w:pPr>
    </w:p>
    <w:p w14:paraId="34A5B22E" w14:textId="77777777" w:rsidR="00D37AFE" w:rsidRPr="004974B1" w:rsidRDefault="005C51FA" w:rsidP="00CE1BD8">
      <w:pPr>
        <w:spacing w:after="0" w:line="240" w:lineRule="auto"/>
        <w:ind w:left="720"/>
      </w:pPr>
      <w:r w:rsidRPr="004974B1">
        <w:t>The o</w:t>
      </w:r>
      <w:r w:rsidR="00D37AFE" w:rsidRPr="004974B1">
        <w:t>bjectives</w:t>
      </w:r>
      <w:r w:rsidRPr="004974B1">
        <w:t xml:space="preserve"> of the survey are: </w:t>
      </w:r>
    </w:p>
    <w:p w14:paraId="5E650250" w14:textId="5BC3B30B" w:rsidR="00BC45C9" w:rsidRPr="00D849B9" w:rsidRDefault="00BC45C9" w:rsidP="00D51147">
      <w:pPr>
        <w:pStyle w:val="ListParagraph"/>
        <w:numPr>
          <w:ilvl w:val="1"/>
          <w:numId w:val="15"/>
        </w:numPr>
        <w:tabs>
          <w:tab w:val="num" w:pos="1530"/>
        </w:tabs>
        <w:spacing w:after="0" w:line="240" w:lineRule="auto"/>
      </w:pPr>
      <w:r w:rsidRPr="00BC45C9">
        <w:t xml:space="preserve"> </w:t>
      </w:r>
      <w:r>
        <w:t>Provide necessary data to e</w:t>
      </w:r>
      <w:r w:rsidRPr="00D849B9">
        <w:t>stimate the</w:t>
      </w:r>
      <w:r>
        <w:t xml:space="preserve"> </w:t>
      </w:r>
      <w:r w:rsidRPr="00D849B9">
        <w:t xml:space="preserve">burden of </w:t>
      </w:r>
      <w:r>
        <w:t xml:space="preserve">unreported and reported </w:t>
      </w:r>
      <w:r w:rsidRPr="00D849B9">
        <w:t xml:space="preserve">acute diarrheal illness in the </w:t>
      </w:r>
      <w:r>
        <w:t xml:space="preserve">catchment area, for use in modeling such burden in the </w:t>
      </w:r>
      <w:r w:rsidRPr="00D849B9">
        <w:t>United States</w:t>
      </w:r>
      <w:r>
        <w:t xml:space="preserve"> more broadly.</w:t>
      </w:r>
    </w:p>
    <w:p w14:paraId="64168F07" w14:textId="2AB21612" w:rsidR="00BC45C9" w:rsidRPr="00D849B9" w:rsidRDefault="00BC45C9" w:rsidP="00D51147">
      <w:pPr>
        <w:pStyle w:val="ListParagraph"/>
        <w:numPr>
          <w:ilvl w:val="1"/>
          <w:numId w:val="15"/>
        </w:numPr>
        <w:tabs>
          <w:tab w:val="num" w:pos="1530"/>
        </w:tabs>
        <w:spacing w:after="0" w:line="240" w:lineRule="auto"/>
      </w:pPr>
      <w:r>
        <w:t>A</w:t>
      </w:r>
      <w:r w:rsidRPr="00D849B9">
        <w:t>ssess the frequency of important exposures commonly associated with foodborne il</w:t>
      </w:r>
      <w:r>
        <w:t>lnesses</w:t>
      </w:r>
      <w:r w:rsidRPr="00A12103">
        <w:t xml:space="preserve"> </w:t>
      </w:r>
      <w:r w:rsidRPr="00D849B9">
        <w:t xml:space="preserve">in the </w:t>
      </w:r>
      <w:r>
        <w:t xml:space="preserve">catchment area, for use in modeling such burden in the </w:t>
      </w:r>
      <w:r w:rsidRPr="00D849B9">
        <w:t>United States</w:t>
      </w:r>
      <w:r>
        <w:t xml:space="preserve"> more broadly.</w:t>
      </w:r>
    </w:p>
    <w:p w14:paraId="324F9F62" w14:textId="2F99A44D" w:rsidR="008A77A3" w:rsidRPr="00D849B9" w:rsidRDefault="008A77A3" w:rsidP="00BC45C9">
      <w:pPr>
        <w:pStyle w:val="ListParagraph"/>
        <w:tabs>
          <w:tab w:val="num" w:pos="1530"/>
        </w:tabs>
        <w:spacing w:after="0" w:line="240" w:lineRule="auto"/>
        <w:ind w:left="1440"/>
      </w:pPr>
    </w:p>
    <w:p w14:paraId="7C06D50E" w14:textId="4996ADB6" w:rsidR="004C0727" w:rsidRPr="004974B1" w:rsidRDefault="00740DD7" w:rsidP="00863A0C">
      <w:pPr>
        <w:pStyle w:val="ListParagraph"/>
        <w:autoSpaceDE w:val="0"/>
        <w:autoSpaceDN w:val="0"/>
        <w:adjustRightInd w:val="0"/>
        <w:spacing w:after="0" w:line="240" w:lineRule="auto"/>
        <w:rPr>
          <w:lang w:eastAsia="ja-JP"/>
        </w:rPr>
      </w:pPr>
      <w:r w:rsidRPr="004974B1">
        <w:rPr>
          <w:lang w:eastAsia="ja-JP"/>
        </w:rPr>
        <w:t>T</w:t>
      </w:r>
      <w:r w:rsidR="0088064B" w:rsidRPr="004974B1">
        <w:t xml:space="preserve">he results of the </w:t>
      </w:r>
      <w:r w:rsidR="007F5E3A" w:rsidRPr="004974B1">
        <w:t xml:space="preserve">survey </w:t>
      </w:r>
      <w:r w:rsidR="0088064B" w:rsidRPr="004974B1">
        <w:t>will be used</w:t>
      </w:r>
      <w:r w:rsidR="004C0727" w:rsidRPr="004974B1">
        <w:rPr>
          <w:lang w:eastAsia="ja-JP"/>
        </w:rPr>
        <w:t>:</w:t>
      </w:r>
    </w:p>
    <w:p w14:paraId="31485C9E" w14:textId="4F477B8B" w:rsidR="000D7682" w:rsidRPr="00A06A23" w:rsidRDefault="00377AD6" w:rsidP="00884091">
      <w:pPr>
        <w:numPr>
          <w:ilvl w:val="0"/>
          <w:numId w:val="2"/>
        </w:numPr>
        <w:tabs>
          <w:tab w:val="clear" w:pos="720"/>
          <w:tab w:val="num" w:pos="1440"/>
        </w:tabs>
        <w:spacing w:after="0" w:line="240" w:lineRule="auto"/>
        <w:ind w:left="1440"/>
      </w:pPr>
      <w:r>
        <w:rPr>
          <w:lang w:eastAsia="ja-JP"/>
        </w:rPr>
        <w:t xml:space="preserve">To populate CDC’s model designed to </w:t>
      </w:r>
      <w:r w:rsidR="008E59E0" w:rsidRPr="00A06A23">
        <w:rPr>
          <w:lang w:eastAsia="ja-JP"/>
        </w:rPr>
        <w:t xml:space="preserve">update </w:t>
      </w:r>
      <w:r w:rsidR="00215390">
        <w:rPr>
          <w:lang w:eastAsia="ja-JP"/>
        </w:rPr>
        <w:t xml:space="preserve">estimates on </w:t>
      </w:r>
      <w:r w:rsidR="00D93CFD">
        <w:rPr>
          <w:lang w:eastAsia="ja-JP"/>
        </w:rPr>
        <w:t xml:space="preserve">total </w:t>
      </w:r>
      <w:r w:rsidR="00215390">
        <w:rPr>
          <w:lang w:eastAsia="ja-JP"/>
        </w:rPr>
        <w:t xml:space="preserve">number of </w:t>
      </w:r>
      <w:r w:rsidR="008A77A3">
        <w:rPr>
          <w:lang w:eastAsia="ja-JP"/>
        </w:rPr>
        <w:t xml:space="preserve">diarrheal illnesses and </w:t>
      </w:r>
      <w:r w:rsidR="00215390">
        <w:rPr>
          <w:lang w:eastAsia="ja-JP"/>
        </w:rPr>
        <w:t xml:space="preserve">foodborne </w:t>
      </w:r>
      <w:r w:rsidR="00D93CFD">
        <w:rPr>
          <w:lang w:eastAsia="ja-JP"/>
        </w:rPr>
        <w:t>illnesses in the United States</w:t>
      </w:r>
      <w:r w:rsidR="0001745A">
        <w:rPr>
          <w:lang w:eastAsia="ja-JP"/>
        </w:rPr>
        <w:t>.</w:t>
      </w:r>
    </w:p>
    <w:p w14:paraId="0E190A3D" w14:textId="67622EEC" w:rsidR="00740DD7" w:rsidRDefault="00A06A23" w:rsidP="00884091">
      <w:pPr>
        <w:numPr>
          <w:ilvl w:val="2"/>
          <w:numId w:val="2"/>
        </w:numPr>
        <w:spacing w:after="0" w:line="240" w:lineRule="auto"/>
      </w:pPr>
      <w:r w:rsidRPr="00A06A23">
        <w:rPr>
          <w:lang w:eastAsia="ja-JP"/>
        </w:rPr>
        <w:t xml:space="preserve">The most recent estimates </w:t>
      </w:r>
      <w:r w:rsidR="00D93CFD">
        <w:rPr>
          <w:lang w:eastAsia="ja-JP"/>
        </w:rPr>
        <w:t xml:space="preserve">on total number of illnesses </w:t>
      </w:r>
      <w:r w:rsidRPr="00A06A23">
        <w:rPr>
          <w:lang w:eastAsia="ja-JP"/>
        </w:rPr>
        <w:t>were published in</w:t>
      </w:r>
      <w:r w:rsidR="00984CAA">
        <w:rPr>
          <w:lang w:eastAsia="ja-JP"/>
        </w:rPr>
        <w:t xml:space="preserve"> 2011 </w:t>
      </w:r>
      <w:r w:rsidRPr="00A06A23">
        <w:rPr>
          <w:lang w:eastAsia="ja-JP"/>
        </w:rPr>
        <w:t xml:space="preserve">and </w:t>
      </w:r>
      <w:r w:rsidR="00D93CFD">
        <w:rPr>
          <w:lang w:eastAsia="ja-JP"/>
        </w:rPr>
        <w:t>relied heavily</w:t>
      </w:r>
      <w:r w:rsidR="00D93CFD" w:rsidRPr="00A06A23">
        <w:rPr>
          <w:lang w:eastAsia="ja-JP"/>
        </w:rPr>
        <w:t xml:space="preserve"> </w:t>
      </w:r>
      <w:r w:rsidRPr="00A06A23">
        <w:rPr>
          <w:lang w:eastAsia="ja-JP"/>
        </w:rPr>
        <w:t xml:space="preserve">data from the 2006-2007 population survey. </w:t>
      </w:r>
      <w:r w:rsidR="00CC1905">
        <w:rPr>
          <w:lang w:eastAsia="ja-JP"/>
        </w:rPr>
        <w:t>T</w:t>
      </w:r>
      <w:r w:rsidR="00D93CFD">
        <w:rPr>
          <w:lang w:eastAsia="ja-JP"/>
        </w:rPr>
        <w:t>he program has committed to publication of the new estimates by the year 2020</w:t>
      </w:r>
      <w:r w:rsidR="004B2359" w:rsidRPr="00A06A23">
        <w:rPr>
          <w:lang w:eastAsia="ja-JP"/>
        </w:rPr>
        <w:t xml:space="preserve">. </w:t>
      </w:r>
      <w:r w:rsidR="00740DD7" w:rsidRPr="00A06A23">
        <w:rPr>
          <w:lang w:eastAsia="ja-JP"/>
        </w:rPr>
        <w:t xml:space="preserve">Data on AGI and health seeking behavior </w:t>
      </w:r>
      <w:r w:rsidR="00D93CFD">
        <w:rPr>
          <w:lang w:eastAsia="ja-JP"/>
        </w:rPr>
        <w:t>are</w:t>
      </w:r>
      <w:r w:rsidR="00D93CFD" w:rsidRPr="00A06A23">
        <w:rPr>
          <w:lang w:eastAsia="ja-JP"/>
        </w:rPr>
        <w:t xml:space="preserve"> </w:t>
      </w:r>
      <w:r w:rsidR="004B2359" w:rsidRPr="00A06A23">
        <w:rPr>
          <w:lang w:eastAsia="ja-JP"/>
        </w:rPr>
        <w:t xml:space="preserve">a </w:t>
      </w:r>
      <w:r w:rsidR="00740DD7" w:rsidRPr="00A06A23">
        <w:rPr>
          <w:lang w:eastAsia="ja-JP"/>
        </w:rPr>
        <w:t xml:space="preserve">critical </w:t>
      </w:r>
      <w:r w:rsidR="004B2359" w:rsidRPr="00A06A23">
        <w:rPr>
          <w:lang w:eastAsia="ja-JP"/>
        </w:rPr>
        <w:t xml:space="preserve">piece of these estimates and </w:t>
      </w:r>
      <w:r w:rsidR="00D93CFD">
        <w:rPr>
          <w:lang w:eastAsia="ja-JP"/>
        </w:rPr>
        <w:t>are</w:t>
      </w:r>
      <w:r w:rsidR="00D93CFD" w:rsidRPr="00A06A23">
        <w:rPr>
          <w:lang w:eastAsia="ja-JP"/>
        </w:rPr>
        <w:t xml:space="preserve"> </w:t>
      </w:r>
      <w:r w:rsidR="004B2359" w:rsidRPr="00A06A23">
        <w:rPr>
          <w:lang w:eastAsia="ja-JP"/>
        </w:rPr>
        <w:t xml:space="preserve">not available from any </w:t>
      </w:r>
      <w:r w:rsidR="00863A0C">
        <w:rPr>
          <w:lang w:eastAsia="ja-JP"/>
        </w:rPr>
        <w:t xml:space="preserve">other </w:t>
      </w:r>
      <w:r w:rsidR="004B2359" w:rsidRPr="00A06A23">
        <w:rPr>
          <w:lang w:eastAsia="ja-JP"/>
        </w:rPr>
        <w:t>source</w:t>
      </w:r>
      <w:r w:rsidR="00863A0C">
        <w:rPr>
          <w:lang w:eastAsia="ja-JP"/>
        </w:rPr>
        <w:t>.</w:t>
      </w:r>
      <w:r w:rsidR="004B2359" w:rsidRPr="00A06A23">
        <w:rPr>
          <w:lang w:eastAsia="ja-JP"/>
        </w:rPr>
        <w:t xml:space="preserve"> </w:t>
      </w:r>
      <w:r w:rsidR="00ED25A8">
        <w:rPr>
          <w:lang w:eastAsia="ja-JP"/>
        </w:rPr>
        <w:t>Data obtained from th</w:t>
      </w:r>
      <w:r w:rsidR="00377AD6">
        <w:rPr>
          <w:lang w:eastAsia="ja-JP"/>
        </w:rPr>
        <w:t>is</w:t>
      </w:r>
      <w:r w:rsidR="00ED25A8">
        <w:rPr>
          <w:lang w:eastAsia="ja-JP"/>
        </w:rPr>
        <w:t xml:space="preserve"> population survey </w:t>
      </w:r>
      <w:r w:rsidR="00377AD6">
        <w:rPr>
          <w:lang w:eastAsia="ja-JP"/>
        </w:rPr>
        <w:t>would be</w:t>
      </w:r>
      <w:r w:rsidR="00ED25A8">
        <w:rPr>
          <w:lang w:eastAsia="ja-JP"/>
        </w:rPr>
        <w:t xml:space="preserve"> paired with data from active case surveillance conducted in these same sentinel sites to determine burden of disease from individual pathogens that cause foodborne illness.</w:t>
      </w:r>
    </w:p>
    <w:p w14:paraId="059EBA9B" w14:textId="2BD030BF" w:rsidR="008A77A3" w:rsidRDefault="008A77A3" w:rsidP="00884091">
      <w:pPr>
        <w:numPr>
          <w:ilvl w:val="2"/>
          <w:numId w:val="2"/>
        </w:numPr>
        <w:spacing w:after="0" w:line="240" w:lineRule="auto"/>
      </w:pPr>
      <w:r>
        <w:rPr>
          <w:lang w:eastAsia="ja-JP"/>
        </w:rPr>
        <w:t xml:space="preserve">Assessing trends in burden of disease </w:t>
      </w:r>
      <w:r w:rsidR="00377AD6">
        <w:rPr>
          <w:lang w:eastAsia="ja-JP"/>
        </w:rPr>
        <w:t xml:space="preserve">in the surveillance catchment area </w:t>
      </w:r>
      <w:r>
        <w:rPr>
          <w:lang w:eastAsia="ja-JP"/>
        </w:rPr>
        <w:t>can be used to assess efficacy of diarrheal disease prevention interventions</w:t>
      </w:r>
      <w:r w:rsidR="00ED25A8">
        <w:rPr>
          <w:lang w:eastAsia="ja-JP"/>
        </w:rPr>
        <w:t xml:space="preserve"> and serve as metrics for food safety policies and programs.</w:t>
      </w:r>
    </w:p>
    <w:p w14:paraId="25F2D126" w14:textId="2C7C0856" w:rsidR="008A77A3" w:rsidRDefault="00ED25A8" w:rsidP="00884091">
      <w:pPr>
        <w:numPr>
          <w:ilvl w:val="2"/>
          <w:numId w:val="2"/>
        </w:numPr>
        <w:spacing w:after="0" w:line="240" w:lineRule="auto"/>
      </w:pPr>
      <w:r>
        <w:t>Estimates of diarrheal illnesses in these sentinel sites can be used to estimate morbidity, mortality, and costs of diarrheal illnesses.</w:t>
      </w:r>
    </w:p>
    <w:p w14:paraId="78B0AA23" w14:textId="5A1E2587" w:rsidR="00ED25A8" w:rsidRPr="00A06A23" w:rsidRDefault="00ED25A8" w:rsidP="00884091">
      <w:pPr>
        <w:numPr>
          <w:ilvl w:val="2"/>
          <w:numId w:val="2"/>
        </w:numPr>
        <w:spacing w:after="0" w:line="240" w:lineRule="auto"/>
      </w:pPr>
      <w:r>
        <w:t>Estimates can be used to inform industry, academic, and public health diarrheal disease research and food safety activities.</w:t>
      </w:r>
    </w:p>
    <w:p w14:paraId="1614D6D9" w14:textId="2BCD489D" w:rsidR="000D7682" w:rsidRPr="004974B1" w:rsidRDefault="000D7682" w:rsidP="00884091">
      <w:pPr>
        <w:numPr>
          <w:ilvl w:val="0"/>
          <w:numId w:val="2"/>
        </w:numPr>
        <w:tabs>
          <w:tab w:val="clear" w:pos="720"/>
          <w:tab w:val="num" w:pos="1440"/>
        </w:tabs>
        <w:spacing w:after="0" w:line="240" w:lineRule="auto"/>
        <w:ind w:left="1440"/>
      </w:pPr>
      <w:r w:rsidRPr="004974B1">
        <w:rPr>
          <w:lang w:eastAsia="ja-JP"/>
        </w:rPr>
        <w:t xml:space="preserve">To provide estimates </w:t>
      </w:r>
      <w:r w:rsidR="00866FB9" w:rsidRPr="004974B1">
        <w:rPr>
          <w:lang w:eastAsia="ja-JP"/>
        </w:rPr>
        <w:t xml:space="preserve">of food consumption </w:t>
      </w:r>
      <w:r w:rsidR="00740DD7" w:rsidRPr="004974B1">
        <w:rPr>
          <w:lang w:eastAsia="ja-JP"/>
        </w:rPr>
        <w:t>and other exposures</w:t>
      </w:r>
      <w:r w:rsidR="00215390">
        <w:rPr>
          <w:lang w:eastAsia="ja-JP"/>
        </w:rPr>
        <w:t xml:space="preserve"> for use to guide generation of hypotheses</w:t>
      </w:r>
      <w:r w:rsidR="00D93CFD">
        <w:rPr>
          <w:lang w:eastAsia="ja-JP"/>
        </w:rPr>
        <w:t xml:space="preserve"> </w:t>
      </w:r>
      <w:r w:rsidR="00866FB9" w:rsidRPr="004974B1">
        <w:rPr>
          <w:lang w:eastAsia="ja-JP"/>
        </w:rPr>
        <w:t xml:space="preserve">during </w:t>
      </w:r>
      <w:r w:rsidRPr="004974B1">
        <w:rPr>
          <w:lang w:eastAsia="ja-JP"/>
        </w:rPr>
        <w:t>outbreak investigations</w:t>
      </w:r>
      <w:r w:rsidR="0001745A">
        <w:rPr>
          <w:lang w:eastAsia="ja-JP"/>
        </w:rPr>
        <w:t>.</w:t>
      </w:r>
    </w:p>
    <w:p w14:paraId="3DA0312E" w14:textId="41E84624" w:rsidR="00866FB9" w:rsidRPr="004974B1" w:rsidRDefault="00557967" w:rsidP="00884091">
      <w:pPr>
        <w:numPr>
          <w:ilvl w:val="2"/>
          <w:numId w:val="2"/>
        </w:numPr>
        <w:spacing w:after="0" w:line="240" w:lineRule="auto"/>
      </w:pPr>
      <w:r w:rsidRPr="004974B1">
        <w:rPr>
          <w:lang w:eastAsia="ja-JP"/>
        </w:rPr>
        <w:t xml:space="preserve">Information on food consumption in the general population </w:t>
      </w:r>
      <w:r w:rsidR="0001745A">
        <w:rPr>
          <w:lang w:eastAsia="ja-JP"/>
        </w:rPr>
        <w:t xml:space="preserve">of the FoodNet sites </w:t>
      </w:r>
      <w:r w:rsidRPr="004974B1">
        <w:rPr>
          <w:lang w:eastAsia="ja-JP"/>
        </w:rPr>
        <w:t>can be compared to foods that are mentioned by case patients during an outbreak. Having this readily available comparison group allow</w:t>
      </w:r>
      <w:r w:rsidR="00A06A23">
        <w:rPr>
          <w:lang w:eastAsia="ja-JP"/>
        </w:rPr>
        <w:t>s</w:t>
      </w:r>
      <w:r w:rsidRPr="004974B1">
        <w:rPr>
          <w:lang w:eastAsia="ja-JP"/>
        </w:rPr>
        <w:t xml:space="preserve"> investigators to narrow the focus of their investigation </w:t>
      </w:r>
      <w:r w:rsidR="006E06CF" w:rsidRPr="004974B1">
        <w:rPr>
          <w:lang w:eastAsia="ja-JP"/>
        </w:rPr>
        <w:t>thereby enhancing the timeliness of public health response.</w:t>
      </w:r>
    </w:p>
    <w:p w14:paraId="1493EE51" w14:textId="31EEA8C5" w:rsidR="00740DD7" w:rsidRPr="004974B1" w:rsidRDefault="00740DD7" w:rsidP="00884091">
      <w:pPr>
        <w:numPr>
          <w:ilvl w:val="0"/>
          <w:numId w:val="2"/>
        </w:numPr>
        <w:tabs>
          <w:tab w:val="clear" w:pos="720"/>
          <w:tab w:val="num" w:pos="1440"/>
        </w:tabs>
        <w:spacing w:after="0" w:line="240" w:lineRule="auto"/>
        <w:ind w:left="1440"/>
      </w:pPr>
      <w:r w:rsidRPr="004974B1">
        <w:rPr>
          <w:lang w:eastAsia="ja-JP"/>
        </w:rPr>
        <w:t xml:space="preserve">To provide estimates of food consumption and other exposures to assist in </w:t>
      </w:r>
      <w:r w:rsidR="00215390">
        <w:rPr>
          <w:lang w:eastAsia="ja-JP"/>
        </w:rPr>
        <w:t>the study of</w:t>
      </w:r>
      <w:r w:rsidR="00215390" w:rsidRPr="004974B1">
        <w:rPr>
          <w:lang w:eastAsia="ja-JP"/>
        </w:rPr>
        <w:t xml:space="preserve"> </w:t>
      </w:r>
      <w:r w:rsidRPr="004974B1">
        <w:rPr>
          <w:lang w:eastAsia="ja-JP"/>
        </w:rPr>
        <w:t xml:space="preserve">factors </w:t>
      </w:r>
      <w:r w:rsidR="00215390">
        <w:rPr>
          <w:lang w:eastAsia="ja-JP"/>
        </w:rPr>
        <w:t xml:space="preserve">associated with </w:t>
      </w:r>
      <w:r w:rsidR="00ED25A8">
        <w:rPr>
          <w:lang w:eastAsia="ja-JP"/>
        </w:rPr>
        <w:t>sporadic illness</w:t>
      </w:r>
      <w:r w:rsidR="0001745A">
        <w:rPr>
          <w:lang w:eastAsia="ja-JP"/>
        </w:rPr>
        <w:t>.</w:t>
      </w:r>
      <w:r w:rsidRPr="004974B1">
        <w:rPr>
          <w:lang w:eastAsia="ja-JP"/>
        </w:rPr>
        <w:t xml:space="preserve"> </w:t>
      </w:r>
    </w:p>
    <w:p w14:paraId="7FD601DC" w14:textId="3EC0F6F2" w:rsidR="00ED25A8" w:rsidRDefault="00740DD7" w:rsidP="00884091">
      <w:pPr>
        <w:numPr>
          <w:ilvl w:val="2"/>
          <w:numId w:val="2"/>
        </w:numPr>
        <w:spacing w:after="0" w:line="240" w:lineRule="auto"/>
      </w:pPr>
      <w:r w:rsidRPr="004974B1">
        <w:t xml:space="preserve">Through routine, active surveillance, FoodNet collects </w:t>
      </w:r>
      <w:r w:rsidR="008A77A3">
        <w:t xml:space="preserve">standardized </w:t>
      </w:r>
      <w:r w:rsidRPr="004974B1">
        <w:t xml:space="preserve">information on food and water consumption and environmental exposures from persons with </w:t>
      </w:r>
      <w:r w:rsidRPr="004974B1">
        <w:rPr>
          <w:i/>
        </w:rPr>
        <w:t>Salmonella</w:t>
      </w:r>
      <w:r w:rsidRPr="004974B1">
        <w:t xml:space="preserve"> and </w:t>
      </w:r>
      <w:r w:rsidRPr="004974B1">
        <w:rPr>
          <w:i/>
        </w:rPr>
        <w:t>Campylobacter</w:t>
      </w:r>
      <w:r w:rsidR="0001745A">
        <w:rPr>
          <w:i/>
        </w:rPr>
        <w:t xml:space="preserve"> </w:t>
      </w:r>
      <w:r w:rsidR="0001745A">
        <w:t>with</w:t>
      </w:r>
      <w:r w:rsidR="0001745A" w:rsidRPr="0001745A">
        <w:t xml:space="preserve">in the FoodNet geographic </w:t>
      </w:r>
      <w:r w:rsidR="0001745A">
        <w:t>areas</w:t>
      </w:r>
      <w:r w:rsidRPr="004974B1">
        <w:t xml:space="preserve">. Collecting this same information from the general population </w:t>
      </w:r>
      <w:r w:rsidR="00ED25A8">
        <w:t xml:space="preserve">in these FoodNet sites </w:t>
      </w:r>
      <w:r w:rsidRPr="004974B1">
        <w:t xml:space="preserve">gives us a </w:t>
      </w:r>
      <w:r w:rsidR="006E06CF" w:rsidRPr="004974B1">
        <w:t xml:space="preserve">readily available </w:t>
      </w:r>
      <w:r w:rsidRPr="004974B1">
        <w:t>comparison group</w:t>
      </w:r>
      <w:r w:rsidR="00313DB1" w:rsidRPr="004974B1">
        <w:t xml:space="preserve"> which will allows us to identify potential risk factors </w:t>
      </w:r>
      <w:r w:rsidR="006E06CF" w:rsidRPr="004974B1">
        <w:t xml:space="preserve">to </w:t>
      </w:r>
      <w:r w:rsidR="00313DB1" w:rsidRPr="004974B1">
        <w:t xml:space="preserve">inform attribution estimates and </w:t>
      </w:r>
      <w:r w:rsidR="006E06CF" w:rsidRPr="004974B1">
        <w:t xml:space="preserve">as hypothesis to be tested in </w:t>
      </w:r>
      <w:r w:rsidR="00313DB1" w:rsidRPr="004974B1">
        <w:t xml:space="preserve">future research studies.  </w:t>
      </w:r>
    </w:p>
    <w:p w14:paraId="5121B119" w14:textId="637245DA" w:rsidR="00740DD7" w:rsidRDefault="00ED25A8" w:rsidP="00D15E78">
      <w:pPr>
        <w:numPr>
          <w:ilvl w:val="0"/>
          <w:numId w:val="2"/>
        </w:numPr>
        <w:tabs>
          <w:tab w:val="clear" w:pos="720"/>
          <w:tab w:val="num" w:pos="1170"/>
        </w:tabs>
        <w:spacing w:after="0" w:line="240" w:lineRule="auto"/>
        <w:ind w:left="1440"/>
      </w:pPr>
      <w:r>
        <w:t xml:space="preserve">To provide data to estimate changes in </w:t>
      </w:r>
      <w:r w:rsidR="00D15E78">
        <w:t xml:space="preserve">healthcare seeking behavior and </w:t>
      </w:r>
      <w:r>
        <w:t>diagnostic testing practices (stool testing)</w:t>
      </w:r>
      <w:r w:rsidR="00313DB1" w:rsidRPr="004974B1">
        <w:t xml:space="preserve"> </w:t>
      </w:r>
      <w:r w:rsidR="00D15E78">
        <w:t>for diarrheal illnesses</w:t>
      </w:r>
      <w:r w:rsidR="0001745A">
        <w:t>.</w:t>
      </w:r>
    </w:p>
    <w:p w14:paraId="466CC410" w14:textId="0EC2D501" w:rsidR="00D15E78" w:rsidRDefault="00716DC3" w:rsidP="00D15E78">
      <w:pPr>
        <w:numPr>
          <w:ilvl w:val="2"/>
          <w:numId w:val="2"/>
        </w:numPr>
        <w:spacing w:after="0" w:line="240" w:lineRule="auto"/>
      </w:pPr>
      <w:r>
        <w:t xml:space="preserve">These estimates are used to assess the number of persons </w:t>
      </w:r>
      <w:r w:rsidR="0001745A">
        <w:t xml:space="preserve">in FoodNet geographic areas </w:t>
      </w:r>
      <w:r>
        <w:t xml:space="preserve">that sought medical care for diarrheal illnesses, </w:t>
      </w:r>
      <w:r w:rsidR="006F4B69">
        <w:t>and identification of the predictors of seeking care (e.g. illness duration, illness severity, gender, age, income). This estimate can be used to inform public health policy and preparedness</w:t>
      </w:r>
      <w:r w:rsidR="0001745A">
        <w:t>.</w:t>
      </w:r>
    </w:p>
    <w:p w14:paraId="5BF3E37B" w14:textId="0AF5B238" w:rsidR="006F4B69" w:rsidRPr="004974B1" w:rsidRDefault="006F4B69" w:rsidP="00D15E78">
      <w:pPr>
        <w:numPr>
          <w:ilvl w:val="2"/>
          <w:numId w:val="2"/>
        </w:numPr>
        <w:spacing w:after="0" w:line="240" w:lineRule="auto"/>
      </w:pPr>
      <w:r>
        <w:t xml:space="preserve">These estimates are used to assess how many persons with diarrheal illness </w:t>
      </w:r>
      <w:r w:rsidR="0001745A">
        <w:t xml:space="preserve">in FoodNet geographic areas </w:t>
      </w:r>
      <w:r>
        <w:t xml:space="preserve">provided a stool sample for identification and identifies predictors of stool sample providers (e.g. illness duration, illness severity). The current landscape of diagnostic practice for diarrheal illnesses is rapidly shifting. A stool sample is required for antimicrobial resistance testing, species determination, and serotype determination which are all used for outbreak detection. </w:t>
      </w:r>
    </w:p>
    <w:p w14:paraId="52B5D792" w14:textId="77777777" w:rsidR="00866FB9" w:rsidRPr="004974B1" w:rsidRDefault="00866FB9" w:rsidP="00863A0C">
      <w:pPr>
        <w:spacing w:after="0" w:line="240" w:lineRule="auto"/>
        <w:ind w:left="1440"/>
        <w:rPr>
          <w:color w:val="FF0000"/>
        </w:rPr>
      </w:pPr>
    </w:p>
    <w:p w14:paraId="28C46F33" w14:textId="0DB8A8B6" w:rsidR="007B51EC" w:rsidRDefault="00CA5DA8" w:rsidP="00863A0C">
      <w:pPr>
        <w:spacing w:after="0" w:line="240" w:lineRule="auto"/>
        <w:ind w:left="720"/>
      </w:pPr>
      <w:r>
        <w:t>T</w:t>
      </w:r>
      <w:r w:rsidR="007B51EC">
        <w:t>he data from this collection are not designed to be nationally representative. Similarities</w:t>
      </w:r>
      <w:r w:rsidRPr="00CA5DA8">
        <w:t xml:space="preserve"> </w:t>
      </w:r>
      <w:r>
        <w:t>between the US population and the surveillance network</w:t>
      </w:r>
      <w:r w:rsidR="007B51EC">
        <w:t xml:space="preserve"> </w:t>
      </w:r>
      <w:r>
        <w:t xml:space="preserve">with respect to high-level </w:t>
      </w:r>
      <w:r w:rsidR="007B51EC">
        <w:t xml:space="preserve">demographic characteristics </w:t>
      </w:r>
      <w:r>
        <w:t xml:space="preserve">such as percent of the population that is Caucasian </w:t>
      </w:r>
      <w:r w:rsidR="007B51EC">
        <w:t xml:space="preserve">do not </w:t>
      </w:r>
      <w:r>
        <w:t>address potential</w:t>
      </w:r>
      <w:r w:rsidR="007B51EC">
        <w:t xml:space="preserve"> relationships between geographic variables, health variables, and demographic characteristic</w:t>
      </w:r>
      <w:r>
        <w:t>s</w:t>
      </w:r>
      <w:r w:rsidR="007B51EC">
        <w:t xml:space="preserve">. </w:t>
      </w:r>
      <w:r>
        <w:t xml:space="preserve">As such, </w:t>
      </w:r>
      <w:r w:rsidR="007B51EC">
        <w:t xml:space="preserve">CDC </w:t>
      </w:r>
      <w:r>
        <w:t>must</w:t>
      </w:r>
      <w:r w:rsidR="007B51EC">
        <w:t xml:space="preserve"> </w:t>
      </w:r>
      <w:r>
        <w:t xml:space="preserve">always </w:t>
      </w:r>
      <w:r w:rsidR="007B51EC">
        <w:t xml:space="preserve">transparently </w:t>
      </w:r>
      <w:r>
        <w:t>articulate</w:t>
      </w:r>
      <w:r w:rsidR="007B51EC">
        <w:t xml:space="preserve"> the </w:t>
      </w:r>
      <w:r>
        <w:t>limitations with respect to generalizability</w:t>
      </w:r>
      <w:r w:rsidR="007B51EC">
        <w:t xml:space="preserve">. </w:t>
      </w:r>
    </w:p>
    <w:p w14:paraId="12EAB7D2" w14:textId="77777777" w:rsidR="007B51EC" w:rsidRDefault="007B51EC" w:rsidP="00863A0C">
      <w:pPr>
        <w:spacing w:after="0" w:line="240" w:lineRule="auto"/>
        <w:ind w:left="720"/>
      </w:pPr>
    </w:p>
    <w:p w14:paraId="1E26A0A3" w14:textId="6236B9CB" w:rsidR="005C51FA" w:rsidRPr="004974B1" w:rsidRDefault="00BC45C9" w:rsidP="00863A0C">
      <w:pPr>
        <w:spacing w:after="0" w:line="240" w:lineRule="auto"/>
        <w:ind w:left="720"/>
        <w:rPr>
          <w:lang w:eastAsia="ja-JP"/>
        </w:rPr>
      </w:pPr>
      <w:r>
        <w:t>De-identified</w:t>
      </w:r>
      <w:r w:rsidR="005C51FA" w:rsidRPr="004974B1">
        <w:t xml:space="preserve"> results will be</w:t>
      </w:r>
      <w:r>
        <w:t xml:space="preserve"> made available in a public use data file. </w:t>
      </w:r>
      <w:r w:rsidR="0088064B" w:rsidRPr="004974B1">
        <w:t xml:space="preserve"> </w:t>
      </w:r>
      <w:r>
        <w:t xml:space="preserve">A link to data file will be posted to the CDC FoodNet website </w:t>
      </w:r>
      <w:r w:rsidR="0088064B" w:rsidRPr="004974B1">
        <w:t xml:space="preserve">shared with participating state health </w:t>
      </w:r>
      <w:r w:rsidR="00FB1D48" w:rsidRPr="004974B1">
        <w:t xml:space="preserve">departments and </w:t>
      </w:r>
      <w:r w:rsidR="000D7682" w:rsidRPr="004974B1">
        <w:t>CDC programs</w:t>
      </w:r>
      <w:r w:rsidR="00740DD7" w:rsidRPr="004974B1">
        <w:t>,</w:t>
      </w:r>
      <w:r w:rsidR="0063162B" w:rsidRPr="004974B1">
        <w:rPr>
          <w:lang w:eastAsia="ja-JP"/>
        </w:rPr>
        <w:t xml:space="preserve"> </w:t>
      </w:r>
      <w:r w:rsidR="008A77A3">
        <w:rPr>
          <w:lang w:eastAsia="ja-JP"/>
        </w:rPr>
        <w:t xml:space="preserve">FDA, </w:t>
      </w:r>
      <w:r>
        <w:rPr>
          <w:lang w:eastAsia="ja-JP"/>
        </w:rPr>
        <w:t xml:space="preserve">and </w:t>
      </w:r>
      <w:r w:rsidR="008A77A3">
        <w:rPr>
          <w:lang w:eastAsia="ja-JP"/>
        </w:rPr>
        <w:t>USDA</w:t>
      </w:r>
      <w:r>
        <w:rPr>
          <w:lang w:eastAsia="ja-JP"/>
        </w:rPr>
        <w:t>.</w:t>
      </w:r>
      <w:r w:rsidR="008A77A3">
        <w:rPr>
          <w:lang w:eastAsia="ja-JP"/>
        </w:rPr>
        <w:t xml:space="preserve"> </w:t>
      </w:r>
    </w:p>
    <w:p w14:paraId="4AED6016" w14:textId="77777777" w:rsidR="004C0727" w:rsidRPr="004974B1" w:rsidRDefault="004C0727" w:rsidP="00863A0C">
      <w:pPr>
        <w:spacing w:after="0" w:line="240" w:lineRule="auto"/>
        <w:ind w:left="1080"/>
        <w:rPr>
          <w:lang w:eastAsia="ja-JP"/>
        </w:rPr>
      </w:pPr>
    </w:p>
    <w:p w14:paraId="2B240C05" w14:textId="77777777" w:rsidR="00B47055" w:rsidRPr="004974B1" w:rsidRDefault="00B47055" w:rsidP="00D51147">
      <w:pPr>
        <w:pStyle w:val="Heading2"/>
      </w:pPr>
      <w:bookmarkStart w:id="11" w:name="_Toc519148126"/>
      <w:bookmarkStart w:id="12" w:name="_Toc519148201"/>
      <w:bookmarkStart w:id="13" w:name="_Toc519148222"/>
      <w:r w:rsidRPr="004974B1">
        <w:t>Use of Improved Information Technology and Burden Reduction</w:t>
      </w:r>
      <w:bookmarkEnd w:id="11"/>
      <w:bookmarkEnd w:id="12"/>
      <w:bookmarkEnd w:id="13"/>
    </w:p>
    <w:p w14:paraId="20EDD5D0" w14:textId="77777777" w:rsidR="00B12F51" w:rsidRPr="004974B1" w:rsidRDefault="00B12F51" w:rsidP="00863A0C">
      <w:pPr>
        <w:pStyle w:val="ListParagraph"/>
        <w:spacing w:after="0" w:line="240" w:lineRule="auto"/>
        <w:rPr>
          <w:b/>
        </w:rPr>
      </w:pPr>
    </w:p>
    <w:p w14:paraId="4791B90A" w14:textId="62D20F80" w:rsidR="008A77A3" w:rsidRPr="002A4202" w:rsidRDefault="008A77A3" w:rsidP="008A77A3">
      <w:pPr>
        <w:pStyle w:val="ListParagraph"/>
        <w:tabs>
          <w:tab w:val="num" w:pos="720"/>
        </w:tabs>
        <w:spacing w:after="0" w:line="240" w:lineRule="auto"/>
      </w:pPr>
      <w:r>
        <w:t>An integrated data collection platform that has been used in numerous surveys and can generate screens adapted for each data collection mode will be used by</w:t>
      </w:r>
      <w:r w:rsidR="008E30E9">
        <w:t xml:space="preserve"> the contracting agency,</w:t>
      </w:r>
      <w:r>
        <w:t xml:space="preserve"> ICF.</w:t>
      </w:r>
      <w:r w:rsidRPr="006A4F38">
        <w:rPr>
          <w:vertAlign w:val="superscript"/>
        </w:rPr>
        <w:t>1</w:t>
      </w:r>
      <w:r>
        <w:t xml:space="preserve"> This approach offers several benefits including standardized skip patterns and logic rules, quotas, and databases across multiple modes; more efficient, accurate tracking and reporting across all survey modes; and complete flexibility for respondents (they can complete part of the survey by phone or web, return to the survey at a later time, and seamlessly pick up where they left off).</w:t>
      </w:r>
    </w:p>
    <w:p w14:paraId="69CF5105" w14:textId="77777777" w:rsidR="00AC75FD" w:rsidRDefault="00AC75FD" w:rsidP="00863A0C">
      <w:pPr>
        <w:spacing w:after="0" w:line="240" w:lineRule="auto"/>
        <w:ind w:left="720"/>
      </w:pPr>
    </w:p>
    <w:p w14:paraId="4C6A1615" w14:textId="1572A276" w:rsidR="006E06CF" w:rsidRPr="004974B1" w:rsidRDefault="005577D6" w:rsidP="00863A0C">
      <w:pPr>
        <w:spacing w:after="0" w:line="240" w:lineRule="auto"/>
        <w:ind w:left="720"/>
      </w:pPr>
      <w:r w:rsidRPr="004974B1">
        <w:t xml:space="preserve">Hard copy forms will not be used, thereby reducing the time and resources needed for manual data entry. Data will be transmitted to CDC electronically.  </w:t>
      </w:r>
    </w:p>
    <w:p w14:paraId="5C79AA3F" w14:textId="77777777" w:rsidR="00B47055" w:rsidRPr="004974B1" w:rsidRDefault="00B47055" w:rsidP="00863A0C">
      <w:pPr>
        <w:spacing w:after="0" w:line="240" w:lineRule="auto"/>
        <w:rPr>
          <w:color w:val="FF0000"/>
          <w:lang w:eastAsia="ja-JP"/>
        </w:rPr>
      </w:pPr>
    </w:p>
    <w:p w14:paraId="428521B5" w14:textId="77777777" w:rsidR="00B47055" w:rsidRPr="004974B1" w:rsidRDefault="00B47055" w:rsidP="00D51147">
      <w:pPr>
        <w:pStyle w:val="Heading2"/>
      </w:pPr>
      <w:bookmarkStart w:id="14" w:name="_Toc519148127"/>
      <w:bookmarkStart w:id="15" w:name="_Toc519148202"/>
      <w:bookmarkStart w:id="16" w:name="_Toc519148223"/>
      <w:r w:rsidRPr="004974B1">
        <w:t>Efforts to Identify Duplication and Use of Similar Information</w:t>
      </w:r>
      <w:bookmarkEnd w:id="14"/>
      <w:bookmarkEnd w:id="15"/>
      <w:bookmarkEnd w:id="16"/>
    </w:p>
    <w:p w14:paraId="086AE909" w14:textId="77777777" w:rsidR="00B12F51" w:rsidRPr="004974B1" w:rsidRDefault="00B12F51" w:rsidP="00863A0C">
      <w:pPr>
        <w:pStyle w:val="ListParagraph"/>
        <w:spacing w:after="0" w:line="240" w:lineRule="auto"/>
        <w:rPr>
          <w:b/>
        </w:rPr>
      </w:pPr>
    </w:p>
    <w:p w14:paraId="4CBAB3FB" w14:textId="68829389" w:rsidR="00AF56E3" w:rsidRDefault="00CF067B" w:rsidP="00215390">
      <w:pPr>
        <w:spacing w:after="0" w:line="240" w:lineRule="auto"/>
        <w:ind w:left="720"/>
      </w:pPr>
      <w:r w:rsidRPr="004974B1">
        <w:t xml:space="preserve">FoodNet is a collaborative program coordinated within the Enteric Disease Epidemiology Branch (EDEB) </w:t>
      </w:r>
      <w:r w:rsidR="00215390">
        <w:t xml:space="preserve">in the Division of Foodborne, Waterborne, and Environmental Diseases (DFWED) </w:t>
      </w:r>
      <w:r w:rsidRPr="004974B1">
        <w:t xml:space="preserve">at CDC. </w:t>
      </w:r>
      <w:r w:rsidR="0039529B" w:rsidRPr="004974B1">
        <w:t xml:space="preserve">EDEB </w:t>
      </w:r>
      <w:r w:rsidR="00215390">
        <w:t>and DFWED are</w:t>
      </w:r>
      <w:r w:rsidR="0039529B" w:rsidRPr="004974B1">
        <w:t xml:space="preserve"> responsible for surveillance </w:t>
      </w:r>
      <w:r w:rsidR="00215390">
        <w:t xml:space="preserve">and study </w:t>
      </w:r>
      <w:r w:rsidR="0039529B" w:rsidRPr="004974B1">
        <w:t xml:space="preserve">of foodborne diseases in the United States. </w:t>
      </w:r>
      <w:r w:rsidR="00F50145">
        <w:t>FoodNet Population Surve</w:t>
      </w:r>
      <w:r w:rsidR="00D50429">
        <w:t xml:space="preserve">y is unique in that within the survey population FoodNet has conducted active surveillance on </w:t>
      </w:r>
      <w:r w:rsidR="00FB69C7">
        <w:t>9</w:t>
      </w:r>
      <w:r w:rsidR="00D50429">
        <w:t xml:space="preserve"> enteric pathogens, collecting demographic, geographic, testing practices, and outcome data. </w:t>
      </w:r>
      <w:r w:rsidR="00DF5F6F">
        <w:t xml:space="preserve">By </w:t>
      </w:r>
      <w:r w:rsidR="00D50429">
        <w:t>pair</w:t>
      </w:r>
      <w:r w:rsidR="00DF5F6F">
        <w:t>ing</w:t>
      </w:r>
      <w:r w:rsidR="00D50429">
        <w:t xml:space="preserve"> the populati</w:t>
      </w:r>
      <w:r w:rsidR="00547220">
        <w:t>on survey data with active case-</w:t>
      </w:r>
      <w:r w:rsidR="00D50429">
        <w:t>based surveillance data</w:t>
      </w:r>
      <w:r w:rsidR="00B26578">
        <w:t xml:space="preserve"> </w:t>
      </w:r>
      <w:r w:rsidR="00B26578">
        <w:rPr>
          <w:lang w:eastAsia="ja-JP"/>
        </w:rPr>
        <w:t>co</w:t>
      </w:r>
      <w:r w:rsidR="00DF5F6F">
        <w:rPr>
          <w:lang w:eastAsia="ja-JP"/>
        </w:rPr>
        <w:t xml:space="preserve">llected from </w:t>
      </w:r>
      <w:r w:rsidR="00B26578">
        <w:rPr>
          <w:lang w:eastAsia="ja-JP"/>
        </w:rPr>
        <w:t>these same sentinel sites</w:t>
      </w:r>
      <w:r w:rsidR="00DF5F6F">
        <w:rPr>
          <w:lang w:eastAsia="ja-JP"/>
        </w:rPr>
        <w:t xml:space="preserve">, we can more efficiently collect </w:t>
      </w:r>
      <w:r w:rsidR="00B26578">
        <w:rPr>
          <w:lang w:eastAsia="ja-JP"/>
        </w:rPr>
        <w:t>data needed to determine burden of disease from individual pathogens that cause foodborne illness</w:t>
      </w:r>
      <w:r w:rsidR="00D50429">
        <w:t xml:space="preserve">. </w:t>
      </w:r>
    </w:p>
    <w:p w14:paraId="1AD628D9" w14:textId="77777777" w:rsidR="00AF56E3" w:rsidRDefault="00AF56E3" w:rsidP="00215390">
      <w:pPr>
        <w:spacing w:after="0" w:line="240" w:lineRule="auto"/>
        <w:ind w:left="720"/>
      </w:pPr>
    </w:p>
    <w:p w14:paraId="24E9C4E1" w14:textId="47F240FD" w:rsidR="00AF56E3" w:rsidRDefault="00E83333" w:rsidP="00215390">
      <w:pPr>
        <w:spacing w:after="0" w:line="240" w:lineRule="auto"/>
        <w:ind w:left="720"/>
      </w:pPr>
      <w:r>
        <w:t>Exploration of using BRFSS to collect some of this data was explored in 2013 and 2014. We submitted a questionnaire of 10 questions to be voted on for incorporation into the survey. In both years we received feedback from state partners that these questions were not in-line with the objectives of BRFSS as they were not behavioral objectives. BRFSS</w:t>
      </w:r>
      <w:r w:rsidR="00AF56E3">
        <w:t xml:space="preserve"> core survey (conducted on all participants)</w:t>
      </w:r>
      <w:r>
        <w:t xml:space="preserve"> is </w:t>
      </w:r>
      <w:r w:rsidR="001332A8">
        <w:t xml:space="preserve">a lengthy survey </w:t>
      </w:r>
      <w:r w:rsidR="00013EDD">
        <w:t>and in order to</w:t>
      </w:r>
      <w:r w:rsidR="001332A8">
        <w:t xml:space="preserve"> minimize burden on survey respondents</w:t>
      </w:r>
      <w:r w:rsidR="002C7A2B">
        <w:t>,</w:t>
      </w:r>
      <w:r w:rsidR="001332A8">
        <w:t xml:space="preserve"> proposals of </w:t>
      </w:r>
      <w:r w:rsidR="00013EDD">
        <w:t xml:space="preserve">adding more than 10 </w:t>
      </w:r>
      <w:r w:rsidR="001332A8">
        <w:t>are</w:t>
      </w:r>
      <w:r w:rsidR="00013EDD">
        <w:t xml:space="preserve"> proposed as “optional</w:t>
      </w:r>
      <w:r w:rsidR="001332A8">
        <w:t>”</w:t>
      </w:r>
      <w:r w:rsidR="00013EDD">
        <w:t xml:space="preserve"> module</w:t>
      </w:r>
      <w:r w:rsidR="001332A8">
        <w:t>s</w:t>
      </w:r>
      <w:r w:rsidR="00AF56E3">
        <w:t xml:space="preserve"> (conducted on selected participants)</w:t>
      </w:r>
      <w:r w:rsidR="00013EDD">
        <w:t xml:space="preserve">. This optional module has to be approved by </w:t>
      </w:r>
      <w:r w:rsidR="001332A8">
        <w:t>a minimum</w:t>
      </w:r>
      <w:r w:rsidR="00013EDD">
        <w:t xml:space="preserve"> </w:t>
      </w:r>
      <w:r w:rsidR="001332A8">
        <w:t>70%</w:t>
      </w:r>
      <w:r w:rsidR="00013EDD">
        <w:t xml:space="preserve"> of the states. Once approved</w:t>
      </w:r>
      <w:r w:rsidR="000A0351">
        <w:t>,</w:t>
      </w:r>
      <w:r w:rsidR="00013EDD">
        <w:t xml:space="preserve"> implementation of the optional module is not mandatory</w:t>
      </w:r>
      <w:r w:rsidR="00AF56E3">
        <w:t xml:space="preserve">, thus even though you achieved approval and funded for example a </w:t>
      </w:r>
      <w:r w:rsidR="000A0351">
        <w:t>10 question optional module at $18,000/question</w:t>
      </w:r>
      <w:r w:rsidR="00AF56E3">
        <w:t>, you have no guarantee that states will elect to implement your module</w:t>
      </w:r>
      <w:r w:rsidR="00013EDD">
        <w:t>.</w:t>
      </w:r>
      <w:r w:rsidR="00AF56E3">
        <w:t xml:space="preserve"> In 2010, BRFSS had 26 optional modules with a median of 5 questions per module. The median number of states that participated in each optional module was 5.0</w:t>
      </w:r>
      <w:r w:rsidR="00D81B64">
        <w:t>, limiting the ability to apply interpretation of the data obtained on a national level</w:t>
      </w:r>
      <w:r w:rsidR="00AF56E3">
        <w:t xml:space="preserve">. </w:t>
      </w:r>
      <w:r w:rsidR="00013EDD">
        <w:t xml:space="preserve"> </w:t>
      </w:r>
      <w:r w:rsidR="001332A8">
        <w:t xml:space="preserve">In 2013, FoodNet staff </w:t>
      </w:r>
      <w:r w:rsidR="00013EDD">
        <w:t xml:space="preserve">surveyed </w:t>
      </w:r>
      <w:r w:rsidR="001332A8">
        <w:t xml:space="preserve">state representatives </w:t>
      </w:r>
      <w:r w:rsidR="00013EDD">
        <w:t xml:space="preserve">at the BRFSS conference </w:t>
      </w:r>
      <w:r w:rsidR="001332A8">
        <w:t xml:space="preserve">and </w:t>
      </w:r>
      <w:r w:rsidR="00013EDD">
        <w:t xml:space="preserve">only a minority of states </w:t>
      </w:r>
      <w:r w:rsidR="002C7A2B">
        <w:t>(n=8</w:t>
      </w:r>
      <w:r w:rsidR="001332A8">
        <w:t xml:space="preserve">) </w:t>
      </w:r>
      <w:r w:rsidR="00013EDD">
        <w:t xml:space="preserve">expressed interest in incorporating the module and all stated that it was too long. We submitted the optional module for approval, and only </w:t>
      </w:r>
      <w:r w:rsidR="001332A8">
        <w:t>59</w:t>
      </w:r>
      <w:r w:rsidR="00013EDD">
        <w:t xml:space="preserve">% of states voted for it to even be an </w:t>
      </w:r>
      <w:r w:rsidR="001332A8">
        <w:t>option</w:t>
      </w:r>
      <w:r w:rsidR="00013EDD">
        <w:t xml:space="preserve">. This module would have </w:t>
      </w:r>
      <w:r w:rsidR="002C7A2B">
        <w:t xml:space="preserve">only </w:t>
      </w:r>
      <w:r w:rsidR="00013EDD">
        <w:t xml:space="preserve">provided data for determining the burden of acute intestinal illness and would not have allowed us to achieve our other </w:t>
      </w:r>
      <w:r w:rsidR="00D81B64">
        <w:t xml:space="preserve">equally important </w:t>
      </w:r>
      <w:r w:rsidR="00013EDD">
        <w:t xml:space="preserve">objectives. In </w:t>
      </w:r>
      <w:r w:rsidR="002C7A2B">
        <w:t>2007</w:t>
      </w:r>
      <w:r w:rsidR="00013EDD">
        <w:t xml:space="preserve"> we were able to incorporate 2 questions into </w:t>
      </w:r>
      <w:r w:rsidR="00AF56E3">
        <w:t xml:space="preserve">the </w:t>
      </w:r>
      <w:r w:rsidR="00013EDD">
        <w:t xml:space="preserve">BRFSS </w:t>
      </w:r>
      <w:r w:rsidR="00AF56E3">
        <w:t xml:space="preserve">core survey </w:t>
      </w:r>
      <w:r w:rsidR="00013EDD">
        <w:t xml:space="preserve">that are included in our current population survey. This will allow for a baseline comparison for future efforts. </w:t>
      </w:r>
    </w:p>
    <w:p w14:paraId="310F193C" w14:textId="77777777" w:rsidR="00AF56E3" w:rsidRDefault="00AF56E3" w:rsidP="00215390">
      <w:pPr>
        <w:spacing w:after="0" w:line="240" w:lineRule="auto"/>
        <w:ind w:left="720"/>
      </w:pPr>
    </w:p>
    <w:p w14:paraId="2AC54947" w14:textId="51B8DA71" w:rsidR="00CF067B" w:rsidRDefault="00D50429" w:rsidP="00215390">
      <w:pPr>
        <w:spacing w:after="0" w:line="240" w:lineRule="auto"/>
        <w:ind w:left="720"/>
      </w:pPr>
      <w:r>
        <w:t>Other efforts such as National Health and Nutrition Examination Survey (NHANES) collect food consumption data, however the data collected by these efforts does not meet our needs</w:t>
      </w:r>
      <w:r w:rsidR="00AF56E3">
        <w:t>. For example, NHANES does not meet our needs</w:t>
      </w:r>
      <w:r>
        <w:t xml:space="preserve"> </w:t>
      </w:r>
      <w:r w:rsidR="00E83333">
        <w:t xml:space="preserve">for 3 main reasons: </w:t>
      </w:r>
      <w:r>
        <w:t xml:space="preserve">the exposure </w:t>
      </w:r>
      <w:r w:rsidR="00E83333">
        <w:t xml:space="preserve">history time period (24hrs) and methodology (complete diary) compatible with the exposure history (7-14 days) and methodology (high risk exposures, targeted routes of exposures, balanced questionnaire of all food commodities) used for outbreak investigations and food source attribution. </w:t>
      </w:r>
      <w:r w:rsidR="00D81B64">
        <w:t>In summary n</w:t>
      </w:r>
      <w:r w:rsidR="0039529B" w:rsidRPr="004974B1">
        <w:t xml:space="preserve">o </w:t>
      </w:r>
      <w:r w:rsidR="00CF067B" w:rsidRPr="004974B1">
        <w:t xml:space="preserve">other groups collect the type and level of detailed information </w:t>
      </w:r>
      <w:r w:rsidR="0039529B" w:rsidRPr="004974B1">
        <w:t>t</w:t>
      </w:r>
      <w:r w:rsidR="00CF067B" w:rsidRPr="004974B1">
        <w:t xml:space="preserve">hat is proposed in this study. </w:t>
      </w:r>
    </w:p>
    <w:p w14:paraId="0FB6AD4C" w14:textId="77777777" w:rsidR="00215390" w:rsidRPr="004974B1" w:rsidRDefault="00215390" w:rsidP="00863A0C">
      <w:pPr>
        <w:spacing w:after="0" w:line="240" w:lineRule="auto"/>
        <w:ind w:left="810"/>
      </w:pPr>
    </w:p>
    <w:p w14:paraId="657D8401" w14:textId="77777777" w:rsidR="00B12F51" w:rsidRPr="00215390" w:rsidRDefault="00B47055" w:rsidP="00D51147">
      <w:pPr>
        <w:pStyle w:val="Heading2"/>
      </w:pPr>
      <w:bookmarkStart w:id="17" w:name="_Toc519148128"/>
      <w:bookmarkStart w:id="18" w:name="_Toc519148203"/>
      <w:bookmarkStart w:id="19" w:name="_Toc519148224"/>
      <w:r w:rsidRPr="004974B1">
        <w:t>Impact on Small Businesses or Other Small Entities</w:t>
      </w:r>
      <w:bookmarkEnd w:id="17"/>
      <w:bookmarkEnd w:id="18"/>
      <w:bookmarkEnd w:id="19"/>
    </w:p>
    <w:p w14:paraId="09B9B466" w14:textId="77777777" w:rsidR="00215390" w:rsidRPr="004974B1" w:rsidRDefault="00215390" w:rsidP="00215390">
      <w:pPr>
        <w:pStyle w:val="ListParagraph"/>
        <w:spacing w:after="0" w:line="240" w:lineRule="auto"/>
        <w:ind w:left="810"/>
        <w:rPr>
          <w:b/>
        </w:rPr>
      </w:pPr>
    </w:p>
    <w:p w14:paraId="1B3E17DF" w14:textId="77777777" w:rsidR="0053557D" w:rsidRPr="004974B1" w:rsidRDefault="00D26A64" w:rsidP="00215390">
      <w:pPr>
        <w:pStyle w:val="ListParagraph"/>
        <w:spacing w:after="0" w:line="240" w:lineRule="auto"/>
        <w:rPr>
          <w:lang w:eastAsia="ja-JP"/>
        </w:rPr>
      </w:pPr>
      <w:r w:rsidRPr="004974B1">
        <w:t>N</w:t>
      </w:r>
      <w:r w:rsidR="00AF2252" w:rsidRPr="004974B1">
        <w:t>o small businesses</w:t>
      </w:r>
      <w:r w:rsidR="00AE04F7" w:rsidRPr="004974B1">
        <w:t xml:space="preserve"> or other small entities</w:t>
      </w:r>
      <w:r w:rsidR="00AF2252" w:rsidRPr="004974B1">
        <w:t xml:space="preserve"> will be involved in this data collection</w:t>
      </w:r>
      <w:r w:rsidRPr="004974B1">
        <w:t>.</w:t>
      </w:r>
    </w:p>
    <w:p w14:paraId="38268301" w14:textId="77777777" w:rsidR="00C800FC" w:rsidRPr="004974B1" w:rsidRDefault="00C800FC" w:rsidP="00863A0C">
      <w:pPr>
        <w:pStyle w:val="ListParagraph"/>
        <w:spacing w:after="0" w:line="240" w:lineRule="auto"/>
        <w:rPr>
          <w:color w:val="FF0000"/>
          <w:lang w:eastAsia="ja-JP"/>
        </w:rPr>
      </w:pPr>
    </w:p>
    <w:p w14:paraId="387C91A9" w14:textId="77777777" w:rsidR="00B12F51" w:rsidRPr="004974B1" w:rsidRDefault="00B47055" w:rsidP="00D51147">
      <w:pPr>
        <w:pStyle w:val="Heading2"/>
      </w:pPr>
      <w:bookmarkStart w:id="20" w:name="_Toc519148129"/>
      <w:bookmarkStart w:id="21" w:name="_Toc519148204"/>
      <w:bookmarkStart w:id="22" w:name="_Toc519148225"/>
      <w:r w:rsidRPr="004974B1">
        <w:t>Consequences of Collecting the Information Less Frequently</w:t>
      </w:r>
      <w:bookmarkEnd w:id="20"/>
      <w:bookmarkEnd w:id="21"/>
      <w:bookmarkEnd w:id="22"/>
      <w:r w:rsidRPr="004974B1">
        <w:t xml:space="preserve"> </w:t>
      </w:r>
      <w:r w:rsidR="00D95FBF" w:rsidRPr="004974B1">
        <w:t xml:space="preserve">   </w:t>
      </w:r>
    </w:p>
    <w:p w14:paraId="1DECC123" w14:textId="77777777" w:rsidR="00C768E5" w:rsidRPr="004974B1" w:rsidRDefault="00C768E5" w:rsidP="00D93CFD">
      <w:pPr>
        <w:spacing w:after="0" w:line="240" w:lineRule="auto"/>
        <w:ind w:left="720"/>
      </w:pPr>
    </w:p>
    <w:p w14:paraId="54E36AD8" w14:textId="77777777" w:rsidR="006828C1" w:rsidRPr="004974B1" w:rsidRDefault="006828C1" w:rsidP="00D93CFD">
      <w:pPr>
        <w:pStyle w:val="ListParagraph"/>
        <w:spacing w:after="0" w:line="240" w:lineRule="auto"/>
        <w:rPr>
          <w:lang w:eastAsia="ja-JP"/>
        </w:rPr>
      </w:pPr>
      <w:r w:rsidRPr="004974B1">
        <w:rPr>
          <w:bCs/>
          <w:lang w:eastAsia="ja-JP"/>
        </w:rPr>
        <w:t xml:space="preserve">The purpose of this survey is to </w:t>
      </w:r>
      <w:r w:rsidR="0043156F" w:rsidRPr="004974B1">
        <w:rPr>
          <w:bCs/>
          <w:lang w:eastAsia="ja-JP"/>
        </w:rPr>
        <w:t xml:space="preserve">collect </w:t>
      </w:r>
      <w:r w:rsidRPr="004974B1">
        <w:rPr>
          <w:bCs/>
          <w:lang w:eastAsia="ja-JP"/>
        </w:rPr>
        <w:t>data that is not otherwise available</w:t>
      </w:r>
      <w:r w:rsidRPr="004974B1">
        <w:rPr>
          <w:lang w:eastAsia="ja-JP"/>
        </w:rPr>
        <w:t xml:space="preserve">.  Specifically, without this data there would be: </w:t>
      </w:r>
    </w:p>
    <w:p w14:paraId="49ECEB10" w14:textId="77777777" w:rsidR="00EA6788" w:rsidRPr="004974B1" w:rsidRDefault="0043156F" w:rsidP="00686E46">
      <w:pPr>
        <w:pStyle w:val="ListParagraph"/>
        <w:numPr>
          <w:ilvl w:val="0"/>
          <w:numId w:val="17"/>
        </w:numPr>
        <w:spacing w:after="0" w:line="240" w:lineRule="auto"/>
        <w:rPr>
          <w:lang w:eastAsia="ja-JP"/>
        </w:rPr>
      </w:pPr>
      <w:r w:rsidRPr="004974B1">
        <w:rPr>
          <w:lang w:eastAsia="ja-JP"/>
        </w:rPr>
        <w:t>In</w:t>
      </w:r>
      <w:r w:rsidR="00EA6788" w:rsidRPr="004974B1">
        <w:rPr>
          <w:lang w:eastAsia="ja-JP"/>
        </w:rPr>
        <w:t>ability to provide updated burden of foodborne illness estimates which have been requested by federal regulatory agencies,</w:t>
      </w:r>
    </w:p>
    <w:p w14:paraId="7DB27125" w14:textId="4E9B1496" w:rsidR="00EA6788" w:rsidRPr="004974B1" w:rsidRDefault="00EA6788" w:rsidP="00686E46">
      <w:pPr>
        <w:pStyle w:val="ListParagraph"/>
        <w:numPr>
          <w:ilvl w:val="0"/>
          <w:numId w:val="17"/>
        </w:numPr>
        <w:spacing w:after="0" w:line="240" w:lineRule="auto"/>
        <w:rPr>
          <w:lang w:eastAsia="ja-JP"/>
        </w:rPr>
      </w:pPr>
      <w:r w:rsidRPr="004974B1">
        <w:rPr>
          <w:lang w:eastAsia="ja-JP"/>
        </w:rPr>
        <w:t xml:space="preserve">Reduced ability to conduct outbreak investigations because of a lack of information on current food consumption practices and other exposures.  </w:t>
      </w:r>
    </w:p>
    <w:p w14:paraId="596DEDE3" w14:textId="77777777" w:rsidR="006828C1" w:rsidRPr="004974B1" w:rsidRDefault="006828C1" w:rsidP="00D93CFD">
      <w:pPr>
        <w:pStyle w:val="ListParagraph"/>
        <w:spacing w:after="0" w:line="240" w:lineRule="auto"/>
        <w:rPr>
          <w:lang w:eastAsia="ja-JP"/>
        </w:rPr>
      </w:pPr>
    </w:p>
    <w:p w14:paraId="694BF0B5" w14:textId="77777777" w:rsidR="00092A45" w:rsidRPr="004974B1" w:rsidRDefault="006828C1" w:rsidP="00D93CFD">
      <w:pPr>
        <w:pStyle w:val="ListParagraph"/>
        <w:spacing w:after="0" w:line="240" w:lineRule="auto"/>
        <w:rPr>
          <w:lang w:eastAsia="ja-JP"/>
        </w:rPr>
      </w:pPr>
      <w:r w:rsidRPr="004974B1">
        <w:rPr>
          <w:lang w:eastAsia="ja-JP"/>
        </w:rPr>
        <w:t xml:space="preserve">There are no legal </w:t>
      </w:r>
      <w:r w:rsidR="00092A45" w:rsidRPr="004974B1">
        <w:rPr>
          <w:lang w:eastAsia="ja-JP"/>
        </w:rPr>
        <w:t>obstacles to reduce the burden.</w:t>
      </w:r>
    </w:p>
    <w:p w14:paraId="215E4864" w14:textId="77777777" w:rsidR="00092A45" w:rsidRPr="004974B1" w:rsidRDefault="00092A45" w:rsidP="00D93CFD">
      <w:pPr>
        <w:pStyle w:val="ListParagraph"/>
        <w:spacing w:after="0" w:line="240" w:lineRule="auto"/>
        <w:rPr>
          <w:lang w:eastAsia="ja-JP"/>
        </w:rPr>
      </w:pPr>
    </w:p>
    <w:p w14:paraId="390BE8BD" w14:textId="77777777" w:rsidR="00B12F51" w:rsidRPr="00215390" w:rsidRDefault="00B47055" w:rsidP="00D51147">
      <w:pPr>
        <w:pStyle w:val="Heading2"/>
      </w:pPr>
      <w:bookmarkStart w:id="23" w:name="_Toc519148130"/>
      <w:bookmarkStart w:id="24" w:name="_Toc519148205"/>
      <w:bookmarkStart w:id="25" w:name="_Toc519148226"/>
      <w:r w:rsidRPr="004974B1">
        <w:t>Special Circumstances Relating to the Guidelines of 5 CFR 1320.5</w:t>
      </w:r>
      <w:bookmarkEnd w:id="23"/>
      <w:bookmarkEnd w:id="24"/>
      <w:bookmarkEnd w:id="25"/>
    </w:p>
    <w:p w14:paraId="35D870E3" w14:textId="77777777" w:rsidR="00215390" w:rsidRPr="004974B1" w:rsidRDefault="00215390" w:rsidP="00D93CFD">
      <w:pPr>
        <w:pStyle w:val="ListParagraph"/>
        <w:spacing w:after="0" w:line="240" w:lineRule="auto"/>
        <w:rPr>
          <w:b/>
        </w:rPr>
      </w:pPr>
    </w:p>
    <w:p w14:paraId="18EC6E48" w14:textId="77777777" w:rsidR="00F52BCC" w:rsidRPr="004974B1" w:rsidRDefault="00A809AA" w:rsidP="00D93CFD">
      <w:pPr>
        <w:pStyle w:val="ListParagraph"/>
        <w:spacing w:after="0" w:line="240" w:lineRule="auto"/>
      </w:pPr>
      <w:r w:rsidRPr="004974B1">
        <w:t xml:space="preserve">There are no special circumstances with this information collection package. </w:t>
      </w:r>
      <w:r w:rsidR="00835CA7" w:rsidRPr="004974B1">
        <w:t>This request fully complies with the regulation 5 CFR 1320.5</w:t>
      </w:r>
      <w:r w:rsidR="00D95FBF" w:rsidRPr="004974B1">
        <w:t xml:space="preserve"> and will be voluntary</w:t>
      </w:r>
      <w:r w:rsidR="00835CA7" w:rsidRPr="004974B1">
        <w:t>.</w:t>
      </w:r>
    </w:p>
    <w:p w14:paraId="414F8EE8" w14:textId="77777777" w:rsidR="00F52BCC" w:rsidRPr="004974B1" w:rsidRDefault="00F52BCC" w:rsidP="00D93CFD">
      <w:pPr>
        <w:pStyle w:val="ListParagraph"/>
        <w:spacing w:after="0" w:line="240" w:lineRule="auto"/>
      </w:pPr>
    </w:p>
    <w:p w14:paraId="242A3073" w14:textId="77777777" w:rsidR="00B12F51" w:rsidRPr="004974B1" w:rsidRDefault="0088467A" w:rsidP="00D51147">
      <w:pPr>
        <w:pStyle w:val="Heading2"/>
      </w:pPr>
      <w:bookmarkStart w:id="26" w:name="_Toc519148131"/>
      <w:bookmarkStart w:id="27" w:name="_Toc519148206"/>
      <w:bookmarkStart w:id="28" w:name="_Toc519148227"/>
      <w:r w:rsidRPr="004974B1">
        <w:t>Comments in Response to the Federal Register Notice and Efforts to Consult Outside the Agency</w:t>
      </w:r>
      <w:bookmarkEnd w:id="26"/>
      <w:bookmarkEnd w:id="27"/>
      <w:bookmarkEnd w:id="28"/>
    </w:p>
    <w:p w14:paraId="62801BB9" w14:textId="77777777" w:rsidR="006E06CF" w:rsidRPr="004974B1" w:rsidRDefault="006E06CF" w:rsidP="00D93CFD">
      <w:pPr>
        <w:pStyle w:val="ListParagraph"/>
        <w:autoSpaceDE w:val="0"/>
        <w:autoSpaceDN w:val="0"/>
        <w:adjustRightInd w:val="0"/>
        <w:spacing w:after="0" w:line="240" w:lineRule="auto"/>
        <w:ind w:right="720"/>
      </w:pPr>
    </w:p>
    <w:p w14:paraId="4691D8E2" w14:textId="31B59429" w:rsidR="00863A0C" w:rsidRPr="001F649E" w:rsidRDefault="00A809AA" w:rsidP="008A77A3">
      <w:pPr>
        <w:pStyle w:val="ListParagraph"/>
        <w:numPr>
          <w:ilvl w:val="0"/>
          <w:numId w:val="10"/>
        </w:numPr>
        <w:autoSpaceDE w:val="0"/>
        <w:autoSpaceDN w:val="0"/>
        <w:adjustRightInd w:val="0"/>
        <w:spacing w:after="0" w:line="240" w:lineRule="auto"/>
        <w:ind w:right="720"/>
      </w:pPr>
      <w:r w:rsidRPr="001F649E">
        <w:t>A 60-day</w:t>
      </w:r>
      <w:r w:rsidR="00957644">
        <w:t xml:space="preserve"> notice published in the</w:t>
      </w:r>
      <w:r w:rsidRPr="001F649E">
        <w:t xml:space="preserve"> </w:t>
      </w:r>
      <w:r w:rsidRPr="00957644">
        <w:rPr>
          <w:i/>
        </w:rPr>
        <w:t>Federal Register</w:t>
      </w:r>
      <w:r w:rsidR="00957644">
        <w:rPr>
          <w:i/>
        </w:rPr>
        <w:t xml:space="preserve"> </w:t>
      </w:r>
      <w:r w:rsidR="00957644">
        <w:t>on August 10, 2018, Vol. 83, No. 155, pp. 39754-39755. No public comments were received.</w:t>
      </w:r>
      <w:r w:rsidR="006E06CF" w:rsidRPr="001F649E">
        <w:t xml:space="preserve"> </w:t>
      </w:r>
      <w:r w:rsidRPr="001F649E">
        <w:t xml:space="preserve"> </w:t>
      </w:r>
    </w:p>
    <w:p w14:paraId="643A3050" w14:textId="3F82303F" w:rsidR="00863A0C" w:rsidRPr="001F649E" w:rsidRDefault="0039529B" w:rsidP="002F1D86">
      <w:pPr>
        <w:pStyle w:val="ListParagraph"/>
        <w:numPr>
          <w:ilvl w:val="1"/>
          <w:numId w:val="10"/>
        </w:numPr>
        <w:spacing w:after="0" w:line="240" w:lineRule="auto"/>
        <w:ind w:left="1080"/>
      </w:pPr>
      <w:r w:rsidRPr="001F649E">
        <w:t>The development of this study was a collaborative effort among all agencies in the FoodNet program</w:t>
      </w:r>
      <w:r w:rsidR="00855117" w:rsidRPr="001F649E">
        <w:t xml:space="preserve">. </w:t>
      </w:r>
      <w:r w:rsidR="00863A0C" w:rsidRPr="001F649E">
        <w:t xml:space="preserve"> </w:t>
      </w:r>
      <w:r w:rsidR="00D77AE6" w:rsidRPr="001F649E">
        <w:t xml:space="preserve">The protocol and questionnaire has undergone extensive review and edits over the five cycles of administration. </w:t>
      </w:r>
      <w:r w:rsidR="00E21D85" w:rsidRPr="001F649E">
        <w:t>Prior to each cycle of the survey, the Population Survey working group, consisting of representatives from each of the partner agencies, was convened. This group was used to develop the survey content, which was then shared with all members of the FoodNet steering</w:t>
      </w:r>
      <w:r w:rsidR="00E21D85" w:rsidRPr="00E21D85">
        <w:t xml:space="preserve"> committee (including the FoodNet principal investigators) for approval</w:t>
      </w:r>
      <w:r w:rsidR="00E21D85" w:rsidRPr="001F649E">
        <w:t>.  Current members of the working group include: (CDC) Allison Brown, Sara</w:t>
      </w:r>
      <w:r w:rsidR="00547220" w:rsidRPr="001F649E">
        <w:t>h</w:t>
      </w:r>
      <w:r w:rsidR="00E21D85" w:rsidRPr="001F649E">
        <w:t xml:space="preserve"> Collier, Cindy Friedman, Katie Fullerton, Aimee Geissler, Laura Gieraltowski, Jennifer Hunter, Olga Henao, Ellyn Marder, Patricia Griffin, Scott Grytdal, Aron Hall, Michele Hlavsa, Mike Hoekstra, Kelly Jackson, Karen Neil, Thai-An Nguyen,</w:t>
      </w:r>
      <w:r w:rsidR="008A77A3" w:rsidRPr="001F649E">
        <w:t xml:space="preserve"> Megin Nichols, Elaine Scallan</w:t>
      </w:r>
      <w:r w:rsidR="00E21D85" w:rsidRPr="001F649E">
        <w:t xml:space="preserve">, Robert Tauxe, Antonio Vieira, Matthew Wise, Ian Williams; U.S. Department of Agriculture’s Food Safety and Inspection Service (FSIS),) Wu San Chen, Kristin Holt, Janelle Krause, Amelia Kermis, Bonnie Kisler, Davi LaBarre, Maria Malagon; (U.S. Food and Drug Administration (FDA)) Michael Bazaco, Susan Lance, Marguerite Pappaioanou, Cary Parker, Katherine Vierk, Beverly Wolpert; (California Emerging Infections Program) Debra Gilliss, Tanya Libby; (Colorado Department of Public Health and Environment) Elisha Wilson; (Connecticut Department of Public Health) Terry Rabatsky-Ehr, Connecticut Emerging Infections Program) Paula Clogher, Jim Hadler; (Georgia Division of Public Health) Nadine Oosmanally; (Maryland Department of Health and Mental Hygiene) Michelle Boyle, Jordan Cahoon; (Minnesota Department of Health) Amy Saupe; (New Mexico Emerging Infections Program) Sarah Lathrop, Cyndy Nicholson; (New York State Department of Health) Suzanne McGuire, Shelley Zansky;(Oregon Department of Human Services) Paul Cieslak, Beletshachew Shiferaw; (Tennessee Department of Health) Corrine Davis, John Dunn. </w:t>
      </w:r>
      <w:r w:rsidR="00EF18C6" w:rsidRPr="001F649E">
        <w:t xml:space="preserve"> </w:t>
      </w:r>
    </w:p>
    <w:p w14:paraId="33473217" w14:textId="77777777" w:rsidR="00E21D85" w:rsidRPr="004974B1" w:rsidRDefault="00E21D85" w:rsidP="00E21D85">
      <w:pPr>
        <w:pStyle w:val="ListParagraph"/>
        <w:spacing w:after="0" w:line="240" w:lineRule="auto"/>
      </w:pPr>
    </w:p>
    <w:p w14:paraId="48EBF780" w14:textId="77777777" w:rsidR="00B12F51" w:rsidRPr="004974B1" w:rsidRDefault="0088467A" w:rsidP="00D51147">
      <w:pPr>
        <w:pStyle w:val="Heading2"/>
      </w:pPr>
      <w:bookmarkStart w:id="29" w:name="_Toc519148132"/>
      <w:bookmarkStart w:id="30" w:name="_Toc519148207"/>
      <w:bookmarkStart w:id="31" w:name="_Toc519148228"/>
      <w:r w:rsidRPr="004974B1">
        <w:t>Explanation of Any Payment or Gift to Respondents</w:t>
      </w:r>
      <w:bookmarkEnd w:id="29"/>
      <w:bookmarkEnd w:id="30"/>
      <w:bookmarkEnd w:id="31"/>
    </w:p>
    <w:p w14:paraId="36A85537" w14:textId="77777777" w:rsidR="005558B7" w:rsidRDefault="005558B7" w:rsidP="00D93CFD">
      <w:pPr>
        <w:pStyle w:val="ListParagraph"/>
        <w:spacing w:after="0" w:line="240" w:lineRule="auto"/>
      </w:pPr>
    </w:p>
    <w:p w14:paraId="759D998E" w14:textId="7961C3FA" w:rsidR="009513FA" w:rsidRDefault="008E30E9" w:rsidP="00D93CFD">
      <w:pPr>
        <w:pStyle w:val="ListParagraph"/>
        <w:spacing w:after="0" w:line="240" w:lineRule="auto"/>
      </w:pPr>
      <w:r>
        <w:t>The</w:t>
      </w:r>
      <w:r w:rsidR="001464D3">
        <w:t xml:space="preserve"> contract developed by the survey implementation partner,</w:t>
      </w:r>
      <w:r>
        <w:t xml:space="preserve"> ICF</w:t>
      </w:r>
      <w:r w:rsidR="001464D3">
        <w:t>, includes</w:t>
      </w:r>
      <w:r>
        <w:t xml:space="preserve"> </w:t>
      </w:r>
      <w:r w:rsidR="001464D3">
        <w:t>a $2 to</w:t>
      </w:r>
      <w:r>
        <w:t xml:space="preserve"> $5 pre-incentive, which has been shown to increase response rates by as much as 20 points.</w:t>
      </w:r>
      <w:r w:rsidR="001464D3">
        <w:t xml:space="preserve"> Details of payment to recipients are described in </w:t>
      </w:r>
      <w:r w:rsidR="001464D3" w:rsidRPr="001464D3">
        <w:rPr>
          <w:i/>
        </w:rPr>
        <w:t>Supporting Statement – Section B</w:t>
      </w:r>
      <w:r>
        <w:t xml:space="preserve">. </w:t>
      </w:r>
    </w:p>
    <w:p w14:paraId="0BB9136D" w14:textId="77777777" w:rsidR="001464D3" w:rsidRPr="004974B1" w:rsidRDefault="001464D3" w:rsidP="00D93CFD">
      <w:pPr>
        <w:pStyle w:val="ListParagraph"/>
        <w:spacing w:after="0" w:line="240" w:lineRule="auto"/>
        <w:rPr>
          <w:color w:val="FF0000"/>
        </w:rPr>
      </w:pPr>
    </w:p>
    <w:p w14:paraId="74AF6F48" w14:textId="743C8AC9" w:rsidR="00B12F51" w:rsidRPr="004974B1" w:rsidRDefault="0088467A" w:rsidP="00D51147">
      <w:pPr>
        <w:pStyle w:val="Heading2"/>
      </w:pPr>
      <w:r w:rsidRPr="004974B1">
        <w:t xml:space="preserve"> </w:t>
      </w:r>
      <w:bookmarkStart w:id="32" w:name="_Toc519148133"/>
      <w:bookmarkStart w:id="33" w:name="_Toc519148208"/>
      <w:bookmarkStart w:id="34" w:name="_Toc519148229"/>
      <w:r w:rsidR="00AC75FD">
        <w:t>Protection of the Privacy and Confidentiality of Information Provided by Respondents</w:t>
      </w:r>
      <w:bookmarkEnd w:id="32"/>
      <w:bookmarkEnd w:id="33"/>
      <w:bookmarkEnd w:id="34"/>
    </w:p>
    <w:p w14:paraId="73A9F63C" w14:textId="77777777" w:rsidR="005558B7" w:rsidRDefault="005558B7" w:rsidP="00D93CF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2DB152D3" w14:textId="152CD311" w:rsidR="00683B6C" w:rsidRDefault="00683B6C" w:rsidP="00D93CF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683B6C">
        <w:t>The Privacy Act is not applicable since no identifiable information is being collected.</w:t>
      </w:r>
    </w:p>
    <w:p w14:paraId="24E55AC0" w14:textId="1F60B073" w:rsidR="00AC75FD" w:rsidRDefault="00AC75FD" w:rsidP="00D93CF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18BD384E" w14:textId="56F92361" w:rsidR="006C2680" w:rsidRDefault="006C2680" w:rsidP="00D1170D">
      <w:pPr>
        <w:spacing w:after="0" w:line="240" w:lineRule="auto"/>
        <w:ind w:left="720"/>
      </w:pPr>
      <w:r w:rsidRPr="006C2680">
        <w:t>NCEZID’s Information Systems Security Officer reviewed this submission and determined that a privacy impact assessment is not necessary since collected data is stored external to CDC.</w:t>
      </w:r>
    </w:p>
    <w:p w14:paraId="6D5BDEE0" w14:textId="77777777" w:rsidR="006C2680" w:rsidRDefault="006C2680" w:rsidP="00D1170D">
      <w:pPr>
        <w:spacing w:after="0" w:line="240" w:lineRule="auto"/>
        <w:ind w:left="720"/>
      </w:pPr>
    </w:p>
    <w:p w14:paraId="17EDF786" w14:textId="6F17566F" w:rsidR="00D1170D" w:rsidRDefault="00D1170D" w:rsidP="00D1170D">
      <w:pPr>
        <w:spacing w:after="0" w:line="240" w:lineRule="auto"/>
        <w:ind w:left="720"/>
      </w:pPr>
      <w:r w:rsidRPr="004974B1">
        <w:t xml:space="preserve">Individuals asked to provide information for the survey will be informed of the reason for collecting the information and how the information will be used.  Participants are informed that study participation is completely voluntary and they may choose to decline study enrollment or to not answer any questions that they consider to be of a sensitive nature. There are no penalties for not participating. Participants may refuse to answer any of the questions or to discontinue the survey at any time.  Consent and assent will be documented. All survey </w:t>
      </w:r>
      <w:r w:rsidR="005F2107">
        <w:t xml:space="preserve">data </w:t>
      </w:r>
      <w:r w:rsidRPr="004974B1">
        <w:t xml:space="preserve">will be kept </w:t>
      </w:r>
      <w:r w:rsidR="005F2107">
        <w:t xml:space="preserve">secure. </w:t>
      </w:r>
      <w:r w:rsidRPr="004974B1">
        <w:t xml:space="preserve">Names will not be collected.  Analysis will be conducted at a summary level. </w:t>
      </w:r>
    </w:p>
    <w:p w14:paraId="4CBFB635" w14:textId="77777777" w:rsidR="00D1170D" w:rsidRDefault="00D1170D" w:rsidP="00D1170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69FA91FE" w14:textId="77777777" w:rsidR="00D1170D" w:rsidRPr="004974B1" w:rsidRDefault="00D1170D" w:rsidP="00D1170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683B6C">
        <w:t xml:space="preserve">A statement of how data will handled will be read to each potential participant as part of the </w:t>
      </w:r>
      <w:r w:rsidRPr="004974B1">
        <w:t>process of obtaining informed consent for participation in the study. Only the databases will be forwarded to CDC. Demographic information (e.g. age, sex) will be collected; individual name</w:t>
      </w:r>
      <w:r>
        <w:t>s</w:t>
      </w:r>
      <w:r w:rsidRPr="004974B1">
        <w:t xml:space="preserve"> will not. Each record will be assigned a unique ID. Only summary information will be included in analysis and reports. </w:t>
      </w:r>
    </w:p>
    <w:p w14:paraId="4A3A5D82" w14:textId="77777777" w:rsidR="00D1170D" w:rsidRDefault="00D1170D" w:rsidP="00D1170D">
      <w:pPr>
        <w:spacing w:after="0"/>
        <w:ind w:left="720"/>
        <w:rPr>
          <w:u w:val="single"/>
        </w:rPr>
      </w:pPr>
    </w:p>
    <w:p w14:paraId="4B89E3DC" w14:textId="0598A081" w:rsidR="00B12F51" w:rsidRPr="004974B1" w:rsidRDefault="005558B7" w:rsidP="009F46C2">
      <w:pPr>
        <w:pStyle w:val="Heading2"/>
      </w:pPr>
      <w:bookmarkStart w:id="35" w:name="_Toc519148135"/>
      <w:bookmarkStart w:id="36" w:name="_Toc519148210"/>
      <w:bookmarkStart w:id="37" w:name="_Toc519148231"/>
      <w:bookmarkStart w:id="38" w:name="_Toc519148136"/>
      <w:bookmarkStart w:id="39" w:name="_Toc519148211"/>
      <w:bookmarkStart w:id="40" w:name="_Toc519148232"/>
      <w:bookmarkEnd w:id="35"/>
      <w:bookmarkEnd w:id="36"/>
      <w:bookmarkEnd w:id="37"/>
      <w:r>
        <w:t xml:space="preserve">Institutional Review Board (IRB) and </w:t>
      </w:r>
      <w:r w:rsidR="0088467A" w:rsidRPr="004974B1">
        <w:t>Justification for Sensitive Questions</w:t>
      </w:r>
      <w:bookmarkEnd w:id="38"/>
      <w:bookmarkEnd w:id="39"/>
      <w:bookmarkEnd w:id="40"/>
    </w:p>
    <w:p w14:paraId="244B687B" w14:textId="77777777" w:rsidR="005558B7" w:rsidRDefault="005558B7" w:rsidP="00D93CFD">
      <w:pPr>
        <w:pStyle w:val="ListParagraph"/>
        <w:spacing w:after="0" w:line="240" w:lineRule="auto"/>
      </w:pPr>
    </w:p>
    <w:p w14:paraId="03F75368" w14:textId="174FA7CE" w:rsidR="00F52BCC" w:rsidRDefault="003C31C9" w:rsidP="00D93CFD">
      <w:pPr>
        <w:pStyle w:val="ListParagraph"/>
        <w:spacing w:after="0" w:line="240" w:lineRule="auto"/>
      </w:pPr>
      <w:r w:rsidRPr="004974B1">
        <w:t>No information will be collected</w:t>
      </w:r>
      <w:r w:rsidR="00616090" w:rsidRPr="004974B1">
        <w:t xml:space="preserve"> that are of personal or sensitive nature</w:t>
      </w:r>
      <w:r w:rsidR="00D26A64" w:rsidRPr="004974B1">
        <w:t>.</w:t>
      </w:r>
    </w:p>
    <w:p w14:paraId="5B3E2789" w14:textId="0CB26751" w:rsidR="005558B7" w:rsidRPr="004974B1" w:rsidRDefault="005558B7" w:rsidP="005558B7">
      <w:pPr>
        <w:pStyle w:val="ListParagraph"/>
        <w:spacing w:after="0" w:line="240" w:lineRule="auto"/>
      </w:pPr>
      <w:r w:rsidRPr="004974B1">
        <w:t xml:space="preserve">This study has been approved by </w:t>
      </w:r>
      <w:r>
        <w:t xml:space="preserve">the </w:t>
      </w:r>
      <w:r w:rsidRPr="004974B1">
        <w:t>I</w:t>
      </w:r>
      <w:r>
        <w:t xml:space="preserve">nstitutional </w:t>
      </w:r>
      <w:r w:rsidRPr="004974B1">
        <w:t>R</w:t>
      </w:r>
      <w:r>
        <w:t xml:space="preserve">eview </w:t>
      </w:r>
      <w:r w:rsidRPr="004974B1">
        <w:t>B</w:t>
      </w:r>
      <w:r>
        <w:t>oard</w:t>
      </w:r>
      <w:r w:rsidRPr="004974B1">
        <w:t xml:space="preserve"> at CDC (</w:t>
      </w:r>
      <w:r>
        <w:t xml:space="preserve">Attachment </w:t>
      </w:r>
      <w:r w:rsidR="00A65260">
        <w:t>D</w:t>
      </w:r>
      <w:r>
        <w:t>).</w:t>
      </w:r>
    </w:p>
    <w:p w14:paraId="42476026" w14:textId="77777777" w:rsidR="00616090" w:rsidRPr="004974B1" w:rsidRDefault="00616090" w:rsidP="00D93CFD">
      <w:pPr>
        <w:spacing w:after="0" w:line="240" w:lineRule="auto"/>
        <w:ind w:left="720"/>
        <w:rPr>
          <w:color w:val="FF0000"/>
        </w:rPr>
      </w:pPr>
    </w:p>
    <w:p w14:paraId="47406174" w14:textId="77777777" w:rsidR="00B64BFA" w:rsidRPr="004974B1" w:rsidRDefault="0088467A" w:rsidP="009F46C2">
      <w:pPr>
        <w:pStyle w:val="Heading2"/>
      </w:pPr>
      <w:bookmarkStart w:id="41" w:name="_Toc519148137"/>
      <w:bookmarkStart w:id="42" w:name="_Toc519148212"/>
      <w:bookmarkStart w:id="43" w:name="_Toc519148233"/>
      <w:r w:rsidRPr="004974B1">
        <w:t>Estimates of Annualized Burden Hours and Costs</w:t>
      </w:r>
      <w:bookmarkEnd w:id="41"/>
      <w:bookmarkEnd w:id="42"/>
      <w:bookmarkEnd w:id="43"/>
    </w:p>
    <w:p w14:paraId="28B4CC35" w14:textId="77777777" w:rsidR="005558B7" w:rsidRDefault="005558B7" w:rsidP="00D93CFD">
      <w:pPr>
        <w:tabs>
          <w:tab w:val="left" w:pos="720"/>
          <w:tab w:val="left" w:pos="1080"/>
        </w:tabs>
        <w:spacing w:after="0" w:line="240" w:lineRule="auto"/>
        <w:ind w:left="720"/>
      </w:pPr>
    </w:p>
    <w:p w14:paraId="32CFBBCA" w14:textId="21DA459D" w:rsidR="00E603FB" w:rsidRDefault="004D5509" w:rsidP="00D93CFD">
      <w:pPr>
        <w:tabs>
          <w:tab w:val="left" w:pos="720"/>
          <w:tab w:val="left" w:pos="1080"/>
        </w:tabs>
        <w:spacing w:after="0" w:line="240" w:lineRule="auto"/>
        <w:ind w:left="720"/>
      </w:pPr>
      <w:r w:rsidRPr="001F649E">
        <w:t xml:space="preserve">Data collection will be for a total of </w:t>
      </w:r>
      <w:r w:rsidRPr="009F46C2">
        <w:rPr>
          <w:highlight w:val="yellow"/>
        </w:rPr>
        <w:t>24 months</w:t>
      </w:r>
      <w:r w:rsidRPr="001F649E">
        <w:t>.</w:t>
      </w:r>
      <w:r>
        <w:t xml:space="preserve"> For each 12 month period, w</w:t>
      </w:r>
      <w:r w:rsidR="009E1C94" w:rsidRPr="004974B1">
        <w:t xml:space="preserve">e anticipate an enrollment of 150 persons per site per month </w:t>
      </w:r>
      <w:r>
        <w:t>which will result in 18,000</w:t>
      </w:r>
      <w:r w:rsidR="009E1C94" w:rsidRPr="004974B1">
        <w:t xml:space="preserve"> interviews. Each interview will take approximately 20 minutes (or 0.33 hours). Thi</w:t>
      </w:r>
      <w:r>
        <w:t xml:space="preserve">s results in a total </w:t>
      </w:r>
      <w:r w:rsidR="00DC54CA">
        <w:t xml:space="preserve">annual </w:t>
      </w:r>
      <w:r>
        <w:t>burden of 6</w:t>
      </w:r>
      <w:r w:rsidR="009E1C94" w:rsidRPr="004974B1">
        <w:t>,</w:t>
      </w:r>
      <w:r w:rsidR="00DC54CA" w:rsidRPr="004974B1">
        <w:t>0</w:t>
      </w:r>
      <w:r w:rsidR="002B2E7C">
        <w:t>00</w:t>
      </w:r>
      <w:r w:rsidR="00DC54CA" w:rsidRPr="004974B1">
        <w:t xml:space="preserve"> </w:t>
      </w:r>
      <w:r w:rsidR="009E1C94" w:rsidRPr="004974B1">
        <w:t>hours</w:t>
      </w:r>
      <w:r>
        <w:t>, and 12,</w:t>
      </w:r>
      <w:r w:rsidR="002B2E7C">
        <w:t>000</w:t>
      </w:r>
      <w:r w:rsidR="00D764EC">
        <w:t xml:space="preserve"> </w:t>
      </w:r>
      <w:r>
        <w:t>hours for the entire survey period</w:t>
      </w:r>
      <w:r w:rsidR="009E1C94" w:rsidRPr="004974B1">
        <w:t xml:space="preserve">. </w:t>
      </w:r>
    </w:p>
    <w:p w14:paraId="5B7D4578" w14:textId="0AD1F4E2" w:rsidR="00E328DA" w:rsidRDefault="00E328DA" w:rsidP="00D93CFD">
      <w:pPr>
        <w:tabs>
          <w:tab w:val="left" w:pos="720"/>
          <w:tab w:val="left" w:pos="1080"/>
        </w:tabs>
        <w:spacing w:after="0" w:line="240" w:lineRule="auto"/>
        <w:ind w:left="720"/>
      </w:pPr>
    </w:p>
    <w:p w14:paraId="33AC338E" w14:textId="3420F9B2" w:rsidR="00E328DA" w:rsidRDefault="00E328DA" w:rsidP="00E328DA">
      <w:pPr>
        <w:tabs>
          <w:tab w:val="left" w:pos="720"/>
          <w:tab w:val="left" w:pos="1080"/>
        </w:tabs>
        <w:spacing w:after="0" w:line="240" w:lineRule="auto"/>
        <w:ind w:left="720"/>
      </w:pPr>
      <w:r>
        <w:t xml:space="preserve">Though data collection under this contract is expected to end after two years, CDC is planning to establish another contract to continue data collection at the end of this period. For this reason, we are seeking three years of OMB clearance. </w:t>
      </w:r>
    </w:p>
    <w:p w14:paraId="275C6194" w14:textId="77777777" w:rsidR="00863A0C" w:rsidRDefault="00863A0C" w:rsidP="00D93CFD">
      <w:pPr>
        <w:tabs>
          <w:tab w:val="left" w:pos="720"/>
          <w:tab w:val="left" w:pos="1080"/>
        </w:tabs>
        <w:spacing w:after="0" w:line="240" w:lineRule="auto"/>
        <w:ind w:left="720"/>
      </w:pPr>
    </w:p>
    <w:p w14:paraId="56B9C5C5" w14:textId="621621AC" w:rsidR="00E603FB" w:rsidRPr="00E603FB" w:rsidRDefault="00E603FB" w:rsidP="0066661E">
      <w:pPr>
        <w:spacing w:after="0" w:line="240" w:lineRule="auto"/>
        <w:ind w:left="450"/>
        <w:rPr>
          <w:b/>
        </w:rPr>
      </w:pPr>
      <w:r w:rsidRPr="001F649E">
        <w:rPr>
          <w:b/>
        </w:rPr>
        <w:t xml:space="preserve">Table A.12-1.  Estimated Annualized Burden </w:t>
      </w:r>
      <w:r w:rsidR="00683B6C" w:rsidRPr="001F649E">
        <w:rPr>
          <w:b/>
        </w:rPr>
        <w:t>Hours</w:t>
      </w:r>
      <w:r w:rsidR="00683B6C">
        <w:rPr>
          <w:b/>
        </w:rPr>
        <w:t xml:space="preserve"> </w:t>
      </w: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20"/>
        <w:gridCol w:w="1620"/>
        <w:gridCol w:w="1800"/>
        <w:gridCol w:w="1530"/>
        <w:gridCol w:w="1170"/>
      </w:tblGrid>
      <w:tr w:rsidR="00E603FB" w:rsidRPr="00E603FB" w14:paraId="054998EF" w14:textId="77777777" w:rsidTr="00863A0C">
        <w:tc>
          <w:tcPr>
            <w:tcW w:w="1440" w:type="dxa"/>
            <w:tcBorders>
              <w:bottom w:val="single" w:sz="4" w:space="0" w:color="auto"/>
            </w:tcBorders>
            <w:vAlign w:val="center"/>
          </w:tcPr>
          <w:p w14:paraId="010F279B" w14:textId="77777777"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Type of Respondents</w:t>
            </w:r>
          </w:p>
        </w:tc>
        <w:tc>
          <w:tcPr>
            <w:tcW w:w="1620" w:type="dxa"/>
            <w:tcBorders>
              <w:bottom w:val="single" w:sz="4" w:space="0" w:color="auto"/>
            </w:tcBorders>
            <w:vAlign w:val="center"/>
          </w:tcPr>
          <w:p w14:paraId="3D6F2213" w14:textId="77777777"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Form Name</w:t>
            </w:r>
          </w:p>
        </w:tc>
        <w:tc>
          <w:tcPr>
            <w:tcW w:w="1620" w:type="dxa"/>
            <w:tcBorders>
              <w:bottom w:val="single" w:sz="4" w:space="0" w:color="auto"/>
            </w:tcBorders>
            <w:vAlign w:val="center"/>
          </w:tcPr>
          <w:p w14:paraId="6B7B18A7" w14:textId="77777777"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No. of Respondents</w:t>
            </w:r>
          </w:p>
        </w:tc>
        <w:tc>
          <w:tcPr>
            <w:tcW w:w="1800" w:type="dxa"/>
            <w:tcBorders>
              <w:bottom w:val="single" w:sz="4" w:space="0" w:color="auto"/>
            </w:tcBorders>
            <w:vAlign w:val="center"/>
          </w:tcPr>
          <w:p w14:paraId="6C6DBD98" w14:textId="77777777"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No. of Responses per Respondent</w:t>
            </w:r>
          </w:p>
        </w:tc>
        <w:tc>
          <w:tcPr>
            <w:tcW w:w="1530" w:type="dxa"/>
            <w:tcBorders>
              <w:bottom w:val="single" w:sz="4" w:space="0" w:color="auto"/>
            </w:tcBorders>
            <w:vAlign w:val="center"/>
          </w:tcPr>
          <w:p w14:paraId="490F6508" w14:textId="16FF71D7"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 xml:space="preserve">Avg. Burden per Response (in </w:t>
            </w:r>
            <w:r w:rsidR="00744ABB" w:rsidRPr="00E603FB">
              <w:rPr>
                <w:rFonts w:asciiTheme="minorHAnsi" w:hAnsiTheme="minorHAnsi" w:cs="Times New Roman"/>
                <w:sz w:val="22"/>
                <w:szCs w:val="22"/>
              </w:rPr>
              <w:t>hrs.</w:t>
            </w:r>
            <w:r w:rsidRPr="00E603FB">
              <w:rPr>
                <w:rFonts w:asciiTheme="minorHAnsi" w:hAnsiTheme="minorHAnsi" w:cs="Times New Roman"/>
                <w:sz w:val="22"/>
                <w:szCs w:val="22"/>
              </w:rPr>
              <w:t>)</w:t>
            </w:r>
          </w:p>
        </w:tc>
        <w:tc>
          <w:tcPr>
            <w:tcW w:w="1170" w:type="dxa"/>
            <w:tcBorders>
              <w:bottom w:val="single" w:sz="4" w:space="0" w:color="auto"/>
            </w:tcBorders>
            <w:vAlign w:val="center"/>
          </w:tcPr>
          <w:p w14:paraId="6EA3C4A3" w14:textId="77777777"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 xml:space="preserve">Total Burden </w:t>
            </w:r>
          </w:p>
          <w:p w14:paraId="1BBB8E2A" w14:textId="7630DC98"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 xml:space="preserve">(in </w:t>
            </w:r>
            <w:r w:rsidR="00744ABB" w:rsidRPr="00E603FB">
              <w:rPr>
                <w:rFonts w:asciiTheme="minorHAnsi" w:hAnsiTheme="minorHAnsi" w:cs="Times New Roman"/>
                <w:sz w:val="22"/>
                <w:szCs w:val="22"/>
              </w:rPr>
              <w:t>hrs.</w:t>
            </w:r>
            <w:r w:rsidRPr="00E603FB">
              <w:rPr>
                <w:rFonts w:asciiTheme="minorHAnsi" w:hAnsiTheme="minorHAnsi" w:cs="Times New Roman"/>
                <w:sz w:val="22"/>
                <w:szCs w:val="22"/>
              </w:rPr>
              <w:t>)</w:t>
            </w:r>
          </w:p>
        </w:tc>
      </w:tr>
      <w:tr w:rsidR="00E603FB" w:rsidRPr="00E603FB" w14:paraId="139BEF20" w14:textId="77777777" w:rsidTr="00863A0C">
        <w:tc>
          <w:tcPr>
            <w:tcW w:w="1440" w:type="dxa"/>
            <w:shd w:val="clear" w:color="auto" w:fill="auto"/>
            <w:vAlign w:val="center"/>
          </w:tcPr>
          <w:p w14:paraId="737CBAB9" w14:textId="77777777" w:rsidR="00E603FB" w:rsidRPr="00E603FB" w:rsidRDefault="00E603FB" w:rsidP="00D93CFD">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U.S. General Population</w:t>
            </w:r>
          </w:p>
        </w:tc>
        <w:tc>
          <w:tcPr>
            <w:tcW w:w="1620" w:type="dxa"/>
            <w:shd w:val="clear" w:color="auto" w:fill="auto"/>
            <w:vAlign w:val="center"/>
          </w:tcPr>
          <w:p w14:paraId="13144A5D" w14:textId="4DAD4F55" w:rsidR="00E603FB" w:rsidRPr="00E603FB" w:rsidRDefault="00FC21C1">
            <w:pPr>
              <w:pStyle w:val="Default"/>
              <w:tabs>
                <w:tab w:val="left" w:pos="0"/>
              </w:tabs>
              <w:jc w:val="center"/>
              <w:rPr>
                <w:rFonts w:asciiTheme="minorHAnsi" w:hAnsiTheme="minorHAnsi" w:cs="Times New Roman"/>
                <w:sz w:val="22"/>
                <w:szCs w:val="22"/>
              </w:rPr>
            </w:pPr>
            <w:r w:rsidRPr="00FC21C1">
              <w:rPr>
                <w:rFonts w:asciiTheme="minorHAnsi" w:hAnsiTheme="minorHAnsi" w:cs="Times New Roman"/>
                <w:sz w:val="22"/>
                <w:szCs w:val="22"/>
              </w:rPr>
              <w:t xml:space="preserve">Attachment </w:t>
            </w:r>
            <w:r w:rsidR="00A65260">
              <w:rPr>
                <w:rFonts w:asciiTheme="minorHAnsi" w:hAnsiTheme="minorHAnsi" w:cs="Times New Roman"/>
                <w:sz w:val="22"/>
                <w:szCs w:val="22"/>
              </w:rPr>
              <w:t>C</w:t>
            </w:r>
            <w:r w:rsidRPr="00FC21C1">
              <w:rPr>
                <w:rFonts w:asciiTheme="minorHAnsi" w:hAnsiTheme="minorHAnsi" w:cs="Times New Roman"/>
                <w:sz w:val="22"/>
                <w:szCs w:val="22"/>
              </w:rPr>
              <w:t>. Pop Survey_ questionnaire_</w:t>
            </w:r>
            <w:r w:rsidR="00547220">
              <w:rPr>
                <w:rFonts w:asciiTheme="minorHAnsi" w:hAnsiTheme="minorHAnsi" w:cs="Times New Roman"/>
                <w:sz w:val="22"/>
                <w:szCs w:val="22"/>
              </w:rPr>
              <w:t>Feb 2016</w:t>
            </w:r>
          </w:p>
        </w:tc>
        <w:tc>
          <w:tcPr>
            <w:tcW w:w="1620" w:type="dxa"/>
            <w:shd w:val="clear" w:color="auto" w:fill="auto"/>
            <w:vAlign w:val="center"/>
          </w:tcPr>
          <w:p w14:paraId="0C758EB5" w14:textId="0CC94BAB" w:rsidR="00E603FB" w:rsidRPr="00E603FB" w:rsidRDefault="00E603FB" w:rsidP="00D764E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18,</w:t>
            </w:r>
            <w:r w:rsidR="002B2E7C">
              <w:rPr>
                <w:rFonts w:asciiTheme="minorHAnsi" w:hAnsiTheme="minorHAnsi" w:cs="Times New Roman"/>
                <w:sz w:val="22"/>
                <w:szCs w:val="22"/>
              </w:rPr>
              <w:t>000</w:t>
            </w:r>
          </w:p>
        </w:tc>
        <w:tc>
          <w:tcPr>
            <w:tcW w:w="1800" w:type="dxa"/>
            <w:shd w:val="clear" w:color="auto" w:fill="auto"/>
            <w:vAlign w:val="center"/>
          </w:tcPr>
          <w:p w14:paraId="6421C3B3" w14:textId="77777777" w:rsidR="00E603FB" w:rsidRPr="00E603FB" w:rsidRDefault="00E603FB">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1</w:t>
            </w:r>
          </w:p>
        </w:tc>
        <w:tc>
          <w:tcPr>
            <w:tcW w:w="1530" w:type="dxa"/>
            <w:shd w:val="clear" w:color="auto" w:fill="auto"/>
            <w:vAlign w:val="center"/>
          </w:tcPr>
          <w:p w14:paraId="69EE0FE3" w14:textId="25CFB35D" w:rsidR="00E603FB" w:rsidRPr="00E603FB" w:rsidRDefault="00E603FB">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20/60</w:t>
            </w:r>
          </w:p>
        </w:tc>
        <w:tc>
          <w:tcPr>
            <w:tcW w:w="1170" w:type="dxa"/>
            <w:tcBorders>
              <w:bottom w:val="single" w:sz="4" w:space="0" w:color="auto"/>
            </w:tcBorders>
            <w:shd w:val="clear" w:color="auto" w:fill="auto"/>
            <w:vAlign w:val="center"/>
          </w:tcPr>
          <w:p w14:paraId="6CE47651" w14:textId="2168A628" w:rsidR="00E603FB" w:rsidRPr="00E603FB" w:rsidRDefault="00E603FB" w:rsidP="00DC54CA">
            <w:pPr>
              <w:pStyle w:val="Default"/>
              <w:tabs>
                <w:tab w:val="left" w:pos="0"/>
              </w:tabs>
              <w:jc w:val="right"/>
              <w:rPr>
                <w:rFonts w:asciiTheme="minorHAnsi" w:hAnsiTheme="minorHAnsi" w:cs="Times New Roman"/>
                <w:sz w:val="22"/>
                <w:szCs w:val="22"/>
              </w:rPr>
            </w:pPr>
            <w:r w:rsidRPr="00E603FB">
              <w:rPr>
                <w:rFonts w:asciiTheme="minorHAnsi" w:hAnsiTheme="minorHAnsi" w:cs="Times New Roman"/>
                <w:sz w:val="22"/>
                <w:szCs w:val="22"/>
              </w:rPr>
              <w:t>6,</w:t>
            </w:r>
            <w:r w:rsidR="00DC54CA" w:rsidRPr="00E603FB">
              <w:rPr>
                <w:rFonts w:asciiTheme="minorHAnsi" w:hAnsiTheme="minorHAnsi" w:cs="Times New Roman"/>
                <w:sz w:val="22"/>
                <w:szCs w:val="22"/>
              </w:rPr>
              <w:t>0</w:t>
            </w:r>
            <w:r w:rsidR="002B2E7C">
              <w:rPr>
                <w:rFonts w:asciiTheme="minorHAnsi" w:hAnsiTheme="minorHAnsi" w:cs="Times New Roman"/>
                <w:sz w:val="22"/>
                <w:szCs w:val="22"/>
              </w:rPr>
              <w:t>00</w:t>
            </w:r>
          </w:p>
        </w:tc>
      </w:tr>
      <w:tr w:rsidR="00E603FB" w:rsidRPr="00E603FB" w14:paraId="7BAD2687" w14:textId="77777777" w:rsidTr="00863A0C">
        <w:tc>
          <w:tcPr>
            <w:tcW w:w="1440" w:type="dxa"/>
            <w:shd w:val="clear" w:color="auto" w:fill="auto"/>
            <w:vAlign w:val="center"/>
          </w:tcPr>
          <w:p w14:paraId="5132A603" w14:textId="77777777" w:rsidR="00E603FB" w:rsidRPr="00E603FB" w:rsidRDefault="00E603FB" w:rsidP="00863A0C">
            <w:pPr>
              <w:pStyle w:val="Default"/>
              <w:tabs>
                <w:tab w:val="left" w:pos="0"/>
              </w:tabs>
              <w:jc w:val="center"/>
              <w:rPr>
                <w:rFonts w:asciiTheme="minorHAnsi" w:hAnsiTheme="minorHAnsi" w:cs="Times New Roman"/>
                <w:sz w:val="22"/>
                <w:szCs w:val="22"/>
              </w:rPr>
            </w:pPr>
            <w:r w:rsidRPr="00E603FB">
              <w:rPr>
                <w:rFonts w:asciiTheme="minorHAnsi" w:hAnsiTheme="minorHAnsi" w:cs="Times New Roman"/>
                <w:sz w:val="22"/>
                <w:szCs w:val="22"/>
              </w:rPr>
              <w:t>Total</w:t>
            </w:r>
          </w:p>
        </w:tc>
        <w:tc>
          <w:tcPr>
            <w:tcW w:w="6570" w:type="dxa"/>
            <w:gridSpan w:val="4"/>
            <w:shd w:val="clear" w:color="auto" w:fill="auto"/>
            <w:vAlign w:val="center"/>
          </w:tcPr>
          <w:p w14:paraId="1F17A978" w14:textId="77777777" w:rsidR="00E603FB" w:rsidRPr="00E603FB" w:rsidRDefault="00E603FB" w:rsidP="00863A0C">
            <w:pPr>
              <w:pStyle w:val="Default"/>
              <w:tabs>
                <w:tab w:val="left" w:pos="0"/>
              </w:tabs>
              <w:jc w:val="center"/>
              <w:rPr>
                <w:rFonts w:asciiTheme="minorHAnsi" w:hAnsiTheme="minorHAnsi" w:cs="Times New Roman"/>
                <w:sz w:val="22"/>
                <w:szCs w:val="22"/>
              </w:rPr>
            </w:pPr>
          </w:p>
        </w:tc>
        <w:tc>
          <w:tcPr>
            <w:tcW w:w="1170" w:type="dxa"/>
            <w:shd w:val="clear" w:color="auto" w:fill="auto"/>
            <w:vAlign w:val="center"/>
          </w:tcPr>
          <w:p w14:paraId="69CD150B" w14:textId="46BB0780" w:rsidR="00E603FB" w:rsidRPr="00E603FB" w:rsidRDefault="00E603FB" w:rsidP="00DC54CA">
            <w:pPr>
              <w:pStyle w:val="Default"/>
              <w:tabs>
                <w:tab w:val="left" w:pos="0"/>
              </w:tabs>
              <w:jc w:val="right"/>
              <w:rPr>
                <w:rFonts w:asciiTheme="minorHAnsi" w:hAnsiTheme="minorHAnsi" w:cs="Times New Roman"/>
                <w:sz w:val="22"/>
                <w:szCs w:val="22"/>
              </w:rPr>
            </w:pPr>
            <w:r w:rsidRPr="00E603FB">
              <w:rPr>
                <w:rFonts w:asciiTheme="minorHAnsi" w:hAnsiTheme="minorHAnsi" w:cs="Times New Roman"/>
                <w:sz w:val="22"/>
                <w:szCs w:val="22"/>
              </w:rPr>
              <w:t>6,</w:t>
            </w:r>
            <w:r w:rsidR="00DC54CA" w:rsidRPr="00E603FB">
              <w:rPr>
                <w:rFonts w:asciiTheme="minorHAnsi" w:hAnsiTheme="minorHAnsi" w:cs="Times New Roman"/>
                <w:sz w:val="22"/>
                <w:szCs w:val="22"/>
              </w:rPr>
              <w:t>0</w:t>
            </w:r>
            <w:r w:rsidR="002B2E7C">
              <w:rPr>
                <w:rFonts w:asciiTheme="minorHAnsi" w:hAnsiTheme="minorHAnsi" w:cs="Times New Roman"/>
                <w:sz w:val="22"/>
                <w:szCs w:val="22"/>
              </w:rPr>
              <w:t>00</w:t>
            </w:r>
            <w:r w:rsidRPr="00E603FB">
              <w:rPr>
                <w:rFonts w:asciiTheme="minorHAnsi" w:hAnsiTheme="minorHAnsi" w:cs="Times New Roman"/>
                <w:sz w:val="22"/>
                <w:szCs w:val="22"/>
              </w:rPr>
              <w:fldChar w:fldCharType="begin"/>
            </w:r>
            <w:r w:rsidRPr="00E603FB">
              <w:rPr>
                <w:rFonts w:asciiTheme="minorHAnsi" w:hAnsiTheme="minorHAnsi" w:cs="Times New Roman"/>
                <w:sz w:val="22"/>
                <w:szCs w:val="22"/>
              </w:rPr>
              <w:instrText xml:space="preserve"> =SUM(ABOVE) </w:instrText>
            </w:r>
            <w:r w:rsidRPr="00E603FB">
              <w:rPr>
                <w:rFonts w:asciiTheme="minorHAnsi" w:hAnsiTheme="minorHAnsi" w:cs="Times New Roman"/>
                <w:sz w:val="22"/>
                <w:szCs w:val="22"/>
              </w:rPr>
              <w:fldChar w:fldCharType="end"/>
            </w:r>
          </w:p>
        </w:tc>
      </w:tr>
    </w:tbl>
    <w:p w14:paraId="3CABF996" w14:textId="77777777" w:rsidR="00E603FB" w:rsidRPr="00E603FB" w:rsidRDefault="00E603FB" w:rsidP="00863A0C">
      <w:pPr>
        <w:spacing w:after="0" w:line="240" w:lineRule="auto"/>
        <w:rPr>
          <w:highlight w:val="yellow"/>
        </w:rPr>
      </w:pPr>
    </w:p>
    <w:p w14:paraId="2C92C2BD" w14:textId="224A5D10" w:rsidR="00E603FB" w:rsidRPr="00E603FB" w:rsidRDefault="00E603FB" w:rsidP="0058590A">
      <w:pPr>
        <w:spacing w:after="0" w:line="240" w:lineRule="auto"/>
        <w:ind w:left="720"/>
      </w:pPr>
      <w:r w:rsidRPr="00E603FB">
        <w:t xml:space="preserve">Annualized burden costs are summarized in the table below.  </w:t>
      </w:r>
      <w:r w:rsidRPr="009F46C2">
        <w:rPr>
          <w:highlight w:val="yellow"/>
        </w:rPr>
        <w:t>These calculations assume the average hourly wage of $24.</w:t>
      </w:r>
      <w:r w:rsidR="00DC54CA" w:rsidRPr="009F46C2">
        <w:rPr>
          <w:highlight w:val="yellow"/>
        </w:rPr>
        <w:t xml:space="preserve">34 </w:t>
      </w:r>
      <w:r w:rsidRPr="009F46C2">
        <w:rPr>
          <w:highlight w:val="yellow"/>
        </w:rPr>
        <w:t xml:space="preserve">for all jurisdictions included in the FoodNet catchment area. Hourly rates were taken from the most recent publically available Current Employment Statistics of the Bureau of Labor Statistics and are based upon the average hourly earnings for </w:t>
      </w:r>
      <w:r w:rsidR="00DC54CA" w:rsidRPr="009F46C2">
        <w:rPr>
          <w:highlight w:val="yellow"/>
        </w:rPr>
        <w:t>May 2017</w:t>
      </w:r>
      <w:r w:rsidR="00DC54CA" w:rsidRPr="00E603FB">
        <w:t xml:space="preserve"> </w:t>
      </w:r>
      <w:r w:rsidRPr="00E603FB">
        <w:t xml:space="preserve">from the Current Employment Statistics survey conducted by the Bureau of labor Statistics (available at </w:t>
      </w:r>
      <w:hyperlink r:id="rId12" w:anchor="00-0000" w:history="1">
        <w:r w:rsidR="00DC54CA">
          <w:rPr>
            <w:rStyle w:val="Hyperlink"/>
          </w:rPr>
          <w:t>https://www.bls.gov/oes/current/oes_nat.htm#00-0000</w:t>
        </w:r>
      </w:hyperlink>
      <w:r w:rsidRPr="00E603FB">
        <w:t>).</w:t>
      </w:r>
    </w:p>
    <w:p w14:paraId="2EBFC45B" w14:textId="77777777" w:rsidR="00F6773D" w:rsidRDefault="00F6773D" w:rsidP="00345CEA">
      <w:pPr>
        <w:spacing w:after="0" w:line="240" w:lineRule="auto"/>
        <w:rPr>
          <w:b/>
        </w:rPr>
      </w:pPr>
    </w:p>
    <w:p w14:paraId="2AEEFB3C" w14:textId="715EB059" w:rsidR="00E603FB" w:rsidRPr="00E603FB" w:rsidRDefault="00E603FB" w:rsidP="0066661E">
      <w:pPr>
        <w:spacing w:after="0" w:line="240" w:lineRule="auto"/>
        <w:ind w:left="450"/>
      </w:pPr>
      <w:r w:rsidRPr="0023229A">
        <w:rPr>
          <w:b/>
        </w:rPr>
        <w:t xml:space="preserve">Table A.12-2.  Estimated Annualized </w:t>
      </w:r>
      <w:r w:rsidR="00C63654" w:rsidRPr="0023229A">
        <w:rPr>
          <w:b/>
        </w:rPr>
        <w:t xml:space="preserve">Burden </w:t>
      </w:r>
      <w:r w:rsidRPr="0023229A">
        <w:rPr>
          <w:b/>
        </w:rPr>
        <w:t>Cost</w:t>
      </w:r>
      <w:r w:rsidR="00C63654" w:rsidRPr="0023229A">
        <w:rPr>
          <w:b/>
        </w:rPr>
        <w:t>s</w:t>
      </w:r>
      <w:r w:rsidRPr="00E603FB">
        <w:rPr>
          <w:b/>
        </w:rPr>
        <w:t xml:space="preserve"> </w:t>
      </w:r>
    </w:p>
    <w:tbl>
      <w:tblPr>
        <w:tblW w:w="81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070"/>
        <w:gridCol w:w="1440"/>
        <w:gridCol w:w="1710"/>
        <w:gridCol w:w="1440"/>
      </w:tblGrid>
      <w:tr w:rsidR="00683B6C" w:rsidRPr="00E603FB" w14:paraId="47743B3C" w14:textId="77777777" w:rsidTr="00683B6C">
        <w:tc>
          <w:tcPr>
            <w:tcW w:w="1440" w:type="dxa"/>
            <w:vAlign w:val="center"/>
          </w:tcPr>
          <w:p w14:paraId="2D29006B" w14:textId="77777777" w:rsidR="00683B6C" w:rsidRPr="00E603FB" w:rsidRDefault="00683B6C" w:rsidP="00863A0C">
            <w:pPr>
              <w:spacing w:after="0" w:line="240" w:lineRule="auto"/>
              <w:jc w:val="center"/>
            </w:pPr>
            <w:r w:rsidRPr="00E603FB">
              <w:t>Type of Respondents</w:t>
            </w:r>
          </w:p>
        </w:tc>
        <w:tc>
          <w:tcPr>
            <w:tcW w:w="2070" w:type="dxa"/>
            <w:vAlign w:val="center"/>
          </w:tcPr>
          <w:p w14:paraId="1901D7A0" w14:textId="77777777" w:rsidR="00683B6C" w:rsidRPr="00E603FB" w:rsidRDefault="00683B6C" w:rsidP="00863A0C">
            <w:pPr>
              <w:spacing w:after="0" w:line="240" w:lineRule="auto"/>
              <w:jc w:val="center"/>
            </w:pPr>
            <w:r w:rsidRPr="00E603FB">
              <w:t>Form Name</w:t>
            </w:r>
          </w:p>
        </w:tc>
        <w:tc>
          <w:tcPr>
            <w:tcW w:w="1440" w:type="dxa"/>
            <w:tcBorders>
              <w:bottom w:val="single" w:sz="4" w:space="0" w:color="auto"/>
            </w:tcBorders>
            <w:vAlign w:val="center"/>
          </w:tcPr>
          <w:p w14:paraId="4FC4B3F4" w14:textId="77777777" w:rsidR="00683B6C" w:rsidRPr="00E603FB" w:rsidRDefault="00683B6C" w:rsidP="00863A0C">
            <w:pPr>
              <w:spacing w:after="0" w:line="240" w:lineRule="auto"/>
              <w:jc w:val="center"/>
            </w:pPr>
            <w:r w:rsidRPr="00E603FB">
              <w:t>Total Burden Hours</w:t>
            </w:r>
          </w:p>
        </w:tc>
        <w:tc>
          <w:tcPr>
            <w:tcW w:w="1710" w:type="dxa"/>
            <w:tcBorders>
              <w:bottom w:val="single" w:sz="4" w:space="0" w:color="auto"/>
            </w:tcBorders>
            <w:vAlign w:val="center"/>
          </w:tcPr>
          <w:p w14:paraId="48387B38" w14:textId="77777777" w:rsidR="00683B6C" w:rsidRPr="00E603FB" w:rsidRDefault="00683B6C" w:rsidP="00863A0C">
            <w:pPr>
              <w:spacing w:after="0" w:line="240" w:lineRule="auto"/>
              <w:jc w:val="center"/>
            </w:pPr>
            <w:r w:rsidRPr="00E603FB">
              <w:t>Average Hourly Wage Rate*</w:t>
            </w:r>
          </w:p>
        </w:tc>
        <w:tc>
          <w:tcPr>
            <w:tcW w:w="1440" w:type="dxa"/>
            <w:tcBorders>
              <w:bottom w:val="single" w:sz="4" w:space="0" w:color="auto"/>
            </w:tcBorders>
            <w:vAlign w:val="center"/>
          </w:tcPr>
          <w:p w14:paraId="39DBFC8B" w14:textId="77777777" w:rsidR="00683B6C" w:rsidRPr="00E603FB" w:rsidRDefault="00683B6C" w:rsidP="00863A0C">
            <w:pPr>
              <w:spacing w:after="0" w:line="240" w:lineRule="auto"/>
              <w:jc w:val="center"/>
            </w:pPr>
            <w:r w:rsidRPr="00E603FB">
              <w:t>Total  Cost Burden</w:t>
            </w:r>
          </w:p>
        </w:tc>
      </w:tr>
      <w:tr w:rsidR="00DC54CA" w:rsidRPr="00E603FB" w14:paraId="0A359B8B" w14:textId="77777777" w:rsidTr="00683B6C">
        <w:tc>
          <w:tcPr>
            <w:tcW w:w="1440" w:type="dxa"/>
            <w:vAlign w:val="center"/>
          </w:tcPr>
          <w:p w14:paraId="5111455D" w14:textId="77777777" w:rsidR="00DC54CA" w:rsidRPr="00E603FB" w:rsidRDefault="00DC54CA" w:rsidP="00DC54CA">
            <w:pPr>
              <w:spacing w:after="0" w:line="240" w:lineRule="auto"/>
              <w:jc w:val="center"/>
            </w:pPr>
            <w:r w:rsidRPr="00E603FB">
              <w:t>U.S. General Population</w:t>
            </w:r>
          </w:p>
        </w:tc>
        <w:tc>
          <w:tcPr>
            <w:tcW w:w="2070" w:type="dxa"/>
            <w:vAlign w:val="center"/>
          </w:tcPr>
          <w:p w14:paraId="1E9ECF16" w14:textId="101B9178" w:rsidR="00DC54CA" w:rsidRPr="00E603FB" w:rsidRDefault="00DC54CA">
            <w:pPr>
              <w:pStyle w:val="Default"/>
              <w:tabs>
                <w:tab w:val="left" w:pos="0"/>
              </w:tabs>
              <w:jc w:val="center"/>
              <w:rPr>
                <w:rFonts w:asciiTheme="minorHAnsi" w:hAnsiTheme="minorHAnsi" w:cs="Times New Roman"/>
                <w:color w:val="auto"/>
                <w:sz w:val="22"/>
                <w:szCs w:val="22"/>
              </w:rPr>
            </w:pPr>
            <w:r w:rsidRPr="00FC21C1">
              <w:rPr>
                <w:rFonts w:asciiTheme="minorHAnsi" w:hAnsiTheme="minorHAnsi" w:cs="Times New Roman"/>
                <w:sz w:val="22"/>
                <w:szCs w:val="22"/>
              </w:rPr>
              <w:t xml:space="preserve">Attachment </w:t>
            </w:r>
            <w:r w:rsidR="00A65260">
              <w:rPr>
                <w:rFonts w:asciiTheme="minorHAnsi" w:hAnsiTheme="minorHAnsi" w:cs="Times New Roman"/>
                <w:sz w:val="22"/>
                <w:szCs w:val="22"/>
              </w:rPr>
              <w:t>C</w:t>
            </w:r>
            <w:r w:rsidRPr="00FC21C1">
              <w:rPr>
                <w:rFonts w:asciiTheme="minorHAnsi" w:hAnsiTheme="minorHAnsi" w:cs="Times New Roman"/>
                <w:sz w:val="22"/>
                <w:szCs w:val="22"/>
              </w:rPr>
              <w:t>. Pop Survey_ questionnaire_</w:t>
            </w:r>
            <w:r>
              <w:rPr>
                <w:rFonts w:asciiTheme="minorHAnsi" w:hAnsiTheme="minorHAnsi" w:cs="Times New Roman"/>
                <w:sz w:val="22"/>
                <w:szCs w:val="22"/>
              </w:rPr>
              <w:t>Feb 2016</w:t>
            </w:r>
          </w:p>
        </w:tc>
        <w:tc>
          <w:tcPr>
            <w:tcW w:w="1440" w:type="dxa"/>
            <w:tcBorders>
              <w:bottom w:val="single" w:sz="4" w:space="0" w:color="auto"/>
            </w:tcBorders>
            <w:vAlign w:val="center"/>
          </w:tcPr>
          <w:p w14:paraId="0EFAA157" w14:textId="0CA86584" w:rsidR="00DC54CA" w:rsidRPr="00E603FB" w:rsidRDefault="00DC54CA" w:rsidP="00DC54CA">
            <w:pPr>
              <w:pStyle w:val="Default"/>
              <w:tabs>
                <w:tab w:val="left" w:pos="0"/>
              </w:tabs>
              <w:jc w:val="center"/>
              <w:rPr>
                <w:rFonts w:asciiTheme="minorHAnsi" w:hAnsiTheme="minorHAnsi" w:cs="Times New Roman"/>
                <w:color w:val="auto"/>
                <w:sz w:val="22"/>
                <w:szCs w:val="22"/>
              </w:rPr>
            </w:pPr>
            <w:r w:rsidRPr="00E603FB">
              <w:rPr>
                <w:rFonts w:asciiTheme="minorHAnsi" w:hAnsiTheme="minorHAnsi" w:cs="Times New Roman"/>
                <w:color w:val="auto"/>
                <w:sz w:val="22"/>
                <w:szCs w:val="22"/>
              </w:rPr>
              <w:t>6,0</w:t>
            </w:r>
            <w:r w:rsidR="002B2E7C">
              <w:rPr>
                <w:rFonts w:asciiTheme="minorHAnsi" w:hAnsiTheme="minorHAnsi" w:cs="Times New Roman"/>
                <w:color w:val="auto"/>
                <w:sz w:val="22"/>
                <w:szCs w:val="22"/>
              </w:rPr>
              <w:t>00</w:t>
            </w:r>
          </w:p>
        </w:tc>
        <w:tc>
          <w:tcPr>
            <w:tcW w:w="1710" w:type="dxa"/>
            <w:tcBorders>
              <w:bottom w:val="single" w:sz="4" w:space="0" w:color="auto"/>
            </w:tcBorders>
            <w:vAlign w:val="center"/>
          </w:tcPr>
          <w:p w14:paraId="400C4180" w14:textId="123EE828" w:rsidR="00DC54CA" w:rsidRPr="00AD7735" w:rsidRDefault="00DC54CA" w:rsidP="00DC54CA">
            <w:pPr>
              <w:spacing w:after="0" w:line="240" w:lineRule="auto"/>
              <w:jc w:val="center"/>
              <w:rPr>
                <w:highlight w:val="yellow"/>
              </w:rPr>
            </w:pPr>
            <w:r w:rsidRPr="00AD7735">
              <w:rPr>
                <w:highlight w:val="yellow"/>
              </w:rPr>
              <w:t>$24.34</w:t>
            </w:r>
          </w:p>
        </w:tc>
        <w:tc>
          <w:tcPr>
            <w:tcW w:w="1440" w:type="dxa"/>
            <w:tcBorders>
              <w:bottom w:val="single" w:sz="4" w:space="0" w:color="auto"/>
            </w:tcBorders>
            <w:vAlign w:val="center"/>
          </w:tcPr>
          <w:p w14:paraId="31399C80" w14:textId="334B1FEB" w:rsidR="00DC54CA" w:rsidRPr="00AD7735" w:rsidRDefault="00DC54CA">
            <w:pPr>
              <w:spacing w:after="0" w:line="240" w:lineRule="auto"/>
              <w:jc w:val="center"/>
              <w:rPr>
                <w:highlight w:val="yellow"/>
              </w:rPr>
            </w:pPr>
            <w:r w:rsidRPr="00AD7735">
              <w:rPr>
                <w:highlight w:val="yellow"/>
              </w:rPr>
              <w:t>$14</w:t>
            </w:r>
            <w:r w:rsidR="002B2E7C">
              <w:rPr>
                <w:highlight w:val="yellow"/>
              </w:rPr>
              <w:t>6,040</w:t>
            </w:r>
          </w:p>
        </w:tc>
      </w:tr>
      <w:tr w:rsidR="00683B6C" w:rsidRPr="00E603FB" w14:paraId="0644D97D" w14:textId="77777777" w:rsidTr="00683B6C">
        <w:tc>
          <w:tcPr>
            <w:tcW w:w="1440" w:type="dxa"/>
            <w:vAlign w:val="center"/>
          </w:tcPr>
          <w:p w14:paraId="092E24DA" w14:textId="77777777" w:rsidR="00683B6C" w:rsidRPr="00E603FB" w:rsidRDefault="00683B6C" w:rsidP="00863A0C">
            <w:pPr>
              <w:spacing w:after="0" w:line="240" w:lineRule="auto"/>
              <w:jc w:val="center"/>
            </w:pPr>
            <w:r w:rsidRPr="00E603FB">
              <w:t>Total</w:t>
            </w:r>
          </w:p>
        </w:tc>
        <w:tc>
          <w:tcPr>
            <w:tcW w:w="2070" w:type="dxa"/>
            <w:vAlign w:val="center"/>
          </w:tcPr>
          <w:p w14:paraId="4A487DAF" w14:textId="77777777" w:rsidR="00683B6C" w:rsidRPr="00E603FB" w:rsidRDefault="00683B6C" w:rsidP="00863A0C">
            <w:pPr>
              <w:pStyle w:val="Default"/>
              <w:tabs>
                <w:tab w:val="left" w:pos="0"/>
              </w:tabs>
              <w:jc w:val="center"/>
              <w:rPr>
                <w:rFonts w:asciiTheme="minorHAnsi" w:hAnsiTheme="minorHAnsi" w:cs="Times New Roman"/>
                <w:color w:val="auto"/>
                <w:sz w:val="22"/>
                <w:szCs w:val="22"/>
              </w:rPr>
            </w:pPr>
          </w:p>
        </w:tc>
        <w:tc>
          <w:tcPr>
            <w:tcW w:w="1440" w:type="dxa"/>
            <w:tcBorders>
              <w:bottom w:val="single" w:sz="4" w:space="0" w:color="auto"/>
            </w:tcBorders>
            <w:vAlign w:val="center"/>
          </w:tcPr>
          <w:p w14:paraId="62225FD9" w14:textId="61D4AF24" w:rsidR="00683B6C" w:rsidRPr="00E603FB" w:rsidRDefault="00683B6C" w:rsidP="00863A0C">
            <w:pPr>
              <w:pStyle w:val="Default"/>
              <w:tabs>
                <w:tab w:val="left" w:pos="0"/>
              </w:tabs>
              <w:jc w:val="center"/>
              <w:rPr>
                <w:rFonts w:asciiTheme="minorHAnsi" w:hAnsiTheme="minorHAnsi" w:cs="Times New Roman"/>
                <w:color w:val="auto"/>
                <w:sz w:val="22"/>
                <w:szCs w:val="22"/>
              </w:rPr>
            </w:pPr>
          </w:p>
        </w:tc>
        <w:tc>
          <w:tcPr>
            <w:tcW w:w="1710" w:type="dxa"/>
            <w:tcBorders>
              <w:bottom w:val="single" w:sz="4" w:space="0" w:color="auto"/>
            </w:tcBorders>
            <w:vAlign w:val="center"/>
          </w:tcPr>
          <w:p w14:paraId="5BC3E6C4" w14:textId="60470DB9" w:rsidR="00683B6C" w:rsidRPr="00E603FB" w:rsidRDefault="00683B6C" w:rsidP="00863A0C">
            <w:pPr>
              <w:spacing w:after="0" w:line="240" w:lineRule="auto"/>
              <w:jc w:val="center"/>
            </w:pPr>
          </w:p>
        </w:tc>
        <w:tc>
          <w:tcPr>
            <w:tcW w:w="1440" w:type="dxa"/>
            <w:tcBorders>
              <w:bottom w:val="single" w:sz="4" w:space="0" w:color="auto"/>
            </w:tcBorders>
            <w:vAlign w:val="center"/>
          </w:tcPr>
          <w:p w14:paraId="0578CC5E" w14:textId="313CB7E3" w:rsidR="00683B6C" w:rsidRPr="00AD7735" w:rsidRDefault="00683B6C">
            <w:pPr>
              <w:spacing w:after="0" w:line="240" w:lineRule="auto"/>
              <w:jc w:val="center"/>
              <w:rPr>
                <w:highlight w:val="yellow"/>
              </w:rPr>
            </w:pPr>
            <w:r w:rsidRPr="00AD7735">
              <w:rPr>
                <w:highlight w:val="yellow"/>
              </w:rPr>
              <w:t>$</w:t>
            </w:r>
            <w:r w:rsidR="00DC54CA" w:rsidRPr="00AD7735">
              <w:rPr>
                <w:highlight w:val="yellow"/>
              </w:rPr>
              <w:t>14</w:t>
            </w:r>
            <w:r w:rsidR="002B2E7C">
              <w:rPr>
                <w:highlight w:val="yellow"/>
              </w:rPr>
              <w:t>6,040</w:t>
            </w:r>
          </w:p>
        </w:tc>
      </w:tr>
    </w:tbl>
    <w:p w14:paraId="0B361BB8" w14:textId="77777777" w:rsidR="00E603FB" w:rsidRPr="00345CEA" w:rsidRDefault="00E603FB" w:rsidP="00C50324">
      <w:pPr>
        <w:autoSpaceDE w:val="0"/>
        <w:autoSpaceDN w:val="0"/>
        <w:adjustRightInd w:val="0"/>
        <w:spacing w:after="0" w:line="240" w:lineRule="auto"/>
        <w:ind w:right="720"/>
        <w:rPr>
          <w:u w:val="single"/>
        </w:rPr>
      </w:pPr>
    </w:p>
    <w:p w14:paraId="0970F024" w14:textId="77777777" w:rsidR="00B12F51" w:rsidRPr="004974B1" w:rsidRDefault="0088467A" w:rsidP="009F46C2">
      <w:pPr>
        <w:pStyle w:val="Heading2"/>
      </w:pPr>
      <w:bookmarkStart w:id="44" w:name="_Toc519148138"/>
      <w:bookmarkStart w:id="45" w:name="_Toc519148213"/>
      <w:bookmarkStart w:id="46" w:name="_Toc519148234"/>
      <w:r w:rsidRPr="004974B1">
        <w:t>Estimates of Other Total Annual Cost Burden to Respondents or Record Keepers</w:t>
      </w:r>
      <w:bookmarkEnd w:id="44"/>
      <w:bookmarkEnd w:id="45"/>
      <w:bookmarkEnd w:id="46"/>
    </w:p>
    <w:p w14:paraId="528EE473" w14:textId="77777777" w:rsidR="005558B7" w:rsidRDefault="005558B7" w:rsidP="0058590A">
      <w:pPr>
        <w:pStyle w:val="CM89"/>
        <w:ind w:left="720"/>
        <w:rPr>
          <w:rFonts w:asciiTheme="minorHAnsi" w:hAnsiTheme="minorHAnsi" w:cs="Times New Roman"/>
          <w:sz w:val="22"/>
        </w:rPr>
      </w:pPr>
    </w:p>
    <w:p w14:paraId="4CB959C9" w14:textId="7915C0B5" w:rsidR="00D75750" w:rsidRPr="004974B1" w:rsidRDefault="003C31C9" w:rsidP="0058590A">
      <w:pPr>
        <w:pStyle w:val="CM89"/>
        <w:ind w:left="720"/>
        <w:rPr>
          <w:rFonts w:asciiTheme="minorHAnsi" w:hAnsiTheme="minorHAnsi" w:cs="Times New Roman"/>
          <w:sz w:val="22"/>
        </w:rPr>
      </w:pPr>
      <w:r w:rsidRPr="004974B1">
        <w:rPr>
          <w:rFonts w:asciiTheme="minorHAnsi" w:hAnsiTheme="minorHAnsi" w:cs="Times New Roman"/>
          <w:sz w:val="22"/>
        </w:rPr>
        <w:t>There will be no direct costs to the respondents other than their time to participate in each survey</w:t>
      </w:r>
      <w:r w:rsidR="00585AFC" w:rsidRPr="004974B1">
        <w:rPr>
          <w:rFonts w:asciiTheme="minorHAnsi" w:hAnsiTheme="minorHAnsi" w:cs="Times New Roman"/>
          <w:sz w:val="22"/>
        </w:rPr>
        <w:t>.</w:t>
      </w:r>
    </w:p>
    <w:p w14:paraId="7DB66382" w14:textId="77777777" w:rsidR="00D75750" w:rsidRPr="004974B1" w:rsidRDefault="00D75750" w:rsidP="0058590A">
      <w:pPr>
        <w:pStyle w:val="Default"/>
        <w:ind w:left="720" w:hanging="270"/>
        <w:rPr>
          <w:rFonts w:asciiTheme="minorHAnsi" w:hAnsiTheme="minorHAnsi"/>
          <w:color w:val="FF0000"/>
        </w:rPr>
      </w:pPr>
    </w:p>
    <w:p w14:paraId="59147D38" w14:textId="77777777" w:rsidR="00B12F51" w:rsidRPr="004974B1" w:rsidRDefault="0088467A" w:rsidP="009F46C2">
      <w:pPr>
        <w:pStyle w:val="Heading2"/>
      </w:pPr>
      <w:bookmarkStart w:id="47" w:name="_Toc519148139"/>
      <w:bookmarkStart w:id="48" w:name="_Toc519148214"/>
      <w:bookmarkStart w:id="49" w:name="_Toc519148235"/>
      <w:r w:rsidRPr="004974B1">
        <w:t>Annualized Cost to the Government</w:t>
      </w:r>
      <w:bookmarkEnd w:id="47"/>
      <w:bookmarkEnd w:id="48"/>
      <w:bookmarkEnd w:id="49"/>
      <w:r w:rsidR="00D75750" w:rsidRPr="004974B1">
        <w:t xml:space="preserve"> </w:t>
      </w:r>
    </w:p>
    <w:p w14:paraId="3B80E36C" w14:textId="77777777" w:rsidR="005558B7" w:rsidRPr="004974B1" w:rsidRDefault="005558B7" w:rsidP="0058590A">
      <w:pPr>
        <w:pStyle w:val="ListParagraph"/>
        <w:autoSpaceDE w:val="0"/>
        <w:autoSpaceDN w:val="0"/>
        <w:adjustRightInd w:val="0"/>
        <w:spacing w:after="0" w:line="240" w:lineRule="auto"/>
        <w:ind w:right="720" w:hanging="270"/>
      </w:pPr>
    </w:p>
    <w:p w14:paraId="6D0E0B5D" w14:textId="3D3FA2BD" w:rsidR="00585AFC" w:rsidRDefault="00585AFC" w:rsidP="0058590A">
      <w:pPr>
        <w:pStyle w:val="ListParagraph"/>
        <w:autoSpaceDE w:val="0"/>
        <w:autoSpaceDN w:val="0"/>
        <w:adjustRightInd w:val="0"/>
        <w:spacing w:after="0" w:line="240" w:lineRule="auto"/>
        <w:ind w:right="720"/>
      </w:pPr>
      <w:r w:rsidRPr="004974B1">
        <w:t xml:space="preserve">There are no equipment or overhead costs. The cost to the federal government </w:t>
      </w:r>
      <w:r w:rsidR="00E603FB">
        <w:t>includes t</w:t>
      </w:r>
      <w:r w:rsidRPr="004974B1">
        <w:t xml:space="preserve">he salary of CDC staff supporting the data collection </w:t>
      </w:r>
      <w:r w:rsidR="00224183" w:rsidRPr="004974B1">
        <w:t>activities and</w:t>
      </w:r>
      <w:r w:rsidR="00E603FB">
        <w:t xml:space="preserve"> the money to support the contracting company for survey administration. </w:t>
      </w:r>
      <w:r w:rsidRPr="004974B1">
        <w:t xml:space="preserve"> </w:t>
      </w:r>
    </w:p>
    <w:p w14:paraId="040F0614" w14:textId="77777777" w:rsidR="0058590A" w:rsidRPr="004974B1" w:rsidRDefault="0058590A" w:rsidP="0058590A">
      <w:pPr>
        <w:pStyle w:val="ListParagraph"/>
        <w:autoSpaceDE w:val="0"/>
        <w:autoSpaceDN w:val="0"/>
        <w:adjustRightInd w:val="0"/>
        <w:spacing w:after="0" w:line="240" w:lineRule="auto"/>
        <w:ind w:right="720"/>
      </w:pPr>
    </w:p>
    <w:p w14:paraId="322C756D" w14:textId="22E35217" w:rsidR="00E603FB" w:rsidRPr="009559C0" w:rsidRDefault="00296CE2" w:rsidP="0058590A">
      <w:pPr>
        <w:spacing w:after="0" w:line="240" w:lineRule="auto"/>
        <w:ind w:left="720"/>
        <w:rPr>
          <w:b/>
        </w:rPr>
      </w:pPr>
      <w:r w:rsidRPr="004974B1">
        <w:t xml:space="preserve">CDC staff </w:t>
      </w:r>
      <w:r w:rsidR="000E41BB" w:rsidRPr="004974B1">
        <w:t xml:space="preserve">will work with </w:t>
      </w:r>
      <w:r w:rsidR="004D5509">
        <w:t xml:space="preserve">the </w:t>
      </w:r>
      <w:r w:rsidR="000E41BB" w:rsidRPr="004974B1">
        <w:t>contractor to oversee deliverables, obtain study data, and perform analysis.</w:t>
      </w:r>
      <w:r w:rsidRPr="004974B1">
        <w:t xml:space="preserve"> </w:t>
      </w:r>
      <w:r w:rsidR="008A5EB1" w:rsidRPr="004974B1">
        <w:t xml:space="preserve">The costs will be spread over a period of four years. Year 1 </w:t>
      </w:r>
      <w:r w:rsidR="00921C8D">
        <w:t>included</w:t>
      </w:r>
      <w:r w:rsidR="008A5EB1" w:rsidRPr="004974B1">
        <w:t xml:space="preserve"> activities such as </w:t>
      </w:r>
      <w:r w:rsidR="004D5509">
        <w:t xml:space="preserve">obtaining OMB approval, </w:t>
      </w:r>
      <w:r w:rsidR="008A5EB1" w:rsidRPr="004974B1">
        <w:t xml:space="preserve">working to set up the contract, and making any </w:t>
      </w:r>
      <w:r w:rsidR="004D5509">
        <w:t xml:space="preserve">necessary </w:t>
      </w:r>
      <w:r w:rsidR="008A5EB1" w:rsidRPr="004974B1">
        <w:t xml:space="preserve">revisions to the questionnaire. Years 2 and 3 involve oversight of contractor during data collection, and receipt and analysis of preliminary data. Year 4 will involve analysis of final data and preparation of summary reports.  </w:t>
      </w:r>
      <w:r w:rsidR="004D5509" w:rsidRPr="0023229A">
        <w:t xml:space="preserve">The annualized cost will be $66,250; the total </w:t>
      </w:r>
      <w:r w:rsidR="009559C0" w:rsidRPr="0023229A">
        <w:t xml:space="preserve">cost </w:t>
      </w:r>
      <w:r w:rsidR="004D5509" w:rsidRPr="0023229A">
        <w:t xml:space="preserve">over 4 years will be </w:t>
      </w:r>
      <w:r w:rsidR="009559C0" w:rsidRPr="0023229A">
        <w:t>$</w:t>
      </w:r>
      <w:r w:rsidR="004D5509" w:rsidRPr="0023229A">
        <w:t>265,000</w:t>
      </w:r>
      <w:r w:rsidR="009559C0" w:rsidRPr="0023229A">
        <w:t>.</w:t>
      </w:r>
      <w:r w:rsidR="009559C0">
        <w:t xml:space="preserve"> </w:t>
      </w:r>
    </w:p>
    <w:p w14:paraId="6A2A6F93" w14:textId="77777777" w:rsidR="00FC21C1" w:rsidRDefault="00FC21C1" w:rsidP="0058590A">
      <w:pPr>
        <w:tabs>
          <w:tab w:val="left" w:pos="720"/>
          <w:tab w:val="left" w:pos="1080"/>
        </w:tabs>
        <w:spacing w:after="0" w:line="240" w:lineRule="auto"/>
        <w:ind w:left="720"/>
      </w:pPr>
    </w:p>
    <w:p w14:paraId="7DA86673" w14:textId="3D41D062" w:rsidR="00E603FB" w:rsidRPr="00E603FB" w:rsidRDefault="00E603FB" w:rsidP="0058590A">
      <w:pPr>
        <w:tabs>
          <w:tab w:val="left" w:pos="720"/>
          <w:tab w:val="left" w:pos="1080"/>
        </w:tabs>
        <w:spacing w:after="0" w:line="240" w:lineRule="auto"/>
        <w:ind w:left="720"/>
      </w:pPr>
      <w:r w:rsidRPr="004974B1">
        <w:t>An outside company (to be contracted through CDC) will have the primary responsibility for administration of this survey. In year 1, the contractor will provide expertise in survey design and implementation, work with CDC to define modes of administration, conduct focus testing of questionnaires, develop sampling weights, and program the survey instruments. The Contractor will also pre-test the questionnaire to assure the programming and questionnaire and skip patterns work properly. Finally, the Contractor will be responsible for obtaining Institutional Review Board (IRB) review and approval prior to data collection, if necessary.  In years 2 and 3, the contractor will collect the data, make changes as requested by the client, generate datasets to be used by CDC for analysis, and generate quarterly progress reports. In year 4, the contractor will generate the final dataset for the study per CDC specifications and generate a technical report summarizing the study</w:t>
      </w:r>
      <w:r w:rsidRPr="0023229A">
        <w:t>. The cost of this contract is estimated to be $1,992,848 which will be spread out over 4 years in accordance with the stated deliverables. (Exact costs will not be available until after contractor is selected)</w:t>
      </w:r>
      <w:r w:rsidR="004D5509" w:rsidRPr="0023229A">
        <w:t>.</w:t>
      </w:r>
      <w:r w:rsidR="004D5509">
        <w:t xml:space="preserve"> </w:t>
      </w:r>
      <w:r w:rsidR="002E5019">
        <w:t xml:space="preserve">Table A.14 shows the average cost for one year. </w:t>
      </w:r>
      <w:r w:rsidRPr="00CE1BD8">
        <w:t xml:space="preserve">A </w:t>
      </w:r>
      <w:r w:rsidR="008A77A3">
        <w:t xml:space="preserve">detailed estimate </w:t>
      </w:r>
      <w:r w:rsidR="008A77A3" w:rsidRPr="00CE1BD8">
        <w:t>of</w:t>
      </w:r>
      <w:r w:rsidRPr="00CE1BD8">
        <w:t xml:space="preserve"> costs </w:t>
      </w:r>
      <w:r w:rsidR="00A520DD">
        <w:t xml:space="preserve">is found in Attachment </w:t>
      </w:r>
      <w:r w:rsidR="00A65260">
        <w:t>E</w:t>
      </w:r>
      <w:r w:rsidR="00863A0C">
        <w:t xml:space="preserve">. </w:t>
      </w:r>
      <w:r>
        <w:t xml:space="preserve"> </w:t>
      </w:r>
    </w:p>
    <w:p w14:paraId="79074F36" w14:textId="77777777" w:rsidR="00FC21C1" w:rsidRDefault="00FC21C1" w:rsidP="0058590A">
      <w:pPr>
        <w:spacing w:after="0" w:line="240" w:lineRule="auto"/>
        <w:ind w:left="720"/>
      </w:pPr>
    </w:p>
    <w:p w14:paraId="4ED6EED7" w14:textId="522A3ADE" w:rsidR="00585AFC" w:rsidRDefault="00585AFC" w:rsidP="0058590A">
      <w:pPr>
        <w:spacing w:after="0" w:line="240" w:lineRule="auto"/>
        <w:ind w:left="720"/>
      </w:pPr>
      <w:r w:rsidRPr="004974B1">
        <w:t>The estimated cost t</w:t>
      </w:r>
      <w:r w:rsidR="00233F5C" w:rsidRPr="004974B1">
        <w:t xml:space="preserve">o the federal government </w:t>
      </w:r>
      <w:r w:rsidR="009813C8">
        <w:t xml:space="preserve">for one year is </w:t>
      </w:r>
      <w:r w:rsidR="007A34E9" w:rsidRPr="004974B1">
        <w:t>$</w:t>
      </w:r>
      <w:r w:rsidR="002E5019">
        <w:t>564,462</w:t>
      </w:r>
      <w:r w:rsidR="009559C0">
        <w:t>.</w:t>
      </w:r>
      <w:r w:rsidR="007A34E9" w:rsidRPr="004974B1">
        <w:t xml:space="preserve"> </w:t>
      </w:r>
      <w:r w:rsidRPr="004974B1">
        <w:t>Table A-14.1 describes how thi</w:t>
      </w:r>
      <w:r w:rsidR="005A1DD7" w:rsidRPr="004974B1">
        <w:t>s cost estimate was calculated.</w:t>
      </w:r>
      <w:r w:rsidR="009813C8">
        <w:t xml:space="preserve"> Total cost over 4 years (set up, 2 years of data collection, analysis) is $2,257,848 (CDC staff: $265,</w:t>
      </w:r>
      <w:r w:rsidR="009813C8" w:rsidRPr="009813C8">
        <w:t>000; contract: $1,992,848).</w:t>
      </w:r>
    </w:p>
    <w:p w14:paraId="7AB69815" w14:textId="77777777" w:rsidR="00FC21C1" w:rsidRPr="009813C8" w:rsidRDefault="00FC21C1" w:rsidP="0058590A">
      <w:pPr>
        <w:spacing w:after="0" w:line="240" w:lineRule="auto"/>
        <w:ind w:left="720" w:hanging="270"/>
      </w:pPr>
    </w:p>
    <w:p w14:paraId="269588D8" w14:textId="7BAA360B" w:rsidR="004841F1" w:rsidRDefault="00321B51" w:rsidP="00E328DA">
      <w:pPr>
        <w:autoSpaceDE w:val="0"/>
        <w:autoSpaceDN w:val="0"/>
        <w:adjustRightInd w:val="0"/>
        <w:spacing w:after="0" w:line="240" w:lineRule="auto"/>
        <w:ind w:left="450" w:right="720"/>
      </w:pPr>
      <w:r w:rsidRPr="009813C8">
        <w:t xml:space="preserve"> </w:t>
      </w:r>
      <w:r w:rsidR="008E0683" w:rsidRPr="009813C8">
        <w:rPr>
          <w:b/>
          <w:u w:val="single"/>
        </w:rPr>
        <w:t>Table A-14</w:t>
      </w:r>
      <w:r w:rsidR="008E0683" w:rsidRPr="009813C8">
        <w:rPr>
          <w:b/>
        </w:rPr>
        <w:t>:</w:t>
      </w:r>
      <w:r w:rsidR="008E0683" w:rsidRPr="009813C8">
        <w:t xml:space="preserve"> Estimated Annualized Cost to the Federal Government</w:t>
      </w:r>
    </w:p>
    <w:p w14:paraId="1B472D73" w14:textId="77777777" w:rsidR="002F1D86" w:rsidRPr="009813C8" w:rsidRDefault="002F1D86" w:rsidP="00FC21C1">
      <w:pPr>
        <w:autoSpaceDE w:val="0"/>
        <w:autoSpaceDN w:val="0"/>
        <w:adjustRightInd w:val="0"/>
        <w:spacing w:after="0" w:line="240" w:lineRule="auto"/>
        <w:ind w:left="450" w:right="720"/>
      </w:pPr>
    </w:p>
    <w:tbl>
      <w:tblPr>
        <w:tblStyle w:val="TableGrid"/>
        <w:tblW w:w="0" w:type="auto"/>
        <w:tblInd w:w="648" w:type="dxa"/>
        <w:tblLook w:val="04A0" w:firstRow="1" w:lastRow="0" w:firstColumn="1" w:lastColumn="0" w:noHBand="0" w:noVBand="1"/>
      </w:tblPr>
      <w:tblGrid>
        <w:gridCol w:w="3870"/>
        <w:gridCol w:w="1980"/>
        <w:gridCol w:w="1620"/>
        <w:gridCol w:w="1458"/>
      </w:tblGrid>
      <w:tr w:rsidR="009813C8" w:rsidRPr="009813C8" w14:paraId="22E7AAFF" w14:textId="77777777" w:rsidTr="00FC21C1">
        <w:trPr>
          <w:trHeight w:val="593"/>
        </w:trPr>
        <w:tc>
          <w:tcPr>
            <w:tcW w:w="3870" w:type="dxa"/>
            <w:tcBorders>
              <w:bottom w:val="single" w:sz="12" w:space="0" w:color="auto"/>
            </w:tcBorders>
            <w:shd w:val="clear" w:color="auto" w:fill="D9D9D9" w:themeFill="background1" w:themeFillShade="D9"/>
            <w:vAlign w:val="center"/>
          </w:tcPr>
          <w:p w14:paraId="51AF9F09" w14:textId="77777777" w:rsidR="004841F1" w:rsidRPr="009813C8" w:rsidRDefault="004841F1" w:rsidP="00863A0C">
            <w:pPr>
              <w:jc w:val="center"/>
              <w:rPr>
                <w:b/>
                <w:sz w:val="20"/>
              </w:rPr>
            </w:pPr>
            <w:r w:rsidRPr="009813C8">
              <w:rPr>
                <w:b/>
                <w:sz w:val="20"/>
              </w:rPr>
              <w:t>Staff (FTE)</w:t>
            </w:r>
            <w:r w:rsidR="007A0D73" w:rsidRPr="009813C8">
              <w:rPr>
                <w:b/>
                <w:sz w:val="20"/>
              </w:rPr>
              <w:t xml:space="preserve"> </w:t>
            </w:r>
          </w:p>
        </w:tc>
        <w:tc>
          <w:tcPr>
            <w:tcW w:w="1980" w:type="dxa"/>
            <w:tcBorders>
              <w:bottom w:val="single" w:sz="12" w:space="0" w:color="auto"/>
            </w:tcBorders>
            <w:shd w:val="clear" w:color="auto" w:fill="D9D9D9" w:themeFill="background1" w:themeFillShade="D9"/>
            <w:vAlign w:val="center"/>
          </w:tcPr>
          <w:p w14:paraId="5974EA92" w14:textId="77777777" w:rsidR="004841F1" w:rsidRPr="009813C8" w:rsidRDefault="004841F1" w:rsidP="00863A0C">
            <w:pPr>
              <w:jc w:val="center"/>
              <w:rPr>
                <w:b/>
                <w:sz w:val="20"/>
              </w:rPr>
            </w:pPr>
            <w:r w:rsidRPr="009813C8">
              <w:rPr>
                <w:b/>
                <w:sz w:val="20"/>
              </w:rPr>
              <w:t>Average Hours per Collection</w:t>
            </w:r>
          </w:p>
        </w:tc>
        <w:tc>
          <w:tcPr>
            <w:tcW w:w="1620" w:type="dxa"/>
            <w:tcBorders>
              <w:bottom w:val="single" w:sz="12" w:space="0" w:color="auto"/>
            </w:tcBorders>
            <w:shd w:val="clear" w:color="auto" w:fill="D9D9D9" w:themeFill="background1" w:themeFillShade="D9"/>
            <w:vAlign w:val="center"/>
          </w:tcPr>
          <w:p w14:paraId="7557B5C2" w14:textId="77777777" w:rsidR="004841F1" w:rsidRPr="009813C8" w:rsidRDefault="004841F1" w:rsidP="00863A0C">
            <w:pPr>
              <w:jc w:val="center"/>
              <w:rPr>
                <w:b/>
                <w:sz w:val="20"/>
              </w:rPr>
            </w:pPr>
            <w:r w:rsidRPr="009813C8">
              <w:rPr>
                <w:b/>
                <w:sz w:val="20"/>
              </w:rPr>
              <w:t>Average Hourly Rate</w:t>
            </w:r>
          </w:p>
        </w:tc>
        <w:tc>
          <w:tcPr>
            <w:tcW w:w="1458" w:type="dxa"/>
            <w:tcBorders>
              <w:bottom w:val="single" w:sz="12" w:space="0" w:color="auto"/>
            </w:tcBorders>
            <w:shd w:val="clear" w:color="auto" w:fill="D9D9D9" w:themeFill="background1" w:themeFillShade="D9"/>
            <w:vAlign w:val="center"/>
          </w:tcPr>
          <w:p w14:paraId="40E4C1B2" w14:textId="77777777" w:rsidR="004841F1" w:rsidRPr="009813C8" w:rsidRDefault="004841F1" w:rsidP="00863A0C">
            <w:pPr>
              <w:jc w:val="center"/>
              <w:rPr>
                <w:b/>
                <w:sz w:val="20"/>
              </w:rPr>
            </w:pPr>
            <w:r w:rsidRPr="009813C8">
              <w:rPr>
                <w:b/>
                <w:sz w:val="20"/>
              </w:rPr>
              <w:t>Average Cost</w:t>
            </w:r>
          </w:p>
        </w:tc>
      </w:tr>
      <w:tr w:rsidR="009813C8" w:rsidRPr="009813C8" w14:paraId="1B6ADF4B" w14:textId="77777777" w:rsidTr="00FC21C1">
        <w:tc>
          <w:tcPr>
            <w:tcW w:w="3870" w:type="dxa"/>
            <w:tcBorders>
              <w:top w:val="single" w:sz="12" w:space="0" w:color="auto"/>
            </w:tcBorders>
          </w:tcPr>
          <w:p w14:paraId="2C97D09B" w14:textId="77777777" w:rsidR="004841F1" w:rsidRPr="00744ABB" w:rsidRDefault="00115216" w:rsidP="00863A0C">
            <w:pPr>
              <w:rPr>
                <w:b/>
              </w:rPr>
            </w:pPr>
            <w:r w:rsidRPr="00744ABB">
              <w:rPr>
                <w:b/>
              </w:rPr>
              <w:t>Senior Epidemiologist(GS-</w:t>
            </w:r>
            <w:r w:rsidR="003C6ACC" w:rsidRPr="00744ABB">
              <w:rPr>
                <w:b/>
              </w:rPr>
              <w:t>13</w:t>
            </w:r>
            <w:r w:rsidR="00585AFC" w:rsidRPr="00744ABB">
              <w:rPr>
                <w:b/>
              </w:rPr>
              <w:t>)</w:t>
            </w:r>
          </w:p>
          <w:p w14:paraId="572A8739" w14:textId="20E4189E" w:rsidR="00585AFC" w:rsidRPr="009813C8" w:rsidRDefault="000E41BB">
            <w:pPr>
              <w:rPr>
                <w:sz w:val="20"/>
              </w:rPr>
            </w:pPr>
            <w:r w:rsidRPr="009813C8">
              <w:rPr>
                <w:rFonts w:cs="Arial"/>
                <w:lang w:eastAsia="ja-JP"/>
              </w:rPr>
              <w:t>Work with contractor to finalize de</w:t>
            </w:r>
            <w:r w:rsidR="00585AFC" w:rsidRPr="009813C8">
              <w:rPr>
                <w:rFonts w:cs="Arial"/>
              </w:rPr>
              <w:t xml:space="preserve">velopment of instrument, </w:t>
            </w:r>
            <w:r w:rsidRPr="009813C8">
              <w:rPr>
                <w:rFonts w:cs="Arial"/>
              </w:rPr>
              <w:t xml:space="preserve">renewal of IRB and </w:t>
            </w:r>
            <w:r w:rsidR="00585AFC" w:rsidRPr="009813C8">
              <w:rPr>
                <w:rFonts w:cs="Arial"/>
              </w:rPr>
              <w:t>OMB package</w:t>
            </w:r>
            <w:r w:rsidRPr="009813C8">
              <w:rPr>
                <w:rFonts w:cs="Arial"/>
              </w:rPr>
              <w:t>s, receive and analyze data</w:t>
            </w:r>
          </w:p>
        </w:tc>
        <w:tc>
          <w:tcPr>
            <w:tcW w:w="1980" w:type="dxa"/>
            <w:tcBorders>
              <w:top w:val="single" w:sz="12" w:space="0" w:color="auto"/>
            </w:tcBorders>
          </w:tcPr>
          <w:p w14:paraId="15928966" w14:textId="626B4054" w:rsidR="004841F1" w:rsidRPr="009813C8" w:rsidRDefault="004D5509" w:rsidP="00863A0C">
            <w:pPr>
              <w:rPr>
                <w:sz w:val="20"/>
              </w:rPr>
            </w:pPr>
            <w:r w:rsidRPr="009813C8">
              <w:rPr>
                <w:sz w:val="20"/>
              </w:rPr>
              <w:t>1,000</w:t>
            </w:r>
            <w:r w:rsidR="008A5EB1" w:rsidRPr="009813C8">
              <w:rPr>
                <w:sz w:val="20"/>
              </w:rPr>
              <w:t xml:space="preserve"> (</w:t>
            </w:r>
            <w:r w:rsidRPr="009813C8">
              <w:rPr>
                <w:sz w:val="20"/>
              </w:rPr>
              <w:t>20</w:t>
            </w:r>
            <w:r w:rsidR="008A5EB1" w:rsidRPr="009813C8">
              <w:rPr>
                <w:sz w:val="20"/>
              </w:rPr>
              <w:t xml:space="preserve"> hours per week for 50 weeks/year</w:t>
            </w:r>
            <w:r w:rsidRPr="009813C8">
              <w:rPr>
                <w:sz w:val="20"/>
              </w:rPr>
              <w:t>)</w:t>
            </w:r>
          </w:p>
        </w:tc>
        <w:tc>
          <w:tcPr>
            <w:tcW w:w="1620" w:type="dxa"/>
            <w:tcBorders>
              <w:top w:val="single" w:sz="12" w:space="0" w:color="auto"/>
            </w:tcBorders>
          </w:tcPr>
          <w:p w14:paraId="31ADD2EA" w14:textId="63710977" w:rsidR="004841F1" w:rsidRPr="009813C8" w:rsidRDefault="003C6ACC" w:rsidP="00863A0C">
            <w:pPr>
              <w:jc w:val="center"/>
              <w:rPr>
                <w:sz w:val="20"/>
              </w:rPr>
            </w:pPr>
            <w:r w:rsidRPr="009813C8">
              <w:rPr>
                <w:sz w:val="20"/>
              </w:rPr>
              <w:t>$4</w:t>
            </w:r>
            <w:r w:rsidR="007A34E9" w:rsidRPr="009813C8">
              <w:rPr>
                <w:sz w:val="20"/>
              </w:rPr>
              <w:t xml:space="preserve">1.93 </w:t>
            </w:r>
          </w:p>
        </w:tc>
        <w:tc>
          <w:tcPr>
            <w:tcW w:w="1458" w:type="dxa"/>
            <w:tcBorders>
              <w:top w:val="single" w:sz="12" w:space="0" w:color="auto"/>
            </w:tcBorders>
          </w:tcPr>
          <w:p w14:paraId="74813212" w14:textId="2411D58B" w:rsidR="004841F1" w:rsidRPr="009813C8" w:rsidRDefault="007A34E9" w:rsidP="00863A0C">
            <w:pPr>
              <w:jc w:val="center"/>
              <w:rPr>
                <w:sz w:val="20"/>
              </w:rPr>
            </w:pPr>
            <w:r w:rsidRPr="009813C8">
              <w:rPr>
                <w:sz w:val="20"/>
              </w:rPr>
              <w:t>$</w:t>
            </w:r>
            <w:r w:rsidR="004D5509" w:rsidRPr="009813C8">
              <w:rPr>
                <w:sz w:val="20"/>
              </w:rPr>
              <w:t>41,930</w:t>
            </w:r>
          </w:p>
        </w:tc>
      </w:tr>
      <w:tr w:rsidR="009813C8" w:rsidRPr="009813C8" w14:paraId="647ABEF5" w14:textId="77777777" w:rsidTr="00FC21C1">
        <w:tc>
          <w:tcPr>
            <w:tcW w:w="3870" w:type="dxa"/>
          </w:tcPr>
          <w:p w14:paraId="6E04F25F" w14:textId="5FA7C71A" w:rsidR="00585AFC" w:rsidRPr="00744ABB" w:rsidRDefault="000E41BB" w:rsidP="00863A0C">
            <w:pPr>
              <w:rPr>
                <w:b/>
              </w:rPr>
            </w:pPr>
            <w:r w:rsidRPr="00744ABB">
              <w:rPr>
                <w:b/>
              </w:rPr>
              <w:t xml:space="preserve">Surveillance Epidemiologist </w:t>
            </w:r>
            <w:r w:rsidR="004B7BA8" w:rsidRPr="00744ABB">
              <w:rPr>
                <w:b/>
              </w:rPr>
              <w:t>(GS-</w:t>
            </w:r>
            <w:r w:rsidRPr="00744ABB">
              <w:rPr>
                <w:b/>
              </w:rPr>
              <w:t>9</w:t>
            </w:r>
            <w:r w:rsidR="00296CE2" w:rsidRPr="00744ABB">
              <w:rPr>
                <w:b/>
              </w:rPr>
              <w:t>)</w:t>
            </w:r>
          </w:p>
          <w:p w14:paraId="4ED31435" w14:textId="2BFEB0A1" w:rsidR="004824FA" w:rsidRPr="009813C8" w:rsidRDefault="000E41BB" w:rsidP="00863A0C">
            <w:pPr>
              <w:rPr>
                <w:sz w:val="20"/>
              </w:rPr>
            </w:pPr>
            <w:r w:rsidRPr="009813C8">
              <w:rPr>
                <w:rFonts w:cs="Arial"/>
                <w:lang w:eastAsia="ja-JP"/>
              </w:rPr>
              <w:t xml:space="preserve">Assist with </w:t>
            </w:r>
            <w:r w:rsidR="00115216" w:rsidRPr="009813C8">
              <w:rPr>
                <w:rFonts w:cs="Arial"/>
              </w:rPr>
              <w:t>data analysis</w:t>
            </w:r>
            <w:r w:rsidRPr="009813C8">
              <w:rPr>
                <w:rFonts w:cs="Arial"/>
              </w:rPr>
              <w:t xml:space="preserve"> and </w:t>
            </w:r>
            <w:r w:rsidR="00115216" w:rsidRPr="009813C8">
              <w:rPr>
                <w:rFonts w:cs="Arial"/>
              </w:rPr>
              <w:t>report preparation</w:t>
            </w:r>
          </w:p>
        </w:tc>
        <w:tc>
          <w:tcPr>
            <w:tcW w:w="1980" w:type="dxa"/>
          </w:tcPr>
          <w:p w14:paraId="12BB0C19" w14:textId="2E66486E" w:rsidR="004841F1" w:rsidRPr="009813C8" w:rsidRDefault="004D5509" w:rsidP="00744ABB">
            <w:pPr>
              <w:rPr>
                <w:sz w:val="20"/>
              </w:rPr>
            </w:pPr>
            <w:r w:rsidRPr="009813C8">
              <w:rPr>
                <w:sz w:val="20"/>
              </w:rPr>
              <w:t>1,000 (20</w:t>
            </w:r>
            <w:r w:rsidR="008A5EB1" w:rsidRPr="009813C8">
              <w:rPr>
                <w:sz w:val="20"/>
              </w:rPr>
              <w:t xml:space="preserve"> hours per week for 50 weeks/year</w:t>
            </w:r>
            <w:r w:rsidRPr="009813C8">
              <w:rPr>
                <w:sz w:val="20"/>
              </w:rPr>
              <w:t>)</w:t>
            </w:r>
          </w:p>
        </w:tc>
        <w:tc>
          <w:tcPr>
            <w:tcW w:w="1620" w:type="dxa"/>
          </w:tcPr>
          <w:p w14:paraId="2CCBE291" w14:textId="0284FA11" w:rsidR="004841F1" w:rsidRPr="009813C8" w:rsidRDefault="007A34E9" w:rsidP="00863A0C">
            <w:pPr>
              <w:jc w:val="center"/>
              <w:rPr>
                <w:sz w:val="20"/>
              </w:rPr>
            </w:pPr>
            <w:r w:rsidRPr="009813C8">
              <w:rPr>
                <w:sz w:val="20"/>
              </w:rPr>
              <w:t>$24.32</w:t>
            </w:r>
          </w:p>
        </w:tc>
        <w:tc>
          <w:tcPr>
            <w:tcW w:w="1458" w:type="dxa"/>
          </w:tcPr>
          <w:p w14:paraId="24BF9318" w14:textId="3A1A6B90" w:rsidR="004841F1" w:rsidRPr="009813C8" w:rsidRDefault="004D5509" w:rsidP="00863A0C">
            <w:pPr>
              <w:jc w:val="center"/>
              <w:rPr>
                <w:sz w:val="20"/>
              </w:rPr>
            </w:pPr>
            <w:r w:rsidRPr="009813C8">
              <w:rPr>
                <w:sz w:val="20"/>
              </w:rPr>
              <w:t>$</w:t>
            </w:r>
            <w:r w:rsidR="007A34E9" w:rsidRPr="009813C8">
              <w:rPr>
                <w:sz w:val="20"/>
              </w:rPr>
              <w:t>2</w:t>
            </w:r>
            <w:r w:rsidRPr="009813C8">
              <w:rPr>
                <w:sz w:val="20"/>
              </w:rPr>
              <w:t>4</w:t>
            </w:r>
            <w:r w:rsidR="007A34E9" w:rsidRPr="009813C8">
              <w:rPr>
                <w:sz w:val="20"/>
              </w:rPr>
              <w:t>,</w:t>
            </w:r>
            <w:r w:rsidRPr="009813C8">
              <w:rPr>
                <w:sz w:val="20"/>
              </w:rPr>
              <w:t>320</w:t>
            </w:r>
          </w:p>
        </w:tc>
      </w:tr>
      <w:tr w:rsidR="009813C8" w:rsidRPr="009813C8" w14:paraId="128E9843" w14:textId="77777777" w:rsidTr="00FC21C1">
        <w:tc>
          <w:tcPr>
            <w:tcW w:w="3870" w:type="dxa"/>
          </w:tcPr>
          <w:p w14:paraId="5698EEB2" w14:textId="73B3FF6B" w:rsidR="009559C0" w:rsidRPr="009813C8" w:rsidRDefault="009559C0" w:rsidP="002E5019">
            <w:pPr>
              <w:rPr>
                <w:b/>
                <w:sz w:val="20"/>
              </w:rPr>
            </w:pPr>
            <w:r w:rsidRPr="00744ABB">
              <w:rPr>
                <w:b/>
              </w:rPr>
              <w:t>Contract</w:t>
            </w:r>
            <w:r w:rsidR="009813C8" w:rsidRPr="00744ABB">
              <w:rPr>
                <w:b/>
              </w:rPr>
              <w:t xml:space="preserve"> (1 year</w:t>
            </w:r>
            <w:r w:rsidR="002E5019">
              <w:rPr>
                <w:b/>
              </w:rPr>
              <w:t>)</w:t>
            </w:r>
          </w:p>
        </w:tc>
        <w:tc>
          <w:tcPr>
            <w:tcW w:w="1980" w:type="dxa"/>
          </w:tcPr>
          <w:p w14:paraId="440A1082" w14:textId="77777777" w:rsidR="009559C0" w:rsidRPr="009813C8" w:rsidRDefault="009559C0" w:rsidP="00863A0C">
            <w:pPr>
              <w:jc w:val="center"/>
              <w:rPr>
                <w:sz w:val="20"/>
              </w:rPr>
            </w:pPr>
          </w:p>
        </w:tc>
        <w:tc>
          <w:tcPr>
            <w:tcW w:w="1620" w:type="dxa"/>
          </w:tcPr>
          <w:p w14:paraId="51283001" w14:textId="77777777" w:rsidR="009559C0" w:rsidRPr="009813C8" w:rsidRDefault="009559C0" w:rsidP="00863A0C">
            <w:pPr>
              <w:jc w:val="center"/>
              <w:rPr>
                <w:sz w:val="20"/>
              </w:rPr>
            </w:pPr>
          </w:p>
        </w:tc>
        <w:tc>
          <w:tcPr>
            <w:tcW w:w="1458" w:type="dxa"/>
          </w:tcPr>
          <w:p w14:paraId="0DC67BF8" w14:textId="18419FC6" w:rsidR="009559C0" w:rsidRPr="009813C8" w:rsidRDefault="009559C0" w:rsidP="002E5019">
            <w:pPr>
              <w:jc w:val="center"/>
              <w:rPr>
                <w:sz w:val="20"/>
              </w:rPr>
            </w:pPr>
            <w:r w:rsidRPr="009813C8">
              <w:rPr>
                <w:sz w:val="20"/>
              </w:rPr>
              <w:t>$</w:t>
            </w:r>
            <w:r w:rsidR="002E5019">
              <w:rPr>
                <w:sz w:val="20"/>
              </w:rPr>
              <w:t>498, 212</w:t>
            </w:r>
          </w:p>
        </w:tc>
      </w:tr>
      <w:tr w:rsidR="009813C8" w:rsidRPr="009813C8" w14:paraId="50DFEABB" w14:textId="77777777" w:rsidTr="00FC21C1">
        <w:trPr>
          <w:trHeight w:val="332"/>
        </w:trPr>
        <w:tc>
          <w:tcPr>
            <w:tcW w:w="7470" w:type="dxa"/>
            <w:gridSpan w:val="3"/>
            <w:vAlign w:val="center"/>
          </w:tcPr>
          <w:p w14:paraId="18EA5B70" w14:textId="77777777" w:rsidR="004824FA" w:rsidRPr="009813C8" w:rsidRDefault="004824FA" w:rsidP="00863A0C">
            <w:pPr>
              <w:jc w:val="right"/>
              <w:rPr>
                <w:b/>
                <w:sz w:val="20"/>
              </w:rPr>
            </w:pPr>
            <w:r w:rsidRPr="009813C8">
              <w:rPr>
                <w:b/>
                <w:sz w:val="20"/>
              </w:rPr>
              <w:t xml:space="preserve">Estimated Total Cost of </w:t>
            </w:r>
            <w:r w:rsidR="006B4DDC" w:rsidRPr="009813C8">
              <w:rPr>
                <w:b/>
                <w:sz w:val="20"/>
              </w:rPr>
              <w:t>Information</w:t>
            </w:r>
            <w:r w:rsidRPr="009813C8">
              <w:rPr>
                <w:b/>
                <w:sz w:val="20"/>
              </w:rPr>
              <w:t xml:space="preserve"> Collection</w:t>
            </w:r>
          </w:p>
        </w:tc>
        <w:tc>
          <w:tcPr>
            <w:tcW w:w="1458" w:type="dxa"/>
            <w:vAlign w:val="center"/>
          </w:tcPr>
          <w:p w14:paraId="71C29520" w14:textId="366F07C8" w:rsidR="004824FA" w:rsidRPr="009813C8" w:rsidRDefault="009559C0" w:rsidP="00EE5F84">
            <w:pPr>
              <w:jc w:val="center"/>
              <w:rPr>
                <w:b/>
                <w:sz w:val="20"/>
                <w:lang w:eastAsia="ja-JP"/>
              </w:rPr>
            </w:pPr>
            <w:r w:rsidRPr="009813C8">
              <w:rPr>
                <w:b/>
                <w:sz w:val="20"/>
                <w:lang w:eastAsia="ja-JP"/>
              </w:rPr>
              <w:t>$</w:t>
            </w:r>
            <w:r w:rsidR="002E5019">
              <w:rPr>
                <w:b/>
                <w:sz w:val="20"/>
                <w:lang w:eastAsia="ja-JP"/>
              </w:rPr>
              <w:t>56</w:t>
            </w:r>
            <w:r w:rsidR="00EE5F84">
              <w:rPr>
                <w:b/>
                <w:sz w:val="20"/>
                <w:lang w:eastAsia="ja-JP"/>
              </w:rPr>
              <w:t>4</w:t>
            </w:r>
            <w:r w:rsidR="002E5019">
              <w:rPr>
                <w:b/>
                <w:sz w:val="20"/>
                <w:lang w:eastAsia="ja-JP"/>
              </w:rPr>
              <w:t>,462</w:t>
            </w:r>
          </w:p>
        </w:tc>
      </w:tr>
    </w:tbl>
    <w:p w14:paraId="393CD662" w14:textId="77777777" w:rsidR="004841F1" w:rsidRPr="009813C8" w:rsidRDefault="004841F1" w:rsidP="00863A0C">
      <w:pPr>
        <w:spacing w:after="0" w:line="240" w:lineRule="auto"/>
      </w:pPr>
    </w:p>
    <w:p w14:paraId="103C1FF5" w14:textId="77777777" w:rsidR="00B12F51" w:rsidRPr="00B07E35" w:rsidRDefault="00D75750" w:rsidP="00633BDA">
      <w:pPr>
        <w:pStyle w:val="Heading2"/>
      </w:pPr>
      <w:bookmarkStart w:id="50" w:name="_Toc519148140"/>
      <w:bookmarkStart w:id="51" w:name="_Toc519148215"/>
      <w:bookmarkStart w:id="52" w:name="_Toc519148236"/>
      <w:r w:rsidRPr="00B07E35">
        <w:t>Explanation for Program Changes or Adjustments</w:t>
      </w:r>
      <w:bookmarkEnd w:id="50"/>
      <w:bookmarkEnd w:id="51"/>
      <w:bookmarkEnd w:id="52"/>
    </w:p>
    <w:p w14:paraId="78AC452E" w14:textId="77777777" w:rsidR="0058590A" w:rsidRDefault="0058590A" w:rsidP="0058590A">
      <w:pPr>
        <w:pStyle w:val="ListParagraph"/>
        <w:spacing w:after="0" w:line="240" w:lineRule="auto"/>
      </w:pPr>
    </w:p>
    <w:p w14:paraId="616FA3F9" w14:textId="26830C4D" w:rsidR="00AC75FD" w:rsidRPr="00B90564" w:rsidRDefault="00AC75FD" w:rsidP="0058590A">
      <w:pPr>
        <w:pStyle w:val="ListParagraph"/>
        <w:spacing w:after="0" w:line="240" w:lineRule="auto"/>
        <w:rPr>
          <w:highlight w:val="yellow"/>
        </w:rPr>
      </w:pPr>
      <w:r w:rsidRPr="00B90564">
        <w:rPr>
          <w:highlight w:val="yellow"/>
        </w:rPr>
        <w:t xml:space="preserve">This submission is for an extension of OMB Control number 0920-1112.  No changes to the approved ICR are being requested. </w:t>
      </w:r>
      <w:r w:rsidR="00957644" w:rsidRPr="00B90564">
        <w:rPr>
          <w:highlight w:val="yellow"/>
        </w:rPr>
        <w:t>Three</w:t>
      </w:r>
      <w:r w:rsidRPr="00B90564">
        <w:rPr>
          <w:highlight w:val="yellow"/>
        </w:rPr>
        <w:t xml:space="preserve"> more years of clearance are needed to complete the study.</w:t>
      </w:r>
    </w:p>
    <w:p w14:paraId="0C7B9CF9" w14:textId="291A7048" w:rsidR="00B90564" w:rsidRPr="00B90564" w:rsidRDefault="00B90564" w:rsidP="0058590A">
      <w:pPr>
        <w:pStyle w:val="ListParagraph"/>
        <w:spacing w:after="0" w:line="240" w:lineRule="auto"/>
        <w:rPr>
          <w:highlight w:val="yellow"/>
        </w:rPr>
      </w:pPr>
    </w:p>
    <w:p w14:paraId="7652526B" w14:textId="3B10B578" w:rsidR="00B90564" w:rsidRDefault="00B90564" w:rsidP="0058590A">
      <w:pPr>
        <w:pStyle w:val="ListParagraph"/>
        <w:spacing w:after="0" w:line="240" w:lineRule="auto"/>
      </w:pPr>
      <w:r w:rsidRPr="00B90564">
        <w:rPr>
          <w:highlight w:val="yellow"/>
        </w:rPr>
        <w:t>Non-substantive change requests were approved in October 2016 and November 2017. This submission is unchanged from the November 2017 change request.</w:t>
      </w:r>
      <w:r>
        <w:t xml:space="preserve"> </w:t>
      </w:r>
    </w:p>
    <w:p w14:paraId="16224B22" w14:textId="77777777" w:rsidR="00F52BCC" w:rsidRPr="004974B1" w:rsidRDefault="00F52BCC" w:rsidP="00863A0C">
      <w:pPr>
        <w:pStyle w:val="ListParagraph"/>
        <w:spacing w:after="0" w:line="240" w:lineRule="auto"/>
      </w:pPr>
    </w:p>
    <w:p w14:paraId="3CA9116C" w14:textId="77777777" w:rsidR="00567536" w:rsidRPr="004974B1" w:rsidRDefault="00616090" w:rsidP="0048148B">
      <w:pPr>
        <w:pStyle w:val="Heading2"/>
      </w:pPr>
      <w:bookmarkStart w:id="53" w:name="_Toc519148141"/>
      <w:bookmarkStart w:id="54" w:name="_Toc519148216"/>
      <w:bookmarkStart w:id="55" w:name="_Toc519148237"/>
      <w:r w:rsidRPr="004974B1">
        <w:t>Plan</w:t>
      </w:r>
      <w:r w:rsidR="00D75750" w:rsidRPr="004974B1">
        <w:t>s for Tabulation and Publication and Project Time Schedule</w:t>
      </w:r>
      <w:bookmarkEnd w:id="53"/>
      <w:bookmarkEnd w:id="54"/>
      <w:bookmarkEnd w:id="55"/>
    </w:p>
    <w:p w14:paraId="1E28B566" w14:textId="77777777" w:rsidR="00EA6788" w:rsidRPr="004974B1" w:rsidRDefault="00EA6788" w:rsidP="00863A0C">
      <w:pPr>
        <w:pStyle w:val="ListParagraph"/>
        <w:spacing w:after="0" w:line="240" w:lineRule="auto"/>
        <w:ind w:left="810"/>
      </w:pPr>
    </w:p>
    <w:p w14:paraId="2FD1C7D4" w14:textId="75A9F866" w:rsidR="00EA6788" w:rsidRPr="004974B1" w:rsidRDefault="00EA6788" w:rsidP="0058590A">
      <w:pPr>
        <w:pStyle w:val="ListParagraph"/>
        <w:spacing w:after="0" w:line="240" w:lineRule="auto"/>
        <w:rPr>
          <w:lang w:eastAsia="ja-JP"/>
        </w:rPr>
      </w:pPr>
      <w:r w:rsidRPr="004974B1">
        <w:t>The results of the survey will be shared with participating state health departments and CDC programs,</w:t>
      </w:r>
      <w:r w:rsidRPr="004974B1">
        <w:rPr>
          <w:lang w:eastAsia="ja-JP"/>
        </w:rPr>
        <w:t xml:space="preserve"> available for public release through a summary report, and posted to the FoodNet website. </w:t>
      </w:r>
    </w:p>
    <w:p w14:paraId="37B82E37" w14:textId="77777777" w:rsidR="00EA6788" w:rsidRPr="004974B1" w:rsidRDefault="00EA6788" w:rsidP="0058590A">
      <w:pPr>
        <w:pStyle w:val="ListParagraph"/>
        <w:spacing w:after="0" w:line="240" w:lineRule="auto"/>
        <w:rPr>
          <w:b/>
        </w:rPr>
      </w:pPr>
    </w:p>
    <w:p w14:paraId="14E7A396" w14:textId="77777777" w:rsidR="00567536" w:rsidRPr="004974B1" w:rsidRDefault="00567536" w:rsidP="0058590A">
      <w:pPr>
        <w:pStyle w:val="ListParagraph"/>
        <w:tabs>
          <w:tab w:val="right" w:leader="dot" w:pos="9360"/>
        </w:tabs>
        <w:spacing w:after="0" w:line="240" w:lineRule="auto"/>
        <w:rPr>
          <w:u w:val="single"/>
        </w:rPr>
      </w:pPr>
      <w:r w:rsidRPr="004974B1">
        <w:rPr>
          <w:u w:val="single"/>
        </w:rPr>
        <w:t>Analysis Plan</w:t>
      </w:r>
    </w:p>
    <w:p w14:paraId="157B7A40" w14:textId="3AE03561" w:rsidR="00567536" w:rsidRPr="004974B1" w:rsidRDefault="00236D41" w:rsidP="0058590A">
      <w:pPr>
        <w:pStyle w:val="ListParagraph"/>
        <w:autoSpaceDE w:val="0"/>
        <w:autoSpaceDN w:val="0"/>
        <w:adjustRightInd w:val="0"/>
        <w:spacing w:after="0" w:line="240" w:lineRule="auto"/>
        <w:rPr>
          <w:rFonts w:cs="Arial"/>
        </w:rPr>
      </w:pPr>
      <w:r w:rsidRPr="004974B1">
        <w:rPr>
          <w:rFonts w:cs="Arial"/>
        </w:rPr>
        <w:t>Preliminary d</w:t>
      </w:r>
      <w:r w:rsidR="00567536" w:rsidRPr="004974B1">
        <w:rPr>
          <w:rFonts w:cs="Arial"/>
        </w:rPr>
        <w:t xml:space="preserve">ata analysis will begin upon </w:t>
      </w:r>
      <w:r w:rsidRPr="004974B1">
        <w:rPr>
          <w:rFonts w:cs="Arial"/>
        </w:rPr>
        <w:t>receipt of the first dataset from the contracting company (estimated to be one month after completion of the first 3 months of interviews) and continue with each subsequent dataset. Final analysis will be conducted after receipt of the final study dataset containing information from the full 24 months. CDC</w:t>
      </w:r>
      <w:r w:rsidR="00567536" w:rsidRPr="004974B1">
        <w:rPr>
          <w:rFonts w:cs="Arial"/>
        </w:rPr>
        <w:t xml:space="preserve"> </w:t>
      </w:r>
      <w:r w:rsidRPr="004974B1">
        <w:rPr>
          <w:rFonts w:cs="Arial"/>
        </w:rPr>
        <w:t xml:space="preserve">staff </w:t>
      </w:r>
      <w:r w:rsidR="00567536" w:rsidRPr="004974B1">
        <w:rPr>
          <w:rFonts w:cs="Arial"/>
        </w:rPr>
        <w:t xml:space="preserve">will perform analysis using SAS </w:t>
      </w:r>
      <w:r w:rsidRPr="004974B1">
        <w:rPr>
          <w:rFonts w:cs="Arial"/>
        </w:rPr>
        <w:t>v</w:t>
      </w:r>
      <w:r w:rsidR="00567536" w:rsidRPr="004974B1">
        <w:rPr>
          <w:rFonts w:cs="Arial"/>
        </w:rPr>
        <w:t xml:space="preserve">9.3. The analysis will consist of descriptive statistics </w:t>
      </w:r>
      <w:r w:rsidRPr="004974B1">
        <w:rPr>
          <w:rFonts w:cs="Arial"/>
        </w:rPr>
        <w:t>and regression modeling, as appropriate.</w:t>
      </w:r>
    </w:p>
    <w:p w14:paraId="18612EBE" w14:textId="77777777" w:rsidR="00345CEA" w:rsidRDefault="00345CEA" w:rsidP="00863A0C">
      <w:pPr>
        <w:spacing w:after="0" w:line="240" w:lineRule="auto"/>
        <w:ind w:firstLine="720"/>
        <w:rPr>
          <w:sz w:val="24"/>
          <w:u w:val="single"/>
        </w:rPr>
      </w:pPr>
    </w:p>
    <w:p w14:paraId="5067648A" w14:textId="77777777" w:rsidR="000A71DF" w:rsidRPr="004974B1" w:rsidRDefault="000A71DF" w:rsidP="00863A0C">
      <w:pPr>
        <w:spacing w:after="0" w:line="240" w:lineRule="auto"/>
        <w:ind w:firstLine="720"/>
        <w:rPr>
          <w:sz w:val="24"/>
          <w:u w:val="single"/>
        </w:rPr>
      </w:pPr>
      <w:r w:rsidRPr="004974B1">
        <w:rPr>
          <w:sz w:val="24"/>
          <w:u w:val="single"/>
        </w:rPr>
        <w:t>Project Time Schedule</w:t>
      </w:r>
    </w:p>
    <w:p w14:paraId="2988EE08" w14:textId="77777777" w:rsidR="00F43413" w:rsidRPr="004974B1" w:rsidRDefault="00F43413" w:rsidP="00884091">
      <w:pPr>
        <w:pStyle w:val="ListParagraph"/>
        <w:numPr>
          <w:ilvl w:val="0"/>
          <w:numId w:val="3"/>
        </w:numPr>
        <w:tabs>
          <w:tab w:val="right" w:leader="dot" w:pos="9360"/>
        </w:tabs>
        <w:spacing w:after="0" w:line="240" w:lineRule="auto"/>
        <w:ind w:left="1440"/>
      </w:pPr>
      <w:r w:rsidRPr="004974B1">
        <w:t>Design survey questionnaire</w:t>
      </w:r>
      <w:r w:rsidRPr="004974B1">
        <w:tab/>
        <w:t>(COMPLETE)</w:t>
      </w:r>
    </w:p>
    <w:p w14:paraId="7FCAE7DD" w14:textId="785749D7" w:rsidR="004974B1" w:rsidRPr="004974B1" w:rsidRDefault="004974B1" w:rsidP="00884091">
      <w:pPr>
        <w:pStyle w:val="ListParagraph"/>
        <w:numPr>
          <w:ilvl w:val="0"/>
          <w:numId w:val="4"/>
        </w:numPr>
        <w:tabs>
          <w:tab w:val="right" w:leader="dot" w:pos="9360"/>
        </w:tabs>
        <w:spacing w:after="0" w:line="240" w:lineRule="auto"/>
        <w:ind w:left="1440"/>
      </w:pPr>
      <w:r w:rsidRPr="004974B1">
        <w:t>Receive IRB approval</w:t>
      </w:r>
      <w:r w:rsidRPr="004974B1">
        <w:tab/>
        <w:t>(COMPLETE)</w:t>
      </w:r>
    </w:p>
    <w:p w14:paraId="052071F7" w14:textId="18EB99B8" w:rsidR="00F43413" w:rsidRPr="004974B1" w:rsidRDefault="00236D41" w:rsidP="00884091">
      <w:pPr>
        <w:pStyle w:val="ListParagraph"/>
        <w:numPr>
          <w:ilvl w:val="0"/>
          <w:numId w:val="4"/>
        </w:numPr>
        <w:tabs>
          <w:tab w:val="right" w:leader="dot" w:pos="9360"/>
        </w:tabs>
        <w:spacing w:after="0" w:line="240" w:lineRule="auto"/>
        <w:ind w:left="1440"/>
      </w:pPr>
      <w:r w:rsidRPr="004974B1">
        <w:t>Prepare the request for task order proposal form</w:t>
      </w:r>
      <w:r w:rsidR="00F43413" w:rsidRPr="004974B1">
        <w:tab/>
        <w:t>(COMPLETE)</w:t>
      </w:r>
    </w:p>
    <w:p w14:paraId="26C69055" w14:textId="77777777" w:rsidR="00F43413" w:rsidRPr="004974B1" w:rsidRDefault="00F43413" w:rsidP="00884091">
      <w:pPr>
        <w:pStyle w:val="ListParagraph"/>
        <w:numPr>
          <w:ilvl w:val="0"/>
          <w:numId w:val="5"/>
        </w:numPr>
        <w:tabs>
          <w:tab w:val="right" w:leader="dot" w:pos="9360"/>
        </w:tabs>
        <w:spacing w:after="0" w:line="240" w:lineRule="auto"/>
        <w:ind w:left="1440"/>
      </w:pPr>
      <w:r w:rsidRPr="004974B1">
        <w:t>Prepare OMB package</w:t>
      </w:r>
      <w:r w:rsidRPr="004974B1">
        <w:tab/>
        <w:t>(COMPLETE)</w:t>
      </w:r>
    </w:p>
    <w:p w14:paraId="2A9BD3EA" w14:textId="5E441440" w:rsidR="00F43413" w:rsidRDefault="00F43413" w:rsidP="00884091">
      <w:pPr>
        <w:pStyle w:val="ListParagraph"/>
        <w:numPr>
          <w:ilvl w:val="0"/>
          <w:numId w:val="5"/>
        </w:numPr>
        <w:tabs>
          <w:tab w:val="right" w:leader="dot" w:pos="9360"/>
        </w:tabs>
        <w:spacing w:after="0" w:line="240" w:lineRule="auto"/>
        <w:ind w:left="1440"/>
      </w:pPr>
      <w:r w:rsidRPr="004974B1">
        <w:t>Submit OMB package</w:t>
      </w:r>
      <w:r w:rsidRPr="004974B1">
        <w:tab/>
        <w:t>(COMPLETE)</w:t>
      </w:r>
    </w:p>
    <w:p w14:paraId="74C9B4F0" w14:textId="7FCED9FA" w:rsidR="0023229A" w:rsidRPr="0023229A" w:rsidRDefault="0023229A" w:rsidP="00884091">
      <w:pPr>
        <w:pStyle w:val="ListParagraph"/>
        <w:numPr>
          <w:ilvl w:val="0"/>
          <w:numId w:val="5"/>
        </w:numPr>
        <w:tabs>
          <w:tab w:val="right" w:leader="dot" w:pos="9360"/>
        </w:tabs>
        <w:spacing w:after="0" w:line="240" w:lineRule="auto"/>
        <w:ind w:left="1440"/>
        <w:rPr>
          <w:highlight w:val="yellow"/>
        </w:rPr>
      </w:pPr>
      <w:r w:rsidRPr="0023229A">
        <w:rPr>
          <w:highlight w:val="yellow"/>
        </w:rPr>
        <w:t>OMB approval ………………………………………………………………………………………..…...(COMPLETE)</w:t>
      </w:r>
    </w:p>
    <w:p w14:paraId="3D8D5218" w14:textId="27D94BCF" w:rsidR="0023229A" w:rsidRPr="0023229A" w:rsidRDefault="0023229A" w:rsidP="00884091">
      <w:pPr>
        <w:pStyle w:val="ListParagraph"/>
        <w:numPr>
          <w:ilvl w:val="0"/>
          <w:numId w:val="5"/>
        </w:numPr>
        <w:tabs>
          <w:tab w:val="right" w:leader="dot" w:pos="9360"/>
        </w:tabs>
        <w:spacing w:after="0" w:line="240" w:lineRule="auto"/>
        <w:ind w:left="1440"/>
      </w:pPr>
      <w:r w:rsidRPr="0023229A">
        <w:t>Publish RFP, receive bids, and select contractor ………………………..…………………(COMPLETE)</w:t>
      </w:r>
    </w:p>
    <w:p w14:paraId="563DFF2B" w14:textId="6D9FD089" w:rsidR="0023229A" w:rsidRPr="0023229A" w:rsidRDefault="0023229A" w:rsidP="00884091">
      <w:pPr>
        <w:pStyle w:val="ListParagraph"/>
        <w:numPr>
          <w:ilvl w:val="0"/>
          <w:numId w:val="5"/>
        </w:numPr>
        <w:tabs>
          <w:tab w:val="right" w:leader="dot" w:pos="9360"/>
        </w:tabs>
        <w:spacing w:after="0" w:line="240" w:lineRule="auto"/>
        <w:ind w:left="1440"/>
        <w:rPr>
          <w:highlight w:val="yellow"/>
        </w:rPr>
      </w:pPr>
      <w:r w:rsidRPr="0023229A">
        <w:rPr>
          <w:highlight w:val="yellow"/>
        </w:rPr>
        <w:t>Pilot test survey questionnaire …………………………………………………………………….(COMPLETE)</w:t>
      </w:r>
    </w:p>
    <w:p w14:paraId="7FD0B8C8" w14:textId="44ECF768" w:rsidR="00F43413" w:rsidRPr="004974B1" w:rsidRDefault="00296CE2" w:rsidP="00884091">
      <w:pPr>
        <w:pStyle w:val="ListParagraph"/>
        <w:numPr>
          <w:ilvl w:val="0"/>
          <w:numId w:val="6"/>
        </w:numPr>
        <w:tabs>
          <w:tab w:val="right" w:leader="dot" w:pos="9360"/>
        </w:tabs>
        <w:spacing w:after="0" w:line="240" w:lineRule="auto"/>
        <w:ind w:left="1440"/>
      </w:pPr>
      <w:r w:rsidRPr="004974B1">
        <w:t>Conduct survey</w:t>
      </w:r>
      <w:r w:rsidRPr="004974B1">
        <w:tab/>
        <w:t>(</w:t>
      </w:r>
      <w:r w:rsidR="004974B1" w:rsidRPr="004974B1">
        <w:t>24 months</w:t>
      </w:r>
      <w:r w:rsidR="00F43413" w:rsidRPr="004974B1">
        <w:t>)</w:t>
      </w:r>
    </w:p>
    <w:p w14:paraId="16BC8960" w14:textId="5BA007C9" w:rsidR="00F43413" w:rsidRPr="004974B1" w:rsidRDefault="00F43413" w:rsidP="00884091">
      <w:pPr>
        <w:pStyle w:val="ListParagraph"/>
        <w:numPr>
          <w:ilvl w:val="0"/>
          <w:numId w:val="6"/>
        </w:numPr>
        <w:tabs>
          <w:tab w:val="right" w:leader="dot" w:pos="9360"/>
        </w:tabs>
        <w:spacing w:after="0" w:line="240" w:lineRule="auto"/>
        <w:ind w:left="1440"/>
      </w:pPr>
      <w:r w:rsidRPr="004974B1">
        <w:t>Collect, code, quality control, and analyze data</w:t>
      </w:r>
      <w:r w:rsidRPr="004974B1">
        <w:tab/>
        <w:t>(</w:t>
      </w:r>
      <w:r w:rsidR="004974B1" w:rsidRPr="004974B1">
        <w:t>3 months</w:t>
      </w:r>
      <w:r w:rsidRPr="004974B1">
        <w:t>)</w:t>
      </w:r>
    </w:p>
    <w:p w14:paraId="59EEF3B4" w14:textId="28E066CE" w:rsidR="00F43413" w:rsidRPr="004974B1" w:rsidRDefault="00F43413" w:rsidP="00884091">
      <w:pPr>
        <w:pStyle w:val="ListParagraph"/>
        <w:numPr>
          <w:ilvl w:val="0"/>
          <w:numId w:val="6"/>
        </w:numPr>
        <w:tabs>
          <w:tab w:val="right" w:leader="dot" w:pos="9360"/>
        </w:tabs>
        <w:spacing w:after="0" w:line="240" w:lineRule="auto"/>
        <w:ind w:left="1440"/>
      </w:pPr>
      <w:r w:rsidRPr="004974B1">
        <w:t xml:space="preserve">Prepare </w:t>
      </w:r>
      <w:r w:rsidR="004974B1" w:rsidRPr="004974B1">
        <w:t xml:space="preserve">summary </w:t>
      </w:r>
      <w:r w:rsidRPr="004974B1">
        <w:t>report</w:t>
      </w:r>
      <w:r w:rsidR="004974B1" w:rsidRPr="004974B1">
        <w:t>s</w:t>
      </w:r>
      <w:r w:rsidRPr="004974B1">
        <w:tab/>
        <w:t>(</w:t>
      </w:r>
      <w:r w:rsidR="004974B1" w:rsidRPr="004974B1">
        <w:t>3 months</w:t>
      </w:r>
      <w:r w:rsidRPr="004974B1">
        <w:t>)</w:t>
      </w:r>
    </w:p>
    <w:p w14:paraId="3F081356" w14:textId="43D4A5DB" w:rsidR="003949AC" w:rsidRPr="004974B1" w:rsidRDefault="00F43413" w:rsidP="00884091">
      <w:pPr>
        <w:pStyle w:val="ListParagraph"/>
        <w:numPr>
          <w:ilvl w:val="0"/>
          <w:numId w:val="6"/>
        </w:numPr>
        <w:tabs>
          <w:tab w:val="right" w:leader="dot" w:pos="9360"/>
        </w:tabs>
        <w:spacing w:after="0" w:line="240" w:lineRule="auto"/>
        <w:ind w:left="1440"/>
      </w:pPr>
      <w:r w:rsidRPr="004974B1">
        <w:t>Disseminate results/publication of findings</w:t>
      </w:r>
      <w:r w:rsidRPr="004974B1">
        <w:tab/>
      </w:r>
      <w:r w:rsidR="004974B1" w:rsidRPr="004974B1">
        <w:t>3 months</w:t>
      </w:r>
      <w:r w:rsidRPr="004974B1">
        <w:t>)</w:t>
      </w:r>
    </w:p>
    <w:p w14:paraId="33DAA701" w14:textId="77777777" w:rsidR="000A71DF" w:rsidRPr="004974B1" w:rsidRDefault="000A71DF" w:rsidP="00863A0C">
      <w:pPr>
        <w:pStyle w:val="ListParagraph"/>
        <w:tabs>
          <w:tab w:val="right" w:leader="dot" w:pos="9360"/>
        </w:tabs>
        <w:spacing w:after="0" w:line="240" w:lineRule="auto"/>
        <w:ind w:left="1440"/>
      </w:pPr>
    </w:p>
    <w:p w14:paraId="6645A641" w14:textId="77777777" w:rsidR="00B12F51" w:rsidRPr="004974B1" w:rsidRDefault="00D75750" w:rsidP="0048148B">
      <w:pPr>
        <w:pStyle w:val="Heading2"/>
      </w:pPr>
      <w:bookmarkStart w:id="56" w:name="_Toc519148142"/>
      <w:bookmarkStart w:id="57" w:name="_Toc519148217"/>
      <w:bookmarkStart w:id="58" w:name="_Toc519148238"/>
      <w:r w:rsidRPr="004974B1">
        <w:t>Reason(s) Display of OMB Expiration Date is Inappropriate</w:t>
      </w:r>
      <w:bookmarkEnd w:id="56"/>
      <w:bookmarkEnd w:id="57"/>
      <w:bookmarkEnd w:id="58"/>
    </w:p>
    <w:p w14:paraId="4D1013DA" w14:textId="77777777" w:rsidR="005558B7" w:rsidRDefault="005558B7" w:rsidP="00863A0C">
      <w:pPr>
        <w:pStyle w:val="ListParagraph"/>
        <w:spacing w:after="0" w:line="240" w:lineRule="auto"/>
      </w:pPr>
    </w:p>
    <w:p w14:paraId="1908041A" w14:textId="30808236" w:rsidR="00F52BCC" w:rsidRPr="004974B1" w:rsidRDefault="00180D45" w:rsidP="00863A0C">
      <w:pPr>
        <w:pStyle w:val="ListParagraph"/>
        <w:spacing w:after="0" w:line="240" w:lineRule="auto"/>
      </w:pPr>
      <w:r w:rsidRPr="004974B1">
        <w:t>We are requesting no exemption.</w:t>
      </w:r>
    </w:p>
    <w:p w14:paraId="63920FEB" w14:textId="77777777" w:rsidR="00F52BCC" w:rsidRPr="004974B1" w:rsidRDefault="00F52BCC" w:rsidP="00863A0C">
      <w:pPr>
        <w:pStyle w:val="ListParagraph"/>
        <w:spacing w:after="0" w:line="240" w:lineRule="auto"/>
      </w:pPr>
    </w:p>
    <w:p w14:paraId="7579863B" w14:textId="77777777" w:rsidR="00B12F51" w:rsidRPr="004974B1" w:rsidRDefault="00B12F51" w:rsidP="0048148B">
      <w:pPr>
        <w:pStyle w:val="Heading2"/>
      </w:pPr>
      <w:bookmarkStart w:id="59" w:name="_Toc519148143"/>
      <w:bookmarkStart w:id="60" w:name="_Toc519148218"/>
      <w:bookmarkStart w:id="61" w:name="_Toc519148239"/>
      <w:r w:rsidRPr="004974B1">
        <w:t>Exceptions to Certification for Paperwork Reduction Act Submissions</w:t>
      </w:r>
      <w:bookmarkEnd w:id="59"/>
      <w:bookmarkEnd w:id="60"/>
      <w:bookmarkEnd w:id="61"/>
    </w:p>
    <w:p w14:paraId="08E26CF2" w14:textId="77777777" w:rsidR="005558B7" w:rsidRDefault="005558B7" w:rsidP="008A77A3">
      <w:pPr>
        <w:pStyle w:val="ListParagraph"/>
        <w:spacing w:after="0" w:line="240" w:lineRule="auto"/>
      </w:pPr>
    </w:p>
    <w:p w14:paraId="00B2E797" w14:textId="0AEEDEB5" w:rsidR="002F1D86" w:rsidRPr="00C50324" w:rsidRDefault="0031279F" w:rsidP="008A77A3">
      <w:pPr>
        <w:pStyle w:val="ListParagraph"/>
        <w:spacing w:after="0" w:line="240" w:lineRule="auto"/>
      </w:pPr>
      <w:r w:rsidRPr="004974B1">
        <w:t>There are no exceptions to the certification.</w:t>
      </w:r>
      <w:r w:rsidR="00180D45" w:rsidRPr="004974B1">
        <w:t xml:space="preserve">  These activities comply with the requirements in 5 CFR 1320.9.</w:t>
      </w:r>
    </w:p>
    <w:p w14:paraId="0E2DB64A" w14:textId="77777777" w:rsidR="008A77A3" w:rsidRPr="00C50324" w:rsidRDefault="008A77A3" w:rsidP="00C50324">
      <w:pPr>
        <w:pStyle w:val="ListParagraph"/>
        <w:spacing w:after="0" w:line="240" w:lineRule="auto"/>
        <w:rPr>
          <w:b/>
          <w:sz w:val="28"/>
        </w:rPr>
      </w:pPr>
    </w:p>
    <w:p w14:paraId="3FB819A3" w14:textId="2E099B52" w:rsidR="00092A45" w:rsidRPr="008A77A3" w:rsidRDefault="00092A45" w:rsidP="008A77A3">
      <w:pPr>
        <w:rPr>
          <w:b/>
          <w:sz w:val="24"/>
          <w:szCs w:val="24"/>
        </w:rPr>
      </w:pPr>
      <w:r w:rsidRPr="00D351B4">
        <w:rPr>
          <w:b/>
          <w:sz w:val="24"/>
          <w:szCs w:val="24"/>
        </w:rPr>
        <w:t>R</w:t>
      </w:r>
      <w:r w:rsidR="00F6773D" w:rsidRPr="00D351B4">
        <w:rPr>
          <w:b/>
          <w:sz w:val="24"/>
          <w:szCs w:val="24"/>
        </w:rPr>
        <w:t xml:space="preserve">eferences </w:t>
      </w:r>
    </w:p>
    <w:p w14:paraId="14BC61AD" w14:textId="451A683D" w:rsidR="00092A45" w:rsidRPr="0062463B" w:rsidRDefault="00092A45" w:rsidP="00884091">
      <w:pPr>
        <w:pStyle w:val="ListParagraph"/>
        <w:numPr>
          <w:ilvl w:val="0"/>
          <w:numId w:val="9"/>
        </w:numPr>
        <w:spacing w:after="0" w:line="240" w:lineRule="auto"/>
      </w:pPr>
      <w:r w:rsidRPr="0062463B">
        <w:rPr>
          <w:bCs/>
        </w:rPr>
        <w:t>Scallan E, Hoekstra RM, Angulo FJ, Tauxe RV, Widdowson M-A, Roy SL, Jones JL, Griffin PM: Foodborne illness acquired in the United States—</w:t>
      </w:r>
      <w:r w:rsidR="002B2BBE">
        <w:rPr>
          <w:bCs/>
        </w:rPr>
        <w:t>Major Pathogens</w:t>
      </w:r>
      <w:r w:rsidR="00C6168E" w:rsidRPr="0062463B">
        <w:rPr>
          <w:bCs/>
        </w:rPr>
        <w:t xml:space="preserve">. </w:t>
      </w:r>
      <w:r w:rsidRPr="0062463B">
        <w:rPr>
          <w:bCs/>
        </w:rPr>
        <w:t xml:space="preserve"> </w:t>
      </w:r>
      <w:r w:rsidRPr="0062463B">
        <w:rPr>
          <w:bCs/>
          <w:i/>
          <w:iCs/>
        </w:rPr>
        <w:t>Emerg Infect Dis</w:t>
      </w:r>
      <w:r w:rsidR="00C6168E" w:rsidRPr="0062463B">
        <w:rPr>
          <w:bCs/>
        </w:rPr>
        <w:t xml:space="preserve"> 2011, 17:</w:t>
      </w:r>
      <w:r w:rsidR="002B2BBE">
        <w:rPr>
          <w:bCs/>
        </w:rPr>
        <w:t>7-15</w:t>
      </w:r>
      <w:r w:rsidRPr="0062463B">
        <w:rPr>
          <w:bCs/>
        </w:rPr>
        <w:t>.</w:t>
      </w:r>
    </w:p>
    <w:p w14:paraId="7F744C9E" w14:textId="0B613618" w:rsidR="0062463B" w:rsidRPr="0062463B" w:rsidRDefault="0062463B" w:rsidP="00884091">
      <w:pPr>
        <w:pStyle w:val="ListParagraph"/>
        <w:numPr>
          <w:ilvl w:val="0"/>
          <w:numId w:val="9"/>
        </w:numPr>
        <w:autoSpaceDE w:val="0"/>
        <w:autoSpaceDN w:val="0"/>
        <w:spacing w:after="0" w:line="240" w:lineRule="auto"/>
      </w:pPr>
      <w:r>
        <w:rPr>
          <w:bCs/>
        </w:rPr>
        <w:t xml:space="preserve">CDC. </w:t>
      </w:r>
      <w:r w:rsidR="0086399E" w:rsidRPr="0062463B">
        <w:rPr>
          <w:bCs/>
        </w:rPr>
        <w:t>B</w:t>
      </w:r>
      <w:r>
        <w:rPr>
          <w:bCs/>
        </w:rPr>
        <w:t>ehavioral Risk Factor Surveillance System (B</w:t>
      </w:r>
      <w:r w:rsidR="0086399E" w:rsidRPr="0062463B">
        <w:rPr>
          <w:bCs/>
        </w:rPr>
        <w:t>RFSS</w:t>
      </w:r>
      <w:r>
        <w:rPr>
          <w:bCs/>
        </w:rPr>
        <w:t>) Overview 2013.</w:t>
      </w:r>
      <w:r w:rsidR="00FB16BA" w:rsidRPr="0062463B">
        <w:rPr>
          <w:bCs/>
        </w:rPr>
        <w:t xml:space="preserve"> </w:t>
      </w:r>
      <w:hyperlink r:id="rId13" w:history="1">
        <w:r w:rsidRPr="0062463B">
          <w:rPr>
            <w:rStyle w:val="Hyperlink"/>
            <w:rFonts w:cs="Segoe UI"/>
          </w:rPr>
          <w:t>http://www.cdc.gov/brfss/annual_data/2013/pdf/overview_2013.pdf</w:t>
        </w:r>
      </w:hyperlink>
      <w:r>
        <w:rPr>
          <w:rFonts w:cs="Segoe UI"/>
        </w:rPr>
        <w:t xml:space="preserve">. Accessed April 21, 2015. </w:t>
      </w:r>
    </w:p>
    <w:p w14:paraId="23191752" w14:textId="2BAC3E83" w:rsidR="0062463B" w:rsidRPr="0062463B" w:rsidRDefault="00770B3A" w:rsidP="00884091">
      <w:pPr>
        <w:pStyle w:val="ListParagraph"/>
        <w:numPr>
          <w:ilvl w:val="0"/>
          <w:numId w:val="9"/>
        </w:numPr>
        <w:autoSpaceDE w:val="0"/>
        <w:autoSpaceDN w:val="0"/>
        <w:spacing w:after="0" w:line="240" w:lineRule="auto"/>
      </w:pPr>
      <w:hyperlink r:id="rId14" w:history="1">
        <w:r w:rsidR="0062463B" w:rsidRPr="0062463B">
          <w:rPr>
            <w:rStyle w:val="highlight2"/>
            <w:rFonts w:cs="Arial"/>
          </w:rPr>
          <w:t>Mead</w:t>
        </w:r>
        <w:r w:rsidR="0062463B" w:rsidRPr="0062463B">
          <w:rPr>
            <w:rFonts w:cs="Arial"/>
          </w:rPr>
          <w:t xml:space="preserve"> PS</w:t>
        </w:r>
      </w:hyperlink>
      <w:r w:rsidR="0062463B" w:rsidRPr="0062463B">
        <w:rPr>
          <w:rFonts w:cs="Arial"/>
          <w:vertAlign w:val="superscript"/>
        </w:rPr>
        <w:t>1</w:t>
      </w:r>
      <w:r w:rsidR="0062463B" w:rsidRPr="0062463B">
        <w:rPr>
          <w:rFonts w:cs="Arial"/>
        </w:rPr>
        <w:t xml:space="preserve">, </w:t>
      </w:r>
      <w:hyperlink r:id="rId15" w:history="1">
        <w:r w:rsidR="0062463B" w:rsidRPr="0062463B">
          <w:rPr>
            <w:rFonts w:cs="Arial"/>
          </w:rPr>
          <w:t>Slutsker L</w:t>
        </w:r>
      </w:hyperlink>
      <w:r w:rsidR="0062463B" w:rsidRPr="0062463B">
        <w:rPr>
          <w:rFonts w:cs="Arial"/>
        </w:rPr>
        <w:t xml:space="preserve">, </w:t>
      </w:r>
      <w:hyperlink r:id="rId16" w:history="1">
        <w:r w:rsidR="0062463B" w:rsidRPr="0062463B">
          <w:rPr>
            <w:rFonts w:cs="Arial"/>
          </w:rPr>
          <w:t>Dietz V</w:t>
        </w:r>
      </w:hyperlink>
      <w:r w:rsidR="0062463B" w:rsidRPr="0062463B">
        <w:rPr>
          <w:rFonts w:cs="Arial"/>
        </w:rPr>
        <w:t xml:space="preserve">, </w:t>
      </w:r>
      <w:hyperlink r:id="rId17" w:history="1">
        <w:r w:rsidR="0062463B" w:rsidRPr="0062463B">
          <w:rPr>
            <w:rFonts w:cs="Arial"/>
          </w:rPr>
          <w:t>McCaig LF</w:t>
        </w:r>
      </w:hyperlink>
      <w:r w:rsidR="0062463B" w:rsidRPr="0062463B">
        <w:rPr>
          <w:rFonts w:cs="Arial"/>
        </w:rPr>
        <w:t xml:space="preserve">, </w:t>
      </w:r>
      <w:hyperlink r:id="rId18" w:history="1">
        <w:r w:rsidR="0062463B" w:rsidRPr="0062463B">
          <w:rPr>
            <w:rFonts w:cs="Arial"/>
          </w:rPr>
          <w:t>Bresee JS</w:t>
        </w:r>
      </w:hyperlink>
      <w:r w:rsidR="0062463B" w:rsidRPr="0062463B">
        <w:rPr>
          <w:rFonts w:cs="Arial"/>
        </w:rPr>
        <w:t xml:space="preserve">, </w:t>
      </w:r>
      <w:hyperlink r:id="rId19" w:history="1">
        <w:r w:rsidR="0062463B" w:rsidRPr="0062463B">
          <w:rPr>
            <w:rFonts w:cs="Arial"/>
          </w:rPr>
          <w:t>Shapiro C</w:t>
        </w:r>
      </w:hyperlink>
      <w:r w:rsidR="0062463B" w:rsidRPr="0062463B">
        <w:rPr>
          <w:rFonts w:cs="Arial"/>
        </w:rPr>
        <w:t xml:space="preserve">, </w:t>
      </w:r>
      <w:hyperlink r:id="rId20" w:history="1">
        <w:r w:rsidR="0062463B" w:rsidRPr="0062463B">
          <w:rPr>
            <w:rFonts w:cs="Arial"/>
          </w:rPr>
          <w:t>Griffin PM</w:t>
        </w:r>
      </w:hyperlink>
      <w:r w:rsidR="0062463B" w:rsidRPr="0062463B">
        <w:rPr>
          <w:rFonts w:cs="Arial"/>
        </w:rPr>
        <w:t xml:space="preserve">, </w:t>
      </w:r>
      <w:hyperlink r:id="rId21" w:history="1">
        <w:r w:rsidR="0062463B" w:rsidRPr="0062463B">
          <w:rPr>
            <w:rFonts w:cs="Arial"/>
          </w:rPr>
          <w:t>Tauxe RV</w:t>
        </w:r>
      </w:hyperlink>
      <w:r w:rsidR="0062463B" w:rsidRPr="0062463B">
        <w:rPr>
          <w:rFonts w:cs="Arial"/>
        </w:rPr>
        <w:t xml:space="preserve">. Food-related </w:t>
      </w:r>
      <w:r w:rsidR="0062463B" w:rsidRPr="0062463B">
        <w:rPr>
          <w:rStyle w:val="highlight2"/>
          <w:rFonts w:cs="Arial"/>
        </w:rPr>
        <w:t>illness</w:t>
      </w:r>
      <w:r w:rsidR="0062463B" w:rsidRPr="0062463B">
        <w:rPr>
          <w:rFonts w:cs="Arial"/>
        </w:rPr>
        <w:t xml:space="preserve"> and death in the United States. </w:t>
      </w:r>
      <w:hyperlink r:id="rId22" w:tooltip="Emerging infectious diseases." w:history="1">
        <w:r w:rsidR="0062463B" w:rsidRPr="0062463B">
          <w:rPr>
            <w:rFonts w:cs="Arial"/>
          </w:rPr>
          <w:t>Emerg Infect Dis.</w:t>
        </w:r>
      </w:hyperlink>
      <w:r w:rsidR="0062463B" w:rsidRPr="0062463B">
        <w:rPr>
          <w:rFonts w:cs="Arial"/>
        </w:rPr>
        <w:t xml:space="preserve"> 1999 Sep-Oct;5(5):607-25.</w:t>
      </w:r>
    </w:p>
    <w:p w14:paraId="37742E36" w14:textId="77777777" w:rsidR="00734C94" w:rsidRPr="00E876FB" w:rsidRDefault="00734C94" w:rsidP="00884091">
      <w:pPr>
        <w:pStyle w:val="FormBodyText"/>
        <w:keepNext/>
        <w:numPr>
          <w:ilvl w:val="0"/>
          <w:numId w:val="9"/>
        </w:numPr>
        <w:rPr>
          <w:rFonts w:asciiTheme="minorHAnsi" w:hAnsiTheme="minorHAnsi"/>
          <w:sz w:val="22"/>
          <w:szCs w:val="22"/>
        </w:rPr>
      </w:pPr>
      <w:r w:rsidRPr="00E876FB">
        <w:rPr>
          <w:rFonts w:asciiTheme="minorHAnsi" w:hAnsiTheme="minorHAnsi"/>
          <w:sz w:val="22"/>
          <w:szCs w:val="22"/>
        </w:rPr>
        <w:t xml:space="preserve">Ahmad N, Karr J, Smith G, Burzlaff K, Nguyen T, Gieraltowski L, et al. Rapid response to Escherichia coli O157 outbreak –  New York, 2012. In: Proceedings of the 62nd Annual Epidemic Intelligence Service (EIS) Conference; 2013 Apr 22-26; Atlanta, GA. Poster 2.12. </w:t>
      </w:r>
    </w:p>
    <w:p w14:paraId="22B0F356" w14:textId="77777777" w:rsidR="00734C94" w:rsidRPr="00E876FB" w:rsidRDefault="00734C94" w:rsidP="00884091">
      <w:pPr>
        <w:pStyle w:val="FormBodyText"/>
        <w:keepNext/>
        <w:numPr>
          <w:ilvl w:val="0"/>
          <w:numId w:val="9"/>
        </w:numPr>
        <w:spacing w:before="0" w:after="0"/>
        <w:rPr>
          <w:rFonts w:asciiTheme="minorHAnsi" w:hAnsiTheme="minorHAnsi"/>
          <w:sz w:val="22"/>
          <w:szCs w:val="22"/>
        </w:rPr>
      </w:pPr>
      <w:r w:rsidRPr="00E876FB">
        <w:rPr>
          <w:rFonts w:asciiTheme="minorHAnsi" w:hAnsiTheme="minorHAnsi"/>
          <w:sz w:val="22"/>
          <w:szCs w:val="22"/>
        </w:rPr>
        <w:t xml:space="preserve">Ailes E, Scallan E, Berkelman R, Kleinbaum D, Tauxe R, Moe C. Do Differences in Risk Factors, Medical Care Seeking, or Medical Practices Explain the Geographic Variation in </w:t>
      </w:r>
      <w:r>
        <w:rPr>
          <w:rFonts w:asciiTheme="minorHAnsi" w:hAnsiTheme="minorHAnsi"/>
          <w:sz w:val="22"/>
          <w:szCs w:val="22"/>
        </w:rPr>
        <w:t>C</w:t>
      </w:r>
      <w:r w:rsidRPr="00E876FB">
        <w:rPr>
          <w:rFonts w:asciiTheme="minorHAnsi" w:hAnsiTheme="minorHAnsi"/>
          <w:sz w:val="22"/>
          <w:szCs w:val="22"/>
        </w:rPr>
        <w:t>ampylobacteriosis in the FoodNet Sites?</w:t>
      </w:r>
    </w:p>
    <w:p w14:paraId="4A8EB979" w14:textId="77777777" w:rsidR="00734C94" w:rsidRPr="00E876FB" w:rsidRDefault="00734C94" w:rsidP="00884091">
      <w:pPr>
        <w:pStyle w:val="FormBodyText"/>
        <w:keepNext/>
        <w:numPr>
          <w:ilvl w:val="0"/>
          <w:numId w:val="9"/>
        </w:numPr>
        <w:spacing w:before="0" w:after="0"/>
        <w:rPr>
          <w:rFonts w:asciiTheme="minorHAnsi" w:hAnsiTheme="minorHAnsi"/>
          <w:sz w:val="22"/>
          <w:szCs w:val="22"/>
        </w:rPr>
      </w:pPr>
      <w:r w:rsidRPr="00E876FB">
        <w:rPr>
          <w:rFonts w:asciiTheme="minorHAnsi" w:hAnsiTheme="minorHAnsi"/>
          <w:sz w:val="22"/>
          <w:szCs w:val="22"/>
        </w:rPr>
        <w:t>Abrams JY, Maddox RA, Harvey AR, Schonberger LB, Belay ED. Travel history, hunting, and venison consumption related to prion disease exposure, 2006-2007 FoodNet Population Survey. J Am Diet Assoc. 2011 Jun; 111(6):858-63.</w:t>
      </w:r>
    </w:p>
    <w:p w14:paraId="4C31EFD9" w14:textId="77777777" w:rsidR="00734C94" w:rsidRPr="00E876FB" w:rsidRDefault="00734C94" w:rsidP="00884091">
      <w:pPr>
        <w:pStyle w:val="FormBodyText"/>
        <w:keepNext/>
        <w:numPr>
          <w:ilvl w:val="0"/>
          <w:numId w:val="9"/>
        </w:numPr>
        <w:rPr>
          <w:rFonts w:asciiTheme="minorHAnsi" w:hAnsiTheme="minorHAnsi"/>
          <w:sz w:val="22"/>
          <w:szCs w:val="22"/>
        </w:rPr>
      </w:pPr>
      <w:r w:rsidRPr="00E876FB">
        <w:rPr>
          <w:rFonts w:asciiTheme="minorHAnsi" w:hAnsiTheme="minorHAnsi"/>
          <w:sz w:val="22"/>
          <w:szCs w:val="22"/>
        </w:rPr>
        <w:t>Buzby JC, Gould LH, Kendall ME, Jones TF, Robinson T, Blayney DP. Characteristics of consumers of unpasteurized milk in the United States. J Consum Aff. 2013 Jan; 47(1):153-66.</w:t>
      </w:r>
    </w:p>
    <w:p w14:paraId="59EC1B8F" w14:textId="77777777" w:rsidR="00E876FB" w:rsidRPr="0062463B" w:rsidRDefault="00E876F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 xml:space="preserve">Cantwell LB, Henao OL, Hoekstra RM, Scallan E. The effect of different recall periods on estimates of acute gastroenteritis in the United States, FoodNet Population Survey 2006–2007. </w:t>
      </w:r>
      <w:r w:rsidRPr="0062463B">
        <w:rPr>
          <w:rFonts w:eastAsia="Times New Roman" w:cs="Times New Roman"/>
          <w:i/>
          <w:iCs/>
          <w:color w:val="000000"/>
          <w:lang w:val="en"/>
        </w:rPr>
        <w:t>Foodborne Pathog Dis</w:t>
      </w:r>
      <w:r w:rsidRPr="0062463B">
        <w:rPr>
          <w:rFonts w:eastAsia="Times New Roman" w:cs="Times New Roman"/>
          <w:color w:val="000000"/>
          <w:lang w:val="en"/>
        </w:rPr>
        <w:t>. 2010 Oct;7(10):1225-8</w:t>
      </w:r>
    </w:p>
    <w:p w14:paraId="1B3EAC4E" w14:textId="77777777" w:rsidR="00734C94" w:rsidRPr="00E876FB" w:rsidRDefault="00734C94" w:rsidP="00884091">
      <w:pPr>
        <w:pStyle w:val="FormBodyText"/>
        <w:keepNext/>
        <w:numPr>
          <w:ilvl w:val="0"/>
          <w:numId w:val="9"/>
        </w:numPr>
        <w:spacing w:before="0" w:after="0"/>
        <w:rPr>
          <w:rFonts w:asciiTheme="minorHAnsi" w:hAnsiTheme="minorHAnsi"/>
          <w:sz w:val="22"/>
          <w:szCs w:val="22"/>
        </w:rPr>
      </w:pPr>
      <w:r w:rsidRPr="00E876FB">
        <w:rPr>
          <w:rFonts w:asciiTheme="minorHAnsi" w:hAnsiTheme="minorHAnsi"/>
          <w:sz w:val="22"/>
          <w:szCs w:val="22"/>
        </w:rPr>
        <w:t xml:space="preserve">Gieraltowski L, Julian E, Pringle J, Macdonald K, Quilliam D, Marsden-Haug N, et al. Nationwide outbreak of Salmonella Montevideo infections associated with contaminated imported black and red pepper: warehouse membership cards provide critical clues to identify the source. Epidemiol Infect. 2013; 141(6):1244-52. </w:t>
      </w:r>
    </w:p>
    <w:p w14:paraId="7D47AAC4" w14:textId="77777777" w:rsidR="0062463B" w:rsidRPr="0062463B" w:rsidRDefault="0062463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Green LR, Selman C, Scallan E, Jones TF, Marcus R, and the FoodNet Population Survey Working Group. Beliefs about meals eaten outside the home as sources of gastrointestinal illness.</w:t>
      </w:r>
      <w:r w:rsidRPr="0062463B">
        <w:rPr>
          <w:rFonts w:eastAsia="Times New Roman" w:cs="Times New Roman"/>
          <w:i/>
          <w:iCs/>
          <w:color w:val="000000"/>
          <w:lang w:val="en"/>
        </w:rPr>
        <w:t xml:space="preserve"> J Food Prot</w:t>
      </w:r>
      <w:r w:rsidRPr="0062463B">
        <w:rPr>
          <w:rFonts w:eastAsia="Times New Roman" w:cs="Times New Roman"/>
          <w:color w:val="000000"/>
          <w:lang w:val="en"/>
        </w:rPr>
        <w:t>. 2005;68(10);2184–2189.</w:t>
      </w:r>
    </w:p>
    <w:p w14:paraId="266B44C6" w14:textId="77777777" w:rsidR="00734C94" w:rsidRPr="00E876FB" w:rsidRDefault="00734C94" w:rsidP="00884091">
      <w:pPr>
        <w:pStyle w:val="FormBodyText"/>
        <w:keepNext/>
        <w:numPr>
          <w:ilvl w:val="0"/>
          <w:numId w:val="9"/>
        </w:numPr>
        <w:spacing w:before="0" w:after="0"/>
        <w:rPr>
          <w:rFonts w:asciiTheme="minorHAnsi" w:hAnsiTheme="minorHAnsi"/>
          <w:sz w:val="22"/>
          <w:szCs w:val="22"/>
        </w:rPr>
      </w:pPr>
      <w:r w:rsidRPr="00E876FB">
        <w:rPr>
          <w:rFonts w:asciiTheme="minorHAnsi" w:hAnsiTheme="minorHAnsi"/>
          <w:sz w:val="22"/>
          <w:szCs w:val="22"/>
        </w:rPr>
        <w:t>Hale CR, Scallan E, Cronquist AB, Dunn J, Smith K, Robinson T, et al. Estimates of enteric illness attributable to contact with animals and their environments in the United States. Clin Infect Dis. 2012; 54(Suppl 5):S472–9.</w:t>
      </w:r>
    </w:p>
    <w:p w14:paraId="34B92C71" w14:textId="77777777" w:rsidR="00734C94" w:rsidRPr="00E876FB" w:rsidRDefault="00734C94" w:rsidP="00884091">
      <w:pPr>
        <w:pStyle w:val="FormBodyText"/>
        <w:keepNext/>
        <w:numPr>
          <w:ilvl w:val="0"/>
          <w:numId w:val="9"/>
        </w:numPr>
        <w:rPr>
          <w:rFonts w:asciiTheme="minorHAnsi" w:hAnsiTheme="minorHAnsi"/>
          <w:sz w:val="22"/>
          <w:szCs w:val="22"/>
        </w:rPr>
      </w:pPr>
      <w:r w:rsidRPr="00E876FB">
        <w:rPr>
          <w:rFonts w:asciiTheme="minorHAnsi" w:hAnsiTheme="minorHAnsi"/>
          <w:sz w:val="22"/>
          <w:szCs w:val="22"/>
        </w:rPr>
        <w:t xml:space="preserve">Hancock WT, DeSalvo T, Gaul L, Hanson H, Schoonmaker-Bopp D, Vostok J, et al. A spicy catch: Salmonella Bareilly and Salmonella Nchanga infections associated with a raw scraped ground tuna product – United States, 2012. In: Proceedings of the 62nd Annual Epidemic Intelligence Service (EIS) Conference; 2013 Apr 22-26; Atlanta, GA. Poster 1.15. </w:t>
      </w:r>
    </w:p>
    <w:p w14:paraId="5C36C4B7" w14:textId="77777777" w:rsidR="00E876FB" w:rsidRPr="0062463B" w:rsidRDefault="00E876F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 xml:space="preserve">Hoefer D, Malone S, Marcus R, Frenzen PD, Scallan E, Zansky SM. Knowledge, attitude, and practice of the use of irradiation among respondents to the FoodNet Population Survey in Connecticut and New York. </w:t>
      </w:r>
      <w:r w:rsidRPr="0062463B">
        <w:rPr>
          <w:rFonts w:eastAsia="Times New Roman" w:cs="Times New Roman"/>
          <w:i/>
          <w:iCs/>
          <w:color w:val="000000"/>
          <w:lang w:val="en"/>
        </w:rPr>
        <w:t>J Food Prot</w:t>
      </w:r>
      <w:r w:rsidRPr="0062463B">
        <w:rPr>
          <w:rFonts w:eastAsia="Times New Roman" w:cs="Times New Roman"/>
          <w:color w:val="000000"/>
          <w:lang w:val="en"/>
        </w:rPr>
        <w:t>. 2006;69(10):2441–2446.</w:t>
      </w:r>
    </w:p>
    <w:p w14:paraId="063F7D0A" w14:textId="77777777" w:rsidR="00E876FB" w:rsidRPr="0062463B" w:rsidRDefault="00E876F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 xml:space="preserve">Imhoff B, Morse D, Shiferaw B, Hawkins M, Vugia D, Lance-Parker S, Hadler J, Medus C, Kennedy M, Moore MR, Van Gilder T. Burden of self-reported acute diarrheal illness in FoodNet surveillance areas, 1998-1999. </w:t>
      </w:r>
      <w:r w:rsidRPr="0062463B">
        <w:rPr>
          <w:rFonts w:eastAsia="Times New Roman" w:cs="Times New Roman"/>
          <w:i/>
          <w:iCs/>
          <w:color w:val="000000"/>
          <w:lang w:val="en"/>
        </w:rPr>
        <w:t>Clin Infect Dis</w:t>
      </w:r>
      <w:r w:rsidRPr="0062463B">
        <w:rPr>
          <w:rFonts w:eastAsia="Times New Roman" w:cs="Times New Roman"/>
          <w:color w:val="000000"/>
          <w:lang w:val="en"/>
        </w:rPr>
        <w:t>. 2004;38(Suppl 3):S219-226.</w:t>
      </w:r>
    </w:p>
    <w:p w14:paraId="10315DEC" w14:textId="77777777" w:rsidR="00734C94" w:rsidRPr="00E876FB" w:rsidRDefault="00734C94" w:rsidP="00884091">
      <w:pPr>
        <w:pStyle w:val="FormBodyText"/>
        <w:keepNext/>
        <w:numPr>
          <w:ilvl w:val="0"/>
          <w:numId w:val="9"/>
        </w:numPr>
        <w:spacing w:before="0" w:after="0"/>
        <w:rPr>
          <w:rFonts w:asciiTheme="minorHAnsi" w:hAnsiTheme="minorHAnsi"/>
          <w:sz w:val="22"/>
          <w:szCs w:val="22"/>
        </w:rPr>
      </w:pPr>
      <w:r w:rsidRPr="00E876FB">
        <w:rPr>
          <w:rFonts w:asciiTheme="minorHAnsi" w:hAnsiTheme="minorHAnsi"/>
          <w:sz w:val="22"/>
          <w:szCs w:val="22"/>
        </w:rPr>
        <w:t>Kendall ME, Scallan E, Greene SA, Ryan P, Robinson T, Shiferaw B, et al. Differences by age group in the prevalence of diarrhea and vomiting, rates of seeking health care, and stool sample submission: FoodNet Population Survey, 1996-2007. In: Proceedings of the International Conference on Emerging Infectious Diseases; 2012 Mar 11-14; Atlanta, GA. Abstract 361.</w:t>
      </w:r>
    </w:p>
    <w:p w14:paraId="3C2F0182" w14:textId="77777777" w:rsidR="00E876FB" w:rsidRPr="0062463B" w:rsidRDefault="00E876F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Patrick ME, Griffin PM, Voetsch AC, Mead PS. Effectiveness of recall notification: community response to a nationwide recall of hot dogs and deli meats.</w:t>
      </w:r>
      <w:r w:rsidRPr="0062463B">
        <w:rPr>
          <w:rFonts w:eastAsia="Times New Roman" w:cs="Times New Roman"/>
          <w:i/>
          <w:iCs/>
          <w:color w:val="000000"/>
          <w:lang w:val="en"/>
        </w:rPr>
        <w:t xml:space="preserve"> J Food Prot</w:t>
      </w:r>
      <w:r w:rsidRPr="0062463B">
        <w:rPr>
          <w:rFonts w:eastAsia="Times New Roman" w:cs="Times New Roman"/>
          <w:color w:val="000000"/>
          <w:lang w:val="en"/>
        </w:rPr>
        <w:t>. 2007 Oct;70(10):2373-6.</w:t>
      </w:r>
    </w:p>
    <w:p w14:paraId="581F0EF6" w14:textId="77777777" w:rsidR="00E876FB" w:rsidRPr="0062463B" w:rsidRDefault="00E876F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 xml:space="preserve">Samuel MC, Vugia DJ, Koehler KM, Marcus R, Deneen VC, Damaske B, Shiferaw B, Hadler JL, Henao OL, Angulo FJ. Consumption of risky foods Among adults at high risk for severe foodborne diseases: Room for improved targeted prevention messages. </w:t>
      </w:r>
      <w:r w:rsidRPr="0062463B">
        <w:rPr>
          <w:rFonts w:eastAsia="Times New Roman" w:cs="Times New Roman"/>
          <w:i/>
          <w:iCs/>
          <w:color w:val="000000"/>
          <w:lang w:val="en"/>
        </w:rPr>
        <w:t>J Food Saf</w:t>
      </w:r>
      <w:r w:rsidRPr="0062463B">
        <w:rPr>
          <w:rFonts w:eastAsia="Times New Roman" w:cs="Times New Roman"/>
          <w:color w:val="000000"/>
          <w:lang w:val="en"/>
        </w:rPr>
        <w:t xml:space="preserve"> 2007;27(2):219-232.</w:t>
      </w:r>
    </w:p>
    <w:p w14:paraId="416F1890" w14:textId="77777777" w:rsidR="0062463B" w:rsidRPr="0062463B" w:rsidRDefault="0062463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Scallan E, Majowicz SE, Hall G, Banerjee A, Bowman CL, Daly L, Jones T, Kirk MD, Fitzgerald M, and Angulo FJ. Prevalence of diarrhoea in the community in Australia, Canada, Ireland, and the United States.</w:t>
      </w:r>
      <w:r w:rsidRPr="0062463B">
        <w:rPr>
          <w:rFonts w:eastAsia="Times New Roman" w:cs="Times New Roman"/>
          <w:i/>
          <w:iCs/>
          <w:color w:val="000000"/>
          <w:lang w:val="en"/>
        </w:rPr>
        <w:t xml:space="preserve"> Int J of Epidemiol</w:t>
      </w:r>
      <w:r w:rsidRPr="0062463B">
        <w:rPr>
          <w:rFonts w:eastAsia="Times New Roman" w:cs="Times New Roman"/>
          <w:color w:val="000000"/>
          <w:lang w:val="en"/>
        </w:rPr>
        <w:t>. 2005;34(2):454–460.</w:t>
      </w:r>
    </w:p>
    <w:p w14:paraId="61E5A04D" w14:textId="77777777" w:rsidR="0062463B" w:rsidRPr="0062463B" w:rsidRDefault="0062463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 xml:space="preserve">Scallan E, Jones TF, Cronquist AB, et al. Factors associated with seeking medical care and submitting a stool sample in estimating the burden of foodborne Illness. </w:t>
      </w:r>
      <w:r w:rsidRPr="0062463B">
        <w:rPr>
          <w:rFonts w:eastAsia="Times New Roman" w:cs="Times New Roman"/>
          <w:i/>
          <w:iCs/>
          <w:color w:val="000000"/>
          <w:lang w:val="en"/>
        </w:rPr>
        <w:t>Foodborne Pathog Dis</w:t>
      </w:r>
      <w:r w:rsidRPr="0062463B">
        <w:rPr>
          <w:rFonts w:eastAsia="Times New Roman" w:cs="Times New Roman"/>
          <w:color w:val="000000"/>
          <w:lang w:val="en"/>
        </w:rPr>
        <w:t>. 2006;3(4):432–438.</w:t>
      </w:r>
    </w:p>
    <w:p w14:paraId="22AF7C16" w14:textId="77777777" w:rsidR="0062463B" w:rsidRPr="00E876FB" w:rsidRDefault="0062463B"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 xml:space="preserve">Patrick ME, Mahon BE, Zansky SM, Hurd S, Scallan E. Riding in shopping carts and exposure to raw meat and poultry products: prevalence of, and factors associated with, this risk factor for </w:t>
      </w:r>
      <w:r w:rsidRPr="0062463B">
        <w:rPr>
          <w:rFonts w:eastAsia="Times New Roman" w:cs="Times New Roman"/>
          <w:i/>
          <w:iCs/>
          <w:color w:val="000000"/>
          <w:lang w:val="en"/>
        </w:rPr>
        <w:t>Salmonella</w:t>
      </w:r>
      <w:r w:rsidRPr="0062463B">
        <w:rPr>
          <w:rFonts w:eastAsia="Times New Roman" w:cs="Times New Roman"/>
          <w:color w:val="000000"/>
          <w:lang w:val="en"/>
        </w:rPr>
        <w:t xml:space="preserve"> and </w:t>
      </w:r>
      <w:r w:rsidRPr="0062463B">
        <w:rPr>
          <w:rFonts w:eastAsia="Times New Roman" w:cs="Times New Roman"/>
          <w:i/>
          <w:iCs/>
          <w:color w:val="000000"/>
          <w:lang w:val="en"/>
        </w:rPr>
        <w:t>Campylobacter</w:t>
      </w:r>
      <w:r w:rsidRPr="0062463B">
        <w:rPr>
          <w:rFonts w:eastAsia="Times New Roman" w:cs="Times New Roman"/>
          <w:color w:val="000000"/>
          <w:lang w:val="en"/>
        </w:rPr>
        <w:t xml:space="preserve"> infection in children younger than 3 years.</w:t>
      </w:r>
      <w:r w:rsidRPr="0062463B">
        <w:rPr>
          <w:rFonts w:eastAsia="Times New Roman" w:cs="Times New Roman"/>
          <w:i/>
          <w:iCs/>
          <w:color w:val="000000"/>
          <w:lang w:val="en"/>
        </w:rPr>
        <w:t xml:space="preserve"> J Food Prot</w:t>
      </w:r>
      <w:r w:rsidRPr="0062463B">
        <w:rPr>
          <w:rFonts w:eastAsia="Times New Roman" w:cs="Times New Roman"/>
          <w:color w:val="000000"/>
          <w:lang w:val="en"/>
        </w:rPr>
        <w:t>.2010 Jun;73(</w:t>
      </w:r>
      <w:r w:rsidRPr="00E876FB">
        <w:rPr>
          <w:rFonts w:eastAsia="Times New Roman" w:cs="Times New Roman"/>
          <w:color w:val="000000"/>
          <w:lang w:val="en"/>
        </w:rPr>
        <w:t>6):1097-100.</w:t>
      </w:r>
    </w:p>
    <w:p w14:paraId="41380E2A" w14:textId="36CB366E" w:rsidR="0062463B" w:rsidRPr="00E876FB" w:rsidRDefault="0062463B" w:rsidP="00884091">
      <w:pPr>
        <w:pStyle w:val="ListParagraph"/>
        <w:numPr>
          <w:ilvl w:val="0"/>
          <w:numId w:val="9"/>
        </w:numPr>
        <w:spacing w:after="0" w:line="240" w:lineRule="auto"/>
        <w:rPr>
          <w:rFonts w:eastAsia="Times New Roman" w:cs="Times New Roman"/>
          <w:color w:val="000000"/>
          <w:lang w:val="en"/>
        </w:rPr>
      </w:pPr>
      <w:r w:rsidRPr="00E876FB">
        <w:rPr>
          <w:rFonts w:eastAsia="Times New Roman" w:cs="Times New Roman"/>
          <w:color w:val="000000"/>
          <w:lang w:val="en"/>
        </w:rPr>
        <w:t>Shiferaw B, Verrill L, Booth H,. Zansky S, Norton D, Crim S, Henao O. Sex-Based Differences in Food Consumption: Foodborne Diseases Active Surveillance Network (FoodNet) Population Survey, 2006–2007. Clin Infect Dis. 2012 Jun;54 Suppl 5:S453-7</w:t>
      </w:r>
      <w:r w:rsidR="00E876FB" w:rsidRPr="00E876FB">
        <w:rPr>
          <w:rFonts w:eastAsia="Times New Roman" w:cs="Times New Roman"/>
          <w:color w:val="000000"/>
          <w:lang w:val="en"/>
        </w:rPr>
        <w:t>.</w:t>
      </w:r>
    </w:p>
    <w:p w14:paraId="42601843" w14:textId="77777777" w:rsidR="00734C94" w:rsidRPr="00E876FB" w:rsidRDefault="00734C94" w:rsidP="00884091">
      <w:pPr>
        <w:pStyle w:val="FormBodyText"/>
        <w:keepNext/>
        <w:numPr>
          <w:ilvl w:val="0"/>
          <w:numId w:val="9"/>
        </w:numPr>
        <w:spacing w:before="0" w:after="0"/>
        <w:rPr>
          <w:rFonts w:asciiTheme="minorHAnsi" w:hAnsiTheme="minorHAnsi"/>
          <w:sz w:val="22"/>
          <w:szCs w:val="22"/>
        </w:rPr>
      </w:pPr>
      <w:r w:rsidRPr="00E876FB">
        <w:rPr>
          <w:rFonts w:asciiTheme="minorHAnsi" w:hAnsiTheme="minorHAnsi"/>
          <w:sz w:val="22"/>
          <w:szCs w:val="22"/>
        </w:rPr>
        <w:t>Slayton RB, Turabelidze G, Bennett SD, Schwensohn CA, Yaffee AQ, Khan F, et al. Outbreak of Shiga toxin producing Escherichia coli (STEC) O157:H7 associated with romaine lettuce consumption, 2011. PLoS One. 2013; 8(2):e55300.</w:t>
      </w:r>
    </w:p>
    <w:p w14:paraId="120CDA02" w14:textId="77777777" w:rsidR="00734C94" w:rsidRPr="00E876FB" w:rsidRDefault="00734C94" w:rsidP="00884091">
      <w:pPr>
        <w:pStyle w:val="FormBodyText"/>
        <w:keepNext/>
        <w:numPr>
          <w:ilvl w:val="0"/>
          <w:numId w:val="9"/>
        </w:numPr>
        <w:spacing w:before="0" w:after="0"/>
        <w:rPr>
          <w:rFonts w:asciiTheme="minorHAnsi" w:hAnsiTheme="minorHAnsi"/>
          <w:sz w:val="22"/>
          <w:szCs w:val="22"/>
        </w:rPr>
      </w:pPr>
      <w:r w:rsidRPr="00E876FB">
        <w:rPr>
          <w:rFonts w:asciiTheme="minorHAnsi" w:hAnsiTheme="minorHAnsi"/>
          <w:sz w:val="22"/>
          <w:szCs w:val="22"/>
        </w:rPr>
        <w:t>Taylor EV, Holt KG, Mahon BE, Ayers T, Norton D, Gould LH. Ground Beef Consumption Patterns in the United States,</w:t>
      </w:r>
    </w:p>
    <w:p w14:paraId="12142B9D" w14:textId="77777777" w:rsidR="00734C94" w:rsidRPr="00E876FB" w:rsidRDefault="00734C94" w:rsidP="00734C94">
      <w:pPr>
        <w:pStyle w:val="FormBodyText"/>
        <w:keepNext/>
        <w:spacing w:before="0" w:after="0"/>
        <w:ind w:left="720"/>
        <w:rPr>
          <w:rFonts w:asciiTheme="minorHAnsi" w:hAnsiTheme="minorHAnsi"/>
          <w:sz w:val="22"/>
          <w:szCs w:val="22"/>
        </w:rPr>
      </w:pPr>
      <w:r w:rsidRPr="00E876FB">
        <w:rPr>
          <w:rFonts w:asciiTheme="minorHAnsi" w:hAnsiTheme="minorHAnsi"/>
          <w:sz w:val="22"/>
          <w:szCs w:val="22"/>
        </w:rPr>
        <w:t>FoodNet, 2006 through 2007. J Food Prot. 2012; 75(2):341-346.</w:t>
      </w:r>
    </w:p>
    <w:p w14:paraId="0A84D329" w14:textId="640E5997" w:rsidR="00E876FB" w:rsidRPr="002F71F2" w:rsidRDefault="00734C94" w:rsidP="00884091">
      <w:pPr>
        <w:pStyle w:val="ListParagraph"/>
        <w:numPr>
          <w:ilvl w:val="0"/>
          <w:numId w:val="9"/>
        </w:numPr>
        <w:spacing w:after="0" w:line="240" w:lineRule="auto"/>
        <w:rPr>
          <w:rFonts w:eastAsia="Times New Roman" w:cs="Times New Roman"/>
          <w:color w:val="000000"/>
          <w:lang w:val="en"/>
        </w:rPr>
      </w:pPr>
      <w:r w:rsidRPr="0062463B">
        <w:rPr>
          <w:rFonts w:eastAsia="Times New Roman" w:cs="Times New Roman"/>
          <w:color w:val="000000"/>
          <w:lang w:val="en"/>
        </w:rPr>
        <w:t xml:space="preserve">Vanden Eng J, Marcus R, Hadler JL, et al. Consumer attitudes and use of antibiotics. </w:t>
      </w:r>
      <w:r w:rsidRPr="0062463B">
        <w:rPr>
          <w:rFonts w:eastAsia="Times New Roman" w:cs="Times New Roman"/>
          <w:i/>
          <w:iCs/>
          <w:color w:val="000000"/>
          <w:lang w:val="en"/>
        </w:rPr>
        <w:t xml:space="preserve">Emerg Infect </w:t>
      </w:r>
      <w:r w:rsidRPr="002F71F2">
        <w:rPr>
          <w:rFonts w:eastAsia="Times New Roman" w:cs="Times New Roman"/>
          <w:i/>
          <w:iCs/>
          <w:color w:val="000000"/>
          <w:lang w:val="en"/>
        </w:rPr>
        <w:t>Dis</w:t>
      </w:r>
      <w:r w:rsidRPr="002F71F2">
        <w:rPr>
          <w:rFonts w:eastAsia="Times New Roman" w:cs="Times New Roman"/>
          <w:color w:val="000000"/>
          <w:lang w:val="en"/>
        </w:rPr>
        <w:t>. 2003; 9(9): 1128-1135.</w:t>
      </w:r>
    </w:p>
    <w:p w14:paraId="60C8F982" w14:textId="77777777" w:rsidR="00E876FB" w:rsidRPr="00D351B4" w:rsidRDefault="00E876FB" w:rsidP="005A1DD7">
      <w:pPr>
        <w:spacing w:after="0"/>
        <w:rPr>
          <w:b/>
          <w:color w:val="FF0000"/>
          <w:sz w:val="24"/>
          <w:szCs w:val="24"/>
        </w:rPr>
      </w:pPr>
    </w:p>
    <w:p w14:paraId="18D8F041" w14:textId="77777777" w:rsidR="00D30828" w:rsidRPr="004974B1" w:rsidRDefault="00D30828" w:rsidP="00D30828">
      <w:pPr>
        <w:spacing w:after="0" w:line="240" w:lineRule="auto"/>
        <w:rPr>
          <w:color w:val="FF0000"/>
        </w:rPr>
      </w:pPr>
    </w:p>
    <w:p w14:paraId="5585A62F" w14:textId="77777777" w:rsidR="00D30828" w:rsidRPr="004974B1" w:rsidRDefault="00D30828" w:rsidP="00D30828">
      <w:pPr>
        <w:spacing w:after="0" w:line="240" w:lineRule="auto"/>
        <w:jc w:val="center"/>
        <w:rPr>
          <w:color w:val="FF0000"/>
        </w:rPr>
      </w:pPr>
    </w:p>
    <w:p w14:paraId="0345383D" w14:textId="77777777" w:rsidR="00F43413" w:rsidRPr="004974B1" w:rsidRDefault="00F43413" w:rsidP="004B7BA8">
      <w:pPr>
        <w:pStyle w:val="ListParagraph"/>
        <w:spacing w:after="0" w:line="240" w:lineRule="auto"/>
        <w:ind w:left="1080"/>
        <w:rPr>
          <w:color w:val="FF0000"/>
        </w:rPr>
      </w:pPr>
    </w:p>
    <w:p w14:paraId="118B2380" w14:textId="77777777" w:rsidR="00D30828" w:rsidRPr="004974B1" w:rsidRDefault="00D30828" w:rsidP="00D30828">
      <w:pPr>
        <w:pStyle w:val="ListParagraph"/>
        <w:spacing w:after="0" w:line="240" w:lineRule="auto"/>
        <w:rPr>
          <w:color w:val="FF0000"/>
        </w:rPr>
      </w:pPr>
    </w:p>
    <w:sectPr w:rsidR="00D30828" w:rsidRPr="004974B1" w:rsidSect="00385BB5">
      <w:headerReference w:type="default" r:id="rId23"/>
      <w:footerReference w:type="default" r:id="rId2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229E5" w14:textId="77777777" w:rsidR="00894369" w:rsidRDefault="00894369" w:rsidP="00716F94">
      <w:pPr>
        <w:spacing w:after="0" w:line="240" w:lineRule="auto"/>
      </w:pPr>
      <w:r>
        <w:separator/>
      </w:r>
    </w:p>
  </w:endnote>
  <w:endnote w:type="continuationSeparator" w:id="0">
    <w:p w14:paraId="312F9452" w14:textId="77777777" w:rsidR="00894369" w:rsidRDefault="00894369" w:rsidP="00716F94">
      <w:pPr>
        <w:spacing w:after="0" w:line="240" w:lineRule="auto"/>
      </w:pPr>
      <w:r>
        <w:continuationSeparator/>
      </w:r>
    </w:p>
  </w:endnote>
  <w:endnote w:type="continuationNotice" w:id="1">
    <w:p w14:paraId="57CA6C29" w14:textId="77777777" w:rsidR="00894369" w:rsidRDefault="008943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38618B6D" w14:textId="16806FB2" w:rsidR="005558B7" w:rsidRDefault="005558B7">
            <w:pPr>
              <w:pStyle w:val="Footer"/>
              <w:jc w:val="right"/>
              <w:rPr>
                <w:b/>
                <w:szCs w:val="24"/>
              </w:rPr>
            </w:pPr>
            <w:r>
              <w:t xml:space="preserve">Page </w:t>
            </w:r>
            <w:r>
              <w:rPr>
                <w:b/>
                <w:sz w:val="24"/>
                <w:szCs w:val="24"/>
              </w:rPr>
              <w:fldChar w:fldCharType="begin"/>
            </w:r>
            <w:r>
              <w:rPr>
                <w:b/>
              </w:rPr>
              <w:instrText xml:space="preserve"> PAGE </w:instrText>
            </w:r>
            <w:r>
              <w:rPr>
                <w:b/>
                <w:sz w:val="24"/>
                <w:szCs w:val="24"/>
              </w:rPr>
              <w:fldChar w:fldCharType="separate"/>
            </w:r>
            <w:r w:rsidR="00770B3A">
              <w:rPr>
                <w:b/>
                <w:noProof/>
              </w:rPr>
              <w:t>2</w:t>
            </w:r>
            <w:r>
              <w:rPr>
                <w:b/>
                <w:sz w:val="24"/>
                <w:szCs w:val="24"/>
              </w:rPr>
              <w:fldChar w:fldCharType="end"/>
            </w:r>
            <w:r>
              <w:t xml:space="preserve"> of </w:t>
            </w:r>
            <w:r>
              <w:rPr>
                <w:b/>
                <w:szCs w:val="24"/>
              </w:rPr>
              <w:t>13</w:t>
            </w:r>
          </w:p>
          <w:p w14:paraId="112EB556" w14:textId="77777777" w:rsidR="005558B7" w:rsidRDefault="00770B3A">
            <w:pPr>
              <w:pStyle w:val="Footer"/>
              <w:jc w:val="right"/>
            </w:pPr>
          </w:p>
        </w:sdtContent>
      </w:sdt>
    </w:sdtContent>
  </w:sdt>
  <w:p w14:paraId="47EF5B77" w14:textId="77777777" w:rsidR="005558B7" w:rsidRDefault="005558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47FE9" w14:textId="77777777" w:rsidR="00894369" w:rsidRDefault="00894369" w:rsidP="00716F94">
      <w:pPr>
        <w:spacing w:after="0" w:line="240" w:lineRule="auto"/>
      </w:pPr>
      <w:r>
        <w:separator/>
      </w:r>
    </w:p>
  </w:footnote>
  <w:footnote w:type="continuationSeparator" w:id="0">
    <w:p w14:paraId="7D52EF42" w14:textId="77777777" w:rsidR="00894369" w:rsidRDefault="00894369" w:rsidP="00716F94">
      <w:pPr>
        <w:spacing w:after="0" w:line="240" w:lineRule="auto"/>
      </w:pPr>
      <w:r>
        <w:continuationSeparator/>
      </w:r>
    </w:p>
  </w:footnote>
  <w:footnote w:type="continuationNotice" w:id="1">
    <w:p w14:paraId="497F94E0" w14:textId="77777777" w:rsidR="00894369" w:rsidRDefault="00894369">
      <w:pPr>
        <w:spacing w:after="0" w:line="240" w:lineRule="auto"/>
      </w:pPr>
    </w:p>
  </w:footnote>
  <w:footnote w:id="2">
    <w:p w14:paraId="48EC7A53" w14:textId="19C31BA2" w:rsidR="005558B7" w:rsidRDefault="005558B7">
      <w:pPr>
        <w:pStyle w:val="FootnoteText"/>
      </w:pPr>
      <w:r>
        <w:rPr>
          <w:rStyle w:val="FootnoteReference"/>
        </w:rPr>
        <w:footnoteRef/>
      </w:r>
      <w:r>
        <w:t xml:space="preserve"> </w:t>
      </w:r>
      <w:r w:rsidRPr="001E4E16">
        <w:t>http://www.cdc.gov/foodborneburden/resources.html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DC9BA" w14:textId="77777777" w:rsidR="005558B7" w:rsidRPr="00716F94" w:rsidRDefault="005558B7"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0A73"/>
    <w:multiLevelType w:val="hybridMultilevel"/>
    <w:tmpl w:val="0270F05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426077"/>
    <w:multiLevelType w:val="hybridMultilevel"/>
    <w:tmpl w:val="DC44D1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6353F"/>
    <w:multiLevelType w:val="hybridMultilevel"/>
    <w:tmpl w:val="DDA466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0528E"/>
    <w:multiLevelType w:val="hybridMultilevel"/>
    <w:tmpl w:val="ACA60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912079"/>
    <w:multiLevelType w:val="hybridMultilevel"/>
    <w:tmpl w:val="98BE3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41117"/>
    <w:multiLevelType w:val="hybridMultilevel"/>
    <w:tmpl w:val="C704988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2F047E"/>
    <w:multiLevelType w:val="hybridMultilevel"/>
    <w:tmpl w:val="20CCB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F0FA1"/>
    <w:multiLevelType w:val="hybridMultilevel"/>
    <w:tmpl w:val="B3EE6680"/>
    <w:lvl w:ilvl="0" w:tplc="AE0A5958">
      <w:start w:val="1"/>
      <w:numFmt w:val="decimal"/>
      <w:pStyle w:val="Heading2"/>
      <w:lvlText w:val="%1."/>
      <w:lvlJc w:val="left"/>
      <w:pPr>
        <w:ind w:left="-27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51AD1288"/>
    <w:multiLevelType w:val="hybridMultilevel"/>
    <w:tmpl w:val="2B98D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FAA364A"/>
    <w:multiLevelType w:val="hybridMultilevel"/>
    <w:tmpl w:val="7D96773E"/>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DD7A14"/>
    <w:multiLevelType w:val="hybridMultilevel"/>
    <w:tmpl w:val="583A0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DC093E"/>
    <w:multiLevelType w:val="hybridMultilevel"/>
    <w:tmpl w:val="6846AE6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0754C2"/>
    <w:multiLevelType w:val="hybridMultilevel"/>
    <w:tmpl w:val="AC6E6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4"/>
  </w:num>
  <w:num w:numId="3">
    <w:abstractNumId w:val="13"/>
  </w:num>
  <w:num w:numId="4">
    <w:abstractNumId w:val="7"/>
  </w:num>
  <w:num w:numId="5">
    <w:abstractNumId w:val="10"/>
  </w:num>
  <w:num w:numId="6">
    <w:abstractNumId w:val="11"/>
  </w:num>
  <w:num w:numId="7">
    <w:abstractNumId w:val="16"/>
  </w:num>
  <w:num w:numId="8">
    <w:abstractNumId w:val="4"/>
  </w:num>
  <w:num w:numId="9">
    <w:abstractNumId w:val="3"/>
  </w:num>
  <w:num w:numId="10">
    <w:abstractNumId w:val="0"/>
  </w:num>
  <w:num w:numId="11">
    <w:abstractNumId w:val="1"/>
  </w:num>
  <w:num w:numId="12">
    <w:abstractNumId w:val="2"/>
  </w:num>
  <w:num w:numId="13">
    <w:abstractNumId w:val="6"/>
  </w:num>
  <w:num w:numId="14">
    <w:abstractNumId w:val="9"/>
  </w:num>
  <w:num w:numId="15">
    <w:abstractNumId w:val="5"/>
  </w:num>
  <w:num w:numId="16">
    <w:abstractNumId w:val="15"/>
  </w:num>
  <w:num w:numId="1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3317"/>
    <w:rsid w:val="00003D8F"/>
    <w:rsid w:val="00007DE3"/>
    <w:rsid w:val="00011A98"/>
    <w:rsid w:val="00011F8D"/>
    <w:rsid w:val="000130B4"/>
    <w:rsid w:val="00013EDD"/>
    <w:rsid w:val="00014361"/>
    <w:rsid w:val="0001745A"/>
    <w:rsid w:val="00020B67"/>
    <w:rsid w:val="00034812"/>
    <w:rsid w:val="00034E9E"/>
    <w:rsid w:val="0004084E"/>
    <w:rsid w:val="00043569"/>
    <w:rsid w:val="00045E6E"/>
    <w:rsid w:val="000474FB"/>
    <w:rsid w:val="00053A92"/>
    <w:rsid w:val="00054839"/>
    <w:rsid w:val="00057F36"/>
    <w:rsid w:val="00060317"/>
    <w:rsid w:val="00061F1C"/>
    <w:rsid w:val="000638FE"/>
    <w:rsid w:val="0007273E"/>
    <w:rsid w:val="00077393"/>
    <w:rsid w:val="0008364C"/>
    <w:rsid w:val="00091621"/>
    <w:rsid w:val="00092A45"/>
    <w:rsid w:val="000936D6"/>
    <w:rsid w:val="000A0351"/>
    <w:rsid w:val="000A1F30"/>
    <w:rsid w:val="000A524D"/>
    <w:rsid w:val="000A71DF"/>
    <w:rsid w:val="000B0962"/>
    <w:rsid w:val="000B2CBC"/>
    <w:rsid w:val="000C4AC9"/>
    <w:rsid w:val="000D5CC7"/>
    <w:rsid w:val="000D5D12"/>
    <w:rsid w:val="000D7682"/>
    <w:rsid w:val="000E41BB"/>
    <w:rsid w:val="000E6577"/>
    <w:rsid w:val="000E7A19"/>
    <w:rsid w:val="000F50E9"/>
    <w:rsid w:val="00104A1B"/>
    <w:rsid w:val="00110C79"/>
    <w:rsid w:val="00115216"/>
    <w:rsid w:val="001177DD"/>
    <w:rsid w:val="00125C43"/>
    <w:rsid w:val="001332A8"/>
    <w:rsid w:val="00135334"/>
    <w:rsid w:val="001412D4"/>
    <w:rsid w:val="00142FA9"/>
    <w:rsid w:val="00144F64"/>
    <w:rsid w:val="00145D62"/>
    <w:rsid w:val="001464D3"/>
    <w:rsid w:val="00151567"/>
    <w:rsid w:val="0015226C"/>
    <w:rsid w:val="001559A8"/>
    <w:rsid w:val="00163485"/>
    <w:rsid w:val="00163E17"/>
    <w:rsid w:val="00163EB9"/>
    <w:rsid w:val="00166F9E"/>
    <w:rsid w:val="00167880"/>
    <w:rsid w:val="0017253B"/>
    <w:rsid w:val="00180D45"/>
    <w:rsid w:val="00182B06"/>
    <w:rsid w:val="00183957"/>
    <w:rsid w:val="001863D4"/>
    <w:rsid w:val="00187870"/>
    <w:rsid w:val="00187D5A"/>
    <w:rsid w:val="0019299D"/>
    <w:rsid w:val="001972D7"/>
    <w:rsid w:val="001A21E8"/>
    <w:rsid w:val="001A28F6"/>
    <w:rsid w:val="001B2831"/>
    <w:rsid w:val="001B4065"/>
    <w:rsid w:val="001B594C"/>
    <w:rsid w:val="001C0493"/>
    <w:rsid w:val="001C229F"/>
    <w:rsid w:val="001C28AD"/>
    <w:rsid w:val="001C5CC1"/>
    <w:rsid w:val="001D1C91"/>
    <w:rsid w:val="001D5F7B"/>
    <w:rsid w:val="001D7FCB"/>
    <w:rsid w:val="001E2B99"/>
    <w:rsid w:val="001E4E16"/>
    <w:rsid w:val="001E69B6"/>
    <w:rsid w:val="001F2533"/>
    <w:rsid w:val="001F309F"/>
    <w:rsid w:val="001F4DBB"/>
    <w:rsid w:val="001F649E"/>
    <w:rsid w:val="00200FFB"/>
    <w:rsid w:val="00202D07"/>
    <w:rsid w:val="0020312D"/>
    <w:rsid w:val="00204E04"/>
    <w:rsid w:val="00206E33"/>
    <w:rsid w:val="002077E5"/>
    <w:rsid w:val="00210519"/>
    <w:rsid w:val="00211292"/>
    <w:rsid w:val="00215390"/>
    <w:rsid w:val="0021632C"/>
    <w:rsid w:val="00217C1E"/>
    <w:rsid w:val="00224183"/>
    <w:rsid w:val="00227259"/>
    <w:rsid w:val="00230213"/>
    <w:rsid w:val="0023229A"/>
    <w:rsid w:val="002331F4"/>
    <w:rsid w:val="00233F5C"/>
    <w:rsid w:val="00236D41"/>
    <w:rsid w:val="0024086C"/>
    <w:rsid w:val="00241B17"/>
    <w:rsid w:val="00241C81"/>
    <w:rsid w:val="00242F4E"/>
    <w:rsid w:val="00257A1C"/>
    <w:rsid w:val="002618A7"/>
    <w:rsid w:val="002646B4"/>
    <w:rsid w:val="0027234C"/>
    <w:rsid w:val="00281795"/>
    <w:rsid w:val="002850E3"/>
    <w:rsid w:val="00286A56"/>
    <w:rsid w:val="00286CB9"/>
    <w:rsid w:val="00287E2F"/>
    <w:rsid w:val="002948CB"/>
    <w:rsid w:val="00296CE2"/>
    <w:rsid w:val="002A13A1"/>
    <w:rsid w:val="002A1948"/>
    <w:rsid w:val="002A1FFB"/>
    <w:rsid w:val="002A6905"/>
    <w:rsid w:val="002B0802"/>
    <w:rsid w:val="002B2BBE"/>
    <w:rsid w:val="002B2E7C"/>
    <w:rsid w:val="002B2EFF"/>
    <w:rsid w:val="002C0877"/>
    <w:rsid w:val="002C1D62"/>
    <w:rsid w:val="002C2AE2"/>
    <w:rsid w:val="002C4B16"/>
    <w:rsid w:val="002C573D"/>
    <w:rsid w:val="002C7A2B"/>
    <w:rsid w:val="002D0DCE"/>
    <w:rsid w:val="002D6240"/>
    <w:rsid w:val="002D7DE1"/>
    <w:rsid w:val="002E2B10"/>
    <w:rsid w:val="002E3132"/>
    <w:rsid w:val="002E35B9"/>
    <w:rsid w:val="002E5019"/>
    <w:rsid w:val="002E73B0"/>
    <w:rsid w:val="002F0902"/>
    <w:rsid w:val="002F1502"/>
    <w:rsid w:val="002F1D86"/>
    <w:rsid w:val="002F1F58"/>
    <w:rsid w:val="002F2069"/>
    <w:rsid w:val="002F2FE9"/>
    <w:rsid w:val="002F6DC9"/>
    <w:rsid w:val="002F71A2"/>
    <w:rsid w:val="002F71F2"/>
    <w:rsid w:val="0030168A"/>
    <w:rsid w:val="003041AD"/>
    <w:rsid w:val="0031279F"/>
    <w:rsid w:val="00313DB1"/>
    <w:rsid w:val="003163FC"/>
    <w:rsid w:val="00316F00"/>
    <w:rsid w:val="00321B51"/>
    <w:rsid w:val="00327F0E"/>
    <w:rsid w:val="003332B8"/>
    <w:rsid w:val="00335492"/>
    <w:rsid w:val="00336D96"/>
    <w:rsid w:val="00344F07"/>
    <w:rsid w:val="00345CEA"/>
    <w:rsid w:val="003469C8"/>
    <w:rsid w:val="00350C8C"/>
    <w:rsid w:val="00355EA4"/>
    <w:rsid w:val="00361922"/>
    <w:rsid w:val="00361DAD"/>
    <w:rsid w:val="003635BE"/>
    <w:rsid w:val="00363793"/>
    <w:rsid w:val="00366B5E"/>
    <w:rsid w:val="00377A19"/>
    <w:rsid w:val="00377AD6"/>
    <w:rsid w:val="00385BB5"/>
    <w:rsid w:val="00386BC2"/>
    <w:rsid w:val="00390D09"/>
    <w:rsid w:val="003949AC"/>
    <w:rsid w:val="0039529B"/>
    <w:rsid w:val="003A381F"/>
    <w:rsid w:val="003A5762"/>
    <w:rsid w:val="003B125E"/>
    <w:rsid w:val="003B5A7A"/>
    <w:rsid w:val="003C31C9"/>
    <w:rsid w:val="003C4961"/>
    <w:rsid w:val="003C4C39"/>
    <w:rsid w:val="003C5A3F"/>
    <w:rsid w:val="003C5C99"/>
    <w:rsid w:val="003C6ACC"/>
    <w:rsid w:val="003C7C5D"/>
    <w:rsid w:val="003D014A"/>
    <w:rsid w:val="003D0AD2"/>
    <w:rsid w:val="003D70A0"/>
    <w:rsid w:val="003E7657"/>
    <w:rsid w:val="003F12A3"/>
    <w:rsid w:val="003F5913"/>
    <w:rsid w:val="003F5DBD"/>
    <w:rsid w:val="004024F8"/>
    <w:rsid w:val="00405696"/>
    <w:rsid w:val="0041159A"/>
    <w:rsid w:val="00413925"/>
    <w:rsid w:val="00427489"/>
    <w:rsid w:val="004305A8"/>
    <w:rsid w:val="0043156F"/>
    <w:rsid w:val="004353D5"/>
    <w:rsid w:val="004437C5"/>
    <w:rsid w:val="00443CA0"/>
    <w:rsid w:val="00450E14"/>
    <w:rsid w:val="004525C7"/>
    <w:rsid w:val="0045568C"/>
    <w:rsid w:val="004558CD"/>
    <w:rsid w:val="0045600C"/>
    <w:rsid w:val="00456328"/>
    <w:rsid w:val="00461264"/>
    <w:rsid w:val="00462C65"/>
    <w:rsid w:val="00467450"/>
    <w:rsid w:val="004674E7"/>
    <w:rsid w:val="00467B14"/>
    <w:rsid w:val="00474103"/>
    <w:rsid w:val="00474EDA"/>
    <w:rsid w:val="0048148B"/>
    <w:rsid w:val="004824FA"/>
    <w:rsid w:val="00484011"/>
    <w:rsid w:val="004841F1"/>
    <w:rsid w:val="00484F2A"/>
    <w:rsid w:val="0049190F"/>
    <w:rsid w:val="0049341F"/>
    <w:rsid w:val="0049573B"/>
    <w:rsid w:val="004974B1"/>
    <w:rsid w:val="004A1E3A"/>
    <w:rsid w:val="004B2359"/>
    <w:rsid w:val="004B46D6"/>
    <w:rsid w:val="004B700E"/>
    <w:rsid w:val="004B7BA8"/>
    <w:rsid w:val="004C0727"/>
    <w:rsid w:val="004C0A2B"/>
    <w:rsid w:val="004C0BF6"/>
    <w:rsid w:val="004C4464"/>
    <w:rsid w:val="004C4AEA"/>
    <w:rsid w:val="004C5095"/>
    <w:rsid w:val="004C5621"/>
    <w:rsid w:val="004D0430"/>
    <w:rsid w:val="004D1DAA"/>
    <w:rsid w:val="004D23BB"/>
    <w:rsid w:val="004D35E3"/>
    <w:rsid w:val="004D4EB1"/>
    <w:rsid w:val="004D54D0"/>
    <w:rsid w:val="004D5509"/>
    <w:rsid w:val="004D7ABC"/>
    <w:rsid w:val="004E003C"/>
    <w:rsid w:val="004E16EB"/>
    <w:rsid w:val="004E3C01"/>
    <w:rsid w:val="004E4DA4"/>
    <w:rsid w:val="004E6665"/>
    <w:rsid w:val="004F00DA"/>
    <w:rsid w:val="004F0EAC"/>
    <w:rsid w:val="004F634E"/>
    <w:rsid w:val="004F67A8"/>
    <w:rsid w:val="00501A7D"/>
    <w:rsid w:val="00502256"/>
    <w:rsid w:val="00503898"/>
    <w:rsid w:val="00503F63"/>
    <w:rsid w:val="005043DE"/>
    <w:rsid w:val="005076F1"/>
    <w:rsid w:val="0051582C"/>
    <w:rsid w:val="00522A50"/>
    <w:rsid w:val="00525131"/>
    <w:rsid w:val="00527225"/>
    <w:rsid w:val="00531E60"/>
    <w:rsid w:val="0053557D"/>
    <w:rsid w:val="005410E3"/>
    <w:rsid w:val="005463DE"/>
    <w:rsid w:val="00546DC2"/>
    <w:rsid w:val="00547220"/>
    <w:rsid w:val="005500EC"/>
    <w:rsid w:val="005542E8"/>
    <w:rsid w:val="005558B7"/>
    <w:rsid w:val="00556630"/>
    <w:rsid w:val="0055686D"/>
    <w:rsid w:val="00556AD4"/>
    <w:rsid w:val="005577D6"/>
    <w:rsid w:val="00557967"/>
    <w:rsid w:val="00566AE7"/>
    <w:rsid w:val="00567536"/>
    <w:rsid w:val="005800EE"/>
    <w:rsid w:val="00581432"/>
    <w:rsid w:val="0058590A"/>
    <w:rsid w:val="00585AFC"/>
    <w:rsid w:val="005869D6"/>
    <w:rsid w:val="0059331E"/>
    <w:rsid w:val="005A1DD7"/>
    <w:rsid w:val="005A3001"/>
    <w:rsid w:val="005A33F6"/>
    <w:rsid w:val="005A534F"/>
    <w:rsid w:val="005A59E5"/>
    <w:rsid w:val="005A5B1A"/>
    <w:rsid w:val="005A7160"/>
    <w:rsid w:val="005B7440"/>
    <w:rsid w:val="005B7885"/>
    <w:rsid w:val="005C2E86"/>
    <w:rsid w:val="005C4A63"/>
    <w:rsid w:val="005C51FA"/>
    <w:rsid w:val="005D137F"/>
    <w:rsid w:val="005E2150"/>
    <w:rsid w:val="005E2995"/>
    <w:rsid w:val="005F1B08"/>
    <w:rsid w:val="005F2107"/>
    <w:rsid w:val="005F32FF"/>
    <w:rsid w:val="005F3FEF"/>
    <w:rsid w:val="005F679C"/>
    <w:rsid w:val="005F6FD5"/>
    <w:rsid w:val="006004FA"/>
    <w:rsid w:val="00600C4F"/>
    <w:rsid w:val="006078AC"/>
    <w:rsid w:val="00607F7C"/>
    <w:rsid w:val="006102DA"/>
    <w:rsid w:val="00611D16"/>
    <w:rsid w:val="00616090"/>
    <w:rsid w:val="0062463B"/>
    <w:rsid w:val="006315A3"/>
    <w:rsid w:val="0063162B"/>
    <w:rsid w:val="00633BDA"/>
    <w:rsid w:val="00636B54"/>
    <w:rsid w:val="00637BF3"/>
    <w:rsid w:val="00640AD7"/>
    <w:rsid w:val="006439C2"/>
    <w:rsid w:val="00645550"/>
    <w:rsid w:val="00657130"/>
    <w:rsid w:val="006579A2"/>
    <w:rsid w:val="00664FEF"/>
    <w:rsid w:val="0066661E"/>
    <w:rsid w:val="00667C89"/>
    <w:rsid w:val="006711EE"/>
    <w:rsid w:val="006809BB"/>
    <w:rsid w:val="006809FD"/>
    <w:rsid w:val="006828C1"/>
    <w:rsid w:val="00683B6C"/>
    <w:rsid w:val="00686E46"/>
    <w:rsid w:val="006908F5"/>
    <w:rsid w:val="00691D1F"/>
    <w:rsid w:val="006920AB"/>
    <w:rsid w:val="006973CD"/>
    <w:rsid w:val="00697B08"/>
    <w:rsid w:val="00697BAE"/>
    <w:rsid w:val="006A1D99"/>
    <w:rsid w:val="006A2F1C"/>
    <w:rsid w:val="006B4DDC"/>
    <w:rsid w:val="006B5E55"/>
    <w:rsid w:val="006C0345"/>
    <w:rsid w:val="006C15EB"/>
    <w:rsid w:val="006C2680"/>
    <w:rsid w:val="006C4DA7"/>
    <w:rsid w:val="006D1F9E"/>
    <w:rsid w:val="006D25A1"/>
    <w:rsid w:val="006D598E"/>
    <w:rsid w:val="006E06CF"/>
    <w:rsid w:val="006E13BD"/>
    <w:rsid w:val="006E14E9"/>
    <w:rsid w:val="006F09A2"/>
    <w:rsid w:val="006F1E98"/>
    <w:rsid w:val="006F36D8"/>
    <w:rsid w:val="006F4B69"/>
    <w:rsid w:val="006F6856"/>
    <w:rsid w:val="00706DDF"/>
    <w:rsid w:val="00707D40"/>
    <w:rsid w:val="00713FB4"/>
    <w:rsid w:val="007145D0"/>
    <w:rsid w:val="00716DC3"/>
    <w:rsid w:val="00716F94"/>
    <w:rsid w:val="007255CA"/>
    <w:rsid w:val="007339BB"/>
    <w:rsid w:val="00733DA8"/>
    <w:rsid w:val="00734945"/>
    <w:rsid w:val="00734C94"/>
    <w:rsid w:val="007358D8"/>
    <w:rsid w:val="00735971"/>
    <w:rsid w:val="00736BB8"/>
    <w:rsid w:val="00740DD7"/>
    <w:rsid w:val="00744ABB"/>
    <w:rsid w:val="00750321"/>
    <w:rsid w:val="007512F4"/>
    <w:rsid w:val="00751E04"/>
    <w:rsid w:val="00753FF7"/>
    <w:rsid w:val="00760613"/>
    <w:rsid w:val="00760E12"/>
    <w:rsid w:val="00763CF3"/>
    <w:rsid w:val="00770B3A"/>
    <w:rsid w:val="007714F7"/>
    <w:rsid w:val="00772293"/>
    <w:rsid w:val="00776981"/>
    <w:rsid w:val="0078090B"/>
    <w:rsid w:val="00781AE3"/>
    <w:rsid w:val="00783C75"/>
    <w:rsid w:val="00784619"/>
    <w:rsid w:val="00784974"/>
    <w:rsid w:val="0078627B"/>
    <w:rsid w:val="00786D4B"/>
    <w:rsid w:val="0078765B"/>
    <w:rsid w:val="00794E32"/>
    <w:rsid w:val="007A0D73"/>
    <w:rsid w:val="007A1943"/>
    <w:rsid w:val="007A34E9"/>
    <w:rsid w:val="007A4244"/>
    <w:rsid w:val="007B305A"/>
    <w:rsid w:val="007B51EC"/>
    <w:rsid w:val="007C144A"/>
    <w:rsid w:val="007E575D"/>
    <w:rsid w:val="007E58CA"/>
    <w:rsid w:val="007E6AEF"/>
    <w:rsid w:val="007F5E3A"/>
    <w:rsid w:val="00801CBE"/>
    <w:rsid w:val="0080333A"/>
    <w:rsid w:val="00812A8F"/>
    <w:rsid w:val="0081582F"/>
    <w:rsid w:val="00815C7D"/>
    <w:rsid w:val="00817941"/>
    <w:rsid w:val="008220F0"/>
    <w:rsid w:val="008229E4"/>
    <w:rsid w:val="00823547"/>
    <w:rsid w:val="00825D9A"/>
    <w:rsid w:val="008261AB"/>
    <w:rsid w:val="008269AB"/>
    <w:rsid w:val="00826BDC"/>
    <w:rsid w:val="00830702"/>
    <w:rsid w:val="00834C91"/>
    <w:rsid w:val="00835CA7"/>
    <w:rsid w:val="008370D4"/>
    <w:rsid w:val="008414AD"/>
    <w:rsid w:val="008428D9"/>
    <w:rsid w:val="00845DE0"/>
    <w:rsid w:val="00855117"/>
    <w:rsid w:val="0086399E"/>
    <w:rsid w:val="00863A0C"/>
    <w:rsid w:val="00866B43"/>
    <w:rsid w:val="00866FB9"/>
    <w:rsid w:val="00872E71"/>
    <w:rsid w:val="0088064B"/>
    <w:rsid w:val="00884091"/>
    <w:rsid w:val="0088467A"/>
    <w:rsid w:val="00884DB9"/>
    <w:rsid w:val="00894369"/>
    <w:rsid w:val="008A3F40"/>
    <w:rsid w:val="008A4D6A"/>
    <w:rsid w:val="008A5EB1"/>
    <w:rsid w:val="008A6232"/>
    <w:rsid w:val="008A77A3"/>
    <w:rsid w:val="008B11FC"/>
    <w:rsid w:val="008B6852"/>
    <w:rsid w:val="008C0C4F"/>
    <w:rsid w:val="008C22D8"/>
    <w:rsid w:val="008C3106"/>
    <w:rsid w:val="008C67D2"/>
    <w:rsid w:val="008D1F6D"/>
    <w:rsid w:val="008D4CB9"/>
    <w:rsid w:val="008D7EF3"/>
    <w:rsid w:val="008E0683"/>
    <w:rsid w:val="008E1600"/>
    <w:rsid w:val="008E2501"/>
    <w:rsid w:val="008E30E9"/>
    <w:rsid w:val="008E59E0"/>
    <w:rsid w:val="008E7DEE"/>
    <w:rsid w:val="008F1AC5"/>
    <w:rsid w:val="008F430B"/>
    <w:rsid w:val="00902DD9"/>
    <w:rsid w:val="00903E12"/>
    <w:rsid w:val="00911486"/>
    <w:rsid w:val="0091225D"/>
    <w:rsid w:val="009129CA"/>
    <w:rsid w:val="009206B6"/>
    <w:rsid w:val="0092144E"/>
    <w:rsid w:val="00921C8D"/>
    <w:rsid w:val="0092286C"/>
    <w:rsid w:val="00923454"/>
    <w:rsid w:val="00924236"/>
    <w:rsid w:val="009249C8"/>
    <w:rsid w:val="00924EC1"/>
    <w:rsid w:val="009252DC"/>
    <w:rsid w:val="009263C1"/>
    <w:rsid w:val="009316B1"/>
    <w:rsid w:val="00932E9B"/>
    <w:rsid w:val="00941B4F"/>
    <w:rsid w:val="00942CEF"/>
    <w:rsid w:val="009466D5"/>
    <w:rsid w:val="009513FA"/>
    <w:rsid w:val="009518C0"/>
    <w:rsid w:val="00952B44"/>
    <w:rsid w:val="009549CE"/>
    <w:rsid w:val="009559C0"/>
    <w:rsid w:val="00957644"/>
    <w:rsid w:val="00961095"/>
    <w:rsid w:val="00963CE3"/>
    <w:rsid w:val="0096445E"/>
    <w:rsid w:val="00964F18"/>
    <w:rsid w:val="00967D94"/>
    <w:rsid w:val="009730C3"/>
    <w:rsid w:val="009733B6"/>
    <w:rsid w:val="00974424"/>
    <w:rsid w:val="009748AB"/>
    <w:rsid w:val="009813C8"/>
    <w:rsid w:val="00983919"/>
    <w:rsid w:val="00984CAA"/>
    <w:rsid w:val="009855F1"/>
    <w:rsid w:val="00987F76"/>
    <w:rsid w:val="009919F8"/>
    <w:rsid w:val="00991F5D"/>
    <w:rsid w:val="00993088"/>
    <w:rsid w:val="0099456D"/>
    <w:rsid w:val="0099664F"/>
    <w:rsid w:val="00997D5D"/>
    <w:rsid w:val="009A0447"/>
    <w:rsid w:val="009A1910"/>
    <w:rsid w:val="009A2CE5"/>
    <w:rsid w:val="009A5FA9"/>
    <w:rsid w:val="009A6E51"/>
    <w:rsid w:val="009A7F0C"/>
    <w:rsid w:val="009B4A51"/>
    <w:rsid w:val="009C199E"/>
    <w:rsid w:val="009C1EC6"/>
    <w:rsid w:val="009C28B1"/>
    <w:rsid w:val="009C61AD"/>
    <w:rsid w:val="009D373D"/>
    <w:rsid w:val="009D7AB5"/>
    <w:rsid w:val="009D7B2C"/>
    <w:rsid w:val="009E0801"/>
    <w:rsid w:val="009E1C94"/>
    <w:rsid w:val="009E1D05"/>
    <w:rsid w:val="009E1F5D"/>
    <w:rsid w:val="009E47BC"/>
    <w:rsid w:val="009F0912"/>
    <w:rsid w:val="009F3D6A"/>
    <w:rsid w:val="009F46C2"/>
    <w:rsid w:val="009F6933"/>
    <w:rsid w:val="009F7DE0"/>
    <w:rsid w:val="00A016B0"/>
    <w:rsid w:val="00A01B0A"/>
    <w:rsid w:val="00A0254F"/>
    <w:rsid w:val="00A06A23"/>
    <w:rsid w:val="00A11B0C"/>
    <w:rsid w:val="00A16C67"/>
    <w:rsid w:val="00A24829"/>
    <w:rsid w:val="00A26C0C"/>
    <w:rsid w:val="00A33B35"/>
    <w:rsid w:val="00A33E90"/>
    <w:rsid w:val="00A3496E"/>
    <w:rsid w:val="00A36419"/>
    <w:rsid w:val="00A44115"/>
    <w:rsid w:val="00A44921"/>
    <w:rsid w:val="00A520DD"/>
    <w:rsid w:val="00A578C2"/>
    <w:rsid w:val="00A64B2D"/>
    <w:rsid w:val="00A65260"/>
    <w:rsid w:val="00A72652"/>
    <w:rsid w:val="00A75D1C"/>
    <w:rsid w:val="00A809AA"/>
    <w:rsid w:val="00A849B3"/>
    <w:rsid w:val="00A8510D"/>
    <w:rsid w:val="00A85E88"/>
    <w:rsid w:val="00A86AF3"/>
    <w:rsid w:val="00A90AFF"/>
    <w:rsid w:val="00A90BDC"/>
    <w:rsid w:val="00A935EF"/>
    <w:rsid w:val="00A94639"/>
    <w:rsid w:val="00A95477"/>
    <w:rsid w:val="00A968F2"/>
    <w:rsid w:val="00A975A9"/>
    <w:rsid w:val="00AA0EFD"/>
    <w:rsid w:val="00AA1E0A"/>
    <w:rsid w:val="00AA3192"/>
    <w:rsid w:val="00AA5784"/>
    <w:rsid w:val="00AB0486"/>
    <w:rsid w:val="00AB251E"/>
    <w:rsid w:val="00AB3608"/>
    <w:rsid w:val="00AB7BE0"/>
    <w:rsid w:val="00AC4FB2"/>
    <w:rsid w:val="00AC5C48"/>
    <w:rsid w:val="00AC63E3"/>
    <w:rsid w:val="00AC75FD"/>
    <w:rsid w:val="00AD0858"/>
    <w:rsid w:val="00AD08A5"/>
    <w:rsid w:val="00AD7735"/>
    <w:rsid w:val="00AE04F7"/>
    <w:rsid w:val="00AE2CA7"/>
    <w:rsid w:val="00AE31FA"/>
    <w:rsid w:val="00AF0CF4"/>
    <w:rsid w:val="00AF17C1"/>
    <w:rsid w:val="00AF2252"/>
    <w:rsid w:val="00AF3D57"/>
    <w:rsid w:val="00AF4CAD"/>
    <w:rsid w:val="00AF56E3"/>
    <w:rsid w:val="00B00B12"/>
    <w:rsid w:val="00B07E35"/>
    <w:rsid w:val="00B100CF"/>
    <w:rsid w:val="00B1129F"/>
    <w:rsid w:val="00B11915"/>
    <w:rsid w:val="00B11D61"/>
    <w:rsid w:val="00B12F51"/>
    <w:rsid w:val="00B22F22"/>
    <w:rsid w:val="00B26578"/>
    <w:rsid w:val="00B2751E"/>
    <w:rsid w:val="00B326B0"/>
    <w:rsid w:val="00B362FC"/>
    <w:rsid w:val="00B3650C"/>
    <w:rsid w:val="00B36B09"/>
    <w:rsid w:val="00B455B6"/>
    <w:rsid w:val="00B47055"/>
    <w:rsid w:val="00B6049D"/>
    <w:rsid w:val="00B64BFA"/>
    <w:rsid w:val="00B71E63"/>
    <w:rsid w:val="00B85DE4"/>
    <w:rsid w:val="00B87AAD"/>
    <w:rsid w:val="00B90564"/>
    <w:rsid w:val="00B91A31"/>
    <w:rsid w:val="00BA0B85"/>
    <w:rsid w:val="00BA3450"/>
    <w:rsid w:val="00BA6C28"/>
    <w:rsid w:val="00BA6DB4"/>
    <w:rsid w:val="00BB596C"/>
    <w:rsid w:val="00BB6D36"/>
    <w:rsid w:val="00BC3F3C"/>
    <w:rsid w:val="00BC45C9"/>
    <w:rsid w:val="00BC5592"/>
    <w:rsid w:val="00BC5BB2"/>
    <w:rsid w:val="00BD0F39"/>
    <w:rsid w:val="00BD1243"/>
    <w:rsid w:val="00BD3AFC"/>
    <w:rsid w:val="00BD628C"/>
    <w:rsid w:val="00BE2E9A"/>
    <w:rsid w:val="00BE738E"/>
    <w:rsid w:val="00BF11A1"/>
    <w:rsid w:val="00BF2C57"/>
    <w:rsid w:val="00BF3F54"/>
    <w:rsid w:val="00C00697"/>
    <w:rsid w:val="00C025F3"/>
    <w:rsid w:val="00C0376C"/>
    <w:rsid w:val="00C06D77"/>
    <w:rsid w:val="00C10A47"/>
    <w:rsid w:val="00C133F9"/>
    <w:rsid w:val="00C14BA6"/>
    <w:rsid w:val="00C2349E"/>
    <w:rsid w:val="00C2399C"/>
    <w:rsid w:val="00C2478D"/>
    <w:rsid w:val="00C26313"/>
    <w:rsid w:val="00C27F88"/>
    <w:rsid w:val="00C3030F"/>
    <w:rsid w:val="00C339D7"/>
    <w:rsid w:val="00C3485C"/>
    <w:rsid w:val="00C37D1C"/>
    <w:rsid w:val="00C406A8"/>
    <w:rsid w:val="00C50324"/>
    <w:rsid w:val="00C544A4"/>
    <w:rsid w:val="00C612E7"/>
    <w:rsid w:val="00C6168E"/>
    <w:rsid w:val="00C62FD2"/>
    <w:rsid w:val="00C63654"/>
    <w:rsid w:val="00C640B0"/>
    <w:rsid w:val="00C64702"/>
    <w:rsid w:val="00C768E5"/>
    <w:rsid w:val="00C800FC"/>
    <w:rsid w:val="00C80C71"/>
    <w:rsid w:val="00C86C60"/>
    <w:rsid w:val="00CA0690"/>
    <w:rsid w:val="00CA2004"/>
    <w:rsid w:val="00CA5B99"/>
    <w:rsid w:val="00CA5DA8"/>
    <w:rsid w:val="00CB334D"/>
    <w:rsid w:val="00CB5494"/>
    <w:rsid w:val="00CB56D5"/>
    <w:rsid w:val="00CC1905"/>
    <w:rsid w:val="00CD1EA8"/>
    <w:rsid w:val="00CD23DF"/>
    <w:rsid w:val="00CD39C2"/>
    <w:rsid w:val="00CE1BD8"/>
    <w:rsid w:val="00CE1F22"/>
    <w:rsid w:val="00CE3679"/>
    <w:rsid w:val="00CF067B"/>
    <w:rsid w:val="00CF598D"/>
    <w:rsid w:val="00CF5ABD"/>
    <w:rsid w:val="00CF63CE"/>
    <w:rsid w:val="00CF6E77"/>
    <w:rsid w:val="00D0274B"/>
    <w:rsid w:val="00D02EA2"/>
    <w:rsid w:val="00D067C1"/>
    <w:rsid w:val="00D07DA9"/>
    <w:rsid w:val="00D1170D"/>
    <w:rsid w:val="00D1211B"/>
    <w:rsid w:val="00D13B13"/>
    <w:rsid w:val="00D15E78"/>
    <w:rsid w:val="00D1697C"/>
    <w:rsid w:val="00D16E78"/>
    <w:rsid w:val="00D201D3"/>
    <w:rsid w:val="00D2126E"/>
    <w:rsid w:val="00D26A64"/>
    <w:rsid w:val="00D30828"/>
    <w:rsid w:val="00D351B4"/>
    <w:rsid w:val="00D37AFE"/>
    <w:rsid w:val="00D5016C"/>
    <w:rsid w:val="00D50429"/>
    <w:rsid w:val="00D50992"/>
    <w:rsid w:val="00D51147"/>
    <w:rsid w:val="00D5208C"/>
    <w:rsid w:val="00D52B9A"/>
    <w:rsid w:val="00D5367E"/>
    <w:rsid w:val="00D53B1E"/>
    <w:rsid w:val="00D57CCC"/>
    <w:rsid w:val="00D7515D"/>
    <w:rsid w:val="00D75750"/>
    <w:rsid w:val="00D764EC"/>
    <w:rsid w:val="00D77AE6"/>
    <w:rsid w:val="00D818ED"/>
    <w:rsid w:val="00D81B64"/>
    <w:rsid w:val="00D827D1"/>
    <w:rsid w:val="00D838F9"/>
    <w:rsid w:val="00D849B9"/>
    <w:rsid w:val="00D84EF0"/>
    <w:rsid w:val="00D861ED"/>
    <w:rsid w:val="00D873E0"/>
    <w:rsid w:val="00D875D1"/>
    <w:rsid w:val="00D93CFD"/>
    <w:rsid w:val="00D94F8B"/>
    <w:rsid w:val="00D95FBF"/>
    <w:rsid w:val="00D96E74"/>
    <w:rsid w:val="00DA3B27"/>
    <w:rsid w:val="00DA5988"/>
    <w:rsid w:val="00DB4DE8"/>
    <w:rsid w:val="00DB7F78"/>
    <w:rsid w:val="00DC317C"/>
    <w:rsid w:val="00DC4FF2"/>
    <w:rsid w:val="00DC54CA"/>
    <w:rsid w:val="00DC79CC"/>
    <w:rsid w:val="00DD0520"/>
    <w:rsid w:val="00DD6BAC"/>
    <w:rsid w:val="00DE16CE"/>
    <w:rsid w:val="00DF5F6F"/>
    <w:rsid w:val="00DF660D"/>
    <w:rsid w:val="00E04982"/>
    <w:rsid w:val="00E05A6F"/>
    <w:rsid w:val="00E10D39"/>
    <w:rsid w:val="00E134F4"/>
    <w:rsid w:val="00E162E0"/>
    <w:rsid w:val="00E170A6"/>
    <w:rsid w:val="00E21D85"/>
    <w:rsid w:val="00E23568"/>
    <w:rsid w:val="00E245B5"/>
    <w:rsid w:val="00E267B3"/>
    <w:rsid w:val="00E27049"/>
    <w:rsid w:val="00E2710F"/>
    <w:rsid w:val="00E307DB"/>
    <w:rsid w:val="00E3209B"/>
    <w:rsid w:val="00E328DA"/>
    <w:rsid w:val="00E33E1B"/>
    <w:rsid w:val="00E34D3E"/>
    <w:rsid w:val="00E47F42"/>
    <w:rsid w:val="00E50AA8"/>
    <w:rsid w:val="00E52F21"/>
    <w:rsid w:val="00E53495"/>
    <w:rsid w:val="00E56CF7"/>
    <w:rsid w:val="00E603FB"/>
    <w:rsid w:val="00E6061B"/>
    <w:rsid w:val="00E64F77"/>
    <w:rsid w:val="00E67787"/>
    <w:rsid w:val="00E720E9"/>
    <w:rsid w:val="00E731FB"/>
    <w:rsid w:val="00E73B40"/>
    <w:rsid w:val="00E73BCC"/>
    <w:rsid w:val="00E81C5E"/>
    <w:rsid w:val="00E82013"/>
    <w:rsid w:val="00E82AED"/>
    <w:rsid w:val="00E83333"/>
    <w:rsid w:val="00E83B3C"/>
    <w:rsid w:val="00E843ED"/>
    <w:rsid w:val="00E8736B"/>
    <w:rsid w:val="00E876FB"/>
    <w:rsid w:val="00E90275"/>
    <w:rsid w:val="00E925D4"/>
    <w:rsid w:val="00E93D88"/>
    <w:rsid w:val="00E97226"/>
    <w:rsid w:val="00EA2B44"/>
    <w:rsid w:val="00EA33EF"/>
    <w:rsid w:val="00EA4D2E"/>
    <w:rsid w:val="00EA585D"/>
    <w:rsid w:val="00EA6788"/>
    <w:rsid w:val="00EA71AD"/>
    <w:rsid w:val="00EC4FFD"/>
    <w:rsid w:val="00EC5EFC"/>
    <w:rsid w:val="00ED0F36"/>
    <w:rsid w:val="00ED25A8"/>
    <w:rsid w:val="00ED2A55"/>
    <w:rsid w:val="00EE5F84"/>
    <w:rsid w:val="00EF025F"/>
    <w:rsid w:val="00EF028C"/>
    <w:rsid w:val="00EF18C6"/>
    <w:rsid w:val="00EF29F1"/>
    <w:rsid w:val="00EF33CD"/>
    <w:rsid w:val="00EF6979"/>
    <w:rsid w:val="00EF78F3"/>
    <w:rsid w:val="00F00C2C"/>
    <w:rsid w:val="00F0237F"/>
    <w:rsid w:val="00F03D00"/>
    <w:rsid w:val="00F06716"/>
    <w:rsid w:val="00F10666"/>
    <w:rsid w:val="00F12924"/>
    <w:rsid w:val="00F148D9"/>
    <w:rsid w:val="00F155C1"/>
    <w:rsid w:val="00F20C9B"/>
    <w:rsid w:val="00F2136E"/>
    <w:rsid w:val="00F25FA4"/>
    <w:rsid w:val="00F300CB"/>
    <w:rsid w:val="00F42C3A"/>
    <w:rsid w:val="00F43413"/>
    <w:rsid w:val="00F50145"/>
    <w:rsid w:val="00F52BCC"/>
    <w:rsid w:val="00F5313F"/>
    <w:rsid w:val="00F6773D"/>
    <w:rsid w:val="00F70570"/>
    <w:rsid w:val="00F70A14"/>
    <w:rsid w:val="00F71CDD"/>
    <w:rsid w:val="00F7331F"/>
    <w:rsid w:val="00F76510"/>
    <w:rsid w:val="00F80561"/>
    <w:rsid w:val="00F81A48"/>
    <w:rsid w:val="00F81CC2"/>
    <w:rsid w:val="00FB16BA"/>
    <w:rsid w:val="00FB1D48"/>
    <w:rsid w:val="00FB62BC"/>
    <w:rsid w:val="00FB6707"/>
    <w:rsid w:val="00FB69C7"/>
    <w:rsid w:val="00FC21C1"/>
    <w:rsid w:val="00FC4AB8"/>
    <w:rsid w:val="00FD17C9"/>
    <w:rsid w:val="00FD2A5B"/>
    <w:rsid w:val="00FD4C46"/>
    <w:rsid w:val="00FD5CFE"/>
    <w:rsid w:val="00FD5DFD"/>
    <w:rsid w:val="00FE382F"/>
    <w:rsid w:val="00FE6A5C"/>
    <w:rsid w:val="00FE6B85"/>
    <w:rsid w:val="00FF1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70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46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link w:val="Heading2Char"/>
    <w:uiPriority w:val="9"/>
    <w:qFormat/>
    <w:rsid w:val="005558B7"/>
    <w:pPr>
      <w:numPr>
        <w:numId w:val="1"/>
      </w:numPr>
      <w:spacing w:after="0"/>
      <w:ind w:left="720"/>
      <w:outlineLvl w:val="1"/>
    </w:pPr>
    <w:rPr>
      <w:b/>
    </w:rPr>
  </w:style>
  <w:style w:type="paragraph" w:styleId="Heading4">
    <w:name w:val="heading 4"/>
    <w:basedOn w:val="Normal"/>
    <w:next w:val="Normal"/>
    <w:link w:val="Heading4Char"/>
    <w:uiPriority w:val="9"/>
    <w:semiHidden/>
    <w:unhideWhenUsed/>
    <w:qFormat/>
    <w:rsid w:val="0062463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5558B7"/>
    <w:rPr>
      <w:b/>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semiHidden/>
    <w:unhideWhenUsed/>
    <w:rsid w:val="000B0962"/>
    <w:rPr>
      <w:sz w:val="16"/>
      <w:szCs w:val="16"/>
    </w:rPr>
  </w:style>
  <w:style w:type="paragraph" w:styleId="CommentText">
    <w:name w:val="annotation text"/>
    <w:basedOn w:val="Normal"/>
    <w:link w:val="CommentTextChar"/>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5C51FA"/>
    <w:rPr>
      <w:color w:val="800080" w:themeColor="followedHyperlink"/>
      <w:u w:val="single"/>
    </w:rPr>
  </w:style>
  <w:style w:type="character" w:customStyle="1" w:styleId="title-bold1">
    <w:name w:val="title-bold1"/>
    <w:basedOn w:val="DefaultParagraphFont"/>
    <w:rsid w:val="002A6905"/>
    <w:rPr>
      <w:b/>
      <w:bCs/>
    </w:rPr>
  </w:style>
  <w:style w:type="paragraph" w:styleId="BodyText">
    <w:name w:val="Body Text"/>
    <w:basedOn w:val="Normal"/>
    <w:link w:val="BodyTextChar"/>
    <w:rsid w:val="00461264"/>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61264"/>
    <w:rPr>
      <w:rFonts w:ascii="Times New Roman" w:eastAsia="Times New Roman" w:hAnsi="Times New Roman" w:cs="Times New Roman"/>
      <w:sz w:val="24"/>
      <w:szCs w:val="24"/>
    </w:rPr>
  </w:style>
  <w:style w:type="paragraph" w:customStyle="1" w:styleId="BRFSSHeading">
    <w:name w:val="BRFSS Heading"/>
    <w:basedOn w:val="Normal"/>
    <w:link w:val="BRFSSHeadingChar"/>
    <w:rsid w:val="002F2FE9"/>
    <w:pPr>
      <w:widowControl w:val="0"/>
      <w:pBdr>
        <w:bottom w:val="single" w:sz="4" w:space="1" w:color="auto"/>
      </w:pBdr>
      <w:autoSpaceDE w:val="0"/>
      <w:autoSpaceDN w:val="0"/>
      <w:adjustRightInd w:val="0"/>
      <w:spacing w:before="120" w:after="240" w:line="240" w:lineRule="auto"/>
    </w:pPr>
    <w:rPr>
      <w:rFonts w:ascii="Arial" w:eastAsia="Times New Roman" w:hAnsi="Arial" w:cs="Times New Roman"/>
      <w:b/>
      <w:sz w:val="24"/>
      <w:szCs w:val="24"/>
    </w:rPr>
  </w:style>
  <w:style w:type="character" w:customStyle="1" w:styleId="BRFSSHeadingChar">
    <w:name w:val="BRFSS Heading Char"/>
    <w:basedOn w:val="DefaultParagraphFont"/>
    <w:link w:val="BRFSSHeading"/>
    <w:rsid w:val="002F2FE9"/>
    <w:rPr>
      <w:rFonts w:ascii="Arial" w:eastAsia="Times New Roman" w:hAnsi="Arial" w:cs="Times New Roman"/>
      <w:b/>
      <w:sz w:val="24"/>
      <w:szCs w:val="24"/>
    </w:rPr>
  </w:style>
  <w:style w:type="paragraph" w:styleId="FootnoteText">
    <w:name w:val="footnote text"/>
    <w:basedOn w:val="Normal"/>
    <w:link w:val="FootnoteTextChar"/>
    <w:uiPriority w:val="99"/>
    <w:semiHidden/>
    <w:unhideWhenUsed/>
    <w:rsid w:val="00AE31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31FA"/>
    <w:rPr>
      <w:sz w:val="20"/>
      <w:szCs w:val="20"/>
    </w:rPr>
  </w:style>
  <w:style w:type="character" w:styleId="FootnoteReference">
    <w:name w:val="footnote reference"/>
    <w:basedOn w:val="DefaultParagraphFont"/>
    <w:uiPriority w:val="99"/>
    <w:semiHidden/>
    <w:unhideWhenUsed/>
    <w:rsid w:val="00AE31FA"/>
    <w:rPr>
      <w:vertAlign w:val="superscript"/>
    </w:rPr>
  </w:style>
  <w:style w:type="character" w:styleId="Emphasis">
    <w:name w:val="Emphasis"/>
    <w:basedOn w:val="DefaultParagraphFont"/>
    <w:uiPriority w:val="20"/>
    <w:qFormat/>
    <w:rsid w:val="0062463B"/>
    <w:rPr>
      <w:i/>
      <w:iCs/>
    </w:rPr>
  </w:style>
  <w:style w:type="character" w:customStyle="1" w:styleId="Heading1Char">
    <w:name w:val="Heading 1 Char"/>
    <w:basedOn w:val="DefaultParagraphFont"/>
    <w:link w:val="Heading1"/>
    <w:uiPriority w:val="9"/>
    <w:rsid w:val="0062463B"/>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62463B"/>
    <w:rPr>
      <w:rFonts w:asciiTheme="majorHAnsi" w:eastAsiaTheme="majorEastAsia" w:hAnsiTheme="majorHAnsi" w:cstheme="majorBidi"/>
      <w:i/>
      <w:iCs/>
      <w:color w:val="365F91" w:themeColor="accent1" w:themeShade="BF"/>
    </w:rPr>
  </w:style>
  <w:style w:type="character" w:customStyle="1" w:styleId="highlight2">
    <w:name w:val="highlight2"/>
    <w:basedOn w:val="DefaultParagraphFont"/>
    <w:rsid w:val="0062463B"/>
  </w:style>
  <w:style w:type="paragraph" w:customStyle="1" w:styleId="FormBodyText">
    <w:name w:val="Form Body Text"/>
    <w:basedOn w:val="Normal"/>
    <w:rsid w:val="00E876FB"/>
    <w:pPr>
      <w:tabs>
        <w:tab w:val="right" w:pos="9360"/>
      </w:tabs>
      <w:spacing w:before="60" w:after="60" w:line="240" w:lineRule="auto"/>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F6773D"/>
    <w:pPr>
      <w:spacing w:line="259" w:lineRule="auto"/>
      <w:outlineLvl w:val="9"/>
    </w:pPr>
  </w:style>
  <w:style w:type="paragraph" w:styleId="TOC1">
    <w:name w:val="toc 1"/>
    <w:basedOn w:val="Normal"/>
    <w:next w:val="Normal"/>
    <w:autoRedefine/>
    <w:uiPriority w:val="39"/>
    <w:unhideWhenUsed/>
    <w:rsid w:val="00566AE7"/>
    <w:pPr>
      <w:tabs>
        <w:tab w:val="left" w:pos="90"/>
        <w:tab w:val="right" w:leader="dot" w:pos="9350"/>
      </w:tabs>
      <w:spacing w:after="100"/>
      <w:ind w:left="-270"/>
    </w:pPr>
  </w:style>
  <w:style w:type="paragraph" w:styleId="Revision">
    <w:name w:val="Revision"/>
    <w:hidden/>
    <w:uiPriority w:val="99"/>
    <w:semiHidden/>
    <w:rsid w:val="00C50324"/>
    <w:pPr>
      <w:spacing w:after="0" w:line="240" w:lineRule="auto"/>
    </w:pPr>
  </w:style>
  <w:style w:type="paragraph" w:styleId="TOC2">
    <w:name w:val="toc 2"/>
    <w:basedOn w:val="Normal"/>
    <w:next w:val="Normal"/>
    <w:autoRedefine/>
    <w:uiPriority w:val="39"/>
    <w:unhideWhenUsed/>
    <w:rsid w:val="005558B7"/>
    <w:pPr>
      <w:tabs>
        <w:tab w:val="left" w:pos="660"/>
        <w:tab w:val="right" w:leader="dot" w:pos="9350"/>
      </w:tabs>
      <w:spacing w:after="100"/>
      <w:ind w:left="220"/>
    </w:pPr>
  </w:style>
  <w:style w:type="paragraph" w:customStyle="1" w:styleId="Bullets">
    <w:name w:val="Bullets"/>
    <w:basedOn w:val="ListParagraph"/>
    <w:link w:val="BulletsChar"/>
    <w:qFormat/>
    <w:rsid w:val="0030168A"/>
    <w:pPr>
      <w:numPr>
        <w:numId w:val="16"/>
      </w:numPr>
      <w:ind w:left="360"/>
    </w:pPr>
    <w:rPr>
      <w:rFonts w:ascii="Times New Roman" w:eastAsiaTheme="minorHAnsi" w:hAnsi="Times New Roman"/>
      <w:sz w:val="24"/>
    </w:rPr>
  </w:style>
  <w:style w:type="character" w:customStyle="1" w:styleId="BulletsChar">
    <w:name w:val="Bullets Char"/>
    <w:basedOn w:val="DefaultParagraphFont"/>
    <w:link w:val="Bullets"/>
    <w:rsid w:val="0030168A"/>
    <w:rPr>
      <w:rFonts w:ascii="Times New Roman" w:eastAsiaTheme="minorHAnsi"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46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link w:val="Heading2Char"/>
    <w:uiPriority w:val="9"/>
    <w:qFormat/>
    <w:rsid w:val="005558B7"/>
    <w:pPr>
      <w:numPr>
        <w:numId w:val="1"/>
      </w:numPr>
      <w:spacing w:after="0"/>
      <w:ind w:left="720"/>
      <w:outlineLvl w:val="1"/>
    </w:pPr>
    <w:rPr>
      <w:b/>
    </w:rPr>
  </w:style>
  <w:style w:type="paragraph" w:styleId="Heading4">
    <w:name w:val="heading 4"/>
    <w:basedOn w:val="Normal"/>
    <w:next w:val="Normal"/>
    <w:link w:val="Heading4Char"/>
    <w:uiPriority w:val="9"/>
    <w:semiHidden/>
    <w:unhideWhenUsed/>
    <w:qFormat/>
    <w:rsid w:val="0062463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5558B7"/>
    <w:rPr>
      <w:b/>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semiHidden/>
    <w:unhideWhenUsed/>
    <w:rsid w:val="000B0962"/>
    <w:rPr>
      <w:sz w:val="16"/>
      <w:szCs w:val="16"/>
    </w:rPr>
  </w:style>
  <w:style w:type="paragraph" w:styleId="CommentText">
    <w:name w:val="annotation text"/>
    <w:basedOn w:val="Normal"/>
    <w:link w:val="CommentTextChar"/>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5C51FA"/>
    <w:rPr>
      <w:color w:val="800080" w:themeColor="followedHyperlink"/>
      <w:u w:val="single"/>
    </w:rPr>
  </w:style>
  <w:style w:type="character" w:customStyle="1" w:styleId="title-bold1">
    <w:name w:val="title-bold1"/>
    <w:basedOn w:val="DefaultParagraphFont"/>
    <w:rsid w:val="002A6905"/>
    <w:rPr>
      <w:b/>
      <w:bCs/>
    </w:rPr>
  </w:style>
  <w:style w:type="paragraph" w:styleId="BodyText">
    <w:name w:val="Body Text"/>
    <w:basedOn w:val="Normal"/>
    <w:link w:val="BodyTextChar"/>
    <w:rsid w:val="00461264"/>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61264"/>
    <w:rPr>
      <w:rFonts w:ascii="Times New Roman" w:eastAsia="Times New Roman" w:hAnsi="Times New Roman" w:cs="Times New Roman"/>
      <w:sz w:val="24"/>
      <w:szCs w:val="24"/>
    </w:rPr>
  </w:style>
  <w:style w:type="paragraph" w:customStyle="1" w:styleId="BRFSSHeading">
    <w:name w:val="BRFSS Heading"/>
    <w:basedOn w:val="Normal"/>
    <w:link w:val="BRFSSHeadingChar"/>
    <w:rsid w:val="002F2FE9"/>
    <w:pPr>
      <w:widowControl w:val="0"/>
      <w:pBdr>
        <w:bottom w:val="single" w:sz="4" w:space="1" w:color="auto"/>
      </w:pBdr>
      <w:autoSpaceDE w:val="0"/>
      <w:autoSpaceDN w:val="0"/>
      <w:adjustRightInd w:val="0"/>
      <w:spacing w:before="120" w:after="240" w:line="240" w:lineRule="auto"/>
    </w:pPr>
    <w:rPr>
      <w:rFonts w:ascii="Arial" w:eastAsia="Times New Roman" w:hAnsi="Arial" w:cs="Times New Roman"/>
      <w:b/>
      <w:sz w:val="24"/>
      <w:szCs w:val="24"/>
    </w:rPr>
  </w:style>
  <w:style w:type="character" w:customStyle="1" w:styleId="BRFSSHeadingChar">
    <w:name w:val="BRFSS Heading Char"/>
    <w:basedOn w:val="DefaultParagraphFont"/>
    <w:link w:val="BRFSSHeading"/>
    <w:rsid w:val="002F2FE9"/>
    <w:rPr>
      <w:rFonts w:ascii="Arial" w:eastAsia="Times New Roman" w:hAnsi="Arial" w:cs="Times New Roman"/>
      <w:b/>
      <w:sz w:val="24"/>
      <w:szCs w:val="24"/>
    </w:rPr>
  </w:style>
  <w:style w:type="paragraph" w:styleId="FootnoteText">
    <w:name w:val="footnote text"/>
    <w:basedOn w:val="Normal"/>
    <w:link w:val="FootnoteTextChar"/>
    <w:uiPriority w:val="99"/>
    <w:semiHidden/>
    <w:unhideWhenUsed/>
    <w:rsid w:val="00AE31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31FA"/>
    <w:rPr>
      <w:sz w:val="20"/>
      <w:szCs w:val="20"/>
    </w:rPr>
  </w:style>
  <w:style w:type="character" w:styleId="FootnoteReference">
    <w:name w:val="footnote reference"/>
    <w:basedOn w:val="DefaultParagraphFont"/>
    <w:uiPriority w:val="99"/>
    <w:semiHidden/>
    <w:unhideWhenUsed/>
    <w:rsid w:val="00AE31FA"/>
    <w:rPr>
      <w:vertAlign w:val="superscript"/>
    </w:rPr>
  </w:style>
  <w:style w:type="character" w:styleId="Emphasis">
    <w:name w:val="Emphasis"/>
    <w:basedOn w:val="DefaultParagraphFont"/>
    <w:uiPriority w:val="20"/>
    <w:qFormat/>
    <w:rsid w:val="0062463B"/>
    <w:rPr>
      <w:i/>
      <w:iCs/>
    </w:rPr>
  </w:style>
  <w:style w:type="character" w:customStyle="1" w:styleId="Heading1Char">
    <w:name w:val="Heading 1 Char"/>
    <w:basedOn w:val="DefaultParagraphFont"/>
    <w:link w:val="Heading1"/>
    <w:uiPriority w:val="9"/>
    <w:rsid w:val="0062463B"/>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62463B"/>
    <w:rPr>
      <w:rFonts w:asciiTheme="majorHAnsi" w:eastAsiaTheme="majorEastAsia" w:hAnsiTheme="majorHAnsi" w:cstheme="majorBidi"/>
      <w:i/>
      <w:iCs/>
      <w:color w:val="365F91" w:themeColor="accent1" w:themeShade="BF"/>
    </w:rPr>
  </w:style>
  <w:style w:type="character" w:customStyle="1" w:styleId="highlight2">
    <w:name w:val="highlight2"/>
    <w:basedOn w:val="DefaultParagraphFont"/>
    <w:rsid w:val="0062463B"/>
  </w:style>
  <w:style w:type="paragraph" w:customStyle="1" w:styleId="FormBodyText">
    <w:name w:val="Form Body Text"/>
    <w:basedOn w:val="Normal"/>
    <w:rsid w:val="00E876FB"/>
    <w:pPr>
      <w:tabs>
        <w:tab w:val="right" w:pos="9360"/>
      </w:tabs>
      <w:spacing w:before="60" w:after="60" w:line="240" w:lineRule="auto"/>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F6773D"/>
    <w:pPr>
      <w:spacing w:line="259" w:lineRule="auto"/>
      <w:outlineLvl w:val="9"/>
    </w:pPr>
  </w:style>
  <w:style w:type="paragraph" w:styleId="TOC1">
    <w:name w:val="toc 1"/>
    <w:basedOn w:val="Normal"/>
    <w:next w:val="Normal"/>
    <w:autoRedefine/>
    <w:uiPriority w:val="39"/>
    <w:unhideWhenUsed/>
    <w:rsid w:val="00566AE7"/>
    <w:pPr>
      <w:tabs>
        <w:tab w:val="left" w:pos="90"/>
        <w:tab w:val="right" w:leader="dot" w:pos="9350"/>
      </w:tabs>
      <w:spacing w:after="100"/>
      <w:ind w:left="-270"/>
    </w:pPr>
  </w:style>
  <w:style w:type="paragraph" w:styleId="Revision">
    <w:name w:val="Revision"/>
    <w:hidden/>
    <w:uiPriority w:val="99"/>
    <w:semiHidden/>
    <w:rsid w:val="00C50324"/>
    <w:pPr>
      <w:spacing w:after="0" w:line="240" w:lineRule="auto"/>
    </w:pPr>
  </w:style>
  <w:style w:type="paragraph" w:styleId="TOC2">
    <w:name w:val="toc 2"/>
    <w:basedOn w:val="Normal"/>
    <w:next w:val="Normal"/>
    <w:autoRedefine/>
    <w:uiPriority w:val="39"/>
    <w:unhideWhenUsed/>
    <w:rsid w:val="005558B7"/>
    <w:pPr>
      <w:tabs>
        <w:tab w:val="left" w:pos="660"/>
        <w:tab w:val="right" w:leader="dot" w:pos="9350"/>
      </w:tabs>
      <w:spacing w:after="100"/>
      <w:ind w:left="220"/>
    </w:pPr>
  </w:style>
  <w:style w:type="paragraph" w:customStyle="1" w:styleId="Bullets">
    <w:name w:val="Bullets"/>
    <w:basedOn w:val="ListParagraph"/>
    <w:link w:val="BulletsChar"/>
    <w:qFormat/>
    <w:rsid w:val="0030168A"/>
    <w:pPr>
      <w:numPr>
        <w:numId w:val="16"/>
      </w:numPr>
      <w:ind w:left="360"/>
    </w:pPr>
    <w:rPr>
      <w:rFonts w:ascii="Times New Roman" w:eastAsiaTheme="minorHAnsi" w:hAnsi="Times New Roman"/>
      <w:sz w:val="24"/>
    </w:rPr>
  </w:style>
  <w:style w:type="character" w:customStyle="1" w:styleId="BulletsChar">
    <w:name w:val="Bullets Char"/>
    <w:basedOn w:val="DefaultParagraphFont"/>
    <w:link w:val="Bullets"/>
    <w:rsid w:val="0030168A"/>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008">
      <w:bodyDiv w:val="1"/>
      <w:marLeft w:val="4"/>
      <w:marRight w:val="4"/>
      <w:marTop w:val="4"/>
      <w:marBottom w:val="4"/>
      <w:divBdr>
        <w:top w:val="none" w:sz="0" w:space="0" w:color="auto"/>
        <w:left w:val="none" w:sz="0" w:space="0" w:color="auto"/>
        <w:bottom w:val="none" w:sz="0" w:space="0" w:color="auto"/>
        <w:right w:val="none" w:sz="0" w:space="0" w:color="auto"/>
      </w:divBdr>
      <w:divsChild>
        <w:div w:id="109201967">
          <w:marLeft w:val="0"/>
          <w:marRight w:val="0"/>
          <w:marTop w:val="0"/>
          <w:marBottom w:val="0"/>
          <w:divBdr>
            <w:top w:val="none" w:sz="0" w:space="0" w:color="auto"/>
            <w:left w:val="none" w:sz="0" w:space="0" w:color="auto"/>
            <w:bottom w:val="none" w:sz="0" w:space="0" w:color="auto"/>
            <w:right w:val="none" w:sz="0" w:space="0" w:color="auto"/>
          </w:divBdr>
          <w:divsChild>
            <w:div w:id="1943995986">
              <w:marLeft w:val="0"/>
              <w:marRight w:val="0"/>
              <w:marTop w:val="0"/>
              <w:marBottom w:val="0"/>
              <w:divBdr>
                <w:top w:val="none" w:sz="0" w:space="0" w:color="auto"/>
                <w:left w:val="none" w:sz="0" w:space="0" w:color="auto"/>
                <w:bottom w:val="none" w:sz="0" w:space="0" w:color="auto"/>
                <w:right w:val="none" w:sz="0" w:space="0" w:color="auto"/>
              </w:divBdr>
              <w:divsChild>
                <w:div w:id="2036537792">
                  <w:marLeft w:val="0"/>
                  <w:marRight w:val="0"/>
                  <w:marTop w:val="0"/>
                  <w:marBottom w:val="180"/>
                  <w:divBdr>
                    <w:top w:val="none" w:sz="0" w:space="0" w:color="auto"/>
                    <w:left w:val="none" w:sz="0" w:space="0" w:color="auto"/>
                    <w:bottom w:val="none" w:sz="0" w:space="0" w:color="auto"/>
                    <w:right w:val="none" w:sz="0" w:space="0" w:color="auto"/>
                  </w:divBdr>
                  <w:divsChild>
                    <w:div w:id="1454712751">
                      <w:marLeft w:val="0"/>
                      <w:marRight w:val="0"/>
                      <w:marTop w:val="0"/>
                      <w:marBottom w:val="0"/>
                      <w:divBdr>
                        <w:top w:val="none" w:sz="0" w:space="0" w:color="auto"/>
                        <w:left w:val="none" w:sz="0" w:space="0" w:color="auto"/>
                        <w:bottom w:val="none" w:sz="0" w:space="0" w:color="auto"/>
                        <w:right w:val="none" w:sz="0" w:space="0" w:color="auto"/>
                      </w:divBdr>
                      <w:divsChild>
                        <w:div w:id="2024821344">
                          <w:marLeft w:val="0"/>
                          <w:marRight w:val="0"/>
                          <w:marTop w:val="0"/>
                          <w:marBottom w:val="0"/>
                          <w:divBdr>
                            <w:top w:val="none" w:sz="0" w:space="0" w:color="auto"/>
                            <w:left w:val="none" w:sz="0" w:space="0" w:color="auto"/>
                            <w:bottom w:val="none" w:sz="0" w:space="0" w:color="auto"/>
                            <w:right w:val="none" w:sz="0" w:space="0" w:color="auto"/>
                          </w:divBdr>
                          <w:divsChild>
                            <w:div w:id="6842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27899">
      <w:bodyDiv w:val="1"/>
      <w:marLeft w:val="0"/>
      <w:marRight w:val="0"/>
      <w:marTop w:val="0"/>
      <w:marBottom w:val="0"/>
      <w:divBdr>
        <w:top w:val="none" w:sz="0" w:space="0" w:color="auto"/>
        <w:left w:val="none" w:sz="0" w:space="0" w:color="auto"/>
        <w:bottom w:val="none" w:sz="0" w:space="0" w:color="auto"/>
        <w:right w:val="none" w:sz="0" w:space="0" w:color="auto"/>
      </w:divBdr>
      <w:divsChild>
        <w:div w:id="1390029413">
          <w:marLeft w:val="0"/>
          <w:marRight w:val="1"/>
          <w:marTop w:val="0"/>
          <w:marBottom w:val="0"/>
          <w:divBdr>
            <w:top w:val="none" w:sz="0" w:space="0" w:color="auto"/>
            <w:left w:val="none" w:sz="0" w:space="0" w:color="auto"/>
            <w:bottom w:val="none" w:sz="0" w:space="0" w:color="auto"/>
            <w:right w:val="none" w:sz="0" w:space="0" w:color="auto"/>
          </w:divBdr>
          <w:divsChild>
            <w:div w:id="1025836952">
              <w:marLeft w:val="0"/>
              <w:marRight w:val="0"/>
              <w:marTop w:val="0"/>
              <w:marBottom w:val="0"/>
              <w:divBdr>
                <w:top w:val="none" w:sz="0" w:space="0" w:color="auto"/>
                <w:left w:val="none" w:sz="0" w:space="0" w:color="auto"/>
                <w:bottom w:val="none" w:sz="0" w:space="0" w:color="auto"/>
                <w:right w:val="none" w:sz="0" w:space="0" w:color="auto"/>
              </w:divBdr>
              <w:divsChild>
                <w:div w:id="1053236247">
                  <w:marLeft w:val="0"/>
                  <w:marRight w:val="1"/>
                  <w:marTop w:val="0"/>
                  <w:marBottom w:val="0"/>
                  <w:divBdr>
                    <w:top w:val="none" w:sz="0" w:space="0" w:color="auto"/>
                    <w:left w:val="none" w:sz="0" w:space="0" w:color="auto"/>
                    <w:bottom w:val="none" w:sz="0" w:space="0" w:color="auto"/>
                    <w:right w:val="none" w:sz="0" w:space="0" w:color="auto"/>
                  </w:divBdr>
                  <w:divsChild>
                    <w:div w:id="1674525912">
                      <w:marLeft w:val="0"/>
                      <w:marRight w:val="0"/>
                      <w:marTop w:val="0"/>
                      <w:marBottom w:val="0"/>
                      <w:divBdr>
                        <w:top w:val="none" w:sz="0" w:space="0" w:color="auto"/>
                        <w:left w:val="none" w:sz="0" w:space="0" w:color="auto"/>
                        <w:bottom w:val="none" w:sz="0" w:space="0" w:color="auto"/>
                        <w:right w:val="none" w:sz="0" w:space="0" w:color="auto"/>
                      </w:divBdr>
                      <w:divsChild>
                        <w:div w:id="1647661845">
                          <w:marLeft w:val="0"/>
                          <w:marRight w:val="0"/>
                          <w:marTop w:val="0"/>
                          <w:marBottom w:val="0"/>
                          <w:divBdr>
                            <w:top w:val="none" w:sz="0" w:space="0" w:color="auto"/>
                            <w:left w:val="none" w:sz="0" w:space="0" w:color="auto"/>
                            <w:bottom w:val="none" w:sz="0" w:space="0" w:color="auto"/>
                            <w:right w:val="none" w:sz="0" w:space="0" w:color="auto"/>
                          </w:divBdr>
                          <w:divsChild>
                            <w:div w:id="1125349570">
                              <w:marLeft w:val="240"/>
                              <w:marRight w:val="0"/>
                              <w:marTop w:val="0"/>
                              <w:marBottom w:val="0"/>
                              <w:divBdr>
                                <w:top w:val="none" w:sz="0" w:space="0" w:color="auto"/>
                                <w:left w:val="none" w:sz="0" w:space="0" w:color="auto"/>
                                <w:bottom w:val="none" w:sz="0" w:space="0" w:color="auto"/>
                                <w:right w:val="none" w:sz="0" w:space="0" w:color="auto"/>
                              </w:divBdr>
                            </w:div>
                            <w:div w:id="1359694542">
                              <w:marLeft w:val="0"/>
                              <w:marRight w:val="0"/>
                              <w:marTop w:val="45"/>
                              <w:marBottom w:val="0"/>
                              <w:divBdr>
                                <w:top w:val="single" w:sz="6" w:space="2" w:color="CCCCCC"/>
                                <w:left w:val="single" w:sz="6" w:space="2" w:color="CCCCCC"/>
                                <w:bottom w:val="single" w:sz="6" w:space="2" w:color="CCCCCC"/>
                                <w:right w:val="single" w:sz="6" w:space="2" w:color="CCCCCC"/>
                              </w:divBdr>
                              <w:divsChild>
                                <w:div w:id="2027898867">
                                  <w:marLeft w:val="0"/>
                                  <w:marRight w:val="0"/>
                                  <w:marTop w:val="0"/>
                                  <w:marBottom w:val="0"/>
                                  <w:divBdr>
                                    <w:top w:val="none" w:sz="0" w:space="0" w:color="auto"/>
                                    <w:left w:val="none" w:sz="0" w:space="0" w:color="auto"/>
                                    <w:bottom w:val="none" w:sz="0" w:space="0" w:color="auto"/>
                                    <w:right w:val="none" w:sz="0" w:space="0" w:color="auto"/>
                                  </w:divBdr>
                                </w:div>
                                <w:div w:id="1016224398">
                                  <w:marLeft w:val="0"/>
                                  <w:marRight w:val="0"/>
                                  <w:marTop w:val="0"/>
                                  <w:marBottom w:val="0"/>
                                  <w:divBdr>
                                    <w:top w:val="none" w:sz="0" w:space="0" w:color="auto"/>
                                    <w:left w:val="none" w:sz="0" w:space="0" w:color="auto"/>
                                    <w:bottom w:val="none" w:sz="0" w:space="0" w:color="auto"/>
                                    <w:right w:val="none" w:sz="0" w:space="0" w:color="auto"/>
                                  </w:divBdr>
                                  <w:divsChild>
                                    <w:div w:id="1655599947">
                                      <w:marLeft w:val="0"/>
                                      <w:marRight w:val="0"/>
                                      <w:marTop w:val="0"/>
                                      <w:marBottom w:val="0"/>
                                      <w:divBdr>
                                        <w:top w:val="none" w:sz="0" w:space="0" w:color="auto"/>
                                        <w:left w:val="none" w:sz="0" w:space="0" w:color="auto"/>
                                        <w:bottom w:val="none" w:sz="0" w:space="0" w:color="auto"/>
                                        <w:right w:val="none" w:sz="0" w:space="0" w:color="auto"/>
                                      </w:divBdr>
                                    </w:div>
                                  </w:divsChild>
                                </w:div>
                                <w:div w:id="699009191">
                                  <w:marLeft w:val="0"/>
                                  <w:marRight w:val="0"/>
                                  <w:marTop w:val="0"/>
                                  <w:marBottom w:val="0"/>
                                  <w:divBdr>
                                    <w:top w:val="none" w:sz="0" w:space="0" w:color="auto"/>
                                    <w:left w:val="none" w:sz="0" w:space="0" w:color="auto"/>
                                    <w:bottom w:val="none" w:sz="0" w:space="0" w:color="auto"/>
                                    <w:right w:val="none" w:sz="0" w:space="0" w:color="auto"/>
                                  </w:divBdr>
                                </w:div>
                                <w:div w:id="186993788">
                                  <w:marLeft w:val="0"/>
                                  <w:marRight w:val="0"/>
                                  <w:marTop w:val="0"/>
                                  <w:marBottom w:val="0"/>
                                  <w:divBdr>
                                    <w:top w:val="none" w:sz="0" w:space="0" w:color="auto"/>
                                    <w:left w:val="none" w:sz="0" w:space="0" w:color="auto"/>
                                    <w:bottom w:val="none" w:sz="0" w:space="0" w:color="auto"/>
                                    <w:right w:val="none" w:sz="0" w:space="0" w:color="auto"/>
                                  </w:divBdr>
                                </w:div>
                                <w:div w:id="1112748539">
                                  <w:marLeft w:val="0"/>
                                  <w:marRight w:val="0"/>
                                  <w:marTop w:val="0"/>
                                  <w:marBottom w:val="0"/>
                                  <w:divBdr>
                                    <w:top w:val="none" w:sz="0" w:space="0" w:color="auto"/>
                                    <w:left w:val="none" w:sz="0" w:space="0" w:color="auto"/>
                                    <w:bottom w:val="none" w:sz="0" w:space="0" w:color="auto"/>
                                    <w:right w:val="none" w:sz="0" w:space="0" w:color="auto"/>
                                  </w:divBdr>
                                </w:div>
                                <w:div w:id="2018732678">
                                  <w:marLeft w:val="0"/>
                                  <w:marRight w:val="0"/>
                                  <w:marTop w:val="0"/>
                                  <w:marBottom w:val="0"/>
                                  <w:divBdr>
                                    <w:top w:val="none" w:sz="0" w:space="0" w:color="auto"/>
                                    <w:left w:val="none" w:sz="0" w:space="0" w:color="auto"/>
                                    <w:bottom w:val="none" w:sz="0" w:space="0" w:color="auto"/>
                                    <w:right w:val="none" w:sz="0" w:space="0" w:color="auto"/>
                                  </w:divBdr>
                                </w:div>
                                <w:div w:id="958948334">
                                  <w:marLeft w:val="0"/>
                                  <w:marRight w:val="0"/>
                                  <w:marTop w:val="0"/>
                                  <w:marBottom w:val="0"/>
                                  <w:divBdr>
                                    <w:top w:val="none" w:sz="0" w:space="0" w:color="auto"/>
                                    <w:left w:val="none" w:sz="0" w:space="0" w:color="auto"/>
                                    <w:bottom w:val="none" w:sz="0" w:space="0" w:color="auto"/>
                                    <w:right w:val="none" w:sz="0" w:space="0" w:color="auto"/>
                                  </w:divBdr>
                                </w:div>
                              </w:divsChild>
                            </w:div>
                            <w:div w:id="1694526144">
                              <w:marLeft w:val="0"/>
                              <w:marRight w:val="0"/>
                              <w:marTop w:val="0"/>
                              <w:marBottom w:val="0"/>
                              <w:divBdr>
                                <w:top w:val="none" w:sz="0" w:space="0" w:color="auto"/>
                                <w:left w:val="none" w:sz="0" w:space="0" w:color="auto"/>
                                <w:bottom w:val="none" w:sz="0" w:space="0" w:color="auto"/>
                                <w:right w:val="none" w:sz="0" w:space="0" w:color="auto"/>
                              </w:divBdr>
                            </w:div>
                          </w:divsChild>
                        </w:div>
                        <w:div w:id="1165707408">
                          <w:marLeft w:val="0"/>
                          <w:marRight w:val="0"/>
                          <w:marTop w:val="0"/>
                          <w:marBottom w:val="0"/>
                          <w:divBdr>
                            <w:top w:val="none" w:sz="0" w:space="0" w:color="auto"/>
                            <w:left w:val="none" w:sz="0" w:space="0" w:color="auto"/>
                            <w:bottom w:val="none" w:sz="0" w:space="0" w:color="auto"/>
                            <w:right w:val="none" w:sz="0" w:space="0" w:color="auto"/>
                          </w:divBdr>
                          <w:divsChild>
                            <w:div w:id="1867862927">
                              <w:marLeft w:val="0"/>
                              <w:marRight w:val="0"/>
                              <w:marTop w:val="0"/>
                              <w:marBottom w:val="0"/>
                              <w:divBdr>
                                <w:top w:val="none" w:sz="0" w:space="0" w:color="auto"/>
                                <w:left w:val="none" w:sz="0" w:space="0" w:color="auto"/>
                                <w:bottom w:val="none" w:sz="0" w:space="0" w:color="auto"/>
                                <w:right w:val="none" w:sz="0" w:space="0" w:color="auto"/>
                              </w:divBdr>
                            </w:div>
                          </w:divsChild>
                        </w:div>
                        <w:div w:id="1450860513">
                          <w:marLeft w:val="0"/>
                          <w:marRight w:val="0"/>
                          <w:marTop w:val="0"/>
                          <w:marBottom w:val="0"/>
                          <w:divBdr>
                            <w:top w:val="none" w:sz="0" w:space="0" w:color="auto"/>
                            <w:left w:val="none" w:sz="0" w:space="0" w:color="auto"/>
                            <w:bottom w:val="none" w:sz="0" w:space="0" w:color="auto"/>
                            <w:right w:val="none" w:sz="0" w:space="0" w:color="auto"/>
                          </w:divBdr>
                          <w:divsChild>
                            <w:div w:id="1880239703">
                              <w:marLeft w:val="0"/>
                              <w:marRight w:val="0"/>
                              <w:marTop w:val="120"/>
                              <w:marBottom w:val="360"/>
                              <w:divBdr>
                                <w:top w:val="none" w:sz="0" w:space="0" w:color="auto"/>
                                <w:left w:val="none" w:sz="0" w:space="0" w:color="auto"/>
                                <w:bottom w:val="none" w:sz="0" w:space="0" w:color="auto"/>
                                <w:right w:val="none" w:sz="0" w:space="0" w:color="auto"/>
                              </w:divBdr>
                              <w:divsChild>
                                <w:div w:id="1338800910">
                                  <w:marLeft w:val="0"/>
                                  <w:marRight w:val="0"/>
                                  <w:marTop w:val="0"/>
                                  <w:marBottom w:val="0"/>
                                  <w:divBdr>
                                    <w:top w:val="none" w:sz="0" w:space="0" w:color="auto"/>
                                    <w:left w:val="none" w:sz="0" w:space="0" w:color="auto"/>
                                    <w:bottom w:val="none" w:sz="0" w:space="0" w:color="auto"/>
                                    <w:right w:val="none" w:sz="0" w:space="0" w:color="auto"/>
                                  </w:divBdr>
                                </w:div>
                                <w:div w:id="986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20013">
      <w:bodyDiv w:val="1"/>
      <w:marLeft w:val="4"/>
      <w:marRight w:val="4"/>
      <w:marTop w:val="4"/>
      <w:marBottom w:val="4"/>
      <w:divBdr>
        <w:top w:val="none" w:sz="0" w:space="0" w:color="auto"/>
        <w:left w:val="none" w:sz="0" w:space="0" w:color="auto"/>
        <w:bottom w:val="none" w:sz="0" w:space="0" w:color="auto"/>
        <w:right w:val="none" w:sz="0" w:space="0" w:color="auto"/>
      </w:divBdr>
      <w:divsChild>
        <w:div w:id="1808818536">
          <w:marLeft w:val="0"/>
          <w:marRight w:val="0"/>
          <w:marTop w:val="0"/>
          <w:marBottom w:val="0"/>
          <w:divBdr>
            <w:top w:val="none" w:sz="0" w:space="0" w:color="auto"/>
            <w:left w:val="none" w:sz="0" w:space="0" w:color="auto"/>
            <w:bottom w:val="none" w:sz="0" w:space="0" w:color="auto"/>
            <w:right w:val="none" w:sz="0" w:space="0" w:color="auto"/>
          </w:divBdr>
          <w:divsChild>
            <w:div w:id="1481582100">
              <w:marLeft w:val="0"/>
              <w:marRight w:val="0"/>
              <w:marTop w:val="0"/>
              <w:marBottom w:val="0"/>
              <w:divBdr>
                <w:top w:val="none" w:sz="0" w:space="0" w:color="auto"/>
                <w:left w:val="none" w:sz="0" w:space="0" w:color="auto"/>
                <w:bottom w:val="none" w:sz="0" w:space="0" w:color="auto"/>
                <w:right w:val="none" w:sz="0" w:space="0" w:color="auto"/>
              </w:divBdr>
              <w:divsChild>
                <w:div w:id="2033535457">
                  <w:marLeft w:val="0"/>
                  <w:marRight w:val="0"/>
                  <w:marTop w:val="0"/>
                  <w:marBottom w:val="180"/>
                  <w:divBdr>
                    <w:top w:val="none" w:sz="0" w:space="0" w:color="auto"/>
                    <w:left w:val="none" w:sz="0" w:space="0" w:color="auto"/>
                    <w:bottom w:val="none" w:sz="0" w:space="0" w:color="auto"/>
                    <w:right w:val="none" w:sz="0" w:space="0" w:color="auto"/>
                  </w:divBdr>
                  <w:divsChild>
                    <w:div w:id="1123841402">
                      <w:marLeft w:val="0"/>
                      <w:marRight w:val="0"/>
                      <w:marTop w:val="0"/>
                      <w:marBottom w:val="0"/>
                      <w:divBdr>
                        <w:top w:val="none" w:sz="0" w:space="0" w:color="auto"/>
                        <w:left w:val="none" w:sz="0" w:space="0" w:color="auto"/>
                        <w:bottom w:val="none" w:sz="0" w:space="0" w:color="auto"/>
                        <w:right w:val="none" w:sz="0" w:space="0" w:color="auto"/>
                      </w:divBdr>
                      <w:divsChild>
                        <w:div w:id="570309875">
                          <w:marLeft w:val="0"/>
                          <w:marRight w:val="0"/>
                          <w:marTop w:val="0"/>
                          <w:marBottom w:val="0"/>
                          <w:divBdr>
                            <w:top w:val="none" w:sz="0" w:space="0" w:color="auto"/>
                            <w:left w:val="none" w:sz="0" w:space="0" w:color="auto"/>
                            <w:bottom w:val="none" w:sz="0" w:space="0" w:color="auto"/>
                            <w:right w:val="none" w:sz="0" w:space="0" w:color="auto"/>
                          </w:divBdr>
                          <w:divsChild>
                            <w:div w:id="985359264">
                              <w:marLeft w:val="0"/>
                              <w:marRight w:val="0"/>
                              <w:marTop w:val="0"/>
                              <w:marBottom w:val="0"/>
                              <w:divBdr>
                                <w:top w:val="none" w:sz="0" w:space="0" w:color="auto"/>
                                <w:left w:val="none" w:sz="0" w:space="0" w:color="auto"/>
                                <w:bottom w:val="none" w:sz="0" w:space="0" w:color="auto"/>
                                <w:right w:val="none" w:sz="0" w:space="0" w:color="auto"/>
                              </w:divBdr>
                              <w:divsChild>
                                <w:div w:id="632060604">
                                  <w:marLeft w:val="0"/>
                                  <w:marRight w:val="0"/>
                                  <w:marTop w:val="0"/>
                                  <w:marBottom w:val="0"/>
                                  <w:divBdr>
                                    <w:top w:val="none" w:sz="0" w:space="0" w:color="auto"/>
                                    <w:left w:val="none" w:sz="0" w:space="0" w:color="auto"/>
                                    <w:bottom w:val="none" w:sz="0" w:space="0" w:color="auto"/>
                                    <w:right w:val="none" w:sz="0" w:space="0" w:color="auto"/>
                                  </w:divBdr>
                                  <w:divsChild>
                                    <w:div w:id="7271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766192">
      <w:bodyDiv w:val="1"/>
      <w:marLeft w:val="0"/>
      <w:marRight w:val="0"/>
      <w:marTop w:val="0"/>
      <w:marBottom w:val="0"/>
      <w:divBdr>
        <w:top w:val="none" w:sz="0" w:space="0" w:color="auto"/>
        <w:left w:val="none" w:sz="0" w:space="0" w:color="auto"/>
        <w:bottom w:val="none" w:sz="0" w:space="0" w:color="auto"/>
        <w:right w:val="none" w:sz="0" w:space="0" w:color="auto"/>
      </w:divBdr>
    </w:div>
    <w:div w:id="356657046">
      <w:bodyDiv w:val="1"/>
      <w:marLeft w:val="4"/>
      <w:marRight w:val="4"/>
      <w:marTop w:val="4"/>
      <w:marBottom w:val="4"/>
      <w:divBdr>
        <w:top w:val="none" w:sz="0" w:space="0" w:color="auto"/>
        <w:left w:val="none" w:sz="0" w:space="0" w:color="auto"/>
        <w:bottom w:val="none" w:sz="0" w:space="0" w:color="auto"/>
        <w:right w:val="none" w:sz="0" w:space="0" w:color="auto"/>
      </w:divBdr>
      <w:divsChild>
        <w:div w:id="475951242">
          <w:marLeft w:val="0"/>
          <w:marRight w:val="0"/>
          <w:marTop w:val="0"/>
          <w:marBottom w:val="0"/>
          <w:divBdr>
            <w:top w:val="none" w:sz="0" w:space="0" w:color="auto"/>
            <w:left w:val="none" w:sz="0" w:space="0" w:color="auto"/>
            <w:bottom w:val="none" w:sz="0" w:space="0" w:color="auto"/>
            <w:right w:val="none" w:sz="0" w:space="0" w:color="auto"/>
          </w:divBdr>
          <w:divsChild>
            <w:div w:id="1905096523">
              <w:marLeft w:val="0"/>
              <w:marRight w:val="0"/>
              <w:marTop w:val="0"/>
              <w:marBottom w:val="0"/>
              <w:divBdr>
                <w:top w:val="none" w:sz="0" w:space="0" w:color="auto"/>
                <w:left w:val="none" w:sz="0" w:space="0" w:color="auto"/>
                <w:bottom w:val="none" w:sz="0" w:space="0" w:color="auto"/>
                <w:right w:val="none" w:sz="0" w:space="0" w:color="auto"/>
              </w:divBdr>
              <w:divsChild>
                <w:div w:id="429473356">
                  <w:marLeft w:val="0"/>
                  <w:marRight w:val="0"/>
                  <w:marTop w:val="0"/>
                  <w:marBottom w:val="180"/>
                  <w:divBdr>
                    <w:top w:val="none" w:sz="0" w:space="0" w:color="auto"/>
                    <w:left w:val="none" w:sz="0" w:space="0" w:color="auto"/>
                    <w:bottom w:val="none" w:sz="0" w:space="0" w:color="auto"/>
                    <w:right w:val="none" w:sz="0" w:space="0" w:color="auto"/>
                  </w:divBdr>
                  <w:divsChild>
                    <w:div w:id="1093208472">
                      <w:marLeft w:val="0"/>
                      <w:marRight w:val="0"/>
                      <w:marTop w:val="0"/>
                      <w:marBottom w:val="0"/>
                      <w:divBdr>
                        <w:top w:val="none" w:sz="0" w:space="0" w:color="auto"/>
                        <w:left w:val="none" w:sz="0" w:space="0" w:color="auto"/>
                        <w:bottom w:val="none" w:sz="0" w:space="0" w:color="auto"/>
                        <w:right w:val="none" w:sz="0" w:space="0" w:color="auto"/>
                      </w:divBdr>
                      <w:divsChild>
                        <w:div w:id="1723214426">
                          <w:marLeft w:val="0"/>
                          <w:marRight w:val="0"/>
                          <w:marTop w:val="0"/>
                          <w:marBottom w:val="0"/>
                          <w:divBdr>
                            <w:top w:val="none" w:sz="0" w:space="0" w:color="auto"/>
                            <w:left w:val="none" w:sz="0" w:space="0" w:color="auto"/>
                            <w:bottom w:val="none" w:sz="0" w:space="0" w:color="auto"/>
                            <w:right w:val="none" w:sz="0" w:space="0" w:color="auto"/>
                          </w:divBdr>
                          <w:divsChild>
                            <w:div w:id="1944023711">
                              <w:marLeft w:val="0"/>
                              <w:marRight w:val="0"/>
                              <w:marTop w:val="0"/>
                              <w:marBottom w:val="0"/>
                              <w:divBdr>
                                <w:top w:val="none" w:sz="0" w:space="0" w:color="auto"/>
                                <w:left w:val="none" w:sz="0" w:space="0" w:color="auto"/>
                                <w:bottom w:val="none" w:sz="0" w:space="0" w:color="auto"/>
                                <w:right w:val="none" w:sz="0" w:space="0" w:color="auto"/>
                              </w:divBdr>
                              <w:divsChild>
                                <w:div w:id="1530290593">
                                  <w:marLeft w:val="0"/>
                                  <w:marRight w:val="0"/>
                                  <w:marTop w:val="0"/>
                                  <w:marBottom w:val="0"/>
                                  <w:divBdr>
                                    <w:top w:val="none" w:sz="0" w:space="0" w:color="auto"/>
                                    <w:left w:val="none" w:sz="0" w:space="0" w:color="auto"/>
                                    <w:bottom w:val="none" w:sz="0" w:space="0" w:color="auto"/>
                                    <w:right w:val="none" w:sz="0" w:space="0" w:color="auto"/>
                                  </w:divBdr>
                                  <w:divsChild>
                                    <w:div w:id="832179060">
                                      <w:marLeft w:val="0"/>
                                      <w:marRight w:val="0"/>
                                      <w:marTop w:val="0"/>
                                      <w:marBottom w:val="0"/>
                                      <w:divBdr>
                                        <w:top w:val="none" w:sz="0" w:space="0" w:color="auto"/>
                                        <w:left w:val="none" w:sz="0" w:space="0" w:color="auto"/>
                                        <w:bottom w:val="none" w:sz="0" w:space="0" w:color="auto"/>
                                        <w:right w:val="none" w:sz="0" w:space="0" w:color="auto"/>
                                      </w:divBdr>
                                      <w:divsChild>
                                        <w:div w:id="966348813">
                                          <w:marLeft w:val="0"/>
                                          <w:marRight w:val="0"/>
                                          <w:marTop w:val="0"/>
                                          <w:marBottom w:val="0"/>
                                          <w:divBdr>
                                            <w:top w:val="none" w:sz="0" w:space="0" w:color="auto"/>
                                            <w:left w:val="none" w:sz="0" w:space="0" w:color="auto"/>
                                            <w:bottom w:val="none" w:sz="0" w:space="0" w:color="auto"/>
                                            <w:right w:val="none" w:sz="0" w:space="0" w:color="auto"/>
                                          </w:divBdr>
                                          <w:divsChild>
                                            <w:div w:id="1305239934">
                                              <w:marLeft w:val="0"/>
                                              <w:marRight w:val="0"/>
                                              <w:marTop w:val="0"/>
                                              <w:marBottom w:val="225"/>
                                              <w:divBdr>
                                                <w:top w:val="none" w:sz="0" w:space="0" w:color="auto"/>
                                                <w:left w:val="none" w:sz="0" w:space="0" w:color="auto"/>
                                                <w:bottom w:val="none" w:sz="0" w:space="0" w:color="auto"/>
                                                <w:right w:val="none" w:sz="0" w:space="0" w:color="auto"/>
                                              </w:divBdr>
                                              <w:divsChild>
                                                <w:div w:id="20312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332127">
      <w:bodyDiv w:val="1"/>
      <w:marLeft w:val="0"/>
      <w:marRight w:val="0"/>
      <w:marTop w:val="0"/>
      <w:marBottom w:val="0"/>
      <w:divBdr>
        <w:top w:val="none" w:sz="0" w:space="0" w:color="auto"/>
        <w:left w:val="none" w:sz="0" w:space="0" w:color="auto"/>
        <w:bottom w:val="none" w:sz="0" w:space="0" w:color="auto"/>
        <w:right w:val="none" w:sz="0" w:space="0" w:color="auto"/>
      </w:divBdr>
    </w:div>
    <w:div w:id="499810053">
      <w:bodyDiv w:val="1"/>
      <w:marLeft w:val="4"/>
      <w:marRight w:val="4"/>
      <w:marTop w:val="4"/>
      <w:marBottom w:val="4"/>
      <w:divBdr>
        <w:top w:val="none" w:sz="0" w:space="0" w:color="auto"/>
        <w:left w:val="none" w:sz="0" w:space="0" w:color="auto"/>
        <w:bottom w:val="none" w:sz="0" w:space="0" w:color="auto"/>
        <w:right w:val="none" w:sz="0" w:space="0" w:color="auto"/>
      </w:divBdr>
      <w:divsChild>
        <w:div w:id="1570190173">
          <w:marLeft w:val="0"/>
          <w:marRight w:val="0"/>
          <w:marTop w:val="0"/>
          <w:marBottom w:val="0"/>
          <w:divBdr>
            <w:top w:val="none" w:sz="0" w:space="0" w:color="auto"/>
            <w:left w:val="none" w:sz="0" w:space="0" w:color="auto"/>
            <w:bottom w:val="none" w:sz="0" w:space="0" w:color="auto"/>
            <w:right w:val="none" w:sz="0" w:space="0" w:color="auto"/>
          </w:divBdr>
          <w:divsChild>
            <w:div w:id="1430617299">
              <w:marLeft w:val="0"/>
              <w:marRight w:val="0"/>
              <w:marTop w:val="0"/>
              <w:marBottom w:val="180"/>
              <w:divBdr>
                <w:top w:val="none" w:sz="0" w:space="0" w:color="auto"/>
                <w:left w:val="none" w:sz="0" w:space="0" w:color="auto"/>
                <w:bottom w:val="none" w:sz="0" w:space="0" w:color="auto"/>
                <w:right w:val="none" w:sz="0" w:space="0" w:color="auto"/>
              </w:divBdr>
              <w:divsChild>
                <w:div w:id="874923015">
                  <w:marLeft w:val="0"/>
                  <w:marRight w:val="0"/>
                  <w:marTop w:val="0"/>
                  <w:marBottom w:val="0"/>
                  <w:divBdr>
                    <w:top w:val="none" w:sz="0" w:space="0" w:color="auto"/>
                    <w:left w:val="none" w:sz="0" w:space="0" w:color="auto"/>
                    <w:bottom w:val="none" w:sz="0" w:space="0" w:color="auto"/>
                    <w:right w:val="none" w:sz="0" w:space="0" w:color="auto"/>
                  </w:divBdr>
                  <w:divsChild>
                    <w:div w:id="2094161598">
                      <w:marLeft w:val="0"/>
                      <w:marRight w:val="0"/>
                      <w:marTop w:val="0"/>
                      <w:marBottom w:val="0"/>
                      <w:divBdr>
                        <w:top w:val="none" w:sz="0" w:space="0" w:color="auto"/>
                        <w:left w:val="none" w:sz="0" w:space="0" w:color="auto"/>
                        <w:bottom w:val="none" w:sz="0" w:space="0" w:color="auto"/>
                        <w:right w:val="none" w:sz="0" w:space="0" w:color="auto"/>
                      </w:divBdr>
                      <w:divsChild>
                        <w:div w:id="9757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558326">
      <w:bodyDiv w:val="1"/>
      <w:marLeft w:val="0"/>
      <w:marRight w:val="0"/>
      <w:marTop w:val="0"/>
      <w:marBottom w:val="0"/>
      <w:divBdr>
        <w:top w:val="none" w:sz="0" w:space="0" w:color="auto"/>
        <w:left w:val="none" w:sz="0" w:space="0" w:color="auto"/>
        <w:bottom w:val="none" w:sz="0" w:space="0" w:color="auto"/>
        <w:right w:val="none" w:sz="0" w:space="0" w:color="auto"/>
      </w:divBdr>
    </w:div>
    <w:div w:id="619730084">
      <w:bodyDiv w:val="1"/>
      <w:marLeft w:val="0"/>
      <w:marRight w:val="0"/>
      <w:marTop w:val="0"/>
      <w:marBottom w:val="0"/>
      <w:divBdr>
        <w:top w:val="none" w:sz="0" w:space="0" w:color="auto"/>
        <w:left w:val="none" w:sz="0" w:space="0" w:color="auto"/>
        <w:bottom w:val="none" w:sz="0" w:space="0" w:color="auto"/>
        <w:right w:val="none" w:sz="0" w:space="0" w:color="auto"/>
      </w:divBdr>
    </w:div>
    <w:div w:id="624963482">
      <w:bodyDiv w:val="1"/>
      <w:marLeft w:val="4"/>
      <w:marRight w:val="4"/>
      <w:marTop w:val="4"/>
      <w:marBottom w:val="4"/>
      <w:divBdr>
        <w:top w:val="none" w:sz="0" w:space="0" w:color="auto"/>
        <w:left w:val="none" w:sz="0" w:space="0" w:color="auto"/>
        <w:bottom w:val="none" w:sz="0" w:space="0" w:color="auto"/>
        <w:right w:val="none" w:sz="0" w:space="0" w:color="auto"/>
      </w:divBdr>
      <w:divsChild>
        <w:div w:id="1430783080">
          <w:marLeft w:val="0"/>
          <w:marRight w:val="0"/>
          <w:marTop w:val="0"/>
          <w:marBottom w:val="0"/>
          <w:divBdr>
            <w:top w:val="none" w:sz="0" w:space="0" w:color="auto"/>
            <w:left w:val="none" w:sz="0" w:space="0" w:color="auto"/>
            <w:bottom w:val="none" w:sz="0" w:space="0" w:color="auto"/>
            <w:right w:val="none" w:sz="0" w:space="0" w:color="auto"/>
          </w:divBdr>
          <w:divsChild>
            <w:div w:id="1225212851">
              <w:marLeft w:val="0"/>
              <w:marRight w:val="0"/>
              <w:marTop w:val="0"/>
              <w:marBottom w:val="0"/>
              <w:divBdr>
                <w:top w:val="none" w:sz="0" w:space="0" w:color="auto"/>
                <w:left w:val="none" w:sz="0" w:space="0" w:color="auto"/>
                <w:bottom w:val="none" w:sz="0" w:space="0" w:color="auto"/>
                <w:right w:val="none" w:sz="0" w:space="0" w:color="auto"/>
              </w:divBdr>
              <w:divsChild>
                <w:div w:id="1364600213">
                  <w:marLeft w:val="0"/>
                  <w:marRight w:val="0"/>
                  <w:marTop w:val="0"/>
                  <w:marBottom w:val="180"/>
                  <w:divBdr>
                    <w:top w:val="none" w:sz="0" w:space="0" w:color="auto"/>
                    <w:left w:val="none" w:sz="0" w:space="0" w:color="auto"/>
                    <w:bottom w:val="none" w:sz="0" w:space="0" w:color="auto"/>
                    <w:right w:val="none" w:sz="0" w:space="0" w:color="auto"/>
                  </w:divBdr>
                  <w:divsChild>
                    <w:div w:id="343283949">
                      <w:marLeft w:val="0"/>
                      <w:marRight w:val="0"/>
                      <w:marTop w:val="0"/>
                      <w:marBottom w:val="0"/>
                      <w:divBdr>
                        <w:top w:val="none" w:sz="0" w:space="0" w:color="auto"/>
                        <w:left w:val="none" w:sz="0" w:space="0" w:color="auto"/>
                        <w:bottom w:val="none" w:sz="0" w:space="0" w:color="auto"/>
                        <w:right w:val="none" w:sz="0" w:space="0" w:color="auto"/>
                      </w:divBdr>
                      <w:divsChild>
                        <w:div w:id="160969008">
                          <w:marLeft w:val="0"/>
                          <w:marRight w:val="0"/>
                          <w:marTop w:val="0"/>
                          <w:marBottom w:val="0"/>
                          <w:divBdr>
                            <w:top w:val="none" w:sz="0" w:space="0" w:color="auto"/>
                            <w:left w:val="none" w:sz="0" w:space="0" w:color="auto"/>
                            <w:bottom w:val="none" w:sz="0" w:space="0" w:color="auto"/>
                            <w:right w:val="none" w:sz="0" w:space="0" w:color="auto"/>
                          </w:divBdr>
                          <w:divsChild>
                            <w:div w:id="1738278839">
                              <w:marLeft w:val="0"/>
                              <w:marRight w:val="0"/>
                              <w:marTop w:val="0"/>
                              <w:marBottom w:val="0"/>
                              <w:divBdr>
                                <w:top w:val="none" w:sz="0" w:space="0" w:color="auto"/>
                                <w:left w:val="none" w:sz="0" w:space="0" w:color="auto"/>
                                <w:bottom w:val="none" w:sz="0" w:space="0" w:color="auto"/>
                                <w:right w:val="none" w:sz="0" w:space="0" w:color="auto"/>
                              </w:divBdr>
                              <w:divsChild>
                                <w:div w:id="1515805919">
                                  <w:marLeft w:val="0"/>
                                  <w:marRight w:val="0"/>
                                  <w:marTop w:val="0"/>
                                  <w:marBottom w:val="0"/>
                                  <w:divBdr>
                                    <w:top w:val="none" w:sz="0" w:space="0" w:color="auto"/>
                                    <w:left w:val="none" w:sz="0" w:space="0" w:color="auto"/>
                                    <w:bottom w:val="none" w:sz="0" w:space="0" w:color="auto"/>
                                    <w:right w:val="none" w:sz="0" w:space="0" w:color="auto"/>
                                  </w:divBdr>
                                  <w:divsChild>
                                    <w:div w:id="534852671">
                                      <w:marLeft w:val="0"/>
                                      <w:marRight w:val="0"/>
                                      <w:marTop w:val="0"/>
                                      <w:marBottom w:val="0"/>
                                      <w:divBdr>
                                        <w:top w:val="none" w:sz="0" w:space="0" w:color="auto"/>
                                        <w:left w:val="none" w:sz="0" w:space="0" w:color="auto"/>
                                        <w:bottom w:val="none" w:sz="0" w:space="0" w:color="auto"/>
                                        <w:right w:val="none" w:sz="0" w:space="0" w:color="auto"/>
                                      </w:divBdr>
                                      <w:divsChild>
                                        <w:div w:id="716469574">
                                          <w:marLeft w:val="0"/>
                                          <w:marRight w:val="0"/>
                                          <w:marTop w:val="0"/>
                                          <w:marBottom w:val="0"/>
                                          <w:divBdr>
                                            <w:top w:val="none" w:sz="0" w:space="0" w:color="auto"/>
                                            <w:left w:val="none" w:sz="0" w:space="0" w:color="auto"/>
                                            <w:bottom w:val="none" w:sz="0" w:space="0" w:color="auto"/>
                                            <w:right w:val="none" w:sz="0" w:space="0" w:color="auto"/>
                                          </w:divBdr>
                                          <w:divsChild>
                                            <w:div w:id="1250654061">
                                              <w:marLeft w:val="0"/>
                                              <w:marRight w:val="0"/>
                                              <w:marTop w:val="0"/>
                                              <w:marBottom w:val="225"/>
                                              <w:divBdr>
                                                <w:top w:val="none" w:sz="0" w:space="0" w:color="auto"/>
                                                <w:left w:val="none" w:sz="0" w:space="0" w:color="auto"/>
                                                <w:bottom w:val="none" w:sz="0" w:space="0" w:color="auto"/>
                                                <w:right w:val="none" w:sz="0" w:space="0" w:color="auto"/>
                                              </w:divBdr>
                                              <w:divsChild>
                                                <w:div w:id="4808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8724164">
      <w:bodyDiv w:val="1"/>
      <w:marLeft w:val="0"/>
      <w:marRight w:val="0"/>
      <w:marTop w:val="0"/>
      <w:marBottom w:val="0"/>
      <w:divBdr>
        <w:top w:val="none" w:sz="0" w:space="0" w:color="auto"/>
        <w:left w:val="none" w:sz="0" w:space="0" w:color="auto"/>
        <w:bottom w:val="none" w:sz="0" w:space="0" w:color="auto"/>
        <w:right w:val="none" w:sz="0" w:space="0" w:color="auto"/>
      </w:divBdr>
      <w:divsChild>
        <w:div w:id="1449543095">
          <w:marLeft w:val="259"/>
          <w:marRight w:val="0"/>
          <w:marTop w:val="0"/>
          <w:marBottom w:val="0"/>
          <w:divBdr>
            <w:top w:val="none" w:sz="0" w:space="0" w:color="auto"/>
            <w:left w:val="none" w:sz="0" w:space="0" w:color="auto"/>
            <w:bottom w:val="none" w:sz="0" w:space="0" w:color="auto"/>
            <w:right w:val="none" w:sz="0" w:space="0" w:color="auto"/>
          </w:divBdr>
        </w:div>
      </w:divsChild>
    </w:div>
    <w:div w:id="680745199">
      <w:bodyDiv w:val="1"/>
      <w:marLeft w:val="4"/>
      <w:marRight w:val="4"/>
      <w:marTop w:val="4"/>
      <w:marBottom w:val="4"/>
      <w:divBdr>
        <w:top w:val="none" w:sz="0" w:space="0" w:color="auto"/>
        <w:left w:val="none" w:sz="0" w:space="0" w:color="auto"/>
        <w:bottom w:val="none" w:sz="0" w:space="0" w:color="auto"/>
        <w:right w:val="none" w:sz="0" w:space="0" w:color="auto"/>
      </w:divBdr>
      <w:divsChild>
        <w:div w:id="1160775381">
          <w:marLeft w:val="0"/>
          <w:marRight w:val="0"/>
          <w:marTop w:val="0"/>
          <w:marBottom w:val="0"/>
          <w:divBdr>
            <w:top w:val="none" w:sz="0" w:space="0" w:color="auto"/>
            <w:left w:val="none" w:sz="0" w:space="0" w:color="auto"/>
            <w:bottom w:val="none" w:sz="0" w:space="0" w:color="auto"/>
            <w:right w:val="none" w:sz="0" w:space="0" w:color="auto"/>
          </w:divBdr>
          <w:divsChild>
            <w:div w:id="1016888437">
              <w:marLeft w:val="0"/>
              <w:marRight w:val="0"/>
              <w:marTop w:val="0"/>
              <w:marBottom w:val="0"/>
              <w:divBdr>
                <w:top w:val="none" w:sz="0" w:space="0" w:color="auto"/>
                <w:left w:val="none" w:sz="0" w:space="0" w:color="auto"/>
                <w:bottom w:val="none" w:sz="0" w:space="0" w:color="auto"/>
                <w:right w:val="none" w:sz="0" w:space="0" w:color="auto"/>
              </w:divBdr>
              <w:divsChild>
                <w:div w:id="470363684">
                  <w:marLeft w:val="0"/>
                  <w:marRight w:val="0"/>
                  <w:marTop w:val="0"/>
                  <w:marBottom w:val="180"/>
                  <w:divBdr>
                    <w:top w:val="none" w:sz="0" w:space="0" w:color="auto"/>
                    <w:left w:val="none" w:sz="0" w:space="0" w:color="auto"/>
                    <w:bottom w:val="none" w:sz="0" w:space="0" w:color="auto"/>
                    <w:right w:val="none" w:sz="0" w:space="0" w:color="auto"/>
                  </w:divBdr>
                  <w:divsChild>
                    <w:div w:id="1062870172">
                      <w:marLeft w:val="0"/>
                      <w:marRight w:val="0"/>
                      <w:marTop w:val="0"/>
                      <w:marBottom w:val="0"/>
                      <w:divBdr>
                        <w:top w:val="none" w:sz="0" w:space="0" w:color="auto"/>
                        <w:left w:val="none" w:sz="0" w:space="0" w:color="auto"/>
                        <w:bottom w:val="none" w:sz="0" w:space="0" w:color="auto"/>
                        <w:right w:val="none" w:sz="0" w:space="0" w:color="auto"/>
                      </w:divBdr>
                      <w:divsChild>
                        <w:div w:id="1380128501">
                          <w:marLeft w:val="0"/>
                          <w:marRight w:val="0"/>
                          <w:marTop w:val="0"/>
                          <w:marBottom w:val="0"/>
                          <w:divBdr>
                            <w:top w:val="none" w:sz="0" w:space="0" w:color="auto"/>
                            <w:left w:val="none" w:sz="0" w:space="0" w:color="auto"/>
                            <w:bottom w:val="none" w:sz="0" w:space="0" w:color="auto"/>
                            <w:right w:val="none" w:sz="0" w:space="0" w:color="auto"/>
                          </w:divBdr>
                          <w:divsChild>
                            <w:div w:id="1903708561">
                              <w:marLeft w:val="0"/>
                              <w:marRight w:val="0"/>
                              <w:marTop w:val="0"/>
                              <w:marBottom w:val="0"/>
                              <w:divBdr>
                                <w:top w:val="none" w:sz="0" w:space="0" w:color="auto"/>
                                <w:left w:val="none" w:sz="0" w:space="0" w:color="auto"/>
                                <w:bottom w:val="none" w:sz="0" w:space="0" w:color="auto"/>
                                <w:right w:val="none" w:sz="0" w:space="0" w:color="auto"/>
                              </w:divBdr>
                              <w:divsChild>
                                <w:div w:id="693073030">
                                  <w:marLeft w:val="0"/>
                                  <w:marRight w:val="0"/>
                                  <w:marTop w:val="180"/>
                                  <w:marBottom w:val="180"/>
                                  <w:divBdr>
                                    <w:top w:val="none" w:sz="0" w:space="0" w:color="auto"/>
                                    <w:left w:val="none" w:sz="0" w:space="0" w:color="auto"/>
                                    <w:bottom w:val="none" w:sz="0" w:space="0" w:color="auto"/>
                                    <w:right w:val="none" w:sz="0" w:space="0" w:color="auto"/>
                                  </w:divBdr>
                                  <w:divsChild>
                                    <w:div w:id="697587736">
                                      <w:marLeft w:val="0"/>
                                      <w:marRight w:val="0"/>
                                      <w:marTop w:val="0"/>
                                      <w:marBottom w:val="0"/>
                                      <w:divBdr>
                                        <w:top w:val="none" w:sz="0" w:space="0" w:color="auto"/>
                                        <w:left w:val="none" w:sz="0" w:space="0" w:color="auto"/>
                                        <w:bottom w:val="none" w:sz="0" w:space="0" w:color="auto"/>
                                        <w:right w:val="none" w:sz="0" w:space="0" w:color="auto"/>
                                      </w:divBdr>
                                      <w:divsChild>
                                        <w:div w:id="767194518">
                                          <w:marLeft w:val="0"/>
                                          <w:marRight w:val="0"/>
                                          <w:marTop w:val="0"/>
                                          <w:marBottom w:val="0"/>
                                          <w:divBdr>
                                            <w:top w:val="none" w:sz="0" w:space="0" w:color="auto"/>
                                            <w:left w:val="none" w:sz="0" w:space="0" w:color="auto"/>
                                            <w:bottom w:val="none" w:sz="0" w:space="0" w:color="auto"/>
                                            <w:right w:val="none" w:sz="0" w:space="0" w:color="auto"/>
                                          </w:divBdr>
                                          <w:divsChild>
                                            <w:div w:id="37501405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584711">
      <w:bodyDiv w:val="1"/>
      <w:marLeft w:val="0"/>
      <w:marRight w:val="0"/>
      <w:marTop w:val="0"/>
      <w:marBottom w:val="0"/>
      <w:divBdr>
        <w:top w:val="none" w:sz="0" w:space="0" w:color="auto"/>
        <w:left w:val="none" w:sz="0" w:space="0" w:color="auto"/>
        <w:bottom w:val="none" w:sz="0" w:space="0" w:color="auto"/>
        <w:right w:val="none" w:sz="0" w:space="0" w:color="auto"/>
      </w:divBdr>
    </w:div>
    <w:div w:id="1165901756">
      <w:bodyDiv w:val="1"/>
      <w:marLeft w:val="0"/>
      <w:marRight w:val="0"/>
      <w:marTop w:val="0"/>
      <w:marBottom w:val="0"/>
      <w:divBdr>
        <w:top w:val="none" w:sz="0" w:space="0" w:color="auto"/>
        <w:left w:val="none" w:sz="0" w:space="0" w:color="auto"/>
        <w:bottom w:val="none" w:sz="0" w:space="0" w:color="auto"/>
        <w:right w:val="none" w:sz="0" w:space="0" w:color="auto"/>
      </w:divBdr>
      <w:divsChild>
        <w:div w:id="1946569221">
          <w:marLeft w:val="288"/>
          <w:marRight w:val="0"/>
          <w:marTop w:val="53"/>
          <w:marBottom w:val="0"/>
          <w:divBdr>
            <w:top w:val="none" w:sz="0" w:space="0" w:color="auto"/>
            <w:left w:val="none" w:sz="0" w:space="0" w:color="auto"/>
            <w:bottom w:val="none" w:sz="0" w:space="0" w:color="auto"/>
            <w:right w:val="none" w:sz="0" w:space="0" w:color="auto"/>
          </w:divBdr>
        </w:div>
      </w:divsChild>
    </w:div>
    <w:div w:id="1196961335">
      <w:bodyDiv w:val="1"/>
      <w:marLeft w:val="0"/>
      <w:marRight w:val="0"/>
      <w:marTop w:val="0"/>
      <w:marBottom w:val="0"/>
      <w:divBdr>
        <w:top w:val="none" w:sz="0" w:space="0" w:color="auto"/>
        <w:left w:val="none" w:sz="0" w:space="0" w:color="auto"/>
        <w:bottom w:val="none" w:sz="0" w:space="0" w:color="auto"/>
        <w:right w:val="none" w:sz="0" w:space="0" w:color="auto"/>
      </w:divBdr>
    </w:div>
    <w:div w:id="1207713984">
      <w:bodyDiv w:val="1"/>
      <w:marLeft w:val="0"/>
      <w:marRight w:val="0"/>
      <w:marTop w:val="0"/>
      <w:marBottom w:val="0"/>
      <w:divBdr>
        <w:top w:val="none" w:sz="0" w:space="0" w:color="auto"/>
        <w:left w:val="none" w:sz="0" w:space="0" w:color="auto"/>
        <w:bottom w:val="none" w:sz="0" w:space="0" w:color="auto"/>
        <w:right w:val="none" w:sz="0" w:space="0" w:color="auto"/>
      </w:divBdr>
    </w:div>
    <w:div w:id="1274169529">
      <w:bodyDiv w:val="1"/>
      <w:marLeft w:val="0"/>
      <w:marRight w:val="0"/>
      <w:marTop w:val="0"/>
      <w:marBottom w:val="0"/>
      <w:divBdr>
        <w:top w:val="none" w:sz="0" w:space="0" w:color="auto"/>
        <w:left w:val="none" w:sz="0" w:space="0" w:color="auto"/>
        <w:bottom w:val="none" w:sz="0" w:space="0" w:color="auto"/>
        <w:right w:val="none" w:sz="0" w:space="0" w:color="auto"/>
      </w:divBdr>
    </w:div>
    <w:div w:id="1397825943">
      <w:bodyDiv w:val="1"/>
      <w:marLeft w:val="0"/>
      <w:marRight w:val="0"/>
      <w:marTop w:val="0"/>
      <w:marBottom w:val="0"/>
      <w:divBdr>
        <w:top w:val="none" w:sz="0" w:space="0" w:color="auto"/>
        <w:left w:val="none" w:sz="0" w:space="0" w:color="auto"/>
        <w:bottom w:val="none" w:sz="0" w:space="0" w:color="auto"/>
        <w:right w:val="none" w:sz="0" w:space="0" w:color="auto"/>
      </w:divBdr>
    </w:div>
    <w:div w:id="1398087224">
      <w:bodyDiv w:val="1"/>
      <w:marLeft w:val="4"/>
      <w:marRight w:val="4"/>
      <w:marTop w:val="4"/>
      <w:marBottom w:val="4"/>
      <w:divBdr>
        <w:top w:val="none" w:sz="0" w:space="0" w:color="auto"/>
        <w:left w:val="none" w:sz="0" w:space="0" w:color="auto"/>
        <w:bottom w:val="none" w:sz="0" w:space="0" w:color="auto"/>
        <w:right w:val="none" w:sz="0" w:space="0" w:color="auto"/>
      </w:divBdr>
      <w:divsChild>
        <w:div w:id="612447141">
          <w:marLeft w:val="0"/>
          <w:marRight w:val="0"/>
          <w:marTop w:val="0"/>
          <w:marBottom w:val="0"/>
          <w:divBdr>
            <w:top w:val="none" w:sz="0" w:space="0" w:color="auto"/>
            <w:left w:val="none" w:sz="0" w:space="0" w:color="auto"/>
            <w:bottom w:val="none" w:sz="0" w:space="0" w:color="auto"/>
            <w:right w:val="none" w:sz="0" w:space="0" w:color="auto"/>
          </w:divBdr>
          <w:divsChild>
            <w:div w:id="1878161074">
              <w:marLeft w:val="0"/>
              <w:marRight w:val="0"/>
              <w:marTop w:val="0"/>
              <w:marBottom w:val="180"/>
              <w:divBdr>
                <w:top w:val="none" w:sz="0" w:space="0" w:color="auto"/>
                <w:left w:val="none" w:sz="0" w:space="0" w:color="auto"/>
                <w:bottom w:val="none" w:sz="0" w:space="0" w:color="auto"/>
                <w:right w:val="none" w:sz="0" w:space="0" w:color="auto"/>
              </w:divBdr>
              <w:divsChild>
                <w:div w:id="1931084433">
                  <w:marLeft w:val="0"/>
                  <w:marRight w:val="0"/>
                  <w:marTop w:val="0"/>
                  <w:marBottom w:val="0"/>
                  <w:divBdr>
                    <w:top w:val="none" w:sz="0" w:space="0" w:color="auto"/>
                    <w:left w:val="none" w:sz="0" w:space="0" w:color="auto"/>
                    <w:bottom w:val="none" w:sz="0" w:space="0" w:color="auto"/>
                    <w:right w:val="none" w:sz="0" w:space="0" w:color="auto"/>
                  </w:divBdr>
                  <w:divsChild>
                    <w:div w:id="917402268">
                      <w:marLeft w:val="0"/>
                      <w:marRight w:val="0"/>
                      <w:marTop w:val="0"/>
                      <w:marBottom w:val="0"/>
                      <w:divBdr>
                        <w:top w:val="none" w:sz="0" w:space="0" w:color="auto"/>
                        <w:left w:val="none" w:sz="0" w:space="0" w:color="auto"/>
                        <w:bottom w:val="none" w:sz="0" w:space="0" w:color="auto"/>
                        <w:right w:val="none" w:sz="0" w:space="0" w:color="auto"/>
                      </w:divBdr>
                      <w:divsChild>
                        <w:div w:id="4360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83352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13399442">
      <w:bodyDiv w:val="1"/>
      <w:marLeft w:val="0"/>
      <w:marRight w:val="0"/>
      <w:marTop w:val="0"/>
      <w:marBottom w:val="0"/>
      <w:divBdr>
        <w:top w:val="none" w:sz="0" w:space="0" w:color="auto"/>
        <w:left w:val="none" w:sz="0" w:space="0" w:color="auto"/>
        <w:bottom w:val="none" w:sz="0" w:space="0" w:color="auto"/>
        <w:right w:val="none" w:sz="0" w:space="0" w:color="auto"/>
      </w:divBdr>
    </w:div>
    <w:div w:id="1881939071">
      <w:bodyDiv w:val="1"/>
      <w:marLeft w:val="0"/>
      <w:marRight w:val="0"/>
      <w:marTop w:val="0"/>
      <w:marBottom w:val="0"/>
      <w:divBdr>
        <w:top w:val="none" w:sz="0" w:space="0" w:color="auto"/>
        <w:left w:val="none" w:sz="0" w:space="0" w:color="auto"/>
        <w:bottom w:val="none" w:sz="0" w:space="0" w:color="auto"/>
        <w:right w:val="none" w:sz="0" w:space="0" w:color="auto"/>
      </w:divBdr>
      <w:divsChild>
        <w:div w:id="1845852575">
          <w:marLeft w:val="288"/>
          <w:marRight w:val="0"/>
          <w:marTop w:val="38"/>
          <w:marBottom w:val="0"/>
          <w:divBdr>
            <w:top w:val="none" w:sz="0" w:space="0" w:color="auto"/>
            <w:left w:val="none" w:sz="0" w:space="0" w:color="auto"/>
            <w:bottom w:val="none" w:sz="0" w:space="0" w:color="auto"/>
            <w:right w:val="none" w:sz="0" w:space="0" w:color="auto"/>
          </w:divBdr>
        </w:div>
      </w:divsChild>
    </w:div>
    <w:div w:id="1949509634">
      <w:bodyDiv w:val="1"/>
      <w:marLeft w:val="0"/>
      <w:marRight w:val="0"/>
      <w:marTop w:val="0"/>
      <w:marBottom w:val="0"/>
      <w:divBdr>
        <w:top w:val="none" w:sz="0" w:space="0" w:color="auto"/>
        <w:left w:val="none" w:sz="0" w:space="0" w:color="auto"/>
        <w:bottom w:val="none" w:sz="0" w:space="0" w:color="auto"/>
        <w:right w:val="none" w:sz="0" w:space="0" w:color="auto"/>
      </w:divBdr>
    </w:div>
    <w:div w:id="1993560664">
      <w:bodyDiv w:val="1"/>
      <w:marLeft w:val="0"/>
      <w:marRight w:val="0"/>
      <w:marTop w:val="0"/>
      <w:marBottom w:val="0"/>
      <w:divBdr>
        <w:top w:val="none" w:sz="0" w:space="0" w:color="auto"/>
        <w:left w:val="none" w:sz="0" w:space="0" w:color="auto"/>
        <w:bottom w:val="none" w:sz="0" w:space="0" w:color="auto"/>
        <w:right w:val="none" w:sz="0" w:space="0" w:color="auto"/>
      </w:divBdr>
    </w:div>
    <w:div w:id="2054842919">
      <w:bodyDiv w:val="1"/>
      <w:marLeft w:val="0"/>
      <w:marRight w:val="0"/>
      <w:marTop w:val="0"/>
      <w:marBottom w:val="0"/>
      <w:divBdr>
        <w:top w:val="none" w:sz="0" w:space="0" w:color="auto"/>
        <w:left w:val="none" w:sz="0" w:space="0" w:color="auto"/>
        <w:bottom w:val="none" w:sz="0" w:space="0" w:color="auto"/>
        <w:right w:val="none" w:sz="0" w:space="0" w:color="auto"/>
      </w:divBdr>
      <w:divsChild>
        <w:div w:id="1368408185">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brfss/annual_data/2013/pdf/overview_2013.pdf" TargetMode="External"/><Relationship Id="rId18" Type="http://schemas.openxmlformats.org/officeDocument/2006/relationships/hyperlink" Target="http://www.ncbi.nlm.nih.gov/pubmed/?term=Bresee%20JS%5BAuthor%5D&amp;cauthor=true&amp;cauthor_uid=1051151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cbi.nlm.nih.gov/pubmed/?term=Tauxe%20RV%5BAuthor%5D&amp;cauthor=true&amp;cauthor_uid=10511517" TargetMode="External"/><Relationship Id="rId7" Type="http://schemas.openxmlformats.org/officeDocument/2006/relationships/footnotes" Target="footnotes.xml"/><Relationship Id="rId12" Type="http://schemas.openxmlformats.org/officeDocument/2006/relationships/hyperlink" Target="https://www.bls.gov/oes/current/oes_nat.htm" TargetMode="External"/><Relationship Id="rId17" Type="http://schemas.openxmlformats.org/officeDocument/2006/relationships/hyperlink" Target="http://www.ncbi.nlm.nih.gov/pubmed/?term=McCaig%20LF%5BAuthor%5D&amp;cauthor=true&amp;cauthor_uid=105115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Dietz%20V%5BAuthor%5D&amp;cauthor=true&amp;cauthor_uid=10511517" TargetMode="External"/><Relationship Id="rId20" Type="http://schemas.openxmlformats.org/officeDocument/2006/relationships/hyperlink" Target="http://www.ncbi.nlm.nih.gov/pubmed/?term=Griffin%20PM%5BAuthor%5D&amp;cauthor=true&amp;cauthor_uid=105115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m.cfsan.fda.gov/"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cbi.nlm.nih.gov/pubmed/?term=Slutsker%20L%5BAuthor%5D&amp;cauthor=true&amp;cauthor_uid=10511517" TargetMode="External"/><Relationship Id="rId23" Type="http://schemas.openxmlformats.org/officeDocument/2006/relationships/header" Target="header1.xml"/><Relationship Id="rId10" Type="http://schemas.openxmlformats.org/officeDocument/2006/relationships/hyperlink" Target="http://www.usda.gov/" TargetMode="External"/><Relationship Id="rId19" Type="http://schemas.openxmlformats.org/officeDocument/2006/relationships/hyperlink" Target="http://www.ncbi.nlm.nih.gov/pubmed/?term=Shapiro%20C%5BAuthor%5D&amp;cauthor=true&amp;cauthor_uid=10511517" TargetMode="External"/><Relationship Id="rId4" Type="http://schemas.microsoft.com/office/2007/relationships/stylesWithEffects" Target="stylesWithEffects.xml"/><Relationship Id="rId9" Type="http://schemas.openxmlformats.org/officeDocument/2006/relationships/hyperlink" Target="mailto:llj3@cdc.gov" TargetMode="External"/><Relationship Id="rId14" Type="http://schemas.openxmlformats.org/officeDocument/2006/relationships/hyperlink" Target="http://www.ncbi.nlm.nih.gov/pubmed/?term=Mead%20PS%5BAuthor%5D&amp;cauthor=true&amp;cauthor_uid=10511517" TargetMode="External"/><Relationship Id="rId22" Type="http://schemas.openxmlformats.org/officeDocument/2006/relationships/hyperlink" Target="http://www.ncbi.nlm.nih.gov/pubmed/10511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5A9AB-8D2E-4B04-B784-E6572213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5340</Words>
  <Characters>30441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2018-12-03T16:49:00Z</dcterms:created>
  <dcterms:modified xsi:type="dcterms:W3CDTF">2018-12-03T16:49:00Z</dcterms:modified>
</cp:coreProperties>
</file>