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C41D8" w14:textId="77777777" w:rsidR="008763C2" w:rsidRPr="008763C2" w:rsidRDefault="008763C2" w:rsidP="008763C2">
      <w:pPr>
        <w:spacing w:after="0" w:line="480" w:lineRule="auto"/>
        <w:contextualSpacing/>
        <w:jc w:val="center"/>
        <w:rPr>
          <w:rFonts w:ascii="Times New Roman" w:eastAsia="Times New Roman" w:hAnsi="Times New Roman" w:cs="Times New Roman"/>
          <w:b/>
          <w:sz w:val="24"/>
          <w:szCs w:val="24"/>
        </w:rPr>
      </w:pPr>
      <w:bookmarkStart w:id="0" w:name="_GoBack"/>
      <w:bookmarkEnd w:id="0"/>
      <w:r w:rsidRPr="008763C2">
        <w:rPr>
          <w:rFonts w:ascii="Times New Roman" w:eastAsia="Times New Roman" w:hAnsi="Times New Roman" w:cs="Times New Roman"/>
          <w:b/>
          <w:sz w:val="24"/>
          <w:szCs w:val="24"/>
        </w:rPr>
        <w:t>Experimental Study o</w:t>
      </w:r>
      <w:r w:rsidR="00F91F96">
        <w:rPr>
          <w:rFonts w:ascii="Times New Roman" w:eastAsia="Times New Roman" w:hAnsi="Times New Roman" w:cs="Times New Roman"/>
          <w:b/>
          <w:sz w:val="24"/>
          <w:szCs w:val="24"/>
        </w:rPr>
        <w:t>f</w:t>
      </w:r>
      <w:r w:rsidRPr="008763C2">
        <w:rPr>
          <w:rFonts w:ascii="Times New Roman" w:eastAsia="Times New Roman" w:hAnsi="Times New Roman" w:cs="Times New Roman"/>
          <w:b/>
          <w:sz w:val="24"/>
          <w:szCs w:val="24"/>
        </w:rPr>
        <w:t xml:space="preserve"> Cigarette Warnings </w:t>
      </w:r>
    </w:p>
    <w:p w14:paraId="5CF6E6B1" w14:textId="77777777" w:rsidR="008763C2" w:rsidRPr="008763C2" w:rsidRDefault="008763C2" w:rsidP="008763C2">
      <w:pPr>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0910-NEW</w:t>
      </w:r>
    </w:p>
    <w:p w14:paraId="06FCEB72" w14:textId="77777777" w:rsidR="008763C2" w:rsidRPr="008763C2" w:rsidRDefault="008763C2" w:rsidP="008763C2">
      <w:pPr>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br/>
      </w:r>
      <w:r w:rsidR="00A7422C">
        <w:rPr>
          <w:rFonts w:ascii="Times New Roman" w:eastAsia="Times New Roman" w:hAnsi="Times New Roman" w:cs="Times New Roman"/>
          <w:b/>
          <w:sz w:val="24"/>
          <w:szCs w:val="24"/>
        </w:rPr>
        <w:t xml:space="preserve">FDA </w:t>
      </w:r>
      <w:r w:rsidRPr="008763C2">
        <w:rPr>
          <w:rFonts w:ascii="Times New Roman" w:eastAsia="Times New Roman" w:hAnsi="Times New Roman" w:cs="Times New Roman"/>
          <w:b/>
          <w:sz w:val="24"/>
          <w:szCs w:val="24"/>
        </w:rPr>
        <w:t>SUPPORTING STATEMENT</w:t>
      </w:r>
      <w:r>
        <w:rPr>
          <w:rFonts w:ascii="Times New Roman" w:eastAsia="Times New Roman" w:hAnsi="Times New Roman" w:cs="Times New Roman"/>
          <w:b/>
          <w:sz w:val="24"/>
          <w:szCs w:val="24"/>
        </w:rPr>
        <w:t xml:space="preserve"> PART B</w:t>
      </w:r>
    </w:p>
    <w:p w14:paraId="2FE13168" w14:textId="77777777" w:rsidR="008763C2" w:rsidRPr="008763C2" w:rsidRDefault="00331884" w:rsidP="008763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D313713" w14:textId="77777777" w:rsidR="008763C2" w:rsidRPr="008763C2" w:rsidRDefault="008763C2" w:rsidP="008763C2">
      <w:pPr>
        <w:spacing w:before="100" w:beforeAutospacing="1" w:after="100" w:afterAutospacing="1" w:line="240" w:lineRule="auto"/>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B.</w:t>
      </w:r>
      <w:r w:rsidRPr="008763C2">
        <w:rPr>
          <w:rFonts w:ascii="Times New Roman" w:eastAsia="Times New Roman" w:hAnsi="Times New Roman" w:cs="Times New Roman"/>
          <w:b/>
          <w:sz w:val="24"/>
          <w:szCs w:val="24"/>
        </w:rPr>
        <w:tab/>
        <w:t>Statistical Methods</w:t>
      </w:r>
    </w:p>
    <w:p w14:paraId="141ABB02" w14:textId="77777777" w:rsidR="008763C2" w:rsidRPr="008763C2" w:rsidRDefault="008763C2" w:rsidP="008763C2">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rPr>
      </w:pPr>
      <w:r w:rsidRPr="008763C2">
        <w:rPr>
          <w:rFonts w:ascii="Times New Roman" w:eastAsia="Times New Roman" w:hAnsi="Times New Roman" w:cs="Times New Roman"/>
          <w:b/>
          <w:sz w:val="24"/>
          <w:szCs w:val="24"/>
          <w:u w:val="single"/>
        </w:rPr>
        <w:t>Respondent Universe and Sampling Methods</w:t>
      </w:r>
    </w:p>
    <w:p w14:paraId="6084ECCE" w14:textId="77777777" w:rsidR="00EF696C" w:rsidRPr="00EF696C" w:rsidRDefault="008763C2" w:rsidP="008763C2">
      <w:pPr>
        <w:spacing w:before="120" w:after="12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The respondent universe for this study is (1) adolescent current cigarette smokers a</w:t>
      </w:r>
      <w:r w:rsidR="000221AB">
        <w:rPr>
          <w:rFonts w:ascii="Times New Roman" w:eastAsia="Times New Roman" w:hAnsi="Times New Roman" w:cs="Times New Roman"/>
          <w:sz w:val="24"/>
          <w:szCs w:val="24"/>
        </w:rPr>
        <w:t>ged 13-17 years, adolescent non-smokers</w:t>
      </w:r>
      <w:r w:rsidRPr="008763C2">
        <w:rPr>
          <w:rFonts w:ascii="Times New Roman" w:eastAsia="Times New Roman" w:hAnsi="Times New Roman" w:cs="Times New Roman"/>
          <w:sz w:val="24"/>
          <w:szCs w:val="24"/>
        </w:rPr>
        <w:t xml:space="preserve"> who are susceptible to initiation of cigarette smoking aged 13-17 years</w:t>
      </w:r>
      <w:r w:rsidR="00EF696C">
        <w:rPr>
          <w:rFonts w:ascii="Times New Roman" w:eastAsia="Times New Roman" w:hAnsi="Times New Roman" w:cs="Times New Roman"/>
          <w:sz w:val="24"/>
          <w:szCs w:val="24"/>
        </w:rPr>
        <w:t>;</w:t>
      </w:r>
      <w:r w:rsidR="00EF696C" w:rsidRPr="008763C2">
        <w:rPr>
          <w:rFonts w:ascii="Times New Roman" w:eastAsia="Times New Roman" w:hAnsi="Times New Roman" w:cs="Times New Roman"/>
          <w:sz w:val="24"/>
          <w:szCs w:val="24"/>
        </w:rPr>
        <w:t xml:space="preserve"> </w:t>
      </w:r>
      <w:r w:rsidR="00ED14B2">
        <w:rPr>
          <w:rFonts w:ascii="Times New Roman" w:eastAsia="Times New Roman" w:hAnsi="Times New Roman" w:cs="Times New Roman"/>
          <w:sz w:val="24"/>
          <w:szCs w:val="24"/>
        </w:rPr>
        <w:t xml:space="preserve">(2) </w:t>
      </w:r>
      <w:r w:rsidRPr="008763C2">
        <w:rPr>
          <w:rFonts w:ascii="Times New Roman" w:eastAsia="Times New Roman" w:hAnsi="Times New Roman" w:cs="Times New Roman"/>
          <w:sz w:val="24"/>
          <w:szCs w:val="24"/>
        </w:rPr>
        <w:t xml:space="preserve">young adult current cigarette smokers </w:t>
      </w:r>
      <w:r w:rsidR="000221AB">
        <w:rPr>
          <w:rFonts w:ascii="Times New Roman" w:eastAsia="Times New Roman" w:hAnsi="Times New Roman" w:cs="Times New Roman"/>
          <w:sz w:val="24"/>
          <w:szCs w:val="24"/>
        </w:rPr>
        <w:t xml:space="preserve">and non-smokers </w:t>
      </w:r>
      <w:r w:rsidRPr="008763C2">
        <w:rPr>
          <w:rFonts w:ascii="Times New Roman" w:eastAsia="Times New Roman" w:hAnsi="Times New Roman" w:cs="Times New Roman"/>
          <w:sz w:val="24"/>
          <w:szCs w:val="24"/>
        </w:rPr>
        <w:t>aged 18</w:t>
      </w:r>
      <w:r w:rsidR="008F3178">
        <w:rPr>
          <w:rFonts w:ascii="Times New Roman" w:eastAsia="Times New Roman" w:hAnsi="Times New Roman" w:cs="Times New Roman"/>
          <w:sz w:val="24"/>
          <w:szCs w:val="24"/>
        </w:rPr>
        <w:t>-</w:t>
      </w:r>
      <w:r w:rsidRPr="008763C2">
        <w:rPr>
          <w:rFonts w:ascii="Times New Roman" w:eastAsia="Times New Roman" w:hAnsi="Times New Roman" w:cs="Times New Roman"/>
          <w:sz w:val="24"/>
          <w:szCs w:val="24"/>
        </w:rPr>
        <w:t>24 years; and (</w:t>
      </w:r>
      <w:r w:rsidR="00ED14B2">
        <w:rPr>
          <w:rFonts w:ascii="Times New Roman" w:eastAsia="Times New Roman" w:hAnsi="Times New Roman" w:cs="Times New Roman"/>
          <w:sz w:val="24"/>
          <w:szCs w:val="24"/>
        </w:rPr>
        <w:t>3</w:t>
      </w:r>
      <w:r w:rsidRPr="008763C2">
        <w:rPr>
          <w:rFonts w:ascii="Times New Roman" w:eastAsia="Times New Roman" w:hAnsi="Times New Roman" w:cs="Times New Roman"/>
          <w:sz w:val="24"/>
          <w:szCs w:val="24"/>
        </w:rPr>
        <w:t xml:space="preserve">) older adult current cigarette smokers </w:t>
      </w:r>
      <w:r w:rsidR="000221AB">
        <w:rPr>
          <w:rFonts w:ascii="Times New Roman" w:eastAsia="Times New Roman" w:hAnsi="Times New Roman" w:cs="Times New Roman"/>
          <w:sz w:val="24"/>
          <w:szCs w:val="24"/>
        </w:rPr>
        <w:t xml:space="preserve">and non-smokers </w:t>
      </w:r>
      <w:r w:rsidRPr="008763C2">
        <w:rPr>
          <w:rFonts w:ascii="Times New Roman" w:eastAsia="Times New Roman" w:hAnsi="Times New Roman" w:cs="Times New Roman"/>
          <w:sz w:val="24"/>
          <w:szCs w:val="24"/>
        </w:rPr>
        <w:t xml:space="preserve">aged 25 years and </w:t>
      </w:r>
      <w:r w:rsidRPr="00EF696C">
        <w:rPr>
          <w:rFonts w:ascii="Times New Roman" w:eastAsia="Times New Roman" w:hAnsi="Times New Roman" w:cs="Times New Roman"/>
          <w:sz w:val="24"/>
          <w:szCs w:val="24"/>
        </w:rPr>
        <w:t>older.</w:t>
      </w:r>
    </w:p>
    <w:p w14:paraId="1A0B170B" w14:textId="77777777" w:rsidR="00710D44" w:rsidRDefault="008763C2" w:rsidP="00710D44">
      <w:pPr>
        <w:spacing w:before="120" w:after="120" w:line="240" w:lineRule="auto"/>
        <w:ind w:firstLine="720"/>
        <w:rPr>
          <w:rFonts w:ascii="Times New Roman" w:hAnsi="Times New Roman" w:cs="Times New Roman"/>
          <w:sz w:val="24"/>
          <w:szCs w:val="24"/>
        </w:rPr>
      </w:pPr>
      <w:r w:rsidRPr="00EF696C">
        <w:rPr>
          <w:rFonts w:ascii="Times New Roman" w:hAnsi="Times New Roman" w:cs="Times New Roman"/>
          <w:sz w:val="24"/>
          <w:szCs w:val="24"/>
        </w:rPr>
        <w:t xml:space="preserve">Study participants will be recruited from a national online panel of adults managed by Lightspeed.  </w:t>
      </w:r>
      <w:r w:rsidR="00710D44">
        <w:rPr>
          <w:rFonts w:ascii="Times New Roman" w:hAnsi="Times New Roman" w:cs="Times New Roman"/>
          <w:sz w:val="24"/>
          <w:szCs w:val="24"/>
        </w:rPr>
        <w:t>(</w:t>
      </w:r>
      <w:r w:rsidR="00710D44" w:rsidRPr="005F1F42">
        <w:rPr>
          <w:rFonts w:ascii="Times New Roman" w:hAnsi="Times New Roman" w:cs="Times New Roman"/>
          <w:sz w:val="24"/>
          <w:szCs w:val="24"/>
        </w:rPr>
        <w:t>http://www.lightspeedresearch.com</w:t>
      </w:r>
      <w:r w:rsidR="00710D44">
        <w:rPr>
          <w:rFonts w:ascii="Times New Roman" w:hAnsi="Times New Roman" w:cs="Times New Roman"/>
          <w:sz w:val="24"/>
          <w:szCs w:val="24"/>
        </w:rPr>
        <w:t>)</w:t>
      </w:r>
      <w:r w:rsidR="00710D44" w:rsidRPr="00EF696C">
        <w:rPr>
          <w:rFonts w:ascii="Times New Roman" w:hAnsi="Times New Roman" w:cs="Times New Roman"/>
          <w:sz w:val="24"/>
          <w:szCs w:val="24"/>
        </w:rPr>
        <w:t xml:space="preserve">. </w:t>
      </w:r>
      <w:r w:rsidR="00710D44">
        <w:rPr>
          <w:rFonts w:ascii="Times New Roman" w:hAnsi="Times New Roman" w:cs="Times New Roman"/>
          <w:sz w:val="24"/>
          <w:szCs w:val="24"/>
        </w:rPr>
        <w:t xml:space="preserve"> Lightspeed panel members are recruited from various sources (both online and not) and doubly opt-in to the be a part of the overall panel.  Lightspeed provides publicly-available information about the general demographic and geographic characteristics of their panel members.  The U.S. panel had approximately 1.3 million members as of 2017.  As of 2018, the U.S. panel was 70% female and diverse  in terms of U.S. geography (22% Midwest, 16% Northeast, 43% South, 19% West), age (26% ages 15-24, 22% ages 25-35, 16% ages 35-44, 14% ages 45-54, and 22% ages 55+), and income (37% &lt;$20,000, 27% $20,000-39,000, 17% $40,000-74,000, 19% &gt;$75,000).  </w:t>
      </w:r>
      <w:r w:rsidR="00710D44" w:rsidRPr="00AC2E34">
        <w:rPr>
          <w:rFonts w:ascii="Times New Roman" w:hAnsi="Times New Roman" w:cs="Times New Roman"/>
          <w:sz w:val="24"/>
          <w:szCs w:val="24"/>
        </w:rPr>
        <w:t xml:space="preserve">Lightspeed does not provide more granular information about the size and demo/geographic composition of targeted subgroups (e.g., young adult smokers), and this information is not available for youth aged 13-17 who are not panelists but </w:t>
      </w:r>
      <w:r w:rsidR="00710D44">
        <w:rPr>
          <w:rFonts w:ascii="Times New Roman" w:hAnsi="Times New Roman" w:cs="Times New Roman"/>
          <w:sz w:val="24"/>
          <w:szCs w:val="24"/>
        </w:rPr>
        <w:t xml:space="preserve">who </w:t>
      </w:r>
      <w:r w:rsidR="00710D44" w:rsidRPr="00AC2E34">
        <w:rPr>
          <w:rFonts w:ascii="Times New Roman" w:hAnsi="Times New Roman" w:cs="Times New Roman"/>
          <w:sz w:val="24"/>
          <w:szCs w:val="24"/>
        </w:rPr>
        <w:t>are recruited via parent panelists.</w:t>
      </w:r>
    </w:p>
    <w:p w14:paraId="367FB765" w14:textId="77777777" w:rsidR="00710D44" w:rsidRPr="001A6B45" w:rsidRDefault="00710D44" w:rsidP="00710D44">
      <w:pPr>
        <w:spacing w:before="120" w:after="120" w:line="240" w:lineRule="auto"/>
        <w:ind w:firstLine="720"/>
        <w:rPr>
          <w:rFonts w:ascii="Times New Roman" w:hAnsi="Times New Roman" w:cs="Times New Roman"/>
          <w:sz w:val="24"/>
          <w:szCs w:val="24"/>
        </w:rPr>
      </w:pPr>
      <w:r w:rsidRPr="001A6B45">
        <w:rPr>
          <w:rFonts w:ascii="Times New Roman" w:hAnsi="Times New Roman" w:cs="Times New Roman"/>
          <w:sz w:val="24"/>
          <w:szCs w:val="24"/>
        </w:rPr>
        <w:t xml:space="preserve">As a condition of their participation on the Lightspeed panel, panelists periodically are asked to provide information about their demographic characteristics and other lifestyle information. </w:t>
      </w:r>
      <w:r>
        <w:rPr>
          <w:rFonts w:ascii="Times New Roman" w:hAnsi="Times New Roman" w:cs="Times New Roman"/>
          <w:sz w:val="24"/>
          <w:szCs w:val="24"/>
        </w:rPr>
        <w:t xml:space="preserve"> </w:t>
      </w:r>
      <w:r w:rsidRPr="001A6B45">
        <w:rPr>
          <w:rFonts w:ascii="Times New Roman" w:hAnsi="Times New Roman" w:cs="Times New Roman"/>
          <w:sz w:val="24"/>
          <w:szCs w:val="24"/>
        </w:rPr>
        <w:t xml:space="preserve">Lightspeed uses this profile information to identify and recruit potential study participants. </w:t>
      </w:r>
      <w:r>
        <w:rPr>
          <w:rFonts w:ascii="Times New Roman" w:hAnsi="Times New Roman" w:cs="Times New Roman"/>
          <w:sz w:val="24"/>
          <w:szCs w:val="24"/>
        </w:rPr>
        <w:t xml:space="preserve"> </w:t>
      </w:r>
      <w:r w:rsidRPr="001A6B45">
        <w:rPr>
          <w:rFonts w:ascii="Times New Roman" w:hAnsi="Times New Roman" w:cs="Times New Roman"/>
          <w:sz w:val="24"/>
          <w:szCs w:val="24"/>
        </w:rPr>
        <w:t xml:space="preserve">For the current study, Lightspeed </w:t>
      </w:r>
      <w:r>
        <w:rPr>
          <w:rFonts w:ascii="Times New Roman" w:hAnsi="Times New Roman" w:cs="Times New Roman"/>
          <w:sz w:val="24"/>
          <w:szCs w:val="24"/>
        </w:rPr>
        <w:t>will</w:t>
      </w:r>
      <w:r w:rsidRPr="001A6B45">
        <w:rPr>
          <w:rFonts w:ascii="Times New Roman" w:hAnsi="Times New Roman" w:cs="Times New Roman"/>
          <w:sz w:val="24"/>
          <w:szCs w:val="24"/>
        </w:rPr>
        <w:t xml:space="preserve"> identify pools of panelists who have indicated in their panel profile that they meet the criteria for a particular subgroup (e.g.</w:t>
      </w:r>
      <w:r>
        <w:rPr>
          <w:rFonts w:ascii="Times New Roman" w:hAnsi="Times New Roman" w:cs="Times New Roman"/>
          <w:sz w:val="24"/>
          <w:szCs w:val="24"/>
        </w:rPr>
        <w:t>,</w:t>
      </w:r>
      <w:r w:rsidRPr="001A6B45">
        <w:rPr>
          <w:rFonts w:ascii="Times New Roman" w:hAnsi="Times New Roman" w:cs="Times New Roman"/>
          <w:sz w:val="24"/>
          <w:szCs w:val="24"/>
        </w:rPr>
        <w:t xml:space="preserve"> young adult smoker, adult 25+ nonsmoker). </w:t>
      </w:r>
      <w:r>
        <w:rPr>
          <w:rFonts w:ascii="Times New Roman" w:hAnsi="Times New Roman" w:cs="Times New Roman"/>
          <w:sz w:val="24"/>
          <w:szCs w:val="24"/>
        </w:rPr>
        <w:t xml:space="preserve"> </w:t>
      </w:r>
      <w:r w:rsidRPr="001A6B45">
        <w:rPr>
          <w:rFonts w:ascii="Times New Roman" w:hAnsi="Times New Roman" w:cs="Times New Roman"/>
          <w:sz w:val="24"/>
          <w:szCs w:val="24"/>
        </w:rPr>
        <w:t xml:space="preserve">To recruit the youth sample, Lightspeed </w:t>
      </w:r>
      <w:r>
        <w:rPr>
          <w:rFonts w:ascii="Times New Roman" w:hAnsi="Times New Roman" w:cs="Times New Roman"/>
          <w:sz w:val="24"/>
          <w:szCs w:val="24"/>
        </w:rPr>
        <w:t>will identify</w:t>
      </w:r>
      <w:r w:rsidRPr="001A6B45">
        <w:rPr>
          <w:rFonts w:ascii="Times New Roman" w:hAnsi="Times New Roman" w:cs="Times New Roman"/>
          <w:sz w:val="24"/>
          <w:szCs w:val="24"/>
        </w:rPr>
        <w:t xml:space="preserve"> panelists who indicated that they have a child in the eligible age range. </w:t>
      </w:r>
      <w:r>
        <w:rPr>
          <w:rFonts w:ascii="Times New Roman" w:hAnsi="Times New Roman" w:cs="Times New Roman"/>
          <w:sz w:val="24"/>
          <w:szCs w:val="24"/>
        </w:rPr>
        <w:t xml:space="preserve"> </w:t>
      </w:r>
      <w:r w:rsidRPr="001A6B45">
        <w:rPr>
          <w:rFonts w:ascii="Times New Roman" w:hAnsi="Times New Roman" w:cs="Times New Roman"/>
          <w:sz w:val="24"/>
          <w:szCs w:val="24"/>
        </w:rPr>
        <w:t xml:space="preserve">Next, Lightspeed </w:t>
      </w:r>
      <w:r>
        <w:rPr>
          <w:rFonts w:ascii="Times New Roman" w:hAnsi="Times New Roman" w:cs="Times New Roman"/>
          <w:sz w:val="24"/>
          <w:szCs w:val="24"/>
        </w:rPr>
        <w:t xml:space="preserve">will generate </w:t>
      </w:r>
      <w:r w:rsidRPr="001A6B45">
        <w:rPr>
          <w:rFonts w:ascii="Times New Roman" w:hAnsi="Times New Roman" w:cs="Times New Roman"/>
          <w:sz w:val="24"/>
          <w:szCs w:val="24"/>
        </w:rPr>
        <w:t xml:space="preserve">random samples within each group and send invitation e-mails in batches until each sub-group quota is met. </w:t>
      </w:r>
    </w:p>
    <w:p w14:paraId="5CAB7295" w14:textId="77777777" w:rsidR="00710D44" w:rsidRPr="001A6B45" w:rsidRDefault="00710D44" w:rsidP="00710D44">
      <w:pPr>
        <w:spacing w:before="120" w:after="120" w:line="240" w:lineRule="auto"/>
        <w:ind w:firstLine="720"/>
        <w:rPr>
          <w:rFonts w:ascii="Times New Roman" w:hAnsi="Times New Roman" w:cs="Times New Roman"/>
          <w:sz w:val="24"/>
          <w:szCs w:val="24"/>
        </w:rPr>
      </w:pPr>
      <w:r w:rsidRPr="001A6B45">
        <w:rPr>
          <w:rFonts w:ascii="Times New Roman" w:hAnsi="Times New Roman" w:cs="Times New Roman"/>
          <w:sz w:val="24"/>
          <w:szCs w:val="24"/>
        </w:rPr>
        <w:t xml:space="preserve">The amount of sample pulled for a particular study is determined by assumed metrics, such as expected incidence rate, response rate, and completion rate. </w:t>
      </w:r>
      <w:r>
        <w:rPr>
          <w:rFonts w:ascii="Times New Roman" w:hAnsi="Times New Roman" w:cs="Times New Roman"/>
          <w:sz w:val="24"/>
          <w:szCs w:val="24"/>
        </w:rPr>
        <w:t xml:space="preserve"> </w:t>
      </w:r>
      <w:r w:rsidRPr="001A6B45">
        <w:rPr>
          <w:rFonts w:ascii="Times New Roman" w:hAnsi="Times New Roman" w:cs="Times New Roman"/>
          <w:sz w:val="24"/>
          <w:szCs w:val="24"/>
        </w:rPr>
        <w:t xml:space="preserve">The current study includes recruitment of “low incidence” populations, such as smokers and young adults, who may be challenging to recruit in large numbers because of their relatively low incidence in the population and/or in the Lightspeed panel. </w:t>
      </w:r>
      <w:r>
        <w:rPr>
          <w:rFonts w:ascii="Times New Roman" w:hAnsi="Times New Roman" w:cs="Times New Roman"/>
          <w:sz w:val="24"/>
          <w:szCs w:val="24"/>
        </w:rPr>
        <w:t xml:space="preserve"> </w:t>
      </w:r>
      <w:r w:rsidRPr="001A6B45">
        <w:rPr>
          <w:rFonts w:ascii="Times New Roman" w:hAnsi="Times New Roman" w:cs="Times New Roman"/>
          <w:sz w:val="24"/>
          <w:szCs w:val="24"/>
        </w:rPr>
        <w:t xml:space="preserve">For these sub-groups, we are attempting to recruit the estimated maximum completed sample size according to Lightspeed’s projected feasibility (based on assumed metrics described above). </w:t>
      </w:r>
      <w:r>
        <w:rPr>
          <w:rFonts w:ascii="Times New Roman" w:hAnsi="Times New Roman" w:cs="Times New Roman"/>
          <w:sz w:val="24"/>
          <w:szCs w:val="24"/>
        </w:rPr>
        <w:t xml:space="preserve"> </w:t>
      </w:r>
      <w:r w:rsidRPr="001A6B45">
        <w:rPr>
          <w:rFonts w:ascii="Times New Roman" w:hAnsi="Times New Roman" w:cs="Times New Roman"/>
          <w:sz w:val="24"/>
          <w:szCs w:val="24"/>
        </w:rPr>
        <w:t xml:space="preserve">Thus, we are limited in the extent to which we can set additional quotas or sample stratifications to align the completed sample with population demographic and geographic benchmarks. </w:t>
      </w:r>
    </w:p>
    <w:p w14:paraId="03F75075" w14:textId="3857B69D" w:rsidR="00710D44" w:rsidRDefault="00710D44" w:rsidP="00710D44">
      <w:pPr>
        <w:spacing w:before="120" w:after="120" w:line="240" w:lineRule="auto"/>
        <w:ind w:firstLine="720"/>
        <w:rPr>
          <w:rFonts w:ascii="Times New Roman" w:hAnsi="Times New Roman" w:cs="Times New Roman"/>
          <w:sz w:val="24"/>
          <w:szCs w:val="24"/>
        </w:rPr>
      </w:pPr>
      <w:r w:rsidRPr="001A6B45">
        <w:rPr>
          <w:rFonts w:ascii="Times New Roman" w:hAnsi="Times New Roman" w:cs="Times New Roman"/>
          <w:sz w:val="24"/>
          <w:szCs w:val="24"/>
        </w:rPr>
        <w:lastRenderedPageBreak/>
        <w:t xml:space="preserve">Nevertheless, we plan to set some broad initial quotas to prevent skewing in demographic characteristics for which we anticipate the sample may differ substantially as compared to population distributions. </w:t>
      </w:r>
      <w:r>
        <w:rPr>
          <w:rFonts w:ascii="Times New Roman" w:hAnsi="Times New Roman" w:cs="Times New Roman"/>
          <w:sz w:val="24"/>
          <w:szCs w:val="24"/>
        </w:rPr>
        <w:t xml:space="preserve"> </w:t>
      </w:r>
      <w:r w:rsidRPr="001A6B45">
        <w:rPr>
          <w:rFonts w:ascii="Times New Roman" w:hAnsi="Times New Roman" w:cs="Times New Roman"/>
          <w:sz w:val="24"/>
          <w:szCs w:val="24"/>
        </w:rPr>
        <w:t xml:space="preserve">For example, given the over-representation of female participants on the panel, we will set an initial sub-quota to limit the overall proportion of female respondents to 50% of the overall sample. </w:t>
      </w:r>
      <w:r>
        <w:rPr>
          <w:rFonts w:ascii="Times New Roman" w:hAnsi="Times New Roman" w:cs="Times New Roman"/>
          <w:sz w:val="24"/>
          <w:szCs w:val="24"/>
        </w:rPr>
        <w:t xml:space="preserve"> </w:t>
      </w:r>
      <w:r w:rsidRPr="001A6B45">
        <w:rPr>
          <w:rFonts w:ascii="Times New Roman" w:hAnsi="Times New Roman" w:cs="Times New Roman"/>
          <w:sz w:val="24"/>
          <w:szCs w:val="24"/>
        </w:rPr>
        <w:t xml:space="preserve">We also know from previous experience on </w:t>
      </w:r>
      <w:r>
        <w:rPr>
          <w:rFonts w:ascii="Times New Roman" w:hAnsi="Times New Roman" w:cs="Times New Roman"/>
          <w:sz w:val="24"/>
          <w:szCs w:val="24"/>
        </w:rPr>
        <w:t xml:space="preserve">a previous study </w:t>
      </w:r>
      <w:r w:rsidRPr="00D32D7C">
        <w:rPr>
          <w:rFonts w:ascii="Times New Roman" w:hAnsi="Times New Roman" w:cs="Times New Roman"/>
          <w:sz w:val="24"/>
          <w:szCs w:val="24"/>
        </w:rPr>
        <w:t>(</w:t>
      </w:r>
      <w:r w:rsidRPr="00D32D7C">
        <w:rPr>
          <w:rFonts w:ascii="Times New Roman" w:hAnsi="Times New Roman" w:cs="Times New Roman"/>
          <w:i/>
          <w:sz w:val="24"/>
          <w:szCs w:val="24"/>
        </w:rPr>
        <w:t>Experimental Study on Warning Statements for Cigarette Graphic Health Warnings</w:t>
      </w:r>
      <w:r w:rsidRPr="00D32D7C">
        <w:rPr>
          <w:rFonts w:ascii="Times New Roman" w:hAnsi="Times New Roman" w:cs="Times New Roman"/>
          <w:sz w:val="24"/>
          <w:szCs w:val="24"/>
        </w:rPr>
        <w:t xml:space="preserve"> – OMB # 0910-0848)</w:t>
      </w:r>
      <w:r w:rsidRPr="001A6B45">
        <w:rPr>
          <w:rFonts w:ascii="Times New Roman" w:hAnsi="Times New Roman" w:cs="Times New Roman"/>
          <w:sz w:val="24"/>
          <w:szCs w:val="24"/>
        </w:rPr>
        <w:t xml:space="preserve"> that adult smokers tend to skew older in age; thus</w:t>
      </w:r>
      <w:r>
        <w:rPr>
          <w:rFonts w:ascii="Times New Roman" w:hAnsi="Times New Roman" w:cs="Times New Roman"/>
          <w:sz w:val="24"/>
          <w:szCs w:val="24"/>
        </w:rPr>
        <w:t>,</w:t>
      </w:r>
      <w:r w:rsidRPr="001A6B45">
        <w:rPr>
          <w:rFonts w:ascii="Times New Roman" w:hAnsi="Times New Roman" w:cs="Times New Roman"/>
          <w:sz w:val="24"/>
          <w:szCs w:val="24"/>
        </w:rPr>
        <w:t xml:space="preserve"> we will set an initial quota such that no more than 25% of the adult (aged 25+) sample will be aged 65 or older. </w:t>
      </w:r>
      <w:r>
        <w:rPr>
          <w:rFonts w:ascii="Times New Roman" w:hAnsi="Times New Roman" w:cs="Times New Roman"/>
          <w:sz w:val="24"/>
          <w:szCs w:val="24"/>
        </w:rPr>
        <w:t xml:space="preserve"> </w:t>
      </w:r>
      <w:r w:rsidRPr="001A6B45">
        <w:rPr>
          <w:rFonts w:ascii="Times New Roman" w:hAnsi="Times New Roman" w:cs="Times New Roman"/>
          <w:sz w:val="24"/>
          <w:szCs w:val="24"/>
        </w:rPr>
        <w:t xml:space="preserve">These quotas may need to be relaxed depending on sample feasibility while in the field (for example, if we are unable to reach our target sample sizes for study sub-groups because large numbers of otherwise eligible participants are being screened out as these secondary sex and age quotas are filled). </w:t>
      </w:r>
      <w:r>
        <w:rPr>
          <w:rFonts w:ascii="Times New Roman" w:hAnsi="Times New Roman" w:cs="Times New Roman"/>
          <w:sz w:val="24"/>
          <w:szCs w:val="24"/>
        </w:rPr>
        <w:t xml:space="preserve"> </w:t>
      </w:r>
      <w:r w:rsidRPr="001A6B45">
        <w:rPr>
          <w:rFonts w:ascii="Times New Roman" w:hAnsi="Times New Roman" w:cs="Times New Roman"/>
          <w:sz w:val="24"/>
          <w:szCs w:val="24"/>
        </w:rPr>
        <w:t>While in the field, we will monitor the incoming sample to ensure that we are able to reach our target sample sizes while maintaining a reasonable degree of demographic diversity in the final sample.</w:t>
      </w:r>
    </w:p>
    <w:p w14:paraId="667D73B3" w14:textId="7D320BB0" w:rsidR="00F41D34" w:rsidRDefault="008763C2" w:rsidP="00710D44">
      <w:pPr>
        <w:spacing w:before="120" w:after="120" w:line="240" w:lineRule="auto"/>
        <w:ind w:firstLine="720"/>
        <w:rPr>
          <w:rFonts w:ascii="Times New Roman" w:hAnsi="Times New Roman" w:cs="Times New Roman"/>
          <w:sz w:val="24"/>
          <w:szCs w:val="24"/>
        </w:rPr>
      </w:pPr>
      <w:r w:rsidRPr="00EF696C">
        <w:rPr>
          <w:rFonts w:ascii="Times New Roman" w:hAnsi="Times New Roman" w:cs="Times New Roman"/>
          <w:sz w:val="24"/>
          <w:szCs w:val="24"/>
        </w:rPr>
        <w:t xml:space="preserve">Lightspeed panel members will receive an email inviting them to participate in the study.  Adolescent children of adult panel participants will be invited to </w:t>
      </w:r>
      <w:r w:rsidR="002F18F4">
        <w:rPr>
          <w:rFonts w:ascii="Times New Roman" w:hAnsi="Times New Roman" w:cs="Times New Roman"/>
          <w:sz w:val="24"/>
          <w:szCs w:val="24"/>
        </w:rPr>
        <w:t xml:space="preserve">participate in the study </w:t>
      </w:r>
      <w:r w:rsidRPr="00EF696C">
        <w:rPr>
          <w:rFonts w:ascii="Times New Roman" w:hAnsi="Times New Roman" w:cs="Times New Roman"/>
          <w:sz w:val="24"/>
          <w:szCs w:val="24"/>
        </w:rPr>
        <w:t>through an email invitation to their parents asking for their consent to solicit their child’s opinions.</w:t>
      </w:r>
      <w:r w:rsidR="00A1276B">
        <w:rPr>
          <w:rFonts w:ascii="Times New Roman" w:hAnsi="Times New Roman" w:cs="Times New Roman"/>
          <w:sz w:val="24"/>
          <w:szCs w:val="24"/>
        </w:rPr>
        <w:t xml:space="preserve"> </w:t>
      </w:r>
      <w:r w:rsidR="0039583D">
        <w:rPr>
          <w:rFonts w:ascii="Times New Roman" w:hAnsi="Times New Roman" w:cs="Times New Roman"/>
          <w:sz w:val="24"/>
          <w:szCs w:val="24"/>
        </w:rPr>
        <w:t xml:space="preserve"> </w:t>
      </w:r>
      <w:r w:rsidR="00A1276B">
        <w:rPr>
          <w:rFonts w:ascii="Times New Roman" w:hAnsi="Times New Roman" w:cs="Times New Roman"/>
          <w:sz w:val="24"/>
          <w:szCs w:val="24"/>
        </w:rPr>
        <w:t>Potential participants will be screened</w:t>
      </w:r>
      <w:r w:rsidR="0039583D">
        <w:rPr>
          <w:rFonts w:ascii="Times New Roman" w:hAnsi="Times New Roman" w:cs="Times New Roman"/>
          <w:sz w:val="24"/>
          <w:szCs w:val="24"/>
        </w:rPr>
        <w:t xml:space="preserve"> (via a s</w:t>
      </w:r>
      <w:r w:rsidR="006961A4">
        <w:rPr>
          <w:rFonts w:ascii="Times New Roman" w:hAnsi="Times New Roman" w:cs="Times New Roman"/>
          <w:sz w:val="24"/>
          <w:szCs w:val="24"/>
        </w:rPr>
        <w:t xml:space="preserve">creener questionnaire linked </w:t>
      </w:r>
      <w:r w:rsidR="0039583D">
        <w:rPr>
          <w:rFonts w:ascii="Times New Roman" w:hAnsi="Times New Roman" w:cs="Times New Roman"/>
          <w:sz w:val="24"/>
          <w:szCs w:val="24"/>
        </w:rPr>
        <w:t>from the email invitation)</w:t>
      </w:r>
      <w:r w:rsidR="00A1276B">
        <w:rPr>
          <w:rFonts w:ascii="Times New Roman" w:hAnsi="Times New Roman" w:cs="Times New Roman"/>
          <w:sz w:val="24"/>
          <w:szCs w:val="24"/>
        </w:rPr>
        <w:t xml:space="preserve">, </w:t>
      </w:r>
      <w:r w:rsidR="00642F3C">
        <w:rPr>
          <w:rFonts w:ascii="Times New Roman" w:hAnsi="Times New Roman" w:cs="Times New Roman"/>
          <w:sz w:val="24"/>
          <w:szCs w:val="24"/>
        </w:rPr>
        <w:t xml:space="preserve">and </w:t>
      </w:r>
      <w:r w:rsidR="00A1276B">
        <w:rPr>
          <w:rFonts w:ascii="Times New Roman" w:hAnsi="Times New Roman" w:cs="Times New Roman"/>
          <w:sz w:val="24"/>
          <w:szCs w:val="24"/>
        </w:rPr>
        <w:t>those qualifying</w:t>
      </w:r>
      <w:r w:rsidR="0039583D">
        <w:rPr>
          <w:rFonts w:ascii="Times New Roman" w:hAnsi="Times New Roman" w:cs="Times New Roman"/>
          <w:sz w:val="24"/>
          <w:szCs w:val="24"/>
        </w:rPr>
        <w:t xml:space="preserve"> for the study</w:t>
      </w:r>
      <w:r w:rsidR="00A1276B">
        <w:rPr>
          <w:rFonts w:ascii="Times New Roman" w:hAnsi="Times New Roman" w:cs="Times New Roman"/>
          <w:sz w:val="24"/>
          <w:szCs w:val="24"/>
        </w:rPr>
        <w:t xml:space="preserve"> will proceed to Session 1.</w:t>
      </w:r>
      <w:r w:rsidRPr="00EF696C">
        <w:rPr>
          <w:rFonts w:ascii="Times New Roman" w:hAnsi="Times New Roman" w:cs="Times New Roman"/>
          <w:sz w:val="24"/>
          <w:szCs w:val="24"/>
        </w:rPr>
        <w:t xml:space="preserve">  </w:t>
      </w:r>
    </w:p>
    <w:p w14:paraId="41F88121" w14:textId="77777777" w:rsidR="008763C2" w:rsidRPr="008763C2" w:rsidRDefault="008763C2" w:rsidP="008763C2">
      <w:pPr>
        <w:spacing w:before="120" w:after="12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We estima</w:t>
      </w:r>
      <w:r w:rsidRPr="00F83260">
        <w:rPr>
          <w:rFonts w:ascii="Times New Roman" w:eastAsia="Times New Roman" w:hAnsi="Times New Roman" w:cs="Times New Roman"/>
          <w:sz w:val="24"/>
          <w:szCs w:val="24"/>
        </w:rPr>
        <w:t xml:space="preserve">te a total of </w:t>
      </w:r>
      <w:r w:rsidR="00BB4CF2" w:rsidRPr="00F83260">
        <w:rPr>
          <w:rFonts w:ascii="Times New Roman" w:eastAsia="Times New Roman" w:hAnsi="Times New Roman" w:cs="Times New Roman"/>
          <w:sz w:val="24"/>
          <w:szCs w:val="24"/>
        </w:rPr>
        <w:t xml:space="preserve">9,760 </w:t>
      </w:r>
      <w:r w:rsidRPr="00F83260">
        <w:rPr>
          <w:rFonts w:ascii="Times New Roman" w:eastAsia="Times New Roman" w:hAnsi="Times New Roman" w:cs="Times New Roman"/>
          <w:sz w:val="24"/>
          <w:szCs w:val="24"/>
        </w:rPr>
        <w:t xml:space="preserve">respondents will </w:t>
      </w:r>
      <w:r w:rsidR="00977D1D" w:rsidRPr="00F83260">
        <w:rPr>
          <w:rFonts w:ascii="Times New Roman" w:eastAsia="Times New Roman" w:hAnsi="Times New Roman" w:cs="Times New Roman"/>
          <w:sz w:val="24"/>
          <w:szCs w:val="24"/>
        </w:rPr>
        <w:t xml:space="preserve">complete Session </w:t>
      </w:r>
      <w:r w:rsidR="00F46684" w:rsidRPr="00F83260">
        <w:rPr>
          <w:rFonts w:ascii="Times New Roman" w:eastAsia="Times New Roman" w:hAnsi="Times New Roman" w:cs="Times New Roman"/>
          <w:sz w:val="24"/>
          <w:szCs w:val="24"/>
        </w:rPr>
        <w:t>1,</w:t>
      </w:r>
      <w:r w:rsidR="00BB4CF2" w:rsidRPr="00F83260">
        <w:rPr>
          <w:rFonts w:ascii="Times New Roman" w:eastAsia="Times New Roman" w:hAnsi="Times New Roman" w:cs="Times New Roman"/>
          <w:sz w:val="24"/>
          <w:szCs w:val="24"/>
        </w:rPr>
        <w:t xml:space="preserve"> </w:t>
      </w:r>
      <w:r w:rsidR="00F46684" w:rsidRPr="00F83260">
        <w:rPr>
          <w:rFonts w:ascii="Times New Roman" w:eastAsia="Times New Roman" w:hAnsi="Times New Roman" w:cs="Times New Roman"/>
          <w:sz w:val="24"/>
          <w:szCs w:val="24"/>
        </w:rPr>
        <w:t xml:space="preserve">between </w:t>
      </w:r>
      <w:r w:rsidR="00BB4CF2" w:rsidRPr="00F83260">
        <w:rPr>
          <w:rFonts w:ascii="Times New Roman" w:eastAsia="Times New Roman" w:hAnsi="Times New Roman" w:cs="Times New Roman"/>
          <w:sz w:val="24"/>
          <w:szCs w:val="24"/>
        </w:rPr>
        <w:t>4,8</w:t>
      </w:r>
      <w:r w:rsidR="00CD4AB5" w:rsidRPr="00F83260">
        <w:rPr>
          <w:rFonts w:ascii="Times New Roman" w:eastAsia="Times New Roman" w:hAnsi="Times New Roman" w:cs="Times New Roman"/>
          <w:sz w:val="24"/>
          <w:szCs w:val="24"/>
        </w:rPr>
        <w:t>8</w:t>
      </w:r>
      <w:r w:rsidR="00BB4CF2" w:rsidRPr="00F83260">
        <w:rPr>
          <w:rFonts w:ascii="Times New Roman" w:eastAsia="Times New Roman" w:hAnsi="Times New Roman" w:cs="Times New Roman"/>
          <w:sz w:val="24"/>
          <w:szCs w:val="24"/>
        </w:rPr>
        <w:t>0</w:t>
      </w:r>
      <w:r w:rsidR="00906FD0">
        <w:rPr>
          <w:rFonts w:ascii="Times New Roman" w:eastAsia="Times New Roman" w:hAnsi="Times New Roman" w:cs="Times New Roman"/>
          <w:sz w:val="24"/>
          <w:szCs w:val="24"/>
        </w:rPr>
        <w:t xml:space="preserve"> and </w:t>
      </w:r>
      <w:r w:rsidR="00CD4AB5" w:rsidRPr="00F83260">
        <w:rPr>
          <w:rFonts w:ascii="Times New Roman" w:eastAsia="Times New Roman" w:hAnsi="Times New Roman" w:cs="Times New Roman"/>
          <w:sz w:val="24"/>
          <w:szCs w:val="24"/>
        </w:rPr>
        <w:t xml:space="preserve">9,760 </w:t>
      </w:r>
      <w:r w:rsidR="00906FD0">
        <w:rPr>
          <w:rFonts w:ascii="Times New Roman" w:eastAsia="Times New Roman" w:hAnsi="Times New Roman" w:cs="Times New Roman"/>
          <w:sz w:val="24"/>
          <w:szCs w:val="24"/>
        </w:rPr>
        <w:t xml:space="preserve">respondents </w:t>
      </w:r>
      <w:r w:rsidR="00BB4CF2" w:rsidRPr="00F83260">
        <w:rPr>
          <w:rFonts w:ascii="Times New Roman" w:eastAsia="Times New Roman" w:hAnsi="Times New Roman" w:cs="Times New Roman"/>
          <w:sz w:val="24"/>
          <w:szCs w:val="24"/>
        </w:rPr>
        <w:t xml:space="preserve">will </w:t>
      </w:r>
      <w:r w:rsidRPr="00F83260">
        <w:rPr>
          <w:rFonts w:ascii="Times New Roman" w:eastAsia="Times New Roman" w:hAnsi="Times New Roman" w:cs="Times New Roman"/>
          <w:sz w:val="24"/>
          <w:szCs w:val="24"/>
        </w:rPr>
        <w:t xml:space="preserve">complete </w:t>
      </w:r>
      <w:r w:rsidR="00F46684" w:rsidRPr="00F83260">
        <w:rPr>
          <w:rFonts w:ascii="Times New Roman" w:eastAsia="Times New Roman" w:hAnsi="Times New Roman" w:cs="Times New Roman"/>
          <w:sz w:val="24"/>
          <w:szCs w:val="24"/>
        </w:rPr>
        <w:t>Session 2, and bet</w:t>
      </w:r>
      <w:r w:rsidR="00F46684">
        <w:rPr>
          <w:rFonts w:ascii="Times New Roman" w:eastAsia="Times New Roman" w:hAnsi="Times New Roman" w:cs="Times New Roman"/>
          <w:sz w:val="24"/>
          <w:szCs w:val="24"/>
        </w:rPr>
        <w:t xml:space="preserve">ween 2,440 </w:t>
      </w:r>
      <w:r w:rsidR="00906FD0">
        <w:rPr>
          <w:rFonts w:ascii="Times New Roman" w:eastAsia="Times New Roman" w:hAnsi="Times New Roman" w:cs="Times New Roman"/>
          <w:sz w:val="24"/>
          <w:szCs w:val="24"/>
        </w:rPr>
        <w:t xml:space="preserve">and </w:t>
      </w:r>
      <w:r w:rsidR="00F46684">
        <w:rPr>
          <w:rFonts w:ascii="Times New Roman" w:eastAsia="Times New Roman" w:hAnsi="Times New Roman" w:cs="Times New Roman"/>
          <w:sz w:val="24"/>
          <w:szCs w:val="24"/>
        </w:rPr>
        <w:t xml:space="preserve">9,760 </w:t>
      </w:r>
      <w:r w:rsidR="00906FD0">
        <w:rPr>
          <w:rFonts w:ascii="Times New Roman" w:eastAsia="Times New Roman" w:hAnsi="Times New Roman" w:cs="Times New Roman"/>
          <w:sz w:val="24"/>
          <w:szCs w:val="24"/>
        </w:rPr>
        <w:t xml:space="preserve">respondents </w:t>
      </w:r>
      <w:r w:rsidR="00F46684">
        <w:rPr>
          <w:rFonts w:ascii="Times New Roman" w:eastAsia="Times New Roman" w:hAnsi="Times New Roman" w:cs="Times New Roman"/>
          <w:sz w:val="24"/>
          <w:szCs w:val="24"/>
        </w:rPr>
        <w:t>will complete Session 3</w:t>
      </w:r>
      <w:r w:rsidR="00CD4AB5">
        <w:rPr>
          <w:rFonts w:ascii="Times New Roman" w:eastAsia="Times New Roman" w:hAnsi="Times New Roman" w:cs="Times New Roman"/>
          <w:sz w:val="24"/>
          <w:szCs w:val="24"/>
        </w:rPr>
        <w:t xml:space="preserve"> </w:t>
      </w:r>
      <w:r w:rsidR="004C5704">
        <w:rPr>
          <w:rFonts w:ascii="Times New Roman" w:eastAsia="Times New Roman" w:hAnsi="Times New Roman" w:cs="Times New Roman"/>
          <w:sz w:val="24"/>
          <w:szCs w:val="24"/>
        </w:rPr>
        <w:t xml:space="preserve">(the exact total will depend </w:t>
      </w:r>
      <w:r w:rsidR="00CD4AB5">
        <w:rPr>
          <w:rFonts w:ascii="Times New Roman" w:eastAsia="Times New Roman" w:hAnsi="Times New Roman" w:cs="Times New Roman"/>
          <w:sz w:val="24"/>
          <w:szCs w:val="24"/>
        </w:rPr>
        <w:t>on the retention rate</w:t>
      </w:r>
      <w:r w:rsidR="004C5704">
        <w:rPr>
          <w:rFonts w:ascii="Times New Roman" w:eastAsia="Times New Roman" w:hAnsi="Times New Roman" w:cs="Times New Roman"/>
          <w:sz w:val="24"/>
          <w:szCs w:val="24"/>
        </w:rPr>
        <w:t>)</w:t>
      </w:r>
      <w:r w:rsidRPr="008763C2">
        <w:rPr>
          <w:rFonts w:ascii="Times New Roman" w:eastAsia="Times New Roman" w:hAnsi="Times New Roman" w:cs="Times New Roman"/>
          <w:sz w:val="24"/>
          <w:szCs w:val="24"/>
        </w:rPr>
        <w:t>.</w:t>
      </w:r>
    </w:p>
    <w:p w14:paraId="757E9857" w14:textId="7D5539E7" w:rsidR="008763C2" w:rsidRDefault="00214F47" w:rsidP="00710D44">
      <w:pPr>
        <w:spacing w:after="0" w:line="240" w:lineRule="auto"/>
        <w:ind w:firstLine="720"/>
        <w:rPr>
          <w:rFonts w:ascii="Times New Roman" w:eastAsia="Times New Roman" w:hAnsi="Times New Roman" w:cs="Times New Roman"/>
          <w:sz w:val="24"/>
          <w:szCs w:val="24"/>
        </w:rPr>
      </w:pPr>
      <w:r w:rsidRPr="008763C2" w:rsidDel="00214F47">
        <w:rPr>
          <w:rFonts w:ascii="Times New Roman" w:eastAsia="Times New Roman" w:hAnsi="Times New Roman" w:cs="Times New Roman"/>
          <w:sz w:val="24"/>
          <w:szCs w:val="20"/>
        </w:rPr>
        <w:t xml:space="preserve">As with any study conducted using opt-in online panels, this study may be subject to </w:t>
      </w:r>
      <w:r w:rsidDel="00214F47">
        <w:rPr>
          <w:rFonts w:ascii="Times New Roman" w:eastAsia="Times New Roman" w:hAnsi="Times New Roman" w:cs="Times New Roman"/>
          <w:sz w:val="24"/>
          <w:szCs w:val="20"/>
        </w:rPr>
        <w:t xml:space="preserve">several threats to external validity that limit the generalizability of study results.  Panelists are recruited into the online panel using convenience sampling methods and thus do not have a known probability of selection into the panel.  </w:t>
      </w:r>
      <w:r w:rsidR="00C75E25">
        <w:rPr>
          <w:rFonts w:ascii="Times New Roman" w:eastAsia="Times New Roman" w:hAnsi="Times New Roman" w:cs="Times New Roman"/>
          <w:sz w:val="24"/>
          <w:szCs w:val="20"/>
        </w:rPr>
        <w:t xml:space="preserve"> As such, </w:t>
      </w:r>
      <w:r w:rsidR="006961A4">
        <w:rPr>
          <w:rFonts w:ascii="Times New Roman" w:eastAsia="Times New Roman" w:hAnsi="Times New Roman" w:cs="Times New Roman"/>
          <w:sz w:val="24"/>
          <w:szCs w:val="24"/>
        </w:rPr>
        <w:t>FDA will monitor the distributions of age, gender, education, and ethnicity/race among the completed study sample</w:t>
      </w:r>
      <w:r w:rsidR="00AC3E4B">
        <w:rPr>
          <w:rFonts w:ascii="Times New Roman" w:eastAsia="Times New Roman" w:hAnsi="Times New Roman" w:cs="Times New Roman"/>
          <w:sz w:val="24"/>
          <w:szCs w:val="24"/>
        </w:rPr>
        <w:t xml:space="preserve"> to </w:t>
      </w:r>
      <w:r w:rsidR="00CC3129">
        <w:rPr>
          <w:rFonts w:ascii="Times New Roman" w:eastAsia="Times New Roman" w:hAnsi="Times New Roman" w:cs="Times New Roman"/>
          <w:sz w:val="24"/>
          <w:szCs w:val="24"/>
        </w:rPr>
        <w:t xml:space="preserve">ensure </w:t>
      </w:r>
      <w:r w:rsidR="00CC3129" w:rsidRPr="008763C2">
        <w:rPr>
          <w:rFonts w:ascii="Times New Roman" w:eastAsia="Times New Roman" w:hAnsi="Times New Roman" w:cs="Times New Roman"/>
          <w:sz w:val="24"/>
          <w:szCs w:val="24"/>
        </w:rPr>
        <w:t>a reasonable degree of diversity in key demographic characteristics</w:t>
      </w:r>
      <w:r w:rsidR="00CC3129">
        <w:rPr>
          <w:rFonts w:ascii="Times New Roman" w:eastAsia="Times New Roman" w:hAnsi="Times New Roman" w:cs="Times New Roman"/>
          <w:sz w:val="24"/>
          <w:szCs w:val="24"/>
        </w:rPr>
        <w:t xml:space="preserve"> of the targeted sub</w:t>
      </w:r>
      <w:r w:rsidR="00710D44">
        <w:rPr>
          <w:rFonts w:ascii="Times New Roman" w:eastAsia="Times New Roman" w:hAnsi="Times New Roman" w:cs="Times New Roman"/>
          <w:sz w:val="24"/>
          <w:szCs w:val="24"/>
        </w:rPr>
        <w:t>-</w:t>
      </w:r>
      <w:r w:rsidR="00CC3129">
        <w:rPr>
          <w:rFonts w:ascii="Times New Roman" w:eastAsia="Times New Roman" w:hAnsi="Times New Roman" w:cs="Times New Roman"/>
          <w:sz w:val="24"/>
          <w:szCs w:val="24"/>
        </w:rPr>
        <w:t>po</w:t>
      </w:r>
      <w:r w:rsidR="00710D44">
        <w:rPr>
          <w:rFonts w:ascii="Times New Roman" w:eastAsia="Times New Roman" w:hAnsi="Times New Roman" w:cs="Times New Roman"/>
          <w:sz w:val="24"/>
          <w:szCs w:val="24"/>
        </w:rPr>
        <w:t>p</w:t>
      </w:r>
      <w:r w:rsidR="00CC3129">
        <w:rPr>
          <w:rFonts w:ascii="Times New Roman" w:eastAsia="Times New Roman" w:hAnsi="Times New Roman" w:cs="Times New Roman"/>
          <w:sz w:val="24"/>
          <w:szCs w:val="24"/>
        </w:rPr>
        <w:t>ulations</w:t>
      </w:r>
      <w:r w:rsidR="00710D44">
        <w:rPr>
          <w:rFonts w:ascii="Times New Roman" w:eastAsia="Times New Roman" w:hAnsi="Times New Roman" w:cs="Times New Roman"/>
          <w:sz w:val="24"/>
          <w:szCs w:val="24"/>
        </w:rPr>
        <w:t xml:space="preserve"> and readjust the number of recruitment emails being sent out to specific groups to ensure that the final sample is reasonable diverse to account for the underlying demographic profile of the overall panel</w:t>
      </w:r>
      <w:r w:rsidR="00CC3129" w:rsidRPr="008763C2">
        <w:rPr>
          <w:rFonts w:ascii="Times New Roman" w:eastAsia="Times New Roman" w:hAnsi="Times New Roman" w:cs="Times New Roman"/>
          <w:sz w:val="24"/>
          <w:szCs w:val="24"/>
        </w:rPr>
        <w:t>.</w:t>
      </w:r>
      <w:r w:rsidR="00CC3129">
        <w:rPr>
          <w:rFonts w:ascii="Times New Roman" w:eastAsia="Times New Roman" w:hAnsi="Times New Roman" w:cs="Times New Roman"/>
          <w:sz w:val="24"/>
          <w:szCs w:val="24"/>
        </w:rPr>
        <w:t xml:space="preserve">  </w:t>
      </w:r>
      <w:r w:rsidR="006961A4">
        <w:rPr>
          <w:rFonts w:ascii="Times New Roman" w:eastAsia="Times New Roman" w:hAnsi="Times New Roman" w:cs="Times New Roman"/>
          <w:sz w:val="24"/>
          <w:szCs w:val="24"/>
        </w:rPr>
        <w:t xml:space="preserve">However, </w:t>
      </w:r>
      <w:r w:rsidR="0073527B">
        <w:rPr>
          <w:rFonts w:ascii="Times New Roman" w:eastAsia="Times New Roman" w:hAnsi="Times New Roman" w:cs="Times New Roman"/>
          <w:sz w:val="24"/>
          <w:szCs w:val="24"/>
        </w:rPr>
        <w:t>FDA</w:t>
      </w:r>
      <w:r w:rsidR="00BD7E35" w:rsidRPr="008763C2">
        <w:rPr>
          <w:rFonts w:ascii="Times New Roman" w:eastAsia="Times New Roman" w:hAnsi="Times New Roman" w:cs="Times New Roman"/>
          <w:sz w:val="24"/>
          <w:szCs w:val="24"/>
        </w:rPr>
        <w:t xml:space="preserve"> </w:t>
      </w:r>
      <w:r w:rsidR="008763C2" w:rsidRPr="008763C2">
        <w:rPr>
          <w:rFonts w:ascii="Times New Roman" w:eastAsia="Times New Roman" w:hAnsi="Times New Roman" w:cs="Times New Roman"/>
          <w:sz w:val="24"/>
          <w:szCs w:val="24"/>
        </w:rPr>
        <w:t xml:space="preserve">does not intend to generate nationally representative results of </w:t>
      </w:r>
      <w:r w:rsidR="00AC3E4B">
        <w:rPr>
          <w:rFonts w:ascii="Times New Roman" w:eastAsia="Times New Roman" w:hAnsi="Times New Roman" w:cs="Times New Roman"/>
          <w:sz w:val="24"/>
          <w:szCs w:val="24"/>
        </w:rPr>
        <w:t>the targeted sub</w:t>
      </w:r>
      <w:r w:rsidR="00710D44">
        <w:rPr>
          <w:rFonts w:ascii="Times New Roman" w:eastAsia="Times New Roman" w:hAnsi="Times New Roman" w:cs="Times New Roman"/>
          <w:sz w:val="24"/>
          <w:szCs w:val="24"/>
        </w:rPr>
        <w:t>-</w:t>
      </w:r>
      <w:r w:rsidR="008763C2" w:rsidRPr="008763C2">
        <w:rPr>
          <w:rFonts w:ascii="Times New Roman" w:eastAsia="Times New Roman" w:hAnsi="Times New Roman" w:cs="Times New Roman"/>
          <w:sz w:val="24"/>
          <w:szCs w:val="24"/>
        </w:rPr>
        <w:t xml:space="preserve">population </w:t>
      </w:r>
      <w:r w:rsidR="00AC3E4B">
        <w:rPr>
          <w:rFonts w:ascii="Times New Roman" w:eastAsia="Times New Roman" w:hAnsi="Times New Roman" w:cs="Times New Roman"/>
          <w:sz w:val="24"/>
          <w:szCs w:val="24"/>
        </w:rPr>
        <w:t>in this</w:t>
      </w:r>
      <w:r w:rsidR="008763C2" w:rsidRPr="008763C2">
        <w:rPr>
          <w:rFonts w:ascii="Times New Roman" w:eastAsia="Times New Roman" w:hAnsi="Times New Roman" w:cs="Times New Roman"/>
          <w:sz w:val="24"/>
          <w:szCs w:val="24"/>
        </w:rPr>
        <w:t xml:space="preserve"> experimental study</w:t>
      </w:r>
      <w:r w:rsidR="00AC3E4B">
        <w:rPr>
          <w:rFonts w:ascii="Times New Roman" w:eastAsia="Times New Roman" w:hAnsi="Times New Roman" w:cs="Times New Roman"/>
          <w:sz w:val="24"/>
          <w:szCs w:val="24"/>
        </w:rPr>
        <w:t>. Note that</w:t>
      </w:r>
      <w:r w:rsidR="008763C2" w:rsidRPr="008763C2">
        <w:rPr>
          <w:rFonts w:ascii="Times New Roman" w:eastAsia="Times New Roman" w:hAnsi="Times New Roman" w:cs="Times New Roman"/>
          <w:sz w:val="24"/>
          <w:szCs w:val="24"/>
        </w:rPr>
        <w:t xml:space="preserve"> generating a representative sample </w:t>
      </w:r>
      <w:r w:rsidR="00AC3E4B">
        <w:rPr>
          <w:rFonts w:ascii="Times New Roman" w:eastAsia="Times New Roman" w:hAnsi="Times New Roman" w:cs="Times New Roman"/>
          <w:sz w:val="24"/>
          <w:szCs w:val="24"/>
        </w:rPr>
        <w:t xml:space="preserve">for such a three-step experiment </w:t>
      </w:r>
      <w:r w:rsidR="008763C2" w:rsidRPr="008763C2">
        <w:rPr>
          <w:rFonts w:ascii="Times New Roman" w:eastAsia="Times New Roman" w:hAnsi="Times New Roman" w:cs="Times New Roman"/>
          <w:sz w:val="24"/>
          <w:szCs w:val="24"/>
        </w:rPr>
        <w:t>of the size necessary</w:t>
      </w:r>
      <w:r w:rsidR="00AC3E4B">
        <w:rPr>
          <w:rFonts w:ascii="Times New Roman" w:eastAsia="Times New Roman" w:hAnsi="Times New Roman" w:cs="Times New Roman"/>
          <w:sz w:val="24"/>
          <w:szCs w:val="24"/>
        </w:rPr>
        <w:t xml:space="preserve"> to identify small effect sizes</w:t>
      </w:r>
      <w:r w:rsidR="008763C2" w:rsidRPr="008763C2">
        <w:rPr>
          <w:rFonts w:ascii="Times New Roman" w:eastAsia="Times New Roman" w:hAnsi="Times New Roman" w:cs="Times New Roman"/>
          <w:sz w:val="24"/>
          <w:szCs w:val="24"/>
        </w:rPr>
        <w:t xml:space="preserve"> would be cost prohibitive.  The study will use convenience samples rather than probability samples</w:t>
      </w:r>
      <w:r w:rsidR="00710D44">
        <w:rPr>
          <w:rFonts w:ascii="Times New Roman" w:eastAsia="Times New Roman" w:hAnsi="Times New Roman" w:cs="Times New Roman"/>
          <w:sz w:val="24"/>
          <w:szCs w:val="24"/>
        </w:rPr>
        <w:t>, and despite the diversity in the sample and the use of quota to ensure a reasonable diverse sample, the sample in the study is nevertheless still a convenience sample and not representative of national estimates or necessarily of the underlying study panel used</w:t>
      </w:r>
      <w:r w:rsidR="008763C2" w:rsidRPr="008763C2">
        <w:rPr>
          <w:rFonts w:ascii="Times New Roman" w:eastAsia="Times New Roman" w:hAnsi="Times New Roman" w:cs="Times New Roman"/>
          <w:sz w:val="24"/>
          <w:szCs w:val="24"/>
        </w:rPr>
        <w:t xml:space="preserve">.  </w:t>
      </w:r>
      <w:r w:rsidR="006C4E8C">
        <w:rPr>
          <w:rFonts w:ascii="Times New Roman" w:eastAsia="Times New Roman" w:hAnsi="Times New Roman" w:cs="Times New Roman"/>
          <w:sz w:val="24"/>
          <w:szCs w:val="24"/>
        </w:rPr>
        <w:t>These limitations in generalizability do not affect the internal validity of the study.</w:t>
      </w:r>
      <w:r w:rsidR="00036FEC">
        <w:rPr>
          <w:rFonts w:ascii="Times New Roman" w:eastAsia="Times New Roman" w:hAnsi="Times New Roman" w:cs="Times New Roman"/>
          <w:sz w:val="24"/>
          <w:szCs w:val="24"/>
        </w:rPr>
        <w:t xml:space="preserve"> </w:t>
      </w:r>
      <w:r w:rsidR="00906FD0">
        <w:rPr>
          <w:rFonts w:ascii="Times New Roman" w:eastAsia="Times New Roman" w:hAnsi="Times New Roman" w:cs="Times New Roman"/>
          <w:sz w:val="24"/>
          <w:szCs w:val="24"/>
        </w:rPr>
        <w:t xml:space="preserve"> </w:t>
      </w:r>
      <w:r w:rsidR="00675EE5">
        <w:rPr>
          <w:rFonts w:ascii="Times New Roman" w:eastAsia="Times New Roman" w:hAnsi="Times New Roman" w:cs="Times New Roman"/>
          <w:sz w:val="24"/>
          <w:szCs w:val="24"/>
        </w:rPr>
        <w:t xml:space="preserve">Additional limitations are that conclusions can only be drawn based on the stimuli presented. </w:t>
      </w:r>
      <w:r w:rsidR="00906FD0">
        <w:rPr>
          <w:rFonts w:ascii="Times New Roman" w:eastAsia="Times New Roman" w:hAnsi="Times New Roman" w:cs="Times New Roman"/>
          <w:sz w:val="24"/>
          <w:szCs w:val="24"/>
        </w:rPr>
        <w:t xml:space="preserve"> </w:t>
      </w:r>
      <w:r w:rsidR="002232AF">
        <w:rPr>
          <w:rFonts w:ascii="Times New Roman" w:eastAsia="Times New Roman" w:hAnsi="Times New Roman" w:cs="Times New Roman"/>
          <w:sz w:val="24"/>
          <w:szCs w:val="24"/>
        </w:rPr>
        <w:t>T</w:t>
      </w:r>
      <w:r w:rsidR="00675EE5" w:rsidRPr="00675EE5">
        <w:rPr>
          <w:rFonts w:ascii="Times New Roman" w:eastAsia="Times New Roman" w:hAnsi="Times New Roman" w:cs="Times New Roman"/>
          <w:sz w:val="24"/>
          <w:szCs w:val="24"/>
        </w:rPr>
        <w:t xml:space="preserve">he results </w:t>
      </w:r>
      <w:r w:rsidR="00675EE5">
        <w:rPr>
          <w:rFonts w:ascii="Times New Roman" w:eastAsia="Times New Roman" w:hAnsi="Times New Roman" w:cs="Times New Roman"/>
          <w:sz w:val="24"/>
          <w:szCs w:val="24"/>
        </w:rPr>
        <w:t xml:space="preserve">of this study </w:t>
      </w:r>
      <w:r w:rsidR="00675EE5" w:rsidRPr="00675EE5">
        <w:rPr>
          <w:rFonts w:ascii="Times New Roman" w:eastAsia="Times New Roman" w:hAnsi="Times New Roman" w:cs="Times New Roman"/>
          <w:sz w:val="24"/>
          <w:szCs w:val="24"/>
        </w:rPr>
        <w:t xml:space="preserve">will inform the </w:t>
      </w:r>
      <w:r w:rsidR="0073527B">
        <w:rPr>
          <w:rFonts w:ascii="Times New Roman" w:eastAsia="Times New Roman" w:hAnsi="Times New Roman" w:cs="Times New Roman"/>
          <w:sz w:val="24"/>
          <w:szCs w:val="24"/>
        </w:rPr>
        <w:t>FDA</w:t>
      </w:r>
      <w:r w:rsidR="0073527B" w:rsidRPr="00675EE5">
        <w:rPr>
          <w:rFonts w:ascii="Times New Roman" w:eastAsia="Times New Roman" w:hAnsi="Times New Roman" w:cs="Times New Roman"/>
          <w:sz w:val="24"/>
          <w:szCs w:val="24"/>
        </w:rPr>
        <w:t xml:space="preserve">’s </w:t>
      </w:r>
      <w:r w:rsidR="00675EE5" w:rsidRPr="00675EE5">
        <w:rPr>
          <w:rFonts w:ascii="Times New Roman" w:eastAsia="Times New Roman" w:hAnsi="Times New Roman" w:cs="Times New Roman"/>
          <w:sz w:val="24"/>
          <w:szCs w:val="24"/>
        </w:rPr>
        <w:t xml:space="preserve">broader efforts to </w:t>
      </w:r>
      <w:r w:rsidR="007651A2">
        <w:rPr>
          <w:rFonts w:ascii="Times New Roman" w:eastAsia="Times New Roman" w:hAnsi="Times New Roman" w:cs="Times New Roman"/>
          <w:sz w:val="24"/>
          <w:szCs w:val="24"/>
        </w:rPr>
        <w:t xml:space="preserve">develop </w:t>
      </w:r>
      <w:r w:rsidR="00675EE5" w:rsidRPr="00675EE5">
        <w:rPr>
          <w:rFonts w:ascii="Times New Roman" w:eastAsia="Times New Roman" w:hAnsi="Times New Roman" w:cs="Times New Roman"/>
          <w:sz w:val="24"/>
          <w:szCs w:val="24"/>
        </w:rPr>
        <w:t xml:space="preserve">cigarette GHW </w:t>
      </w:r>
      <w:r w:rsidR="007651A2">
        <w:rPr>
          <w:rFonts w:ascii="Times New Roman" w:eastAsia="Times New Roman" w:hAnsi="Times New Roman" w:cs="Times New Roman"/>
          <w:sz w:val="24"/>
          <w:szCs w:val="24"/>
        </w:rPr>
        <w:t>with the goal of implementing</w:t>
      </w:r>
      <w:r w:rsidR="00675EE5" w:rsidRPr="00675EE5">
        <w:rPr>
          <w:rFonts w:ascii="Times New Roman" w:eastAsia="Times New Roman" w:hAnsi="Times New Roman" w:cs="Times New Roman"/>
          <w:sz w:val="24"/>
          <w:szCs w:val="24"/>
        </w:rPr>
        <w:t xml:space="preserve"> the mandatory graphic warning label statement</w:t>
      </w:r>
      <w:r w:rsidR="008F3178">
        <w:rPr>
          <w:rFonts w:ascii="Times New Roman" w:eastAsia="Times New Roman" w:hAnsi="Times New Roman" w:cs="Times New Roman"/>
          <w:sz w:val="24"/>
          <w:szCs w:val="24"/>
        </w:rPr>
        <w:t>s</w:t>
      </w:r>
      <w:r w:rsidR="00675EE5" w:rsidRPr="00675EE5">
        <w:rPr>
          <w:rFonts w:ascii="Times New Roman" w:eastAsia="Times New Roman" w:hAnsi="Times New Roman" w:cs="Times New Roman"/>
          <w:sz w:val="24"/>
          <w:szCs w:val="24"/>
        </w:rPr>
        <w:t xml:space="preserve"> </w:t>
      </w:r>
      <w:r w:rsidR="00C4028B">
        <w:rPr>
          <w:rFonts w:ascii="Times New Roman" w:eastAsia="Times New Roman" w:hAnsi="Times New Roman" w:cs="Times New Roman"/>
          <w:sz w:val="24"/>
          <w:szCs w:val="24"/>
        </w:rPr>
        <w:t>as required by</w:t>
      </w:r>
      <w:r w:rsidR="007651A2">
        <w:rPr>
          <w:rFonts w:ascii="Times New Roman" w:eastAsia="Times New Roman" w:hAnsi="Times New Roman" w:cs="Times New Roman"/>
          <w:sz w:val="24"/>
          <w:szCs w:val="24"/>
        </w:rPr>
        <w:t xml:space="preserve"> section 4(d) of FCLAA</w:t>
      </w:r>
      <w:r w:rsidR="00C87DF6">
        <w:rPr>
          <w:rFonts w:ascii="Times New Roman" w:eastAsia="Times New Roman" w:hAnsi="Times New Roman" w:cs="Times New Roman"/>
          <w:sz w:val="24"/>
          <w:szCs w:val="24"/>
        </w:rPr>
        <w:t xml:space="preserve">. </w:t>
      </w:r>
      <w:r w:rsidR="00906FD0">
        <w:rPr>
          <w:rFonts w:ascii="Times New Roman" w:eastAsia="Times New Roman" w:hAnsi="Times New Roman" w:cs="Times New Roman"/>
          <w:sz w:val="24"/>
          <w:szCs w:val="24"/>
        </w:rPr>
        <w:t xml:space="preserve"> </w:t>
      </w:r>
      <w:r w:rsidR="00C87DF6">
        <w:rPr>
          <w:rFonts w:ascii="Times New Roman" w:eastAsia="Times New Roman" w:hAnsi="Times New Roman" w:cs="Times New Roman"/>
          <w:sz w:val="24"/>
          <w:szCs w:val="24"/>
        </w:rPr>
        <w:t>Such limitations will be noted in the context of describing the results of the study</w:t>
      </w:r>
      <w:r w:rsidR="00675EE5" w:rsidRPr="00EB6BBC">
        <w:rPr>
          <w:sz w:val="24"/>
          <w:szCs w:val="24"/>
        </w:rPr>
        <w:t>.</w:t>
      </w:r>
      <w:r w:rsidR="008763C2" w:rsidRPr="008763C2">
        <w:rPr>
          <w:rFonts w:ascii="Times New Roman" w:eastAsia="Times New Roman" w:hAnsi="Times New Roman" w:cs="Times New Roman"/>
          <w:sz w:val="24"/>
          <w:szCs w:val="24"/>
        </w:rPr>
        <w:t xml:space="preserve"> </w:t>
      </w:r>
    </w:p>
    <w:p w14:paraId="499B59A4" w14:textId="67CAB2D4" w:rsidR="00F55AE5" w:rsidRDefault="00F55AE5" w:rsidP="00710D44">
      <w:pPr>
        <w:spacing w:after="0" w:line="240" w:lineRule="auto"/>
        <w:ind w:firstLine="720"/>
        <w:rPr>
          <w:rFonts w:ascii="Times New Roman" w:eastAsia="Times New Roman" w:hAnsi="Times New Roman" w:cs="Times New Roman"/>
          <w:sz w:val="24"/>
          <w:szCs w:val="24"/>
        </w:rPr>
      </w:pPr>
    </w:p>
    <w:p w14:paraId="663B6F71" w14:textId="77777777" w:rsidR="00F55AE5" w:rsidRPr="008763C2" w:rsidRDefault="00F55AE5" w:rsidP="00710D44">
      <w:pPr>
        <w:spacing w:after="0" w:line="240" w:lineRule="auto"/>
        <w:ind w:firstLine="720"/>
        <w:rPr>
          <w:rFonts w:ascii="Times New Roman" w:eastAsia="Times New Roman" w:hAnsi="Times New Roman" w:cs="Times New Roman"/>
          <w:sz w:val="24"/>
          <w:szCs w:val="24"/>
        </w:rPr>
      </w:pPr>
    </w:p>
    <w:p w14:paraId="14A73B24" w14:textId="77777777" w:rsidR="008763C2" w:rsidRPr="008763C2" w:rsidRDefault="008763C2" w:rsidP="008763C2">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rPr>
      </w:pPr>
      <w:r w:rsidRPr="008763C2">
        <w:rPr>
          <w:rFonts w:ascii="Times New Roman" w:eastAsia="Times New Roman" w:hAnsi="Times New Roman" w:cs="Times New Roman"/>
          <w:b/>
          <w:sz w:val="24"/>
          <w:szCs w:val="24"/>
          <w:u w:val="single"/>
        </w:rPr>
        <w:lastRenderedPageBreak/>
        <w:t>Procedures for the Collection of Information</w:t>
      </w:r>
    </w:p>
    <w:p w14:paraId="6E949F87" w14:textId="7A16733E" w:rsidR="008763C2" w:rsidRPr="008763C2" w:rsidRDefault="008763C2" w:rsidP="008763C2">
      <w:pPr>
        <w:widowControl w:val="0"/>
        <w:tabs>
          <w:tab w:val="left" w:pos="540"/>
        </w:tabs>
        <w:autoSpaceDE w:val="0"/>
        <w:autoSpaceDN w:val="0"/>
        <w:adjustRightInd w:val="0"/>
        <w:spacing w:before="120" w:after="120" w:line="300" w:lineRule="exact"/>
        <w:ind w:firstLine="720"/>
        <w:rPr>
          <w:rFonts w:ascii="Times New Roman" w:eastAsia="Times New Roman" w:hAnsi="Times New Roman" w:cs="Times New Roman"/>
          <w:color w:val="000000"/>
          <w:sz w:val="24"/>
          <w:szCs w:val="24"/>
        </w:rPr>
      </w:pPr>
      <w:r w:rsidRPr="008763C2">
        <w:rPr>
          <w:rFonts w:ascii="CMB X 12" w:eastAsia="Times New Roman" w:hAnsi="CMB X 12" w:cs="CMB X 12"/>
          <w:color w:val="000000"/>
          <w:sz w:val="24"/>
          <w:szCs w:val="24"/>
        </w:rPr>
        <w:t xml:space="preserve"> </w:t>
      </w:r>
      <w:r w:rsidRPr="008763C2">
        <w:rPr>
          <w:rFonts w:ascii="Times New Roman" w:eastAsia="Times New Roman" w:hAnsi="Times New Roman" w:cs="Times New Roman"/>
          <w:color w:val="000000"/>
          <w:sz w:val="24"/>
          <w:szCs w:val="24"/>
        </w:rPr>
        <w:t xml:space="preserve">For the information collection, </w:t>
      </w:r>
      <w:r w:rsidRPr="00A826E8">
        <w:rPr>
          <w:rFonts w:ascii="Times New Roman" w:eastAsia="Times New Roman" w:hAnsi="Times New Roman" w:cs="Times New Roman"/>
          <w:color w:val="000000"/>
          <w:sz w:val="24"/>
          <w:szCs w:val="24"/>
        </w:rPr>
        <w:t>Lightspeed</w:t>
      </w:r>
      <w:r w:rsidRPr="008763C2">
        <w:rPr>
          <w:rFonts w:ascii="CMB X 12" w:eastAsia="Times New Roman" w:hAnsi="CMB X 12" w:cs="CMB X 12"/>
          <w:color w:val="000000"/>
          <w:sz w:val="24"/>
          <w:szCs w:val="24"/>
        </w:rPr>
        <w:t xml:space="preserve"> </w:t>
      </w:r>
      <w:r w:rsidRPr="008763C2">
        <w:rPr>
          <w:rFonts w:ascii="Times New Roman" w:eastAsia="Times New Roman" w:hAnsi="Times New Roman" w:cs="Times New Roman"/>
          <w:color w:val="000000"/>
          <w:sz w:val="24"/>
          <w:szCs w:val="24"/>
        </w:rPr>
        <w:t>will send email invitations</w:t>
      </w:r>
      <w:r w:rsidR="00417C41">
        <w:rPr>
          <w:rFonts w:ascii="Times New Roman" w:eastAsia="Times New Roman" w:hAnsi="Times New Roman" w:cs="Times New Roman"/>
          <w:color w:val="000000"/>
          <w:sz w:val="24"/>
          <w:szCs w:val="24"/>
        </w:rPr>
        <w:t xml:space="preserve"> (with links to the </w:t>
      </w:r>
      <w:r w:rsidR="00BD7E35">
        <w:rPr>
          <w:rFonts w:ascii="Times New Roman" w:eastAsia="Times New Roman" w:hAnsi="Times New Roman" w:cs="Times New Roman"/>
          <w:color w:val="000000"/>
          <w:sz w:val="24"/>
          <w:szCs w:val="24"/>
        </w:rPr>
        <w:t>s</w:t>
      </w:r>
      <w:r w:rsidR="00417C41">
        <w:rPr>
          <w:rFonts w:ascii="Times New Roman" w:eastAsia="Times New Roman" w:hAnsi="Times New Roman" w:cs="Times New Roman"/>
          <w:color w:val="000000"/>
          <w:sz w:val="24"/>
          <w:szCs w:val="24"/>
        </w:rPr>
        <w:t>creener)</w:t>
      </w:r>
      <w:r w:rsidRPr="008763C2">
        <w:rPr>
          <w:rFonts w:ascii="Times New Roman" w:eastAsia="Times New Roman" w:hAnsi="Times New Roman" w:cs="Times New Roman"/>
          <w:color w:val="000000"/>
          <w:sz w:val="24"/>
          <w:szCs w:val="24"/>
        </w:rPr>
        <w:t xml:space="preserve"> to the target audiences using their market research panel</w:t>
      </w:r>
      <w:r w:rsidR="00710D44">
        <w:rPr>
          <w:rFonts w:ascii="Times New Roman" w:eastAsia="Times New Roman" w:hAnsi="Times New Roman" w:cs="Times New Roman"/>
          <w:color w:val="000000"/>
          <w:sz w:val="24"/>
          <w:szCs w:val="24"/>
        </w:rPr>
        <w:t xml:space="preserve"> (as described above)</w:t>
      </w:r>
      <w:r w:rsidRPr="008763C2">
        <w:rPr>
          <w:rFonts w:ascii="Times New Roman" w:eastAsia="Times New Roman" w:hAnsi="Times New Roman" w:cs="Times New Roman"/>
          <w:color w:val="000000"/>
          <w:sz w:val="24"/>
          <w:szCs w:val="24"/>
        </w:rPr>
        <w:t>.  Adult (age</w:t>
      </w:r>
      <w:r w:rsidR="0091267D">
        <w:rPr>
          <w:rFonts w:ascii="Times New Roman" w:eastAsia="Times New Roman" w:hAnsi="Times New Roman" w:cs="Times New Roman"/>
          <w:color w:val="000000"/>
          <w:sz w:val="24"/>
          <w:szCs w:val="24"/>
        </w:rPr>
        <w:t>d</w:t>
      </w:r>
      <w:r w:rsidRPr="008763C2">
        <w:rPr>
          <w:rFonts w:ascii="Times New Roman" w:eastAsia="Times New Roman" w:hAnsi="Times New Roman" w:cs="Times New Roman"/>
          <w:color w:val="000000"/>
          <w:sz w:val="24"/>
          <w:szCs w:val="24"/>
        </w:rPr>
        <w:t xml:space="preserve"> 18</w:t>
      </w:r>
      <w:r w:rsidR="0091267D">
        <w:rPr>
          <w:rFonts w:ascii="Times New Roman" w:eastAsia="Times New Roman" w:hAnsi="Times New Roman" w:cs="Times New Roman"/>
          <w:color w:val="000000"/>
          <w:sz w:val="24"/>
          <w:szCs w:val="24"/>
        </w:rPr>
        <w:t xml:space="preserve"> years and older</w:t>
      </w:r>
      <w:r w:rsidR="0091267D" w:rsidRPr="008763C2">
        <w:rPr>
          <w:rFonts w:ascii="Times New Roman" w:eastAsia="Times New Roman" w:hAnsi="Times New Roman" w:cs="Times New Roman"/>
          <w:color w:val="000000"/>
          <w:sz w:val="24"/>
          <w:szCs w:val="24"/>
        </w:rPr>
        <w:t xml:space="preserve">) </w:t>
      </w:r>
      <w:r w:rsidRPr="008763C2">
        <w:rPr>
          <w:rFonts w:ascii="Times New Roman" w:eastAsia="Times New Roman" w:hAnsi="Times New Roman" w:cs="Times New Roman"/>
          <w:color w:val="000000"/>
          <w:sz w:val="24"/>
          <w:szCs w:val="24"/>
        </w:rPr>
        <w:t xml:space="preserve">panel members will be sent an email directly inviting their participation in the study and instructions for accessing the secure website for the </w:t>
      </w:r>
      <w:r w:rsidR="007651A2">
        <w:rPr>
          <w:rFonts w:ascii="Times New Roman" w:eastAsia="Times New Roman" w:hAnsi="Times New Roman" w:cs="Times New Roman"/>
          <w:color w:val="000000"/>
          <w:sz w:val="24"/>
          <w:szCs w:val="24"/>
        </w:rPr>
        <w:t>screener</w:t>
      </w:r>
      <w:r w:rsidRPr="008763C2">
        <w:rPr>
          <w:rFonts w:ascii="Times New Roman" w:eastAsia="Times New Roman" w:hAnsi="Times New Roman" w:cs="Times New Roman"/>
          <w:color w:val="000000"/>
          <w:sz w:val="24"/>
          <w:szCs w:val="24"/>
        </w:rPr>
        <w:t xml:space="preserve">.  Adolescents </w:t>
      </w:r>
      <w:r w:rsidR="0091267D">
        <w:rPr>
          <w:rFonts w:ascii="Times New Roman" w:eastAsia="Times New Roman" w:hAnsi="Times New Roman" w:cs="Times New Roman"/>
          <w:color w:val="000000"/>
          <w:sz w:val="24"/>
          <w:szCs w:val="24"/>
        </w:rPr>
        <w:t xml:space="preserve">(aged 13-17 years) </w:t>
      </w:r>
      <w:r w:rsidRPr="008763C2">
        <w:rPr>
          <w:rFonts w:ascii="Times New Roman" w:eastAsia="Times New Roman" w:hAnsi="Times New Roman" w:cs="Times New Roman"/>
          <w:color w:val="000000"/>
          <w:sz w:val="24"/>
          <w:szCs w:val="24"/>
        </w:rPr>
        <w:t xml:space="preserve">will be invited to participate through an email invitation to an adult panel member who has indicated in their panel profile that they have a child in the eligible age range.  Parents or guardians will be asked to provide permission before allowing their child to participate.  Once a panel member or child of a panel member enters the secure web site, </w:t>
      </w:r>
      <w:r w:rsidR="0091267D">
        <w:rPr>
          <w:rFonts w:ascii="Times New Roman" w:eastAsia="Times New Roman" w:hAnsi="Times New Roman" w:cs="Times New Roman"/>
          <w:color w:val="000000"/>
          <w:sz w:val="24"/>
          <w:szCs w:val="24"/>
        </w:rPr>
        <w:t>the respondent</w:t>
      </w:r>
      <w:r w:rsidR="0091267D" w:rsidRPr="008763C2">
        <w:rPr>
          <w:rFonts w:ascii="Times New Roman" w:eastAsia="Times New Roman" w:hAnsi="Times New Roman" w:cs="Times New Roman"/>
          <w:color w:val="000000"/>
          <w:sz w:val="24"/>
          <w:szCs w:val="24"/>
        </w:rPr>
        <w:t xml:space="preserve"> </w:t>
      </w:r>
      <w:r w:rsidRPr="008763C2">
        <w:rPr>
          <w:rFonts w:ascii="Times New Roman" w:eastAsia="Times New Roman" w:hAnsi="Times New Roman" w:cs="Times New Roman"/>
          <w:color w:val="000000"/>
          <w:sz w:val="24"/>
          <w:szCs w:val="24"/>
        </w:rPr>
        <w:t xml:space="preserve">will access the screener to determine eligibility based on the study inclusion and exclusion criteria.  Those respondents who are determined to be eligible to participate will be presented with a brief introduction informing </w:t>
      </w:r>
      <w:r w:rsidR="0091267D">
        <w:rPr>
          <w:rFonts w:ascii="Times New Roman" w:eastAsia="Times New Roman" w:hAnsi="Times New Roman" w:cs="Times New Roman"/>
          <w:color w:val="000000"/>
          <w:sz w:val="24"/>
          <w:szCs w:val="24"/>
        </w:rPr>
        <w:t>them</w:t>
      </w:r>
      <w:r w:rsidRPr="008763C2">
        <w:rPr>
          <w:rFonts w:ascii="Times New Roman" w:eastAsia="Times New Roman" w:hAnsi="Times New Roman" w:cs="Times New Roman"/>
          <w:color w:val="000000"/>
          <w:sz w:val="24"/>
          <w:szCs w:val="24"/>
        </w:rPr>
        <w:t xml:space="preserve"> of the </w:t>
      </w:r>
      <w:r w:rsidR="0020686C">
        <w:rPr>
          <w:rFonts w:ascii="Times New Roman" w:eastAsia="Times New Roman" w:hAnsi="Times New Roman" w:cs="Times New Roman"/>
          <w:color w:val="000000"/>
          <w:sz w:val="24"/>
          <w:szCs w:val="24"/>
        </w:rPr>
        <w:t>private</w:t>
      </w:r>
      <w:r w:rsidR="0020686C" w:rsidRPr="008763C2">
        <w:rPr>
          <w:rFonts w:ascii="Times New Roman" w:eastAsia="Times New Roman" w:hAnsi="Times New Roman" w:cs="Times New Roman"/>
          <w:color w:val="000000"/>
          <w:sz w:val="24"/>
          <w:szCs w:val="24"/>
        </w:rPr>
        <w:t xml:space="preserve"> </w:t>
      </w:r>
      <w:r w:rsidRPr="008763C2">
        <w:rPr>
          <w:rFonts w:ascii="Times New Roman" w:eastAsia="Times New Roman" w:hAnsi="Times New Roman" w:cs="Times New Roman"/>
          <w:color w:val="000000"/>
          <w:sz w:val="24"/>
          <w:szCs w:val="24"/>
        </w:rPr>
        <w:t>and voluntary nature of the study.  Those respondents who are determined to be eligible and provide consent to participate will then be randomly assigned to a condition and complete the study</w:t>
      </w:r>
      <w:r w:rsidR="0039583D">
        <w:rPr>
          <w:rFonts w:ascii="Times New Roman" w:eastAsia="Times New Roman" w:hAnsi="Times New Roman" w:cs="Times New Roman"/>
          <w:color w:val="000000"/>
          <w:sz w:val="24"/>
          <w:szCs w:val="24"/>
        </w:rPr>
        <w:t xml:space="preserve"> (beginning with Session 1, immediately following the screener, and followed by Sessions 2 and 3 at later dates, as described below)</w:t>
      </w:r>
      <w:r w:rsidRPr="008763C2">
        <w:rPr>
          <w:rFonts w:ascii="Times New Roman" w:eastAsia="Times New Roman" w:hAnsi="Times New Roman" w:cs="Times New Roman"/>
          <w:color w:val="000000"/>
          <w:sz w:val="24"/>
          <w:szCs w:val="24"/>
        </w:rPr>
        <w:t xml:space="preserve">.  </w:t>
      </w:r>
      <w:r w:rsidR="00A826E8">
        <w:rPr>
          <w:rFonts w:ascii="Times New Roman" w:eastAsia="Times New Roman" w:hAnsi="Times New Roman" w:cs="Times New Roman"/>
          <w:color w:val="000000"/>
          <w:sz w:val="24"/>
          <w:szCs w:val="24"/>
        </w:rPr>
        <w:t>As data collection progresses</w:t>
      </w:r>
      <w:r w:rsidR="006961A4">
        <w:rPr>
          <w:rFonts w:ascii="Times New Roman" w:eastAsia="Times New Roman" w:hAnsi="Times New Roman" w:cs="Times New Roman"/>
          <w:color w:val="000000"/>
          <w:sz w:val="24"/>
          <w:szCs w:val="24"/>
        </w:rPr>
        <w:t xml:space="preserve"> for Session 1</w:t>
      </w:r>
      <w:r w:rsidR="00A826E8">
        <w:rPr>
          <w:rFonts w:ascii="Times New Roman" w:eastAsia="Times New Roman" w:hAnsi="Times New Roman" w:cs="Times New Roman"/>
          <w:color w:val="000000"/>
          <w:sz w:val="24"/>
          <w:szCs w:val="24"/>
        </w:rPr>
        <w:t>, study staff will check the distribution profile of those completing the study.</w:t>
      </w:r>
      <w:r w:rsidR="00A826E8">
        <w:rPr>
          <w:rFonts w:ascii="Times New Roman" w:eastAsia="Times New Roman" w:hAnsi="Times New Roman" w:cs="Times New Roman"/>
          <w:sz w:val="24"/>
          <w:szCs w:val="24"/>
        </w:rPr>
        <w:t xml:space="preserve"> </w:t>
      </w:r>
      <w:r w:rsidR="0091267D">
        <w:rPr>
          <w:rFonts w:ascii="Times New Roman" w:eastAsia="Times New Roman" w:hAnsi="Times New Roman" w:cs="Times New Roman"/>
          <w:sz w:val="24"/>
          <w:szCs w:val="24"/>
        </w:rPr>
        <w:t xml:space="preserve"> </w:t>
      </w:r>
      <w:r w:rsidR="00A826E8">
        <w:rPr>
          <w:rFonts w:ascii="Times New Roman" w:eastAsia="Times New Roman" w:hAnsi="Times New Roman" w:cs="Times New Roman"/>
          <w:sz w:val="24"/>
          <w:szCs w:val="24"/>
        </w:rPr>
        <w:t>Lightspeed may adjust the targeting of invitations to those in the research panel to better ensure a final sample that is more in line with demographic</w:t>
      </w:r>
      <w:r w:rsidR="009C0665">
        <w:rPr>
          <w:rFonts w:ascii="Times New Roman" w:eastAsia="Times New Roman" w:hAnsi="Times New Roman" w:cs="Times New Roman"/>
          <w:sz w:val="24"/>
          <w:szCs w:val="24"/>
        </w:rPr>
        <w:t xml:space="preserve"> characteristics of the subsample</w:t>
      </w:r>
      <w:r w:rsidR="00A826E8">
        <w:rPr>
          <w:rFonts w:ascii="Times New Roman" w:eastAsia="Times New Roman" w:hAnsi="Times New Roman" w:cs="Times New Roman"/>
          <w:sz w:val="24"/>
          <w:szCs w:val="24"/>
        </w:rPr>
        <w:t xml:space="preserve">. </w:t>
      </w:r>
      <w:r w:rsidR="006961A4">
        <w:rPr>
          <w:rFonts w:ascii="Times New Roman" w:eastAsia="Times New Roman" w:hAnsi="Times New Roman" w:cs="Times New Roman"/>
          <w:sz w:val="24"/>
          <w:szCs w:val="24"/>
        </w:rPr>
        <w:t xml:space="preserve"> </w:t>
      </w:r>
      <w:r w:rsidR="009C0665">
        <w:rPr>
          <w:rFonts w:ascii="Times New Roman" w:eastAsia="Times New Roman" w:hAnsi="Times New Roman" w:cs="Times New Roman"/>
          <w:sz w:val="24"/>
          <w:szCs w:val="20"/>
        </w:rPr>
        <w:t>A</w:t>
      </w:r>
      <w:r w:rsidR="006961A4" w:rsidRPr="008763C2">
        <w:rPr>
          <w:rFonts w:ascii="Times New Roman" w:eastAsia="Times New Roman" w:hAnsi="Times New Roman" w:cs="Times New Roman"/>
          <w:sz w:val="24"/>
          <w:szCs w:val="20"/>
        </w:rPr>
        <w:t>ddition</w:t>
      </w:r>
      <w:r w:rsidR="009C0665">
        <w:rPr>
          <w:rFonts w:ascii="Times New Roman" w:eastAsia="Times New Roman" w:hAnsi="Times New Roman" w:cs="Times New Roman"/>
          <w:sz w:val="24"/>
          <w:szCs w:val="20"/>
        </w:rPr>
        <w:t>al</w:t>
      </w:r>
      <w:r w:rsidR="00710D44">
        <w:rPr>
          <w:rFonts w:ascii="Times New Roman" w:eastAsia="Times New Roman" w:hAnsi="Times New Roman" w:cs="Times New Roman"/>
          <w:sz w:val="24"/>
          <w:szCs w:val="20"/>
        </w:rPr>
        <w:t>ly</w:t>
      </w:r>
      <w:r w:rsidR="006961A4" w:rsidRPr="008763C2">
        <w:rPr>
          <w:rFonts w:ascii="Times New Roman" w:eastAsia="Times New Roman" w:hAnsi="Times New Roman" w:cs="Times New Roman"/>
          <w:sz w:val="24"/>
          <w:szCs w:val="20"/>
        </w:rPr>
        <w:t xml:space="preserve">, demographic and tobacco use </w:t>
      </w:r>
      <w:r w:rsidR="009C0665">
        <w:rPr>
          <w:rFonts w:ascii="Times New Roman" w:eastAsia="Times New Roman" w:hAnsi="Times New Roman" w:cs="Times New Roman"/>
          <w:sz w:val="24"/>
          <w:szCs w:val="20"/>
        </w:rPr>
        <w:t>information</w:t>
      </w:r>
      <w:r w:rsidR="006961A4" w:rsidRPr="008763C2">
        <w:rPr>
          <w:rFonts w:ascii="Times New Roman" w:eastAsia="Times New Roman" w:hAnsi="Times New Roman" w:cs="Times New Roman"/>
          <w:sz w:val="24"/>
          <w:szCs w:val="20"/>
        </w:rPr>
        <w:t xml:space="preserve"> will be collected from the respondent</w:t>
      </w:r>
      <w:r w:rsidR="006961A4">
        <w:rPr>
          <w:rFonts w:ascii="Times New Roman" w:eastAsia="Times New Roman" w:hAnsi="Times New Roman" w:cs="Times New Roman"/>
          <w:sz w:val="24"/>
          <w:szCs w:val="20"/>
        </w:rPr>
        <w:t>s</w:t>
      </w:r>
      <w:r w:rsidR="009C0665">
        <w:rPr>
          <w:rFonts w:ascii="Times New Roman" w:eastAsia="Times New Roman" w:hAnsi="Times New Roman" w:cs="Times New Roman"/>
          <w:sz w:val="24"/>
          <w:szCs w:val="20"/>
        </w:rPr>
        <w:t xml:space="preserve"> to understand the extent to which the characteristics of the participants reflect those of participants in national studies of adolescents and adult smokers (e.g., </w:t>
      </w:r>
      <w:r w:rsidR="00710D44">
        <w:rPr>
          <w:rFonts w:ascii="Times New Roman" w:eastAsia="Times New Roman" w:hAnsi="Times New Roman" w:cs="Times New Roman"/>
          <w:sz w:val="24"/>
          <w:szCs w:val="20"/>
        </w:rPr>
        <w:t>National Health Interview Survey for adults and the Population Assessment of Tobacco and Health</w:t>
      </w:r>
      <w:r w:rsidR="00B80D5C">
        <w:rPr>
          <w:rFonts w:ascii="Times New Roman" w:eastAsia="Times New Roman" w:hAnsi="Times New Roman" w:cs="Times New Roman"/>
          <w:sz w:val="24"/>
          <w:szCs w:val="20"/>
        </w:rPr>
        <w:t>)</w:t>
      </w:r>
      <w:r w:rsidR="009C0665">
        <w:rPr>
          <w:rFonts w:ascii="Times New Roman" w:eastAsia="Times New Roman" w:hAnsi="Times New Roman" w:cs="Times New Roman"/>
          <w:sz w:val="24"/>
          <w:szCs w:val="20"/>
        </w:rPr>
        <w:t xml:space="preserve"> </w:t>
      </w:r>
      <w:r w:rsidR="00710D44">
        <w:rPr>
          <w:rFonts w:ascii="Times New Roman" w:eastAsia="Times New Roman" w:hAnsi="Times New Roman" w:cs="Times New Roman"/>
          <w:sz w:val="24"/>
          <w:szCs w:val="20"/>
        </w:rPr>
        <w:t>for youth</w:t>
      </w:r>
      <w:r w:rsidR="006961A4" w:rsidRPr="008763C2">
        <w:rPr>
          <w:rFonts w:ascii="Times New Roman" w:eastAsia="Times New Roman" w:hAnsi="Times New Roman" w:cs="Times New Roman"/>
          <w:sz w:val="24"/>
          <w:szCs w:val="20"/>
        </w:rPr>
        <w:t>.</w:t>
      </w:r>
    </w:p>
    <w:p w14:paraId="56B8FADF" w14:textId="4A50195E" w:rsidR="00BD7E35" w:rsidRDefault="008763C2" w:rsidP="00813E76">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This experimental study will be conducted using an Internet panel and questionnaire</w:t>
      </w:r>
      <w:r w:rsidR="0073527B">
        <w:rPr>
          <w:rFonts w:ascii="Times New Roman" w:eastAsia="Times New Roman" w:hAnsi="Times New Roman" w:cs="Times New Roman"/>
          <w:sz w:val="24"/>
          <w:szCs w:val="20"/>
        </w:rPr>
        <w:t>s</w:t>
      </w:r>
      <w:r w:rsidRPr="008763C2">
        <w:rPr>
          <w:rFonts w:ascii="Times New Roman" w:eastAsia="Times New Roman" w:hAnsi="Times New Roman" w:cs="Times New Roman"/>
          <w:sz w:val="24"/>
          <w:szCs w:val="20"/>
        </w:rPr>
        <w:t xml:space="preserve"> designed to measure responses to </w:t>
      </w:r>
      <w:r w:rsidR="002232AF">
        <w:rPr>
          <w:rFonts w:ascii="Times New Roman" w:eastAsia="Times New Roman" w:hAnsi="Times New Roman" w:cs="Times New Roman"/>
          <w:sz w:val="24"/>
          <w:szCs w:val="20"/>
        </w:rPr>
        <w:t xml:space="preserve">cigarette </w:t>
      </w:r>
      <w:r w:rsidR="0091267D">
        <w:rPr>
          <w:rFonts w:ascii="Times New Roman" w:eastAsia="Times New Roman" w:hAnsi="Times New Roman" w:cs="Times New Roman"/>
          <w:sz w:val="24"/>
          <w:szCs w:val="20"/>
        </w:rPr>
        <w:t>GHW</w:t>
      </w:r>
      <w:r w:rsidR="002232AF">
        <w:rPr>
          <w:rFonts w:ascii="Times New Roman" w:eastAsia="Times New Roman" w:hAnsi="Times New Roman" w:cs="Times New Roman"/>
          <w:sz w:val="24"/>
          <w:szCs w:val="20"/>
        </w:rPr>
        <w:t xml:space="preserve"> that </w:t>
      </w:r>
      <w:r w:rsidRPr="008763C2">
        <w:rPr>
          <w:rFonts w:ascii="Times New Roman" w:eastAsia="Times New Roman" w:hAnsi="Times New Roman" w:cs="Times New Roman"/>
          <w:sz w:val="24"/>
          <w:szCs w:val="20"/>
        </w:rPr>
        <w:t>explain the negative health consequences of cigarette smoking</w:t>
      </w:r>
      <w:r w:rsidR="002232AF">
        <w:rPr>
          <w:rFonts w:ascii="Times New Roman" w:eastAsia="Times New Roman" w:hAnsi="Times New Roman" w:cs="Times New Roman"/>
          <w:sz w:val="24"/>
          <w:szCs w:val="20"/>
        </w:rPr>
        <w:t xml:space="preserve">. </w:t>
      </w:r>
      <w:r w:rsidR="0091267D">
        <w:rPr>
          <w:rFonts w:ascii="Times New Roman" w:eastAsia="Times New Roman" w:hAnsi="Times New Roman" w:cs="Times New Roman"/>
          <w:sz w:val="24"/>
          <w:szCs w:val="20"/>
        </w:rPr>
        <w:t xml:space="preserve"> </w:t>
      </w:r>
      <w:r w:rsidR="002232AF" w:rsidRPr="00BD7E35">
        <w:rPr>
          <w:rFonts w:ascii="Times New Roman" w:eastAsia="Times New Roman" w:hAnsi="Times New Roman" w:cs="Times New Roman"/>
          <w:sz w:val="24"/>
          <w:szCs w:val="20"/>
        </w:rPr>
        <w:t xml:space="preserve">Specifically, this study is designed to determine if the </w:t>
      </w:r>
      <w:r w:rsidR="006961A4">
        <w:rPr>
          <w:rFonts w:ascii="Times New Roman" w:eastAsia="Times New Roman" w:hAnsi="Times New Roman" w:cs="Times New Roman"/>
          <w:sz w:val="24"/>
          <w:szCs w:val="20"/>
        </w:rPr>
        <w:t>GHW</w:t>
      </w:r>
      <w:r w:rsidR="002232AF" w:rsidRPr="00BD7E35">
        <w:rPr>
          <w:rFonts w:ascii="Times New Roman" w:eastAsia="Times New Roman" w:hAnsi="Times New Roman" w:cs="Times New Roman"/>
          <w:sz w:val="24"/>
          <w:szCs w:val="20"/>
        </w:rPr>
        <w:t xml:space="preserve"> being tested </w:t>
      </w:r>
      <w:r w:rsidR="00641A27">
        <w:rPr>
          <w:rFonts w:ascii="Times New Roman" w:eastAsia="Times New Roman" w:hAnsi="Times New Roman" w:cs="Times New Roman"/>
          <w:sz w:val="24"/>
          <w:szCs w:val="24"/>
        </w:rPr>
        <w:t>increase</w:t>
      </w:r>
      <w:r w:rsidRPr="00BD7E35">
        <w:rPr>
          <w:rFonts w:ascii="Times New Roman" w:eastAsia="Times New Roman" w:hAnsi="Times New Roman" w:cs="Times New Roman"/>
          <w:sz w:val="24"/>
          <w:szCs w:val="24"/>
        </w:rPr>
        <w:t xml:space="preserve"> understanding of the </w:t>
      </w:r>
      <w:r w:rsidR="00BD7E35">
        <w:rPr>
          <w:rFonts w:ascii="Times New Roman" w:eastAsia="Times New Roman" w:hAnsi="Times New Roman" w:cs="Times New Roman"/>
          <w:sz w:val="24"/>
          <w:szCs w:val="24"/>
        </w:rPr>
        <w:t>negative health consequences of cigarette smoking</w:t>
      </w:r>
      <w:r w:rsidR="009C0665">
        <w:rPr>
          <w:rFonts w:ascii="Times New Roman" w:eastAsia="Times New Roman" w:hAnsi="Times New Roman" w:cs="Times New Roman"/>
          <w:sz w:val="24"/>
          <w:szCs w:val="24"/>
        </w:rPr>
        <w:t xml:space="preserve"> among study participants</w:t>
      </w:r>
      <w:r w:rsidRPr="008763C2">
        <w:rPr>
          <w:rFonts w:ascii="Times New Roman" w:eastAsia="Times New Roman" w:hAnsi="Times New Roman" w:cs="Times New Roman"/>
          <w:sz w:val="24"/>
          <w:szCs w:val="24"/>
        </w:rPr>
        <w:t>.</w:t>
      </w:r>
      <w:r w:rsidR="00710D44">
        <w:rPr>
          <w:rFonts w:ascii="Times New Roman" w:eastAsia="Times New Roman" w:hAnsi="Times New Roman" w:cs="Times New Roman"/>
          <w:sz w:val="24"/>
          <w:szCs w:val="24"/>
        </w:rPr>
        <w:t xml:space="preserve">  The study is not designed, nor is it the intent of the study, to investigate the effect of these warnings on behavior, behavioral intentions, or emotional reactions.</w:t>
      </w:r>
    </w:p>
    <w:p w14:paraId="117D2E88" w14:textId="7DEA111F" w:rsidR="00D6295C" w:rsidRDefault="009C0665" w:rsidP="00813E76">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Pr>
          <w:rFonts w:ascii="Times New Roman" w:hAnsi="Times New Roman" w:cs="Times New Roman"/>
          <w:iCs/>
          <w:color w:val="000000"/>
          <w:sz w:val="24"/>
          <w:szCs w:val="24"/>
        </w:rPr>
        <w:t>Those who screen into the study and are chosen (i.e., p</w:t>
      </w:r>
      <w:r w:rsidR="00D6295C">
        <w:rPr>
          <w:rFonts w:ascii="Times New Roman" w:hAnsi="Times New Roman" w:cs="Times New Roman"/>
          <w:iCs/>
          <w:color w:val="000000"/>
          <w:sz w:val="24"/>
          <w:szCs w:val="24"/>
        </w:rPr>
        <w:t>articipants</w:t>
      </w:r>
      <w:r>
        <w:rPr>
          <w:rFonts w:ascii="Times New Roman" w:hAnsi="Times New Roman" w:cs="Times New Roman"/>
          <w:iCs/>
          <w:color w:val="000000"/>
          <w:sz w:val="24"/>
          <w:szCs w:val="24"/>
        </w:rPr>
        <w:t>)</w:t>
      </w:r>
      <w:r w:rsidR="00D6295C" w:rsidRPr="00C35984">
        <w:rPr>
          <w:rFonts w:ascii="Times New Roman" w:hAnsi="Times New Roman" w:cs="Times New Roman"/>
          <w:iCs/>
          <w:color w:val="000000"/>
          <w:sz w:val="24"/>
          <w:szCs w:val="24"/>
        </w:rPr>
        <w:t xml:space="preserve"> will be randomized to one of 16 experimental conditions or a control condition with variation in exposure to cigarette warnings</w:t>
      </w:r>
      <w:r w:rsidR="007D0E61">
        <w:rPr>
          <w:rFonts w:ascii="Times New Roman" w:hAnsi="Times New Roman" w:cs="Times New Roman"/>
          <w:iCs/>
          <w:color w:val="000000"/>
          <w:sz w:val="24"/>
          <w:szCs w:val="24"/>
        </w:rPr>
        <w:t xml:space="preserve"> (Table 1 shows the study conditions and planned allocations)</w:t>
      </w:r>
      <w:r w:rsidR="00D6295C" w:rsidRPr="00C35984">
        <w:rPr>
          <w:rFonts w:ascii="Times New Roman" w:hAnsi="Times New Roman" w:cs="Times New Roman"/>
          <w:iCs/>
          <w:color w:val="000000"/>
          <w:sz w:val="24"/>
          <w:szCs w:val="24"/>
        </w:rPr>
        <w:t xml:space="preserve">. </w:t>
      </w:r>
      <w:r w:rsidR="0091267D">
        <w:rPr>
          <w:rFonts w:ascii="Times New Roman" w:hAnsi="Times New Roman" w:cs="Times New Roman"/>
          <w:iCs/>
          <w:color w:val="000000"/>
          <w:sz w:val="24"/>
          <w:szCs w:val="24"/>
        </w:rPr>
        <w:t xml:space="preserve"> </w:t>
      </w:r>
      <w:r w:rsidR="00D6295C" w:rsidRPr="00C35984">
        <w:rPr>
          <w:rFonts w:ascii="Times New Roman" w:hAnsi="Times New Roman" w:cs="Times New Roman"/>
          <w:iCs/>
          <w:color w:val="000000"/>
          <w:sz w:val="24"/>
          <w:szCs w:val="24"/>
        </w:rPr>
        <w:t xml:space="preserve">Participants in each experimental condition will be exposed to one </w:t>
      </w:r>
      <w:r w:rsidR="007651A2">
        <w:rPr>
          <w:rFonts w:ascii="Times New Roman" w:hAnsi="Times New Roman" w:cs="Times New Roman"/>
          <w:iCs/>
          <w:color w:val="000000"/>
          <w:sz w:val="24"/>
          <w:szCs w:val="24"/>
        </w:rPr>
        <w:t>graphic health warning</w:t>
      </w:r>
      <w:r w:rsidR="00D6295C" w:rsidRPr="00C35984">
        <w:rPr>
          <w:rFonts w:ascii="Times New Roman" w:hAnsi="Times New Roman" w:cs="Times New Roman"/>
          <w:iCs/>
          <w:color w:val="000000"/>
          <w:sz w:val="24"/>
          <w:szCs w:val="24"/>
        </w:rPr>
        <w:t xml:space="preserve">, with each condition corresponding to a unique </w:t>
      </w:r>
      <w:r w:rsidR="007651A2">
        <w:rPr>
          <w:rFonts w:ascii="Times New Roman" w:hAnsi="Times New Roman" w:cs="Times New Roman"/>
          <w:iCs/>
          <w:color w:val="000000"/>
          <w:sz w:val="24"/>
          <w:szCs w:val="24"/>
        </w:rPr>
        <w:t>warning</w:t>
      </w:r>
      <w:r w:rsidR="007651A2" w:rsidRPr="00C35984">
        <w:rPr>
          <w:rFonts w:ascii="Times New Roman" w:hAnsi="Times New Roman" w:cs="Times New Roman"/>
          <w:iCs/>
          <w:color w:val="000000"/>
          <w:sz w:val="24"/>
          <w:szCs w:val="24"/>
        </w:rPr>
        <w:t xml:space="preserve"> </w:t>
      </w:r>
      <w:r w:rsidR="00D6295C" w:rsidRPr="00C35984">
        <w:rPr>
          <w:rFonts w:ascii="Times New Roman" w:hAnsi="Times New Roman" w:cs="Times New Roman"/>
          <w:iCs/>
          <w:color w:val="000000"/>
          <w:sz w:val="24"/>
          <w:szCs w:val="24"/>
        </w:rPr>
        <w:t>from a set of 16; participants in the control condition will be exposed to a random selection of one of four</w:t>
      </w:r>
      <w:r w:rsidR="00435A8C">
        <w:rPr>
          <w:rFonts w:ascii="Times New Roman" w:hAnsi="Times New Roman" w:cs="Times New Roman"/>
          <w:iCs/>
          <w:color w:val="000000"/>
          <w:sz w:val="24"/>
          <w:szCs w:val="24"/>
        </w:rPr>
        <w:t xml:space="preserve"> Surgeon General’s (SG)</w:t>
      </w:r>
      <w:r w:rsidR="0073527B">
        <w:rPr>
          <w:rFonts w:ascii="Times New Roman" w:hAnsi="Times New Roman" w:cs="Times New Roman"/>
          <w:iCs/>
          <w:color w:val="000000"/>
          <w:sz w:val="24"/>
          <w:szCs w:val="24"/>
        </w:rPr>
        <w:t xml:space="preserve"> warning</w:t>
      </w:r>
      <w:r w:rsidR="0073527B" w:rsidRPr="00C35984">
        <w:rPr>
          <w:rFonts w:ascii="Times New Roman" w:hAnsi="Times New Roman" w:cs="Times New Roman"/>
          <w:iCs/>
          <w:color w:val="000000"/>
          <w:sz w:val="24"/>
          <w:szCs w:val="24"/>
        </w:rPr>
        <w:t>s</w:t>
      </w:r>
      <w:r w:rsidR="00D6295C" w:rsidRPr="00C35984">
        <w:rPr>
          <w:rFonts w:ascii="Times New Roman" w:hAnsi="Times New Roman" w:cs="Times New Roman"/>
          <w:iCs/>
          <w:color w:val="000000"/>
          <w:sz w:val="24"/>
          <w:szCs w:val="24"/>
        </w:rPr>
        <w:t xml:space="preserve">. </w:t>
      </w:r>
      <w:r w:rsidR="0091267D">
        <w:rPr>
          <w:rFonts w:ascii="Times New Roman" w:hAnsi="Times New Roman" w:cs="Times New Roman"/>
          <w:iCs/>
          <w:color w:val="000000"/>
          <w:sz w:val="24"/>
          <w:szCs w:val="24"/>
        </w:rPr>
        <w:t xml:space="preserve"> </w:t>
      </w:r>
      <w:r w:rsidR="00D6295C" w:rsidRPr="00C35984">
        <w:rPr>
          <w:rFonts w:ascii="Times New Roman" w:hAnsi="Times New Roman" w:cs="Times New Roman"/>
          <w:iCs/>
          <w:color w:val="000000"/>
          <w:sz w:val="24"/>
          <w:szCs w:val="24"/>
        </w:rPr>
        <w:t xml:space="preserve">All stimuli will </w:t>
      </w:r>
      <w:r w:rsidR="0020686C">
        <w:rPr>
          <w:rFonts w:ascii="Times New Roman" w:hAnsi="Times New Roman" w:cs="Times New Roman"/>
          <w:iCs/>
          <w:color w:val="000000"/>
          <w:sz w:val="24"/>
          <w:szCs w:val="24"/>
        </w:rPr>
        <w:t xml:space="preserve">be </w:t>
      </w:r>
      <w:r w:rsidR="00D6295C" w:rsidRPr="00C35984">
        <w:rPr>
          <w:rFonts w:ascii="Times New Roman" w:hAnsi="Times New Roman" w:cs="Times New Roman"/>
          <w:iCs/>
          <w:color w:val="000000"/>
          <w:sz w:val="24"/>
          <w:szCs w:val="24"/>
        </w:rPr>
        <w:t xml:space="preserve">presented sequentially on a mock cigarette package and a mock cigarette advertisement, with the stimuli formats presented in a random order. </w:t>
      </w:r>
      <w:r w:rsidR="0091267D">
        <w:rPr>
          <w:rFonts w:ascii="Times New Roman" w:hAnsi="Times New Roman" w:cs="Times New Roman"/>
          <w:iCs/>
          <w:color w:val="000000"/>
          <w:sz w:val="24"/>
          <w:szCs w:val="24"/>
        </w:rPr>
        <w:t xml:space="preserve"> </w:t>
      </w:r>
      <w:r w:rsidR="00D6295C" w:rsidRPr="00C35984">
        <w:rPr>
          <w:rFonts w:ascii="Times New Roman" w:hAnsi="Times New Roman" w:cs="Times New Roman"/>
          <w:iCs/>
          <w:color w:val="000000"/>
          <w:sz w:val="24"/>
          <w:szCs w:val="24"/>
        </w:rPr>
        <w:t>When viewing the mock cigarette packages, participants will be able to manipulate the package electronically to rotate it 360</w:t>
      </w:r>
      <w:r w:rsidR="006F545F">
        <w:rPr>
          <w:rFonts w:ascii="Times New Roman" w:hAnsi="Times New Roman" w:cs="Times New Roman"/>
          <w:iCs/>
          <w:color w:val="000000"/>
          <w:sz w:val="24"/>
          <w:szCs w:val="24"/>
        </w:rPr>
        <w:t xml:space="preserve"> degrees</w:t>
      </w:r>
      <w:r w:rsidR="006F545F" w:rsidRPr="00C35984">
        <w:rPr>
          <w:rFonts w:ascii="Times New Roman" w:hAnsi="Times New Roman" w:cs="Times New Roman"/>
          <w:iCs/>
          <w:color w:val="000000"/>
          <w:sz w:val="24"/>
          <w:szCs w:val="24"/>
        </w:rPr>
        <w:t xml:space="preserve"> </w:t>
      </w:r>
      <w:r w:rsidR="00D6295C" w:rsidRPr="00C35984">
        <w:rPr>
          <w:rFonts w:ascii="Times New Roman" w:hAnsi="Times New Roman" w:cs="Times New Roman"/>
          <w:iCs/>
          <w:color w:val="000000"/>
          <w:sz w:val="24"/>
          <w:szCs w:val="24"/>
        </w:rPr>
        <w:t xml:space="preserve">to ensure they </w:t>
      </w:r>
      <w:r w:rsidR="0020686C" w:rsidRPr="00C35984">
        <w:rPr>
          <w:rFonts w:ascii="Times New Roman" w:hAnsi="Times New Roman" w:cs="Times New Roman"/>
          <w:iCs/>
          <w:color w:val="000000"/>
          <w:sz w:val="24"/>
          <w:szCs w:val="24"/>
        </w:rPr>
        <w:t>can</w:t>
      </w:r>
      <w:r w:rsidR="00D6295C" w:rsidRPr="00C35984">
        <w:rPr>
          <w:rFonts w:ascii="Times New Roman" w:hAnsi="Times New Roman" w:cs="Times New Roman"/>
          <w:iCs/>
          <w:color w:val="000000"/>
          <w:sz w:val="24"/>
          <w:szCs w:val="24"/>
        </w:rPr>
        <w:t xml:space="preserve"> view all sides of the package</w:t>
      </w:r>
      <w:r w:rsidR="006961A4">
        <w:rPr>
          <w:rFonts w:ascii="Times New Roman" w:hAnsi="Times New Roman" w:cs="Times New Roman"/>
          <w:iCs/>
          <w:color w:val="000000"/>
          <w:sz w:val="24"/>
          <w:szCs w:val="24"/>
        </w:rPr>
        <w:t xml:space="preserve"> and zoom in on the pack or advertisement</w:t>
      </w:r>
      <w:r w:rsidR="00D6295C" w:rsidRPr="00C35984">
        <w:rPr>
          <w:rFonts w:ascii="Times New Roman" w:hAnsi="Times New Roman" w:cs="Times New Roman"/>
          <w:iCs/>
          <w:color w:val="000000"/>
          <w:sz w:val="24"/>
          <w:szCs w:val="24"/>
        </w:rPr>
        <w:t xml:space="preserve">.  </w:t>
      </w:r>
      <w:r w:rsidR="00B13A33" w:rsidRPr="00213FB6">
        <w:rPr>
          <w:rFonts w:ascii="Times New Roman" w:hAnsi="Times New Roman"/>
          <w:iCs/>
          <w:color w:val="000000"/>
          <w:sz w:val="24"/>
          <w:szCs w:val="24"/>
        </w:rPr>
        <w:t xml:space="preserve">The warnings on the mock packages will be placed </w:t>
      </w:r>
      <w:r w:rsidR="00B13A33">
        <w:rPr>
          <w:rFonts w:ascii="Times New Roman" w:hAnsi="Times New Roman"/>
          <w:iCs/>
          <w:color w:val="000000"/>
          <w:sz w:val="24"/>
          <w:szCs w:val="24"/>
        </w:rPr>
        <w:t xml:space="preserve">either </w:t>
      </w:r>
      <w:r w:rsidR="00B13A33" w:rsidRPr="00213FB6">
        <w:rPr>
          <w:rFonts w:ascii="Times New Roman" w:hAnsi="Times New Roman"/>
          <w:iCs/>
          <w:color w:val="000000"/>
          <w:sz w:val="24"/>
          <w:szCs w:val="24"/>
        </w:rPr>
        <w:t>on the upper portion of the front and rear panels of the mock package comprising the top 50 percent of the front and rear panels of the package</w:t>
      </w:r>
      <w:r w:rsidR="00B13A33">
        <w:rPr>
          <w:rFonts w:ascii="Times New Roman" w:hAnsi="Times New Roman"/>
          <w:iCs/>
          <w:color w:val="000000"/>
          <w:sz w:val="24"/>
          <w:szCs w:val="24"/>
        </w:rPr>
        <w:t xml:space="preserve"> (for GHW) or on the side of the package (for Surgeon General’s Warnings)</w:t>
      </w:r>
      <w:r w:rsidR="00B13A33" w:rsidRPr="00213FB6">
        <w:rPr>
          <w:rFonts w:ascii="Times New Roman" w:hAnsi="Times New Roman"/>
          <w:iCs/>
          <w:color w:val="000000"/>
          <w:sz w:val="24"/>
          <w:szCs w:val="24"/>
        </w:rPr>
        <w:t xml:space="preserve">, and all </w:t>
      </w:r>
      <w:r w:rsidR="00B13A33">
        <w:rPr>
          <w:rFonts w:ascii="Times New Roman" w:hAnsi="Times New Roman"/>
          <w:iCs/>
          <w:color w:val="000000"/>
          <w:sz w:val="24"/>
          <w:szCs w:val="24"/>
        </w:rPr>
        <w:t>warning language</w:t>
      </w:r>
      <w:r w:rsidR="00B13A33" w:rsidRPr="00213FB6">
        <w:rPr>
          <w:rFonts w:ascii="Times New Roman" w:hAnsi="Times New Roman"/>
          <w:iCs/>
          <w:color w:val="000000"/>
          <w:sz w:val="24"/>
          <w:szCs w:val="24"/>
        </w:rPr>
        <w:t xml:space="preserve"> will appear as black text on a white background.  The mock advertisements will be full-page magazine-style advertisements</w:t>
      </w:r>
      <w:r w:rsidR="00B13A33">
        <w:rPr>
          <w:rFonts w:ascii="Times New Roman" w:hAnsi="Times New Roman"/>
          <w:iCs/>
          <w:color w:val="000000"/>
          <w:sz w:val="24"/>
          <w:szCs w:val="24"/>
        </w:rPr>
        <w:t>, and</w:t>
      </w:r>
      <w:r w:rsidR="00B13A33" w:rsidRPr="00213FB6">
        <w:rPr>
          <w:rFonts w:ascii="Times New Roman" w:hAnsi="Times New Roman"/>
          <w:iCs/>
          <w:color w:val="000000"/>
          <w:sz w:val="24"/>
          <w:szCs w:val="24"/>
        </w:rPr>
        <w:t xml:space="preserve"> the warnings will appear on the top 20 percent of the advertisement</w:t>
      </w:r>
      <w:r w:rsidR="00B13A33">
        <w:rPr>
          <w:rFonts w:ascii="Times New Roman" w:hAnsi="Times New Roman"/>
          <w:iCs/>
          <w:color w:val="000000"/>
          <w:sz w:val="24"/>
          <w:szCs w:val="24"/>
        </w:rPr>
        <w:t xml:space="preserve"> (for GHW) or the bottom of the advertisement as per current warning placement practice in accordance with FCLAA and FTC formatting specifications (for Surgeon General’s Warnings)</w:t>
      </w:r>
      <w:r w:rsidR="00B13A33" w:rsidRPr="00213FB6">
        <w:rPr>
          <w:rFonts w:ascii="Times New Roman" w:hAnsi="Times New Roman"/>
          <w:iCs/>
          <w:color w:val="000000"/>
          <w:sz w:val="24"/>
          <w:szCs w:val="24"/>
        </w:rPr>
        <w:t>.</w:t>
      </w:r>
      <w:r w:rsidR="00D6295C" w:rsidRPr="00C35984">
        <w:rPr>
          <w:rFonts w:ascii="Times New Roman" w:hAnsi="Times New Roman" w:cs="Times New Roman"/>
          <w:iCs/>
          <w:color w:val="000000"/>
          <w:sz w:val="24"/>
          <w:szCs w:val="24"/>
        </w:rPr>
        <w:t xml:space="preserve">  The stimuli for all conditions can be found in the Stimuli document</w:t>
      </w:r>
      <w:r w:rsidR="006F545F">
        <w:rPr>
          <w:rFonts w:ascii="Times New Roman" w:hAnsi="Times New Roman" w:cs="Times New Roman"/>
          <w:iCs/>
          <w:color w:val="000000"/>
          <w:sz w:val="24"/>
          <w:szCs w:val="24"/>
        </w:rPr>
        <w:t>.</w:t>
      </w:r>
    </w:p>
    <w:p w14:paraId="0A6ED201" w14:textId="77777777" w:rsidR="00470F29" w:rsidRPr="00FA0801" w:rsidRDefault="00CE7910"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In th</w:t>
      </w:r>
      <w:r w:rsidRPr="00FA0801">
        <w:rPr>
          <w:rFonts w:ascii="Times New Roman" w:eastAsia="Times New Roman" w:hAnsi="Times New Roman" w:cs="Times New Roman"/>
          <w:sz w:val="24"/>
          <w:szCs w:val="20"/>
        </w:rPr>
        <w:t>e first part of the study</w:t>
      </w:r>
      <w:r w:rsidR="0001527C" w:rsidRPr="00FA0801">
        <w:rPr>
          <w:rFonts w:ascii="Times New Roman" w:eastAsia="Times New Roman" w:hAnsi="Times New Roman" w:cs="Times New Roman"/>
          <w:sz w:val="24"/>
          <w:szCs w:val="20"/>
        </w:rPr>
        <w:t xml:space="preserve"> (</w:t>
      </w:r>
      <w:r w:rsidR="006F545F" w:rsidRPr="00124FE8">
        <w:rPr>
          <w:rFonts w:ascii="Times New Roman" w:eastAsia="Times New Roman" w:hAnsi="Times New Roman" w:cs="Times New Roman"/>
          <w:sz w:val="24"/>
          <w:szCs w:val="20"/>
        </w:rPr>
        <w:t xml:space="preserve">Session </w:t>
      </w:r>
      <w:r w:rsidR="004C5704" w:rsidRPr="00414EE5">
        <w:rPr>
          <w:rFonts w:ascii="Times New Roman" w:eastAsia="Times New Roman" w:hAnsi="Times New Roman" w:cs="Times New Roman"/>
          <w:sz w:val="24"/>
          <w:szCs w:val="20"/>
        </w:rPr>
        <w:t>1</w:t>
      </w:r>
      <w:r w:rsidR="0001527C" w:rsidRPr="00414EE5">
        <w:rPr>
          <w:rFonts w:ascii="Times New Roman" w:eastAsia="Times New Roman" w:hAnsi="Times New Roman" w:cs="Times New Roman"/>
          <w:sz w:val="24"/>
          <w:szCs w:val="20"/>
        </w:rPr>
        <w:t>)</w:t>
      </w:r>
      <w:r w:rsidRPr="00D41731">
        <w:rPr>
          <w:rFonts w:ascii="Times New Roman" w:eastAsia="Times New Roman" w:hAnsi="Times New Roman" w:cs="Times New Roman"/>
          <w:sz w:val="24"/>
          <w:szCs w:val="20"/>
        </w:rPr>
        <w:t>,</w:t>
      </w:r>
      <w:r w:rsidR="0001527C" w:rsidRPr="00D41731">
        <w:rPr>
          <w:rFonts w:ascii="Times New Roman" w:eastAsia="Times New Roman" w:hAnsi="Times New Roman" w:cs="Times New Roman"/>
          <w:sz w:val="24"/>
          <w:szCs w:val="20"/>
        </w:rPr>
        <w:t xml:space="preserve"> all participants will complete a </w:t>
      </w:r>
      <w:r w:rsidR="0001527C" w:rsidRPr="00936BD6">
        <w:rPr>
          <w:rFonts w:ascii="Times New Roman" w:eastAsia="Times New Roman" w:hAnsi="Times New Roman" w:cs="Times New Roman"/>
          <w:sz w:val="24"/>
          <w:szCs w:val="20"/>
        </w:rPr>
        <w:t xml:space="preserve">baseline </w:t>
      </w:r>
      <w:r w:rsidR="0039583D">
        <w:rPr>
          <w:rFonts w:ascii="Times New Roman" w:eastAsia="Times New Roman" w:hAnsi="Times New Roman" w:cs="Times New Roman"/>
          <w:sz w:val="24"/>
          <w:szCs w:val="20"/>
        </w:rPr>
        <w:t xml:space="preserve">assessment of their </w:t>
      </w:r>
      <w:r w:rsidR="007651A2">
        <w:rPr>
          <w:rFonts w:ascii="Times New Roman" w:eastAsia="Times New Roman" w:hAnsi="Times New Roman" w:cs="Times New Roman"/>
          <w:sz w:val="24"/>
          <w:szCs w:val="20"/>
        </w:rPr>
        <w:t>beliefs about</w:t>
      </w:r>
      <w:r w:rsidR="0001527C" w:rsidRPr="00B321B9">
        <w:rPr>
          <w:rFonts w:ascii="Times New Roman" w:eastAsia="Times New Roman" w:hAnsi="Times New Roman" w:cs="Times New Roman"/>
          <w:sz w:val="24"/>
          <w:szCs w:val="20"/>
        </w:rPr>
        <w:t xml:space="preserve"> the negative health </w:t>
      </w:r>
      <w:r w:rsidR="00A64B78">
        <w:rPr>
          <w:rFonts w:ascii="Times New Roman" w:eastAsia="Times New Roman" w:hAnsi="Times New Roman" w:cs="Times New Roman"/>
          <w:sz w:val="24"/>
          <w:szCs w:val="20"/>
        </w:rPr>
        <w:t xml:space="preserve">consequences of </w:t>
      </w:r>
      <w:r w:rsidR="00F159A9" w:rsidRPr="00FA0801">
        <w:rPr>
          <w:rFonts w:ascii="Times New Roman" w:eastAsia="Times New Roman" w:hAnsi="Times New Roman" w:cs="Times New Roman"/>
          <w:sz w:val="24"/>
          <w:szCs w:val="20"/>
        </w:rPr>
        <w:t>cigarette</w:t>
      </w:r>
      <w:r w:rsidR="0001527C" w:rsidRPr="00FA0801">
        <w:rPr>
          <w:rFonts w:ascii="Times New Roman" w:eastAsia="Times New Roman" w:hAnsi="Times New Roman" w:cs="Times New Roman"/>
          <w:sz w:val="24"/>
          <w:szCs w:val="20"/>
        </w:rPr>
        <w:t xml:space="preserve"> smoking</w:t>
      </w:r>
      <w:r w:rsidR="001C6868" w:rsidRPr="00FA0801">
        <w:rPr>
          <w:rFonts w:ascii="Times New Roman" w:eastAsia="Times New Roman" w:hAnsi="Times New Roman" w:cs="Times New Roman"/>
          <w:sz w:val="24"/>
          <w:szCs w:val="20"/>
        </w:rPr>
        <w:t xml:space="preserve">, followed by initial cigarette warning stimuli exposure according to study condition assignment and an assessment </w:t>
      </w:r>
      <w:r w:rsidR="001C6868" w:rsidRPr="00A1039B">
        <w:rPr>
          <w:rFonts w:ascii="Times New Roman" w:eastAsia="Times New Roman" w:hAnsi="Times New Roman" w:cs="Times New Roman"/>
          <w:sz w:val="24"/>
          <w:szCs w:val="20"/>
        </w:rPr>
        <w:t xml:space="preserve">of </w:t>
      </w:r>
      <w:r w:rsidR="00A1039B" w:rsidRPr="00A1039B">
        <w:rPr>
          <w:rFonts w:ascii="Times New Roman" w:hAnsi="Times New Roman" w:cs="Times New Roman"/>
          <w:sz w:val="24"/>
          <w:szCs w:val="24"/>
        </w:rPr>
        <w:t xml:space="preserve">(a) if the information presented in the warning was new; (b) self-reported learning from the warning; (c) </w:t>
      </w:r>
      <w:r w:rsidR="00A1039B" w:rsidRPr="00A1039B">
        <w:rPr>
          <w:rFonts w:ascii="Times New Roman" w:hAnsi="Times New Roman" w:cs="Times New Roman"/>
          <w:sz w:val="24"/>
        </w:rPr>
        <w:t>if the warning was easy to understand; (d) if the warning was perceived to be a fact or an opinion; (e) if the warning was informative; (f) if the warning grabbed their attention; and (g) if the warning made them think about the health risks of smoking.</w:t>
      </w:r>
      <w:r w:rsidR="0001527C" w:rsidRPr="00FA0801">
        <w:rPr>
          <w:rFonts w:ascii="Times New Roman" w:eastAsia="Times New Roman" w:hAnsi="Times New Roman" w:cs="Times New Roman"/>
          <w:sz w:val="24"/>
          <w:szCs w:val="20"/>
        </w:rPr>
        <w:t xml:space="preserve"> </w:t>
      </w:r>
    </w:p>
    <w:p w14:paraId="587B257C" w14:textId="77777777" w:rsidR="002232AF" w:rsidRPr="00FA0801" w:rsidRDefault="0001527C"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124FE8">
        <w:rPr>
          <w:rFonts w:ascii="Times New Roman" w:eastAsia="Times New Roman" w:hAnsi="Times New Roman" w:cs="Times New Roman"/>
          <w:sz w:val="24"/>
          <w:szCs w:val="20"/>
        </w:rPr>
        <w:t>In the second part of the study (</w:t>
      </w:r>
      <w:r w:rsidR="004542FE" w:rsidRPr="00D41731">
        <w:rPr>
          <w:rFonts w:ascii="Times New Roman" w:eastAsia="Times New Roman" w:hAnsi="Times New Roman" w:cs="Times New Roman"/>
          <w:sz w:val="24"/>
          <w:szCs w:val="20"/>
        </w:rPr>
        <w:t>Session 2), one to two days after Session 1</w:t>
      </w:r>
      <w:r w:rsidR="004542FE" w:rsidRPr="00936BD6">
        <w:rPr>
          <w:rFonts w:ascii="Times New Roman" w:eastAsia="Times New Roman" w:hAnsi="Times New Roman" w:cs="Times New Roman"/>
          <w:sz w:val="24"/>
          <w:szCs w:val="20"/>
        </w:rPr>
        <w:t xml:space="preserve">, </w:t>
      </w:r>
      <w:r w:rsidRPr="00B321B9">
        <w:rPr>
          <w:rFonts w:ascii="Times New Roman" w:eastAsia="Times New Roman" w:hAnsi="Times New Roman" w:cs="Times New Roman"/>
          <w:sz w:val="24"/>
          <w:szCs w:val="20"/>
        </w:rPr>
        <w:t xml:space="preserve">participants will be </w:t>
      </w:r>
      <w:r w:rsidR="00A31AFD" w:rsidRPr="00B321B9">
        <w:rPr>
          <w:rFonts w:ascii="Times New Roman" w:eastAsia="Times New Roman" w:hAnsi="Times New Roman" w:cs="Times New Roman"/>
          <w:sz w:val="24"/>
          <w:szCs w:val="20"/>
        </w:rPr>
        <w:t>re-</w:t>
      </w:r>
      <w:r w:rsidRPr="00B321B9">
        <w:rPr>
          <w:rFonts w:ascii="Times New Roman" w:eastAsia="Times New Roman" w:hAnsi="Times New Roman" w:cs="Times New Roman"/>
          <w:sz w:val="24"/>
          <w:szCs w:val="20"/>
        </w:rPr>
        <w:t>exposed to the stimuli (based on condition assignment</w:t>
      </w:r>
      <w:r w:rsidR="00F159A9" w:rsidRPr="00FA0801">
        <w:rPr>
          <w:rFonts w:ascii="Times New Roman" w:eastAsia="Times New Roman" w:hAnsi="Times New Roman" w:cs="Times New Roman"/>
          <w:sz w:val="24"/>
          <w:szCs w:val="20"/>
        </w:rPr>
        <w:t>; see T</w:t>
      </w:r>
      <w:r w:rsidRPr="00FA0801">
        <w:rPr>
          <w:rFonts w:ascii="Times New Roman" w:eastAsia="Times New Roman" w:hAnsi="Times New Roman" w:cs="Times New Roman"/>
          <w:sz w:val="24"/>
          <w:szCs w:val="20"/>
        </w:rPr>
        <w:t xml:space="preserve">able </w:t>
      </w:r>
      <w:r w:rsidR="00F159A9" w:rsidRPr="00FA0801">
        <w:rPr>
          <w:rFonts w:ascii="Times New Roman" w:eastAsia="Times New Roman" w:hAnsi="Times New Roman" w:cs="Times New Roman"/>
          <w:sz w:val="24"/>
          <w:szCs w:val="20"/>
        </w:rPr>
        <w:t>1</w:t>
      </w:r>
      <w:r w:rsidRPr="00FA0801">
        <w:rPr>
          <w:rFonts w:ascii="Times New Roman" w:eastAsia="Times New Roman" w:hAnsi="Times New Roman" w:cs="Times New Roman"/>
          <w:sz w:val="24"/>
          <w:szCs w:val="20"/>
        </w:rPr>
        <w:t xml:space="preserve">) and complete </w:t>
      </w:r>
      <w:r w:rsidR="002F18F4">
        <w:rPr>
          <w:rFonts w:ascii="Times New Roman" w:eastAsia="Times New Roman" w:hAnsi="Times New Roman" w:cs="Times New Roman"/>
          <w:sz w:val="24"/>
          <w:szCs w:val="20"/>
        </w:rPr>
        <w:t xml:space="preserve">a </w:t>
      </w:r>
      <w:r w:rsidR="004542FE" w:rsidRPr="00FA0801">
        <w:rPr>
          <w:rFonts w:ascii="Times New Roman" w:eastAsia="Times New Roman" w:hAnsi="Times New Roman" w:cs="Times New Roman"/>
          <w:sz w:val="24"/>
          <w:szCs w:val="20"/>
        </w:rPr>
        <w:t xml:space="preserve">follow-up </w:t>
      </w:r>
      <w:r w:rsidR="002F18F4">
        <w:rPr>
          <w:rFonts w:ascii="Times New Roman" w:eastAsia="Times New Roman" w:hAnsi="Times New Roman" w:cs="Times New Roman"/>
          <w:sz w:val="24"/>
          <w:szCs w:val="20"/>
        </w:rPr>
        <w:t xml:space="preserve">questionnaire </w:t>
      </w:r>
      <w:r w:rsidR="00470F29" w:rsidRPr="00FA0801">
        <w:rPr>
          <w:rFonts w:ascii="Times New Roman" w:eastAsia="Times New Roman" w:hAnsi="Times New Roman" w:cs="Times New Roman"/>
          <w:sz w:val="24"/>
          <w:szCs w:val="20"/>
        </w:rPr>
        <w:t xml:space="preserve">assessing </w:t>
      </w:r>
      <w:r w:rsidR="00FA0801" w:rsidRPr="00FA0801">
        <w:rPr>
          <w:rFonts w:ascii="Times New Roman" w:eastAsia="Times New Roman" w:hAnsi="Times New Roman" w:cs="Times New Roman"/>
          <w:sz w:val="24"/>
          <w:szCs w:val="20"/>
        </w:rPr>
        <w:t xml:space="preserve">beliefs </w:t>
      </w:r>
      <w:r w:rsidR="00A1039B">
        <w:rPr>
          <w:rFonts w:ascii="Times New Roman" w:eastAsia="Times New Roman" w:hAnsi="Times New Roman" w:cs="Times New Roman"/>
          <w:sz w:val="24"/>
          <w:szCs w:val="20"/>
        </w:rPr>
        <w:t>about</w:t>
      </w:r>
      <w:r w:rsidR="00A1039B" w:rsidRPr="00FA0801">
        <w:rPr>
          <w:rFonts w:ascii="Times New Roman" w:eastAsia="Times New Roman" w:hAnsi="Times New Roman" w:cs="Times New Roman"/>
          <w:sz w:val="24"/>
          <w:szCs w:val="20"/>
        </w:rPr>
        <w:t xml:space="preserve"> </w:t>
      </w:r>
      <w:r w:rsidR="00470F29" w:rsidRPr="00FA0801">
        <w:rPr>
          <w:rFonts w:ascii="Times New Roman" w:eastAsia="Times New Roman" w:hAnsi="Times New Roman" w:cs="Times New Roman"/>
          <w:sz w:val="24"/>
          <w:szCs w:val="20"/>
        </w:rPr>
        <w:t xml:space="preserve">the negative health </w:t>
      </w:r>
      <w:r w:rsidR="00A1039B">
        <w:rPr>
          <w:rFonts w:ascii="Times New Roman" w:eastAsia="Times New Roman" w:hAnsi="Times New Roman" w:cs="Times New Roman"/>
          <w:sz w:val="24"/>
          <w:szCs w:val="20"/>
        </w:rPr>
        <w:t>consequences of</w:t>
      </w:r>
      <w:r w:rsidR="00F159A9" w:rsidRPr="00FA0801">
        <w:rPr>
          <w:rFonts w:ascii="Times New Roman" w:eastAsia="Times New Roman" w:hAnsi="Times New Roman" w:cs="Times New Roman"/>
          <w:sz w:val="24"/>
          <w:szCs w:val="20"/>
        </w:rPr>
        <w:t xml:space="preserve"> cigarette</w:t>
      </w:r>
      <w:r w:rsidR="00470F29" w:rsidRPr="00FA0801">
        <w:rPr>
          <w:rFonts w:ascii="Times New Roman" w:eastAsia="Times New Roman" w:hAnsi="Times New Roman" w:cs="Times New Roman"/>
          <w:sz w:val="24"/>
          <w:szCs w:val="20"/>
        </w:rPr>
        <w:t xml:space="preserve"> smoking. </w:t>
      </w:r>
    </w:p>
    <w:p w14:paraId="0759FDF0" w14:textId="77777777" w:rsidR="00470F29" w:rsidRPr="00B321B9" w:rsidRDefault="00470F29"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FA0801">
        <w:rPr>
          <w:rFonts w:ascii="Times New Roman" w:eastAsia="Times New Roman" w:hAnsi="Times New Roman" w:cs="Times New Roman"/>
          <w:sz w:val="24"/>
          <w:szCs w:val="20"/>
        </w:rPr>
        <w:t>In the final part of the study</w:t>
      </w:r>
      <w:r w:rsidR="004542FE" w:rsidRPr="00FA0801">
        <w:rPr>
          <w:rFonts w:ascii="Times New Roman" w:eastAsia="Times New Roman" w:hAnsi="Times New Roman" w:cs="Times New Roman"/>
          <w:sz w:val="24"/>
          <w:szCs w:val="20"/>
        </w:rPr>
        <w:t xml:space="preserve"> (Session 3),</w:t>
      </w:r>
      <w:r w:rsidRPr="00FA0801">
        <w:rPr>
          <w:rFonts w:ascii="Times New Roman" w:eastAsia="Times New Roman" w:hAnsi="Times New Roman" w:cs="Times New Roman"/>
          <w:sz w:val="24"/>
          <w:szCs w:val="20"/>
        </w:rPr>
        <w:t xml:space="preserve"> approximately </w:t>
      </w:r>
      <w:r w:rsidR="004542FE" w:rsidRPr="00FA0801">
        <w:rPr>
          <w:rFonts w:ascii="Times New Roman" w:eastAsia="Times New Roman" w:hAnsi="Times New Roman" w:cs="Times New Roman"/>
          <w:sz w:val="24"/>
          <w:szCs w:val="20"/>
        </w:rPr>
        <w:t>14 days</w:t>
      </w:r>
      <w:r w:rsidRPr="00FA0801">
        <w:rPr>
          <w:rFonts w:ascii="Times New Roman" w:eastAsia="Times New Roman" w:hAnsi="Times New Roman" w:cs="Times New Roman"/>
          <w:sz w:val="24"/>
          <w:szCs w:val="20"/>
        </w:rPr>
        <w:t xml:space="preserve"> after </w:t>
      </w:r>
      <w:r w:rsidR="004542FE" w:rsidRPr="00FA0801">
        <w:rPr>
          <w:rFonts w:ascii="Times New Roman" w:eastAsia="Times New Roman" w:hAnsi="Times New Roman" w:cs="Times New Roman"/>
          <w:sz w:val="24"/>
          <w:szCs w:val="20"/>
        </w:rPr>
        <w:t>Session 2</w:t>
      </w:r>
      <w:r w:rsidRPr="00FA0801">
        <w:rPr>
          <w:rFonts w:ascii="Times New Roman" w:eastAsia="Times New Roman" w:hAnsi="Times New Roman" w:cs="Times New Roman"/>
          <w:sz w:val="24"/>
          <w:szCs w:val="20"/>
        </w:rPr>
        <w:t xml:space="preserve">, participants will complete items assessing recall of the warnings and a delayed post-test on </w:t>
      </w:r>
      <w:r w:rsidR="00FA0801" w:rsidRPr="00FA0801">
        <w:rPr>
          <w:rFonts w:ascii="Times New Roman" w:hAnsi="Times New Roman" w:cs="Times New Roman"/>
          <w:sz w:val="24"/>
          <w:szCs w:val="24"/>
        </w:rPr>
        <w:t>beliefs about the negative health consequences</w:t>
      </w:r>
      <w:r w:rsidR="00FA0801" w:rsidRPr="00FA0801" w:rsidDel="00764BDC">
        <w:rPr>
          <w:rFonts w:ascii="Times New Roman" w:hAnsi="Times New Roman" w:cs="Times New Roman"/>
          <w:sz w:val="24"/>
          <w:szCs w:val="24"/>
        </w:rPr>
        <w:t xml:space="preserve"> </w:t>
      </w:r>
      <w:r w:rsidR="00A1039B">
        <w:rPr>
          <w:rFonts w:ascii="Times New Roman" w:hAnsi="Times New Roman" w:cs="Times New Roman"/>
          <w:sz w:val="24"/>
          <w:szCs w:val="24"/>
        </w:rPr>
        <w:t>of</w:t>
      </w:r>
      <w:r w:rsidR="00FA0801" w:rsidRPr="00FA0801">
        <w:rPr>
          <w:rFonts w:ascii="Times New Roman" w:hAnsi="Times New Roman" w:cs="Times New Roman"/>
          <w:sz w:val="24"/>
          <w:szCs w:val="24"/>
        </w:rPr>
        <w:t xml:space="preserve"> cigarette smoking</w:t>
      </w:r>
      <w:r w:rsidRPr="00B321B9">
        <w:rPr>
          <w:rFonts w:ascii="Times New Roman" w:eastAsia="Times New Roman" w:hAnsi="Times New Roman" w:cs="Times New Roman"/>
          <w:sz w:val="24"/>
          <w:szCs w:val="20"/>
        </w:rPr>
        <w:t>.</w:t>
      </w:r>
    </w:p>
    <w:p w14:paraId="226F8547" w14:textId="6A9342CE" w:rsidR="00BB31AA" w:rsidRPr="00BB31AA" w:rsidRDefault="00853303" w:rsidP="00BB31AA">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4"/>
        </w:rPr>
      </w:pPr>
      <w:r w:rsidRPr="00B321B9">
        <w:rPr>
          <w:rFonts w:ascii="Times New Roman" w:eastAsia="Times New Roman" w:hAnsi="Times New Roman" w:cs="Times New Roman"/>
          <w:sz w:val="24"/>
          <w:szCs w:val="20"/>
        </w:rPr>
        <w:t>Analyses involve (1) a pre-post comparison to assess the ext</w:t>
      </w:r>
      <w:r w:rsidRPr="00C87772">
        <w:rPr>
          <w:rFonts w:ascii="Times New Roman" w:eastAsia="Times New Roman" w:hAnsi="Times New Roman" w:cs="Times New Roman"/>
          <w:sz w:val="24"/>
          <w:szCs w:val="20"/>
        </w:rPr>
        <w:t xml:space="preserve">ent to which exposure to either the </w:t>
      </w:r>
      <w:r w:rsidR="00F63807">
        <w:rPr>
          <w:rFonts w:ascii="Times New Roman" w:eastAsia="Times New Roman" w:hAnsi="Times New Roman" w:cs="Times New Roman"/>
          <w:sz w:val="24"/>
          <w:szCs w:val="20"/>
        </w:rPr>
        <w:t>GHW</w:t>
      </w:r>
      <w:r w:rsidRPr="00C87772">
        <w:rPr>
          <w:rFonts w:ascii="Times New Roman" w:eastAsia="Times New Roman" w:hAnsi="Times New Roman" w:cs="Times New Roman"/>
          <w:sz w:val="24"/>
          <w:szCs w:val="20"/>
        </w:rPr>
        <w:t xml:space="preserve"> or </w:t>
      </w:r>
      <w:r w:rsidR="00CC1F31">
        <w:rPr>
          <w:rFonts w:ascii="Times New Roman" w:eastAsia="Times New Roman" w:hAnsi="Times New Roman" w:cs="Times New Roman"/>
          <w:sz w:val="24"/>
          <w:szCs w:val="20"/>
        </w:rPr>
        <w:t>SG</w:t>
      </w:r>
      <w:r w:rsidRPr="00C87772">
        <w:rPr>
          <w:rFonts w:ascii="Times New Roman" w:eastAsia="Times New Roman" w:hAnsi="Times New Roman" w:cs="Times New Roman"/>
          <w:sz w:val="24"/>
          <w:szCs w:val="20"/>
        </w:rPr>
        <w:t xml:space="preserve"> </w:t>
      </w:r>
      <w:r w:rsidR="0073527B">
        <w:rPr>
          <w:rFonts w:ascii="Times New Roman" w:eastAsia="Times New Roman" w:hAnsi="Times New Roman" w:cs="Times New Roman"/>
          <w:sz w:val="24"/>
          <w:szCs w:val="20"/>
        </w:rPr>
        <w:t>warnings</w:t>
      </w:r>
      <w:r w:rsidRPr="00C87772">
        <w:rPr>
          <w:rFonts w:ascii="Times New Roman" w:eastAsia="Times New Roman" w:hAnsi="Times New Roman" w:cs="Times New Roman"/>
          <w:sz w:val="24"/>
          <w:szCs w:val="20"/>
        </w:rPr>
        <w:t xml:space="preserve"> result in a change in understanding about the negative health </w:t>
      </w:r>
      <w:r w:rsidR="00923AA5">
        <w:rPr>
          <w:rFonts w:ascii="Times New Roman" w:eastAsia="Times New Roman" w:hAnsi="Times New Roman" w:cs="Times New Roman"/>
          <w:sz w:val="24"/>
          <w:szCs w:val="20"/>
        </w:rPr>
        <w:t>consequences of</w:t>
      </w:r>
      <w:r w:rsidRPr="00C87772">
        <w:rPr>
          <w:rFonts w:ascii="Times New Roman" w:eastAsia="Times New Roman" w:hAnsi="Times New Roman" w:cs="Times New Roman"/>
          <w:sz w:val="24"/>
          <w:szCs w:val="20"/>
        </w:rPr>
        <w:t xml:space="preserve"> cigarette smoking</w:t>
      </w:r>
      <w:r w:rsidR="00923AA5">
        <w:rPr>
          <w:rFonts w:ascii="Times New Roman" w:eastAsia="Times New Roman" w:hAnsi="Times New Roman" w:cs="Times New Roman"/>
          <w:sz w:val="24"/>
          <w:szCs w:val="20"/>
        </w:rPr>
        <w:t>;</w:t>
      </w:r>
      <w:r w:rsidRPr="00C87772">
        <w:rPr>
          <w:rFonts w:ascii="Times New Roman" w:eastAsia="Times New Roman" w:hAnsi="Times New Roman" w:cs="Times New Roman"/>
          <w:sz w:val="24"/>
          <w:szCs w:val="20"/>
        </w:rPr>
        <w:t xml:space="preserve"> </w:t>
      </w:r>
      <w:r w:rsidR="00FA0801">
        <w:rPr>
          <w:rFonts w:ascii="Times New Roman" w:eastAsia="Times New Roman" w:hAnsi="Times New Roman" w:cs="Times New Roman"/>
          <w:sz w:val="24"/>
          <w:szCs w:val="20"/>
        </w:rPr>
        <w:t>and</w:t>
      </w:r>
      <w:r w:rsidR="00FA0801" w:rsidRPr="00C87772">
        <w:rPr>
          <w:rFonts w:ascii="Times New Roman" w:eastAsia="Times New Roman" w:hAnsi="Times New Roman" w:cs="Times New Roman"/>
          <w:sz w:val="24"/>
          <w:szCs w:val="20"/>
        </w:rPr>
        <w:t xml:space="preserve"> </w:t>
      </w:r>
      <w:r w:rsidRPr="00C87772">
        <w:rPr>
          <w:rFonts w:ascii="Times New Roman" w:eastAsia="Times New Roman" w:hAnsi="Times New Roman" w:cs="Times New Roman"/>
          <w:sz w:val="24"/>
          <w:szCs w:val="20"/>
        </w:rPr>
        <w:t xml:space="preserve">(2) a comparison of exposure to the </w:t>
      </w:r>
      <w:r w:rsidR="00F63807">
        <w:rPr>
          <w:rFonts w:ascii="Times New Roman" w:eastAsia="Times New Roman" w:hAnsi="Times New Roman" w:cs="Times New Roman"/>
          <w:sz w:val="24"/>
          <w:szCs w:val="20"/>
        </w:rPr>
        <w:t>GHW</w:t>
      </w:r>
      <w:r w:rsidRPr="00C87772">
        <w:rPr>
          <w:rFonts w:ascii="Times New Roman" w:eastAsia="Times New Roman" w:hAnsi="Times New Roman" w:cs="Times New Roman"/>
          <w:sz w:val="24"/>
          <w:szCs w:val="20"/>
        </w:rPr>
        <w:t xml:space="preserve"> condition to the </w:t>
      </w:r>
      <w:r w:rsidR="00F63807">
        <w:rPr>
          <w:rFonts w:ascii="Times New Roman" w:eastAsia="Times New Roman" w:hAnsi="Times New Roman" w:cs="Times New Roman"/>
          <w:sz w:val="24"/>
          <w:szCs w:val="20"/>
        </w:rPr>
        <w:t>SG</w:t>
      </w:r>
      <w:r w:rsidR="00435A8C">
        <w:rPr>
          <w:rFonts w:ascii="Times New Roman" w:eastAsia="Times New Roman" w:hAnsi="Times New Roman" w:cs="Times New Roman"/>
          <w:sz w:val="24"/>
          <w:szCs w:val="20"/>
        </w:rPr>
        <w:t xml:space="preserve"> </w:t>
      </w:r>
      <w:r w:rsidR="0073527B">
        <w:rPr>
          <w:rFonts w:ascii="Times New Roman" w:eastAsia="Times New Roman" w:hAnsi="Times New Roman" w:cs="Times New Roman"/>
          <w:sz w:val="24"/>
          <w:szCs w:val="20"/>
        </w:rPr>
        <w:t xml:space="preserve">warnings </w:t>
      </w:r>
      <w:r w:rsidRPr="00C87772">
        <w:rPr>
          <w:rFonts w:ascii="Times New Roman" w:eastAsia="Times New Roman" w:hAnsi="Times New Roman" w:cs="Times New Roman"/>
          <w:sz w:val="24"/>
          <w:szCs w:val="20"/>
        </w:rPr>
        <w:t xml:space="preserve">condition </w:t>
      </w:r>
      <w:r w:rsidRPr="00813E76">
        <w:rPr>
          <w:rFonts w:ascii="Times New Roman" w:eastAsia="Times New Roman" w:hAnsi="Times New Roman" w:cs="Times New Roman"/>
          <w:sz w:val="24"/>
          <w:szCs w:val="20"/>
        </w:rPr>
        <w:t xml:space="preserve">to assess the ability of the </w:t>
      </w:r>
      <w:r w:rsidR="00F63807">
        <w:rPr>
          <w:rFonts w:ascii="Times New Roman" w:eastAsia="Times New Roman" w:hAnsi="Times New Roman" w:cs="Times New Roman"/>
          <w:sz w:val="24"/>
          <w:szCs w:val="20"/>
        </w:rPr>
        <w:t>GHW</w:t>
      </w:r>
      <w:r w:rsidRPr="00813E76">
        <w:rPr>
          <w:rFonts w:ascii="Times New Roman" w:eastAsia="Times New Roman" w:hAnsi="Times New Roman" w:cs="Times New Roman"/>
          <w:sz w:val="24"/>
          <w:szCs w:val="20"/>
        </w:rPr>
        <w:t xml:space="preserve"> to </w:t>
      </w:r>
      <w:r w:rsidR="00641A27">
        <w:rPr>
          <w:rFonts w:ascii="Times New Roman" w:eastAsia="Times New Roman" w:hAnsi="Times New Roman" w:cs="Times New Roman"/>
          <w:sz w:val="24"/>
          <w:szCs w:val="20"/>
        </w:rPr>
        <w:t xml:space="preserve">increase </w:t>
      </w:r>
      <w:r w:rsidRPr="00813E76">
        <w:rPr>
          <w:rFonts w:ascii="Times New Roman" w:eastAsia="Times New Roman" w:hAnsi="Times New Roman" w:cs="Times New Roman"/>
          <w:sz w:val="24"/>
          <w:szCs w:val="20"/>
        </w:rPr>
        <w:t xml:space="preserve">understanding </w:t>
      </w:r>
      <w:r w:rsidRPr="00BB31AA">
        <w:rPr>
          <w:rFonts w:ascii="Times New Roman" w:eastAsia="Times New Roman" w:hAnsi="Times New Roman" w:cs="Times New Roman"/>
          <w:sz w:val="24"/>
          <w:szCs w:val="24"/>
        </w:rPr>
        <w:t xml:space="preserve">about the negative health </w:t>
      </w:r>
      <w:r w:rsidR="00923AA5" w:rsidRPr="00BB31AA">
        <w:rPr>
          <w:rFonts w:ascii="Times New Roman" w:eastAsia="Times New Roman" w:hAnsi="Times New Roman" w:cs="Times New Roman"/>
          <w:sz w:val="24"/>
          <w:szCs w:val="24"/>
        </w:rPr>
        <w:t>consequences of</w:t>
      </w:r>
      <w:r w:rsidRPr="00BB31AA">
        <w:rPr>
          <w:rFonts w:ascii="Times New Roman" w:eastAsia="Times New Roman" w:hAnsi="Times New Roman" w:cs="Times New Roman"/>
          <w:sz w:val="24"/>
          <w:szCs w:val="24"/>
        </w:rPr>
        <w:t xml:space="preserve"> cigarette smoking. </w:t>
      </w:r>
    </w:p>
    <w:p w14:paraId="2B58CB43" w14:textId="112F28A1" w:rsidR="00BB31AA" w:rsidRPr="00BB31AA" w:rsidRDefault="00710D44" w:rsidP="00BB31AA">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4"/>
        </w:rPr>
      </w:pPr>
      <w:r>
        <w:rPr>
          <w:rFonts w:ascii="Times New Roman" w:hAnsi="Times New Roman" w:cs="Times New Roman"/>
          <w:bCs/>
          <w:sz w:val="24"/>
          <w:szCs w:val="24"/>
        </w:rPr>
        <w:t xml:space="preserve">For warnings to be considered for future regulatory action, those individual warnings must demonstrate </w:t>
      </w:r>
      <w:r w:rsidR="00BB31AA" w:rsidRPr="00BB31AA">
        <w:rPr>
          <w:rFonts w:ascii="Times New Roman" w:hAnsi="Times New Roman" w:cs="Times New Roman"/>
          <w:bCs/>
          <w:sz w:val="24"/>
          <w:szCs w:val="24"/>
        </w:rPr>
        <w:t xml:space="preserve">statistically significant improvements, as compared to the control condition, on </w:t>
      </w:r>
      <w:r w:rsidR="00BB31AA" w:rsidRPr="00D85A15">
        <w:rPr>
          <w:rFonts w:ascii="Times New Roman" w:hAnsi="Times New Roman" w:cs="Times New Roman"/>
          <w:bCs/>
          <w:i/>
          <w:sz w:val="24"/>
          <w:szCs w:val="24"/>
        </w:rPr>
        <w:t>both</w:t>
      </w:r>
      <w:r w:rsidR="00BB31AA" w:rsidRPr="00BB31AA">
        <w:rPr>
          <w:rFonts w:ascii="Times New Roman" w:hAnsi="Times New Roman" w:cs="Times New Roman"/>
          <w:bCs/>
          <w:sz w:val="24"/>
          <w:szCs w:val="24"/>
        </w:rPr>
        <w:t xml:space="preserve"> the </w:t>
      </w:r>
      <w:r>
        <w:rPr>
          <w:rFonts w:ascii="Times New Roman" w:hAnsi="Times New Roman" w:cs="Times New Roman"/>
          <w:bCs/>
          <w:sz w:val="24"/>
          <w:szCs w:val="24"/>
        </w:rPr>
        <w:t xml:space="preserve">two </w:t>
      </w:r>
      <w:r w:rsidR="00BB31AA" w:rsidRPr="00BB31AA">
        <w:rPr>
          <w:rFonts w:ascii="Times New Roman" w:hAnsi="Times New Roman" w:cs="Times New Roman"/>
          <w:bCs/>
          <w:sz w:val="24"/>
          <w:szCs w:val="24"/>
        </w:rPr>
        <w:t xml:space="preserve">outcomes of New Information </w:t>
      </w:r>
      <w:r w:rsidR="00BB31AA" w:rsidRPr="00D85A15">
        <w:rPr>
          <w:rFonts w:ascii="Times New Roman" w:hAnsi="Times New Roman" w:cs="Times New Roman"/>
          <w:bCs/>
          <w:i/>
          <w:sz w:val="24"/>
          <w:szCs w:val="24"/>
        </w:rPr>
        <w:t>and</w:t>
      </w:r>
      <w:r w:rsidR="00BB31AA" w:rsidRPr="00BB31AA">
        <w:rPr>
          <w:rFonts w:ascii="Times New Roman" w:hAnsi="Times New Roman" w:cs="Times New Roman"/>
          <w:bCs/>
          <w:sz w:val="24"/>
          <w:szCs w:val="24"/>
        </w:rPr>
        <w:t xml:space="preserve"> Self-Reported Learning (knowledge gain)</w:t>
      </w:r>
      <w:r>
        <w:rPr>
          <w:rFonts w:ascii="Times New Roman" w:hAnsi="Times New Roman" w:cs="Times New Roman"/>
          <w:bCs/>
          <w:sz w:val="24"/>
          <w:szCs w:val="24"/>
        </w:rPr>
        <w:t>.  The warnings will then be evaluated not only on the presence of a statistically significant effect on both outcomes, but also on the magnitude of the effect as an indicator of the conceptual significance of the findings.  Other outcomes being measured will also be considered when interpreting the results of the study to provide context and additional support.  These findings will be considered in the context of the strengths and limitations of the sample and study design in order to ultimately inform FDA's implementation of section 201 of the Tobacco Control Act</w:t>
      </w:r>
      <w:r w:rsidR="00F55AE5">
        <w:rPr>
          <w:rFonts w:ascii="Times New Roman" w:hAnsi="Times New Roman" w:cs="Times New Roman"/>
          <w:bCs/>
          <w:sz w:val="24"/>
          <w:szCs w:val="24"/>
        </w:rPr>
        <w:t>.</w:t>
      </w:r>
    </w:p>
    <w:p w14:paraId="087A9459" w14:textId="77777777" w:rsidR="008763C2" w:rsidRPr="00BB31AA" w:rsidRDefault="008763C2" w:rsidP="008763C2">
      <w:pPr>
        <w:spacing w:after="0" w:line="240" w:lineRule="auto"/>
        <w:rPr>
          <w:rFonts w:ascii="Times New Roman" w:eastAsia="Times New Roman" w:hAnsi="Times New Roman" w:cs="Times New Roman"/>
          <w:sz w:val="24"/>
          <w:szCs w:val="24"/>
        </w:rPr>
      </w:pPr>
    </w:p>
    <w:p w14:paraId="6199C6FD" w14:textId="77777777" w:rsidR="008F0297" w:rsidRPr="00A7422C" w:rsidRDefault="008F0297" w:rsidP="008763C2">
      <w:pPr>
        <w:spacing w:after="120" w:line="240" w:lineRule="auto"/>
        <w:rPr>
          <w:rFonts w:ascii="Times New Roman" w:eastAsia="Times New Roman" w:hAnsi="Times New Roman" w:cs="Times New Roman"/>
          <w:sz w:val="24"/>
          <w:szCs w:val="24"/>
        </w:rPr>
        <w:sectPr w:rsidR="008F0297" w:rsidRPr="00A7422C" w:rsidSect="00B4081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14:paraId="6373BBA3" w14:textId="77777777" w:rsidR="008763C2" w:rsidRDefault="008763C2" w:rsidP="008763C2">
      <w:pPr>
        <w:spacing w:after="120" w:line="240" w:lineRule="auto"/>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0"/>
        </w:rPr>
        <w:t xml:space="preserve">Table </w:t>
      </w:r>
      <w:r w:rsidR="00F159A9">
        <w:rPr>
          <w:rFonts w:ascii="Times New Roman" w:eastAsia="Times New Roman" w:hAnsi="Times New Roman" w:cs="Times New Roman"/>
          <w:b/>
          <w:sz w:val="24"/>
          <w:szCs w:val="20"/>
        </w:rPr>
        <w:t>1</w:t>
      </w:r>
      <w:r w:rsidRPr="008763C2">
        <w:rPr>
          <w:rFonts w:ascii="Times New Roman" w:eastAsia="Times New Roman" w:hAnsi="Times New Roman" w:cs="Times New Roman"/>
          <w:b/>
          <w:sz w:val="24"/>
          <w:szCs w:val="20"/>
        </w:rPr>
        <w:t xml:space="preserve">. </w:t>
      </w:r>
      <w:r w:rsidRPr="008763C2">
        <w:rPr>
          <w:rFonts w:ascii="Times New Roman" w:eastAsia="Times New Roman" w:hAnsi="Times New Roman" w:cs="Times New Roman"/>
          <w:b/>
          <w:sz w:val="24"/>
          <w:szCs w:val="24"/>
        </w:rPr>
        <w:t xml:space="preserve">Condition Assignment and </w:t>
      </w:r>
      <w:r w:rsidR="007D0E61">
        <w:rPr>
          <w:rFonts w:ascii="Times New Roman" w:eastAsia="Times New Roman" w:hAnsi="Times New Roman" w:cs="Times New Roman"/>
          <w:b/>
          <w:sz w:val="24"/>
          <w:szCs w:val="24"/>
        </w:rPr>
        <w:t xml:space="preserve">Session 1 </w:t>
      </w:r>
      <w:r w:rsidRPr="008763C2">
        <w:rPr>
          <w:rFonts w:ascii="Times New Roman" w:eastAsia="Times New Roman" w:hAnsi="Times New Roman" w:cs="Times New Roman"/>
          <w:b/>
          <w:sz w:val="24"/>
          <w:szCs w:val="24"/>
        </w:rPr>
        <w:t>Sample Size</w:t>
      </w:r>
      <w:r w:rsidR="007D0E61">
        <w:rPr>
          <w:rFonts w:ascii="Times New Roman" w:eastAsia="Times New Roman" w:hAnsi="Times New Roman" w:cs="Times New Roman"/>
          <w:b/>
          <w:sz w:val="24"/>
          <w:szCs w:val="24"/>
        </w:rPr>
        <w:t>,</w:t>
      </w:r>
      <w:r w:rsidRPr="008763C2">
        <w:rPr>
          <w:rFonts w:ascii="Times New Roman" w:eastAsia="Times New Roman" w:hAnsi="Times New Roman" w:cs="Times New Roman"/>
          <w:b/>
          <w:sz w:val="24"/>
          <w:szCs w:val="24"/>
        </w:rPr>
        <w:t xml:space="preserve"> by Study Population</w:t>
      </w:r>
    </w:p>
    <w:tbl>
      <w:tblPr>
        <w:tblW w:w="12950" w:type="dxa"/>
        <w:tblLook w:val="04A0" w:firstRow="1" w:lastRow="0" w:firstColumn="1" w:lastColumn="0" w:noHBand="0" w:noVBand="1"/>
      </w:tblPr>
      <w:tblGrid>
        <w:gridCol w:w="1260"/>
        <w:gridCol w:w="5220"/>
        <w:gridCol w:w="1617"/>
        <w:gridCol w:w="1618"/>
        <w:gridCol w:w="1617"/>
        <w:gridCol w:w="1618"/>
      </w:tblGrid>
      <w:tr w:rsidR="008F0297" w:rsidRPr="008D2C59" w14:paraId="613BB927" w14:textId="77777777" w:rsidTr="00B40816">
        <w:trPr>
          <w:trHeight w:val="800"/>
        </w:trPr>
        <w:tc>
          <w:tcPr>
            <w:tcW w:w="1260" w:type="dxa"/>
            <w:vMerge w:val="restart"/>
            <w:tcBorders>
              <w:top w:val="single" w:sz="12" w:space="0" w:color="auto"/>
            </w:tcBorders>
            <w:vAlign w:val="center"/>
          </w:tcPr>
          <w:p w14:paraId="69F25359" w14:textId="77777777" w:rsidR="008F0297" w:rsidRPr="00EC3A56" w:rsidRDefault="008F0297" w:rsidP="00B40816">
            <w:pPr>
              <w:snapToGrid w:val="0"/>
              <w:spacing w:after="0" w:line="320" w:lineRule="exact"/>
              <w:jc w:val="center"/>
              <w:rPr>
                <w:rFonts w:ascii="Times New Roman" w:eastAsia="Times New Roman" w:hAnsi="Times New Roman" w:cs="Times New Roman"/>
                <w:b/>
                <w:color w:val="000000"/>
              </w:rPr>
            </w:pPr>
            <w:r w:rsidRPr="00EC3A56">
              <w:rPr>
                <w:rFonts w:ascii="Times New Roman" w:eastAsia="Times New Roman" w:hAnsi="Times New Roman" w:cs="Times New Roman"/>
                <w:b/>
                <w:color w:val="000000"/>
              </w:rPr>
              <w:t>Condition</w:t>
            </w:r>
          </w:p>
        </w:tc>
        <w:tc>
          <w:tcPr>
            <w:tcW w:w="5220" w:type="dxa"/>
            <w:vMerge w:val="restart"/>
            <w:tcBorders>
              <w:top w:val="single" w:sz="12" w:space="0" w:color="auto"/>
            </w:tcBorders>
            <w:noWrap/>
            <w:vAlign w:val="center"/>
          </w:tcPr>
          <w:p w14:paraId="10747632" w14:textId="77777777" w:rsidR="008F0297" w:rsidRPr="00EC3A56" w:rsidRDefault="008F0297" w:rsidP="00B40816">
            <w:pPr>
              <w:snapToGrid w:val="0"/>
              <w:spacing w:after="0" w:line="320" w:lineRule="exact"/>
              <w:jc w:val="center"/>
              <w:rPr>
                <w:rFonts w:ascii="Times New Roman" w:eastAsia="Times New Roman" w:hAnsi="Times New Roman" w:cs="Times New Roman"/>
                <w:b/>
                <w:color w:val="000000"/>
              </w:rPr>
            </w:pPr>
            <w:r w:rsidRPr="00EC3A56">
              <w:rPr>
                <w:rFonts w:ascii="Times New Roman" w:eastAsia="Times New Roman" w:hAnsi="Times New Roman" w:cs="Times New Roman"/>
                <w:b/>
                <w:color w:val="000000"/>
              </w:rPr>
              <w:t>Exposure</w:t>
            </w:r>
          </w:p>
        </w:tc>
        <w:tc>
          <w:tcPr>
            <w:tcW w:w="6470" w:type="dxa"/>
            <w:gridSpan w:val="4"/>
            <w:tcBorders>
              <w:top w:val="single" w:sz="12" w:space="0" w:color="auto"/>
              <w:bottom w:val="single" w:sz="4" w:space="0" w:color="auto"/>
            </w:tcBorders>
            <w:vAlign w:val="center"/>
          </w:tcPr>
          <w:p w14:paraId="5EE70F1D" w14:textId="77777777" w:rsidR="008F0297" w:rsidRPr="00EC3A56" w:rsidRDefault="008F0297" w:rsidP="00B40816">
            <w:pPr>
              <w:snapToGrid w:val="0"/>
              <w:spacing w:after="0" w:line="320" w:lineRule="exact"/>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Sample Size</w:t>
            </w:r>
          </w:p>
        </w:tc>
      </w:tr>
      <w:tr w:rsidR="008F0297" w:rsidRPr="008D2C59" w14:paraId="3407B1FB" w14:textId="77777777" w:rsidTr="00135173">
        <w:trPr>
          <w:trHeight w:val="800"/>
        </w:trPr>
        <w:tc>
          <w:tcPr>
            <w:tcW w:w="1260" w:type="dxa"/>
            <w:vMerge/>
            <w:tcBorders>
              <w:bottom w:val="single" w:sz="4" w:space="0" w:color="auto"/>
            </w:tcBorders>
            <w:vAlign w:val="center"/>
          </w:tcPr>
          <w:p w14:paraId="4B3B0368" w14:textId="77777777" w:rsidR="008F0297" w:rsidRPr="00EC3A56" w:rsidRDefault="008F0297" w:rsidP="00B40816">
            <w:pPr>
              <w:snapToGrid w:val="0"/>
              <w:spacing w:after="0" w:line="320" w:lineRule="exact"/>
              <w:jc w:val="center"/>
              <w:rPr>
                <w:rFonts w:ascii="Times New Roman" w:eastAsia="Times New Roman" w:hAnsi="Times New Roman" w:cs="Times New Roman"/>
                <w:b/>
                <w:color w:val="000000"/>
              </w:rPr>
            </w:pPr>
          </w:p>
        </w:tc>
        <w:tc>
          <w:tcPr>
            <w:tcW w:w="5220" w:type="dxa"/>
            <w:vMerge/>
            <w:tcBorders>
              <w:bottom w:val="single" w:sz="4" w:space="0" w:color="auto"/>
            </w:tcBorders>
            <w:noWrap/>
            <w:vAlign w:val="center"/>
          </w:tcPr>
          <w:p w14:paraId="31FE7863" w14:textId="77777777" w:rsidR="008F0297" w:rsidRPr="00EC3A56" w:rsidRDefault="008F0297" w:rsidP="00B40816">
            <w:pPr>
              <w:snapToGrid w:val="0"/>
              <w:spacing w:after="0" w:line="320" w:lineRule="exact"/>
              <w:jc w:val="center"/>
              <w:rPr>
                <w:rFonts w:ascii="Times New Roman" w:eastAsia="Times New Roman" w:hAnsi="Times New Roman" w:cs="Times New Roman"/>
                <w:b/>
                <w:color w:val="000000"/>
              </w:rPr>
            </w:pPr>
          </w:p>
        </w:tc>
        <w:tc>
          <w:tcPr>
            <w:tcW w:w="1617" w:type="dxa"/>
            <w:tcBorders>
              <w:top w:val="single" w:sz="4" w:space="0" w:color="auto"/>
              <w:bottom w:val="single" w:sz="4" w:space="0" w:color="auto"/>
            </w:tcBorders>
            <w:vAlign w:val="center"/>
          </w:tcPr>
          <w:p w14:paraId="0A5D2C02" w14:textId="77777777" w:rsidR="008F0297" w:rsidRPr="00EC3A56" w:rsidRDefault="008F0297" w:rsidP="00B40816">
            <w:pPr>
              <w:snapToGrid w:val="0"/>
              <w:spacing w:after="0" w:line="320" w:lineRule="exact"/>
              <w:jc w:val="center"/>
              <w:rPr>
                <w:rFonts w:ascii="Times New Roman" w:eastAsia="Times New Roman" w:hAnsi="Times New Roman" w:cs="Times New Roman"/>
                <w:b/>
                <w:color w:val="000000"/>
              </w:rPr>
            </w:pPr>
            <w:r w:rsidRPr="00EC3A56">
              <w:rPr>
                <w:rFonts w:ascii="Times New Roman" w:eastAsia="Times New Roman" w:hAnsi="Times New Roman" w:cs="Times New Roman"/>
                <w:b/>
                <w:color w:val="000000"/>
              </w:rPr>
              <w:t>Adolescents</w:t>
            </w:r>
          </w:p>
        </w:tc>
        <w:tc>
          <w:tcPr>
            <w:tcW w:w="1618" w:type="dxa"/>
            <w:tcBorders>
              <w:top w:val="single" w:sz="4" w:space="0" w:color="auto"/>
              <w:bottom w:val="single" w:sz="4" w:space="0" w:color="auto"/>
            </w:tcBorders>
            <w:vAlign w:val="center"/>
          </w:tcPr>
          <w:p w14:paraId="336E0B7D" w14:textId="77777777" w:rsidR="008F0297" w:rsidRPr="00EC3A56" w:rsidRDefault="008F0297" w:rsidP="00B40816">
            <w:pPr>
              <w:snapToGrid w:val="0"/>
              <w:spacing w:after="0" w:line="320" w:lineRule="exact"/>
              <w:jc w:val="center"/>
              <w:rPr>
                <w:rFonts w:ascii="Times New Roman" w:eastAsia="Times New Roman" w:hAnsi="Times New Roman" w:cs="Times New Roman"/>
                <w:b/>
                <w:color w:val="000000"/>
              </w:rPr>
            </w:pPr>
            <w:r w:rsidRPr="00EC3A56">
              <w:rPr>
                <w:rFonts w:ascii="Times New Roman" w:eastAsia="Times New Roman" w:hAnsi="Times New Roman" w:cs="Times New Roman"/>
                <w:b/>
                <w:color w:val="000000"/>
              </w:rPr>
              <w:t>Young Adults</w:t>
            </w:r>
          </w:p>
        </w:tc>
        <w:tc>
          <w:tcPr>
            <w:tcW w:w="1617" w:type="dxa"/>
            <w:tcBorders>
              <w:top w:val="single" w:sz="4" w:space="0" w:color="auto"/>
              <w:bottom w:val="single" w:sz="4" w:space="0" w:color="auto"/>
            </w:tcBorders>
            <w:vAlign w:val="center"/>
          </w:tcPr>
          <w:p w14:paraId="1FBB8E2F" w14:textId="77777777" w:rsidR="008F0297" w:rsidRPr="00EC3A56" w:rsidRDefault="008F0297" w:rsidP="00B40816">
            <w:pPr>
              <w:snapToGrid w:val="0"/>
              <w:spacing w:after="0" w:line="320" w:lineRule="exact"/>
              <w:jc w:val="center"/>
              <w:rPr>
                <w:rFonts w:ascii="Times New Roman" w:eastAsia="Times New Roman" w:hAnsi="Times New Roman" w:cs="Times New Roman"/>
                <w:b/>
                <w:color w:val="000000"/>
              </w:rPr>
            </w:pPr>
            <w:r w:rsidRPr="00EC3A56">
              <w:rPr>
                <w:rFonts w:ascii="Times New Roman" w:eastAsia="Times New Roman" w:hAnsi="Times New Roman" w:cs="Times New Roman"/>
                <w:b/>
                <w:color w:val="000000"/>
              </w:rPr>
              <w:t>Older Adults</w:t>
            </w:r>
          </w:p>
        </w:tc>
        <w:tc>
          <w:tcPr>
            <w:tcW w:w="1618" w:type="dxa"/>
            <w:tcBorders>
              <w:top w:val="single" w:sz="4" w:space="0" w:color="auto"/>
              <w:bottom w:val="single" w:sz="4" w:space="0" w:color="auto"/>
            </w:tcBorders>
            <w:vAlign w:val="center"/>
          </w:tcPr>
          <w:p w14:paraId="794A5765" w14:textId="77777777" w:rsidR="008F0297" w:rsidRPr="00EC3A56" w:rsidRDefault="008F0297" w:rsidP="00B40816">
            <w:pPr>
              <w:snapToGrid w:val="0"/>
              <w:spacing w:after="0" w:line="320" w:lineRule="exact"/>
              <w:jc w:val="center"/>
              <w:rPr>
                <w:rFonts w:ascii="Times New Roman" w:eastAsia="Times New Roman" w:hAnsi="Times New Roman" w:cs="Times New Roman"/>
                <w:b/>
                <w:color w:val="000000"/>
              </w:rPr>
            </w:pPr>
            <w:r w:rsidRPr="00EC3A56">
              <w:rPr>
                <w:rFonts w:ascii="Times New Roman" w:eastAsia="Times New Roman" w:hAnsi="Times New Roman" w:cs="Times New Roman"/>
                <w:b/>
                <w:color w:val="000000"/>
              </w:rPr>
              <w:t>Total</w:t>
            </w:r>
          </w:p>
        </w:tc>
      </w:tr>
      <w:tr w:rsidR="002F3F41" w:rsidRPr="008D2C59" w14:paraId="68707D3C" w14:textId="77777777" w:rsidTr="00135173">
        <w:trPr>
          <w:trHeight w:val="3870"/>
        </w:trPr>
        <w:tc>
          <w:tcPr>
            <w:tcW w:w="1260" w:type="dxa"/>
            <w:tcBorders>
              <w:top w:val="single" w:sz="4" w:space="0" w:color="auto"/>
              <w:bottom w:val="single" w:sz="4" w:space="0" w:color="D9D9D9" w:themeColor="background1" w:themeShade="D9"/>
            </w:tcBorders>
            <w:vAlign w:val="center"/>
          </w:tcPr>
          <w:p w14:paraId="2643C06E" w14:textId="77777777" w:rsidR="002F3F41" w:rsidRPr="00AD5C6D" w:rsidRDefault="006961A4"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0</w:t>
            </w:r>
            <w:r w:rsidR="002F3F41">
              <w:rPr>
                <w:rFonts w:ascii="Times New Roman" w:eastAsia="Times New Roman" w:hAnsi="Times New Roman" w:cs="Times New Roman"/>
                <w:color w:val="000000"/>
              </w:rPr>
              <w:t xml:space="preserve"> (Control)</w:t>
            </w:r>
          </w:p>
        </w:tc>
        <w:tc>
          <w:tcPr>
            <w:tcW w:w="5220" w:type="dxa"/>
            <w:tcBorders>
              <w:top w:val="single" w:sz="4" w:space="0" w:color="auto"/>
              <w:bottom w:val="single" w:sz="4" w:space="0" w:color="D9D9D9" w:themeColor="background1" w:themeShade="D9"/>
            </w:tcBorders>
            <w:noWrap/>
            <w:vAlign w:val="center"/>
          </w:tcPr>
          <w:p w14:paraId="1039F210" w14:textId="77777777" w:rsidR="002F3F41" w:rsidRDefault="002F3F41"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Random selection of 1 of the following SG</w:t>
            </w:r>
            <w:r w:rsidR="0073527B">
              <w:rPr>
                <w:rFonts w:ascii="Times New Roman" w:eastAsia="Times New Roman" w:hAnsi="Times New Roman" w:cs="Times New Roman"/>
                <w:color w:val="000000"/>
              </w:rPr>
              <w:t xml:space="preserve"> warnings</w:t>
            </w:r>
            <w:r>
              <w:rPr>
                <w:rFonts w:ascii="Times New Roman" w:eastAsia="Times New Roman" w:hAnsi="Times New Roman" w:cs="Times New Roman"/>
                <w:color w:val="000000"/>
              </w:rPr>
              <w:t>:</w:t>
            </w:r>
          </w:p>
          <w:p w14:paraId="1A0808D6" w14:textId="77777777" w:rsidR="002F3F41" w:rsidRDefault="002F3F41" w:rsidP="002F3F41">
            <w:pPr>
              <w:snapToGrid w:val="0"/>
              <w:spacing w:after="0" w:line="320" w:lineRule="exact"/>
              <w:rPr>
                <w:rFonts w:ascii="Times New Roman" w:eastAsia="Times New Roman" w:hAnsi="Times New Roman" w:cs="Times New Roman"/>
                <w:color w:val="000000"/>
              </w:rPr>
            </w:pPr>
          </w:p>
          <w:p w14:paraId="4147B5FC" w14:textId="77777777" w:rsidR="002F3F41" w:rsidRPr="00EC3A56" w:rsidRDefault="002F3F41" w:rsidP="002F3F41">
            <w:pPr>
              <w:pStyle w:val="ListParagraph"/>
              <w:numPr>
                <w:ilvl w:val="0"/>
                <w:numId w:val="5"/>
              </w:numPr>
              <w:snapToGrid w:val="0"/>
              <w:spacing w:after="0" w:line="320" w:lineRule="exact"/>
              <w:rPr>
                <w:rFonts w:ascii="Times New Roman" w:eastAsia="Times New Roman" w:hAnsi="Times New Roman" w:cs="Times New Roman"/>
                <w:color w:val="000000"/>
              </w:rPr>
            </w:pPr>
            <w:r w:rsidRPr="00EC3A56">
              <w:rPr>
                <w:rFonts w:ascii="Times New Roman" w:eastAsia="Times New Roman" w:hAnsi="Times New Roman" w:cs="Times New Roman"/>
                <w:color w:val="000000"/>
              </w:rPr>
              <w:t>SURGEON GENERAL’S WARNING: Smoking Causes Lung Cancer, Heart Disease, Emphysema, and May Complicate Pregnancy.</w:t>
            </w:r>
          </w:p>
          <w:p w14:paraId="771D5FE2" w14:textId="77777777" w:rsidR="002F3F41" w:rsidRPr="00EC3A56" w:rsidRDefault="002F3F41" w:rsidP="002F3F41">
            <w:pPr>
              <w:pStyle w:val="ListParagraph"/>
              <w:numPr>
                <w:ilvl w:val="0"/>
                <w:numId w:val="5"/>
              </w:numPr>
              <w:snapToGrid w:val="0"/>
              <w:spacing w:after="0" w:line="320" w:lineRule="exact"/>
              <w:rPr>
                <w:rFonts w:ascii="Times New Roman" w:eastAsia="Times New Roman" w:hAnsi="Times New Roman" w:cs="Times New Roman"/>
                <w:color w:val="000000"/>
              </w:rPr>
            </w:pPr>
            <w:r w:rsidRPr="00EC3A56">
              <w:rPr>
                <w:rFonts w:ascii="Times New Roman" w:eastAsia="Times New Roman" w:hAnsi="Times New Roman" w:cs="Times New Roman"/>
                <w:color w:val="000000"/>
              </w:rPr>
              <w:t>SURGEON GENERAL’S WARNING: Quitting Smoking Now Greatly Reduces Serious Risks to Your Health.</w:t>
            </w:r>
          </w:p>
          <w:p w14:paraId="3CF44B0D" w14:textId="77777777" w:rsidR="002F3F41" w:rsidRPr="00EC3A56" w:rsidRDefault="002F3F41" w:rsidP="002F3F41">
            <w:pPr>
              <w:pStyle w:val="ListParagraph"/>
              <w:numPr>
                <w:ilvl w:val="0"/>
                <w:numId w:val="5"/>
              </w:numPr>
              <w:snapToGrid w:val="0"/>
              <w:spacing w:after="0" w:line="320" w:lineRule="exact"/>
              <w:rPr>
                <w:rFonts w:ascii="Times New Roman" w:eastAsia="Times New Roman" w:hAnsi="Times New Roman" w:cs="Times New Roman"/>
                <w:color w:val="000000"/>
              </w:rPr>
            </w:pPr>
            <w:r w:rsidRPr="00EC3A56">
              <w:rPr>
                <w:rFonts w:ascii="Times New Roman" w:eastAsia="Times New Roman" w:hAnsi="Times New Roman" w:cs="Times New Roman"/>
                <w:color w:val="000000"/>
              </w:rPr>
              <w:t>SURGEON GENERAL’S WARNING: Smoking by Pregnant Women May Result in Fetal Injury, Premature Birth, and Low Birth Weight.</w:t>
            </w:r>
          </w:p>
          <w:p w14:paraId="02F00592" w14:textId="77777777" w:rsidR="002F3F41" w:rsidRPr="00EC3A56" w:rsidRDefault="002F3F41" w:rsidP="002F3F41">
            <w:pPr>
              <w:pStyle w:val="ListParagraph"/>
              <w:numPr>
                <w:ilvl w:val="0"/>
                <w:numId w:val="5"/>
              </w:numPr>
              <w:snapToGrid w:val="0"/>
              <w:spacing w:after="0" w:line="320" w:lineRule="exact"/>
              <w:rPr>
                <w:rFonts w:ascii="Times New Roman" w:eastAsia="Times New Roman" w:hAnsi="Times New Roman" w:cs="Times New Roman"/>
                <w:color w:val="000000"/>
              </w:rPr>
            </w:pPr>
            <w:r w:rsidRPr="00EC3A56">
              <w:rPr>
                <w:rFonts w:ascii="Times New Roman" w:eastAsia="Times New Roman" w:hAnsi="Times New Roman" w:cs="Times New Roman"/>
                <w:color w:val="000000"/>
              </w:rPr>
              <w:t>SURGEON GENERAL’S WARNING: Cigarette Smoke Contains Carbon Monoxide.</w:t>
            </w:r>
          </w:p>
        </w:tc>
        <w:tc>
          <w:tcPr>
            <w:tcW w:w="1617" w:type="dxa"/>
            <w:tcBorders>
              <w:top w:val="single" w:sz="4" w:space="0" w:color="auto"/>
              <w:bottom w:val="single" w:sz="4" w:space="0" w:color="D9D9D9" w:themeColor="background1" w:themeShade="D9"/>
            </w:tcBorders>
            <w:vAlign w:val="center"/>
          </w:tcPr>
          <w:p w14:paraId="4D126F54" w14:textId="77777777" w:rsidR="002F3F41" w:rsidRDefault="002F3F41" w:rsidP="00C87772">
            <w:pPr>
              <w:snapToGrid w:val="0"/>
              <w:spacing w:after="0" w:line="320" w:lineRule="exact"/>
              <w:jc w:val="center"/>
              <w:rPr>
                <w:rFonts w:ascii="Times New Roman" w:eastAsia="Times New Roman" w:hAnsi="Times New Roman" w:cs="Times New Roman"/>
                <w:color w:val="000000"/>
              </w:rPr>
            </w:pPr>
            <w:r w:rsidRPr="00C87772">
              <w:rPr>
                <w:rFonts w:ascii="Times New Roman" w:eastAsia="Times New Roman" w:hAnsi="Times New Roman" w:cs="Times New Roman"/>
                <w:color w:val="000000"/>
              </w:rPr>
              <w:t>492</w:t>
            </w:r>
          </w:p>
        </w:tc>
        <w:tc>
          <w:tcPr>
            <w:tcW w:w="1618" w:type="dxa"/>
            <w:tcBorders>
              <w:top w:val="single" w:sz="4" w:space="0" w:color="auto"/>
              <w:bottom w:val="single" w:sz="4" w:space="0" w:color="D9D9D9" w:themeColor="background1" w:themeShade="D9"/>
            </w:tcBorders>
            <w:vAlign w:val="center"/>
          </w:tcPr>
          <w:p w14:paraId="5745D9AF" w14:textId="77777777" w:rsidR="002F3F41" w:rsidRDefault="002F3F41" w:rsidP="00C87772">
            <w:pPr>
              <w:snapToGrid w:val="0"/>
              <w:spacing w:after="0" w:line="320" w:lineRule="exact"/>
              <w:jc w:val="center"/>
              <w:rPr>
                <w:rFonts w:ascii="Times New Roman" w:eastAsia="Times New Roman" w:hAnsi="Times New Roman" w:cs="Times New Roman"/>
                <w:color w:val="000000"/>
              </w:rPr>
            </w:pPr>
            <w:r w:rsidRPr="00C87772">
              <w:rPr>
                <w:rFonts w:ascii="Times New Roman" w:eastAsia="Times New Roman" w:hAnsi="Times New Roman" w:cs="Times New Roman"/>
                <w:color w:val="000000"/>
              </w:rPr>
              <w:t>564</w:t>
            </w:r>
          </w:p>
        </w:tc>
        <w:tc>
          <w:tcPr>
            <w:tcW w:w="1617" w:type="dxa"/>
            <w:tcBorders>
              <w:top w:val="single" w:sz="4" w:space="0" w:color="auto"/>
              <w:bottom w:val="single" w:sz="4" w:space="0" w:color="D9D9D9" w:themeColor="background1" w:themeShade="D9"/>
            </w:tcBorders>
            <w:vAlign w:val="center"/>
          </w:tcPr>
          <w:p w14:paraId="2DBCFC32" w14:textId="77777777" w:rsidR="002F3F41" w:rsidRDefault="002F3F41" w:rsidP="00C87772">
            <w:pPr>
              <w:snapToGrid w:val="0"/>
              <w:spacing w:after="0" w:line="320" w:lineRule="exact"/>
              <w:jc w:val="center"/>
              <w:rPr>
                <w:rFonts w:ascii="Times New Roman" w:eastAsia="Times New Roman" w:hAnsi="Times New Roman" w:cs="Times New Roman"/>
                <w:color w:val="000000"/>
              </w:rPr>
            </w:pPr>
            <w:r w:rsidRPr="00C87772">
              <w:rPr>
                <w:rFonts w:ascii="Times New Roman" w:eastAsia="Times New Roman" w:hAnsi="Times New Roman" w:cs="Times New Roman"/>
                <w:color w:val="000000"/>
              </w:rPr>
              <w:t>1,024</w:t>
            </w:r>
          </w:p>
        </w:tc>
        <w:tc>
          <w:tcPr>
            <w:tcW w:w="1618" w:type="dxa"/>
            <w:tcBorders>
              <w:top w:val="single" w:sz="4" w:space="0" w:color="auto"/>
              <w:bottom w:val="single" w:sz="4" w:space="0" w:color="D9D9D9" w:themeColor="background1" w:themeShade="D9"/>
            </w:tcBorders>
            <w:vAlign w:val="center"/>
          </w:tcPr>
          <w:p w14:paraId="4623DA0A" w14:textId="77777777" w:rsidR="002F3F41" w:rsidRDefault="002F3F41" w:rsidP="00C87772">
            <w:pPr>
              <w:snapToGrid w:val="0"/>
              <w:spacing w:after="0" w:line="320" w:lineRule="exact"/>
              <w:jc w:val="center"/>
              <w:rPr>
                <w:rFonts w:ascii="Times New Roman" w:eastAsia="Times New Roman" w:hAnsi="Times New Roman" w:cs="Times New Roman"/>
                <w:color w:val="000000"/>
              </w:rPr>
            </w:pPr>
            <w:r w:rsidRPr="00C87772">
              <w:rPr>
                <w:rFonts w:ascii="Times New Roman" w:eastAsia="Times New Roman" w:hAnsi="Times New Roman" w:cs="Times New Roman"/>
                <w:color w:val="000000"/>
              </w:rPr>
              <w:t>2,080</w:t>
            </w:r>
          </w:p>
        </w:tc>
      </w:tr>
      <w:tr w:rsidR="002F3F41" w:rsidRPr="008D2C59" w14:paraId="52B5BB25"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3E814B34" w14:textId="77777777" w:rsidR="002F3F41" w:rsidRPr="00BF752F" w:rsidRDefault="006961A4"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012ECCA8"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Cigarettes are addictive.</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7B6DF66F"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44940360"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7D525369"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5A56E5AB"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68D304F9"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20D9551B" w14:textId="77777777" w:rsidR="002F3F41" w:rsidRPr="00BF752F" w:rsidRDefault="006961A4"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4CA2BE68"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Tobacco smoke can harm your children.</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1A6F6E34"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3FE3933D"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1894568A"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0DC8BBA3"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0ABB5F52"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0272BD78" w14:textId="77777777" w:rsidR="002F3F41" w:rsidRPr="00BF752F" w:rsidRDefault="006961A4"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06DB657C"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can kill you.</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29D10511"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52BC1E6E"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15E83493"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083595AA"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1C681ECC"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514487FB" w14:textId="77777777" w:rsidR="002F3F41" w:rsidRPr="00BF752F" w:rsidRDefault="006961A4"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4D21950E"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Tobacco smoke causes fatal lung disease in nonsmokers.</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1C601101"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2C7921D1"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3E130938"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7B558F51"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5FEEA86F"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61724210" w14:textId="77777777" w:rsidR="002F3F41" w:rsidRPr="00BF752F" w:rsidRDefault="006961A4"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775D445D"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Quitting smoking now greatly reduces serious risks to your health.</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50149AD8"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4185426F"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305280BB"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682148B1"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09E89638"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61C08702" w14:textId="77777777" w:rsidR="002F3F41" w:rsidRPr="00BF752F" w:rsidRDefault="006961A4"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32084C04"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causes head and neck cancer.</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03590BB3"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0A228821"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69CD1302"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7B5F1654"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1F83BB52"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3AD7A601" w14:textId="77777777" w:rsidR="002F3F41" w:rsidRPr="00BF752F" w:rsidRDefault="006961A4"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7E084F06"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causes bladder cancer, which can lead to bloody urine.</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1FCC9124"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05E8E494"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5295B4B7"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5442BE1A"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6FFC0C9E"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1BB60465" w14:textId="77777777" w:rsidR="002F3F41" w:rsidRPr="00BF752F" w:rsidRDefault="006961A4"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30D354BC"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during pregnancy stunts fetal growth.</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3666730F"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1358DA39"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52B87307"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0921C7D6"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647AE380"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337D0C39" w14:textId="77777777" w:rsidR="002F3F41" w:rsidRPr="00BF752F" w:rsidRDefault="006961A4"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5F4AC63D"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can cause heart disease and strokes by clogging arteries.</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52A402B4"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7908867C"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571C2DBE"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6F13C509"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55586EF1"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5976A1CE"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1</w:t>
            </w:r>
            <w:r w:rsidR="006961A4">
              <w:rPr>
                <w:rFonts w:ascii="Times New Roman" w:eastAsia="Times New Roman" w:hAnsi="Times New Roman" w:cs="Times New Roman"/>
                <w:color w:val="000000"/>
              </w:rPr>
              <w:t>0</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372A42CA"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causes COPD, a lung disease that can be fatal.</w:t>
            </w:r>
            <w:r>
              <w:rPr>
                <w:rFonts w:ascii="Times New Roman" w:eastAsia="Times New Roman" w:hAnsi="Times New Roman" w:cs="Times New Roman"/>
                <w:color w:val="000000"/>
              </w:rPr>
              <w:t xml:space="preserve"> [GHW – IMAGE 1]</w:t>
            </w:r>
          </w:p>
        </w:tc>
        <w:tc>
          <w:tcPr>
            <w:tcW w:w="1617" w:type="dxa"/>
            <w:tcBorders>
              <w:top w:val="single" w:sz="4" w:space="0" w:color="D9D9D9" w:themeColor="background1" w:themeShade="D9"/>
              <w:bottom w:val="single" w:sz="4" w:space="0" w:color="D9D9D9" w:themeColor="background1" w:themeShade="D9"/>
            </w:tcBorders>
            <w:vAlign w:val="center"/>
          </w:tcPr>
          <w:p w14:paraId="6B5108E3"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1ECECD93"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7EB14376"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7175F582"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31A77E94"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3CA4F0FD"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1</w:t>
            </w:r>
            <w:r w:rsidR="006961A4">
              <w:rPr>
                <w:rFonts w:ascii="Times New Roman" w:eastAsia="Times New Roman" w:hAnsi="Times New Roman" w:cs="Times New Roman"/>
                <w:color w:val="000000"/>
              </w:rPr>
              <w:t>1</w:t>
            </w:r>
          </w:p>
        </w:tc>
        <w:tc>
          <w:tcPr>
            <w:tcW w:w="5220" w:type="dxa"/>
            <w:tcBorders>
              <w:top w:val="single" w:sz="4" w:space="0" w:color="D9D9D9" w:themeColor="background1" w:themeShade="D9"/>
              <w:bottom w:val="single" w:sz="4" w:space="0" w:color="D9D9D9" w:themeColor="background1" w:themeShade="D9"/>
            </w:tcBorders>
            <w:noWrap/>
            <w:vAlign w:val="center"/>
          </w:tcPr>
          <w:p w14:paraId="1EBDE0CB"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causes COPD, a lung disease that can be fatal.</w:t>
            </w:r>
            <w:r>
              <w:rPr>
                <w:rFonts w:ascii="Times New Roman" w:eastAsia="Times New Roman" w:hAnsi="Times New Roman" w:cs="Times New Roman"/>
                <w:color w:val="000000"/>
              </w:rPr>
              <w:t xml:space="preserve"> [GHW – IMAGE 2]</w:t>
            </w:r>
          </w:p>
        </w:tc>
        <w:tc>
          <w:tcPr>
            <w:tcW w:w="1617" w:type="dxa"/>
            <w:tcBorders>
              <w:top w:val="single" w:sz="4" w:space="0" w:color="D9D9D9" w:themeColor="background1" w:themeShade="D9"/>
              <w:bottom w:val="single" w:sz="4" w:space="0" w:color="D9D9D9" w:themeColor="background1" w:themeShade="D9"/>
            </w:tcBorders>
            <w:vAlign w:val="center"/>
          </w:tcPr>
          <w:p w14:paraId="75659F23"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56970849"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7B25BB0C"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7185B617"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61B1FAFE"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01AFAEBD"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1</w:t>
            </w:r>
            <w:r w:rsidR="006961A4">
              <w:rPr>
                <w:rFonts w:ascii="Times New Roman" w:eastAsia="Times New Roman" w:hAnsi="Times New Roman" w:cs="Times New Roman"/>
                <w:color w:val="000000"/>
              </w:rPr>
              <w:t>2</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4BCF3A43"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reduces blood flow, which can cause erectile dysfunction.</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67FAFF9F"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232D5B18"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1E0C6384"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5C52707B"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2F4034DD"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03F6DA16"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1</w:t>
            </w:r>
            <w:r w:rsidR="006961A4">
              <w:rPr>
                <w:rFonts w:ascii="Times New Roman" w:eastAsia="Times New Roman" w:hAnsi="Times New Roman" w:cs="Times New Roman"/>
                <w:color w:val="000000"/>
              </w:rPr>
              <w:t>3</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3019427A"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reduces blood flow to the limbs, which can require amputation.</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54181CE8"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3C19E146"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47E410F9"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136BF26E"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7A750D72"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4D38C007"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1</w:t>
            </w:r>
            <w:r w:rsidR="006961A4">
              <w:rPr>
                <w:rFonts w:ascii="Times New Roman" w:eastAsia="Times New Roman" w:hAnsi="Times New Roman" w:cs="Times New Roman"/>
                <w:color w:val="000000"/>
              </w:rPr>
              <w:t>4</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152B99CC"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causes type 2 diabetes, which raises blood sugar.</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44B7E500"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5DD90C30"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6AB56972"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4C9B3CB7"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113E2E69"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7791CDDD"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1</w:t>
            </w:r>
            <w:r w:rsidR="006961A4">
              <w:rPr>
                <w:rFonts w:ascii="Times New Roman" w:eastAsia="Times New Roman" w:hAnsi="Times New Roman" w:cs="Times New Roman"/>
                <w:color w:val="000000"/>
              </w:rPr>
              <w:t>5</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2F939671"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causes age-related macular degeneration, which can lead to blindness.</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4BFF29F8"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16F9DC6C"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0A89E019"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6666CFC9"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35984">
              <w:rPr>
                <w:rFonts w:ascii="Times New Roman" w:eastAsia="Times New Roman" w:hAnsi="Times New Roman" w:cs="Times New Roman"/>
                <w:color w:val="000000"/>
              </w:rPr>
              <w:t>480</w:t>
            </w:r>
          </w:p>
        </w:tc>
      </w:tr>
      <w:tr w:rsidR="002F3F41" w:rsidRPr="008D2C59" w14:paraId="1C40423F" w14:textId="77777777" w:rsidTr="00135173">
        <w:trPr>
          <w:trHeight w:val="300"/>
        </w:trPr>
        <w:tc>
          <w:tcPr>
            <w:tcW w:w="1260" w:type="dxa"/>
            <w:tcBorders>
              <w:top w:val="single" w:sz="4" w:space="0" w:color="D9D9D9" w:themeColor="background1" w:themeShade="D9"/>
              <w:bottom w:val="single" w:sz="4" w:space="0" w:color="D9D9D9" w:themeColor="background1" w:themeShade="D9"/>
            </w:tcBorders>
            <w:vAlign w:val="center"/>
          </w:tcPr>
          <w:p w14:paraId="19872433"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Pr>
                <w:rFonts w:ascii="Times New Roman" w:eastAsia="Times New Roman" w:hAnsi="Times New Roman" w:cs="Times New Roman"/>
                <w:color w:val="000000"/>
              </w:rPr>
              <w:t>1</w:t>
            </w:r>
            <w:r w:rsidR="006961A4">
              <w:rPr>
                <w:rFonts w:ascii="Times New Roman" w:eastAsia="Times New Roman" w:hAnsi="Times New Roman" w:cs="Times New Roman"/>
                <w:color w:val="000000"/>
              </w:rPr>
              <w:t>6</w:t>
            </w:r>
          </w:p>
        </w:tc>
        <w:tc>
          <w:tcPr>
            <w:tcW w:w="5220" w:type="dxa"/>
            <w:tcBorders>
              <w:top w:val="single" w:sz="4" w:space="0" w:color="D9D9D9" w:themeColor="background1" w:themeShade="D9"/>
              <w:bottom w:val="single" w:sz="4" w:space="0" w:color="D9D9D9" w:themeColor="background1" w:themeShade="D9"/>
            </w:tcBorders>
            <w:noWrap/>
            <w:vAlign w:val="center"/>
            <w:hideMark/>
          </w:tcPr>
          <w:p w14:paraId="708478E3" w14:textId="77777777" w:rsidR="002F3F41" w:rsidRPr="00BF752F" w:rsidRDefault="002F3F41" w:rsidP="002F3F41">
            <w:pPr>
              <w:snapToGrid w:val="0"/>
              <w:spacing w:after="0" w:line="320" w:lineRule="exact"/>
              <w:rPr>
                <w:rFonts w:ascii="Times New Roman" w:eastAsia="Times New Roman" w:hAnsi="Times New Roman" w:cs="Times New Roman"/>
                <w:color w:val="000000"/>
              </w:rPr>
            </w:pPr>
            <w:r w:rsidRPr="00BF752F">
              <w:rPr>
                <w:rFonts w:ascii="Times New Roman" w:eastAsia="Times New Roman" w:hAnsi="Times New Roman" w:cs="Times New Roman"/>
                <w:color w:val="000000"/>
              </w:rPr>
              <w:t>WARNING: Smoking causes cataracts, which can lead to blindness.</w:t>
            </w:r>
            <w:r>
              <w:rPr>
                <w:rFonts w:ascii="Times New Roman" w:eastAsia="Times New Roman" w:hAnsi="Times New Roman" w:cs="Times New Roman"/>
                <w:color w:val="000000"/>
              </w:rPr>
              <w:t xml:space="preserve"> [GHW]</w:t>
            </w:r>
          </w:p>
        </w:tc>
        <w:tc>
          <w:tcPr>
            <w:tcW w:w="1617" w:type="dxa"/>
            <w:tcBorders>
              <w:top w:val="single" w:sz="4" w:space="0" w:color="D9D9D9" w:themeColor="background1" w:themeShade="D9"/>
              <w:bottom w:val="single" w:sz="4" w:space="0" w:color="D9D9D9" w:themeColor="background1" w:themeShade="D9"/>
            </w:tcBorders>
            <w:vAlign w:val="center"/>
          </w:tcPr>
          <w:p w14:paraId="251E9DCB"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87772">
              <w:rPr>
                <w:rFonts w:ascii="Times New Roman" w:eastAsia="Times New Roman" w:hAnsi="Times New Roman" w:cs="Times New Roman"/>
                <w:color w:val="000000"/>
              </w:rPr>
              <w:t>113</w:t>
            </w:r>
          </w:p>
        </w:tc>
        <w:tc>
          <w:tcPr>
            <w:tcW w:w="1618" w:type="dxa"/>
            <w:tcBorders>
              <w:top w:val="single" w:sz="4" w:space="0" w:color="D9D9D9" w:themeColor="background1" w:themeShade="D9"/>
              <w:bottom w:val="single" w:sz="4" w:space="0" w:color="D9D9D9" w:themeColor="background1" w:themeShade="D9"/>
            </w:tcBorders>
            <w:vAlign w:val="center"/>
          </w:tcPr>
          <w:p w14:paraId="22983C01"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87772">
              <w:rPr>
                <w:rFonts w:ascii="Times New Roman" w:eastAsia="Times New Roman" w:hAnsi="Times New Roman" w:cs="Times New Roman"/>
                <w:color w:val="000000"/>
              </w:rPr>
              <w:t>131</w:t>
            </w:r>
          </w:p>
        </w:tc>
        <w:tc>
          <w:tcPr>
            <w:tcW w:w="1617" w:type="dxa"/>
            <w:tcBorders>
              <w:top w:val="single" w:sz="4" w:space="0" w:color="D9D9D9" w:themeColor="background1" w:themeShade="D9"/>
              <w:bottom w:val="single" w:sz="4" w:space="0" w:color="D9D9D9" w:themeColor="background1" w:themeShade="D9"/>
            </w:tcBorders>
            <w:vAlign w:val="center"/>
          </w:tcPr>
          <w:p w14:paraId="4542C23D"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87772">
              <w:rPr>
                <w:rFonts w:ascii="Times New Roman" w:eastAsia="Times New Roman" w:hAnsi="Times New Roman" w:cs="Times New Roman"/>
                <w:color w:val="000000"/>
              </w:rPr>
              <w:t>236</w:t>
            </w:r>
          </w:p>
        </w:tc>
        <w:tc>
          <w:tcPr>
            <w:tcW w:w="1618" w:type="dxa"/>
            <w:tcBorders>
              <w:top w:val="single" w:sz="4" w:space="0" w:color="D9D9D9" w:themeColor="background1" w:themeShade="D9"/>
              <w:bottom w:val="single" w:sz="4" w:space="0" w:color="D9D9D9" w:themeColor="background1" w:themeShade="D9"/>
            </w:tcBorders>
            <w:vAlign w:val="center"/>
          </w:tcPr>
          <w:p w14:paraId="2D2269C4" w14:textId="77777777" w:rsidR="002F3F41" w:rsidRPr="00BF752F" w:rsidRDefault="002F3F41" w:rsidP="00C87772">
            <w:pPr>
              <w:snapToGrid w:val="0"/>
              <w:spacing w:after="0" w:line="320" w:lineRule="exact"/>
              <w:jc w:val="center"/>
              <w:rPr>
                <w:rFonts w:ascii="Times New Roman" w:eastAsia="Times New Roman" w:hAnsi="Times New Roman" w:cs="Times New Roman"/>
                <w:color w:val="000000"/>
              </w:rPr>
            </w:pPr>
            <w:r w:rsidRPr="00C87772">
              <w:rPr>
                <w:rFonts w:ascii="Times New Roman" w:eastAsia="Times New Roman" w:hAnsi="Times New Roman" w:cs="Times New Roman"/>
                <w:color w:val="000000"/>
              </w:rPr>
              <w:t>480</w:t>
            </w:r>
          </w:p>
        </w:tc>
      </w:tr>
      <w:tr w:rsidR="007D7DC5" w:rsidRPr="008D2C59" w14:paraId="0905AED7" w14:textId="77777777" w:rsidTr="00813E76">
        <w:trPr>
          <w:trHeight w:val="300"/>
        </w:trPr>
        <w:tc>
          <w:tcPr>
            <w:tcW w:w="1260" w:type="dxa"/>
            <w:tcBorders>
              <w:top w:val="single" w:sz="4" w:space="0" w:color="D9D9D9" w:themeColor="background1" w:themeShade="D9"/>
              <w:bottom w:val="single" w:sz="12" w:space="0" w:color="auto"/>
            </w:tcBorders>
            <w:vAlign w:val="center"/>
          </w:tcPr>
          <w:p w14:paraId="683A2DA5" w14:textId="77777777" w:rsidR="007D7DC5" w:rsidRPr="00C87772" w:rsidRDefault="002F3F41" w:rsidP="00B40816">
            <w:pPr>
              <w:snapToGrid w:val="0"/>
              <w:spacing w:after="0" w:line="320" w:lineRule="exact"/>
              <w:rPr>
                <w:rFonts w:ascii="Times New Roman" w:eastAsia="Times New Roman" w:hAnsi="Times New Roman" w:cs="Times New Roman"/>
                <w:b/>
                <w:color w:val="000000"/>
              </w:rPr>
            </w:pPr>
            <w:r w:rsidRPr="00C87772">
              <w:rPr>
                <w:rFonts w:ascii="Times New Roman" w:eastAsia="Times New Roman" w:hAnsi="Times New Roman" w:cs="Times New Roman"/>
                <w:b/>
                <w:color w:val="000000"/>
              </w:rPr>
              <w:t>TOTAL</w:t>
            </w:r>
          </w:p>
        </w:tc>
        <w:tc>
          <w:tcPr>
            <w:tcW w:w="5220" w:type="dxa"/>
            <w:tcBorders>
              <w:top w:val="single" w:sz="4" w:space="0" w:color="D9D9D9" w:themeColor="background1" w:themeShade="D9"/>
              <w:bottom w:val="single" w:sz="12" w:space="0" w:color="auto"/>
            </w:tcBorders>
            <w:noWrap/>
            <w:vAlign w:val="center"/>
          </w:tcPr>
          <w:p w14:paraId="1AF60D14" w14:textId="77777777" w:rsidR="007D7DC5" w:rsidRPr="00C87772" w:rsidRDefault="007D7DC5" w:rsidP="00B40816">
            <w:pPr>
              <w:snapToGrid w:val="0"/>
              <w:spacing w:after="0" w:line="320" w:lineRule="exact"/>
              <w:rPr>
                <w:rFonts w:ascii="Times New Roman" w:eastAsia="Times New Roman" w:hAnsi="Times New Roman" w:cs="Times New Roman"/>
                <w:b/>
                <w:color w:val="000000"/>
              </w:rPr>
            </w:pPr>
          </w:p>
        </w:tc>
        <w:tc>
          <w:tcPr>
            <w:tcW w:w="1617" w:type="dxa"/>
            <w:tcBorders>
              <w:top w:val="single" w:sz="4" w:space="0" w:color="D9D9D9" w:themeColor="background1" w:themeShade="D9"/>
              <w:bottom w:val="single" w:sz="12" w:space="0" w:color="auto"/>
            </w:tcBorders>
            <w:vAlign w:val="center"/>
          </w:tcPr>
          <w:p w14:paraId="6C606E96" w14:textId="77777777" w:rsidR="007D7DC5" w:rsidRPr="00C87772" w:rsidRDefault="002F3F41" w:rsidP="00813E76">
            <w:pPr>
              <w:snapToGrid w:val="0"/>
              <w:spacing w:after="0" w:line="320" w:lineRule="exact"/>
              <w:jc w:val="center"/>
              <w:rPr>
                <w:rFonts w:ascii="Times New Roman" w:eastAsia="Times New Roman" w:hAnsi="Times New Roman" w:cs="Times New Roman"/>
                <w:b/>
                <w:color w:val="000000"/>
              </w:rPr>
            </w:pPr>
            <w:r w:rsidRPr="00C87772">
              <w:rPr>
                <w:rFonts w:ascii="Times New Roman" w:eastAsia="Times New Roman" w:hAnsi="Times New Roman" w:cs="Times New Roman"/>
                <w:b/>
                <w:color w:val="000000"/>
              </w:rPr>
              <w:t>2,300</w:t>
            </w:r>
          </w:p>
        </w:tc>
        <w:tc>
          <w:tcPr>
            <w:tcW w:w="1618" w:type="dxa"/>
            <w:tcBorders>
              <w:top w:val="single" w:sz="4" w:space="0" w:color="D9D9D9" w:themeColor="background1" w:themeShade="D9"/>
              <w:bottom w:val="single" w:sz="12" w:space="0" w:color="auto"/>
            </w:tcBorders>
            <w:vAlign w:val="center"/>
          </w:tcPr>
          <w:p w14:paraId="4A7F64C8" w14:textId="77777777" w:rsidR="007D7DC5" w:rsidRPr="00C87772" w:rsidRDefault="002F3F41" w:rsidP="00813E76">
            <w:pPr>
              <w:snapToGrid w:val="0"/>
              <w:spacing w:after="0" w:line="320" w:lineRule="exact"/>
              <w:jc w:val="center"/>
              <w:rPr>
                <w:rFonts w:ascii="Times New Roman" w:eastAsia="Times New Roman" w:hAnsi="Times New Roman" w:cs="Times New Roman"/>
                <w:b/>
                <w:color w:val="000000"/>
              </w:rPr>
            </w:pPr>
            <w:r w:rsidRPr="00C87772">
              <w:rPr>
                <w:rFonts w:ascii="Times New Roman" w:eastAsia="Times New Roman" w:hAnsi="Times New Roman" w:cs="Times New Roman"/>
                <w:b/>
                <w:color w:val="000000"/>
              </w:rPr>
              <w:t>2,660</w:t>
            </w:r>
          </w:p>
        </w:tc>
        <w:tc>
          <w:tcPr>
            <w:tcW w:w="1617" w:type="dxa"/>
            <w:tcBorders>
              <w:top w:val="single" w:sz="4" w:space="0" w:color="D9D9D9" w:themeColor="background1" w:themeShade="D9"/>
              <w:bottom w:val="single" w:sz="12" w:space="0" w:color="auto"/>
            </w:tcBorders>
            <w:vAlign w:val="center"/>
          </w:tcPr>
          <w:p w14:paraId="144A22E7" w14:textId="77777777" w:rsidR="007D7DC5" w:rsidRPr="00C87772" w:rsidRDefault="002F3F41" w:rsidP="00813E76">
            <w:pPr>
              <w:snapToGrid w:val="0"/>
              <w:spacing w:after="0" w:line="320" w:lineRule="exact"/>
              <w:jc w:val="center"/>
              <w:rPr>
                <w:rFonts w:ascii="Times New Roman" w:eastAsia="Times New Roman" w:hAnsi="Times New Roman" w:cs="Times New Roman"/>
                <w:b/>
                <w:color w:val="000000"/>
              </w:rPr>
            </w:pPr>
            <w:r w:rsidRPr="00C87772">
              <w:rPr>
                <w:rFonts w:ascii="Times New Roman" w:eastAsia="Times New Roman" w:hAnsi="Times New Roman" w:cs="Times New Roman"/>
                <w:b/>
                <w:color w:val="000000"/>
              </w:rPr>
              <w:t>4,880</w:t>
            </w:r>
          </w:p>
        </w:tc>
        <w:tc>
          <w:tcPr>
            <w:tcW w:w="1618" w:type="dxa"/>
            <w:tcBorders>
              <w:top w:val="single" w:sz="4" w:space="0" w:color="D9D9D9" w:themeColor="background1" w:themeShade="D9"/>
              <w:bottom w:val="single" w:sz="12" w:space="0" w:color="auto"/>
            </w:tcBorders>
            <w:vAlign w:val="center"/>
          </w:tcPr>
          <w:p w14:paraId="7B29AE03" w14:textId="77777777" w:rsidR="007D7DC5" w:rsidRPr="00C87772" w:rsidRDefault="002F3F41" w:rsidP="00813E76">
            <w:pPr>
              <w:snapToGrid w:val="0"/>
              <w:spacing w:after="0" w:line="320" w:lineRule="exact"/>
              <w:jc w:val="center"/>
              <w:rPr>
                <w:rFonts w:ascii="Times New Roman" w:eastAsia="Times New Roman" w:hAnsi="Times New Roman" w:cs="Times New Roman"/>
                <w:b/>
                <w:color w:val="000000"/>
              </w:rPr>
            </w:pPr>
            <w:r w:rsidRPr="00C87772">
              <w:rPr>
                <w:rFonts w:ascii="Times New Roman" w:eastAsia="Times New Roman" w:hAnsi="Times New Roman" w:cs="Times New Roman"/>
                <w:b/>
                <w:color w:val="000000"/>
              </w:rPr>
              <w:t>9,760</w:t>
            </w:r>
          </w:p>
        </w:tc>
      </w:tr>
    </w:tbl>
    <w:p w14:paraId="3A112A6C" w14:textId="77777777" w:rsidR="008F0297" w:rsidRDefault="008F0297" w:rsidP="008763C2">
      <w:pPr>
        <w:spacing w:after="120" w:line="240" w:lineRule="auto"/>
        <w:rPr>
          <w:rFonts w:ascii="Times New Roman" w:eastAsia="Times New Roman" w:hAnsi="Times New Roman" w:cs="Times New Roman"/>
          <w:b/>
          <w:sz w:val="24"/>
          <w:szCs w:val="24"/>
        </w:rPr>
        <w:sectPr w:rsidR="008F0297" w:rsidSect="00C87772">
          <w:pgSz w:w="15840" w:h="12240" w:orient="landscape" w:code="1"/>
          <w:pgMar w:top="1440" w:right="1440" w:bottom="1440" w:left="1440" w:header="720" w:footer="720" w:gutter="0"/>
          <w:cols w:space="720"/>
          <w:docGrid w:linePitch="360"/>
        </w:sectPr>
      </w:pPr>
    </w:p>
    <w:p w14:paraId="3F95538A" w14:textId="785C7609"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RTI</w:t>
      </w:r>
      <w:r w:rsidR="00B3646A">
        <w:rPr>
          <w:rFonts w:ascii="Times New Roman" w:eastAsia="Times New Roman" w:hAnsi="Times New Roman" w:cs="Times New Roman"/>
          <w:sz w:val="24"/>
          <w:szCs w:val="20"/>
        </w:rPr>
        <w:t xml:space="preserve"> International</w:t>
      </w:r>
      <w:r w:rsidRPr="008763C2">
        <w:rPr>
          <w:rFonts w:ascii="Times New Roman" w:eastAsia="Times New Roman" w:hAnsi="Times New Roman" w:cs="Times New Roman"/>
          <w:sz w:val="24"/>
          <w:szCs w:val="20"/>
        </w:rPr>
        <w:t xml:space="preserve">, the research organization </w:t>
      </w:r>
      <w:r w:rsidR="00B3646A">
        <w:rPr>
          <w:rFonts w:ascii="Times New Roman" w:eastAsia="Times New Roman" w:hAnsi="Times New Roman" w:cs="Times New Roman"/>
          <w:sz w:val="24"/>
          <w:szCs w:val="20"/>
        </w:rPr>
        <w:t>contracted to manage data collection</w:t>
      </w:r>
      <w:r w:rsidRPr="008763C2">
        <w:rPr>
          <w:rFonts w:ascii="Times New Roman" w:eastAsia="Times New Roman" w:hAnsi="Times New Roman" w:cs="Times New Roman"/>
          <w:sz w:val="24"/>
          <w:szCs w:val="20"/>
        </w:rPr>
        <w:t>, will</w:t>
      </w:r>
      <w:r w:rsidR="00160B40">
        <w:rPr>
          <w:rFonts w:ascii="Times New Roman" w:eastAsia="Times New Roman" w:hAnsi="Times New Roman" w:cs="Times New Roman"/>
          <w:sz w:val="24"/>
          <w:szCs w:val="20"/>
        </w:rPr>
        <w:t xml:space="preserve">, in collaboration with FDA investigators, </w:t>
      </w:r>
      <w:r w:rsidRPr="008763C2">
        <w:rPr>
          <w:rFonts w:ascii="Times New Roman" w:eastAsia="Times New Roman" w:hAnsi="Times New Roman" w:cs="Times New Roman"/>
          <w:sz w:val="24"/>
          <w:szCs w:val="20"/>
        </w:rPr>
        <w:t xml:space="preserve">analyze the data collected from this study, the results of which will inform </w:t>
      </w:r>
      <w:r w:rsidR="00CA4BDB">
        <w:rPr>
          <w:rFonts w:ascii="Times New Roman" w:eastAsia="Times New Roman" w:hAnsi="Times New Roman" w:cs="Times New Roman"/>
          <w:sz w:val="24"/>
          <w:szCs w:val="20"/>
        </w:rPr>
        <w:t>FDA</w:t>
      </w:r>
      <w:r w:rsidRPr="008763C2">
        <w:rPr>
          <w:rFonts w:ascii="Times New Roman" w:eastAsia="Times New Roman" w:hAnsi="Times New Roman" w:cs="Times New Roman"/>
          <w:sz w:val="24"/>
          <w:szCs w:val="20"/>
        </w:rPr>
        <w:t xml:space="preserve">’s efforts to implement section 201 of the Tobacco Control Act, which requires FDA </w:t>
      </w:r>
      <w:r w:rsidR="00C22AD1">
        <w:rPr>
          <w:rFonts w:ascii="Times New Roman" w:eastAsia="Times New Roman" w:hAnsi="Times New Roman" w:cs="Times New Roman"/>
          <w:sz w:val="24"/>
          <w:szCs w:val="20"/>
        </w:rPr>
        <w:t xml:space="preserve">to </w:t>
      </w:r>
      <w:r w:rsidRPr="008763C2">
        <w:rPr>
          <w:rFonts w:ascii="Times New Roman" w:eastAsia="Times New Roman" w:hAnsi="Times New Roman" w:cs="Times New Roman"/>
          <w:sz w:val="24"/>
          <w:szCs w:val="20"/>
        </w:rPr>
        <w:t xml:space="preserve">issue regulations to implement textual warning statements accompanied by color graphics depicting the negative health consequences of </w:t>
      </w:r>
      <w:r w:rsidR="00C22AD1">
        <w:rPr>
          <w:rFonts w:ascii="Times New Roman" w:eastAsia="Times New Roman" w:hAnsi="Times New Roman" w:cs="Times New Roman"/>
          <w:sz w:val="24"/>
          <w:szCs w:val="20"/>
        </w:rPr>
        <w:t xml:space="preserve">cigarette </w:t>
      </w:r>
      <w:r w:rsidRPr="008763C2">
        <w:rPr>
          <w:rFonts w:ascii="Times New Roman" w:eastAsia="Times New Roman" w:hAnsi="Times New Roman" w:cs="Times New Roman"/>
          <w:sz w:val="24"/>
          <w:szCs w:val="20"/>
        </w:rPr>
        <w:t>smoking.</w:t>
      </w:r>
      <w:r w:rsidR="00710D44">
        <w:rPr>
          <w:rFonts w:ascii="Times New Roman" w:eastAsia="Times New Roman" w:hAnsi="Times New Roman" w:cs="Times New Roman"/>
          <w:sz w:val="24"/>
          <w:szCs w:val="20"/>
        </w:rPr>
        <w:t xml:space="preserve">  The analysis will be guided by a pre-specified Statistical Analysis Plan that lays out the specific analytic approaches to be performed and the power analysis that informed the design of the study, both of which are also described below.</w:t>
      </w:r>
    </w:p>
    <w:p w14:paraId="5EB2BAF5" w14:textId="77777777" w:rsidR="008763C2" w:rsidRPr="008763C2" w:rsidRDefault="008763C2" w:rsidP="008A0BB4">
      <w:pPr>
        <w:spacing w:before="100" w:beforeAutospacing="1" w:after="100" w:afterAutospacing="1" w:line="240" w:lineRule="auto"/>
        <w:rPr>
          <w:rFonts w:ascii="Times New Roman" w:eastAsia="Times New Roman" w:hAnsi="Times New Roman" w:cs="Times New Roman"/>
          <w:b/>
          <w:bCs/>
          <w:i/>
          <w:iCs/>
          <w:sz w:val="24"/>
          <w:szCs w:val="24"/>
        </w:rPr>
      </w:pPr>
      <w:r w:rsidRPr="008763C2">
        <w:rPr>
          <w:rFonts w:ascii="Times New Roman" w:eastAsia="Times New Roman" w:hAnsi="Times New Roman" w:cs="Times New Roman"/>
          <w:b/>
          <w:bCs/>
          <w:i/>
          <w:iCs/>
          <w:sz w:val="24"/>
          <w:szCs w:val="24"/>
        </w:rPr>
        <w:t>Power</w:t>
      </w:r>
    </w:p>
    <w:p w14:paraId="09BB4371" w14:textId="4736F8E7" w:rsidR="00813E76" w:rsidRPr="00813E76" w:rsidRDefault="00813E76" w:rsidP="008A0BB4">
      <w:pPr>
        <w:spacing w:after="0" w:line="320" w:lineRule="exact"/>
        <w:ind w:firstLine="720"/>
        <w:rPr>
          <w:rFonts w:asciiTheme="majorBidi" w:hAnsiTheme="majorBidi" w:cstheme="majorBidi"/>
          <w:sz w:val="24"/>
          <w:szCs w:val="24"/>
        </w:rPr>
      </w:pPr>
      <w:r w:rsidRPr="00813E76">
        <w:rPr>
          <w:rFonts w:asciiTheme="majorBidi" w:hAnsiTheme="majorBidi" w:cstheme="majorBidi"/>
          <w:sz w:val="24"/>
          <w:szCs w:val="24"/>
        </w:rPr>
        <w:t xml:space="preserve">As part of the planning for this study, </w:t>
      </w:r>
      <w:r w:rsidR="00160B40">
        <w:rPr>
          <w:rFonts w:asciiTheme="majorBidi" w:hAnsiTheme="majorBidi" w:cstheme="majorBidi"/>
          <w:sz w:val="24"/>
          <w:szCs w:val="24"/>
        </w:rPr>
        <w:t xml:space="preserve">FDA worked with </w:t>
      </w:r>
      <w:r w:rsidR="00710D44">
        <w:rPr>
          <w:rFonts w:asciiTheme="majorBidi" w:hAnsiTheme="majorBidi" w:cstheme="majorBidi"/>
          <w:sz w:val="24"/>
          <w:szCs w:val="24"/>
        </w:rPr>
        <w:t>the contractor managing the data collection</w:t>
      </w:r>
      <w:r w:rsidR="00710D44" w:rsidRPr="00813E76">
        <w:rPr>
          <w:rFonts w:asciiTheme="majorBidi" w:hAnsiTheme="majorBidi" w:cstheme="majorBidi"/>
          <w:sz w:val="24"/>
          <w:szCs w:val="24"/>
        </w:rPr>
        <w:t xml:space="preserve"> </w:t>
      </w:r>
      <w:r w:rsidR="00160B40">
        <w:rPr>
          <w:rFonts w:asciiTheme="majorBidi" w:hAnsiTheme="majorBidi" w:cstheme="majorBidi"/>
          <w:sz w:val="24"/>
          <w:szCs w:val="24"/>
        </w:rPr>
        <w:t>to generate</w:t>
      </w:r>
      <w:r w:rsidRPr="00813E76">
        <w:rPr>
          <w:rFonts w:asciiTheme="majorBidi" w:hAnsiTheme="majorBidi" w:cstheme="majorBidi"/>
          <w:sz w:val="24"/>
          <w:szCs w:val="24"/>
        </w:rPr>
        <w:t xml:space="preserve"> power calculations </w:t>
      </w:r>
      <w:r w:rsidR="00127401" w:rsidRPr="00127401">
        <w:rPr>
          <w:rFonts w:asciiTheme="majorBidi" w:hAnsiTheme="majorBidi" w:cstheme="majorBidi"/>
          <w:sz w:val="24"/>
          <w:szCs w:val="24"/>
        </w:rPr>
        <w:t xml:space="preserve">to confirm that </w:t>
      </w:r>
      <w:r w:rsidR="00B3646A">
        <w:rPr>
          <w:rFonts w:asciiTheme="majorBidi" w:hAnsiTheme="majorBidi" w:cstheme="majorBidi"/>
          <w:sz w:val="24"/>
          <w:szCs w:val="24"/>
        </w:rPr>
        <w:t>the</w:t>
      </w:r>
      <w:r w:rsidR="00B3646A" w:rsidRPr="00127401">
        <w:rPr>
          <w:rFonts w:asciiTheme="majorBidi" w:hAnsiTheme="majorBidi" w:cstheme="majorBidi"/>
          <w:sz w:val="24"/>
          <w:szCs w:val="24"/>
        </w:rPr>
        <w:t xml:space="preserve"> </w:t>
      </w:r>
      <w:r w:rsidR="00127401" w:rsidRPr="00127401">
        <w:rPr>
          <w:rFonts w:asciiTheme="majorBidi" w:hAnsiTheme="majorBidi" w:cstheme="majorBidi"/>
          <w:sz w:val="24"/>
          <w:szCs w:val="24"/>
        </w:rPr>
        <w:t xml:space="preserve">overall sample size (shown in Table 1) </w:t>
      </w:r>
      <w:r w:rsidR="00B3646A">
        <w:rPr>
          <w:rFonts w:asciiTheme="majorBidi" w:hAnsiTheme="majorBidi" w:cstheme="majorBidi"/>
          <w:sz w:val="24"/>
          <w:szCs w:val="24"/>
        </w:rPr>
        <w:t>i</w:t>
      </w:r>
      <w:r w:rsidR="00B3646A" w:rsidRPr="00127401">
        <w:rPr>
          <w:rFonts w:asciiTheme="majorBidi" w:hAnsiTheme="majorBidi" w:cstheme="majorBidi"/>
          <w:sz w:val="24"/>
          <w:szCs w:val="24"/>
        </w:rPr>
        <w:t xml:space="preserve">s </w:t>
      </w:r>
      <w:r w:rsidR="00127401" w:rsidRPr="00127401">
        <w:rPr>
          <w:rFonts w:asciiTheme="majorBidi" w:hAnsiTheme="majorBidi" w:cstheme="majorBidi"/>
          <w:sz w:val="24"/>
          <w:szCs w:val="24"/>
        </w:rPr>
        <w:t xml:space="preserve">sufficiently powered </w:t>
      </w:r>
      <w:r w:rsidR="00127401">
        <w:rPr>
          <w:rFonts w:asciiTheme="majorBidi" w:hAnsiTheme="majorBidi" w:cstheme="majorBidi"/>
          <w:sz w:val="24"/>
          <w:szCs w:val="24"/>
        </w:rPr>
        <w:t xml:space="preserve">and </w:t>
      </w:r>
      <w:r w:rsidR="00B3646A">
        <w:rPr>
          <w:rFonts w:asciiTheme="majorBidi" w:hAnsiTheme="majorBidi" w:cstheme="majorBidi"/>
          <w:sz w:val="24"/>
          <w:szCs w:val="24"/>
        </w:rPr>
        <w:t xml:space="preserve">to </w:t>
      </w:r>
      <w:r w:rsidRPr="00813E76">
        <w:rPr>
          <w:rFonts w:asciiTheme="majorBidi" w:hAnsiTheme="majorBidi" w:cstheme="majorBidi"/>
          <w:sz w:val="24"/>
          <w:szCs w:val="24"/>
        </w:rPr>
        <w:t xml:space="preserve">determine the optimal </w:t>
      </w:r>
      <w:r w:rsidR="007D0E61">
        <w:rPr>
          <w:rFonts w:asciiTheme="majorBidi" w:hAnsiTheme="majorBidi" w:cstheme="majorBidi"/>
          <w:sz w:val="24"/>
          <w:szCs w:val="24"/>
        </w:rPr>
        <w:t xml:space="preserve">sample size and </w:t>
      </w:r>
      <w:r w:rsidRPr="00813E76">
        <w:rPr>
          <w:rFonts w:asciiTheme="majorBidi" w:hAnsiTheme="majorBidi" w:cstheme="majorBidi"/>
          <w:sz w:val="24"/>
          <w:szCs w:val="24"/>
        </w:rPr>
        <w:t>allocation of sample across study conditions.</w:t>
      </w:r>
      <w:r w:rsidR="007D0E61">
        <w:rPr>
          <w:rFonts w:asciiTheme="majorBidi" w:hAnsiTheme="majorBidi" w:cstheme="majorBidi"/>
          <w:sz w:val="24"/>
          <w:szCs w:val="24"/>
        </w:rPr>
        <w:t xml:space="preserve"> </w:t>
      </w:r>
      <w:r w:rsidR="00B3646A">
        <w:rPr>
          <w:rFonts w:asciiTheme="majorBidi" w:hAnsiTheme="majorBidi" w:cstheme="majorBidi"/>
          <w:sz w:val="24"/>
          <w:szCs w:val="24"/>
        </w:rPr>
        <w:t xml:space="preserve"> </w:t>
      </w:r>
      <w:r w:rsidRPr="00813E76">
        <w:rPr>
          <w:rFonts w:asciiTheme="majorBidi" w:hAnsiTheme="majorBidi" w:cstheme="majorBidi"/>
          <w:sz w:val="24"/>
          <w:szCs w:val="24"/>
        </w:rPr>
        <w:t xml:space="preserve">To control for Type 1 error taking into account multiple </w:t>
      </w:r>
      <w:r w:rsidR="00160B40">
        <w:rPr>
          <w:rFonts w:asciiTheme="majorBidi" w:hAnsiTheme="majorBidi" w:cstheme="majorBidi"/>
          <w:sz w:val="24"/>
          <w:szCs w:val="24"/>
        </w:rPr>
        <w:t>comparisons</w:t>
      </w:r>
      <w:r w:rsidRPr="00813E76">
        <w:rPr>
          <w:rFonts w:asciiTheme="majorBidi" w:hAnsiTheme="majorBidi" w:cstheme="majorBidi"/>
          <w:sz w:val="24"/>
          <w:szCs w:val="24"/>
        </w:rPr>
        <w:t>, power calculations were based on the false discovery rate (FDR).</w:t>
      </w:r>
      <w:r w:rsidR="00C22AD1">
        <w:rPr>
          <w:rStyle w:val="FootnoteReference"/>
          <w:rFonts w:asciiTheme="majorBidi" w:hAnsiTheme="majorBidi" w:cstheme="majorBidi"/>
          <w:sz w:val="24"/>
          <w:szCs w:val="24"/>
        </w:rPr>
        <w:footnoteReference w:id="1"/>
      </w:r>
      <w:r w:rsidRPr="00813E76">
        <w:rPr>
          <w:rFonts w:asciiTheme="majorBidi" w:hAnsiTheme="majorBidi" w:cstheme="majorBidi"/>
          <w:sz w:val="24"/>
          <w:szCs w:val="24"/>
        </w:rPr>
        <w:t xml:space="preserve"> </w:t>
      </w:r>
      <w:r w:rsidR="001A4D44">
        <w:rPr>
          <w:rFonts w:asciiTheme="majorBidi" w:hAnsiTheme="majorBidi" w:cstheme="majorBidi"/>
          <w:sz w:val="24"/>
          <w:szCs w:val="24"/>
        </w:rPr>
        <w:t xml:space="preserve"> </w:t>
      </w:r>
      <w:r w:rsidRPr="00813E76">
        <w:rPr>
          <w:rFonts w:asciiTheme="majorBidi" w:hAnsiTheme="majorBidi" w:cstheme="majorBidi"/>
          <w:sz w:val="24"/>
          <w:szCs w:val="24"/>
        </w:rPr>
        <w:t>Assuming the tests are independent, the FDR is the expected proportion of significant results that are falsely declared as statistically significant.</w:t>
      </w:r>
      <w:r w:rsidR="001A4D44">
        <w:rPr>
          <w:rFonts w:asciiTheme="majorBidi" w:hAnsiTheme="majorBidi" w:cstheme="majorBidi"/>
          <w:sz w:val="24"/>
          <w:szCs w:val="24"/>
        </w:rPr>
        <w:t xml:space="preserve"> </w:t>
      </w:r>
      <w:r w:rsidRPr="00813E76">
        <w:rPr>
          <w:rFonts w:asciiTheme="majorBidi" w:hAnsiTheme="majorBidi" w:cstheme="majorBidi"/>
          <w:sz w:val="24"/>
          <w:szCs w:val="24"/>
        </w:rPr>
        <w:t xml:space="preserve"> Controlling the FDR is controlling the expected proportion of falsely declared differences (</w:t>
      </w:r>
      <w:r w:rsidR="001A4D44">
        <w:rPr>
          <w:rFonts w:asciiTheme="majorBidi" w:hAnsiTheme="majorBidi" w:cstheme="majorBidi"/>
          <w:sz w:val="24"/>
          <w:szCs w:val="24"/>
        </w:rPr>
        <w:t xml:space="preserve">i.e., </w:t>
      </w:r>
      <w:r w:rsidRPr="00813E76">
        <w:rPr>
          <w:rFonts w:asciiTheme="majorBidi" w:hAnsiTheme="majorBidi" w:cstheme="majorBidi"/>
          <w:sz w:val="24"/>
          <w:szCs w:val="24"/>
        </w:rPr>
        <w:t xml:space="preserve">false discoveries). </w:t>
      </w:r>
      <w:r w:rsidR="001A4D44">
        <w:rPr>
          <w:rFonts w:asciiTheme="majorBidi" w:hAnsiTheme="majorBidi" w:cstheme="majorBidi"/>
          <w:sz w:val="24"/>
          <w:szCs w:val="24"/>
        </w:rPr>
        <w:t xml:space="preserve"> </w:t>
      </w:r>
      <w:r w:rsidRPr="00813E76">
        <w:rPr>
          <w:rFonts w:asciiTheme="majorBidi" w:hAnsiTheme="majorBidi" w:cstheme="majorBidi"/>
          <w:sz w:val="24"/>
          <w:szCs w:val="24"/>
        </w:rPr>
        <w:t xml:space="preserve">Controlling the FDR is a more powerful method for dealing with multiple comparisons than other methods </w:t>
      </w:r>
      <w:r w:rsidR="001A4D44">
        <w:rPr>
          <w:rFonts w:asciiTheme="majorBidi" w:hAnsiTheme="majorBidi" w:cstheme="majorBidi"/>
          <w:sz w:val="24"/>
          <w:szCs w:val="24"/>
        </w:rPr>
        <w:t xml:space="preserve">that </w:t>
      </w:r>
      <w:r w:rsidRPr="00813E76">
        <w:rPr>
          <w:rFonts w:asciiTheme="majorBidi" w:hAnsiTheme="majorBidi" w:cstheme="majorBidi"/>
          <w:sz w:val="24"/>
          <w:szCs w:val="24"/>
        </w:rPr>
        <w:t>control the family</w:t>
      </w:r>
      <w:r w:rsidR="006961A4">
        <w:rPr>
          <w:rFonts w:asciiTheme="majorBidi" w:hAnsiTheme="majorBidi" w:cstheme="majorBidi"/>
          <w:sz w:val="24"/>
          <w:szCs w:val="24"/>
        </w:rPr>
        <w:t>-</w:t>
      </w:r>
      <w:r w:rsidRPr="00813E76">
        <w:rPr>
          <w:rFonts w:asciiTheme="majorBidi" w:hAnsiTheme="majorBidi" w:cstheme="majorBidi"/>
          <w:sz w:val="24"/>
          <w:szCs w:val="24"/>
        </w:rPr>
        <w:t>wise error rate</w:t>
      </w:r>
      <w:r w:rsidR="00160B40">
        <w:rPr>
          <w:rFonts w:asciiTheme="majorBidi" w:hAnsiTheme="majorBidi" w:cstheme="majorBidi"/>
          <w:sz w:val="24"/>
          <w:szCs w:val="24"/>
        </w:rPr>
        <w:t xml:space="preserve"> such as </w:t>
      </w:r>
      <w:r w:rsidR="00710D44">
        <w:rPr>
          <w:rFonts w:asciiTheme="majorBidi" w:hAnsiTheme="majorBidi" w:cstheme="majorBidi"/>
          <w:sz w:val="24"/>
          <w:szCs w:val="24"/>
        </w:rPr>
        <w:t>the Bonferroni procedure</w:t>
      </w:r>
      <w:r w:rsidRPr="00813E76">
        <w:rPr>
          <w:rFonts w:asciiTheme="majorBidi" w:hAnsiTheme="majorBidi" w:cstheme="majorBidi"/>
          <w:sz w:val="24"/>
          <w:szCs w:val="24"/>
        </w:rPr>
        <w:t>.</w:t>
      </w:r>
      <w:r w:rsidR="00C22AD1">
        <w:rPr>
          <w:rStyle w:val="FootnoteReference"/>
          <w:rFonts w:asciiTheme="majorBidi" w:hAnsiTheme="majorBidi" w:cstheme="majorBidi"/>
          <w:sz w:val="24"/>
          <w:szCs w:val="24"/>
        </w:rPr>
        <w:footnoteReference w:id="2"/>
      </w:r>
      <w:r w:rsidRPr="00813E76">
        <w:rPr>
          <w:rFonts w:asciiTheme="majorBidi" w:hAnsiTheme="majorBidi" w:cstheme="majorBidi"/>
          <w:sz w:val="24"/>
          <w:szCs w:val="24"/>
        </w:rPr>
        <w:t xml:space="preserve"> </w:t>
      </w:r>
    </w:p>
    <w:p w14:paraId="7016F1E2" w14:textId="661AE04D" w:rsidR="00813E76" w:rsidRDefault="00160B40" w:rsidP="00C87772">
      <w:pPr>
        <w:spacing w:after="0" w:line="320" w:lineRule="exact"/>
        <w:ind w:firstLine="720"/>
        <w:rPr>
          <w:rFonts w:asciiTheme="majorBidi" w:hAnsiTheme="majorBidi" w:cstheme="majorBidi"/>
          <w:sz w:val="24"/>
          <w:szCs w:val="24"/>
        </w:rPr>
      </w:pPr>
      <w:r>
        <w:rPr>
          <w:rFonts w:asciiTheme="majorBidi" w:hAnsiTheme="majorBidi" w:cstheme="majorBidi"/>
          <w:sz w:val="24"/>
          <w:szCs w:val="24"/>
        </w:rPr>
        <w:t xml:space="preserve">To inform </w:t>
      </w:r>
      <w:r w:rsidR="00813E76" w:rsidRPr="00813E76">
        <w:rPr>
          <w:rFonts w:asciiTheme="majorBidi" w:hAnsiTheme="majorBidi" w:cstheme="majorBidi"/>
          <w:sz w:val="24"/>
          <w:szCs w:val="24"/>
        </w:rPr>
        <w:t>the overall study sample s</w:t>
      </w:r>
      <w:r w:rsidR="00813E76">
        <w:rPr>
          <w:rFonts w:asciiTheme="majorBidi" w:hAnsiTheme="majorBidi" w:cstheme="majorBidi"/>
          <w:sz w:val="24"/>
          <w:szCs w:val="24"/>
        </w:rPr>
        <w:t xml:space="preserve">ize, </w:t>
      </w:r>
      <w:r>
        <w:rPr>
          <w:rFonts w:asciiTheme="majorBidi" w:hAnsiTheme="majorBidi" w:cstheme="majorBidi"/>
          <w:sz w:val="24"/>
          <w:szCs w:val="24"/>
        </w:rPr>
        <w:t xml:space="preserve">FDA worked with </w:t>
      </w:r>
      <w:r w:rsidR="001A4D44">
        <w:rPr>
          <w:rFonts w:asciiTheme="majorBidi" w:hAnsiTheme="majorBidi" w:cstheme="majorBidi"/>
          <w:sz w:val="24"/>
          <w:szCs w:val="24"/>
        </w:rPr>
        <w:t xml:space="preserve">RTI </w:t>
      </w:r>
      <w:r>
        <w:rPr>
          <w:rFonts w:asciiTheme="majorBidi" w:hAnsiTheme="majorBidi" w:cstheme="majorBidi"/>
          <w:sz w:val="24"/>
          <w:szCs w:val="24"/>
        </w:rPr>
        <w:t xml:space="preserve">to </w:t>
      </w:r>
      <w:r w:rsidR="00813E76" w:rsidRPr="00813E76">
        <w:rPr>
          <w:rFonts w:asciiTheme="majorBidi" w:hAnsiTheme="majorBidi" w:cstheme="majorBidi"/>
          <w:sz w:val="24"/>
          <w:szCs w:val="24"/>
        </w:rPr>
        <w:t>calculate</w:t>
      </w:r>
      <w:r>
        <w:rPr>
          <w:rFonts w:asciiTheme="majorBidi" w:hAnsiTheme="majorBidi" w:cstheme="majorBidi"/>
          <w:sz w:val="24"/>
          <w:szCs w:val="24"/>
        </w:rPr>
        <w:t xml:space="preserve"> the</w:t>
      </w:r>
      <w:r w:rsidR="00813E76" w:rsidRPr="00813E76">
        <w:rPr>
          <w:rFonts w:asciiTheme="majorBidi" w:hAnsiTheme="majorBidi" w:cstheme="majorBidi"/>
          <w:sz w:val="24"/>
          <w:szCs w:val="24"/>
        </w:rPr>
        <w:t xml:space="preserve"> power </w:t>
      </w:r>
      <w:r w:rsidR="00813E76">
        <w:rPr>
          <w:rFonts w:asciiTheme="majorBidi" w:hAnsiTheme="majorBidi" w:cstheme="majorBidi"/>
          <w:sz w:val="24"/>
          <w:szCs w:val="24"/>
        </w:rPr>
        <w:t>to detect a difference from Session 1 to Session 2 between treatment and control groups</w:t>
      </w:r>
      <w:r w:rsidR="00127401">
        <w:rPr>
          <w:rFonts w:asciiTheme="majorBidi" w:hAnsiTheme="majorBidi" w:cstheme="majorBidi"/>
          <w:sz w:val="24"/>
          <w:szCs w:val="24"/>
        </w:rPr>
        <w:t xml:space="preserve"> (i.e.</w:t>
      </w:r>
      <w:r w:rsidR="001A4D44">
        <w:rPr>
          <w:rFonts w:asciiTheme="majorBidi" w:hAnsiTheme="majorBidi" w:cstheme="majorBidi"/>
          <w:sz w:val="24"/>
          <w:szCs w:val="24"/>
        </w:rPr>
        <w:t>,</w:t>
      </w:r>
      <w:r w:rsidR="00127401">
        <w:rPr>
          <w:rFonts w:asciiTheme="majorBidi" w:hAnsiTheme="majorBidi" w:cstheme="majorBidi"/>
          <w:sz w:val="24"/>
          <w:szCs w:val="24"/>
        </w:rPr>
        <w:t xml:space="preserve"> difference in difference)</w:t>
      </w:r>
      <w:r w:rsidR="00EC2748">
        <w:rPr>
          <w:rFonts w:asciiTheme="majorBidi" w:hAnsiTheme="majorBidi" w:cstheme="majorBidi"/>
          <w:sz w:val="24"/>
          <w:szCs w:val="24"/>
        </w:rPr>
        <w:t xml:space="preserve"> (Table 2 provides power estimates </w:t>
      </w:r>
      <w:r w:rsidR="006961A4">
        <w:rPr>
          <w:rFonts w:asciiTheme="majorBidi" w:hAnsiTheme="majorBidi" w:cstheme="majorBidi"/>
          <w:sz w:val="24"/>
          <w:szCs w:val="24"/>
        </w:rPr>
        <w:t xml:space="preserve">for Session 2 </w:t>
      </w:r>
      <w:r w:rsidR="00EC2748">
        <w:rPr>
          <w:rFonts w:asciiTheme="majorBidi" w:hAnsiTheme="majorBidi" w:cstheme="majorBidi"/>
          <w:sz w:val="24"/>
          <w:szCs w:val="24"/>
        </w:rPr>
        <w:t>across various scenarios)</w:t>
      </w:r>
      <w:r w:rsidR="00813E76">
        <w:rPr>
          <w:rFonts w:asciiTheme="majorBidi" w:hAnsiTheme="majorBidi" w:cstheme="majorBidi"/>
          <w:sz w:val="24"/>
          <w:szCs w:val="24"/>
        </w:rPr>
        <w:t>.</w:t>
      </w:r>
      <w:r w:rsidR="00977D1D">
        <w:rPr>
          <w:rFonts w:asciiTheme="majorBidi" w:hAnsiTheme="majorBidi" w:cstheme="majorBidi"/>
          <w:sz w:val="24"/>
          <w:szCs w:val="24"/>
        </w:rPr>
        <w:t xml:space="preserve"> </w:t>
      </w:r>
      <w:r w:rsidR="001A4D44">
        <w:rPr>
          <w:rFonts w:asciiTheme="majorBidi" w:hAnsiTheme="majorBidi" w:cstheme="majorBidi"/>
          <w:sz w:val="24"/>
          <w:szCs w:val="24"/>
        </w:rPr>
        <w:t xml:space="preserve"> </w:t>
      </w:r>
      <w:r w:rsidR="00710D44">
        <w:rPr>
          <w:rFonts w:asciiTheme="majorBidi" w:hAnsiTheme="majorBidi" w:cstheme="majorBidi"/>
          <w:sz w:val="24"/>
          <w:szCs w:val="24"/>
        </w:rPr>
        <w:t xml:space="preserve">The power analysis </w:t>
      </w:r>
      <w:r w:rsidR="00813E76">
        <w:rPr>
          <w:rFonts w:asciiTheme="majorBidi" w:hAnsiTheme="majorBidi" w:cstheme="majorBidi"/>
          <w:sz w:val="24"/>
          <w:szCs w:val="24"/>
        </w:rPr>
        <w:t xml:space="preserve">calculated power to detect a 0.3 difference on a 7-point scale (assuming a standard deviation of 1) under different scenarios with variation in FDR, within-person correlation between Session 1 and 2, and sample allocation. </w:t>
      </w:r>
      <w:r w:rsidR="00710D44">
        <w:rPr>
          <w:rFonts w:asciiTheme="majorBidi" w:hAnsiTheme="majorBidi" w:cstheme="majorBidi"/>
          <w:sz w:val="24"/>
          <w:szCs w:val="24"/>
        </w:rPr>
        <w:t xml:space="preserve">A </w:t>
      </w:r>
      <w:r w:rsidR="00813E76">
        <w:rPr>
          <w:rFonts w:asciiTheme="majorBidi" w:hAnsiTheme="majorBidi" w:cstheme="majorBidi"/>
          <w:sz w:val="24"/>
          <w:szCs w:val="24"/>
        </w:rPr>
        <w:t xml:space="preserve">conservative 50% retention </w:t>
      </w:r>
      <w:r w:rsidR="00710D44">
        <w:rPr>
          <w:rFonts w:asciiTheme="majorBidi" w:hAnsiTheme="majorBidi" w:cstheme="majorBidi"/>
          <w:sz w:val="24"/>
          <w:szCs w:val="24"/>
        </w:rPr>
        <w:t>was used as an assumption between</w:t>
      </w:r>
      <w:r w:rsidR="00813E76">
        <w:rPr>
          <w:rFonts w:asciiTheme="majorBidi" w:hAnsiTheme="majorBidi" w:cstheme="majorBidi"/>
          <w:sz w:val="24"/>
          <w:szCs w:val="24"/>
        </w:rPr>
        <w:t xml:space="preserve"> Session 1 to Session 2</w:t>
      </w:r>
      <w:r w:rsidR="00710D44">
        <w:rPr>
          <w:rFonts w:asciiTheme="majorBidi" w:hAnsiTheme="majorBidi" w:cstheme="majorBidi"/>
          <w:sz w:val="24"/>
          <w:szCs w:val="24"/>
        </w:rPr>
        <w:t xml:space="preserve"> for the purposes of the power calculations</w:t>
      </w:r>
      <w:r w:rsidR="00813E76">
        <w:rPr>
          <w:rFonts w:asciiTheme="majorBidi" w:hAnsiTheme="majorBidi" w:cstheme="majorBidi"/>
          <w:sz w:val="24"/>
          <w:szCs w:val="24"/>
        </w:rPr>
        <w:t xml:space="preserve">. </w:t>
      </w:r>
      <w:r w:rsidR="001A4D44">
        <w:rPr>
          <w:rFonts w:asciiTheme="majorBidi" w:hAnsiTheme="majorBidi" w:cstheme="majorBidi"/>
          <w:sz w:val="24"/>
          <w:szCs w:val="24"/>
        </w:rPr>
        <w:t xml:space="preserve"> </w:t>
      </w:r>
      <w:r w:rsidR="00813E76">
        <w:rPr>
          <w:rFonts w:asciiTheme="majorBidi" w:hAnsiTheme="majorBidi" w:cstheme="majorBidi"/>
          <w:sz w:val="24"/>
          <w:szCs w:val="24"/>
        </w:rPr>
        <w:t>Power calculations were computed using 1</w:t>
      </w:r>
      <w:r w:rsidR="00813E76" w:rsidRPr="00813E76">
        <w:rPr>
          <w:rFonts w:asciiTheme="majorBidi" w:hAnsiTheme="majorBidi" w:cstheme="majorBidi"/>
          <w:sz w:val="24"/>
          <w:szCs w:val="24"/>
        </w:rPr>
        <w:t xml:space="preserve">00 simulations </w:t>
      </w:r>
      <w:r w:rsidR="00813E76">
        <w:rPr>
          <w:rFonts w:asciiTheme="majorBidi" w:hAnsiTheme="majorBidi" w:cstheme="majorBidi"/>
          <w:sz w:val="24"/>
          <w:szCs w:val="24"/>
        </w:rPr>
        <w:t xml:space="preserve">for each sample allocation </w:t>
      </w:r>
      <w:r w:rsidR="00813E76" w:rsidRPr="00813E76">
        <w:rPr>
          <w:rFonts w:asciiTheme="majorBidi" w:hAnsiTheme="majorBidi" w:cstheme="majorBidi"/>
          <w:sz w:val="24"/>
          <w:szCs w:val="24"/>
        </w:rPr>
        <w:t>in SAS v9.4.</w:t>
      </w:r>
      <w:r w:rsidR="00EC2748">
        <w:rPr>
          <w:rFonts w:asciiTheme="majorBidi" w:hAnsiTheme="majorBidi" w:cstheme="majorBidi"/>
          <w:sz w:val="24"/>
          <w:szCs w:val="24"/>
        </w:rPr>
        <w:t xml:space="preserve"> </w:t>
      </w:r>
    </w:p>
    <w:p w14:paraId="3B4A4EE8" w14:textId="05DED9F7" w:rsidR="00813E76" w:rsidRDefault="00813E76" w:rsidP="00C87772">
      <w:pPr>
        <w:spacing w:after="0" w:line="320" w:lineRule="exact"/>
        <w:ind w:firstLine="720"/>
        <w:rPr>
          <w:rFonts w:asciiTheme="majorBidi" w:hAnsiTheme="majorBidi" w:cstheme="majorBidi"/>
          <w:sz w:val="24"/>
          <w:szCs w:val="24"/>
        </w:rPr>
      </w:pPr>
      <w:r>
        <w:rPr>
          <w:rFonts w:asciiTheme="majorBidi" w:hAnsiTheme="majorBidi" w:cstheme="majorBidi"/>
          <w:sz w:val="24"/>
          <w:szCs w:val="24"/>
        </w:rPr>
        <w:t xml:space="preserve">Across various assumptions of correlation and FDR, </w:t>
      </w:r>
      <w:r w:rsidR="00710D44">
        <w:rPr>
          <w:rFonts w:asciiTheme="majorBidi" w:hAnsiTheme="majorBidi" w:cstheme="majorBidi"/>
          <w:sz w:val="24"/>
          <w:szCs w:val="24"/>
        </w:rPr>
        <w:t>the power analysis showed</w:t>
      </w:r>
      <w:r>
        <w:rPr>
          <w:rFonts w:asciiTheme="majorBidi" w:hAnsiTheme="majorBidi" w:cstheme="majorBidi"/>
          <w:sz w:val="24"/>
          <w:szCs w:val="24"/>
        </w:rPr>
        <w:t xml:space="preserve"> generally higher levels of power using an optimized sample allocation with between 1,760 </w:t>
      </w:r>
      <w:r w:rsidR="001A4D44">
        <w:rPr>
          <w:rFonts w:asciiTheme="majorBidi" w:hAnsiTheme="majorBidi" w:cstheme="majorBidi"/>
          <w:sz w:val="24"/>
          <w:szCs w:val="24"/>
        </w:rPr>
        <w:t xml:space="preserve">and </w:t>
      </w:r>
      <w:r>
        <w:rPr>
          <w:rFonts w:asciiTheme="majorBidi" w:hAnsiTheme="majorBidi" w:cstheme="majorBidi"/>
          <w:sz w:val="24"/>
          <w:szCs w:val="24"/>
        </w:rPr>
        <w:t>2,400 participants assigned to the control condition at Session 1 (880-1,200 participants at Session 2, assuming 50% retention)</w:t>
      </w:r>
      <w:r w:rsidR="00EC2748">
        <w:rPr>
          <w:rFonts w:asciiTheme="majorBidi" w:hAnsiTheme="majorBidi" w:cstheme="majorBidi"/>
          <w:sz w:val="24"/>
          <w:szCs w:val="24"/>
        </w:rPr>
        <w:t>.</w:t>
      </w:r>
      <w:r>
        <w:rPr>
          <w:rFonts w:asciiTheme="majorBidi" w:hAnsiTheme="majorBidi" w:cstheme="majorBidi"/>
          <w:sz w:val="24"/>
          <w:szCs w:val="24"/>
        </w:rPr>
        <w:t xml:space="preserve"> </w:t>
      </w:r>
    </w:p>
    <w:p w14:paraId="2CC1F206" w14:textId="67395663" w:rsidR="00813E76" w:rsidRDefault="00813E76" w:rsidP="008A0BB4">
      <w:pPr>
        <w:spacing w:after="0" w:line="320" w:lineRule="exact"/>
        <w:ind w:firstLine="720"/>
        <w:rPr>
          <w:rFonts w:asciiTheme="majorBidi" w:hAnsiTheme="majorBidi" w:cstheme="majorBidi"/>
          <w:sz w:val="24"/>
          <w:szCs w:val="24"/>
        </w:rPr>
      </w:pPr>
      <w:r w:rsidRPr="00813E76">
        <w:rPr>
          <w:rFonts w:asciiTheme="majorBidi" w:hAnsiTheme="majorBidi" w:cstheme="majorBidi"/>
          <w:sz w:val="24"/>
          <w:szCs w:val="24"/>
        </w:rPr>
        <w:t xml:space="preserve">Based on this analysis showing that higher power is achieved with an unbalanced allocation, </w:t>
      </w:r>
      <w:r w:rsidR="00F41D34">
        <w:rPr>
          <w:rFonts w:asciiTheme="majorBidi" w:hAnsiTheme="majorBidi" w:cstheme="majorBidi"/>
          <w:sz w:val="24"/>
          <w:szCs w:val="24"/>
        </w:rPr>
        <w:t>the final design</w:t>
      </w:r>
      <w:r w:rsidRPr="00813E76">
        <w:rPr>
          <w:rFonts w:asciiTheme="majorBidi" w:hAnsiTheme="majorBidi" w:cstheme="majorBidi"/>
          <w:sz w:val="24"/>
          <w:szCs w:val="24"/>
        </w:rPr>
        <w:t xml:space="preserve"> allocate</w:t>
      </w:r>
      <w:r w:rsidR="00F41D34">
        <w:rPr>
          <w:rFonts w:asciiTheme="majorBidi" w:hAnsiTheme="majorBidi" w:cstheme="majorBidi"/>
          <w:sz w:val="24"/>
          <w:szCs w:val="24"/>
        </w:rPr>
        <w:t>s</w:t>
      </w:r>
      <w:r w:rsidRPr="00813E76">
        <w:rPr>
          <w:rFonts w:asciiTheme="majorBidi" w:hAnsiTheme="majorBidi" w:cstheme="majorBidi"/>
          <w:sz w:val="24"/>
          <w:szCs w:val="24"/>
        </w:rPr>
        <w:t xml:space="preserve"> </w:t>
      </w:r>
      <w:r w:rsidR="007D0E61">
        <w:rPr>
          <w:rFonts w:asciiTheme="majorBidi" w:hAnsiTheme="majorBidi" w:cstheme="majorBidi"/>
          <w:sz w:val="24"/>
          <w:szCs w:val="24"/>
        </w:rPr>
        <w:t>2,080</w:t>
      </w:r>
      <w:r w:rsidRPr="00813E76">
        <w:rPr>
          <w:rFonts w:asciiTheme="majorBidi" w:hAnsiTheme="majorBidi" w:cstheme="majorBidi"/>
          <w:sz w:val="24"/>
          <w:szCs w:val="24"/>
        </w:rPr>
        <w:t xml:space="preserve"> to the control group and </w:t>
      </w:r>
      <w:r w:rsidR="007D0E61">
        <w:rPr>
          <w:rFonts w:asciiTheme="majorBidi" w:hAnsiTheme="majorBidi" w:cstheme="majorBidi"/>
          <w:sz w:val="24"/>
          <w:szCs w:val="24"/>
        </w:rPr>
        <w:t>480</w:t>
      </w:r>
      <w:r w:rsidRPr="00813E76">
        <w:rPr>
          <w:rFonts w:asciiTheme="majorBidi" w:hAnsiTheme="majorBidi" w:cstheme="majorBidi"/>
          <w:sz w:val="24"/>
          <w:szCs w:val="24"/>
        </w:rPr>
        <w:t xml:space="preserve"> to each treatment group</w:t>
      </w:r>
      <w:r w:rsidR="007D0E61">
        <w:rPr>
          <w:rFonts w:asciiTheme="majorBidi" w:hAnsiTheme="majorBidi" w:cstheme="majorBidi"/>
          <w:sz w:val="24"/>
          <w:szCs w:val="24"/>
        </w:rPr>
        <w:t xml:space="preserve"> at Session 1</w:t>
      </w:r>
      <w:r w:rsidRPr="00813E76">
        <w:rPr>
          <w:rFonts w:asciiTheme="majorBidi" w:hAnsiTheme="majorBidi" w:cstheme="majorBidi"/>
          <w:sz w:val="24"/>
          <w:szCs w:val="24"/>
        </w:rPr>
        <w:t>.</w:t>
      </w:r>
    </w:p>
    <w:p w14:paraId="276E9E8E" w14:textId="77777777" w:rsidR="00813E76" w:rsidRDefault="00813E76" w:rsidP="00813E76">
      <w:pPr>
        <w:spacing w:after="0" w:line="320" w:lineRule="exact"/>
        <w:rPr>
          <w:rFonts w:asciiTheme="majorBidi" w:hAnsiTheme="majorBidi" w:cstheme="majorBidi"/>
          <w:sz w:val="24"/>
          <w:szCs w:val="24"/>
        </w:rPr>
      </w:pPr>
    </w:p>
    <w:p w14:paraId="59C58746" w14:textId="77777777" w:rsidR="007D0E61" w:rsidRDefault="007D0E61" w:rsidP="004468D4">
      <w:pPr>
        <w:spacing w:after="120" w:line="320" w:lineRule="exact"/>
        <w:rPr>
          <w:rFonts w:asciiTheme="majorBidi" w:hAnsiTheme="majorBidi" w:cstheme="majorBidi"/>
          <w:sz w:val="24"/>
          <w:szCs w:val="24"/>
        </w:rPr>
      </w:pPr>
      <w:r w:rsidRPr="004468D4">
        <w:rPr>
          <w:rFonts w:asciiTheme="majorBidi" w:hAnsiTheme="majorBidi" w:cstheme="majorBidi"/>
          <w:b/>
          <w:sz w:val="24"/>
          <w:szCs w:val="24"/>
        </w:rPr>
        <w:t xml:space="preserve">Table </w:t>
      </w:r>
      <w:r w:rsidR="00EC2748" w:rsidRPr="004468D4">
        <w:rPr>
          <w:rFonts w:asciiTheme="majorBidi" w:hAnsiTheme="majorBidi" w:cstheme="majorBidi"/>
          <w:b/>
          <w:sz w:val="24"/>
          <w:szCs w:val="24"/>
        </w:rPr>
        <w:t>2. Study Power by Sample Allocation</w:t>
      </w:r>
      <w:r w:rsidR="006961A4">
        <w:rPr>
          <w:rFonts w:asciiTheme="majorBidi" w:hAnsiTheme="majorBidi" w:cstheme="majorBidi"/>
          <w:b/>
          <w:sz w:val="24"/>
          <w:szCs w:val="24"/>
        </w:rPr>
        <w:t xml:space="preserve"> at Session 2</w:t>
      </w:r>
    </w:p>
    <w:tbl>
      <w:tblPr>
        <w:tblW w:w="0" w:type="auto"/>
        <w:tblLayout w:type="fixed"/>
        <w:tblLook w:val="04A0" w:firstRow="1" w:lastRow="0" w:firstColumn="1" w:lastColumn="0" w:noHBand="0" w:noVBand="1"/>
      </w:tblPr>
      <w:tblGrid>
        <w:gridCol w:w="950"/>
        <w:gridCol w:w="1218"/>
        <w:gridCol w:w="1316"/>
        <w:gridCol w:w="688"/>
        <w:gridCol w:w="688"/>
        <w:gridCol w:w="688"/>
        <w:gridCol w:w="688"/>
        <w:gridCol w:w="689"/>
        <w:gridCol w:w="2340"/>
      </w:tblGrid>
      <w:tr w:rsidR="007D0E61" w:rsidRPr="00EC2748" w14:paraId="30FD9AD8" w14:textId="77777777" w:rsidTr="00EC2748">
        <w:trPr>
          <w:trHeight w:val="900"/>
        </w:trPr>
        <w:tc>
          <w:tcPr>
            <w:tcW w:w="2168" w:type="dxa"/>
            <w:gridSpan w:val="2"/>
            <w:tcBorders>
              <w:top w:val="single" w:sz="12" w:space="0" w:color="auto"/>
              <w:bottom w:val="single" w:sz="4" w:space="0" w:color="auto"/>
            </w:tcBorders>
            <w:shd w:val="clear" w:color="auto" w:fill="auto"/>
            <w:noWrap/>
            <w:vAlign w:val="center"/>
            <w:hideMark/>
          </w:tcPr>
          <w:p w14:paraId="09E37288" w14:textId="77777777" w:rsidR="00813E76" w:rsidRPr="004468D4" w:rsidRDefault="00EC274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Sample Allocation</w:t>
            </w:r>
            <w:r w:rsidR="00127401">
              <w:rPr>
                <w:rFonts w:ascii="Times New Roman" w:eastAsia="Times New Roman" w:hAnsi="Times New Roman" w:cs="Times New Roman"/>
                <w:b/>
                <w:color w:val="000000"/>
              </w:rPr>
              <w:t xml:space="preserve"> at Session 2</w:t>
            </w:r>
          </w:p>
        </w:tc>
        <w:tc>
          <w:tcPr>
            <w:tcW w:w="1316" w:type="dxa"/>
            <w:vMerge w:val="restart"/>
            <w:tcBorders>
              <w:top w:val="single" w:sz="12" w:space="0" w:color="auto"/>
            </w:tcBorders>
            <w:shd w:val="clear" w:color="auto" w:fill="auto"/>
            <w:noWrap/>
            <w:vAlign w:val="center"/>
            <w:hideMark/>
          </w:tcPr>
          <w:p w14:paraId="75AD86AC" w14:textId="77777777" w:rsidR="00813E76" w:rsidRPr="004468D4" w:rsidRDefault="00F83260">
            <w:pPr>
              <w:spacing w:after="0" w:line="240" w:lineRule="auto"/>
              <w:jc w:val="center"/>
              <w:rPr>
                <w:rFonts w:ascii="Times New Roman" w:eastAsia="Times New Roman" w:hAnsi="Times New Roman" w:cs="Times New Roman"/>
                <w:b/>
                <w:color w:val="000000"/>
              </w:rPr>
            </w:pPr>
            <w:r w:rsidRPr="004468D4">
              <w:rPr>
                <w:rFonts w:ascii="Times New Roman" w:eastAsia="Times New Roman" w:hAnsi="Times New Roman" w:cs="Times New Roman"/>
                <w:b/>
                <w:color w:val="000000"/>
              </w:rPr>
              <w:t xml:space="preserve">Correlation </w:t>
            </w:r>
          </w:p>
        </w:tc>
        <w:tc>
          <w:tcPr>
            <w:tcW w:w="3441" w:type="dxa"/>
            <w:gridSpan w:val="5"/>
            <w:tcBorders>
              <w:top w:val="single" w:sz="12" w:space="0" w:color="auto"/>
            </w:tcBorders>
            <w:shd w:val="clear" w:color="auto" w:fill="auto"/>
            <w:noWrap/>
            <w:vAlign w:val="center"/>
            <w:hideMark/>
          </w:tcPr>
          <w:p w14:paraId="1D146853" w14:textId="77777777" w:rsidR="00813E76" w:rsidRPr="004468D4" w:rsidRDefault="00813E76">
            <w:pPr>
              <w:spacing w:after="0" w:line="240" w:lineRule="auto"/>
              <w:jc w:val="center"/>
              <w:rPr>
                <w:rFonts w:ascii="Times New Roman" w:eastAsia="Times New Roman" w:hAnsi="Times New Roman" w:cs="Times New Roman"/>
                <w:b/>
                <w:color w:val="000000"/>
              </w:rPr>
            </w:pPr>
            <w:r w:rsidRPr="004468D4">
              <w:rPr>
                <w:rFonts w:ascii="Times New Roman" w:eastAsia="Times New Roman" w:hAnsi="Times New Roman" w:cs="Times New Roman"/>
                <w:b/>
                <w:color w:val="000000"/>
              </w:rPr>
              <w:t>FDR</w:t>
            </w:r>
          </w:p>
        </w:tc>
        <w:tc>
          <w:tcPr>
            <w:tcW w:w="2340" w:type="dxa"/>
            <w:vMerge w:val="restart"/>
            <w:tcBorders>
              <w:top w:val="single" w:sz="12" w:space="0" w:color="auto"/>
            </w:tcBorders>
            <w:shd w:val="clear" w:color="auto" w:fill="auto"/>
            <w:vAlign w:val="center"/>
            <w:hideMark/>
          </w:tcPr>
          <w:p w14:paraId="32F30B19" w14:textId="77777777" w:rsidR="00813E76" w:rsidRPr="004468D4" w:rsidRDefault="00813E76">
            <w:pPr>
              <w:spacing w:after="0" w:line="240" w:lineRule="auto"/>
              <w:jc w:val="center"/>
              <w:rPr>
                <w:rFonts w:ascii="Times New Roman" w:eastAsia="Times New Roman" w:hAnsi="Times New Roman" w:cs="Times New Roman"/>
                <w:b/>
                <w:color w:val="000000"/>
              </w:rPr>
            </w:pPr>
            <w:r w:rsidRPr="004468D4">
              <w:rPr>
                <w:rFonts w:ascii="Times New Roman" w:eastAsia="Times New Roman" w:hAnsi="Times New Roman" w:cs="Times New Roman"/>
                <w:b/>
                <w:color w:val="000000"/>
              </w:rPr>
              <w:t>Unadjusted Power</w:t>
            </w:r>
          </w:p>
        </w:tc>
      </w:tr>
      <w:tr w:rsidR="007D0E61" w:rsidRPr="00EC2748" w14:paraId="0CCE2DE0" w14:textId="77777777" w:rsidTr="004468D4">
        <w:trPr>
          <w:trHeight w:val="300"/>
        </w:trPr>
        <w:tc>
          <w:tcPr>
            <w:tcW w:w="950" w:type="dxa"/>
            <w:tcBorders>
              <w:top w:val="single" w:sz="4" w:space="0" w:color="auto"/>
              <w:bottom w:val="single" w:sz="4" w:space="0" w:color="auto"/>
            </w:tcBorders>
            <w:shd w:val="clear" w:color="auto" w:fill="auto"/>
            <w:noWrap/>
            <w:vAlign w:val="center"/>
            <w:hideMark/>
          </w:tcPr>
          <w:p w14:paraId="0C2A255E" w14:textId="77777777" w:rsidR="00813E76" w:rsidRPr="004468D4" w:rsidRDefault="00813E76" w:rsidP="004468D4">
            <w:pPr>
              <w:spacing w:after="0" w:line="240" w:lineRule="auto"/>
              <w:jc w:val="center"/>
              <w:rPr>
                <w:rFonts w:ascii="Times New Roman" w:eastAsia="Times New Roman" w:hAnsi="Times New Roman" w:cs="Times New Roman"/>
                <w:b/>
                <w:color w:val="000000"/>
              </w:rPr>
            </w:pPr>
            <w:r w:rsidRPr="004468D4">
              <w:rPr>
                <w:rFonts w:ascii="Times New Roman" w:eastAsia="Times New Roman" w:hAnsi="Times New Roman" w:cs="Times New Roman"/>
                <w:b/>
                <w:color w:val="000000"/>
              </w:rPr>
              <w:t>Control</w:t>
            </w:r>
          </w:p>
        </w:tc>
        <w:tc>
          <w:tcPr>
            <w:tcW w:w="1218" w:type="dxa"/>
            <w:tcBorders>
              <w:top w:val="single" w:sz="4" w:space="0" w:color="auto"/>
              <w:bottom w:val="single" w:sz="4" w:space="0" w:color="auto"/>
            </w:tcBorders>
            <w:shd w:val="clear" w:color="auto" w:fill="auto"/>
            <w:noWrap/>
            <w:vAlign w:val="center"/>
            <w:hideMark/>
          </w:tcPr>
          <w:p w14:paraId="47E832E8" w14:textId="77777777" w:rsidR="00813E76" w:rsidRPr="004468D4" w:rsidRDefault="00813E76" w:rsidP="004468D4">
            <w:pPr>
              <w:spacing w:after="0" w:line="240" w:lineRule="auto"/>
              <w:jc w:val="center"/>
              <w:rPr>
                <w:rFonts w:ascii="Times New Roman" w:eastAsia="Times New Roman" w:hAnsi="Times New Roman" w:cs="Times New Roman"/>
                <w:b/>
                <w:color w:val="000000"/>
              </w:rPr>
            </w:pPr>
            <w:r w:rsidRPr="004468D4">
              <w:rPr>
                <w:rFonts w:ascii="Times New Roman" w:eastAsia="Times New Roman" w:hAnsi="Times New Roman" w:cs="Times New Roman"/>
                <w:b/>
                <w:color w:val="000000"/>
              </w:rPr>
              <w:t>Treatment</w:t>
            </w:r>
          </w:p>
        </w:tc>
        <w:tc>
          <w:tcPr>
            <w:tcW w:w="1316" w:type="dxa"/>
            <w:vMerge/>
            <w:tcBorders>
              <w:bottom w:val="single" w:sz="4" w:space="0" w:color="auto"/>
            </w:tcBorders>
            <w:shd w:val="clear" w:color="auto" w:fill="auto"/>
            <w:noWrap/>
            <w:vAlign w:val="center"/>
            <w:hideMark/>
          </w:tcPr>
          <w:p w14:paraId="31F5CB1E" w14:textId="77777777" w:rsidR="00813E76" w:rsidRPr="004468D4" w:rsidRDefault="00813E76" w:rsidP="004468D4">
            <w:pPr>
              <w:spacing w:after="0" w:line="240" w:lineRule="auto"/>
              <w:jc w:val="center"/>
              <w:rPr>
                <w:rFonts w:ascii="Times New Roman" w:eastAsia="Times New Roman" w:hAnsi="Times New Roman" w:cs="Times New Roman"/>
                <w:b/>
                <w:color w:val="000000"/>
              </w:rPr>
            </w:pPr>
          </w:p>
        </w:tc>
        <w:tc>
          <w:tcPr>
            <w:tcW w:w="688" w:type="dxa"/>
            <w:tcBorders>
              <w:top w:val="single" w:sz="4" w:space="0" w:color="auto"/>
              <w:bottom w:val="single" w:sz="4" w:space="0" w:color="auto"/>
            </w:tcBorders>
            <w:shd w:val="clear" w:color="auto" w:fill="auto"/>
            <w:noWrap/>
            <w:vAlign w:val="center"/>
            <w:hideMark/>
          </w:tcPr>
          <w:p w14:paraId="3D7E19C3" w14:textId="77777777" w:rsidR="00813E76" w:rsidRPr="004468D4" w:rsidRDefault="00813E76" w:rsidP="004468D4">
            <w:pPr>
              <w:spacing w:after="0" w:line="240" w:lineRule="auto"/>
              <w:jc w:val="center"/>
              <w:rPr>
                <w:rFonts w:ascii="Times New Roman" w:eastAsia="Times New Roman" w:hAnsi="Times New Roman" w:cs="Times New Roman"/>
                <w:b/>
                <w:color w:val="000000"/>
              </w:rPr>
            </w:pPr>
            <w:r w:rsidRPr="004468D4">
              <w:rPr>
                <w:rFonts w:ascii="Times New Roman" w:eastAsia="Times New Roman" w:hAnsi="Times New Roman" w:cs="Times New Roman"/>
                <w:b/>
                <w:color w:val="000000"/>
              </w:rPr>
              <w:t>0.05</w:t>
            </w:r>
          </w:p>
        </w:tc>
        <w:tc>
          <w:tcPr>
            <w:tcW w:w="688" w:type="dxa"/>
            <w:tcBorders>
              <w:top w:val="single" w:sz="4" w:space="0" w:color="auto"/>
              <w:bottom w:val="single" w:sz="4" w:space="0" w:color="auto"/>
            </w:tcBorders>
            <w:shd w:val="clear" w:color="auto" w:fill="auto"/>
            <w:noWrap/>
            <w:vAlign w:val="center"/>
            <w:hideMark/>
          </w:tcPr>
          <w:p w14:paraId="29AF1BD8" w14:textId="77777777" w:rsidR="00813E76" w:rsidRPr="004468D4" w:rsidRDefault="00813E76" w:rsidP="004468D4">
            <w:pPr>
              <w:spacing w:after="0" w:line="240" w:lineRule="auto"/>
              <w:jc w:val="center"/>
              <w:rPr>
                <w:rFonts w:ascii="Times New Roman" w:eastAsia="Times New Roman" w:hAnsi="Times New Roman" w:cs="Times New Roman"/>
                <w:b/>
                <w:color w:val="000000"/>
              </w:rPr>
            </w:pPr>
            <w:r w:rsidRPr="004468D4">
              <w:rPr>
                <w:rFonts w:ascii="Times New Roman" w:eastAsia="Times New Roman" w:hAnsi="Times New Roman" w:cs="Times New Roman"/>
                <w:b/>
                <w:color w:val="000000"/>
              </w:rPr>
              <w:t>0.1</w:t>
            </w:r>
          </w:p>
        </w:tc>
        <w:tc>
          <w:tcPr>
            <w:tcW w:w="688" w:type="dxa"/>
            <w:tcBorders>
              <w:top w:val="single" w:sz="4" w:space="0" w:color="auto"/>
              <w:bottom w:val="single" w:sz="4" w:space="0" w:color="auto"/>
            </w:tcBorders>
            <w:shd w:val="clear" w:color="auto" w:fill="auto"/>
            <w:noWrap/>
            <w:vAlign w:val="center"/>
            <w:hideMark/>
          </w:tcPr>
          <w:p w14:paraId="3DCBE451" w14:textId="77777777" w:rsidR="00813E76" w:rsidRPr="004468D4" w:rsidRDefault="00813E76" w:rsidP="004468D4">
            <w:pPr>
              <w:spacing w:after="0" w:line="240" w:lineRule="auto"/>
              <w:jc w:val="center"/>
              <w:rPr>
                <w:rFonts w:ascii="Times New Roman" w:eastAsia="Times New Roman" w:hAnsi="Times New Roman" w:cs="Times New Roman"/>
                <w:b/>
                <w:color w:val="000000"/>
              </w:rPr>
            </w:pPr>
            <w:r w:rsidRPr="004468D4">
              <w:rPr>
                <w:rFonts w:ascii="Times New Roman" w:eastAsia="Times New Roman" w:hAnsi="Times New Roman" w:cs="Times New Roman"/>
                <w:b/>
                <w:color w:val="000000"/>
              </w:rPr>
              <w:t>0.15</w:t>
            </w:r>
          </w:p>
        </w:tc>
        <w:tc>
          <w:tcPr>
            <w:tcW w:w="688" w:type="dxa"/>
            <w:tcBorders>
              <w:top w:val="single" w:sz="4" w:space="0" w:color="auto"/>
              <w:bottom w:val="single" w:sz="4" w:space="0" w:color="auto"/>
            </w:tcBorders>
            <w:shd w:val="clear" w:color="auto" w:fill="auto"/>
            <w:noWrap/>
            <w:vAlign w:val="center"/>
            <w:hideMark/>
          </w:tcPr>
          <w:p w14:paraId="5202CFC4" w14:textId="77777777" w:rsidR="00813E76" w:rsidRPr="004468D4" w:rsidRDefault="00813E76" w:rsidP="004468D4">
            <w:pPr>
              <w:spacing w:after="0" w:line="240" w:lineRule="auto"/>
              <w:jc w:val="center"/>
              <w:rPr>
                <w:rFonts w:ascii="Times New Roman" w:eastAsia="Times New Roman" w:hAnsi="Times New Roman" w:cs="Times New Roman"/>
                <w:b/>
                <w:color w:val="000000"/>
              </w:rPr>
            </w:pPr>
            <w:r w:rsidRPr="004468D4">
              <w:rPr>
                <w:rFonts w:ascii="Times New Roman" w:eastAsia="Times New Roman" w:hAnsi="Times New Roman" w:cs="Times New Roman"/>
                <w:b/>
                <w:color w:val="000000"/>
              </w:rPr>
              <w:t>0.2</w:t>
            </w:r>
          </w:p>
        </w:tc>
        <w:tc>
          <w:tcPr>
            <w:tcW w:w="689" w:type="dxa"/>
            <w:tcBorders>
              <w:top w:val="single" w:sz="4" w:space="0" w:color="auto"/>
              <w:bottom w:val="single" w:sz="4" w:space="0" w:color="auto"/>
            </w:tcBorders>
            <w:shd w:val="clear" w:color="auto" w:fill="auto"/>
            <w:noWrap/>
            <w:vAlign w:val="center"/>
            <w:hideMark/>
          </w:tcPr>
          <w:p w14:paraId="50E971F6" w14:textId="77777777" w:rsidR="00813E76" w:rsidRPr="004468D4" w:rsidRDefault="00813E76" w:rsidP="004468D4">
            <w:pPr>
              <w:spacing w:after="0" w:line="240" w:lineRule="auto"/>
              <w:jc w:val="center"/>
              <w:rPr>
                <w:rFonts w:ascii="Times New Roman" w:eastAsia="Times New Roman" w:hAnsi="Times New Roman" w:cs="Times New Roman"/>
                <w:b/>
                <w:color w:val="000000"/>
              </w:rPr>
            </w:pPr>
            <w:r w:rsidRPr="004468D4">
              <w:rPr>
                <w:rFonts w:ascii="Times New Roman" w:eastAsia="Times New Roman" w:hAnsi="Times New Roman" w:cs="Times New Roman"/>
                <w:b/>
                <w:color w:val="000000"/>
              </w:rPr>
              <w:t>0.25</w:t>
            </w:r>
          </w:p>
        </w:tc>
        <w:tc>
          <w:tcPr>
            <w:tcW w:w="2340" w:type="dxa"/>
            <w:vMerge/>
            <w:tcBorders>
              <w:bottom w:val="single" w:sz="4" w:space="0" w:color="auto"/>
            </w:tcBorders>
            <w:shd w:val="clear" w:color="auto" w:fill="auto"/>
            <w:vAlign w:val="center"/>
            <w:hideMark/>
          </w:tcPr>
          <w:p w14:paraId="26C5C974" w14:textId="77777777" w:rsidR="00813E76" w:rsidRPr="004468D4" w:rsidRDefault="00813E76">
            <w:pPr>
              <w:spacing w:after="0" w:line="240" w:lineRule="auto"/>
              <w:jc w:val="center"/>
              <w:rPr>
                <w:rFonts w:ascii="Times New Roman" w:eastAsia="Times New Roman" w:hAnsi="Times New Roman" w:cs="Times New Roman"/>
                <w:color w:val="000000"/>
              </w:rPr>
            </w:pPr>
          </w:p>
        </w:tc>
      </w:tr>
      <w:tr w:rsidR="007D0E61" w:rsidRPr="00EC2748" w14:paraId="616AEA5D" w14:textId="77777777" w:rsidTr="004468D4">
        <w:trPr>
          <w:trHeight w:val="300"/>
        </w:trPr>
        <w:tc>
          <w:tcPr>
            <w:tcW w:w="950" w:type="dxa"/>
            <w:tcBorders>
              <w:top w:val="single" w:sz="4" w:space="0" w:color="auto"/>
              <w:bottom w:val="single" w:sz="4" w:space="0" w:color="D9D9D9" w:themeColor="background1" w:themeShade="D9"/>
            </w:tcBorders>
            <w:shd w:val="clear" w:color="auto" w:fill="auto"/>
            <w:noWrap/>
            <w:vAlign w:val="center"/>
          </w:tcPr>
          <w:p w14:paraId="5CC2AFD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287</w:t>
            </w:r>
          </w:p>
        </w:tc>
        <w:tc>
          <w:tcPr>
            <w:tcW w:w="1218" w:type="dxa"/>
            <w:tcBorders>
              <w:top w:val="single" w:sz="4" w:space="0" w:color="auto"/>
              <w:bottom w:val="single" w:sz="4" w:space="0" w:color="D9D9D9" w:themeColor="background1" w:themeShade="D9"/>
            </w:tcBorders>
            <w:shd w:val="clear" w:color="auto" w:fill="auto"/>
            <w:noWrap/>
            <w:vAlign w:val="center"/>
          </w:tcPr>
          <w:p w14:paraId="33E066D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287</w:t>
            </w:r>
          </w:p>
        </w:tc>
        <w:tc>
          <w:tcPr>
            <w:tcW w:w="1316" w:type="dxa"/>
            <w:tcBorders>
              <w:top w:val="single" w:sz="4" w:space="0" w:color="auto"/>
              <w:bottom w:val="single" w:sz="4" w:space="0" w:color="D9D9D9" w:themeColor="background1" w:themeShade="D9"/>
            </w:tcBorders>
            <w:shd w:val="clear" w:color="auto" w:fill="auto"/>
            <w:noWrap/>
            <w:vAlign w:val="center"/>
          </w:tcPr>
          <w:p w14:paraId="42D5B4C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w:t>
            </w:r>
          </w:p>
        </w:tc>
        <w:tc>
          <w:tcPr>
            <w:tcW w:w="688" w:type="dxa"/>
            <w:tcBorders>
              <w:top w:val="single" w:sz="4" w:space="0" w:color="auto"/>
              <w:bottom w:val="single" w:sz="4" w:space="0" w:color="D9D9D9" w:themeColor="background1" w:themeShade="D9"/>
            </w:tcBorders>
            <w:shd w:val="clear" w:color="auto" w:fill="auto"/>
            <w:vAlign w:val="center"/>
          </w:tcPr>
          <w:p w14:paraId="1B85D18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0.60</w:t>
            </w:r>
          </w:p>
        </w:tc>
        <w:tc>
          <w:tcPr>
            <w:tcW w:w="688" w:type="dxa"/>
            <w:tcBorders>
              <w:top w:val="single" w:sz="4" w:space="0" w:color="auto"/>
              <w:bottom w:val="single" w:sz="4" w:space="0" w:color="D9D9D9" w:themeColor="background1" w:themeShade="D9"/>
            </w:tcBorders>
            <w:shd w:val="clear" w:color="auto" w:fill="auto"/>
            <w:vAlign w:val="center"/>
          </w:tcPr>
          <w:p w14:paraId="77C3CC3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0.71</w:t>
            </w:r>
          </w:p>
        </w:tc>
        <w:tc>
          <w:tcPr>
            <w:tcW w:w="688" w:type="dxa"/>
            <w:tcBorders>
              <w:top w:val="single" w:sz="4" w:space="0" w:color="auto"/>
              <w:bottom w:val="single" w:sz="4" w:space="0" w:color="D9D9D9" w:themeColor="background1" w:themeShade="D9"/>
            </w:tcBorders>
            <w:shd w:val="clear" w:color="auto" w:fill="auto"/>
            <w:vAlign w:val="center"/>
          </w:tcPr>
          <w:p w14:paraId="2D7EE95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0.83</w:t>
            </w:r>
          </w:p>
        </w:tc>
        <w:tc>
          <w:tcPr>
            <w:tcW w:w="688" w:type="dxa"/>
            <w:tcBorders>
              <w:top w:val="single" w:sz="4" w:space="0" w:color="auto"/>
              <w:bottom w:val="single" w:sz="4" w:space="0" w:color="D9D9D9" w:themeColor="background1" w:themeShade="D9"/>
            </w:tcBorders>
            <w:shd w:val="clear" w:color="auto" w:fill="auto"/>
            <w:vAlign w:val="center"/>
          </w:tcPr>
          <w:p w14:paraId="78CBB7C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0.89</w:t>
            </w:r>
          </w:p>
        </w:tc>
        <w:tc>
          <w:tcPr>
            <w:tcW w:w="689" w:type="dxa"/>
            <w:tcBorders>
              <w:top w:val="single" w:sz="4" w:space="0" w:color="auto"/>
              <w:bottom w:val="single" w:sz="4" w:space="0" w:color="D9D9D9" w:themeColor="background1" w:themeShade="D9"/>
            </w:tcBorders>
            <w:shd w:val="clear" w:color="auto" w:fill="auto"/>
            <w:vAlign w:val="center"/>
          </w:tcPr>
          <w:p w14:paraId="3A55439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0.91</w:t>
            </w:r>
          </w:p>
        </w:tc>
        <w:tc>
          <w:tcPr>
            <w:tcW w:w="2340" w:type="dxa"/>
            <w:tcBorders>
              <w:top w:val="single" w:sz="4" w:space="0" w:color="auto"/>
              <w:bottom w:val="single" w:sz="4" w:space="0" w:color="D9D9D9" w:themeColor="background1" w:themeShade="D9"/>
            </w:tcBorders>
            <w:shd w:val="clear" w:color="auto" w:fill="auto"/>
            <w:vAlign w:val="center"/>
          </w:tcPr>
          <w:p w14:paraId="740E3DE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0.68</w:t>
            </w:r>
          </w:p>
        </w:tc>
      </w:tr>
      <w:tr w:rsidR="007D0E61" w:rsidRPr="00EC2748" w14:paraId="13E12B88"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5DADEB6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880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742C53F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250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639DEF2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3CEC0BC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68C80A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0.89</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1730325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F087C9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0.95</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739F804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4909B13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0.85</w:t>
            </w:r>
          </w:p>
        </w:tc>
      </w:tr>
      <w:tr w:rsidR="007D0E61" w:rsidRPr="00EC2748" w14:paraId="0E99F649"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404FC6FD"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200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4F91B5C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230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23F81D7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08E32B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0.77</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6A3C9F4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0.87</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32B81A6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5BD8AC2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0.94</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2251B88D"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0.95</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3421C54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0.81</w:t>
            </w:r>
          </w:p>
        </w:tc>
      </w:tr>
      <w:tr w:rsidR="007D0E61" w:rsidRPr="00EC2748" w14:paraId="67274F56"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4389F88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520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1F11359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210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724242DD"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730C040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0.88</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F03888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0.92</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3599E3A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6BC08A5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0.96</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5487F64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0.98</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7F01124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0.88</w:t>
            </w:r>
          </w:p>
        </w:tc>
      </w:tr>
      <w:tr w:rsidR="007D0E61" w:rsidRPr="00EC2748" w14:paraId="1FA08D91"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6A1B87C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840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3D33FE6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190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0EB4C3D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7C8D41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0.72</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7E7D1B7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092BAE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0.88</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38183B4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0.92</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14A60D9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0.93</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4163758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0.78</w:t>
            </w:r>
          </w:p>
        </w:tc>
      </w:tr>
      <w:tr w:rsidR="007D0E61" w:rsidRPr="00EC2748" w14:paraId="66D20CB2"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6D63BF2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287</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26A82B7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287</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1C97F2A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0.2</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C44F7F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0.64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CEA806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0.77</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5B4C9A9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0.83</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4D2EB3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0.89</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4A9699D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0E978B9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0.73</w:t>
            </w:r>
          </w:p>
        </w:tc>
      </w:tr>
      <w:tr w:rsidR="007D0E61" w:rsidRPr="00EC2748" w14:paraId="62B95E4F"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233DEC6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880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19A2AF7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250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11323AB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0.2</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F03CAE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0.95</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5F8B2DB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0.95</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7965E21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549F0B3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0.99</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747EBAE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0.99</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3CD56CBD"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0.96</w:t>
            </w:r>
          </w:p>
        </w:tc>
      </w:tr>
      <w:tr w:rsidR="007D0E61" w:rsidRPr="00EC2748" w14:paraId="5CA90B6C"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7C63D9C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200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1DA5D83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230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7E65AA9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0.2</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1D4E94E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0.89</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6AB2921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5F9C77F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0.95</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10B239B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0.98</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205DAB5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44827AAD"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0.91</w:t>
            </w:r>
          </w:p>
        </w:tc>
      </w:tr>
      <w:tr w:rsidR="007D0E61" w:rsidRPr="00EC2748" w14:paraId="3E6CF103"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5C28208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520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0A73A86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210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1210C32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0.2</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81B5E1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0.87</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3CF4CD8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0.92</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167C961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496F47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0.96</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6E2CE8E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0.98</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4BEF827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0.89</w:t>
            </w:r>
          </w:p>
        </w:tc>
      </w:tr>
      <w:tr w:rsidR="007D0E61" w:rsidRPr="00EC2748" w14:paraId="623EE800"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7466DB8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840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28FFAE6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190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73D30E8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0.2</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2E0E16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0.85</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83310C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0.88</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A180B5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777735D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0.94</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335AAEF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0.99</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38F676F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0.87</w:t>
            </w:r>
          </w:p>
        </w:tc>
      </w:tr>
      <w:tr w:rsidR="007D0E61" w:rsidRPr="00EC2748" w14:paraId="3F0AFC70"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2257350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287</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0699E5A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287</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590CBDB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58D610B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0.85</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74BCEB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0.91</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245151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0.96</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F472DC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0.98</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78B4395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0.99</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350940E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0.89</w:t>
            </w:r>
          </w:p>
        </w:tc>
      </w:tr>
      <w:tr w:rsidR="007D0E61" w:rsidRPr="00EC2748" w14:paraId="41305625"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2383227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880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78CDF78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250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109E277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1E5D2B9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775E298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0.98</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726B180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0.99</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11866AA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0.99</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6CB5C6C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1498B3A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0.98</w:t>
            </w:r>
          </w:p>
        </w:tc>
      </w:tr>
      <w:tr w:rsidR="007D0E61" w:rsidRPr="00EC2748" w14:paraId="10DA3C0F"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7665B2C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200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3688D80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230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3AD587D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CC965D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55523C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6E49687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113AB19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13BCE06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4FF8A4E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r>
      <w:tr w:rsidR="007D0E61" w:rsidRPr="00EC2748" w14:paraId="63D49562"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1F3EC9A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520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46CA694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210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5E35945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887EB3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0.95</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157D6F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1DE220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1CC937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204291D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0.98</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34E22C9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0.95</w:t>
            </w:r>
          </w:p>
        </w:tc>
      </w:tr>
      <w:tr w:rsidR="007D0E61" w:rsidRPr="00EC2748" w14:paraId="59556D0A"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6D73C13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840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0CC85B6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190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7D678B8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85FD53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0.91</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5F82800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0.94</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C778F5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1C22EC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1188868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3D9D5F1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0.91</w:t>
            </w:r>
          </w:p>
        </w:tc>
      </w:tr>
      <w:tr w:rsidR="007D0E61" w:rsidRPr="00EC2748" w14:paraId="1F70464D"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3D44EC4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287</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1828485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287</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5C6CEDF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0.6</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59F17F2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0.97</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0A71ED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0.98</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65799C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0.98</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9B3B93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6ED657B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2FEFD94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0.98</w:t>
            </w:r>
          </w:p>
        </w:tc>
      </w:tr>
      <w:tr w:rsidR="007D0E61" w:rsidRPr="00EC2748" w14:paraId="43329D68"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3145BDF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880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5B952C8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250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04D93C2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0.6</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1CE5CEE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374058B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3A98B05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EB29CA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752F92D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3D2157D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r>
      <w:tr w:rsidR="007D0E61" w:rsidRPr="00EC2748" w14:paraId="38CDD1B5"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07CD664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200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6DD8FD1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230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38734D8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0.6</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3A710D0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1E0DA41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C5D5C2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74A419E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5683A54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1368DC0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r>
      <w:tr w:rsidR="007D0E61" w:rsidRPr="00EC2748" w14:paraId="1F237A0E"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4AF2EC7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520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64655CCD"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210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1FA615B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0.6</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19AEC6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6F6B579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40B726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631992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77CCAFE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02840E4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r>
      <w:tr w:rsidR="007D0E61" w:rsidRPr="00EC2748" w14:paraId="14999D23"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2F0E258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840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4CC2B6F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190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64F1CC1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0.6</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B2E73B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30199DD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61C894E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67050EF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481B607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5D51579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r>
      <w:tr w:rsidR="007D0E61" w:rsidRPr="00EC2748" w14:paraId="5063BBF6"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642E0F6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287</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5612758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287</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1D34A1D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731024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7E323E5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688E0E1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2CC009B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5E4248A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2FEA73A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r>
      <w:tr w:rsidR="007D0E61" w:rsidRPr="00EC2748" w14:paraId="1E754FD6"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1D2EB49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880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23D2F81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250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6F84987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CDB099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0A0AD9D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5D52EE1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51857114"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074FDBF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1DB75CF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r>
      <w:tr w:rsidR="007D0E61" w:rsidRPr="00EC2748" w14:paraId="56C8139E"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158486C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200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183274EE"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230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62BC87A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75AC1C0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66BC320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5CD714C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4244C38D"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630EC6F8"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48F414A0"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r>
      <w:tr w:rsidR="007D0E61" w:rsidRPr="00EC2748" w14:paraId="7A5096E4" w14:textId="77777777" w:rsidTr="004468D4">
        <w:trPr>
          <w:trHeight w:val="300"/>
        </w:trPr>
        <w:tc>
          <w:tcPr>
            <w:tcW w:w="950" w:type="dxa"/>
            <w:tcBorders>
              <w:top w:val="single" w:sz="4" w:space="0" w:color="D9D9D9" w:themeColor="background1" w:themeShade="D9"/>
              <w:bottom w:val="single" w:sz="4" w:space="0" w:color="D9D9D9" w:themeColor="background1" w:themeShade="D9"/>
            </w:tcBorders>
            <w:shd w:val="clear" w:color="auto" w:fill="auto"/>
            <w:noWrap/>
            <w:vAlign w:val="center"/>
          </w:tcPr>
          <w:p w14:paraId="54A577E7"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520</w:t>
            </w:r>
          </w:p>
        </w:tc>
        <w:tc>
          <w:tcPr>
            <w:tcW w:w="1218" w:type="dxa"/>
            <w:tcBorders>
              <w:top w:val="single" w:sz="4" w:space="0" w:color="D9D9D9" w:themeColor="background1" w:themeShade="D9"/>
              <w:bottom w:val="single" w:sz="4" w:space="0" w:color="D9D9D9" w:themeColor="background1" w:themeShade="D9"/>
            </w:tcBorders>
            <w:shd w:val="clear" w:color="auto" w:fill="auto"/>
            <w:noWrap/>
            <w:vAlign w:val="center"/>
          </w:tcPr>
          <w:p w14:paraId="6AF5BB2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210</w:t>
            </w:r>
          </w:p>
        </w:tc>
        <w:tc>
          <w:tcPr>
            <w:tcW w:w="1316" w:type="dxa"/>
            <w:tcBorders>
              <w:top w:val="single" w:sz="4" w:space="0" w:color="D9D9D9" w:themeColor="background1" w:themeShade="D9"/>
              <w:bottom w:val="single" w:sz="4" w:space="0" w:color="D9D9D9" w:themeColor="background1" w:themeShade="D9"/>
            </w:tcBorders>
            <w:shd w:val="clear" w:color="auto" w:fill="auto"/>
            <w:noWrap/>
            <w:vAlign w:val="center"/>
          </w:tcPr>
          <w:p w14:paraId="70197FA9"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1D43751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3FF01FE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7A053A0F"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4" w:space="0" w:color="D9D9D9" w:themeColor="background1" w:themeShade="D9"/>
            </w:tcBorders>
            <w:shd w:val="clear" w:color="auto" w:fill="auto"/>
            <w:vAlign w:val="center"/>
          </w:tcPr>
          <w:p w14:paraId="35913A6D"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9" w:type="dxa"/>
            <w:tcBorders>
              <w:top w:val="single" w:sz="4" w:space="0" w:color="D9D9D9" w:themeColor="background1" w:themeShade="D9"/>
              <w:bottom w:val="single" w:sz="4" w:space="0" w:color="D9D9D9" w:themeColor="background1" w:themeShade="D9"/>
            </w:tcBorders>
            <w:shd w:val="clear" w:color="auto" w:fill="auto"/>
            <w:vAlign w:val="center"/>
          </w:tcPr>
          <w:p w14:paraId="1F7B2D8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4" w:space="0" w:color="D9D9D9" w:themeColor="background1" w:themeShade="D9"/>
            </w:tcBorders>
            <w:shd w:val="clear" w:color="auto" w:fill="auto"/>
            <w:vAlign w:val="center"/>
          </w:tcPr>
          <w:p w14:paraId="538D99C2"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r>
      <w:tr w:rsidR="007D0E61" w:rsidRPr="00EC2748" w14:paraId="7679BD35" w14:textId="77777777" w:rsidTr="004468D4">
        <w:trPr>
          <w:trHeight w:val="300"/>
        </w:trPr>
        <w:tc>
          <w:tcPr>
            <w:tcW w:w="950" w:type="dxa"/>
            <w:tcBorders>
              <w:top w:val="single" w:sz="4" w:space="0" w:color="D9D9D9" w:themeColor="background1" w:themeShade="D9"/>
              <w:bottom w:val="single" w:sz="12" w:space="0" w:color="auto"/>
            </w:tcBorders>
            <w:shd w:val="clear" w:color="auto" w:fill="auto"/>
            <w:noWrap/>
            <w:vAlign w:val="center"/>
          </w:tcPr>
          <w:p w14:paraId="00B9ACD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w:t>
            </w:r>
            <w:r w:rsidR="007D0E61">
              <w:rPr>
                <w:rFonts w:ascii="Times New Roman" w:eastAsia="Times New Roman" w:hAnsi="Times New Roman" w:cs="Times New Roman"/>
                <w:color w:val="000000"/>
              </w:rPr>
              <w:t>,</w:t>
            </w:r>
            <w:r w:rsidRPr="004468D4">
              <w:rPr>
                <w:rFonts w:ascii="Times New Roman" w:eastAsia="Times New Roman" w:hAnsi="Times New Roman" w:cs="Times New Roman"/>
                <w:color w:val="000000"/>
              </w:rPr>
              <w:t>840</w:t>
            </w:r>
          </w:p>
        </w:tc>
        <w:tc>
          <w:tcPr>
            <w:tcW w:w="1218" w:type="dxa"/>
            <w:tcBorders>
              <w:top w:val="single" w:sz="4" w:space="0" w:color="D9D9D9" w:themeColor="background1" w:themeShade="D9"/>
              <w:bottom w:val="single" w:sz="12" w:space="0" w:color="auto"/>
            </w:tcBorders>
            <w:shd w:val="clear" w:color="auto" w:fill="auto"/>
            <w:noWrap/>
            <w:vAlign w:val="center"/>
          </w:tcPr>
          <w:p w14:paraId="6E29032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190</w:t>
            </w:r>
          </w:p>
        </w:tc>
        <w:tc>
          <w:tcPr>
            <w:tcW w:w="1316" w:type="dxa"/>
            <w:tcBorders>
              <w:top w:val="single" w:sz="4" w:space="0" w:color="D9D9D9" w:themeColor="background1" w:themeShade="D9"/>
              <w:bottom w:val="single" w:sz="12" w:space="0" w:color="auto"/>
            </w:tcBorders>
            <w:shd w:val="clear" w:color="auto" w:fill="auto"/>
            <w:noWrap/>
            <w:vAlign w:val="center"/>
          </w:tcPr>
          <w:p w14:paraId="366A0453"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0.8</w:t>
            </w:r>
          </w:p>
        </w:tc>
        <w:tc>
          <w:tcPr>
            <w:tcW w:w="688" w:type="dxa"/>
            <w:tcBorders>
              <w:top w:val="single" w:sz="4" w:space="0" w:color="D9D9D9" w:themeColor="background1" w:themeShade="D9"/>
              <w:bottom w:val="single" w:sz="12" w:space="0" w:color="auto"/>
            </w:tcBorders>
            <w:shd w:val="clear" w:color="auto" w:fill="auto"/>
            <w:vAlign w:val="center"/>
          </w:tcPr>
          <w:p w14:paraId="1C34A26C"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12" w:space="0" w:color="auto"/>
            </w:tcBorders>
            <w:shd w:val="clear" w:color="auto" w:fill="auto"/>
            <w:vAlign w:val="center"/>
          </w:tcPr>
          <w:p w14:paraId="2A47BA8A"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12" w:space="0" w:color="auto"/>
            </w:tcBorders>
            <w:shd w:val="clear" w:color="auto" w:fill="auto"/>
            <w:vAlign w:val="center"/>
          </w:tcPr>
          <w:p w14:paraId="1CCC078B"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8" w:type="dxa"/>
            <w:tcBorders>
              <w:top w:val="single" w:sz="4" w:space="0" w:color="D9D9D9" w:themeColor="background1" w:themeShade="D9"/>
              <w:bottom w:val="single" w:sz="12" w:space="0" w:color="auto"/>
            </w:tcBorders>
            <w:shd w:val="clear" w:color="auto" w:fill="auto"/>
            <w:vAlign w:val="center"/>
          </w:tcPr>
          <w:p w14:paraId="5A4A16F1"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689" w:type="dxa"/>
            <w:tcBorders>
              <w:top w:val="single" w:sz="4" w:space="0" w:color="D9D9D9" w:themeColor="background1" w:themeShade="D9"/>
              <w:bottom w:val="single" w:sz="12" w:space="0" w:color="auto"/>
            </w:tcBorders>
            <w:shd w:val="clear" w:color="auto" w:fill="auto"/>
            <w:vAlign w:val="center"/>
          </w:tcPr>
          <w:p w14:paraId="675F0546"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c>
          <w:tcPr>
            <w:tcW w:w="2340" w:type="dxa"/>
            <w:tcBorders>
              <w:top w:val="single" w:sz="4" w:space="0" w:color="D9D9D9" w:themeColor="background1" w:themeShade="D9"/>
              <w:bottom w:val="single" w:sz="12" w:space="0" w:color="auto"/>
            </w:tcBorders>
            <w:shd w:val="clear" w:color="auto" w:fill="auto"/>
            <w:vAlign w:val="center"/>
          </w:tcPr>
          <w:p w14:paraId="435A3395" w14:textId="77777777" w:rsidR="00813E76" w:rsidRPr="004468D4" w:rsidRDefault="00813E76">
            <w:pPr>
              <w:spacing w:after="0" w:line="240" w:lineRule="auto"/>
              <w:jc w:val="center"/>
              <w:rPr>
                <w:rFonts w:ascii="Times New Roman" w:eastAsia="Times New Roman" w:hAnsi="Times New Roman" w:cs="Times New Roman"/>
                <w:color w:val="000000"/>
              </w:rPr>
            </w:pPr>
            <w:r w:rsidRPr="004468D4">
              <w:rPr>
                <w:rFonts w:ascii="Times New Roman" w:eastAsia="Times New Roman" w:hAnsi="Times New Roman" w:cs="Times New Roman"/>
                <w:color w:val="000000"/>
              </w:rPr>
              <w:t>1.00</w:t>
            </w:r>
          </w:p>
        </w:tc>
      </w:tr>
    </w:tbl>
    <w:p w14:paraId="375C918A" w14:textId="77777777" w:rsidR="00813E76" w:rsidRDefault="00F83260" w:rsidP="00F6157C">
      <w:pPr>
        <w:spacing w:after="0" w:line="320" w:lineRule="exact"/>
        <w:rPr>
          <w:rFonts w:asciiTheme="majorBidi" w:hAnsiTheme="majorBidi" w:cstheme="majorBidi"/>
          <w:sz w:val="24"/>
          <w:szCs w:val="24"/>
        </w:rPr>
      </w:pPr>
      <w:r>
        <w:rPr>
          <w:rFonts w:asciiTheme="majorBidi" w:hAnsiTheme="majorBidi" w:cstheme="majorBidi"/>
          <w:sz w:val="24"/>
          <w:szCs w:val="24"/>
        </w:rPr>
        <w:t>Note: FDR</w:t>
      </w:r>
      <w:r w:rsidR="00D842B5">
        <w:rPr>
          <w:rFonts w:asciiTheme="majorBidi" w:hAnsiTheme="majorBidi" w:cstheme="majorBidi"/>
          <w:sz w:val="24"/>
          <w:szCs w:val="24"/>
        </w:rPr>
        <w:t xml:space="preserve"> </w:t>
      </w:r>
      <w:r>
        <w:rPr>
          <w:rFonts w:asciiTheme="majorBidi" w:hAnsiTheme="majorBidi" w:cstheme="majorBidi"/>
          <w:sz w:val="24"/>
          <w:szCs w:val="24"/>
        </w:rPr>
        <w:t>= False D</w:t>
      </w:r>
      <w:r w:rsidRPr="00F83260">
        <w:rPr>
          <w:rFonts w:asciiTheme="majorBidi" w:hAnsiTheme="majorBidi" w:cstheme="majorBidi"/>
          <w:sz w:val="24"/>
          <w:szCs w:val="24"/>
        </w:rPr>
        <w:t xml:space="preserve">iscovery </w:t>
      </w:r>
      <w:r>
        <w:rPr>
          <w:rFonts w:asciiTheme="majorBidi" w:hAnsiTheme="majorBidi" w:cstheme="majorBidi"/>
          <w:sz w:val="24"/>
          <w:szCs w:val="24"/>
        </w:rPr>
        <w:t>Rate</w:t>
      </w:r>
    </w:p>
    <w:p w14:paraId="75483B90" w14:textId="77777777" w:rsidR="008763C2" w:rsidRPr="008763C2" w:rsidRDefault="008763C2" w:rsidP="008763C2">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rPr>
      </w:pPr>
      <w:r w:rsidRPr="008763C2">
        <w:rPr>
          <w:rFonts w:ascii="Times New Roman" w:eastAsia="Times New Roman" w:hAnsi="Times New Roman" w:cs="Times New Roman"/>
          <w:b/>
          <w:sz w:val="24"/>
          <w:szCs w:val="24"/>
          <w:u w:val="single"/>
        </w:rPr>
        <w:t>Methods to Maximize Response Rates and Deal with Non-response</w:t>
      </w:r>
    </w:p>
    <w:p w14:paraId="6F21FABF" w14:textId="153FF9EF" w:rsidR="008763C2" w:rsidRPr="008763C2" w:rsidRDefault="008763C2" w:rsidP="004C5704">
      <w:pPr>
        <w:spacing w:before="120" w:after="120" w:line="300" w:lineRule="exact"/>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Experience with online experimental studies suggests that about 10</w:t>
      </w:r>
      <w:r w:rsidR="001C3D74">
        <w:rPr>
          <w:rFonts w:ascii="Times New Roman" w:eastAsia="Times New Roman" w:hAnsi="Times New Roman" w:cs="Times New Roman"/>
          <w:sz w:val="24"/>
          <w:szCs w:val="24"/>
        </w:rPr>
        <w:t xml:space="preserve"> percent</w:t>
      </w:r>
      <w:r w:rsidR="001C3D74" w:rsidRPr="008763C2">
        <w:rPr>
          <w:rFonts w:ascii="Times New Roman" w:eastAsia="Times New Roman" w:hAnsi="Times New Roman" w:cs="Times New Roman"/>
          <w:sz w:val="24"/>
          <w:szCs w:val="24"/>
        </w:rPr>
        <w:t xml:space="preserve"> </w:t>
      </w:r>
      <w:r w:rsidRPr="008763C2">
        <w:rPr>
          <w:rFonts w:ascii="Times New Roman" w:eastAsia="Times New Roman" w:hAnsi="Times New Roman" w:cs="Times New Roman"/>
          <w:sz w:val="24"/>
          <w:szCs w:val="24"/>
        </w:rPr>
        <w:t xml:space="preserve">of adults and </w:t>
      </w:r>
      <w:r w:rsidR="00F560CD">
        <w:rPr>
          <w:rFonts w:ascii="Times New Roman" w:eastAsia="Times New Roman" w:hAnsi="Times New Roman" w:cs="Times New Roman"/>
          <w:sz w:val="24"/>
          <w:szCs w:val="24"/>
        </w:rPr>
        <w:t>six</w:t>
      </w:r>
      <w:r w:rsidR="001C3D74">
        <w:rPr>
          <w:rFonts w:ascii="Times New Roman" w:eastAsia="Times New Roman" w:hAnsi="Times New Roman" w:cs="Times New Roman"/>
          <w:sz w:val="24"/>
          <w:szCs w:val="24"/>
        </w:rPr>
        <w:t xml:space="preserve"> percent</w:t>
      </w:r>
      <w:r w:rsidR="001C3D74" w:rsidRPr="008763C2">
        <w:rPr>
          <w:rFonts w:ascii="Times New Roman" w:eastAsia="Times New Roman" w:hAnsi="Times New Roman" w:cs="Times New Roman"/>
          <w:sz w:val="24"/>
          <w:szCs w:val="24"/>
        </w:rPr>
        <w:t xml:space="preserve"> </w:t>
      </w:r>
      <w:r w:rsidRPr="008763C2">
        <w:rPr>
          <w:rFonts w:ascii="Times New Roman" w:eastAsia="Times New Roman" w:hAnsi="Times New Roman" w:cs="Times New Roman"/>
          <w:sz w:val="24"/>
          <w:szCs w:val="24"/>
        </w:rPr>
        <w:t xml:space="preserve">of adolescents who are sent invitations will complete a study.  FDA will </w:t>
      </w:r>
      <w:r w:rsidR="00F41D34">
        <w:rPr>
          <w:rFonts w:ascii="Times New Roman" w:eastAsia="Times New Roman" w:hAnsi="Times New Roman" w:cs="Times New Roman"/>
          <w:sz w:val="24"/>
          <w:szCs w:val="24"/>
        </w:rPr>
        <w:t xml:space="preserve">ensure that the contractors </w:t>
      </w:r>
      <w:r w:rsidRPr="008763C2">
        <w:rPr>
          <w:rFonts w:ascii="Times New Roman" w:eastAsia="Times New Roman" w:hAnsi="Times New Roman" w:cs="Times New Roman"/>
          <w:sz w:val="24"/>
          <w:szCs w:val="24"/>
        </w:rPr>
        <w:t xml:space="preserve">implement several procedures to maximize participation.  </w:t>
      </w:r>
      <w:r w:rsidR="00F41D34">
        <w:rPr>
          <w:rFonts w:ascii="Times New Roman" w:eastAsia="Times New Roman" w:hAnsi="Times New Roman" w:cs="Times New Roman"/>
          <w:sz w:val="24"/>
          <w:szCs w:val="24"/>
        </w:rPr>
        <w:t>Specifically,</w:t>
      </w:r>
      <w:r w:rsidRPr="008763C2">
        <w:rPr>
          <w:rFonts w:ascii="Times New Roman" w:eastAsia="Times New Roman" w:hAnsi="Times New Roman" w:cs="Times New Roman"/>
          <w:sz w:val="24"/>
          <w:szCs w:val="24"/>
        </w:rPr>
        <w:t xml:space="preserve"> the following procedures will be used to maximize cooperation and to achieve the desired response rates: </w:t>
      </w:r>
    </w:p>
    <w:p w14:paraId="059D5FE9" w14:textId="77777777" w:rsidR="008763C2" w:rsidRPr="008763C2" w:rsidRDefault="008763C2" w:rsidP="008763C2">
      <w:pPr>
        <w:numPr>
          <w:ilvl w:val="0"/>
          <w:numId w:val="2"/>
        </w:numPr>
        <w:spacing w:before="60" w:after="60" w:line="300" w:lineRule="exact"/>
        <w:rPr>
          <w:rFonts w:ascii="Times New Roman" w:eastAsia="Times New Roman" w:hAnsi="Times New Roman" w:cs="Times New Roman"/>
          <w:snapToGrid w:val="0"/>
          <w:sz w:val="24"/>
          <w:szCs w:val="24"/>
        </w:rPr>
      </w:pPr>
      <w:r w:rsidRPr="008763C2">
        <w:rPr>
          <w:rFonts w:ascii="Times New Roman" w:eastAsia="Times New Roman" w:hAnsi="Times New Roman" w:cs="Times New Roman"/>
          <w:sz w:val="24"/>
          <w:szCs w:val="24"/>
        </w:rPr>
        <w:t>A brief introductory paragraph will identify FDA as the sponsor of the study, state the purpose of the study, and encourage participation.</w:t>
      </w:r>
    </w:p>
    <w:p w14:paraId="01751E21" w14:textId="23D2A596" w:rsidR="008763C2" w:rsidRPr="008763C2" w:rsidRDefault="008763C2" w:rsidP="008763C2">
      <w:pPr>
        <w:numPr>
          <w:ilvl w:val="0"/>
          <w:numId w:val="2"/>
        </w:numPr>
        <w:spacing w:before="60" w:after="60" w:line="300" w:lineRule="exact"/>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Lightspeed will provide toll-free telephone numbers to all sampled individuals and invite them to call with any questions or concerns about any aspect of the study.  RTI will provide a toll-free telephone number for a</w:t>
      </w:r>
      <w:r w:rsidR="00710D44">
        <w:rPr>
          <w:rFonts w:ascii="Times New Roman" w:eastAsia="Times New Roman" w:hAnsi="Times New Roman" w:cs="Times New Roman"/>
          <w:sz w:val="24"/>
          <w:szCs w:val="24"/>
        </w:rPr>
        <w:t>n</w:t>
      </w:r>
      <w:r w:rsidRPr="008763C2">
        <w:rPr>
          <w:rFonts w:ascii="Times New Roman" w:eastAsia="Times New Roman" w:hAnsi="Times New Roman" w:cs="Times New Roman"/>
          <w:sz w:val="24"/>
          <w:szCs w:val="24"/>
        </w:rPr>
        <w:t xml:space="preserve"> RTI project member and a toll-free telephone number for the RTI IRB hotline should participants have any questions about the study or their rights as a study participant.</w:t>
      </w:r>
    </w:p>
    <w:p w14:paraId="0511791C" w14:textId="52640DFB" w:rsidR="008763C2" w:rsidRPr="008763C2" w:rsidRDefault="008763C2" w:rsidP="008763C2">
      <w:pPr>
        <w:numPr>
          <w:ilvl w:val="0"/>
          <w:numId w:val="2"/>
        </w:numPr>
        <w:spacing w:before="60" w:after="60" w:line="300" w:lineRule="exact"/>
        <w:rPr>
          <w:rFonts w:ascii="Times New Roman" w:eastAsia="Times New Roman" w:hAnsi="Times New Roman" w:cs="Times New Roman"/>
          <w:snapToGrid w:val="0"/>
          <w:sz w:val="24"/>
          <w:szCs w:val="24"/>
        </w:rPr>
      </w:pPr>
      <w:r w:rsidRPr="008763C2">
        <w:rPr>
          <w:rFonts w:ascii="Times New Roman" w:eastAsia="Times New Roman" w:hAnsi="Times New Roman" w:cs="Times New Roman"/>
          <w:sz w:val="24"/>
          <w:szCs w:val="24"/>
        </w:rPr>
        <w:t>Lightspeed data collection staff will conduct ongoing monitoring of res</w:t>
      </w:r>
      <w:r w:rsidR="006961A4">
        <w:rPr>
          <w:rFonts w:ascii="Times New Roman" w:eastAsia="Times New Roman" w:hAnsi="Times New Roman" w:cs="Times New Roman"/>
          <w:sz w:val="24"/>
          <w:szCs w:val="24"/>
        </w:rPr>
        <w:t>ponse levels and drop-off rates</w:t>
      </w:r>
      <w:r w:rsidRPr="008763C2">
        <w:rPr>
          <w:rFonts w:ascii="Times New Roman" w:eastAsia="Times New Roman" w:hAnsi="Times New Roman" w:cs="Times New Roman"/>
          <w:sz w:val="24"/>
          <w:szCs w:val="24"/>
        </w:rPr>
        <w:t xml:space="preserve"> and will work with project staff to address any problems that arise throughout the course of the collection of information.</w:t>
      </w:r>
    </w:p>
    <w:p w14:paraId="0A5FE598" w14:textId="77777777" w:rsidR="008763C2" w:rsidRPr="008763C2" w:rsidRDefault="008763C2" w:rsidP="008763C2">
      <w:pPr>
        <w:numPr>
          <w:ilvl w:val="0"/>
          <w:numId w:val="2"/>
        </w:numPr>
        <w:spacing w:before="60" w:after="60" w:line="300" w:lineRule="exact"/>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Non</w:t>
      </w:r>
      <w:r w:rsidR="008F3178">
        <w:rPr>
          <w:rFonts w:ascii="Times New Roman" w:eastAsia="Times New Roman" w:hAnsi="Times New Roman" w:cs="Times New Roman"/>
          <w:sz w:val="24"/>
          <w:szCs w:val="24"/>
        </w:rPr>
        <w:t>-</w:t>
      </w:r>
      <w:r w:rsidRPr="008763C2">
        <w:rPr>
          <w:rFonts w:ascii="Times New Roman" w:eastAsia="Times New Roman" w:hAnsi="Times New Roman" w:cs="Times New Roman"/>
          <w:sz w:val="24"/>
          <w:szCs w:val="24"/>
        </w:rPr>
        <w:t xml:space="preserve">respondents will receive an initial email invitation and up to two email reminders from Lightspeed requesting their participation in the </w:t>
      </w:r>
      <w:r w:rsidR="002F18F4">
        <w:rPr>
          <w:rFonts w:ascii="Times New Roman" w:eastAsia="Times New Roman" w:hAnsi="Times New Roman" w:cs="Times New Roman"/>
          <w:sz w:val="24"/>
          <w:szCs w:val="24"/>
        </w:rPr>
        <w:t>study</w:t>
      </w:r>
      <w:r w:rsidRPr="008763C2">
        <w:rPr>
          <w:rFonts w:ascii="Times New Roman" w:eastAsia="Times New Roman" w:hAnsi="Times New Roman" w:cs="Times New Roman"/>
          <w:sz w:val="24"/>
          <w:szCs w:val="24"/>
        </w:rPr>
        <w:t xml:space="preserve">. </w:t>
      </w:r>
      <w:r w:rsidRPr="008763C2">
        <w:rPr>
          <w:rFonts w:ascii="Times New Roman" w:eastAsia="Times New Roman" w:hAnsi="Times New Roman" w:cs="Times New Roman"/>
          <w:snapToGrid w:val="0"/>
          <w:sz w:val="24"/>
          <w:szCs w:val="24"/>
        </w:rPr>
        <w:t xml:space="preserve"> </w:t>
      </w:r>
    </w:p>
    <w:p w14:paraId="1BF79C98" w14:textId="77777777" w:rsidR="008763C2" w:rsidRPr="008763C2" w:rsidRDefault="008763C2" w:rsidP="008763C2">
      <w:pPr>
        <w:numPr>
          <w:ilvl w:val="0"/>
          <w:numId w:val="2"/>
        </w:numPr>
        <w:spacing w:before="60" w:after="60" w:line="300" w:lineRule="exact"/>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 xml:space="preserve">In recruiting panelists, Lightspeed uses a double opt-in registration process whereby panelists are invited to participate and then must sign up through an opt-in confirmation email.  This process protects against fraudulent account registrations and ensures that panelists are actively motivated to participate in </w:t>
      </w:r>
      <w:r w:rsidR="002F18F4">
        <w:rPr>
          <w:rFonts w:ascii="Times New Roman" w:eastAsia="Times New Roman" w:hAnsi="Times New Roman" w:cs="Times New Roman"/>
          <w:sz w:val="24"/>
          <w:szCs w:val="24"/>
        </w:rPr>
        <w:t>studies</w:t>
      </w:r>
      <w:r w:rsidRPr="008763C2">
        <w:rPr>
          <w:rFonts w:ascii="Times New Roman" w:eastAsia="Times New Roman" w:hAnsi="Times New Roman" w:cs="Times New Roman"/>
          <w:sz w:val="24"/>
          <w:szCs w:val="24"/>
        </w:rPr>
        <w:t>.</w:t>
      </w:r>
    </w:p>
    <w:p w14:paraId="053F3969" w14:textId="77777777" w:rsidR="008763C2" w:rsidRDefault="008763C2" w:rsidP="008763C2">
      <w:pPr>
        <w:numPr>
          <w:ilvl w:val="0"/>
          <w:numId w:val="2"/>
        </w:numPr>
        <w:spacing w:before="60" w:after="60" w:line="300" w:lineRule="exact"/>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 xml:space="preserve">As part of the registration process, panelists provide information about a range of sociodemographic characteristics, including age and smoking status, which can be used to target particular groups in </w:t>
      </w:r>
      <w:r w:rsidR="002F18F4">
        <w:rPr>
          <w:rFonts w:ascii="Times New Roman" w:eastAsia="Times New Roman" w:hAnsi="Times New Roman" w:cs="Times New Roman"/>
          <w:sz w:val="24"/>
          <w:szCs w:val="24"/>
        </w:rPr>
        <w:t>study</w:t>
      </w:r>
      <w:r w:rsidR="002F18F4" w:rsidRPr="008763C2">
        <w:rPr>
          <w:rFonts w:ascii="Times New Roman" w:eastAsia="Times New Roman" w:hAnsi="Times New Roman" w:cs="Times New Roman"/>
          <w:sz w:val="24"/>
          <w:szCs w:val="24"/>
        </w:rPr>
        <w:t xml:space="preserve"> </w:t>
      </w:r>
      <w:r w:rsidRPr="008763C2">
        <w:rPr>
          <w:rFonts w:ascii="Times New Roman" w:eastAsia="Times New Roman" w:hAnsi="Times New Roman" w:cs="Times New Roman"/>
          <w:sz w:val="24"/>
          <w:szCs w:val="24"/>
        </w:rPr>
        <w:t xml:space="preserve">recruitment and maximize eligible responses.  Lightspeed actively manages panelist profiles, requesting updated information on an ongoing basis to ensure that profile information is up to date. </w:t>
      </w:r>
    </w:p>
    <w:p w14:paraId="658A340E" w14:textId="3ABE4D28" w:rsidR="00B321B9" w:rsidRDefault="00F41D34" w:rsidP="008763C2">
      <w:pPr>
        <w:numPr>
          <w:ilvl w:val="0"/>
          <w:numId w:val="2"/>
        </w:numPr>
        <w:spacing w:before="60" w:after="60" w:line="3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will be informed that </w:t>
      </w:r>
      <w:r w:rsidR="00710D44">
        <w:rPr>
          <w:rFonts w:ascii="Times New Roman" w:eastAsia="Times New Roman" w:hAnsi="Times New Roman" w:cs="Times New Roman"/>
          <w:sz w:val="24"/>
          <w:szCs w:val="24"/>
        </w:rPr>
        <w:t xml:space="preserve">personally </w:t>
      </w:r>
      <w:r w:rsidR="006961A4">
        <w:rPr>
          <w:rFonts w:ascii="Times New Roman" w:eastAsia="Times New Roman" w:hAnsi="Times New Roman" w:cs="Times New Roman"/>
          <w:sz w:val="24"/>
          <w:szCs w:val="24"/>
        </w:rPr>
        <w:t>identifiable</w:t>
      </w:r>
      <w:r w:rsidR="00B321B9">
        <w:rPr>
          <w:rFonts w:ascii="Times New Roman" w:eastAsia="Times New Roman" w:hAnsi="Times New Roman" w:cs="Times New Roman"/>
          <w:sz w:val="24"/>
          <w:szCs w:val="24"/>
        </w:rPr>
        <w:t xml:space="preserve"> </w:t>
      </w:r>
      <w:r w:rsidR="000A08C1">
        <w:rPr>
          <w:rFonts w:ascii="Times New Roman" w:eastAsia="Times New Roman" w:hAnsi="Times New Roman" w:cs="Times New Roman"/>
          <w:sz w:val="24"/>
          <w:szCs w:val="24"/>
        </w:rPr>
        <w:t>i</w:t>
      </w:r>
      <w:r w:rsidR="00B321B9">
        <w:rPr>
          <w:rFonts w:ascii="Times New Roman" w:eastAsia="Times New Roman" w:hAnsi="Times New Roman" w:cs="Times New Roman"/>
          <w:sz w:val="24"/>
          <w:szCs w:val="24"/>
        </w:rPr>
        <w:t xml:space="preserve">nformation (PII) is not linked to data and is not shared with </w:t>
      </w:r>
      <w:r>
        <w:rPr>
          <w:rFonts w:ascii="Times New Roman" w:eastAsia="Times New Roman" w:hAnsi="Times New Roman" w:cs="Times New Roman"/>
          <w:sz w:val="24"/>
          <w:szCs w:val="24"/>
        </w:rPr>
        <w:t xml:space="preserve">RTI or </w:t>
      </w:r>
      <w:r w:rsidR="00B321B9">
        <w:rPr>
          <w:rFonts w:ascii="Times New Roman" w:eastAsia="Times New Roman" w:hAnsi="Times New Roman" w:cs="Times New Roman"/>
          <w:sz w:val="24"/>
          <w:szCs w:val="24"/>
        </w:rPr>
        <w:t>FDA</w:t>
      </w:r>
      <w:r w:rsidR="008A0BB4">
        <w:rPr>
          <w:rFonts w:ascii="Times New Roman" w:eastAsia="Times New Roman" w:hAnsi="Times New Roman" w:cs="Times New Roman"/>
          <w:sz w:val="24"/>
          <w:szCs w:val="24"/>
        </w:rPr>
        <w:t>.</w:t>
      </w:r>
    </w:p>
    <w:p w14:paraId="01FBDECC" w14:textId="77777777" w:rsidR="00F41D34" w:rsidRDefault="00F41D34" w:rsidP="00710D44">
      <w:pPr>
        <w:spacing w:before="60" w:after="60" w:line="300" w:lineRule="exact"/>
        <w:ind w:left="360"/>
        <w:rPr>
          <w:rFonts w:ascii="Times New Roman" w:eastAsia="Times New Roman" w:hAnsi="Times New Roman" w:cs="Times New Roman"/>
          <w:sz w:val="24"/>
          <w:szCs w:val="24"/>
        </w:rPr>
      </w:pPr>
    </w:p>
    <w:p w14:paraId="369EE631" w14:textId="4FFAA6E4" w:rsidR="00BE584B" w:rsidRPr="008A4842" w:rsidRDefault="00F41D34" w:rsidP="00710D44">
      <w:pPr>
        <w:spacing w:before="60" w:after="60" w:line="300" w:lineRule="exact"/>
        <w:ind w:firstLine="7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In addition,</w:t>
      </w:r>
      <w:r w:rsidR="00C75E25">
        <w:rPr>
          <w:rFonts w:ascii="Times New Roman" w:eastAsia="Times New Roman" w:hAnsi="Times New Roman" w:cs="Times New Roman"/>
          <w:sz w:val="24"/>
          <w:szCs w:val="24"/>
        </w:rPr>
        <w:t xml:space="preserve"> as discussed in Part A,</w:t>
      </w:r>
      <w:r>
        <w:rPr>
          <w:rFonts w:ascii="Times New Roman" w:eastAsia="Times New Roman" w:hAnsi="Times New Roman" w:cs="Times New Roman"/>
          <w:sz w:val="24"/>
          <w:szCs w:val="24"/>
        </w:rPr>
        <w:t xml:space="preserve"> t</w:t>
      </w:r>
      <w:r w:rsidR="00BE584B">
        <w:rPr>
          <w:rFonts w:ascii="Times New Roman" w:eastAsia="Times New Roman" w:hAnsi="Times New Roman" w:cs="Times New Roman"/>
          <w:sz w:val="24"/>
          <w:szCs w:val="24"/>
        </w:rPr>
        <w:t>his study will also employ incentives to increase participation and reduce attrition.</w:t>
      </w:r>
      <w:r w:rsidR="00D842B5">
        <w:rPr>
          <w:rFonts w:ascii="Times New Roman" w:eastAsia="Times New Roman" w:hAnsi="Times New Roman" w:cs="Times New Roman"/>
          <w:sz w:val="24"/>
          <w:szCs w:val="24"/>
        </w:rPr>
        <w:t xml:space="preserve"> </w:t>
      </w:r>
      <w:r w:rsidR="00BE584B" w:rsidRPr="00BE584B">
        <w:rPr>
          <w:rFonts w:asciiTheme="majorBidi" w:eastAsia="Times New Roman" w:hAnsiTheme="majorBidi" w:cstheme="majorBidi"/>
          <w:sz w:val="24"/>
          <w:szCs w:val="24"/>
        </w:rPr>
        <w:t xml:space="preserve"> </w:t>
      </w:r>
      <w:r w:rsidR="00BE584B" w:rsidRPr="00BE584B">
        <w:rPr>
          <w:rFonts w:ascii="Times New Roman" w:eastAsia="Times New Roman" w:hAnsi="Times New Roman" w:cs="Times New Roman"/>
          <w:sz w:val="24"/>
          <w:szCs w:val="24"/>
          <w:lang w:val="en-GB"/>
        </w:rPr>
        <w:t>The incentive plan calls for equal incentives ($10</w:t>
      </w:r>
      <w:r w:rsidR="001C3D74">
        <w:rPr>
          <w:rFonts w:ascii="Times New Roman" w:eastAsia="Times New Roman" w:hAnsi="Times New Roman" w:cs="Times New Roman"/>
          <w:sz w:val="24"/>
          <w:szCs w:val="24"/>
          <w:lang w:val="en-GB"/>
        </w:rPr>
        <w:t>, in the form of Lightspeed’s “Lifepoints”</w:t>
      </w:r>
      <w:r w:rsidR="00BE584B" w:rsidRPr="00BE584B">
        <w:rPr>
          <w:rFonts w:ascii="Times New Roman" w:eastAsia="Times New Roman" w:hAnsi="Times New Roman" w:cs="Times New Roman"/>
          <w:sz w:val="24"/>
          <w:szCs w:val="24"/>
          <w:lang w:val="en-GB"/>
        </w:rPr>
        <w:t xml:space="preserve">) at each wave, even though </w:t>
      </w:r>
      <w:r w:rsidR="002F18F4">
        <w:rPr>
          <w:rFonts w:ascii="Times New Roman" w:eastAsia="Times New Roman" w:hAnsi="Times New Roman" w:cs="Times New Roman"/>
          <w:sz w:val="24"/>
          <w:szCs w:val="24"/>
          <w:lang w:val="en-GB"/>
        </w:rPr>
        <w:t xml:space="preserve">questionnaire </w:t>
      </w:r>
      <w:r w:rsidR="00BE584B" w:rsidRPr="00BE584B">
        <w:rPr>
          <w:rFonts w:ascii="Times New Roman" w:eastAsia="Times New Roman" w:hAnsi="Times New Roman" w:cs="Times New Roman"/>
          <w:sz w:val="24"/>
          <w:szCs w:val="24"/>
          <w:lang w:val="en-GB"/>
        </w:rPr>
        <w:t xml:space="preserve">lengths vary, for a total potential incentive of $30. </w:t>
      </w:r>
      <w:r w:rsidR="00D842B5">
        <w:rPr>
          <w:rFonts w:ascii="Times New Roman" w:eastAsia="Times New Roman" w:hAnsi="Times New Roman" w:cs="Times New Roman"/>
          <w:sz w:val="24"/>
          <w:szCs w:val="24"/>
          <w:lang w:val="en-GB"/>
        </w:rPr>
        <w:t xml:space="preserve"> </w:t>
      </w:r>
      <w:r w:rsidR="00BE584B" w:rsidRPr="00BE584B">
        <w:rPr>
          <w:rFonts w:ascii="Times New Roman" w:eastAsia="Times New Roman" w:hAnsi="Times New Roman" w:cs="Times New Roman"/>
          <w:sz w:val="24"/>
          <w:szCs w:val="24"/>
          <w:lang w:val="en-GB"/>
        </w:rPr>
        <w:t xml:space="preserve">Total time for the </w:t>
      </w:r>
      <w:r w:rsidR="00D842B5">
        <w:rPr>
          <w:rFonts w:ascii="Times New Roman" w:eastAsia="Times New Roman" w:hAnsi="Times New Roman" w:cs="Times New Roman"/>
          <w:sz w:val="24"/>
          <w:szCs w:val="24"/>
          <w:lang w:val="en-GB"/>
        </w:rPr>
        <w:t>three</w:t>
      </w:r>
      <w:r w:rsidR="00D842B5" w:rsidRPr="00BE584B">
        <w:rPr>
          <w:rFonts w:ascii="Times New Roman" w:eastAsia="Times New Roman" w:hAnsi="Times New Roman" w:cs="Times New Roman"/>
          <w:sz w:val="24"/>
          <w:szCs w:val="24"/>
          <w:lang w:val="en-GB"/>
        </w:rPr>
        <w:t xml:space="preserve"> </w:t>
      </w:r>
      <w:r w:rsidR="002F18F4">
        <w:rPr>
          <w:rFonts w:ascii="Times New Roman" w:eastAsia="Times New Roman" w:hAnsi="Times New Roman" w:cs="Times New Roman"/>
          <w:sz w:val="24"/>
          <w:szCs w:val="24"/>
          <w:lang w:val="en-GB"/>
        </w:rPr>
        <w:t>sessions</w:t>
      </w:r>
      <w:r w:rsidR="000A08C1" w:rsidRPr="00BE584B">
        <w:rPr>
          <w:rFonts w:ascii="Times New Roman" w:eastAsia="Times New Roman" w:hAnsi="Times New Roman" w:cs="Times New Roman"/>
          <w:sz w:val="24"/>
          <w:szCs w:val="24"/>
          <w:lang w:val="en-GB"/>
        </w:rPr>
        <w:t xml:space="preserve"> </w:t>
      </w:r>
      <w:r w:rsidR="00BE584B" w:rsidRPr="00BE584B">
        <w:rPr>
          <w:rFonts w:ascii="Times New Roman" w:eastAsia="Times New Roman" w:hAnsi="Times New Roman" w:cs="Times New Roman"/>
          <w:sz w:val="24"/>
          <w:szCs w:val="24"/>
          <w:lang w:val="en-GB"/>
        </w:rPr>
        <w:t xml:space="preserve">is expected to be about 27 minutes. </w:t>
      </w:r>
      <w:r w:rsidR="00D842B5">
        <w:rPr>
          <w:rFonts w:ascii="Times New Roman" w:eastAsia="Times New Roman" w:hAnsi="Times New Roman" w:cs="Times New Roman"/>
          <w:sz w:val="24"/>
          <w:szCs w:val="24"/>
          <w:lang w:val="en-GB"/>
        </w:rPr>
        <w:t xml:space="preserve"> </w:t>
      </w:r>
    </w:p>
    <w:p w14:paraId="3BA59286" w14:textId="77777777" w:rsidR="00D2367E" w:rsidRDefault="008763C2" w:rsidP="00BD7E35">
      <w:pPr>
        <w:spacing w:after="0" w:line="240" w:lineRule="auto"/>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 xml:space="preserve">As with any study conducted using opt-in online panels, this study may be subject to </w:t>
      </w:r>
    </w:p>
    <w:p w14:paraId="59F2EF3A" w14:textId="77777777" w:rsidR="00D2367E" w:rsidDel="00F41D34" w:rsidRDefault="00D2367E" w:rsidP="00D2367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0"/>
        </w:rPr>
        <w:t>several threats to external validity that limit the generalizability of study results.</w:t>
      </w:r>
      <w:r w:rsidR="00D842B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Panelists are recruited into the online panel using convenience sampling methods and thus do not have a known probability of selection into the panel. </w:t>
      </w:r>
      <w:r w:rsidR="00D842B5">
        <w:rPr>
          <w:rFonts w:ascii="Times New Roman" w:eastAsia="Times New Roman" w:hAnsi="Times New Roman" w:cs="Times New Roman"/>
          <w:sz w:val="24"/>
          <w:szCs w:val="20"/>
        </w:rPr>
        <w:t xml:space="preserve"> </w:t>
      </w:r>
      <w:r w:rsidDel="00214F47">
        <w:rPr>
          <w:rFonts w:ascii="Times New Roman" w:eastAsia="Times New Roman" w:hAnsi="Times New Roman" w:cs="Times New Roman"/>
          <w:sz w:val="24"/>
          <w:szCs w:val="20"/>
        </w:rPr>
        <w:t>Recruitment of the study sample from the online panel is also subject to bias resulting from potential differences between responders (i.e.</w:t>
      </w:r>
      <w:r w:rsidR="00D842B5" w:rsidDel="00214F47">
        <w:rPr>
          <w:rFonts w:ascii="Times New Roman" w:eastAsia="Times New Roman" w:hAnsi="Times New Roman" w:cs="Times New Roman"/>
          <w:sz w:val="24"/>
          <w:szCs w:val="20"/>
        </w:rPr>
        <w:t>,</w:t>
      </w:r>
      <w:r w:rsidDel="00214F47">
        <w:rPr>
          <w:rFonts w:ascii="Times New Roman" w:eastAsia="Times New Roman" w:hAnsi="Times New Roman" w:cs="Times New Roman"/>
          <w:sz w:val="24"/>
          <w:szCs w:val="20"/>
        </w:rPr>
        <w:t xml:space="preserve"> panelists who received the invitation and opted to participate in our study) and non-responders (i.e.</w:t>
      </w:r>
      <w:r w:rsidR="00D842B5" w:rsidDel="00214F47">
        <w:rPr>
          <w:rFonts w:ascii="Times New Roman" w:eastAsia="Times New Roman" w:hAnsi="Times New Roman" w:cs="Times New Roman"/>
          <w:sz w:val="24"/>
          <w:szCs w:val="20"/>
        </w:rPr>
        <w:t>,</w:t>
      </w:r>
      <w:r w:rsidDel="00214F47">
        <w:rPr>
          <w:rFonts w:ascii="Times New Roman" w:eastAsia="Times New Roman" w:hAnsi="Times New Roman" w:cs="Times New Roman"/>
          <w:sz w:val="24"/>
          <w:szCs w:val="20"/>
        </w:rPr>
        <w:t xml:space="preserve"> panelists who were invited but chose not to participate) in characteristics that may be associated with study outcomes. </w:t>
      </w:r>
      <w:r w:rsidR="00D842B5" w:rsidDel="00214F47">
        <w:rPr>
          <w:rFonts w:ascii="Times New Roman" w:eastAsia="Times New Roman" w:hAnsi="Times New Roman" w:cs="Times New Roman"/>
          <w:sz w:val="24"/>
          <w:szCs w:val="20"/>
        </w:rPr>
        <w:t xml:space="preserve"> </w:t>
      </w:r>
      <w:r w:rsidDel="00214F47">
        <w:rPr>
          <w:rFonts w:ascii="Times New Roman" w:eastAsia="Times New Roman" w:hAnsi="Times New Roman" w:cs="Times New Roman"/>
          <w:sz w:val="24"/>
          <w:szCs w:val="20"/>
        </w:rPr>
        <w:t xml:space="preserve">Because of these limitations, the relationship between treatment and outcomes </w:t>
      </w:r>
      <w:r w:rsidR="00D842B5" w:rsidDel="00214F47">
        <w:rPr>
          <w:rFonts w:ascii="Times New Roman" w:eastAsia="Times New Roman" w:hAnsi="Times New Roman" w:cs="Times New Roman"/>
          <w:sz w:val="24"/>
          <w:szCs w:val="20"/>
        </w:rPr>
        <w:t>found in this</w:t>
      </w:r>
      <w:r w:rsidDel="00214F47">
        <w:rPr>
          <w:rFonts w:ascii="Times New Roman" w:eastAsia="Times New Roman" w:hAnsi="Times New Roman" w:cs="Times New Roman"/>
          <w:sz w:val="24"/>
          <w:szCs w:val="20"/>
        </w:rPr>
        <w:t xml:space="preserve"> study may not generalize to the broader U.S. population. </w:t>
      </w:r>
      <w:r w:rsidR="00D842B5" w:rsidDel="00214F47">
        <w:rPr>
          <w:rFonts w:ascii="Times New Roman" w:eastAsia="Times New Roman" w:hAnsi="Times New Roman" w:cs="Times New Roman"/>
          <w:sz w:val="24"/>
          <w:szCs w:val="20"/>
        </w:rPr>
        <w:t xml:space="preserve"> </w:t>
      </w:r>
      <w:r w:rsidDel="00214F47">
        <w:rPr>
          <w:rFonts w:ascii="Times New Roman" w:eastAsia="Times New Roman" w:hAnsi="Times New Roman" w:cs="Times New Roman"/>
          <w:sz w:val="24"/>
          <w:szCs w:val="20"/>
        </w:rPr>
        <w:t>Nevertheless, the experimental design of the study, including random assignment to condition, enhances the internal validity of the study</w:t>
      </w:r>
      <w:r w:rsidR="00D842B5" w:rsidDel="00214F47">
        <w:rPr>
          <w:rFonts w:ascii="Times New Roman" w:eastAsia="Times New Roman" w:hAnsi="Times New Roman" w:cs="Times New Roman"/>
          <w:sz w:val="24"/>
          <w:szCs w:val="20"/>
        </w:rPr>
        <w:t xml:space="preserve"> (</w:t>
      </w:r>
      <w:r w:rsidDel="00214F47">
        <w:rPr>
          <w:rFonts w:ascii="Times New Roman" w:eastAsia="Times New Roman" w:hAnsi="Times New Roman" w:cs="Times New Roman"/>
          <w:sz w:val="24"/>
          <w:szCs w:val="20"/>
        </w:rPr>
        <w:t>i.e.</w:t>
      </w:r>
      <w:r w:rsidR="00D842B5" w:rsidDel="00214F47">
        <w:rPr>
          <w:rFonts w:ascii="Times New Roman" w:eastAsia="Times New Roman" w:hAnsi="Times New Roman" w:cs="Times New Roman"/>
          <w:sz w:val="24"/>
          <w:szCs w:val="20"/>
        </w:rPr>
        <w:t>,</w:t>
      </w:r>
      <w:r w:rsidDel="00214F47">
        <w:rPr>
          <w:rFonts w:ascii="Times New Roman" w:eastAsia="Times New Roman" w:hAnsi="Times New Roman" w:cs="Times New Roman"/>
          <w:sz w:val="24"/>
          <w:szCs w:val="20"/>
        </w:rPr>
        <w:t xml:space="preserve"> the ability to establish a causal relationship between treatment and outcomes</w:t>
      </w:r>
      <w:r w:rsidR="00D842B5" w:rsidDel="00214F47">
        <w:rPr>
          <w:rFonts w:ascii="Times New Roman" w:eastAsia="Times New Roman" w:hAnsi="Times New Roman" w:cs="Times New Roman"/>
          <w:sz w:val="24"/>
          <w:szCs w:val="20"/>
        </w:rPr>
        <w:t>)</w:t>
      </w:r>
      <w:r w:rsidDel="00214F47">
        <w:rPr>
          <w:rFonts w:ascii="Times New Roman" w:eastAsia="Times New Roman" w:hAnsi="Times New Roman" w:cs="Times New Roman"/>
          <w:sz w:val="24"/>
          <w:szCs w:val="20"/>
        </w:rPr>
        <w:t xml:space="preserve">. </w:t>
      </w:r>
      <w:r w:rsidR="00D842B5" w:rsidDel="00214F47">
        <w:rPr>
          <w:rFonts w:ascii="Times New Roman" w:eastAsia="Times New Roman" w:hAnsi="Times New Roman" w:cs="Times New Roman"/>
          <w:sz w:val="24"/>
          <w:szCs w:val="20"/>
        </w:rPr>
        <w:t xml:space="preserve"> </w:t>
      </w:r>
      <w:r w:rsidDel="00F41D34">
        <w:rPr>
          <w:rFonts w:ascii="Times New Roman" w:eastAsia="Times New Roman" w:hAnsi="Times New Roman" w:cs="Times New Roman"/>
          <w:sz w:val="24"/>
          <w:szCs w:val="20"/>
        </w:rPr>
        <w:t xml:space="preserve">While random assignment does not rule out every threat to internal validity, it does rule out or minimize most. </w:t>
      </w:r>
      <w:r w:rsidR="00D842B5" w:rsidDel="00F41D34">
        <w:rPr>
          <w:rFonts w:ascii="Times New Roman" w:eastAsia="Times New Roman" w:hAnsi="Times New Roman" w:cs="Times New Roman"/>
          <w:sz w:val="24"/>
          <w:szCs w:val="20"/>
        </w:rPr>
        <w:t xml:space="preserve"> </w:t>
      </w:r>
      <w:r w:rsidDel="00F41D34">
        <w:rPr>
          <w:rFonts w:ascii="Times New Roman" w:eastAsia="Times New Roman" w:hAnsi="Times New Roman" w:cs="Times New Roman"/>
          <w:sz w:val="24"/>
          <w:szCs w:val="20"/>
        </w:rPr>
        <w:t xml:space="preserve">In </w:t>
      </w:r>
      <w:r w:rsidR="00D842B5" w:rsidDel="00F41D34">
        <w:rPr>
          <w:rFonts w:ascii="Times New Roman" w:eastAsia="Times New Roman" w:hAnsi="Times New Roman" w:cs="Times New Roman"/>
          <w:sz w:val="24"/>
          <w:szCs w:val="20"/>
        </w:rPr>
        <w:t xml:space="preserve">this </w:t>
      </w:r>
      <w:r w:rsidDel="00F41D34">
        <w:rPr>
          <w:rFonts w:ascii="Times New Roman" w:eastAsia="Times New Roman" w:hAnsi="Times New Roman" w:cs="Times New Roman"/>
          <w:sz w:val="24"/>
          <w:szCs w:val="20"/>
        </w:rPr>
        <w:t>case, the internal validity threat that potentially remains is differential attrition between treatment and control groups (i.e.</w:t>
      </w:r>
      <w:r w:rsidR="00D842B5" w:rsidDel="00F41D34">
        <w:rPr>
          <w:rFonts w:ascii="Times New Roman" w:eastAsia="Times New Roman" w:hAnsi="Times New Roman" w:cs="Times New Roman"/>
          <w:sz w:val="24"/>
          <w:szCs w:val="20"/>
        </w:rPr>
        <w:t>,</w:t>
      </w:r>
      <w:r w:rsidDel="00F41D34">
        <w:rPr>
          <w:rFonts w:ascii="Times New Roman" w:eastAsia="Times New Roman" w:hAnsi="Times New Roman" w:cs="Times New Roman"/>
          <w:sz w:val="24"/>
          <w:szCs w:val="20"/>
        </w:rPr>
        <w:t xml:space="preserve"> differences between treatment and control groups in the frequency of respondents who begin the </w:t>
      </w:r>
      <w:r w:rsidR="002F18F4" w:rsidDel="00F41D34">
        <w:rPr>
          <w:rFonts w:ascii="Times New Roman" w:eastAsia="Times New Roman" w:hAnsi="Times New Roman" w:cs="Times New Roman"/>
          <w:sz w:val="24"/>
          <w:szCs w:val="20"/>
        </w:rPr>
        <w:t xml:space="preserve">study </w:t>
      </w:r>
      <w:r w:rsidDel="00F41D34">
        <w:rPr>
          <w:rFonts w:ascii="Times New Roman" w:eastAsia="Times New Roman" w:hAnsi="Times New Roman" w:cs="Times New Roman"/>
          <w:sz w:val="24"/>
          <w:szCs w:val="20"/>
        </w:rPr>
        <w:t>but drop out before completing</w:t>
      </w:r>
      <w:r w:rsidR="00CA4BDB" w:rsidDel="00F41D34">
        <w:rPr>
          <w:rFonts w:ascii="Times New Roman" w:eastAsia="Times New Roman" w:hAnsi="Times New Roman" w:cs="Times New Roman"/>
          <w:sz w:val="24"/>
          <w:szCs w:val="20"/>
        </w:rPr>
        <w:t xml:space="preserve"> it</w:t>
      </w:r>
      <w:r w:rsidDel="00F41D34">
        <w:rPr>
          <w:rFonts w:ascii="Times New Roman" w:eastAsia="Times New Roman" w:hAnsi="Times New Roman" w:cs="Times New Roman"/>
          <w:sz w:val="24"/>
          <w:szCs w:val="20"/>
        </w:rPr>
        <w:t xml:space="preserve">). </w:t>
      </w:r>
      <w:r w:rsidR="00D842B5" w:rsidDel="00F41D34">
        <w:rPr>
          <w:rFonts w:ascii="Times New Roman" w:eastAsia="Times New Roman" w:hAnsi="Times New Roman" w:cs="Times New Roman"/>
          <w:sz w:val="24"/>
          <w:szCs w:val="20"/>
        </w:rPr>
        <w:t xml:space="preserve"> </w:t>
      </w:r>
      <w:r w:rsidDel="00F41D34">
        <w:rPr>
          <w:rFonts w:ascii="Times New Roman" w:eastAsia="Times New Roman" w:hAnsi="Times New Roman" w:cs="Times New Roman"/>
          <w:sz w:val="24"/>
          <w:szCs w:val="20"/>
        </w:rPr>
        <w:t xml:space="preserve">However, there is no reason to believe </w:t>
      </w:r>
      <w:r w:rsidR="00D842B5" w:rsidDel="00F41D34">
        <w:rPr>
          <w:rFonts w:ascii="Times New Roman" w:eastAsia="Times New Roman" w:hAnsi="Times New Roman" w:cs="Times New Roman"/>
          <w:sz w:val="24"/>
          <w:szCs w:val="20"/>
        </w:rPr>
        <w:t xml:space="preserve">this </w:t>
      </w:r>
      <w:r w:rsidDel="00F41D34">
        <w:rPr>
          <w:rFonts w:ascii="Times New Roman" w:eastAsia="Times New Roman" w:hAnsi="Times New Roman" w:cs="Times New Roman"/>
          <w:sz w:val="24"/>
          <w:szCs w:val="20"/>
        </w:rPr>
        <w:t xml:space="preserve">design would lead to those in the treatment groups dropping out of the </w:t>
      </w:r>
      <w:r w:rsidR="002F18F4" w:rsidDel="00F41D34">
        <w:rPr>
          <w:rFonts w:ascii="Times New Roman" w:eastAsia="Times New Roman" w:hAnsi="Times New Roman" w:cs="Times New Roman"/>
          <w:sz w:val="24"/>
          <w:szCs w:val="20"/>
        </w:rPr>
        <w:t xml:space="preserve">study </w:t>
      </w:r>
      <w:r w:rsidDel="00F41D34">
        <w:rPr>
          <w:rFonts w:ascii="Times New Roman" w:eastAsia="Times New Roman" w:hAnsi="Times New Roman" w:cs="Times New Roman"/>
          <w:sz w:val="24"/>
          <w:szCs w:val="20"/>
        </w:rPr>
        <w:t xml:space="preserve">at a different frequency than those in the control group. </w:t>
      </w:r>
      <w:r w:rsidR="00ED224B" w:rsidDel="00F41D34">
        <w:rPr>
          <w:rFonts w:ascii="Times New Roman" w:eastAsia="Times New Roman" w:hAnsi="Times New Roman" w:cs="Times New Roman"/>
          <w:sz w:val="24"/>
          <w:szCs w:val="20"/>
        </w:rPr>
        <w:t xml:space="preserve"> </w:t>
      </w:r>
      <w:r w:rsidDel="00F41D34">
        <w:rPr>
          <w:rFonts w:ascii="Times New Roman" w:eastAsia="Times New Roman" w:hAnsi="Times New Roman" w:cs="Times New Roman"/>
          <w:sz w:val="24"/>
          <w:szCs w:val="20"/>
        </w:rPr>
        <w:t xml:space="preserve">In addition to randomization, </w:t>
      </w:r>
      <w:r w:rsidR="00ED224B" w:rsidDel="00F41D34">
        <w:rPr>
          <w:rFonts w:ascii="Times New Roman" w:eastAsia="Times New Roman" w:hAnsi="Times New Roman" w:cs="Times New Roman"/>
          <w:sz w:val="24"/>
          <w:szCs w:val="20"/>
        </w:rPr>
        <w:t xml:space="preserve">the </w:t>
      </w:r>
      <w:r w:rsidDel="00F41D34">
        <w:rPr>
          <w:rFonts w:ascii="Times New Roman" w:eastAsia="Times New Roman" w:hAnsi="Times New Roman" w:cs="Times New Roman"/>
          <w:sz w:val="24"/>
          <w:szCs w:val="20"/>
        </w:rPr>
        <w:t xml:space="preserve">design, measures, power, and analysis plan are appropriate to ensure that we can draw valid statistical conclusions about the relationship between treatment and outcomes. </w:t>
      </w:r>
    </w:p>
    <w:p w14:paraId="57D06806" w14:textId="77777777" w:rsidR="008763C2" w:rsidRPr="008763C2" w:rsidRDefault="008763C2" w:rsidP="001C3D74">
      <w:pPr>
        <w:spacing w:before="60" w:after="6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0"/>
        </w:rPr>
        <w:t>We do not anticipate significant item non-response and thus have no plans to utilize imputation procedures.  All analyses will be conducted using Stata 14.1 with specific estimators determined by the measurement of the outcome variable and model used.</w:t>
      </w:r>
    </w:p>
    <w:p w14:paraId="713393DB" w14:textId="77777777" w:rsidR="008763C2" w:rsidRPr="008763C2" w:rsidRDefault="008763C2" w:rsidP="008763C2">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rPr>
      </w:pPr>
      <w:r w:rsidRPr="008763C2">
        <w:rPr>
          <w:rFonts w:ascii="Times New Roman" w:eastAsia="Times New Roman" w:hAnsi="Times New Roman" w:cs="Times New Roman"/>
          <w:b/>
          <w:sz w:val="24"/>
          <w:szCs w:val="24"/>
          <w:u w:val="single"/>
        </w:rPr>
        <w:t>Test of Procedures or Methods to be Undertaken</w:t>
      </w:r>
    </w:p>
    <w:p w14:paraId="62BC250E" w14:textId="6F389C11" w:rsidR="008763C2" w:rsidRPr="008763C2" w:rsidRDefault="008763C2" w:rsidP="00BD7E35">
      <w:pPr>
        <w:spacing w:before="120" w:after="12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 xml:space="preserve">Measures included are drawn from previously used and/or validated instruments to ensure that instruments are not ambiguous, burdensome, or confusing.  Stimuli used in the study have been previously tested in a study conducted between May and June 2015, entitled “Qualitative Study on Cigarettes and Smoking: Knowledge, Beliefs, and Misperceptions,” OMB #0910-0674, and revised based on feedback from respondents </w:t>
      </w:r>
      <w:r w:rsidR="008F3178">
        <w:rPr>
          <w:rFonts w:ascii="Times New Roman" w:eastAsia="Times New Roman" w:hAnsi="Times New Roman" w:cs="Times New Roman"/>
          <w:sz w:val="24"/>
          <w:szCs w:val="24"/>
        </w:rPr>
        <w:t>representing</w:t>
      </w:r>
      <w:r w:rsidR="008F3178" w:rsidRPr="008763C2">
        <w:rPr>
          <w:rFonts w:ascii="Times New Roman" w:eastAsia="Times New Roman" w:hAnsi="Times New Roman" w:cs="Times New Roman"/>
          <w:sz w:val="24"/>
          <w:szCs w:val="24"/>
        </w:rPr>
        <w:t xml:space="preserve"> </w:t>
      </w:r>
      <w:r w:rsidRPr="008763C2">
        <w:rPr>
          <w:rFonts w:ascii="Times New Roman" w:eastAsia="Times New Roman" w:hAnsi="Times New Roman" w:cs="Times New Roman"/>
          <w:sz w:val="24"/>
          <w:szCs w:val="24"/>
        </w:rPr>
        <w:t xml:space="preserve">the same </w:t>
      </w:r>
      <w:r w:rsidR="008F3178">
        <w:rPr>
          <w:rFonts w:ascii="Times New Roman" w:eastAsia="Times New Roman" w:hAnsi="Times New Roman" w:cs="Times New Roman"/>
          <w:sz w:val="24"/>
          <w:szCs w:val="24"/>
        </w:rPr>
        <w:t>populations</w:t>
      </w:r>
      <w:r w:rsidRPr="008763C2">
        <w:rPr>
          <w:rFonts w:ascii="Times New Roman" w:eastAsia="Times New Roman" w:hAnsi="Times New Roman" w:cs="Times New Roman"/>
          <w:sz w:val="24"/>
          <w:szCs w:val="24"/>
        </w:rPr>
        <w:t xml:space="preserve"> as will be included in this study.  Additionally, </w:t>
      </w:r>
      <w:r w:rsidR="00710D44">
        <w:rPr>
          <w:rFonts w:ascii="Times New Roman" w:eastAsia="Times New Roman" w:hAnsi="Times New Roman" w:cs="Times New Roman"/>
          <w:sz w:val="24"/>
          <w:szCs w:val="24"/>
        </w:rPr>
        <w:t>there</w:t>
      </w:r>
      <w:r w:rsidR="00710D44" w:rsidRPr="008763C2">
        <w:rPr>
          <w:rFonts w:ascii="Times New Roman" w:eastAsia="Times New Roman" w:hAnsi="Times New Roman" w:cs="Times New Roman"/>
          <w:sz w:val="24"/>
          <w:szCs w:val="24"/>
        </w:rPr>
        <w:t xml:space="preserve"> </w:t>
      </w:r>
      <w:r w:rsidRPr="008763C2">
        <w:rPr>
          <w:rFonts w:ascii="Times New Roman" w:eastAsia="Times New Roman" w:hAnsi="Times New Roman" w:cs="Times New Roman"/>
          <w:sz w:val="24"/>
          <w:szCs w:val="24"/>
        </w:rPr>
        <w:t xml:space="preserve">will </w:t>
      </w:r>
      <w:r w:rsidR="00710D44">
        <w:rPr>
          <w:rFonts w:ascii="Times New Roman" w:eastAsia="Times New Roman" w:hAnsi="Times New Roman" w:cs="Times New Roman"/>
          <w:sz w:val="24"/>
          <w:szCs w:val="24"/>
        </w:rPr>
        <w:t>be</w:t>
      </w:r>
      <w:r w:rsidR="00710D44" w:rsidRPr="008763C2">
        <w:rPr>
          <w:rFonts w:ascii="Times New Roman" w:eastAsia="Times New Roman" w:hAnsi="Times New Roman" w:cs="Times New Roman"/>
          <w:sz w:val="24"/>
          <w:szCs w:val="24"/>
        </w:rPr>
        <w:t xml:space="preserve"> </w:t>
      </w:r>
      <w:r w:rsidRPr="008763C2">
        <w:rPr>
          <w:rFonts w:ascii="Times New Roman" w:eastAsia="Times New Roman" w:hAnsi="Times New Roman" w:cs="Times New Roman"/>
          <w:sz w:val="24"/>
          <w:szCs w:val="24"/>
        </w:rPr>
        <w:t xml:space="preserve">two pretests </w:t>
      </w:r>
      <w:r w:rsidR="00710D44">
        <w:rPr>
          <w:rFonts w:ascii="Times New Roman" w:eastAsia="Times New Roman" w:hAnsi="Times New Roman" w:cs="Times New Roman"/>
          <w:sz w:val="24"/>
          <w:szCs w:val="24"/>
        </w:rPr>
        <w:t xml:space="preserve">conducted </w:t>
      </w:r>
      <w:r w:rsidRPr="008763C2">
        <w:rPr>
          <w:rFonts w:ascii="Times New Roman" w:eastAsia="Times New Roman" w:hAnsi="Times New Roman" w:cs="Times New Roman"/>
          <w:sz w:val="24"/>
          <w:szCs w:val="24"/>
        </w:rPr>
        <w:t>with panelists from Lightspeed to thoroughly test the programmed questionnaire</w:t>
      </w:r>
      <w:r w:rsidR="00CA4BDB">
        <w:rPr>
          <w:rFonts w:ascii="Times New Roman" w:eastAsia="Times New Roman" w:hAnsi="Times New Roman" w:cs="Times New Roman"/>
          <w:sz w:val="24"/>
          <w:szCs w:val="24"/>
        </w:rPr>
        <w:t>s</w:t>
      </w:r>
      <w:r w:rsidR="006961A4">
        <w:rPr>
          <w:rFonts w:ascii="Times New Roman" w:eastAsia="Times New Roman" w:hAnsi="Times New Roman" w:cs="Times New Roman"/>
          <w:sz w:val="24"/>
          <w:szCs w:val="24"/>
        </w:rPr>
        <w:t xml:space="preserve"> and ensure there are no programming issues that affect the quality of the data</w:t>
      </w:r>
      <w:r w:rsidRPr="008763C2">
        <w:rPr>
          <w:rFonts w:ascii="Times New Roman" w:eastAsia="Times New Roman" w:hAnsi="Times New Roman" w:cs="Times New Roman"/>
          <w:sz w:val="24"/>
          <w:szCs w:val="24"/>
        </w:rPr>
        <w:t>.  At the conclusion of the pretest, all strategies, algorithms, and programs for sampling, administration, and data compilation will be tested, validated, and readied for launch of the main data collection.  The questionnaire</w:t>
      </w:r>
      <w:r w:rsidR="00CA4BDB">
        <w:rPr>
          <w:rFonts w:ascii="Times New Roman" w:eastAsia="Times New Roman" w:hAnsi="Times New Roman" w:cs="Times New Roman"/>
          <w:sz w:val="24"/>
          <w:szCs w:val="24"/>
        </w:rPr>
        <w:t>s</w:t>
      </w:r>
      <w:r w:rsidRPr="008763C2">
        <w:rPr>
          <w:rFonts w:ascii="Times New Roman" w:eastAsia="Times New Roman" w:hAnsi="Times New Roman" w:cs="Times New Roman"/>
          <w:sz w:val="24"/>
          <w:szCs w:val="24"/>
        </w:rPr>
        <w:t xml:space="preserve"> and study protocol will be revised, if necessary, based on the pretest findings.</w:t>
      </w:r>
    </w:p>
    <w:p w14:paraId="66E66486" w14:textId="77777777" w:rsidR="008763C2" w:rsidRPr="008763C2" w:rsidRDefault="008763C2" w:rsidP="008763C2">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rPr>
      </w:pPr>
      <w:r w:rsidRPr="008763C2">
        <w:rPr>
          <w:rFonts w:ascii="Times New Roman" w:eastAsia="Times New Roman" w:hAnsi="Times New Roman" w:cs="Times New Roman"/>
          <w:b/>
          <w:sz w:val="24"/>
          <w:szCs w:val="24"/>
          <w:u w:val="single"/>
        </w:rPr>
        <w:t>Individuals Consulted on Statistical Aspects and Individuals Collecting and/or Analyzing Data</w:t>
      </w:r>
    </w:p>
    <w:p w14:paraId="2FAB4BBC" w14:textId="77777777" w:rsidR="008763C2" w:rsidRPr="008763C2" w:rsidRDefault="008763C2" w:rsidP="008763C2">
      <w:pPr>
        <w:spacing w:before="120" w:after="12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 xml:space="preserve">RTI International will manage the information collection on behalf of FDA.  Dr. James Nonnemaker is the project director at RTI.  RTI will subcontract to Lightspeed to collect the data.  </w:t>
      </w:r>
      <w:r w:rsidR="006961A4">
        <w:rPr>
          <w:rFonts w:ascii="Times New Roman" w:eastAsia="Times New Roman" w:hAnsi="Times New Roman" w:cs="Times New Roman"/>
          <w:sz w:val="24"/>
          <w:szCs w:val="24"/>
        </w:rPr>
        <w:t>John Garvey</w:t>
      </w:r>
      <w:r w:rsidR="00133E50" w:rsidRPr="00133E50">
        <w:rPr>
          <w:rFonts w:ascii="Times New Roman" w:eastAsia="Times New Roman" w:hAnsi="Times New Roman" w:cs="Times New Roman"/>
          <w:sz w:val="24"/>
          <w:szCs w:val="24"/>
        </w:rPr>
        <w:t xml:space="preserve"> </w:t>
      </w:r>
      <w:r w:rsidRPr="008763C2">
        <w:rPr>
          <w:rFonts w:ascii="Times New Roman" w:eastAsia="Times New Roman" w:hAnsi="Times New Roman" w:cs="Times New Roman"/>
          <w:sz w:val="24"/>
          <w:szCs w:val="24"/>
        </w:rPr>
        <w:t xml:space="preserve">is the project manager at Lightspeed. </w:t>
      </w:r>
    </w:p>
    <w:p w14:paraId="59854A14" w14:textId="77777777" w:rsidR="008763C2" w:rsidRPr="008763C2" w:rsidRDefault="008763C2" w:rsidP="008763C2">
      <w:pPr>
        <w:spacing w:before="120" w:after="12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Analysis and dissemination of the data will be led by Dr. David Portnoy at FDA’s Center for Tobacco Products and Dr. James Nonnemaker at RTI International.</w:t>
      </w:r>
    </w:p>
    <w:p w14:paraId="6977D8D9"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p>
    <w:p w14:paraId="35C6F924"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David B. Portnoy, Ph.D., MPH</w:t>
      </w:r>
    </w:p>
    <w:p w14:paraId="2D509AAB"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Food and Drug Administration</w:t>
      </w:r>
    </w:p>
    <w:p w14:paraId="084A5BA1"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Center for Tobacco Products</w:t>
      </w:r>
    </w:p>
    <w:p w14:paraId="27A9EA3C"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Document Control Center</w:t>
      </w:r>
    </w:p>
    <w:p w14:paraId="3C8BC2DC"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Building 71, Room G335</w:t>
      </w:r>
    </w:p>
    <w:p w14:paraId="58BF3B33"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10903 New Hampshire Avenue</w:t>
      </w:r>
    </w:p>
    <w:p w14:paraId="3B4F0618"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Silver Spring, MD 20993-0002</w:t>
      </w:r>
    </w:p>
    <w:p w14:paraId="61A99624"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(301) 796-9298</w:t>
      </w:r>
    </w:p>
    <w:p w14:paraId="41F1D199"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david.portnoy@fda.hhs.gov</w:t>
      </w:r>
    </w:p>
    <w:p w14:paraId="7502B159"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p>
    <w:p w14:paraId="035A8A36"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James M. Nonnemaker, Ph.D.</w:t>
      </w:r>
    </w:p>
    <w:p w14:paraId="4374FC3B"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RTI International</w:t>
      </w:r>
    </w:p>
    <w:p w14:paraId="79FD2943"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3040 Cornwallis Road</w:t>
      </w:r>
    </w:p>
    <w:p w14:paraId="0024FAA3"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Research Triangle Park, NC 27709-2194</w:t>
      </w:r>
    </w:p>
    <w:p w14:paraId="25AFE61B"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919-541-7064</w:t>
      </w:r>
    </w:p>
    <w:p w14:paraId="681B57B3"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jnonnemaker@rti.org</w:t>
      </w:r>
    </w:p>
    <w:p w14:paraId="7C005799" w14:textId="77777777" w:rsidR="008763C2" w:rsidRPr="008763C2" w:rsidRDefault="008763C2" w:rsidP="008763C2">
      <w:pPr>
        <w:spacing w:after="0" w:line="240" w:lineRule="auto"/>
        <w:rPr>
          <w:rFonts w:ascii="Times New Roman" w:eastAsia="Times New Roman" w:hAnsi="Times New Roman" w:cs="Times New Roman"/>
          <w:sz w:val="24"/>
          <w:szCs w:val="24"/>
        </w:rPr>
      </w:pPr>
    </w:p>
    <w:p w14:paraId="342D862A" w14:textId="77777777" w:rsidR="009712C3" w:rsidRPr="009712C3" w:rsidRDefault="009712C3" w:rsidP="009712C3">
      <w:pPr>
        <w:spacing w:after="0" w:line="240" w:lineRule="auto"/>
        <w:ind w:left="720"/>
        <w:rPr>
          <w:rFonts w:ascii="Times New Roman" w:eastAsia="Times New Roman" w:hAnsi="Times New Roman" w:cs="Times New Roman"/>
          <w:sz w:val="24"/>
          <w:szCs w:val="24"/>
        </w:rPr>
      </w:pPr>
      <w:r w:rsidRPr="009712C3">
        <w:rPr>
          <w:rFonts w:ascii="Times New Roman" w:eastAsia="Times New Roman" w:hAnsi="Times New Roman" w:cs="Times New Roman"/>
          <w:sz w:val="24"/>
          <w:szCs w:val="24"/>
        </w:rPr>
        <w:t xml:space="preserve">John Garvey </w:t>
      </w:r>
    </w:p>
    <w:p w14:paraId="5180BD38" w14:textId="77777777" w:rsidR="009712C3" w:rsidRPr="009712C3" w:rsidRDefault="009712C3" w:rsidP="009712C3">
      <w:pPr>
        <w:spacing w:after="0" w:line="240" w:lineRule="auto"/>
        <w:ind w:left="720"/>
        <w:rPr>
          <w:rFonts w:ascii="Times New Roman" w:eastAsia="Times New Roman" w:hAnsi="Times New Roman" w:cs="Times New Roman"/>
          <w:sz w:val="24"/>
          <w:szCs w:val="24"/>
        </w:rPr>
      </w:pPr>
      <w:r w:rsidRPr="009712C3">
        <w:rPr>
          <w:rFonts w:ascii="Times New Roman" w:eastAsia="Times New Roman" w:hAnsi="Times New Roman" w:cs="Times New Roman"/>
          <w:sz w:val="24"/>
          <w:szCs w:val="24"/>
        </w:rPr>
        <w:t xml:space="preserve">501 Boylston Street, Suite 6101 </w:t>
      </w:r>
    </w:p>
    <w:p w14:paraId="52E7DD84" w14:textId="77777777" w:rsidR="009712C3" w:rsidRPr="009712C3" w:rsidRDefault="009712C3" w:rsidP="009712C3">
      <w:pPr>
        <w:spacing w:after="0" w:line="240" w:lineRule="auto"/>
        <w:ind w:left="720"/>
        <w:rPr>
          <w:rFonts w:ascii="Times New Roman" w:eastAsia="Times New Roman" w:hAnsi="Times New Roman" w:cs="Times New Roman"/>
          <w:sz w:val="24"/>
          <w:szCs w:val="24"/>
        </w:rPr>
      </w:pPr>
      <w:r w:rsidRPr="009712C3">
        <w:rPr>
          <w:rFonts w:ascii="Times New Roman" w:eastAsia="Times New Roman" w:hAnsi="Times New Roman" w:cs="Times New Roman"/>
          <w:sz w:val="24"/>
          <w:szCs w:val="24"/>
        </w:rPr>
        <w:t>Boston, MA 02116</w:t>
      </w:r>
    </w:p>
    <w:p w14:paraId="2429F86E" w14:textId="77777777" w:rsidR="009712C3" w:rsidRPr="009712C3" w:rsidRDefault="009712C3" w:rsidP="009712C3">
      <w:pPr>
        <w:spacing w:after="0" w:line="240" w:lineRule="auto"/>
        <w:ind w:left="720"/>
        <w:rPr>
          <w:rFonts w:ascii="Times New Roman" w:eastAsia="Times New Roman" w:hAnsi="Times New Roman" w:cs="Times New Roman"/>
          <w:sz w:val="24"/>
          <w:szCs w:val="24"/>
        </w:rPr>
      </w:pPr>
      <w:r w:rsidRPr="009712C3">
        <w:rPr>
          <w:rFonts w:ascii="Times New Roman" w:eastAsia="Times New Roman" w:hAnsi="Times New Roman" w:cs="Times New Roman"/>
          <w:sz w:val="24"/>
          <w:szCs w:val="24"/>
        </w:rPr>
        <w:t>(617) 733-2809  </w:t>
      </w:r>
    </w:p>
    <w:p w14:paraId="792C67E1" w14:textId="77777777" w:rsidR="009712C3" w:rsidRPr="009712C3" w:rsidRDefault="009712C3" w:rsidP="009712C3">
      <w:pPr>
        <w:spacing w:after="0" w:line="240" w:lineRule="auto"/>
        <w:ind w:left="720"/>
        <w:rPr>
          <w:rFonts w:ascii="Times New Roman" w:eastAsia="Times New Roman" w:hAnsi="Times New Roman" w:cs="Times New Roman"/>
          <w:sz w:val="24"/>
          <w:szCs w:val="24"/>
        </w:rPr>
      </w:pPr>
      <w:r w:rsidRPr="00ED224B">
        <w:rPr>
          <w:rFonts w:ascii="Times New Roman" w:eastAsia="Times New Roman" w:hAnsi="Times New Roman" w:cs="Times New Roman"/>
          <w:sz w:val="24"/>
          <w:szCs w:val="24"/>
        </w:rPr>
        <w:t>John.Garvey@lightspeedresearch.com</w:t>
      </w:r>
    </w:p>
    <w:p w14:paraId="379A0D5D" w14:textId="77777777" w:rsidR="00B40816" w:rsidRPr="00C86D55" w:rsidRDefault="00B40816" w:rsidP="009712C3">
      <w:pPr>
        <w:spacing w:after="0" w:line="240" w:lineRule="auto"/>
        <w:ind w:left="720"/>
        <w:rPr>
          <w:rFonts w:ascii="Times New Roman" w:eastAsia="Times New Roman" w:hAnsi="Times New Roman" w:cs="Times New Roman"/>
          <w:sz w:val="24"/>
          <w:szCs w:val="24"/>
        </w:rPr>
      </w:pPr>
    </w:p>
    <w:sectPr w:rsidR="00B40816" w:rsidRPr="00C86D55" w:rsidSect="00B408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1A6DD" w14:textId="77777777" w:rsidR="0072337A" w:rsidRDefault="0072337A">
      <w:pPr>
        <w:spacing w:after="0" w:line="240" w:lineRule="auto"/>
      </w:pPr>
      <w:r>
        <w:separator/>
      </w:r>
    </w:p>
  </w:endnote>
  <w:endnote w:type="continuationSeparator" w:id="0">
    <w:p w14:paraId="52346EAD" w14:textId="77777777" w:rsidR="0072337A" w:rsidRDefault="0072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MB X 12">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A6471" w14:textId="77777777" w:rsidR="0072337A" w:rsidRDefault="0072337A" w:rsidP="00B408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6C2548" w14:textId="77777777" w:rsidR="0072337A" w:rsidRDefault="007233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5E3A4" w14:textId="0A168726" w:rsidR="0072337A" w:rsidRPr="00417C41" w:rsidRDefault="0072337A" w:rsidP="00B40816">
    <w:pPr>
      <w:pStyle w:val="Footer"/>
      <w:framePr w:wrap="around" w:vAnchor="text" w:hAnchor="margin" w:xAlign="center" w:y="1"/>
      <w:rPr>
        <w:rStyle w:val="PageNumber"/>
        <w:rFonts w:ascii="Times New Roman" w:hAnsi="Times New Roman" w:cs="Times New Roman"/>
      </w:rPr>
    </w:pPr>
    <w:r w:rsidRPr="00417C41">
      <w:rPr>
        <w:rStyle w:val="PageNumber"/>
        <w:rFonts w:ascii="Times New Roman" w:hAnsi="Times New Roman" w:cs="Times New Roman"/>
      </w:rPr>
      <w:fldChar w:fldCharType="begin"/>
    </w:r>
    <w:r w:rsidRPr="00417C41">
      <w:rPr>
        <w:rStyle w:val="PageNumber"/>
        <w:rFonts w:ascii="Times New Roman" w:hAnsi="Times New Roman" w:cs="Times New Roman"/>
      </w:rPr>
      <w:instrText xml:space="preserve">PAGE  </w:instrText>
    </w:r>
    <w:r w:rsidRPr="00417C41">
      <w:rPr>
        <w:rStyle w:val="PageNumber"/>
        <w:rFonts w:ascii="Times New Roman" w:hAnsi="Times New Roman" w:cs="Times New Roman"/>
      </w:rPr>
      <w:fldChar w:fldCharType="separate"/>
    </w:r>
    <w:r w:rsidR="00C77068">
      <w:rPr>
        <w:rStyle w:val="PageNumber"/>
        <w:rFonts w:ascii="Times New Roman" w:hAnsi="Times New Roman" w:cs="Times New Roman"/>
        <w:noProof/>
      </w:rPr>
      <w:t>1</w:t>
    </w:r>
    <w:r w:rsidRPr="00417C41">
      <w:rPr>
        <w:rStyle w:val="PageNumber"/>
        <w:rFonts w:ascii="Times New Roman" w:hAnsi="Times New Roman" w:cs="Times New Roman"/>
      </w:rPr>
      <w:fldChar w:fldCharType="end"/>
    </w:r>
  </w:p>
  <w:p w14:paraId="3A2B02D7" w14:textId="77777777" w:rsidR="0072337A" w:rsidRDefault="007233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5F155" w14:textId="77777777" w:rsidR="0072337A" w:rsidRDefault="00723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D0BD2" w14:textId="77777777" w:rsidR="0072337A" w:rsidRDefault="0072337A">
      <w:pPr>
        <w:spacing w:after="0" w:line="240" w:lineRule="auto"/>
      </w:pPr>
      <w:r>
        <w:separator/>
      </w:r>
    </w:p>
  </w:footnote>
  <w:footnote w:type="continuationSeparator" w:id="0">
    <w:p w14:paraId="79444589" w14:textId="77777777" w:rsidR="0072337A" w:rsidRDefault="0072337A">
      <w:pPr>
        <w:spacing w:after="0" w:line="240" w:lineRule="auto"/>
      </w:pPr>
      <w:r>
        <w:continuationSeparator/>
      </w:r>
    </w:p>
  </w:footnote>
  <w:footnote w:id="1">
    <w:p w14:paraId="6CF5E5E7" w14:textId="77777777" w:rsidR="0072337A" w:rsidRDefault="0072337A">
      <w:pPr>
        <w:pStyle w:val="FootnoteText"/>
      </w:pPr>
      <w:r>
        <w:rPr>
          <w:rStyle w:val="FootnoteReference"/>
        </w:rPr>
        <w:footnoteRef/>
      </w:r>
      <w:r>
        <w:t xml:space="preserve"> </w:t>
      </w:r>
      <w:r w:rsidRPr="00C22AD1">
        <w:t>B</w:t>
      </w:r>
      <w:r>
        <w:t>enjamini Y &amp; Hochberg Y.</w:t>
      </w:r>
      <w:r w:rsidRPr="00C22AD1">
        <w:t xml:space="preserve"> (1995). Controlling the false discovery rate: A practical and powerful approach to multiple testing. J</w:t>
      </w:r>
      <w:r>
        <w:t xml:space="preserve"> Roy Stat Soc.</w:t>
      </w:r>
      <w:r w:rsidRPr="00C22AD1">
        <w:t xml:space="preserve"> Ser</w:t>
      </w:r>
      <w:r>
        <w:t>ies</w:t>
      </w:r>
      <w:r w:rsidRPr="00C22AD1">
        <w:t xml:space="preserve"> B</w:t>
      </w:r>
      <w:r>
        <w:t>,</w:t>
      </w:r>
      <w:r w:rsidRPr="00C22AD1">
        <w:t xml:space="preserve"> 57</w:t>
      </w:r>
      <w:r>
        <w:t>(1), pp.</w:t>
      </w:r>
      <w:r w:rsidRPr="00C22AD1">
        <w:t xml:space="preserve"> 289–300.</w:t>
      </w:r>
    </w:p>
  </w:footnote>
  <w:footnote w:id="2">
    <w:p w14:paraId="3081B712" w14:textId="77777777" w:rsidR="0072337A" w:rsidRDefault="0072337A">
      <w:pPr>
        <w:pStyle w:val="FootnoteText"/>
      </w:pPr>
      <w:r>
        <w:rPr>
          <w:rStyle w:val="FootnoteReference"/>
        </w:rPr>
        <w:footnoteRef/>
      </w:r>
      <w:r>
        <w:t xml:space="preserve"> 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CC35B" w14:textId="77777777" w:rsidR="0072337A" w:rsidRDefault="007233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6E030" w14:textId="77777777" w:rsidR="0072337A" w:rsidRDefault="007233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E683D" w14:textId="77777777" w:rsidR="0072337A" w:rsidRDefault="00723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3BA"/>
    <w:multiLevelType w:val="multilevel"/>
    <w:tmpl w:val="B12A4CB2"/>
    <w:lvl w:ilvl="0">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304EC2"/>
    <w:multiLevelType w:val="hybridMultilevel"/>
    <w:tmpl w:val="670258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96B47"/>
    <w:multiLevelType w:val="hybridMultilevel"/>
    <w:tmpl w:val="C31A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3C2"/>
    <w:rsid w:val="0001527C"/>
    <w:rsid w:val="000221AB"/>
    <w:rsid w:val="00023FED"/>
    <w:rsid w:val="00036FEC"/>
    <w:rsid w:val="0004623D"/>
    <w:rsid w:val="000741AB"/>
    <w:rsid w:val="000A08C1"/>
    <w:rsid w:val="000A63AD"/>
    <w:rsid w:val="000B0858"/>
    <w:rsid w:val="000B31BB"/>
    <w:rsid w:val="000C268E"/>
    <w:rsid w:val="000C6E2B"/>
    <w:rsid w:val="000D79E9"/>
    <w:rsid w:val="000E3E48"/>
    <w:rsid w:val="000F4C20"/>
    <w:rsid w:val="000F4E82"/>
    <w:rsid w:val="00115AE1"/>
    <w:rsid w:val="00124FE8"/>
    <w:rsid w:val="00127401"/>
    <w:rsid w:val="00133E50"/>
    <w:rsid w:val="00135173"/>
    <w:rsid w:val="00160B40"/>
    <w:rsid w:val="001761CD"/>
    <w:rsid w:val="00182ADE"/>
    <w:rsid w:val="001A269B"/>
    <w:rsid w:val="001A4D44"/>
    <w:rsid w:val="001B75C1"/>
    <w:rsid w:val="001C3D74"/>
    <w:rsid w:val="001C6868"/>
    <w:rsid w:val="001D50B5"/>
    <w:rsid w:val="0020686C"/>
    <w:rsid w:val="00214F47"/>
    <w:rsid w:val="002205D1"/>
    <w:rsid w:val="002208B4"/>
    <w:rsid w:val="00223263"/>
    <w:rsid w:val="002232AF"/>
    <w:rsid w:val="002317FF"/>
    <w:rsid w:val="002566AA"/>
    <w:rsid w:val="00270F03"/>
    <w:rsid w:val="00272AA3"/>
    <w:rsid w:val="002A23CB"/>
    <w:rsid w:val="002D28DD"/>
    <w:rsid w:val="002D54EF"/>
    <w:rsid w:val="002D768C"/>
    <w:rsid w:val="002E7AC8"/>
    <w:rsid w:val="002F1299"/>
    <w:rsid w:val="002F18F4"/>
    <w:rsid w:val="002F3F41"/>
    <w:rsid w:val="002F67FB"/>
    <w:rsid w:val="002F6F59"/>
    <w:rsid w:val="003174C1"/>
    <w:rsid w:val="00330955"/>
    <w:rsid w:val="00331884"/>
    <w:rsid w:val="00337E9B"/>
    <w:rsid w:val="00346A79"/>
    <w:rsid w:val="003507FC"/>
    <w:rsid w:val="00371060"/>
    <w:rsid w:val="00384D8E"/>
    <w:rsid w:val="0039583D"/>
    <w:rsid w:val="00397A7C"/>
    <w:rsid w:val="003A2D5F"/>
    <w:rsid w:val="003B0BF6"/>
    <w:rsid w:val="00413CDE"/>
    <w:rsid w:val="00414EE5"/>
    <w:rsid w:val="0041625A"/>
    <w:rsid w:val="00417C41"/>
    <w:rsid w:val="00435A8C"/>
    <w:rsid w:val="00443875"/>
    <w:rsid w:val="0044463C"/>
    <w:rsid w:val="004468D4"/>
    <w:rsid w:val="004542FE"/>
    <w:rsid w:val="00470F29"/>
    <w:rsid w:val="00473114"/>
    <w:rsid w:val="004800C7"/>
    <w:rsid w:val="00481ACB"/>
    <w:rsid w:val="00490160"/>
    <w:rsid w:val="004A3555"/>
    <w:rsid w:val="004C5704"/>
    <w:rsid w:val="004E51F6"/>
    <w:rsid w:val="00522FC6"/>
    <w:rsid w:val="0055507D"/>
    <w:rsid w:val="00594EA9"/>
    <w:rsid w:val="005B56ED"/>
    <w:rsid w:val="00603600"/>
    <w:rsid w:val="0060498F"/>
    <w:rsid w:val="00613EDB"/>
    <w:rsid w:val="00641A27"/>
    <w:rsid w:val="00642F3C"/>
    <w:rsid w:val="00673028"/>
    <w:rsid w:val="00675EE5"/>
    <w:rsid w:val="006961A4"/>
    <w:rsid w:val="006C4E8C"/>
    <w:rsid w:val="006F406D"/>
    <w:rsid w:val="006F545F"/>
    <w:rsid w:val="006F7849"/>
    <w:rsid w:val="00710D44"/>
    <w:rsid w:val="007162D6"/>
    <w:rsid w:val="0072337A"/>
    <w:rsid w:val="00734ADF"/>
    <w:rsid w:val="0073527B"/>
    <w:rsid w:val="007507F8"/>
    <w:rsid w:val="00760A6C"/>
    <w:rsid w:val="007651A2"/>
    <w:rsid w:val="00790873"/>
    <w:rsid w:val="007A46A8"/>
    <w:rsid w:val="007B266C"/>
    <w:rsid w:val="007D0E61"/>
    <w:rsid w:val="007D7DC5"/>
    <w:rsid w:val="007F4626"/>
    <w:rsid w:val="007F50DF"/>
    <w:rsid w:val="007F7372"/>
    <w:rsid w:val="00801690"/>
    <w:rsid w:val="00804335"/>
    <w:rsid w:val="00813E76"/>
    <w:rsid w:val="008156E7"/>
    <w:rsid w:val="00852F72"/>
    <w:rsid w:val="00853303"/>
    <w:rsid w:val="00866766"/>
    <w:rsid w:val="00875831"/>
    <w:rsid w:val="008763C2"/>
    <w:rsid w:val="00880BFA"/>
    <w:rsid w:val="00891F6E"/>
    <w:rsid w:val="008A0BB4"/>
    <w:rsid w:val="008A4842"/>
    <w:rsid w:val="008D09B5"/>
    <w:rsid w:val="008F0297"/>
    <w:rsid w:val="008F3178"/>
    <w:rsid w:val="00906FD0"/>
    <w:rsid w:val="0091267D"/>
    <w:rsid w:val="00923AA5"/>
    <w:rsid w:val="00927BF3"/>
    <w:rsid w:val="009322BF"/>
    <w:rsid w:val="00936BD6"/>
    <w:rsid w:val="0094721B"/>
    <w:rsid w:val="00970935"/>
    <w:rsid w:val="009712C3"/>
    <w:rsid w:val="00977D1D"/>
    <w:rsid w:val="009C0665"/>
    <w:rsid w:val="009D770F"/>
    <w:rsid w:val="009F6A2E"/>
    <w:rsid w:val="00A1039B"/>
    <w:rsid w:val="00A1276B"/>
    <w:rsid w:val="00A31AFD"/>
    <w:rsid w:val="00A31CA4"/>
    <w:rsid w:val="00A3471D"/>
    <w:rsid w:val="00A3532E"/>
    <w:rsid w:val="00A51E74"/>
    <w:rsid w:val="00A64B78"/>
    <w:rsid w:val="00A7422C"/>
    <w:rsid w:val="00A75F24"/>
    <w:rsid w:val="00A826E8"/>
    <w:rsid w:val="00A83FF0"/>
    <w:rsid w:val="00AB7EB4"/>
    <w:rsid w:val="00AC3E4B"/>
    <w:rsid w:val="00AF58F1"/>
    <w:rsid w:val="00B13A33"/>
    <w:rsid w:val="00B1457B"/>
    <w:rsid w:val="00B25B8E"/>
    <w:rsid w:val="00B321B9"/>
    <w:rsid w:val="00B3646A"/>
    <w:rsid w:val="00B40816"/>
    <w:rsid w:val="00B4757C"/>
    <w:rsid w:val="00B80D5C"/>
    <w:rsid w:val="00BA3959"/>
    <w:rsid w:val="00BB31AA"/>
    <w:rsid w:val="00BB4CF2"/>
    <w:rsid w:val="00BB6906"/>
    <w:rsid w:val="00BC0DBD"/>
    <w:rsid w:val="00BC18EB"/>
    <w:rsid w:val="00BD17F6"/>
    <w:rsid w:val="00BD7E35"/>
    <w:rsid w:val="00BE584B"/>
    <w:rsid w:val="00BF230D"/>
    <w:rsid w:val="00C22AD1"/>
    <w:rsid w:val="00C4028B"/>
    <w:rsid w:val="00C4525F"/>
    <w:rsid w:val="00C51929"/>
    <w:rsid w:val="00C6550A"/>
    <w:rsid w:val="00C739C1"/>
    <w:rsid w:val="00C74AC4"/>
    <w:rsid w:val="00C75E25"/>
    <w:rsid w:val="00C76104"/>
    <w:rsid w:val="00C77068"/>
    <w:rsid w:val="00C843CD"/>
    <w:rsid w:val="00C86D55"/>
    <w:rsid w:val="00C87772"/>
    <w:rsid w:val="00C87DF6"/>
    <w:rsid w:val="00C97876"/>
    <w:rsid w:val="00CA4BDB"/>
    <w:rsid w:val="00CC08FD"/>
    <w:rsid w:val="00CC1F31"/>
    <w:rsid w:val="00CC3129"/>
    <w:rsid w:val="00CC4348"/>
    <w:rsid w:val="00CD4AB5"/>
    <w:rsid w:val="00CD562B"/>
    <w:rsid w:val="00CE4742"/>
    <w:rsid w:val="00CE7910"/>
    <w:rsid w:val="00D016C6"/>
    <w:rsid w:val="00D2367E"/>
    <w:rsid w:val="00D272AE"/>
    <w:rsid w:val="00D32D7C"/>
    <w:rsid w:val="00D41731"/>
    <w:rsid w:val="00D43122"/>
    <w:rsid w:val="00D54557"/>
    <w:rsid w:val="00D56BD7"/>
    <w:rsid w:val="00D6295C"/>
    <w:rsid w:val="00D658F0"/>
    <w:rsid w:val="00D70643"/>
    <w:rsid w:val="00D842B5"/>
    <w:rsid w:val="00D85A15"/>
    <w:rsid w:val="00DE34E9"/>
    <w:rsid w:val="00DF75B4"/>
    <w:rsid w:val="00E06AF0"/>
    <w:rsid w:val="00E161E1"/>
    <w:rsid w:val="00E26919"/>
    <w:rsid w:val="00E36FB6"/>
    <w:rsid w:val="00E60162"/>
    <w:rsid w:val="00EC2748"/>
    <w:rsid w:val="00EC5031"/>
    <w:rsid w:val="00EC7153"/>
    <w:rsid w:val="00ED14B2"/>
    <w:rsid w:val="00ED224B"/>
    <w:rsid w:val="00ED76AD"/>
    <w:rsid w:val="00EF4F66"/>
    <w:rsid w:val="00EF696C"/>
    <w:rsid w:val="00F02DF2"/>
    <w:rsid w:val="00F159A9"/>
    <w:rsid w:val="00F41D34"/>
    <w:rsid w:val="00F46684"/>
    <w:rsid w:val="00F55AE5"/>
    <w:rsid w:val="00F560CD"/>
    <w:rsid w:val="00F6157C"/>
    <w:rsid w:val="00F6344B"/>
    <w:rsid w:val="00F63807"/>
    <w:rsid w:val="00F83260"/>
    <w:rsid w:val="00F86383"/>
    <w:rsid w:val="00F91F96"/>
    <w:rsid w:val="00FA0801"/>
    <w:rsid w:val="00FE35B2"/>
    <w:rsid w:val="00FE5E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EF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6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C2"/>
  </w:style>
  <w:style w:type="character" w:styleId="PageNumber">
    <w:name w:val="page number"/>
    <w:basedOn w:val="DefaultParagraphFont"/>
    <w:rsid w:val="008763C2"/>
  </w:style>
  <w:style w:type="paragraph" w:styleId="Header">
    <w:name w:val="header"/>
    <w:basedOn w:val="Normal"/>
    <w:link w:val="HeaderChar"/>
    <w:rsid w:val="008763C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763C2"/>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790873"/>
    <w:rPr>
      <w:sz w:val="16"/>
      <w:szCs w:val="16"/>
    </w:rPr>
  </w:style>
  <w:style w:type="paragraph" w:styleId="CommentText">
    <w:name w:val="annotation text"/>
    <w:basedOn w:val="Normal"/>
    <w:link w:val="CommentTextChar"/>
    <w:uiPriority w:val="99"/>
    <w:unhideWhenUsed/>
    <w:rsid w:val="00790873"/>
    <w:pPr>
      <w:spacing w:line="240" w:lineRule="auto"/>
    </w:pPr>
    <w:rPr>
      <w:sz w:val="20"/>
      <w:szCs w:val="20"/>
    </w:rPr>
  </w:style>
  <w:style w:type="character" w:customStyle="1" w:styleId="CommentTextChar">
    <w:name w:val="Comment Text Char"/>
    <w:basedOn w:val="DefaultParagraphFont"/>
    <w:link w:val="CommentText"/>
    <w:uiPriority w:val="99"/>
    <w:rsid w:val="00790873"/>
    <w:rPr>
      <w:sz w:val="20"/>
      <w:szCs w:val="20"/>
    </w:rPr>
  </w:style>
  <w:style w:type="paragraph" w:styleId="CommentSubject">
    <w:name w:val="annotation subject"/>
    <w:basedOn w:val="CommentText"/>
    <w:next w:val="CommentText"/>
    <w:link w:val="CommentSubjectChar"/>
    <w:uiPriority w:val="99"/>
    <w:semiHidden/>
    <w:unhideWhenUsed/>
    <w:rsid w:val="00790873"/>
    <w:rPr>
      <w:b/>
      <w:bCs/>
    </w:rPr>
  </w:style>
  <w:style w:type="character" w:customStyle="1" w:styleId="CommentSubjectChar">
    <w:name w:val="Comment Subject Char"/>
    <w:basedOn w:val="CommentTextChar"/>
    <w:link w:val="CommentSubject"/>
    <w:uiPriority w:val="99"/>
    <w:semiHidden/>
    <w:rsid w:val="00790873"/>
    <w:rPr>
      <w:b/>
      <w:bCs/>
      <w:sz w:val="20"/>
      <w:szCs w:val="20"/>
    </w:rPr>
  </w:style>
  <w:style w:type="paragraph" w:styleId="BalloonText">
    <w:name w:val="Balloon Text"/>
    <w:basedOn w:val="Normal"/>
    <w:link w:val="BalloonTextChar"/>
    <w:uiPriority w:val="99"/>
    <w:semiHidden/>
    <w:unhideWhenUsed/>
    <w:rsid w:val="00790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873"/>
    <w:rPr>
      <w:rFonts w:ascii="Segoe UI" w:hAnsi="Segoe UI" w:cs="Segoe UI"/>
      <w:sz w:val="18"/>
      <w:szCs w:val="18"/>
    </w:rPr>
  </w:style>
  <w:style w:type="paragraph" w:styleId="FootnoteText">
    <w:name w:val="footnote text"/>
    <w:basedOn w:val="Normal"/>
    <w:link w:val="FootnoteTextChar"/>
    <w:rsid w:val="00675EE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75EE5"/>
    <w:rPr>
      <w:rFonts w:ascii="Times New Roman" w:eastAsia="Times New Roman" w:hAnsi="Times New Roman" w:cs="Times New Roman"/>
      <w:sz w:val="20"/>
      <w:szCs w:val="20"/>
    </w:rPr>
  </w:style>
  <w:style w:type="paragraph" w:styleId="z-BottomofForm">
    <w:name w:val="HTML Bottom of Form"/>
    <w:basedOn w:val="Normal"/>
    <w:next w:val="Normal"/>
    <w:link w:val="z-BottomofFormChar"/>
    <w:hidden/>
    <w:rsid w:val="000221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0221AB"/>
    <w:rPr>
      <w:rFonts w:ascii="Arial" w:eastAsia="Times New Roman" w:hAnsi="Arial" w:cs="Arial"/>
      <w:vanish/>
      <w:sz w:val="16"/>
      <w:szCs w:val="16"/>
    </w:rPr>
  </w:style>
  <w:style w:type="paragraph" w:customStyle="1" w:styleId="Appheading2">
    <w:name w:val="App heading 2"/>
    <w:basedOn w:val="Normal"/>
    <w:qFormat/>
    <w:rsid w:val="00852F72"/>
    <w:pPr>
      <w:numPr>
        <w:numId w:val="3"/>
      </w:numPr>
      <w:tabs>
        <w:tab w:val="clear" w:pos="720"/>
        <w:tab w:val="num" w:pos="450"/>
        <w:tab w:val="left" w:pos="7200"/>
      </w:tabs>
      <w:spacing w:after="120" w:line="240" w:lineRule="auto"/>
      <w:ind w:left="450" w:hanging="450"/>
    </w:pPr>
    <w:rPr>
      <w:rFonts w:ascii="Arial" w:eastAsia="Times New Roman" w:hAnsi="Arial" w:cs="Arial"/>
      <w:b/>
    </w:rPr>
  </w:style>
  <w:style w:type="paragraph" w:styleId="ListParagraph">
    <w:name w:val="List Paragraph"/>
    <w:basedOn w:val="Normal"/>
    <w:uiPriority w:val="34"/>
    <w:qFormat/>
    <w:rsid w:val="00F6157C"/>
    <w:pPr>
      <w:spacing w:after="160" w:line="259" w:lineRule="auto"/>
      <w:ind w:left="720"/>
      <w:contextualSpacing/>
    </w:pPr>
  </w:style>
  <w:style w:type="character" w:styleId="Hyperlink">
    <w:name w:val="Hyperlink"/>
    <w:basedOn w:val="DefaultParagraphFont"/>
    <w:uiPriority w:val="99"/>
    <w:unhideWhenUsed/>
    <w:rsid w:val="009712C3"/>
    <w:rPr>
      <w:color w:val="0000FF" w:themeColor="hyperlink"/>
      <w:u w:val="single"/>
    </w:rPr>
  </w:style>
  <w:style w:type="character" w:customStyle="1" w:styleId="UnresolvedMention1">
    <w:name w:val="Unresolved Mention1"/>
    <w:basedOn w:val="DefaultParagraphFont"/>
    <w:uiPriority w:val="99"/>
    <w:semiHidden/>
    <w:unhideWhenUsed/>
    <w:rsid w:val="009712C3"/>
    <w:rPr>
      <w:color w:val="808080"/>
      <w:shd w:val="clear" w:color="auto" w:fill="E6E6E6"/>
    </w:rPr>
  </w:style>
  <w:style w:type="paragraph" w:styleId="Revision">
    <w:name w:val="Revision"/>
    <w:hidden/>
    <w:uiPriority w:val="99"/>
    <w:semiHidden/>
    <w:rsid w:val="008A0BB4"/>
    <w:pPr>
      <w:spacing w:after="0" w:line="240" w:lineRule="auto"/>
    </w:pPr>
  </w:style>
  <w:style w:type="character" w:styleId="FootnoteReference">
    <w:name w:val="footnote reference"/>
    <w:basedOn w:val="DefaultParagraphFont"/>
    <w:uiPriority w:val="99"/>
    <w:semiHidden/>
    <w:unhideWhenUsed/>
    <w:rsid w:val="00C22A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6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C2"/>
  </w:style>
  <w:style w:type="character" w:styleId="PageNumber">
    <w:name w:val="page number"/>
    <w:basedOn w:val="DefaultParagraphFont"/>
    <w:rsid w:val="008763C2"/>
  </w:style>
  <w:style w:type="paragraph" w:styleId="Header">
    <w:name w:val="header"/>
    <w:basedOn w:val="Normal"/>
    <w:link w:val="HeaderChar"/>
    <w:rsid w:val="008763C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763C2"/>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790873"/>
    <w:rPr>
      <w:sz w:val="16"/>
      <w:szCs w:val="16"/>
    </w:rPr>
  </w:style>
  <w:style w:type="paragraph" w:styleId="CommentText">
    <w:name w:val="annotation text"/>
    <w:basedOn w:val="Normal"/>
    <w:link w:val="CommentTextChar"/>
    <w:uiPriority w:val="99"/>
    <w:unhideWhenUsed/>
    <w:rsid w:val="00790873"/>
    <w:pPr>
      <w:spacing w:line="240" w:lineRule="auto"/>
    </w:pPr>
    <w:rPr>
      <w:sz w:val="20"/>
      <w:szCs w:val="20"/>
    </w:rPr>
  </w:style>
  <w:style w:type="character" w:customStyle="1" w:styleId="CommentTextChar">
    <w:name w:val="Comment Text Char"/>
    <w:basedOn w:val="DefaultParagraphFont"/>
    <w:link w:val="CommentText"/>
    <w:uiPriority w:val="99"/>
    <w:rsid w:val="00790873"/>
    <w:rPr>
      <w:sz w:val="20"/>
      <w:szCs w:val="20"/>
    </w:rPr>
  </w:style>
  <w:style w:type="paragraph" w:styleId="CommentSubject">
    <w:name w:val="annotation subject"/>
    <w:basedOn w:val="CommentText"/>
    <w:next w:val="CommentText"/>
    <w:link w:val="CommentSubjectChar"/>
    <w:uiPriority w:val="99"/>
    <w:semiHidden/>
    <w:unhideWhenUsed/>
    <w:rsid w:val="00790873"/>
    <w:rPr>
      <w:b/>
      <w:bCs/>
    </w:rPr>
  </w:style>
  <w:style w:type="character" w:customStyle="1" w:styleId="CommentSubjectChar">
    <w:name w:val="Comment Subject Char"/>
    <w:basedOn w:val="CommentTextChar"/>
    <w:link w:val="CommentSubject"/>
    <w:uiPriority w:val="99"/>
    <w:semiHidden/>
    <w:rsid w:val="00790873"/>
    <w:rPr>
      <w:b/>
      <w:bCs/>
      <w:sz w:val="20"/>
      <w:szCs w:val="20"/>
    </w:rPr>
  </w:style>
  <w:style w:type="paragraph" w:styleId="BalloonText">
    <w:name w:val="Balloon Text"/>
    <w:basedOn w:val="Normal"/>
    <w:link w:val="BalloonTextChar"/>
    <w:uiPriority w:val="99"/>
    <w:semiHidden/>
    <w:unhideWhenUsed/>
    <w:rsid w:val="00790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873"/>
    <w:rPr>
      <w:rFonts w:ascii="Segoe UI" w:hAnsi="Segoe UI" w:cs="Segoe UI"/>
      <w:sz w:val="18"/>
      <w:szCs w:val="18"/>
    </w:rPr>
  </w:style>
  <w:style w:type="paragraph" w:styleId="FootnoteText">
    <w:name w:val="footnote text"/>
    <w:basedOn w:val="Normal"/>
    <w:link w:val="FootnoteTextChar"/>
    <w:rsid w:val="00675EE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75EE5"/>
    <w:rPr>
      <w:rFonts w:ascii="Times New Roman" w:eastAsia="Times New Roman" w:hAnsi="Times New Roman" w:cs="Times New Roman"/>
      <w:sz w:val="20"/>
      <w:szCs w:val="20"/>
    </w:rPr>
  </w:style>
  <w:style w:type="paragraph" w:styleId="z-BottomofForm">
    <w:name w:val="HTML Bottom of Form"/>
    <w:basedOn w:val="Normal"/>
    <w:next w:val="Normal"/>
    <w:link w:val="z-BottomofFormChar"/>
    <w:hidden/>
    <w:rsid w:val="000221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0221AB"/>
    <w:rPr>
      <w:rFonts w:ascii="Arial" w:eastAsia="Times New Roman" w:hAnsi="Arial" w:cs="Arial"/>
      <w:vanish/>
      <w:sz w:val="16"/>
      <w:szCs w:val="16"/>
    </w:rPr>
  </w:style>
  <w:style w:type="paragraph" w:customStyle="1" w:styleId="Appheading2">
    <w:name w:val="App heading 2"/>
    <w:basedOn w:val="Normal"/>
    <w:qFormat/>
    <w:rsid w:val="00852F72"/>
    <w:pPr>
      <w:numPr>
        <w:numId w:val="3"/>
      </w:numPr>
      <w:tabs>
        <w:tab w:val="clear" w:pos="720"/>
        <w:tab w:val="num" w:pos="450"/>
        <w:tab w:val="left" w:pos="7200"/>
      </w:tabs>
      <w:spacing w:after="120" w:line="240" w:lineRule="auto"/>
      <w:ind w:left="450" w:hanging="450"/>
    </w:pPr>
    <w:rPr>
      <w:rFonts w:ascii="Arial" w:eastAsia="Times New Roman" w:hAnsi="Arial" w:cs="Arial"/>
      <w:b/>
    </w:rPr>
  </w:style>
  <w:style w:type="paragraph" w:styleId="ListParagraph">
    <w:name w:val="List Paragraph"/>
    <w:basedOn w:val="Normal"/>
    <w:uiPriority w:val="34"/>
    <w:qFormat/>
    <w:rsid w:val="00F6157C"/>
    <w:pPr>
      <w:spacing w:after="160" w:line="259" w:lineRule="auto"/>
      <w:ind w:left="720"/>
      <w:contextualSpacing/>
    </w:pPr>
  </w:style>
  <w:style w:type="character" w:styleId="Hyperlink">
    <w:name w:val="Hyperlink"/>
    <w:basedOn w:val="DefaultParagraphFont"/>
    <w:uiPriority w:val="99"/>
    <w:unhideWhenUsed/>
    <w:rsid w:val="009712C3"/>
    <w:rPr>
      <w:color w:val="0000FF" w:themeColor="hyperlink"/>
      <w:u w:val="single"/>
    </w:rPr>
  </w:style>
  <w:style w:type="character" w:customStyle="1" w:styleId="UnresolvedMention1">
    <w:name w:val="Unresolved Mention1"/>
    <w:basedOn w:val="DefaultParagraphFont"/>
    <w:uiPriority w:val="99"/>
    <w:semiHidden/>
    <w:unhideWhenUsed/>
    <w:rsid w:val="009712C3"/>
    <w:rPr>
      <w:color w:val="808080"/>
      <w:shd w:val="clear" w:color="auto" w:fill="E6E6E6"/>
    </w:rPr>
  </w:style>
  <w:style w:type="paragraph" w:styleId="Revision">
    <w:name w:val="Revision"/>
    <w:hidden/>
    <w:uiPriority w:val="99"/>
    <w:semiHidden/>
    <w:rsid w:val="008A0BB4"/>
    <w:pPr>
      <w:spacing w:after="0" w:line="240" w:lineRule="auto"/>
    </w:pPr>
  </w:style>
  <w:style w:type="character" w:styleId="FootnoteReference">
    <w:name w:val="footnote reference"/>
    <w:basedOn w:val="DefaultParagraphFont"/>
    <w:uiPriority w:val="99"/>
    <w:semiHidden/>
    <w:unhideWhenUsed/>
    <w:rsid w:val="00C22A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5688">
      <w:bodyDiv w:val="1"/>
      <w:marLeft w:val="0"/>
      <w:marRight w:val="0"/>
      <w:marTop w:val="0"/>
      <w:marBottom w:val="0"/>
      <w:divBdr>
        <w:top w:val="none" w:sz="0" w:space="0" w:color="auto"/>
        <w:left w:val="none" w:sz="0" w:space="0" w:color="auto"/>
        <w:bottom w:val="none" w:sz="0" w:space="0" w:color="auto"/>
        <w:right w:val="none" w:sz="0" w:space="0" w:color="auto"/>
      </w:divBdr>
    </w:div>
    <w:div w:id="460153525">
      <w:bodyDiv w:val="1"/>
      <w:marLeft w:val="0"/>
      <w:marRight w:val="0"/>
      <w:marTop w:val="0"/>
      <w:marBottom w:val="0"/>
      <w:divBdr>
        <w:top w:val="none" w:sz="0" w:space="0" w:color="auto"/>
        <w:left w:val="none" w:sz="0" w:space="0" w:color="auto"/>
        <w:bottom w:val="none" w:sz="0" w:space="0" w:color="auto"/>
        <w:right w:val="none" w:sz="0" w:space="0" w:color="auto"/>
      </w:divBdr>
    </w:div>
    <w:div w:id="5152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097D-C07D-4C95-8593-877A166E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3969</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dc:creator>
  <cp:keywords/>
  <dc:description/>
  <cp:lastModifiedBy>SYSTEM</cp:lastModifiedBy>
  <cp:revision>2</cp:revision>
  <dcterms:created xsi:type="dcterms:W3CDTF">2019-03-08T22:58:00Z</dcterms:created>
  <dcterms:modified xsi:type="dcterms:W3CDTF">2019-03-08T22:58:00Z</dcterms:modified>
</cp:coreProperties>
</file>