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FBC831" w14:textId="77777777" w:rsidR="00490720" w:rsidRPr="00C45431" w:rsidRDefault="00490720">
      <w:pPr>
        <w:widowControl/>
        <w:autoSpaceDE/>
        <w:autoSpaceDN/>
        <w:adjustRightInd/>
        <w:rPr>
          <w:rFonts w:ascii="Arial" w:hAnsi="Arial" w:cs="Arial"/>
          <w:b/>
          <w:bCs/>
          <w:sz w:val="32"/>
          <w:szCs w:val="32"/>
        </w:rPr>
      </w:pPr>
      <w:bookmarkStart w:id="0" w:name="_GoBack"/>
      <w:bookmarkEnd w:id="0"/>
    </w:p>
    <w:p w14:paraId="153BDBE4" w14:textId="77777777" w:rsidR="00BA1A0C" w:rsidRPr="00D82F0E" w:rsidRDefault="009B3794"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 xml:space="preserve">Supporting Statement </w:t>
      </w:r>
      <w:r w:rsidR="00BA1A0C" w:rsidRPr="00D82F0E">
        <w:rPr>
          <w:rFonts w:ascii="Arial" w:hAnsi="Arial" w:cs="Arial"/>
          <w:b/>
          <w:bCs/>
          <w:sz w:val="28"/>
          <w:szCs w:val="28"/>
        </w:rPr>
        <w:t>A</w:t>
      </w:r>
    </w:p>
    <w:p w14:paraId="346F765F" w14:textId="77777777" w:rsidR="00BA1A0C" w:rsidRPr="00D82F0E" w:rsidRDefault="00BA1A0C" w:rsidP="00CE5AA9">
      <w:pPr>
        <w:tabs>
          <w:tab w:val="center" w:pos="4680"/>
        </w:tabs>
        <w:spacing w:before="120"/>
        <w:jc w:val="center"/>
        <w:rPr>
          <w:rFonts w:ascii="Arial" w:hAnsi="Arial" w:cs="Arial"/>
          <w:b/>
          <w:bCs/>
          <w:sz w:val="28"/>
          <w:szCs w:val="28"/>
        </w:rPr>
      </w:pPr>
    </w:p>
    <w:p w14:paraId="331CEB5C" w14:textId="77777777" w:rsidR="009B3794" w:rsidRPr="00D82F0E" w:rsidRDefault="005F6313"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Maternal, Infant, and Early Childhood Home Visiting Program Quarterly Data Collection</w:t>
      </w:r>
    </w:p>
    <w:p w14:paraId="777E01E2" w14:textId="77777777" w:rsidR="00BA1A0C" w:rsidRPr="00D82F0E" w:rsidRDefault="00BA1A0C" w:rsidP="00CE5AA9">
      <w:pPr>
        <w:tabs>
          <w:tab w:val="center" w:pos="4680"/>
        </w:tabs>
        <w:spacing w:before="120"/>
        <w:jc w:val="center"/>
        <w:rPr>
          <w:rFonts w:ascii="Arial" w:hAnsi="Arial" w:cs="Arial"/>
          <w:b/>
          <w:bCs/>
          <w:sz w:val="28"/>
          <w:szCs w:val="28"/>
        </w:rPr>
      </w:pPr>
    </w:p>
    <w:p w14:paraId="43ED29DD" w14:textId="77777777" w:rsidR="00B7516D" w:rsidRDefault="00BA1A0C" w:rsidP="00CE5AA9">
      <w:pPr>
        <w:tabs>
          <w:tab w:val="center" w:pos="4680"/>
        </w:tabs>
        <w:spacing w:before="120"/>
        <w:jc w:val="center"/>
        <w:rPr>
          <w:rFonts w:ascii="Arial" w:hAnsi="Arial" w:cs="Arial"/>
          <w:b/>
          <w:bCs/>
          <w:sz w:val="28"/>
          <w:szCs w:val="28"/>
        </w:rPr>
      </w:pPr>
      <w:r w:rsidRPr="00D82F0E">
        <w:rPr>
          <w:rFonts w:ascii="Arial" w:hAnsi="Arial" w:cs="Arial"/>
          <w:b/>
          <w:bCs/>
          <w:sz w:val="28"/>
          <w:szCs w:val="28"/>
        </w:rPr>
        <w:t>OMB Control No. 09</w:t>
      </w:r>
      <w:r w:rsidR="005F6313" w:rsidRPr="00D82F0E">
        <w:rPr>
          <w:rFonts w:ascii="Arial" w:hAnsi="Arial" w:cs="Arial"/>
          <w:b/>
          <w:bCs/>
          <w:sz w:val="28"/>
          <w:szCs w:val="28"/>
        </w:rPr>
        <w:t>06</w:t>
      </w:r>
      <w:r w:rsidRPr="00D82F0E">
        <w:rPr>
          <w:rFonts w:ascii="Arial" w:hAnsi="Arial" w:cs="Arial"/>
          <w:b/>
          <w:bCs/>
          <w:sz w:val="28"/>
          <w:szCs w:val="28"/>
        </w:rPr>
        <w:t>-</w:t>
      </w:r>
      <w:r w:rsidR="00FD6290">
        <w:rPr>
          <w:rFonts w:ascii="Arial" w:hAnsi="Arial" w:cs="Arial"/>
          <w:b/>
          <w:bCs/>
          <w:sz w:val="28"/>
          <w:szCs w:val="28"/>
        </w:rPr>
        <w:t>0016</w:t>
      </w:r>
    </w:p>
    <w:p w14:paraId="381B36A9" w14:textId="0C4B684E" w:rsidR="00BA1A0C" w:rsidRPr="00D82F0E" w:rsidRDefault="00FD6290" w:rsidP="00CE5AA9">
      <w:pPr>
        <w:tabs>
          <w:tab w:val="center" w:pos="4680"/>
        </w:tabs>
        <w:spacing w:before="120"/>
        <w:jc w:val="center"/>
        <w:rPr>
          <w:rFonts w:ascii="Arial" w:hAnsi="Arial" w:cs="Arial"/>
          <w:b/>
          <w:bCs/>
          <w:sz w:val="28"/>
          <w:szCs w:val="28"/>
        </w:rPr>
      </w:pPr>
      <w:r>
        <w:rPr>
          <w:rFonts w:ascii="Arial" w:hAnsi="Arial" w:cs="Arial"/>
          <w:b/>
          <w:bCs/>
          <w:sz w:val="28"/>
          <w:szCs w:val="28"/>
        </w:rPr>
        <w:t>Revision</w:t>
      </w:r>
    </w:p>
    <w:p w14:paraId="070CB91B" w14:textId="77777777" w:rsidR="00BA1A0C" w:rsidRPr="00C45431" w:rsidRDefault="00BA1A0C" w:rsidP="00CE5AA9">
      <w:pPr>
        <w:tabs>
          <w:tab w:val="center" w:pos="4680"/>
        </w:tabs>
        <w:spacing w:before="120"/>
        <w:jc w:val="center"/>
        <w:rPr>
          <w:rFonts w:ascii="Arial" w:hAnsi="Arial" w:cs="Arial"/>
          <w:b/>
          <w:bCs/>
          <w:sz w:val="32"/>
          <w:szCs w:val="32"/>
        </w:rPr>
      </w:pPr>
    </w:p>
    <w:p w14:paraId="0E25EDC5" w14:textId="77777777" w:rsidR="009B3794" w:rsidRPr="00C45431" w:rsidRDefault="00DE3A45" w:rsidP="00CE5AA9">
      <w:pPr>
        <w:spacing w:before="120"/>
        <w:rPr>
          <w:rFonts w:ascii="Arial" w:hAnsi="Arial" w:cs="Arial"/>
          <w:b/>
          <w:sz w:val="24"/>
        </w:rPr>
      </w:pPr>
      <w:r w:rsidRPr="00C45431">
        <w:rPr>
          <w:rFonts w:ascii="Arial" w:hAnsi="Arial" w:cs="Arial"/>
          <w:b/>
          <w:sz w:val="24"/>
        </w:rPr>
        <w:t>Terms of Clearance</w:t>
      </w:r>
      <w:r w:rsidR="00BA1A0C" w:rsidRPr="00C45431">
        <w:rPr>
          <w:rFonts w:ascii="Arial" w:hAnsi="Arial" w:cs="Arial"/>
          <w:b/>
          <w:sz w:val="24"/>
        </w:rPr>
        <w:t>:</w:t>
      </w:r>
      <w:r w:rsidR="00BA1A0C" w:rsidRPr="00C45431">
        <w:rPr>
          <w:rFonts w:ascii="Arial" w:hAnsi="Arial" w:cs="Arial"/>
          <w:sz w:val="24"/>
        </w:rPr>
        <w:t xml:space="preserve">  </w:t>
      </w:r>
      <w:r w:rsidR="005F6313">
        <w:rPr>
          <w:rFonts w:ascii="Arial" w:hAnsi="Arial" w:cs="Arial"/>
          <w:sz w:val="24"/>
        </w:rPr>
        <w:t>None</w:t>
      </w:r>
      <w:r w:rsidR="00BA1A0C" w:rsidRPr="00C45431">
        <w:rPr>
          <w:rFonts w:ascii="Arial" w:hAnsi="Arial" w:cs="Arial"/>
          <w:b/>
          <w:sz w:val="24"/>
        </w:rPr>
        <w:t xml:space="preserve"> </w:t>
      </w:r>
    </w:p>
    <w:p w14:paraId="601F5171" w14:textId="77777777" w:rsidR="009B3794" w:rsidRPr="00C45431" w:rsidRDefault="009B3794" w:rsidP="00CA3DA6">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14:paraId="2C8442B4" w14:textId="77777777" w:rsidR="009B3794" w:rsidRPr="005F6313"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14:paraId="68FFC762" w14:textId="1C06BDCF" w:rsidR="005F6313" w:rsidRDefault="005F6313" w:rsidP="005F6313">
      <w:pPr>
        <w:spacing w:before="240"/>
        <w:ind w:left="360"/>
        <w:rPr>
          <w:rFonts w:ascii="Arial" w:hAnsi="Arial" w:cs="Arial"/>
          <w:sz w:val="24"/>
        </w:rPr>
      </w:pPr>
      <w:r>
        <w:rPr>
          <w:rFonts w:ascii="Arial" w:hAnsi="Arial" w:cs="Arial"/>
          <w:sz w:val="24"/>
        </w:rPr>
        <w:t xml:space="preserve">The Health Resources and Services Administration (HRSA) </w:t>
      </w:r>
      <w:r w:rsidR="00FD6290">
        <w:rPr>
          <w:rFonts w:ascii="Arial" w:hAnsi="Arial" w:cs="Arial"/>
          <w:sz w:val="24"/>
        </w:rPr>
        <w:t>is</w:t>
      </w:r>
      <w:r>
        <w:rPr>
          <w:rFonts w:ascii="Arial" w:hAnsi="Arial" w:cs="Arial"/>
          <w:sz w:val="24"/>
        </w:rPr>
        <w:t xml:space="preserve"> requesting the Office of Management and Budget (OMB) to review and approve </w:t>
      </w:r>
      <w:r w:rsidR="00B129BA">
        <w:rPr>
          <w:rFonts w:ascii="Arial" w:hAnsi="Arial" w:cs="Arial"/>
          <w:sz w:val="24"/>
        </w:rPr>
        <w:t xml:space="preserve">revisions to </w:t>
      </w:r>
      <w:r w:rsidR="00A822BC">
        <w:rPr>
          <w:rFonts w:ascii="Arial" w:hAnsi="Arial" w:cs="Arial"/>
          <w:sz w:val="24"/>
        </w:rPr>
        <w:t>several</w:t>
      </w:r>
      <w:r>
        <w:rPr>
          <w:rFonts w:ascii="Arial" w:hAnsi="Arial" w:cs="Arial"/>
          <w:sz w:val="24"/>
        </w:rPr>
        <w:t xml:space="preserve"> </w:t>
      </w:r>
      <w:r w:rsidR="00A822BC">
        <w:rPr>
          <w:rFonts w:ascii="Arial" w:hAnsi="Arial" w:cs="Arial"/>
          <w:sz w:val="24"/>
        </w:rPr>
        <w:t>categories of information collection</w:t>
      </w:r>
      <w:r>
        <w:rPr>
          <w:rFonts w:ascii="Arial" w:hAnsi="Arial" w:cs="Arial"/>
          <w:sz w:val="24"/>
        </w:rPr>
        <w:t xml:space="preserve"> for the Maternal, Infant, and Early Childhood Home Visiting (MIECHV)</w:t>
      </w:r>
      <w:r w:rsidR="00FD6290">
        <w:rPr>
          <w:rFonts w:ascii="Arial" w:hAnsi="Arial" w:cs="Arial"/>
          <w:sz w:val="24"/>
        </w:rPr>
        <w:t xml:space="preserve"> Program</w:t>
      </w:r>
      <w:r>
        <w:rPr>
          <w:rFonts w:ascii="Arial" w:hAnsi="Arial" w:cs="Arial"/>
          <w:sz w:val="24"/>
        </w:rPr>
        <w:t>.</w:t>
      </w:r>
    </w:p>
    <w:p w14:paraId="3790EC32" w14:textId="575C5E4B" w:rsidR="005F6313" w:rsidRDefault="005F6313" w:rsidP="005F6313">
      <w:pPr>
        <w:spacing w:before="240"/>
        <w:ind w:left="360"/>
        <w:rPr>
          <w:rFonts w:ascii="Arial" w:hAnsi="Arial" w:cs="Arial"/>
          <w:sz w:val="24"/>
        </w:rPr>
      </w:pPr>
      <w:r>
        <w:rPr>
          <w:rFonts w:ascii="Arial" w:hAnsi="Arial" w:cs="Arial"/>
          <w:sz w:val="24"/>
        </w:rPr>
        <w:t xml:space="preserve">The MIECHV </w:t>
      </w:r>
      <w:r w:rsidR="00FD6290">
        <w:rPr>
          <w:rFonts w:ascii="Arial" w:hAnsi="Arial" w:cs="Arial"/>
          <w:sz w:val="24"/>
        </w:rPr>
        <w:t xml:space="preserve">Program </w:t>
      </w:r>
      <w:r>
        <w:rPr>
          <w:rFonts w:ascii="Arial" w:hAnsi="Arial" w:cs="Arial"/>
          <w:sz w:val="24"/>
        </w:rPr>
        <w:t xml:space="preserve">is designed to </w:t>
      </w:r>
      <w:r w:rsidR="00AD36B7">
        <w:rPr>
          <w:rFonts w:ascii="Arial" w:hAnsi="Arial" w:cs="Arial"/>
          <w:sz w:val="24"/>
        </w:rPr>
        <w:t>support voluntary, evidence-based home visiting services during pregnancy and to parents with young children up to kindergarten entry.  States</w:t>
      </w:r>
      <w:r w:rsidR="00FD6290">
        <w:rPr>
          <w:rFonts w:ascii="Arial" w:hAnsi="Arial" w:cs="Arial"/>
          <w:sz w:val="24"/>
        </w:rPr>
        <w:t>, certain nonprofit organizations,</w:t>
      </w:r>
      <w:r w:rsidR="00AD36B7">
        <w:rPr>
          <w:rFonts w:ascii="Arial" w:hAnsi="Arial" w:cs="Arial"/>
          <w:sz w:val="24"/>
        </w:rPr>
        <w:t xml:space="preserve"> and tribal entities are eligible to receive funding from the MIECHV </w:t>
      </w:r>
      <w:r w:rsidR="00FD6290">
        <w:rPr>
          <w:rFonts w:ascii="Arial" w:hAnsi="Arial" w:cs="Arial"/>
          <w:sz w:val="24"/>
        </w:rPr>
        <w:t xml:space="preserve">Program </w:t>
      </w:r>
      <w:r w:rsidR="00AD36B7">
        <w:rPr>
          <w:rFonts w:ascii="Arial" w:hAnsi="Arial" w:cs="Arial"/>
          <w:sz w:val="24"/>
        </w:rPr>
        <w:t xml:space="preserve">and have the flexibility to tailor the program to serve the specific needs of their communities.  </w:t>
      </w:r>
    </w:p>
    <w:p w14:paraId="4DC1FBBA" w14:textId="77777777" w:rsidR="003C3642" w:rsidRDefault="003C3642" w:rsidP="00AD36B7">
      <w:pPr>
        <w:ind w:left="360"/>
        <w:rPr>
          <w:rFonts w:ascii="Arial" w:hAnsi="Arial" w:cs="Arial"/>
          <w:sz w:val="24"/>
        </w:rPr>
      </w:pPr>
    </w:p>
    <w:p w14:paraId="25E2E5F0" w14:textId="403C2992" w:rsidR="00AD36B7" w:rsidRDefault="00AD36B7" w:rsidP="00AD36B7">
      <w:pPr>
        <w:ind w:left="360"/>
        <w:rPr>
          <w:rFonts w:ascii="Arial" w:hAnsi="Arial" w:cs="Arial"/>
          <w:sz w:val="24"/>
        </w:rPr>
      </w:pPr>
      <w:r>
        <w:rPr>
          <w:rFonts w:ascii="Arial" w:hAnsi="Arial" w:cs="Arial"/>
          <w:sz w:val="24"/>
        </w:rPr>
        <w:t xml:space="preserve">Section 511 of the Social Security Act (42 U.S.C. 701), as amended by the </w:t>
      </w:r>
      <w:r w:rsidR="00FD6290">
        <w:rPr>
          <w:rFonts w:ascii="Arial" w:hAnsi="Arial" w:cs="Arial"/>
          <w:sz w:val="24"/>
        </w:rPr>
        <w:t>Bipartisan Budget Act of 2018</w:t>
      </w:r>
      <w:r>
        <w:rPr>
          <w:rFonts w:ascii="Arial" w:hAnsi="Arial" w:cs="Arial"/>
          <w:sz w:val="24"/>
        </w:rPr>
        <w:t xml:space="preserve"> requires that MIECHV </w:t>
      </w:r>
      <w:r w:rsidR="00FD6290">
        <w:rPr>
          <w:rFonts w:ascii="Arial" w:hAnsi="Arial" w:cs="Arial"/>
          <w:sz w:val="24"/>
        </w:rPr>
        <w:t xml:space="preserve">awardees </w:t>
      </w:r>
      <w:r>
        <w:rPr>
          <w:rFonts w:ascii="Arial" w:hAnsi="Arial" w:cs="Arial"/>
          <w:sz w:val="24"/>
        </w:rPr>
        <w:t>collect data to measure improvements for eligible families in six specified benchmark areas that encompass the major goals of the program.  These areas are:</w:t>
      </w:r>
    </w:p>
    <w:p w14:paraId="0C9BFA16" w14:textId="77777777" w:rsidR="00AD36B7" w:rsidRDefault="00AD36B7" w:rsidP="00AD36B7">
      <w:pPr>
        <w:ind w:left="360"/>
        <w:rPr>
          <w:rFonts w:ascii="Arial" w:hAnsi="Arial" w:cs="Arial"/>
          <w:sz w:val="24"/>
        </w:rPr>
      </w:pPr>
    </w:p>
    <w:p w14:paraId="56D5E5EC"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Improved maternal and newborn health</w:t>
      </w:r>
    </w:p>
    <w:p w14:paraId="66E276F5" w14:textId="77777777" w:rsidR="00AD36B7" w:rsidRDefault="00AD36B7" w:rsidP="00AD36B7">
      <w:pPr>
        <w:pStyle w:val="ListParagraph"/>
        <w:numPr>
          <w:ilvl w:val="0"/>
          <w:numId w:val="44"/>
        </w:numPr>
        <w:rPr>
          <w:rFonts w:ascii="Arial" w:hAnsi="Arial" w:cs="Arial"/>
          <w:sz w:val="24"/>
        </w:rPr>
      </w:pPr>
      <w:r>
        <w:rPr>
          <w:rFonts w:ascii="Arial" w:hAnsi="Arial" w:cs="Arial"/>
          <w:sz w:val="24"/>
        </w:rPr>
        <w:t>Prevention of child injuries, child abuse, neglect, and maltreatment, and reduction in emergency department visits</w:t>
      </w:r>
    </w:p>
    <w:p w14:paraId="18FA883F"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school readiness and achievement</w:t>
      </w:r>
    </w:p>
    <w:p w14:paraId="5E499A4C" w14:textId="77777777" w:rsidR="00AD36B7" w:rsidRDefault="00AD36B7" w:rsidP="00AD36B7">
      <w:pPr>
        <w:pStyle w:val="ListParagraph"/>
        <w:numPr>
          <w:ilvl w:val="0"/>
          <w:numId w:val="44"/>
        </w:numPr>
        <w:rPr>
          <w:rFonts w:ascii="Arial" w:hAnsi="Arial" w:cs="Arial"/>
          <w:sz w:val="24"/>
        </w:rPr>
      </w:pPr>
      <w:r>
        <w:rPr>
          <w:rFonts w:ascii="Arial" w:hAnsi="Arial" w:cs="Arial"/>
          <w:sz w:val="24"/>
        </w:rPr>
        <w:t>Reduction in crime and domestic violence</w:t>
      </w:r>
    </w:p>
    <w:p w14:paraId="48B14567" w14:textId="77777777" w:rsidR="00AD36B7" w:rsidRDefault="00AD36B7" w:rsidP="00AD36B7">
      <w:pPr>
        <w:pStyle w:val="ListParagraph"/>
        <w:numPr>
          <w:ilvl w:val="0"/>
          <w:numId w:val="44"/>
        </w:numPr>
        <w:rPr>
          <w:rFonts w:ascii="Arial" w:hAnsi="Arial" w:cs="Arial"/>
          <w:sz w:val="24"/>
        </w:rPr>
      </w:pPr>
      <w:r>
        <w:rPr>
          <w:rFonts w:ascii="Arial" w:hAnsi="Arial" w:cs="Arial"/>
          <w:sz w:val="24"/>
        </w:rPr>
        <w:t>Improvement in family economic self-sufficiency</w:t>
      </w:r>
    </w:p>
    <w:p w14:paraId="53C05A8E" w14:textId="77777777" w:rsidR="00AD36B7" w:rsidRDefault="00F441F9" w:rsidP="00AD36B7">
      <w:pPr>
        <w:pStyle w:val="ListParagraph"/>
        <w:numPr>
          <w:ilvl w:val="0"/>
          <w:numId w:val="44"/>
        </w:numPr>
        <w:rPr>
          <w:rFonts w:ascii="Arial" w:hAnsi="Arial" w:cs="Arial"/>
          <w:sz w:val="24"/>
        </w:rPr>
      </w:pPr>
      <w:r>
        <w:rPr>
          <w:rFonts w:ascii="Arial" w:hAnsi="Arial" w:cs="Arial"/>
          <w:sz w:val="24"/>
        </w:rPr>
        <w:t>Improvement in the coordination and referrals for other community resources and supports</w:t>
      </w:r>
    </w:p>
    <w:p w14:paraId="74D5CC41" w14:textId="7BB1BE84" w:rsidR="003C3642" w:rsidRDefault="00F441F9" w:rsidP="008A4643">
      <w:pPr>
        <w:ind w:left="360"/>
        <w:rPr>
          <w:rFonts w:ascii="Arial" w:hAnsi="Arial" w:cs="Arial"/>
          <w:sz w:val="24"/>
        </w:rPr>
      </w:pPr>
      <w:r>
        <w:rPr>
          <w:rFonts w:ascii="Arial" w:hAnsi="Arial" w:cs="Arial"/>
          <w:sz w:val="24"/>
        </w:rPr>
        <w:t xml:space="preserve">In addition to providing data on these six benchmark areas, MIECHV </w:t>
      </w:r>
      <w:r w:rsidR="00FD6290">
        <w:rPr>
          <w:rFonts w:ascii="Arial" w:hAnsi="Arial" w:cs="Arial"/>
          <w:sz w:val="24"/>
        </w:rPr>
        <w:t xml:space="preserve">awardees </w:t>
      </w:r>
      <w:r>
        <w:rPr>
          <w:rFonts w:ascii="Arial" w:hAnsi="Arial" w:cs="Arial"/>
          <w:sz w:val="24"/>
        </w:rPr>
        <w:t xml:space="preserve">are required to submit annual reports that summarize the demographic, service utilization, and other administrative data related to program implementation (OMB </w:t>
      </w:r>
      <w:r>
        <w:rPr>
          <w:rFonts w:ascii="Arial" w:hAnsi="Arial" w:cs="Arial"/>
          <w:sz w:val="24"/>
        </w:rPr>
        <w:lastRenderedPageBreak/>
        <w:t xml:space="preserve">control number </w:t>
      </w:r>
      <w:r w:rsidR="00FD6290">
        <w:rPr>
          <w:rFonts w:ascii="Arial" w:hAnsi="Arial" w:cs="Arial"/>
          <w:sz w:val="24"/>
        </w:rPr>
        <w:t>0906-0017</w:t>
      </w:r>
      <w:r>
        <w:rPr>
          <w:rFonts w:ascii="Arial" w:hAnsi="Arial" w:cs="Arial"/>
          <w:sz w:val="24"/>
        </w:rPr>
        <w:t>, expiration 7/31/</w:t>
      </w:r>
      <w:r w:rsidR="00FD6290">
        <w:rPr>
          <w:rFonts w:ascii="Arial" w:hAnsi="Arial" w:cs="Arial"/>
          <w:sz w:val="24"/>
        </w:rPr>
        <w:t>2021</w:t>
      </w:r>
      <w:r>
        <w:rPr>
          <w:rFonts w:ascii="Arial" w:hAnsi="Arial" w:cs="Arial"/>
          <w:sz w:val="24"/>
        </w:rPr>
        <w:t>).</w:t>
      </w:r>
      <w:r w:rsidR="003C3642">
        <w:rPr>
          <w:rFonts w:ascii="Arial" w:hAnsi="Arial" w:cs="Arial"/>
          <w:sz w:val="24"/>
        </w:rPr>
        <w:t xml:space="preserve">  </w:t>
      </w:r>
    </w:p>
    <w:p w14:paraId="4909CFB3" w14:textId="77777777" w:rsidR="003C3642" w:rsidRDefault="003C3642" w:rsidP="00F441F9">
      <w:pPr>
        <w:rPr>
          <w:rFonts w:ascii="Arial" w:hAnsi="Arial" w:cs="Arial"/>
          <w:sz w:val="24"/>
        </w:rPr>
      </w:pPr>
    </w:p>
    <w:p w14:paraId="1871EA0F" w14:textId="5D3E4758" w:rsidR="00E25000" w:rsidRDefault="00FD6290" w:rsidP="008A4643">
      <w:pPr>
        <w:ind w:left="360"/>
        <w:rPr>
          <w:rFonts w:ascii="Arial" w:hAnsi="Arial" w:cs="Arial"/>
          <w:sz w:val="24"/>
        </w:rPr>
      </w:pPr>
      <w:r>
        <w:rPr>
          <w:rFonts w:ascii="Arial" w:hAnsi="Arial" w:cs="Arial"/>
          <w:sz w:val="24"/>
        </w:rPr>
        <w:t xml:space="preserve">Awardees </w:t>
      </w:r>
      <w:r w:rsidR="003C3642">
        <w:rPr>
          <w:rFonts w:ascii="Arial" w:hAnsi="Arial" w:cs="Arial"/>
          <w:sz w:val="24"/>
        </w:rPr>
        <w:t xml:space="preserve">are required by law to demonstrate improvement in at least four of the six benchmark areas </w:t>
      </w:r>
      <w:r>
        <w:rPr>
          <w:rFonts w:ascii="Arial" w:hAnsi="Arial" w:cs="Arial"/>
          <w:sz w:val="24"/>
        </w:rPr>
        <w:t>every three years</w:t>
      </w:r>
      <w:r w:rsidR="003C3642">
        <w:rPr>
          <w:rFonts w:ascii="Arial" w:hAnsi="Arial" w:cs="Arial"/>
          <w:sz w:val="24"/>
        </w:rPr>
        <w:t>.  If improvement is not demonstrated</w:t>
      </w:r>
      <w:r w:rsidR="00F0432C">
        <w:rPr>
          <w:rFonts w:ascii="Arial" w:hAnsi="Arial" w:cs="Arial"/>
          <w:sz w:val="24"/>
        </w:rPr>
        <w:t xml:space="preserve"> at that time</w:t>
      </w:r>
      <w:r w:rsidR="003C3642">
        <w:rPr>
          <w:rFonts w:ascii="Arial" w:hAnsi="Arial" w:cs="Arial"/>
          <w:sz w:val="24"/>
        </w:rPr>
        <w:t xml:space="preserve">, </w:t>
      </w:r>
      <w:r>
        <w:rPr>
          <w:rFonts w:ascii="Arial" w:hAnsi="Arial" w:cs="Arial"/>
          <w:sz w:val="24"/>
        </w:rPr>
        <w:t xml:space="preserve">awardees </w:t>
      </w:r>
      <w:r w:rsidR="003C3642">
        <w:rPr>
          <w:rFonts w:ascii="Arial" w:hAnsi="Arial" w:cs="Arial"/>
          <w:sz w:val="24"/>
        </w:rPr>
        <w:t xml:space="preserve">are required to complete a Corrective Action </w:t>
      </w:r>
      <w:r w:rsidR="00A37603">
        <w:rPr>
          <w:rFonts w:ascii="Arial" w:hAnsi="Arial" w:cs="Arial"/>
          <w:sz w:val="24"/>
        </w:rPr>
        <w:t>Plan to</w:t>
      </w:r>
      <w:r w:rsidR="00B129BA">
        <w:rPr>
          <w:rFonts w:ascii="Arial" w:hAnsi="Arial" w:cs="Arial"/>
          <w:sz w:val="24"/>
        </w:rPr>
        <w:t xml:space="preserve"> demonstrate how they will </w:t>
      </w:r>
      <w:r w:rsidR="003C3642">
        <w:rPr>
          <w:rFonts w:ascii="Arial" w:hAnsi="Arial" w:cs="Arial"/>
          <w:sz w:val="24"/>
        </w:rPr>
        <w:t xml:space="preserve">improve outcomes in the benchmark areas.  </w:t>
      </w:r>
      <w:r>
        <w:rPr>
          <w:rFonts w:ascii="Arial" w:hAnsi="Arial" w:cs="Arial"/>
          <w:sz w:val="24"/>
        </w:rPr>
        <w:t>Following an initial assessment of improvement which occurred in 2014, regular recurring assessments are required to begin following the FY 2020 reporting year and every three years thereafter.</w:t>
      </w:r>
      <w:r w:rsidR="003C3642">
        <w:rPr>
          <w:rFonts w:ascii="Arial" w:hAnsi="Arial" w:cs="Arial"/>
          <w:sz w:val="24"/>
        </w:rPr>
        <w:t xml:space="preserve"> </w:t>
      </w:r>
    </w:p>
    <w:p w14:paraId="652D07BB" w14:textId="77777777" w:rsidR="00E25000" w:rsidRDefault="00E25000" w:rsidP="00F441F9">
      <w:pPr>
        <w:rPr>
          <w:rFonts w:ascii="Arial" w:hAnsi="Arial" w:cs="Arial"/>
          <w:sz w:val="24"/>
        </w:rPr>
      </w:pPr>
    </w:p>
    <w:p w14:paraId="2690CF20" w14:textId="2A96E842" w:rsidR="00F441F9" w:rsidRPr="00F441F9" w:rsidRDefault="00F441F9" w:rsidP="008A4643">
      <w:pPr>
        <w:ind w:left="360"/>
        <w:rPr>
          <w:rFonts w:ascii="Arial" w:hAnsi="Arial" w:cs="Arial"/>
          <w:sz w:val="24"/>
        </w:rPr>
      </w:pPr>
      <w:r>
        <w:rPr>
          <w:rFonts w:ascii="Arial" w:hAnsi="Arial" w:cs="Arial"/>
          <w:sz w:val="24"/>
        </w:rPr>
        <w:t xml:space="preserve">In order to continuously monitor, provide grant oversight, quality improvement guidance, and technical assistance to MIECHV grantees, </w:t>
      </w:r>
      <w:r w:rsidR="00B129BA">
        <w:rPr>
          <w:rFonts w:ascii="Arial" w:hAnsi="Arial" w:cs="Arial"/>
          <w:sz w:val="24"/>
        </w:rPr>
        <w:t xml:space="preserve">HRSA </w:t>
      </w:r>
      <w:r>
        <w:rPr>
          <w:rFonts w:ascii="Arial" w:hAnsi="Arial" w:cs="Arial"/>
          <w:sz w:val="24"/>
        </w:rPr>
        <w:t xml:space="preserve">is seeking to </w:t>
      </w:r>
      <w:r w:rsidR="00FD6290">
        <w:rPr>
          <w:rFonts w:ascii="Arial" w:hAnsi="Arial" w:cs="Arial"/>
          <w:sz w:val="24"/>
        </w:rPr>
        <w:t xml:space="preserve">renew existing collection of several </w:t>
      </w:r>
      <w:r>
        <w:rPr>
          <w:rFonts w:ascii="Arial" w:hAnsi="Arial" w:cs="Arial"/>
          <w:sz w:val="24"/>
        </w:rPr>
        <w:t xml:space="preserve">categories of information on a quarterly basis: </w:t>
      </w:r>
      <w:r w:rsidR="00FD6290">
        <w:rPr>
          <w:rFonts w:ascii="Arial" w:hAnsi="Arial" w:cs="Arial"/>
          <w:sz w:val="24"/>
        </w:rPr>
        <w:t xml:space="preserve">Program Capacity, Place-Based Services, </w:t>
      </w:r>
      <w:r>
        <w:rPr>
          <w:rFonts w:ascii="Arial" w:hAnsi="Arial" w:cs="Arial"/>
          <w:sz w:val="24"/>
        </w:rPr>
        <w:t>Service Utilization</w:t>
      </w:r>
      <w:r w:rsidR="00FD6290">
        <w:rPr>
          <w:rFonts w:ascii="Arial" w:hAnsi="Arial" w:cs="Arial"/>
          <w:sz w:val="24"/>
        </w:rPr>
        <w:t>, Staffing</w:t>
      </w:r>
      <w:r>
        <w:rPr>
          <w:rFonts w:ascii="Arial" w:hAnsi="Arial" w:cs="Arial"/>
          <w:sz w:val="24"/>
        </w:rPr>
        <w:t xml:space="preserve"> and </w:t>
      </w:r>
      <w:r w:rsidR="00FD6290">
        <w:rPr>
          <w:rFonts w:ascii="Arial" w:hAnsi="Arial" w:cs="Arial"/>
          <w:sz w:val="24"/>
        </w:rPr>
        <w:t>Benchmark Performance Data</w:t>
      </w:r>
      <w:r>
        <w:rPr>
          <w:rFonts w:ascii="Arial" w:hAnsi="Arial" w:cs="Arial"/>
          <w:sz w:val="24"/>
        </w:rPr>
        <w:t xml:space="preserve">. </w:t>
      </w:r>
    </w:p>
    <w:p w14:paraId="1C66C8E2" w14:textId="77777777" w:rsidR="009B3794" w:rsidRPr="002D12D3" w:rsidRDefault="009B3794" w:rsidP="00CA3DA6">
      <w:pPr>
        <w:numPr>
          <w:ilvl w:val="0"/>
          <w:numId w:val="2"/>
        </w:numPr>
        <w:tabs>
          <w:tab w:val="clear" w:pos="1080"/>
          <w:tab w:val="num" w:pos="360"/>
        </w:tabs>
        <w:spacing w:before="240"/>
        <w:ind w:left="360"/>
        <w:rPr>
          <w:rFonts w:ascii="Arial" w:hAnsi="Arial" w:cs="Arial"/>
          <w:b/>
          <w:sz w:val="24"/>
        </w:rPr>
      </w:pPr>
      <w:r w:rsidRPr="002D12D3">
        <w:rPr>
          <w:rFonts w:ascii="Arial" w:hAnsi="Arial" w:cs="Arial"/>
          <w:b/>
          <w:sz w:val="24"/>
          <w:u w:val="single"/>
        </w:rPr>
        <w:t>Purpose and Use of Information Collection</w:t>
      </w:r>
    </w:p>
    <w:p w14:paraId="2E3539CE" w14:textId="77777777" w:rsidR="0082193E" w:rsidRDefault="0082193E" w:rsidP="0082193E">
      <w:pPr>
        <w:ind w:left="360"/>
        <w:rPr>
          <w:rFonts w:ascii="Arial" w:hAnsi="Arial" w:cs="Arial"/>
          <w:sz w:val="24"/>
        </w:rPr>
      </w:pPr>
    </w:p>
    <w:p w14:paraId="4AF7540D" w14:textId="226E4073" w:rsidR="0082193E" w:rsidRDefault="0082193E" w:rsidP="0082193E">
      <w:pPr>
        <w:ind w:left="360"/>
        <w:rPr>
          <w:rFonts w:ascii="Arial" w:hAnsi="Arial" w:cs="Arial"/>
          <w:sz w:val="24"/>
        </w:rPr>
      </w:pPr>
      <w:r>
        <w:rPr>
          <w:rFonts w:ascii="Arial" w:hAnsi="Arial" w:cs="Arial"/>
          <w:sz w:val="24"/>
        </w:rPr>
        <w:t xml:space="preserve">HRSA </w:t>
      </w:r>
      <w:r w:rsidR="00FD6290">
        <w:rPr>
          <w:rFonts w:ascii="Arial" w:hAnsi="Arial" w:cs="Arial"/>
          <w:sz w:val="24"/>
        </w:rPr>
        <w:t>is</w:t>
      </w:r>
      <w:r>
        <w:rPr>
          <w:rFonts w:ascii="Arial" w:hAnsi="Arial" w:cs="Arial"/>
          <w:sz w:val="24"/>
        </w:rPr>
        <w:t xml:space="preserve"> seeking </w:t>
      </w:r>
      <w:r w:rsidR="00FD6290">
        <w:rPr>
          <w:rFonts w:ascii="Arial" w:hAnsi="Arial" w:cs="Arial"/>
          <w:sz w:val="24"/>
        </w:rPr>
        <w:t xml:space="preserve">renewal and revision </w:t>
      </w:r>
      <w:r>
        <w:rPr>
          <w:rFonts w:ascii="Arial" w:hAnsi="Arial" w:cs="Arial"/>
          <w:sz w:val="24"/>
        </w:rPr>
        <w:t xml:space="preserve">for </w:t>
      </w:r>
      <w:r w:rsidR="00A822BC">
        <w:rPr>
          <w:rFonts w:ascii="Arial" w:hAnsi="Arial" w:cs="Arial"/>
          <w:sz w:val="24"/>
        </w:rPr>
        <w:t>one</w:t>
      </w:r>
      <w:r>
        <w:rPr>
          <w:rFonts w:ascii="Arial" w:hAnsi="Arial" w:cs="Arial"/>
          <w:sz w:val="24"/>
        </w:rPr>
        <w:t xml:space="preserve"> form </w:t>
      </w:r>
      <w:r w:rsidR="00A822BC">
        <w:rPr>
          <w:rFonts w:ascii="Arial" w:hAnsi="Arial" w:cs="Arial"/>
          <w:sz w:val="24"/>
        </w:rPr>
        <w:t xml:space="preserve">(two sections) </w:t>
      </w:r>
      <w:r>
        <w:rPr>
          <w:rFonts w:ascii="Arial" w:hAnsi="Arial" w:cs="Arial"/>
          <w:sz w:val="24"/>
        </w:rPr>
        <w:t xml:space="preserve">that will be used to collect data from MIECHV </w:t>
      </w:r>
      <w:r w:rsidR="00FD6290">
        <w:rPr>
          <w:rFonts w:ascii="Arial" w:hAnsi="Arial" w:cs="Arial"/>
          <w:sz w:val="24"/>
        </w:rPr>
        <w:t>awardees</w:t>
      </w:r>
      <w:r>
        <w:rPr>
          <w:rFonts w:ascii="Arial" w:hAnsi="Arial" w:cs="Arial"/>
          <w:sz w:val="24"/>
        </w:rPr>
        <w:t>:</w:t>
      </w:r>
    </w:p>
    <w:p w14:paraId="0D6043C1" w14:textId="77777777" w:rsidR="0082193E" w:rsidRDefault="0082193E" w:rsidP="0082193E">
      <w:pPr>
        <w:ind w:left="360"/>
        <w:rPr>
          <w:rFonts w:ascii="Arial" w:hAnsi="Arial" w:cs="Arial"/>
          <w:sz w:val="24"/>
        </w:rPr>
      </w:pPr>
    </w:p>
    <w:p w14:paraId="345562A2" w14:textId="5FA12C89" w:rsidR="005644DB" w:rsidRDefault="00A822BC" w:rsidP="0082193E">
      <w:pPr>
        <w:ind w:left="360"/>
        <w:rPr>
          <w:rFonts w:ascii="Arial" w:hAnsi="Arial" w:cs="Arial"/>
          <w:sz w:val="24"/>
        </w:rPr>
      </w:pPr>
      <w:r>
        <w:rPr>
          <w:rFonts w:ascii="Arial" w:hAnsi="Arial" w:cs="Arial"/>
          <w:sz w:val="24"/>
        </w:rPr>
        <w:t xml:space="preserve">Section A - </w:t>
      </w:r>
      <w:r w:rsidR="0082193E">
        <w:rPr>
          <w:rFonts w:ascii="Arial" w:hAnsi="Arial" w:cs="Arial"/>
          <w:sz w:val="24"/>
        </w:rPr>
        <w:t>Service Utilization Data</w:t>
      </w:r>
      <w:r w:rsidR="00426162">
        <w:rPr>
          <w:rFonts w:ascii="Arial" w:hAnsi="Arial" w:cs="Arial"/>
          <w:sz w:val="24"/>
        </w:rPr>
        <w:t xml:space="preserve"> (Attachment </w:t>
      </w:r>
      <w:r w:rsidR="00C761AB">
        <w:rPr>
          <w:rFonts w:ascii="Arial" w:hAnsi="Arial" w:cs="Arial"/>
          <w:sz w:val="24"/>
        </w:rPr>
        <w:t>A</w:t>
      </w:r>
      <w:r w:rsidR="005644DB">
        <w:rPr>
          <w:rFonts w:ascii="Arial" w:hAnsi="Arial" w:cs="Arial"/>
          <w:sz w:val="24"/>
        </w:rPr>
        <w:t>)</w:t>
      </w:r>
      <w:r w:rsidR="0082193E">
        <w:rPr>
          <w:rFonts w:ascii="Arial" w:hAnsi="Arial" w:cs="Arial"/>
          <w:sz w:val="24"/>
        </w:rPr>
        <w:t xml:space="preserve">: This </w:t>
      </w:r>
      <w:r>
        <w:rPr>
          <w:rFonts w:ascii="Arial" w:hAnsi="Arial" w:cs="Arial"/>
          <w:sz w:val="24"/>
        </w:rPr>
        <w:t>section</w:t>
      </w:r>
      <w:r w:rsidR="0082193E">
        <w:rPr>
          <w:rFonts w:ascii="Arial" w:hAnsi="Arial" w:cs="Arial"/>
          <w:sz w:val="24"/>
        </w:rPr>
        <w:t xml:space="preserve"> is made up of four categories of data – </w:t>
      </w:r>
      <w:r w:rsidR="00B129BA">
        <w:rPr>
          <w:rFonts w:ascii="Arial" w:hAnsi="Arial" w:cs="Arial"/>
          <w:sz w:val="24"/>
        </w:rPr>
        <w:t xml:space="preserve">program </w:t>
      </w:r>
      <w:r w:rsidR="0082193E">
        <w:rPr>
          <w:rFonts w:ascii="Arial" w:hAnsi="Arial" w:cs="Arial"/>
          <w:sz w:val="24"/>
        </w:rPr>
        <w:t>capacity, place-based services, family engagement, and staff</w:t>
      </w:r>
      <w:r w:rsidR="00FD6290">
        <w:rPr>
          <w:rFonts w:ascii="Arial" w:hAnsi="Arial" w:cs="Arial"/>
          <w:sz w:val="24"/>
        </w:rPr>
        <w:t>ing</w:t>
      </w:r>
      <w:r w:rsidR="0082193E">
        <w:rPr>
          <w:rFonts w:ascii="Arial" w:hAnsi="Arial" w:cs="Arial"/>
          <w:sz w:val="24"/>
        </w:rPr>
        <w:t>.</w:t>
      </w:r>
      <w:r w:rsidR="00426162">
        <w:rPr>
          <w:rFonts w:ascii="Arial" w:hAnsi="Arial" w:cs="Arial"/>
          <w:sz w:val="24"/>
        </w:rPr>
        <w:t xml:space="preserve">  This form </w:t>
      </w:r>
      <w:r w:rsidR="00FD6290">
        <w:rPr>
          <w:rFonts w:ascii="Arial" w:hAnsi="Arial" w:cs="Arial"/>
          <w:sz w:val="24"/>
        </w:rPr>
        <w:t>is</w:t>
      </w:r>
      <w:r w:rsidR="00426162">
        <w:rPr>
          <w:rFonts w:ascii="Arial" w:hAnsi="Arial" w:cs="Arial"/>
          <w:sz w:val="24"/>
        </w:rPr>
        <w:t xml:space="preserve"> used by MIECHV </w:t>
      </w:r>
      <w:r w:rsidR="00FD6290">
        <w:rPr>
          <w:rFonts w:ascii="Arial" w:hAnsi="Arial" w:cs="Arial"/>
          <w:sz w:val="24"/>
        </w:rPr>
        <w:t>awardees</w:t>
      </w:r>
      <w:r w:rsidR="00426162">
        <w:rPr>
          <w:rFonts w:ascii="Arial" w:hAnsi="Arial" w:cs="Arial"/>
          <w:sz w:val="24"/>
        </w:rPr>
        <w:t xml:space="preserve"> to collect data in order to </w:t>
      </w:r>
      <w:r w:rsidR="005644DB">
        <w:rPr>
          <w:rFonts w:ascii="Arial" w:hAnsi="Arial" w:cs="Arial"/>
          <w:sz w:val="24"/>
        </w:rPr>
        <w:t xml:space="preserve">determine the caseload capacity </w:t>
      </w:r>
      <w:r w:rsidR="00FD6290">
        <w:rPr>
          <w:rFonts w:ascii="Arial" w:hAnsi="Arial" w:cs="Arial"/>
          <w:sz w:val="24"/>
        </w:rPr>
        <w:t xml:space="preserve">awardees </w:t>
      </w:r>
      <w:r w:rsidR="005644DB">
        <w:rPr>
          <w:rFonts w:ascii="Arial" w:hAnsi="Arial" w:cs="Arial"/>
          <w:sz w:val="24"/>
        </w:rPr>
        <w:t xml:space="preserve">are achieving, where services are being delivered, the retention and attrition of enrolled families, and </w:t>
      </w:r>
      <w:r w:rsidR="00FD6290">
        <w:rPr>
          <w:rFonts w:ascii="Arial" w:hAnsi="Arial" w:cs="Arial"/>
          <w:sz w:val="24"/>
        </w:rPr>
        <w:t>information on</w:t>
      </w:r>
      <w:r w:rsidR="005644DB">
        <w:rPr>
          <w:rFonts w:ascii="Arial" w:hAnsi="Arial" w:cs="Arial"/>
          <w:sz w:val="24"/>
        </w:rPr>
        <w:t xml:space="preserve"> program staff</w:t>
      </w:r>
      <w:r w:rsidR="004F107F">
        <w:rPr>
          <w:rFonts w:ascii="Arial" w:hAnsi="Arial" w:cs="Arial"/>
          <w:sz w:val="24"/>
        </w:rPr>
        <w:t xml:space="preserve"> on a quarterly basis</w:t>
      </w:r>
      <w:r w:rsidR="005644DB">
        <w:rPr>
          <w:rFonts w:ascii="Arial" w:hAnsi="Arial" w:cs="Arial"/>
          <w:sz w:val="24"/>
        </w:rPr>
        <w:t>.</w:t>
      </w:r>
    </w:p>
    <w:p w14:paraId="4536743D" w14:textId="77777777" w:rsidR="00B129BA" w:rsidRDefault="00B129BA" w:rsidP="0082193E">
      <w:pPr>
        <w:ind w:left="360"/>
        <w:rPr>
          <w:rFonts w:ascii="Arial" w:hAnsi="Arial" w:cs="Arial"/>
          <w:sz w:val="24"/>
        </w:rPr>
      </w:pPr>
    </w:p>
    <w:p w14:paraId="71ECF378" w14:textId="498F0494" w:rsidR="0023166B" w:rsidRDefault="007D2CCC" w:rsidP="0082193E">
      <w:pPr>
        <w:ind w:left="360"/>
        <w:rPr>
          <w:rFonts w:ascii="Arial" w:hAnsi="Arial" w:cs="Arial"/>
          <w:sz w:val="24"/>
        </w:rPr>
      </w:pPr>
      <w:r>
        <w:rPr>
          <w:rFonts w:ascii="Arial" w:hAnsi="Arial" w:cs="Arial"/>
          <w:sz w:val="24"/>
        </w:rPr>
        <w:t xml:space="preserve">Collection of </w:t>
      </w:r>
      <w:r w:rsidR="0023166B">
        <w:rPr>
          <w:rFonts w:ascii="Arial" w:hAnsi="Arial" w:cs="Arial"/>
          <w:sz w:val="24"/>
        </w:rPr>
        <w:t xml:space="preserve">quarterly </w:t>
      </w:r>
      <w:r>
        <w:rPr>
          <w:rFonts w:ascii="Arial" w:hAnsi="Arial" w:cs="Arial"/>
          <w:sz w:val="24"/>
        </w:rPr>
        <w:t xml:space="preserve">Service Utilization data </w:t>
      </w:r>
      <w:r w:rsidR="0023166B">
        <w:rPr>
          <w:rFonts w:ascii="Arial" w:hAnsi="Arial" w:cs="Arial"/>
          <w:sz w:val="24"/>
        </w:rPr>
        <w:t xml:space="preserve">represents an administrative requirement by HRSA for the ongoing and continuous monitoring and oversight of grant activities.  These data assist HRSA in demonstrating </w:t>
      </w:r>
      <w:r w:rsidR="00FD6290">
        <w:rPr>
          <w:rFonts w:ascii="Arial" w:hAnsi="Arial" w:cs="Arial"/>
          <w:sz w:val="24"/>
        </w:rPr>
        <w:t>awardee</w:t>
      </w:r>
      <w:r w:rsidR="0023166B">
        <w:rPr>
          <w:rFonts w:ascii="Arial" w:hAnsi="Arial" w:cs="Arial"/>
          <w:sz w:val="24"/>
        </w:rPr>
        <w:t xml:space="preserve"> compliance </w:t>
      </w:r>
      <w:r w:rsidR="00B129BA">
        <w:rPr>
          <w:rFonts w:ascii="Arial" w:hAnsi="Arial" w:cs="Arial"/>
          <w:sz w:val="24"/>
        </w:rPr>
        <w:t xml:space="preserve">with </w:t>
      </w:r>
      <w:r w:rsidR="0023166B">
        <w:rPr>
          <w:rFonts w:ascii="Arial" w:hAnsi="Arial" w:cs="Arial"/>
          <w:sz w:val="24"/>
        </w:rPr>
        <w:t>several program policies, including the maintenance of service caseloads and targets for service capacity.</w:t>
      </w:r>
    </w:p>
    <w:p w14:paraId="508C3460" w14:textId="73DDC2F3" w:rsidR="00FD6290" w:rsidRDefault="00FD6290" w:rsidP="0082193E">
      <w:pPr>
        <w:ind w:left="360"/>
        <w:rPr>
          <w:rFonts w:ascii="Arial" w:hAnsi="Arial" w:cs="Arial"/>
          <w:sz w:val="24"/>
        </w:rPr>
      </w:pPr>
    </w:p>
    <w:p w14:paraId="1DD2619E" w14:textId="2D36E887" w:rsidR="00340EC6" w:rsidRPr="00B13485" w:rsidRDefault="00FD6290" w:rsidP="0082193E">
      <w:pPr>
        <w:ind w:left="360"/>
        <w:rPr>
          <w:rFonts w:ascii="Arial" w:hAnsi="Arial" w:cs="Arial"/>
          <w:i/>
          <w:sz w:val="24"/>
        </w:rPr>
      </w:pPr>
      <w:r w:rsidRPr="00B13485">
        <w:rPr>
          <w:rFonts w:ascii="Arial" w:hAnsi="Arial" w:cs="Arial"/>
          <w:i/>
          <w:sz w:val="24"/>
        </w:rPr>
        <w:t>In general, revisions being requested to this form are for the purposes of streamlining reporting requirements and reducing administrative burden related to data collection and reporting.</w:t>
      </w:r>
      <w:r w:rsidR="00340EC6" w:rsidRPr="00B13485">
        <w:rPr>
          <w:rFonts w:ascii="Arial" w:hAnsi="Arial" w:cs="Arial"/>
          <w:i/>
          <w:sz w:val="24"/>
        </w:rPr>
        <w:t xml:space="preserve">  These revisions will better align the intended and actual uses of these data for program monitoring and oversight purposes.</w:t>
      </w:r>
      <w:r w:rsidRPr="00B13485">
        <w:rPr>
          <w:rFonts w:ascii="Arial" w:hAnsi="Arial" w:cs="Arial"/>
          <w:i/>
          <w:sz w:val="24"/>
        </w:rPr>
        <w:t xml:space="preserve">  </w:t>
      </w:r>
    </w:p>
    <w:p w14:paraId="070BE255" w14:textId="77777777" w:rsidR="00340EC6" w:rsidRPr="00B13485" w:rsidRDefault="00340EC6" w:rsidP="0082193E">
      <w:pPr>
        <w:ind w:left="360"/>
        <w:rPr>
          <w:rFonts w:ascii="Arial" w:hAnsi="Arial" w:cs="Arial"/>
          <w:i/>
          <w:sz w:val="24"/>
        </w:rPr>
      </w:pPr>
    </w:p>
    <w:p w14:paraId="0147FBD8" w14:textId="77777777" w:rsidR="00340EC6" w:rsidRPr="00B13485" w:rsidRDefault="00340EC6" w:rsidP="0082193E">
      <w:pPr>
        <w:ind w:left="360"/>
        <w:rPr>
          <w:rFonts w:ascii="Arial" w:hAnsi="Arial" w:cs="Arial"/>
          <w:i/>
          <w:sz w:val="24"/>
        </w:rPr>
      </w:pPr>
      <w:r w:rsidRPr="00B13485">
        <w:rPr>
          <w:rFonts w:ascii="Arial" w:hAnsi="Arial" w:cs="Arial"/>
          <w:i/>
          <w:sz w:val="24"/>
        </w:rPr>
        <w:t>Specific proposed revisions and corresponding rationales to Section A are as follows (additional details can be found on the revised form submitted as Attachment A to this package):</w:t>
      </w:r>
    </w:p>
    <w:p w14:paraId="1C1129A7" w14:textId="77777777" w:rsidR="00340EC6" w:rsidRPr="00B13485" w:rsidRDefault="00340EC6" w:rsidP="0082193E">
      <w:pPr>
        <w:ind w:left="360"/>
        <w:rPr>
          <w:rFonts w:ascii="Arial" w:hAnsi="Arial" w:cs="Arial"/>
          <w:i/>
          <w:sz w:val="24"/>
        </w:rPr>
      </w:pPr>
    </w:p>
    <w:p w14:paraId="4DF61628" w14:textId="4FA12F0F" w:rsidR="00340EC6" w:rsidRDefault="00340EC6" w:rsidP="00340EC6">
      <w:pPr>
        <w:pStyle w:val="ListParagraph"/>
        <w:numPr>
          <w:ilvl w:val="0"/>
          <w:numId w:val="45"/>
        </w:numPr>
        <w:rPr>
          <w:rFonts w:ascii="Arial" w:hAnsi="Arial" w:cs="Arial"/>
          <w:i/>
          <w:sz w:val="24"/>
        </w:rPr>
      </w:pPr>
      <w:r w:rsidRPr="00B13485">
        <w:rPr>
          <w:rFonts w:ascii="Arial" w:hAnsi="Arial" w:cs="Arial"/>
          <w:i/>
          <w:sz w:val="24"/>
        </w:rPr>
        <w:t xml:space="preserve">Revise the </w:t>
      </w:r>
      <w:r w:rsidR="00B129BA" w:rsidRPr="00B13485">
        <w:rPr>
          <w:rFonts w:ascii="Arial" w:hAnsi="Arial" w:cs="Arial"/>
          <w:i/>
          <w:sz w:val="24"/>
        </w:rPr>
        <w:t xml:space="preserve">due </w:t>
      </w:r>
      <w:r w:rsidRPr="00B13485">
        <w:rPr>
          <w:rFonts w:ascii="Arial" w:hAnsi="Arial" w:cs="Arial"/>
          <w:i/>
          <w:sz w:val="24"/>
        </w:rPr>
        <w:t>date from 60 to 30 days following the end of each reporting period.  This revision will provide HRSA more timely and actionable data for use in program monitoring.</w:t>
      </w:r>
    </w:p>
    <w:p w14:paraId="75972A0A" w14:textId="77777777" w:rsidR="00F5723C" w:rsidRPr="00B13485" w:rsidRDefault="00F5723C" w:rsidP="00F5723C">
      <w:pPr>
        <w:pStyle w:val="ListParagraph"/>
        <w:rPr>
          <w:rFonts w:ascii="Arial" w:hAnsi="Arial" w:cs="Arial"/>
          <w:i/>
          <w:sz w:val="24"/>
        </w:rPr>
      </w:pPr>
    </w:p>
    <w:p w14:paraId="46DA00A8" w14:textId="77777777" w:rsidR="00340EC6" w:rsidRPr="00B13485" w:rsidRDefault="00340EC6" w:rsidP="00340EC6">
      <w:pPr>
        <w:pStyle w:val="ListParagraph"/>
        <w:numPr>
          <w:ilvl w:val="0"/>
          <w:numId w:val="45"/>
        </w:numPr>
        <w:rPr>
          <w:rFonts w:ascii="Arial" w:hAnsi="Arial" w:cs="Arial"/>
          <w:i/>
          <w:sz w:val="24"/>
        </w:rPr>
      </w:pPr>
      <w:r w:rsidRPr="00B13485">
        <w:rPr>
          <w:rFonts w:ascii="Arial" w:hAnsi="Arial" w:cs="Arial"/>
          <w:i/>
          <w:sz w:val="24"/>
        </w:rPr>
        <w:lastRenderedPageBreak/>
        <w:t>All tables in the section will be renumbered.  This revision is intended to reduce the administrative complexity of the form.</w:t>
      </w:r>
    </w:p>
    <w:p w14:paraId="799709BD" w14:textId="77777777" w:rsidR="00340EC6" w:rsidRPr="00B13485" w:rsidRDefault="00340EC6" w:rsidP="00340EC6">
      <w:pPr>
        <w:pStyle w:val="ListParagraph"/>
        <w:numPr>
          <w:ilvl w:val="0"/>
          <w:numId w:val="45"/>
        </w:numPr>
        <w:rPr>
          <w:rFonts w:ascii="Arial" w:hAnsi="Arial" w:cs="Arial"/>
          <w:i/>
          <w:sz w:val="24"/>
        </w:rPr>
      </w:pPr>
      <w:r w:rsidRPr="00B13485">
        <w:rPr>
          <w:rFonts w:ascii="Arial" w:hAnsi="Arial" w:cs="Arial"/>
          <w:i/>
          <w:sz w:val="24"/>
        </w:rPr>
        <w:t>Table A.2 will be revised to reflect LIAs served, LIA addresses, counties served, zip codes served, and evidence-based home visiting models implemented.  This change reflects the current needs of HRSA to have more information about the organizations providing home visiting services and the communities where those services are being provided.</w:t>
      </w:r>
    </w:p>
    <w:p w14:paraId="3CC5E2C2" w14:textId="6087F454" w:rsidR="00340EC6" w:rsidRPr="00B13485" w:rsidRDefault="00340EC6" w:rsidP="00340EC6">
      <w:pPr>
        <w:pStyle w:val="ListParagraph"/>
        <w:numPr>
          <w:ilvl w:val="0"/>
          <w:numId w:val="45"/>
        </w:numPr>
        <w:rPr>
          <w:rFonts w:ascii="Arial" w:hAnsi="Arial" w:cs="Arial"/>
          <w:i/>
          <w:sz w:val="24"/>
        </w:rPr>
      </w:pPr>
      <w:r w:rsidRPr="00B13485">
        <w:rPr>
          <w:rFonts w:ascii="Arial" w:hAnsi="Arial" w:cs="Arial"/>
          <w:i/>
          <w:sz w:val="24"/>
        </w:rPr>
        <w:t>Table A.4.1 will be streamlined to reduce categories of information that were previously collected but not used by HRSA for program monitoring purposes.</w:t>
      </w:r>
    </w:p>
    <w:p w14:paraId="53F95106" w14:textId="77777777" w:rsidR="00340EC6" w:rsidRPr="00B13485" w:rsidRDefault="00340EC6" w:rsidP="00340EC6">
      <w:pPr>
        <w:pStyle w:val="ListParagraph"/>
        <w:numPr>
          <w:ilvl w:val="0"/>
          <w:numId w:val="45"/>
        </w:numPr>
        <w:rPr>
          <w:rFonts w:ascii="Arial" w:hAnsi="Arial" w:cs="Arial"/>
          <w:i/>
          <w:sz w:val="24"/>
        </w:rPr>
      </w:pPr>
      <w:r w:rsidRPr="00B13485">
        <w:rPr>
          <w:rFonts w:ascii="Arial" w:hAnsi="Arial" w:cs="Arial"/>
          <w:i/>
          <w:sz w:val="24"/>
        </w:rPr>
        <w:t>Table A.4.2 will be deleted to eliminate categories of information that were previously collected but not used by HRSA for program monitoring purposes.</w:t>
      </w:r>
    </w:p>
    <w:p w14:paraId="1D8CCB28" w14:textId="69438E76" w:rsidR="00FD6290" w:rsidRPr="00B13485" w:rsidRDefault="00340EC6" w:rsidP="00340EC6">
      <w:pPr>
        <w:pStyle w:val="ListParagraph"/>
        <w:numPr>
          <w:ilvl w:val="0"/>
          <w:numId w:val="45"/>
        </w:numPr>
        <w:rPr>
          <w:rFonts w:ascii="Arial" w:hAnsi="Arial" w:cs="Arial"/>
          <w:i/>
          <w:sz w:val="24"/>
        </w:rPr>
      </w:pPr>
      <w:r w:rsidRPr="00B13485">
        <w:rPr>
          <w:rFonts w:ascii="Arial" w:hAnsi="Arial" w:cs="Arial"/>
          <w:i/>
          <w:sz w:val="24"/>
        </w:rPr>
        <w:t xml:space="preserve">Definitions of key terms will be update to </w:t>
      </w:r>
      <w:r w:rsidR="00420BCA" w:rsidRPr="00B13485">
        <w:rPr>
          <w:rFonts w:ascii="Arial" w:hAnsi="Arial" w:cs="Arial"/>
          <w:i/>
          <w:sz w:val="24"/>
        </w:rPr>
        <w:t>align definitions with</w:t>
      </w:r>
      <w:r w:rsidRPr="00B13485">
        <w:rPr>
          <w:rFonts w:ascii="Arial" w:hAnsi="Arial" w:cs="Arial"/>
          <w:i/>
          <w:sz w:val="24"/>
        </w:rPr>
        <w:t xml:space="preserve"> current </w:t>
      </w:r>
      <w:r w:rsidR="00420BCA" w:rsidRPr="00B13485">
        <w:rPr>
          <w:rFonts w:ascii="Arial" w:hAnsi="Arial" w:cs="Arial"/>
          <w:i/>
          <w:sz w:val="24"/>
        </w:rPr>
        <w:t>reporting</w:t>
      </w:r>
      <w:r w:rsidRPr="00B13485">
        <w:rPr>
          <w:rFonts w:ascii="Arial" w:hAnsi="Arial" w:cs="Arial"/>
          <w:i/>
          <w:sz w:val="24"/>
        </w:rPr>
        <w:t xml:space="preserve"> definitions. </w:t>
      </w:r>
      <w:r w:rsidR="00FD6290" w:rsidRPr="00B13485">
        <w:rPr>
          <w:rFonts w:ascii="Arial" w:hAnsi="Arial" w:cs="Arial"/>
          <w:i/>
          <w:sz w:val="24"/>
        </w:rPr>
        <w:t xml:space="preserve"> </w:t>
      </w:r>
    </w:p>
    <w:p w14:paraId="1AA98228" w14:textId="2A45439F" w:rsidR="007D2CCC" w:rsidRPr="00B13485" w:rsidRDefault="0023166B" w:rsidP="0082193E">
      <w:pPr>
        <w:ind w:left="360"/>
        <w:rPr>
          <w:rFonts w:ascii="Arial" w:hAnsi="Arial" w:cs="Arial"/>
          <w:i/>
          <w:sz w:val="24"/>
        </w:rPr>
      </w:pPr>
      <w:r w:rsidRPr="00B13485">
        <w:rPr>
          <w:rFonts w:ascii="Arial" w:hAnsi="Arial" w:cs="Arial"/>
          <w:i/>
          <w:sz w:val="24"/>
        </w:rPr>
        <w:t xml:space="preserve"> </w:t>
      </w:r>
    </w:p>
    <w:p w14:paraId="4AB5BBBD" w14:textId="56716D1D" w:rsidR="004F107F" w:rsidRDefault="00A822BC" w:rsidP="0082193E">
      <w:pPr>
        <w:ind w:left="360"/>
        <w:rPr>
          <w:rFonts w:ascii="Arial" w:hAnsi="Arial" w:cs="Arial"/>
          <w:sz w:val="24"/>
        </w:rPr>
      </w:pPr>
      <w:r>
        <w:rPr>
          <w:rFonts w:ascii="Arial" w:hAnsi="Arial" w:cs="Arial"/>
          <w:sz w:val="24"/>
        </w:rPr>
        <w:t xml:space="preserve">Section B - </w:t>
      </w:r>
      <w:r w:rsidR="005644DB">
        <w:rPr>
          <w:rFonts w:ascii="Arial" w:hAnsi="Arial" w:cs="Arial"/>
          <w:sz w:val="24"/>
        </w:rPr>
        <w:t xml:space="preserve">Benchmark </w:t>
      </w:r>
      <w:r w:rsidR="007D3947">
        <w:rPr>
          <w:rFonts w:ascii="Arial" w:hAnsi="Arial" w:cs="Arial"/>
          <w:sz w:val="24"/>
        </w:rPr>
        <w:t xml:space="preserve">Performance </w:t>
      </w:r>
      <w:r w:rsidR="005644DB">
        <w:rPr>
          <w:rFonts w:ascii="Arial" w:hAnsi="Arial" w:cs="Arial"/>
          <w:sz w:val="24"/>
        </w:rPr>
        <w:t xml:space="preserve">Data (Attachment </w:t>
      </w:r>
      <w:r w:rsidR="00C761AB">
        <w:rPr>
          <w:rFonts w:ascii="Arial" w:hAnsi="Arial" w:cs="Arial"/>
          <w:sz w:val="24"/>
        </w:rPr>
        <w:t>A</w:t>
      </w:r>
      <w:r w:rsidR="005644DB">
        <w:rPr>
          <w:rFonts w:ascii="Arial" w:hAnsi="Arial" w:cs="Arial"/>
          <w:sz w:val="24"/>
        </w:rPr>
        <w:t xml:space="preserve">): This </w:t>
      </w:r>
      <w:r>
        <w:rPr>
          <w:rFonts w:ascii="Arial" w:hAnsi="Arial" w:cs="Arial"/>
          <w:sz w:val="24"/>
        </w:rPr>
        <w:t>section</w:t>
      </w:r>
      <w:r w:rsidR="005644DB">
        <w:rPr>
          <w:rFonts w:ascii="Arial" w:hAnsi="Arial" w:cs="Arial"/>
          <w:sz w:val="24"/>
        </w:rPr>
        <w:t xml:space="preserve"> will capture data from MIECHV </w:t>
      </w:r>
      <w:r w:rsidR="00420BCA">
        <w:rPr>
          <w:rFonts w:ascii="Arial" w:hAnsi="Arial" w:cs="Arial"/>
          <w:sz w:val="24"/>
        </w:rPr>
        <w:t>awardees</w:t>
      </w:r>
      <w:r w:rsidR="00E944F2">
        <w:rPr>
          <w:rFonts w:ascii="Arial" w:hAnsi="Arial" w:cs="Arial"/>
          <w:sz w:val="24"/>
        </w:rPr>
        <w:t xml:space="preserve"> </w:t>
      </w:r>
      <w:r w:rsidR="005644DB">
        <w:rPr>
          <w:rFonts w:ascii="Arial" w:hAnsi="Arial" w:cs="Arial"/>
          <w:sz w:val="24"/>
        </w:rPr>
        <w:t>who have not demonstrated improvement in at least four of the six benchmark are</w:t>
      </w:r>
      <w:r w:rsidR="00E944F2">
        <w:rPr>
          <w:rFonts w:ascii="Arial" w:hAnsi="Arial" w:cs="Arial"/>
          <w:sz w:val="24"/>
        </w:rPr>
        <w:t>as</w:t>
      </w:r>
      <w:r w:rsidR="00E94236">
        <w:rPr>
          <w:rFonts w:ascii="Arial" w:hAnsi="Arial" w:cs="Arial"/>
          <w:sz w:val="24"/>
        </w:rPr>
        <w:t>, as established by the statute</w:t>
      </w:r>
      <w:r w:rsidR="00E944F2">
        <w:rPr>
          <w:rFonts w:ascii="Arial" w:hAnsi="Arial" w:cs="Arial"/>
          <w:sz w:val="24"/>
        </w:rPr>
        <w:t xml:space="preserve">.  </w:t>
      </w:r>
      <w:r w:rsidR="00420BCA">
        <w:rPr>
          <w:rFonts w:ascii="Arial" w:hAnsi="Arial" w:cs="Arial"/>
          <w:sz w:val="24"/>
        </w:rPr>
        <w:t xml:space="preserve">Awardees </w:t>
      </w:r>
      <w:r w:rsidR="00E944F2">
        <w:rPr>
          <w:rFonts w:ascii="Arial" w:hAnsi="Arial" w:cs="Arial"/>
          <w:sz w:val="24"/>
        </w:rPr>
        <w:t xml:space="preserve">will be required to report </w:t>
      </w:r>
      <w:r w:rsidR="002D12D3">
        <w:rPr>
          <w:rFonts w:ascii="Arial" w:hAnsi="Arial" w:cs="Arial"/>
          <w:sz w:val="24"/>
        </w:rPr>
        <w:t xml:space="preserve">quarterly </w:t>
      </w:r>
      <w:r w:rsidR="00E944F2">
        <w:rPr>
          <w:rFonts w:ascii="Arial" w:hAnsi="Arial" w:cs="Arial"/>
          <w:sz w:val="24"/>
        </w:rPr>
        <w:t xml:space="preserve">on the benchmark </w:t>
      </w:r>
      <w:r w:rsidR="00420BCA">
        <w:rPr>
          <w:rFonts w:ascii="Arial" w:hAnsi="Arial" w:cs="Arial"/>
          <w:sz w:val="24"/>
        </w:rPr>
        <w:t xml:space="preserve">areas </w:t>
      </w:r>
      <w:r w:rsidR="00E944F2">
        <w:rPr>
          <w:rFonts w:ascii="Arial" w:hAnsi="Arial" w:cs="Arial"/>
          <w:sz w:val="24"/>
        </w:rPr>
        <w:t xml:space="preserve">where they did not demonstrate improvement and which are the </w:t>
      </w:r>
      <w:r w:rsidR="008A4643">
        <w:rPr>
          <w:rFonts w:ascii="Arial" w:hAnsi="Arial" w:cs="Arial"/>
          <w:sz w:val="24"/>
        </w:rPr>
        <w:t xml:space="preserve">foci </w:t>
      </w:r>
      <w:r w:rsidR="00E944F2">
        <w:rPr>
          <w:rFonts w:ascii="Arial" w:hAnsi="Arial" w:cs="Arial"/>
          <w:sz w:val="24"/>
        </w:rPr>
        <w:t xml:space="preserve">of their </w:t>
      </w:r>
      <w:r w:rsidR="00420BCA">
        <w:rPr>
          <w:rFonts w:ascii="Arial" w:hAnsi="Arial" w:cs="Arial"/>
          <w:sz w:val="24"/>
        </w:rPr>
        <w:t>Corrective Action Plan</w:t>
      </w:r>
      <w:r w:rsidR="00E944F2">
        <w:rPr>
          <w:rFonts w:ascii="Arial" w:hAnsi="Arial" w:cs="Arial"/>
          <w:sz w:val="24"/>
        </w:rPr>
        <w:t>.</w:t>
      </w:r>
      <w:r w:rsidR="00C761AB">
        <w:rPr>
          <w:rFonts w:ascii="Arial" w:hAnsi="Arial" w:cs="Arial"/>
          <w:sz w:val="24"/>
        </w:rPr>
        <w:t xml:space="preserve">  </w:t>
      </w:r>
      <w:r w:rsidR="00816AE9">
        <w:rPr>
          <w:rFonts w:ascii="Arial" w:hAnsi="Arial" w:cs="Arial"/>
          <w:sz w:val="24"/>
        </w:rPr>
        <w:t>HRSA</w:t>
      </w:r>
      <w:r w:rsidR="007D3947">
        <w:rPr>
          <w:rFonts w:ascii="Arial" w:hAnsi="Arial" w:cs="Arial"/>
          <w:sz w:val="24"/>
        </w:rPr>
        <w:t xml:space="preserve"> currently estimate</w:t>
      </w:r>
      <w:r w:rsidR="00816AE9">
        <w:rPr>
          <w:rFonts w:ascii="Arial" w:hAnsi="Arial" w:cs="Arial"/>
          <w:sz w:val="24"/>
        </w:rPr>
        <w:t>s</w:t>
      </w:r>
      <w:r w:rsidR="007D3947">
        <w:rPr>
          <w:rFonts w:ascii="Arial" w:hAnsi="Arial" w:cs="Arial"/>
          <w:sz w:val="24"/>
        </w:rPr>
        <w:t xml:space="preserve"> approximately ten awardees may not demonstrate improvement in four of six benchmark areas following the next required assessment, which will occur in October 2020 (as defined in statute).</w:t>
      </w:r>
    </w:p>
    <w:p w14:paraId="00743142" w14:textId="7446EE2F" w:rsidR="00420BCA" w:rsidRDefault="00420BCA" w:rsidP="0082193E">
      <w:pPr>
        <w:ind w:left="360"/>
        <w:rPr>
          <w:rFonts w:ascii="Arial" w:hAnsi="Arial" w:cs="Arial"/>
          <w:sz w:val="24"/>
        </w:rPr>
      </w:pPr>
    </w:p>
    <w:p w14:paraId="602C6E78" w14:textId="18C8E72B" w:rsidR="00420BCA" w:rsidRPr="00B13485" w:rsidRDefault="00420BCA" w:rsidP="0082193E">
      <w:pPr>
        <w:ind w:left="360"/>
        <w:rPr>
          <w:rFonts w:ascii="Arial" w:hAnsi="Arial" w:cs="Arial"/>
          <w:i/>
          <w:sz w:val="24"/>
        </w:rPr>
      </w:pPr>
      <w:r w:rsidRPr="00B13485">
        <w:rPr>
          <w:rFonts w:ascii="Arial" w:hAnsi="Arial" w:cs="Arial"/>
          <w:i/>
          <w:sz w:val="24"/>
        </w:rPr>
        <w:t>Specific proposed revisions and corresponding rationales to Section B are as follows (additional detail can be found on the revised form submitted as Attachment A to this package):</w:t>
      </w:r>
    </w:p>
    <w:p w14:paraId="0CF6FF9B" w14:textId="155FFDF1" w:rsidR="00420BCA" w:rsidRPr="00B13485" w:rsidRDefault="00420BCA" w:rsidP="00420BCA">
      <w:pPr>
        <w:pStyle w:val="ListParagraph"/>
        <w:numPr>
          <w:ilvl w:val="0"/>
          <w:numId w:val="46"/>
        </w:numPr>
        <w:rPr>
          <w:rFonts w:ascii="Arial" w:hAnsi="Arial" w:cs="Arial"/>
          <w:i/>
          <w:sz w:val="24"/>
        </w:rPr>
      </w:pPr>
      <w:r w:rsidRPr="00B13485">
        <w:rPr>
          <w:rFonts w:ascii="Arial" w:hAnsi="Arial" w:cs="Arial"/>
          <w:i/>
          <w:sz w:val="24"/>
        </w:rPr>
        <w:t xml:space="preserve">Section B will be updated to reflect the current benchmark constructs.  This revision will align Section B with MIECHV annual reporting requirements to allow for more frequent collection of this information among awardees that do not demonstrate improvement, as outlined in statute. </w:t>
      </w:r>
    </w:p>
    <w:p w14:paraId="6E59278C" w14:textId="283A039A" w:rsidR="00420BCA" w:rsidRPr="00420BCA" w:rsidRDefault="00420BCA" w:rsidP="00420BCA">
      <w:pPr>
        <w:rPr>
          <w:rFonts w:ascii="Arial" w:hAnsi="Arial" w:cs="Arial"/>
          <w:sz w:val="24"/>
        </w:rPr>
      </w:pPr>
    </w:p>
    <w:p w14:paraId="70419950" w14:textId="667CB458" w:rsidR="0082193E" w:rsidRPr="0082193E" w:rsidRDefault="005C3A2D" w:rsidP="0082193E">
      <w:pPr>
        <w:ind w:left="360"/>
        <w:rPr>
          <w:rFonts w:ascii="Arial" w:hAnsi="Arial" w:cs="Arial"/>
          <w:sz w:val="24"/>
        </w:rPr>
      </w:pPr>
      <w:r>
        <w:rPr>
          <w:rFonts w:ascii="Arial" w:hAnsi="Arial" w:cs="Arial"/>
          <w:sz w:val="24"/>
        </w:rPr>
        <w:t xml:space="preserve">The objective for this data collection activity is to provide HRSA with timely updates to service utilization and performance data variables that have the potential to change on a frequent basis.  </w:t>
      </w:r>
      <w:r w:rsidR="002D12D3">
        <w:rPr>
          <w:rFonts w:ascii="Arial" w:hAnsi="Arial" w:cs="Arial"/>
          <w:sz w:val="24"/>
        </w:rPr>
        <w:t>HRSA use</w:t>
      </w:r>
      <w:r w:rsidR="00340EC6">
        <w:rPr>
          <w:rFonts w:ascii="Arial" w:hAnsi="Arial" w:cs="Arial"/>
          <w:sz w:val="24"/>
        </w:rPr>
        <w:t>s</w:t>
      </w:r>
      <w:r w:rsidR="002D12D3">
        <w:rPr>
          <w:rFonts w:ascii="Arial" w:hAnsi="Arial" w:cs="Arial"/>
          <w:sz w:val="24"/>
        </w:rPr>
        <w:t xml:space="preserve"> this information to assist in grants monitoring activities and to target technical assistance resources to underperforming </w:t>
      </w:r>
      <w:r w:rsidR="00340EC6">
        <w:rPr>
          <w:rFonts w:ascii="Arial" w:hAnsi="Arial" w:cs="Arial"/>
          <w:sz w:val="24"/>
        </w:rPr>
        <w:t>awardees</w:t>
      </w:r>
      <w:r w:rsidR="002D12D3">
        <w:rPr>
          <w:rFonts w:ascii="Arial" w:hAnsi="Arial" w:cs="Arial"/>
          <w:sz w:val="24"/>
        </w:rPr>
        <w:t>.</w:t>
      </w:r>
      <w:r w:rsidR="00A822BC">
        <w:rPr>
          <w:rFonts w:ascii="Arial" w:hAnsi="Arial" w:cs="Arial"/>
          <w:sz w:val="24"/>
        </w:rPr>
        <w:t xml:space="preserve">  In addition, this information allow</w:t>
      </w:r>
      <w:r w:rsidR="00340EC6">
        <w:rPr>
          <w:rFonts w:ascii="Arial" w:hAnsi="Arial" w:cs="Arial"/>
          <w:sz w:val="24"/>
        </w:rPr>
        <w:t>s</w:t>
      </w:r>
      <w:r w:rsidR="00A822BC">
        <w:rPr>
          <w:rFonts w:ascii="Arial" w:hAnsi="Arial" w:cs="Arial"/>
          <w:sz w:val="24"/>
        </w:rPr>
        <w:t xml:space="preserve"> HRSA to verify that the communities identified as most in need of home visiting services by </w:t>
      </w:r>
      <w:r w:rsidR="00340EC6">
        <w:rPr>
          <w:rFonts w:ascii="Arial" w:hAnsi="Arial" w:cs="Arial"/>
          <w:sz w:val="24"/>
        </w:rPr>
        <w:t xml:space="preserve">awardees </w:t>
      </w:r>
      <w:r w:rsidR="00A822BC">
        <w:rPr>
          <w:rFonts w:ascii="Arial" w:hAnsi="Arial" w:cs="Arial"/>
          <w:sz w:val="24"/>
        </w:rPr>
        <w:t xml:space="preserve">in their statutorily required needs assessments are receiving </w:t>
      </w:r>
      <w:r w:rsidR="00C814AC">
        <w:rPr>
          <w:rFonts w:ascii="Arial" w:hAnsi="Arial" w:cs="Arial"/>
          <w:sz w:val="24"/>
        </w:rPr>
        <w:t>MIECHV funded services.</w:t>
      </w:r>
      <w:r w:rsidR="002D12D3">
        <w:rPr>
          <w:rFonts w:ascii="Arial" w:hAnsi="Arial" w:cs="Arial"/>
          <w:sz w:val="24"/>
        </w:rPr>
        <w:t xml:space="preserve">  </w:t>
      </w:r>
      <w:r>
        <w:rPr>
          <w:rFonts w:ascii="Arial" w:hAnsi="Arial" w:cs="Arial"/>
          <w:sz w:val="24"/>
        </w:rPr>
        <w:t xml:space="preserve"> </w:t>
      </w:r>
      <w:r w:rsidR="005644DB">
        <w:rPr>
          <w:rFonts w:ascii="Arial" w:hAnsi="Arial" w:cs="Arial"/>
          <w:sz w:val="24"/>
        </w:rPr>
        <w:t xml:space="preserve"> </w:t>
      </w:r>
      <w:r w:rsidR="0082193E">
        <w:rPr>
          <w:rFonts w:ascii="Arial" w:hAnsi="Arial" w:cs="Arial"/>
          <w:sz w:val="24"/>
        </w:rPr>
        <w:t xml:space="preserve">  </w:t>
      </w:r>
    </w:p>
    <w:p w14:paraId="1FA38BE6" w14:textId="77777777" w:rsidR="009B3794" w:rsidRPr="00DE4E29"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14:paraId="1AB04977" w14:textId="77777777" w:rsidR="00420BCA" w:rsidRPr="007D3947" w:rsidRDefault="00420BCA" w:rsidP="007D3947">
      <w:pPr>
        <w:spacing w:before="240"/>
        <w:ind w:left="360"/>
        <w:rPr>
          <w:rFonts w:ascii="Arial" w:hAnsi="Arial" w:cs="Arial"/>
          <w:b/>
          <w:sz w:val="24"/>
        </w:rPr>
      </w:pPr>
      <w:r>
        <w:rPr>
          <w:rFonts w:ascii="Arial" w:hAnsi="Arial" w:cs="Arial"/>
          <w:sz w:val="24"/>
        </w:rPr>
        <w:t xml:space="preserve">Improved information technology is utilized where appropriate.  Awardees collect information from home visiting participants using their own established methods.  Awardees aggregate and report this information to HRSA using the Home Visiting Information System (HVIS), a Bureau Reporting System within HRSA’s Electronic Handbooks grants management application.  The system is an electronic reporting tool used by MIECHV Program awardees for annual and quarterly performance reporting, and allows for the appropriate storage, extraction, and records management of performance data by federal staff </w:t>
      </w:r>
    </w:p>
    <w:p w14:paraId="479F2F4D" w14:textId="5F60ABEB"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14:paraId="40E6697A" w14:textId="12F2D892" w:rsidR="009B3794" w:rsidRDefault="00F94632" w:rsidP="008A4643">
      <w:pPr>
        <w:spacing w:before="120"/>
        <w:ind w:left="360"/>
        <w:rPr>
          <w:rFonts w:ascii="Arial" w:hAnsi="Arial" w:cs="Arial"/>
          <w:sz w:val="24"/>
        </w:rPr>
      </w:pPr>
      <w:r>
        <w:rPr>
          <w:rFonts w:ascii="Arial" w:hAnsi="Arial" w:cs="Arial"/>
          <w:sz w:val="24"/>
        </w:rPr>
        <w:t xml:space="preserve">The information collected through this request is not available from another source.  Only MIECHV </w:t>
      </w:r>
      <w:r w:rsidR="00420BCA">
        <w:rPr>
          <w:rFonts w:ascii="Arial" w:hAnsi="Arial" w:cs="Arial"/>
          <w:sz w:val="24"/>
        </w:rPr>
        <w:t xml:space="preserve">awardees </w:t>
      </w:r>
      <w:r>
        <w:rPr>
          <w:rFonts w:ascii="Arial" w:hAnsi="Arial" w:cs="Arial"/>
          <w:sz w:val="24"/>
        </w:rPr>
        <w:t>can supply the requested information.</w:t>
      </w:r>
    </w:p>
    <w:p w14:paraId="36F38BCD" w14:textId="3BDDD24E" w:rsidR="009B03F1" w:rsidRPr="00C45431" w:rsidRDefault="009B03F1" w:rsidP="008A4643">
      <w:pPr>
        <w:spacing w:before="120"/>
        <w:ind w:left="360"/>
        <w:rPr>
          <w:rFonts w:ascii="Arial" w:hAnsi="Arial" w:cs="Arial"/>
          <w:b/>
          <w:sz w:val="24"/>
        </w:rPr>
      </w:pPr>
      <w:r>
        <w:rPr>
          <w:rFonts w:ascii="Arial" w:hAnsi="Arial" w:cs="Arial"/>
          <w:sz w:val="24"/>
        </w:rPr>
        <w:t xml:space="preserve">This request for information supplements existing performance measurement information collection requests (OMB control number </w:t>
      </w:r>
      <w:r w:rsidR="00420BCA">
        <w:rPr>
          <w:rFonts w:ascii="Arial" w:hAnsi="Arial" w:cs="Arial"/>
          <w:sz w:val="24"/>
        </w:rPr>
        <w:t>0906-0017</w:t>
      </w:r>
      <w:r>
        <w:rPr>
          <w:rFonts w:ascii="Arial" w:hAnsi="Arial" w:cs="Arial"/>
          <w:sz w:val="24"/>
        </w:rPr>
        <w:t>, expiration 7/31/20</w:t>
      </w:r>
      <w:r w:rsidR="00420BCA">
        <w:rPr>
          <w:rFonts w:ascii="Arial" w:hAnsi="Arial" w:cs="Arial"/>
          <w:sz w:val="24"/>
        </w:rPr>
        <w:t>21</w:t>
      </w:r>
      <w:r>
        <w:rPr>
          <w:rFonts w:ascii="Arial" w:hAnsi="Arial" w:cs="Arial"/>
          <w:sz w:val="24"/>
        </w:rPr>
        <w:t xml:space="preserve">.  These requests represent annual performance measurement reports that contain demographic, service </w:t>
      </w:r>
      <w:r w:rsidR="00651EA9">
        <w:rPr>
          <w:rFonts w:ascii="Arial" w:hAnsi="Arial" w:cs="Arial"/>
          <w:sz w:val="24"/>
        </w:rPr>
        <w:t>utilization</w:t>
      </w:r>
      <w:r>
        <w:rPr>
          <w:rFonts w:ascii="Arial" w:hAnsi="Arial" w:cs="Arial"/>
          <w:sz w:val="24"/>
        </w:rPr>
        <w:t xml:space="preserve"> and benchmark performance data for </w:t>
      </w:r>
      <w:r w:rsidR="00420BCA">
        <w:rPr>
          <w:rFonts w:ascii="Arial" w:hAnsi="Arial" w:cs="Arial"/>
          <w:sz w:val="24"/>
        </w:rPr>
        <w:t>MIECHV</w:t>
      </w:r>
      <w:r w:rsidR="00A8416D">
        <w:rPr>
          <w:rFonts w:ascii="Arial" w:hAnsi="Arial" w:cs="Arial"/>
          <w:sz w:val="24"/>
        </w:rPr>
        <w:t xml:space="preserve"> </w:t>
      </w:r>
      <w:r>
        <w:rPr>
          <w:rFonts w:ascii="Arial" w:hAnsi="Arial" w:cs="Arial"/>
          <w:sz w:val="24"/>
        </w:rPr>
        <w:t>Program participants.</w:t>
      </w:r>
      <w:r w:rsidR="00651EA9">
        <w:rPr>
          <w:rFonts w:ascii="Arial" w:hAnsi="Arial" w:cs="Arial"/>
          <w:sz w:val="24"/>
        </w:rPr>
        <w:t xml:space="preserve">  Service utilization data related to family engagement is contained in both the annual and quarterly information collection requests because it has the potential to change frequently</w:t>
      </w:r>
      <w:r w:rsidR="0038612B">
        <w:rPr>
          <w:rFonts w:ascii="Arial" w:hAnsi="Arial" w:cs="Arial"/>
          <w:sz w:val="24"/>
        </w:rPr>
        <w:t xml:space="preserve"> and is a key indicator of program performance</w:t>
      </w:r>
      <w:r w:rsidR="00651EA9">
        <w:rPr>
          <w:rFonts w:ascii="Arial" w:hAnsi="Arial" w:cs="Arial"/>
          <w:sz w:val="24"/>
        </w:rPr>
        <w:t xml:space="preserve">.  HRSA will use quarterly family engagement </w:t>
      </w:r>
      <w:r w:rsidR="0038612B">
        <w:rPr>
          <w:rFonts w:ascii="Arial" w:hAnsi="Arial" w:cs="Arial"/>
          <w:sz w:val="24"/>
        </w:rPr>
        <w:t>data</w:t>
      </w:r>
      <w:r w:rsidR="00651EA9">
        <w:rPr>
          <w:rFonts w:ascii="Arial" w:hAnsi="Arial" w:cs="Arial"/>
          <w:sz w:val="24"/>
        </w:rPr>
        <w:t xml:space="preserve"> to provide oversight and technical assistance to </w:t>
      </w:r>
      <w:r w:rsidR="007D3947">
        <w:rPr>
          <w:rFonts w:ascii="Arial" w:hAnsi="Arial" w:cs="Arial"/>
          <w:sz w:val="24"/>
        </w:rPr>
        <w:t>MIECHV</w:t>
      </w:r>
      <w:r w:rsidR="00651EA9">
        <w:rPr>
          <w:rFonts w:ascii="Arial" w:hAnsi="Arial" w:cs="Arial"/>
          <w:sz w:val="24"/>
        </w:rPr>
        <w:t xml:space="preserve"> Program </w:t>
      </w:r>
      <w:r w:rsidR="007D3947">
        <w:rPr>
          <w:rFonts w:ascii="Arial" w:hAnsi="Arial" w:cs="Arial"/>
          <w:sz w:val="24"/>
        </w:rPr>
        <w:t xml:space="preserve">awardees </w:t>
      </w:r>
      <w:r w:rsidR="00651EA9">
        <w:rPr>
          <w:rFonts w:ascii="Arial" w:hAnsi="Arial" w:cs="Arial"/>
          <w:sz w:val="24"/>
        </w:rPr>
        <w:t>and will use cumulative annual reports of family engagement for reporting purposes and to assess the effectiveness of technical assistance.</w:t>
      </w:r>
      <w:r>
        <w:rPr>
          <w:rFonts w:ascii="Arial" w:hAnsi="Arial" w:cs="Arial"/>
          <w:sz w:val="24"/>
        </w:rPr>
        <w:t xml:space="preserve">   </w:t>
      </w:r>
    </w:p>
    <w:p w14:paraId="62693241" w14:textId="77777777" w:rsidR="009B3794" w:rsidRPr="00C45431" w:rsidRDefault="009B3794" w:rsidP="00CA3DA6">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14:paraId="78B9C5A5" w14:textId="26C68408" w:rsidR="009B3794" w:rsidRPr="00C45431" w:rsidRDefault="00F94632" w:rsidP="00F94632">
      <w:pPr>
        <w:spacing w:before="120"/>
        <w:ind w:left="360"/>
        <w:rPr>
          <w:rFonts w:ascii="Arial" w:hAnsi="Arial" w:cs="Arial"/>
          <w:b/>
          <w:sz w:val="24"/>
        </w:rPr>
      </w:pPr>
      <w:r>
        <w:rPr>
          <w:rFonts w:ascii="Arial" w:hAnsi="Arial" w:cs="Arial"/>
          <w:sz w:val="24"/>
        </w:rPr>
        <w:t>Information will be collected from individuals by staff at Local Implementing Agencies. Local Implementing Agencies are contracted by the state</w:t>
      </w:r>
      <w:r w:rsidR="00A8416D">
        <w:rPr>
          <w:rFonts w:ascii="Arial" w:hAnsi="Arial" w:cs="Arial"/>
          <w:sz w:val="24"/>
        </w:rPr>
        <w:t xml:space="preserve"> or</w:t>
      </w:r>
      <w:r w:rsidR="00B65975">
        <w:rPr>
          <w:rFonts w:ascii="Arial" w:hAnsi="Arial" w:cs="Arial"/>
          <w:sz w:val="24"/>
        </w:rPr>
        <w:t xml:space="preserve"> territorial</w:t>
      </w:r>
      <w:r w:rsidR="007D3947">
        <w:rPr>
          <w:rFonts w:ascii="Arial" w:hAnsi="Arial" w:cs="Arial"/>
          <w:sz w:val="24"/>
        </w:rPr>
        <w:t xml:space="preserve"> </w:t>
      </w:r>
      <w:r w:rsidR="00A8416D">
        <w:rPr>
          <w:rFonts w:ascii="Arial" w:hAnsi="Arial" w:cs="Arial"/>
          <w:sz w:val="24"/>
        </w:rPr>
        <w:t>awardee</w:t>
      </w:r>
      <w:r>
        <w:rPr>
          <w:rFonts w:ascii="Arial" w:hAnsi="Arial" w:cs="Arial"/>
          <w:sz w:val="24"/>
        </w:rPr>
        <w:t xml:space="preserve"> to provide home visiting services and may be small businesses.  Because information collection may involve small businesses, the information being requested has been held to the absolute minimum necessary for the intended use of the data.</w:t>
      </w:r>
      <w:r w:rsidR="00A8416D">
        <w:rPr>
          <w:rFonts w:ascii="Arial" w:hAnsi="Arial" w:cs="Arial"/>
          <w:sz w:val="24"/>
        </w:rPr>
        <w:t xml:space="preserve">  This revision streamlines requested data to better align the intended and actual uses of these data for program monitoring and oversight purposes</w:t>
      </w:r>
      <w:r>
        <w:rPr>
          <w:rFonts w:ascii="Arial" w:hAnsi="Arial" w:cs="Arial"/>
          <w:sz w:val="24"/>
        </w:rPr>
        <w:t xml:space="preserve">  </w:t>
      </w:r>
    </w:p>
    <w:p w14:paraId="09E04993"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001325B2" w:rsidRPr="00C45431">
        <w:rPr>
          <w:rFonts w:ascii="Arial" w:hAnsi="Arial" w:cs="Arial"/>
          <w:b/>
          <w:sz w:val="24"/>
          <w:u w:val="single"/>
        </w:rPr>
        <w:t>ly</w:t>
      </w:r>
    </w:p>
    <w:p w14:paraId="2EFF2A51" w14:textId="77777777" w:rsidR="00AA48A2" w:rsidRDefault="00573645" w:rsidP="00AA48A2">
      <w:pPr>
        <w:widowControl/>
        <w:autoSpaceDE/>
        <w:autoSpaceDN/>
        <w:adjustRightInd/>
        <w:ind w:left="360"/>
        <w:rPr>
          <w:rFonts w:ascii="Arial" w:hAnsi="Arial" w:cs="Arial"/>
          <w:color w:val="000000"/>
          <w:sz w:val="24"/>
        </w:rPr>
      </w:pPr>
      <w:r>
        <w:rPr>
          <w:rFonts w:ascii="Arial" w:hAnsi="Arial" w:cs="Arial"/>
          <w:color w:val="000000"/>
          <w:sz w:val="24"/>
        </w:rPr>
        <w:t xml:space="preserve">The information collected through this request </w:t>
      </w:r>
      <w:r w:rsidR="00A8416D">
        <w:rPr>
          <w:rFonts w:ascii="Arial" w:hAnsi="Arial" w:cs="Arial"/>
          <w:color w:val="000000"/>
          <w:sz w:val="24"/>
        </w:rPr>
        <w:t>is</w:t>
      </w:r>
      <w:r>
        <w:rPr>
          <w:rFonts w:ascii="Arial" w:hAnsi="Arial" w:cs="Arial"/>
          <w:color w:val="000000"/>
          <w:sz w:val="24"/>
        </w:rPr>
        <w:t xml:space="preserve"> reported on a quarterly basis.  </w:t>
      </w:r>
    </w:p>
    <w:p w14:paraId="7C733EFA" w14:textId="3BC27B40" w:rsidR="00573645" w:rsidRDefault="00573645" w:rsidP="00AA48A2">
      <w:pPr>
        <w:widowControl/>
        <w:autoSpaceDE/>
        <w:autoSpaceDN/>
        <w:adjustRightInd/>
        <w:ind w:left="360"/>
        <w:rPr>
          <w:rFonts w:ascii="Arial" w:hAnsi="Arial" w:cs="Arial"/>
          <w:color w:val="000000"/>
          <w:sz w:val="24"/>
        </w:rPr>
      </w:pPr>
      <w:r>
        <w:rPr>
          <w:rFonts w:ascii="Arial" w:hAnsi="Arial" w:cs="Arial"/>
          <w:color w:val="000000"/>
          <w:sz w:val="24"/>
        </w:rPr>
        <w:t xml:space="preserve">The intended use of this information is to assist HRSA in monitoring and oversight activities and to target technical assistance resources more efficiently.  This information is also likely to change more frequently than </w:t>
      </w:r>
      <w:r w:rsidR="00384291">
        <w:rPr>
          <w:rFonts w:ascii="Arial" w:hAnsi="Arial" w:cs="Arial"/>
          <w:color w:val="000000"/>
          <w:sz w:val="24"/>
        </w:rPr>
        <w:t xml:space="preserve">the </w:t>
      </w:r>
      <w:r>
        <w:rPr>
          <w:rFonts w:ascii="Arial" w:hAnsi="Arial" w:cs="Arial"/>
          <w:color w:val="000000"/>
          <w:sz w:val="24"/>
        </w:rPr>
        <w:t xml:space="preserve">measures MIECHV </w:t>
      </w:r>
      <w:r w:rsidR="00A8416D">
        <w:rPr>
          <w:rFonts w:ascii="Arial" w:hAnsi="Arial" w:cs="Arial"/>
          <w:color w:val="000000"/>
          <w:sz w:val="24"/>
        </w:rPr>
        <w:t xml:space="preserve">awardees </w:t>
      </w:r>
      <w:r>
        <w:rPr>
          <w:rFonts w:ascii="Arial" w:hAnsi="Arial" w:cs="Arial"/>
          <w:color w:val="000000"/>
          <w:sz w:val="24"/>
        </w:rPr>
        <w:t xml:space="preserve">are required to report on an annual basis.  As such, quarterly reporting is required in order </w:t>
      </w:r>
      <w:r w:rsidR="00115BD5">
        <w:rPr>
          <w:rFonts w:ascii="Arial" w:hAnsi="Arial" w:cs="Arial"/>
          <w:color w:val="000000"/>
          <w:sz w:val="24"/>
        </w:rPr>
        <w:t xml:space="preserve">for HRSA to have the most accurate information possible when assessing </w:t>
      </w:r>
      <w:r w:rsidR="00A8416D">
        <w:rPr>
          <w:rFonts w:ascii="Arial" w:hAnsi="Arial" w:cs="Arial"/>
          <w:color w:val="000000"/>
          <w:sz w:val="24"/>
        </w:rPr>
        <w:t xml:space="preserve">awardee </w:t>
      </w:r>
      <w:r w:rsidR="00115BD5">
        <w:rPr>
          <w:rFonts w:ascii="Arial" w:hAnsi="Arial" w:cs="Arial"/>
          <w:color w:val="000000"/>
          <w:sz w:val="24"/>
        </w:rPr>
        <w:t>performance and making decisions about program policy and resources.</w:t>
      </w:r>
      <w:r>
        <w:rPr>
          <w:rFonts w:ascii="Arial" w:hAnsi="Arial" w:cs="Arial"/>
          <w:color w:val="000000"/>
          <w:sz w:val="24"/>
        </w:rPr>
        <w:t xml:space="preserve">  </w:t>
      </w:r>
    </w:p>
    <w:p w14:paraId="6C43EDF6" w14:textId="77777777" w:rsidR="009B3794" w:rsidRPr="00573645" w:rsidRDefault="009B3794" w:rsidP="00573645">
      <w:pPr>
        <w:widowControl/>
        <w:autoSpaceDE/>
        <w:autoSpaceDN/>
        <w:adjustRightInd/>
        <w:spacing w:before="120"/>
        <w:ind w:left="360"/>
        <w:rPr>
          <w:rFonts w:ascii="Arial" w:hAnsi="Arial" w:cs="Arial"/>
          <w:sz w:val="24"/>
        </w:rPr>
      </w:pPr>
      <w:r w:rsidRPr="00573645">
        <w:rPr>
          <w:rFonts w:ascii="Arial" w:hAnsi="Arial" w:cs="Arial"/>
          <w:color w:val="000000"/>
          <w:sz w:val="24"/>
        </w:rPr>
        <w:t>There are no legal obstacles to reduce the burden.</w:t>
      </w:r>
      <w:r w:rsidRPr="00573645">
        <w:rPr>
          <w:rFonts w:ascii="Arial" w:hAnsi="Arial" w:cs="Arial"/>
          <w:sz w:val="24"/>
        </w:rPr>
        <w:tab/>
      </w:r>
    </w:p>
    <w:p w14:paraId="050CDB00"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14:paraId="593A4060" w14:textId="77777777" w:rsidR="009B3794" w:rsidRPr="00115BD5" w:rsidRDefault="00627FFD" w:rsidP="00115BD5">
      <w:pPr>
        <w:widowControl/>
        <w:spacing w:before="120"/>
        <w:ind w:left="360"/>
        <w:rPr>
          <w:rFonts w:ascii="Arial" w:hAnsi="Arial" w:cs="Arial"/>
          <w:sz w:val="24"/>
        </w:rPr>
      </w:pPr>
      <w:r w:rsidRPr="00115BD5">
        <w:rPr>
          <w:rFonts w:ascii="Arial" w:hAnsi="Arial" w:cs="Arial"/>
          <w:sz w:val="24"/>
        </w:rPr>
        <w:t>T</w:t>
      </w:r>
      <w:r w:rsidR="009B3794" w:rsidRPr="00115BD5">
        <w:rPr>
          <w:rFonts w:ascii="Arial" w:hAnsi="Arial" w:cs="Arial"/>
          <w:sz w:val="24"/>
        </w:rPr>
        <w:t>he request fully complies with the regulation.</w:t>
      </w:r>
    </w:p>
    <w:p w14:paraId="2AC4979D" w14:textId="37D723F2" w:rsidR="00F5723C" w:rsidRDefault="00F5723C">
      <w:pPr>
        <w:widowControl/>
        <w:autoSpaceDE/>
        <w:autoSpaceDN/>
        <w:adjustRightInd/>
        <w:rPr>
          <w:rFonts w:ascii="Arial" w:hAnsi="Arial" w:cs="Arial"/>
          <w:b/>
          <w:iCs/>
          <w:sz w:val="24"/>
          <w:u w:val="single"/>
        </w:rPr>
      </w:pPr>
      <w:r>
        <w:rPr>
          <w:rFonts w:ascii="Arial" w:hAnsi="Arial" w:cs="Arial"/>
          <w:b/>
          <w:iCs/>
          <w:sz w:val="24"/>
          <w:u w:val="single"/>
        </w:rPr>
        <w:br w:type="page"/>
      </w:r>
    </w:p>
    <w:p w14:paraId="538ADC65" w14:textId="77777777" w:rsidR="009B3794" w:rsidRPr="00C761AB" w:rsidRDefault="009B3794" w:rsidP="00CA3DA6">
      <w:pPr>
        <w:numPr>
          <w:ilvl w:val="0"/>
          <w:numId w:val="2"/>
        </w:numPr>
        <w:tabs>
          <w:tab w:val="clear" w:pos="1080"/>
          <w:tab w:val="num" w:pos="360"/>
        </w:tabs>
        <w:spacing w:before="240"/>
        <w:ind w:left="360"/>
        <w:rPr>
          <w:rFonts w:ascii="Arial" w:hAnsi="Arial" w:cs="Arial"/>
          <w:b/>
          <w:sz w:val="24"/>
        </w:rPr>
      </w:pPr>
    </w:p>
    <w:p w14:paraId="52F93BB9" w14:textId="77777777"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8A:</w:t>
      </w:r>
    </w:p>
    <w:p w14:paraId="3E75124E" w14:textId="69695D04" w:rsidR="009B3794" w:rsidRDefault="009B3794" w:rsidP="00115BD5">
      <w:pPr>
        <w:spacing w:before="120"/>
        <w:ind w:left="360"/>
        <w:rPr>
          <w:rFonts w:ascii="Arial" w:hAnsi="Arial" w:cs="Arial"/>
          <w:sz w:val="24"/>
        </w:rPr>
      </w:pPr>
      <w:r w:rsidRPr="00115BD5">
        <w:rPr>
          <w:rFonts w:ascii="Arial" w:hAnsi="Arial" w:cs="Arial"/>
          <w:sz w:val="24"/>
        </w:rPr>
        <w:t xml:space="preserve">A 60-day Federal Register Notice was published in the </w:t>
      </w:r>
      <w:r w:rsidRPr="00115BD5">
        <w:rPr>
          <w:rFonts w:ascii="Arial" w:hAnsi="Arial" w:cs="Arial"/>
          <w:i/>
          <w:iCs/>
          <w:sz w:val="24"/>
        </w:rPr>
        <w:t xml:space="preserve">Federal Register </w:t>
      </w:r>
      <w:r w:rsidRPr="00115BD5">
        <w:rPr>
          <w:rFonts w:ascii="Arial" w:hAnsi="Arial" w:cs="Arial"/>
          <w:sz w:val="24"/>
        </w:rPr>
        <w:t xml:space="preserve">on </w:t>
      </w:r>
      <w:r w:rsidR="00A8416D">
        <w:rPr>
          <w:rFonts w:ascii="Arial" w:hAnsi="Arial" w:cs="Arial"/>
          <w:sz w:val="24"/>
        </w:rPr>
        <w:t>February 21, 2018</w:t>
      </w:r>
      <w:r w:rsidRPr="00115BD5">
        <w:rPr>
          <w:rFonts w:ascii="Arial" w:hAnsi="Arial" w:cs="Arial"/>
          <w:sz w:val="24"/>
        </w:rPr>
        <w:t xml:space="preserve">, vol. </w:t>
      </w:r>
      <w:r w:rsidR="00A8416D">
        <w:rPr>
          <w:rFonts w:ascii="Arial" w:hAnsi="Arial" w:cs="Arial"/>
          <w:sz w:val="24"/>
        </w:rPr>
        <w:t>83</w:t>
      </w:r>
      <w:r w:rsidRPr="00115BD5">
        <w:rPr>
          <w:rFonts w:ascii="Arial" w:hAnsi="Arial" w:cs="Arial"/>
          <w:sz w:val="24"/>
        </w:rPr>
        <w:t>, No.</w:t>
      </w:r>
      <w:r w:rsidR="00CE5AA9" w:rsidRPr="00115BD5">
        <w:rPr>
          <w:rFonts w:ascii="Arial" w:hAnsi="Arial" w:cs="Arial"/>
          <w:sz w:val="24"/>
        </w:rPr>
        <w:t xml:space="preserve"> </w:t>
      </w:r>
      <w:r w:rsidR="00A8416D">
        <w:rPr>
          <w:rFonts w:ascii="Arial" w:hAnsi="Arial" w:cs="Arial"/>
          <w:sz w:val="24"/>
        </w:rPr>
        <w:t>35</w:t>
      </w:r>
      <w:r w:rsidRPr="00115BD5">
        <w:rPr>
          <w:rFonts w:ascii="Arial" w:hAnsi="Arial" w:cs="Arial"/>
          <w:sz w:val="24"/>
        </w:rPr>
        <w:t xml:space="preserve">; pp. </w:t>
      </w:r>
      <w:r w:rsidR="00A8416D">
        <w:rPr>
          <w:rFonts w:ascii="Arial" w:hAnsi="Arial" w:cs="Arial"/>
          <w:sz w:val="24"/>
        </w:rPr>
        <w:t>7481-7482</w:t>
      </w:r>
      <w:r w:rsidRPr="00115BD5">
        <w:rPr>
          <w:rFonts w:ascii="Arial" w:hAnsi="Arial" w:cs="Arial"/>
          <w:sz w:val="24"/>
        </w:rPr>
        <w:t xml:space="preserve"> (see </w:t>
      </w:r>
      <w:r w:rsidR="002D12D3">
        <w:rPr>
          <w:rFonts w:ascii="Arial" w:hAnsi="Arial" w:cs="Arial"/>
          <w:sz w:val="24"/>
        </w:rPr>
        <w:t>A</w:t>
      </w:r>
      <w:r w:rsidRPr="00115BD5">
        <w:rPr>
          <w:rFonts w:ascii="Arial" w:hAnsi="Arial" w:cs="Arial"/>
          <w:sz w:val="24"/>
        </w:rPr>
        <w:t xml:space="preserve">ttachment </w:t>
      </w:r>
      <w:r w:rsidR="00C761AB">
        <w:rPr>
          <w:rFonts w:ascii="Arial" w:hAnsi="Arial" w:cs="Arial"/>
          <w:sz w:val="24"/>
        </w:rPr>
        <w:t>B</w:t>
      </w:r>
      <w:r w:rsidR="00115BD5">
        <w:rPr>
          <w:rFonts w:ascii="Arial" w:hAnsi="Arial" w:cs="Arial"/>
          <w:sz w:val="24"/>
        </w:rPr>
        <w:t xml:space="preserve">). </w:t>
      </w:r>
      <w:r w:rsidR="00A8416D">
        <w:rPr>
          <w:rFonts w:ascii="Arial" w:hAnsi="Arial" w:cs="Arial"/>
          <w:sz w:val="24"/>
        </w:rPr>
        <w:t>HRSA received twenty</w:t>
      </w:r>
      <w:r w:rsidR="00B13485">
        <w:rPr>
          <w:rFonts w:ascii="Arial" w:hAnsi="Arial" w:cs="Arial"/>
          <w:sz w:val="24"/>
        </w:rPr>
        <w:t>-</w:t>
      </w:r>
      <w:r w:rsidR="00A8416D">
        <w:rPr>
          <w:rFonts w:ascii="Arial" w:hAnsi="Arial" w:cs="Arial"/>
          <w:sz w:val="24"/>
        </w:rPr>
        <w:t xml:space="preserve"> four public comments</w:t>
      </w:r>
      <w:r w:rsidR="00C761AB">
        <w:rPr>
          <w:rFonts w:ascii="Arial" w:hAnsi="Arial" w:cs="Arial"/>
          <w:sz w:val="24"/>
        </w:rPr>
        <w:t xml:space="preserve"> providing feedback on </w:t>
      </w:r>
      <w:r w:rsidR="007D3947">
        <w:rPr>
          <w:rFonts w:ascii="Arial" w:hAnsi="Arial" w:cs="Arial"/>
          <w:sz w:val="24"/>
        </w:rPr>
        <w:t xml:space="preserve">the </w:t>
      </w:r>
      <w:r w:rsidR="00A8416D">
        <w:rPr>
          <w:rFonts w:ascii="Arial" w:hAnsi="Arial" w:cs="Arial"/>
          <w:sz w:val="24"/>
        </w:rPr>
        <w:t xml:space="preserve">timeline for submission, suggestions for streamlining and reducing burden for data collection and reporting, </w:t>
      </w:r>
      <w:r w:rsidR="00C761AB">
        <w:rPr>
          <w:rFonts w:ascii="Arial" w:hAnsi="Arial" w:cs="Arial"/>
          <w:sz w:val="24"/>
        </w:rPr>
        <w:t>definitions of key terms</w:t>
      </w:r>
      <w:r w:rsidR="00C814AC">
        <w:rPr>
          <w:rFonts w:ascii="Arial" w:hAnsi="Arial" w:cs="Arial"/>
          <w:sz w:val="24"/>
        </w:rPr>
        <w:t xml:space="preserve">, </w:t>
      </w:r>
      <w:r w:rsidR="00A8416D">
        <w:rPr>
          <w:rFonts w:ascii="Arial" w:hAnsi="Arial" w:cs="Arial"/>
          <w:sz w:val="24"/>
        </w:rPr>
        <w:t xml:space="preserve">and </w:t>
      </w:r>
      <w:r w:rsidR="00C814AC">
        <w:rPr>
          <w:rFonts w:ascii="Arial" w:hAnsi="Arial" w:cs="Arial"/>
          <w:sz w:val="24"/>
        </w:rPr>
        <w:t>form format</w:t>
      </w:r>
      <w:r w:rsidR="00A8416D">
        <w:rPr>
          <w:rFonts w:ascii="Arial" w:hAnsi="Arial" w:cs="Arial"/>
          <w:sz w:val="24"/>
        </w:rPr>
        <w:t>ting</w:t>
      </w:r>
      <w:r w:rsidRPr="00115BD5">
        <w:rPr>
          <w:rFonts w:ascii="Arial" w:hAnsi="Arial" w:cs="Arial"/>
          <w:sz w:val="24"/>
        </w:rPr>
        <w:t>.</w:t>
      </w:r>
      <w:r w:rsidR="00C761AB">
        <w:rPr>
          <w:rFonts w:ascii="Arial" w:hAnsi="Arial" w:cs="Arial"/>
          <w:sz w:val="24"/>
        </w:rPr>
        <w:t xml:space="preserve">  The feedback was reviewed and integrated, where appropriate.</w:t>
      </w:r>
      <w:r w:rsidR="00C814AC">
        <w:rPr>
          <w:rFonts w:ascii="Arial" w:hAnsi="Arial" w:cs="Arial"/>
          <w:sz w:val="24"/>
        </w:rPr>
        <w:t xml:space="preserve">  Attachment C provides a summary of the public comments and HRSA’s responses.</w:t>
      </w:r>
      <w:r w:rsidR="005D450B">
        <w:rPr>
          <w:rFonts w:ascii="Arial" w:hAnsi="Arial" w:cs="Arial"/>
          <w:sz w:val="24"/>
        </w:rPr>
        <w:t xml:space="preserve">  Attachment D provides all public comments received.</w:t>
      </w:r>
    </w:p>
    <w:p w14:paraId="7C5E1D2F" w14:textId="655D5566" w:rsidR="00A8416D" w:rsidRDefault="00A8416D" w:rsidP="00115BD5">
      <w:pPr>
        <w:spacing w:before="120"/>
        <w:ind w:left="360"/>
        <w:rPr>
          <w:rFonts w:ascii="Arial" w:hAnsi="Arial" w:cs="Arial"/>
          <w:sz w:val="24"/>
        </w:rPr>
      </w:pPr>
    </w:p>
    <w:p w14:paraId="16CB1446" w14:textId="6E0C24D3" w:rsidR="00A8416D" w:rsidRDefault="00A8416D" w:rsidP="00A8416D">
      <w:pPr>
        <w:ind w:left="360"/>
        <w:rPr>
          <w:rFonts w:ascii="Arial" w:hAnsi="Arial" w:cs="Arial"/>
          <w:sz w:val="24"/>
        </w:rPr>
      </w:pPr>
      <w:r>
        <w:rPr>
          <w:rFonts w:ascii="Arial" w:hAnsi="Arial" w:cs="Arial"/>
          <w:sz w:val="24"/>
        </w:rPr>
        <w:t xml:space="preserve">Additional revisions were initially proposed in the 60-day Federal Register Notice and were ultimately dropped in response to public comment.  Commenters generally urged against proposed revisions to substantively change reporting definitions for several </w:t>
      </w:r>
      <w:r w:rsidR="00474320">
        <w:rPr>
          <w:rFonts w:ascii="Arial" w:hAnsi="Arial" w:cs="Arial"/>
          <w:sz w:val="24"/>
        </w:rPr>
        <w:t>tables</w:t>
      </w:r>
      <w:r>
        <w:rPr>
          <w:rFonts w:ascii="Arial" w:hAnsi="Arial" w:cs="Arial"/>
          <w:sz w:val="24"/>
        </w:rPr>
        <w:t xml:space="preserve"> (</w:t>
      </w:r>
      <w:r w:rsidR="00474320">
        <w:rPr>
          <w:rFonts w:ascii="Arial" w:hAnsi="Arial" w:cs="Arial"/>
          <w:sz w:val="24"/>
        </w:rPr>
        <w:t>Table 1: Program Capacity</w:t>
      </w:r>
      <w:r>
        <w:rPr>
          <w:rFonts w:ascii="Arial" w:hAnsi="Arial" w:cs="Arial"/>
          <w:sz w:val="24"/>
        </w:rPr>
        <w:t xml:space="preserve">; </w:t>
      </w:r>
      <w:r w:rsidR="00474320">
        <w:rPr>
          <w:rFonts w:ascii="Arial" w:hAnsi="Arial" w:cs="Arial"/>
          <w:sz w:val="24"/>
        </w:rPr>
        <w:t>Table 3: Family Engagement</w:t>
      </w:r>
      <w:r>
        <w:rPr>
          <w:rFonts w:ascii="Arial" w:hAnsi="Arial" w:cs="Arial"/>
          <w:sz w:val="24"/>
        </w:rPr>
        <w:t xml:space="preserve">).  HRSA initially proposed these revisions as ways to improve either the conceptual clarity of the </w:t>
      </w:r>
      <w:r w:rsidR="00474320">
        <w:rPr>
          <w:rFonts w:ascii="Arial" w:hAnsi="Arial" w:cs="Arial"/>
          <w:sz w:val="24"/>
        </w:rPr>
        <w:t>table</w:t>
      </w:r>
      <w:r>
        <w:rPr>
          <w:rFonts w:ascii="Arial" w:hAnsi="Arial" w:cs="Arial"/>
          <w:sz w:val="24"/>
        </w:rPr>
        <w:t xml:space="preserve"> or improve </w:t>
      </w:r>
      <w:r w:rsidR="00474320">
        <w:rPr>
          <w:rFonts w:ascii="Arial" w:hAnsi="Arial" w:cs="Arial"/>
          <w:sz w:val="24"/>
        </w:rPr>
        <w:t>ongoing program monitoring</w:t>
      </w:r>
      <w:r>
        <w:rPr>
          <w:rFonts w:ascii="Arial" w:hAnsi="Arial" w:cs="Arial"/>
          <w:sz w:val="24"/>
        </w:rPr>
        <w:t xml:space="preserve">.  However, the field’s strong preference is to not substantively change measures at this time and ensure consistency.  </w:t>
      </w:r>
    </w:p>
    <w:p w14:paraId="07D57968" w14:textId="77777777" w:rsidR="00A8416D" w:rsidRDefault="00A8416D" w:rsidP="00A8416D">
      <w:pPr>
        <w:ind w:left="360"/>
        <w:rPr>
          <w:rFonts w:ascii="Arial" w:hAnsi="Arial" w:cs="Arial"/>
          <w:sz w:val="24"/>
        </w:rPr>
      </w:pPr>
    </w:p>
    <w:p w14:paraId="48A21AAC" w14:textId="4B80E14C" w:rsidR="00A8416D" w:rsidRPr="00115BD5" w:rsidRDefault="00474320" w:rsidP="00A8416D">
      <w:pPr>
        <w:spacing w:before="120"/>
        <w:ind w:left="360"/>
        <w:rPr>
          <w:rFonts w:ascii="Arial" w:hAnsi="Arial" w:cs="Arial"/>
          <w:sz w:val="24"/>
        </w:rPr>
      </w:pPr>
      <w:r>
        <w:rPr>
          <w:rFonts w:ascii="Arial" w:hAnsi="Arial" w:cs="Arial"/>
          <w:sz w:val="24"/>
        </w:rPr>
        <w:t>HRSA made this determination due to our</w:t>
      </w:r>
      <w:r w:rsidR="00A8416D">
        <w:rPr>
          <w:rFonts w:ascii="Arial" w:hAnsi="Arial" w:cs="Arial"/>
          <w:sz w:val="24"/>
        </w:rPr>
        <w:t xml:space="preserve"> sensitiv</w:t>
      </w:r>
      <w:r>
        <w:rPr>
          <w:rFonts w:ascii="Arial" w:hAnsi="Arial" w:cs="Arial"/>
          <w:sz w:val="24"/>
        </w:rPr>
        <w:t>ity</w:t>
      </w:r>
      <w:r w:rsidR="00A8416D">
        <w:rPr>
          <w:rFonts w:ascii="Arial" w:hAnsi="Arial" w:cs="Arial"/>
          <w:sz w:val="24"/>
        </w:rPr>
        <w:t xml:space="preserve"> to the burden on MIECHV awardees, other stakeholders, and the public that repeated changes to required reporting requirements can cause.  HRSA introduced the MIECHV </w:t>
      </w:r>
      <w:r>
        <w:rPr>
          <w:rFonts w:ascii="Arial" w:hAnsi="Arial" w:cs="Arial"/>
          <w:sz w:val="24"/>
        </w:rPr>
        <w:t xml:space="preserve">quarterly </w:t>
      </w:r>
      <w:r w:rsidR="00A8416D">
        <w:rPr>
          <w:rFonts w:ascii="Arial" w:hAnsi="Arial" w:cs="Arial"/>
          <w:sz w:val="24"/>
        </w:rPr>
        <w:t>performance report in FY 201</w:t>
      </w:r>
      <w:r>
        <w:rPr>
          <w:rFonts w:ascii="Arial" w:hAnsi="Arial" w:cs="Arial"/>
          <w:sz w:val="24"/>
        </w:rPr>
        <w:t>6</w:t>
      </w:r>
      <w:r w:rsidR="00A8416D">
        <w:rPr>
          <w:rFonts w:ascii="Arial" w:hAnsi="Arial" w:cs="Arial"/>
          <w:sz w:val="24"/>
        </w:rPr>
        <w:t xml:space="preserve"> </w:t>
      </w:r>
      <w:r>
        <w:rPr>
          <w:rFonts w:ascii="Arial" w:hAnsi="Arial" w:cs="Arial"/>
          <w:sz w:val="24"/>
        </w:rPr>
        <w:t>which required</w:t>
      </w:r>
      <w:r w:rsidR="00A8416D">
        <w:rPr>
          <w:rFonts w:ascii="Arial" w:hAnsi="Arial" w:cs="Arial"/>
          <w:sz w:val="24"/>
        </w:rPr>
        <w:t xml:space="preserve"> awardees and other stakeholders who support MIECHV data collection and reporting </w:t>
      </w:r>
      <w:r>
        <w:rPr>
          <w:rFonts w:ascii="Arial" w:hAnsi="Arial" w:cs="Arial"/>
          <w:sz w:val="24"/>
        </w:rPr>
        <w:t>to institute new data collection</w:t>
      </w:r>
      <w:r w:rsidR="00A8416D">
        <w:rPr>
          <w:rFonts w:ascii="Arial" w:hAnsi="Arial" w:cs="Arial"/>
          <w:sz w:val="24"/>
        </w:rPr>
        <w:t xml:space="preserve">.  At this time, the feedback HRSA has received is to limit changes to this requirement to regular cycles and can be anticipated and planned for by pertinent stakeholders.  As such, HRSA is </w:t>
      </w:r>
      <w:r>
        <w:rPr>
          <w:rFonts w:ascii="Arial" w:hAnsi="Arial" w:cs="Arial"/>
          <w:sz w:val="24"/>
        </w:rPr>
        <w:t>limiting revisions from what we had initially proposed</w:t>
      </w:r>
      <w:r w:rsidR="00A8416D">
        <w:rPr>
          <w:rFonts w:ascii="Arial" w:hAnsi="Arial" w:cs="Arial"/>
          <w:sz w:val="24"/>
        </w:rPr>
        <w:t xml:space="preserve"> at this time and will pursue more substantive changes, in consultation with our broader stakeholder community for future reporting periods.</w:t>
      </w:r>
    </w:p>
    <w:p w14:paraId="6DE2CA12" w14:textId="77777777" w:rsidR="00DC0E37" w:rsidRDefault="00DC0E37" w:rsidP="00CA3DA6">
      <w:pPr>
        <w:spacing w:before="120"/>
        <w:rPr>
          <w:rFonts w:ascii="Arial" w:hAnsi="Arial" w:cs="Arial"/>
          <w:b/>
          <w:sz w:val="28"/>
          <w:szCs w:val="28"/>
        </w:rPr>
      </w:pPr>
    </w:p>
    <w:p w14:paraId="2C4C1BF8" w14:textId="3E26B461" w:rsidR="00DE3A45" w:rsidRPr="00C45431" w:rsidRDefault="00DE3A45" w:rsidP="00CA3DA6">
      <w:pPr>
        <w:spacing w:before="120"/>
        <w:rPr>
          <w:rFonts w:ascii="Arial" w:hAnsi="Arial" w:cs="Arial"/>
          <w:b/>
          <w:sz w:val="28"/>
          <w:szCs w:val="28"/>
        </w:rPr>
      </w:pPr>
      <w:r w:rsidRPr="00C45431">
        <w:rPr>
          <w:rFonts w:ascii="Arial" w:hAnsi="Arial" w:cs="Arial"/>
          <w:b/>
          <w:sz w:val="28"/>
          <w:szCs w:val="28"/>
        </w:rPr>
        <w:t>Section 8B:</w:t>
      </w:r>
    </w:p>
    <w:p w14:paraId="1829E195" w14:textId="77777777" w:rsidR="00A8416D" w:rsidRDefault="00A8416D" w:rsidP="00A8416D">
      <w:pPr>
        <w:spacing w:before="240"/>
        <w:ind w:left="360"/>
        <w:rPr>
          <w:rFonts w:ascii="Arial" w:hAnsi="Arial" w:cs="Arial"/>
          <w:sz w:val="24"/>
        </w:rPr>
      </w:pPr>
      <w:r>
        <w:rPr>
          <w:rFonts w:ascii="Arial" w:hAnsi="Arial" w:cs="Arial"/>
          <w:sz w:val="24"/>
        </w:rPr>
        <w:t xml:space="preserve">HRSA held multiple discussions with stakeholders to develop and review the proposed revisions included in this request.  Examples of stakeholder discussions include with the Association of State and Tribal Home Visiting Initiatives (ASTHVI) Data Committee, which represents MIECHV Program awardees, and with the Home Visiting Model Alliance, which represents developers of evidence-based home visiting models approved for use under the MIECHV Program.  </w:t>
      </w:r>
    </w:p>
    <w:p w14:paraId="19BFDD09" w14:textId="77777777" w:rsidR="00A8416D" w:rsidRDefault="00A8416D" w:rsidP="00A8416D">
      <w:pPr>
        <w:spacing w:before="240"/>
        <w:ind w:left="360"/>
        <w:rPr>
          <w:rFonts w:ascii="Arial" w:hAnsi="Arial" w:cs="Arial"/>
          <w:sz w:val="24"/>
        </w:rPr>
      </w:pPr>
      <w:r>
        <w:rPr>
          <w:rFonts w:ascii="Arial" w:hAnsi="Arial" w:cs="Arial"/>
          <w:sz w:val="24"/>
        </w:rPr>
        <w:t xml:space="preserve">HRSA also worked collaboratively with federal partners to define the requirements for this revision to our information collection request.  A number of federal staff from multiple agencies with HHS were consulted during the development.  The following public stakeholders were consulted to provide feedback on the clarity and estimated overall annual burden of the data collection instrument.  </w:t>
      </w:r>
    </w:p>
    <w:p w14:paraId="708F55D1" w14:textId="77777777" w:rsidR="00A8416D" w:rsidRDefault="00A8416D" w:rsidP="00A8416D">
      <w:pPr>
        <w:ind w:left="360"/>
        <w:rPr>
          <w:rFonts w:ascii="Arial" w:hAnsi="Arial" w:cs="Arial"/>
          <w:sz w:val="24"/>
        </w:rPr>
      </w:pPr>
    </w:p>
    <w:p w14:paraId="45DC31EE" w14:textId="77777777" w:rsidR="00A8416D" w:rsidRDefault="00A8416D" w:rsidP="00A8416D">
      <w:pPr>
        <w:ind w:left="360"/>
        <w:rPr>
          <w:rFonts w:ascii="Arial" w:hAnsi="Arial" w:cs="Arial"/>
          <w:sz w:val="24"/>
        </w:rPr>
      </w:pPr>
      <w:r>
        <w:rPr>
          <w:rFonts w:ascii="Arial" w:hAnsi="Arial" w:cs="Arial"/>
          <w:sz w:val="24"/>
        </w:rPr>
        <w:t>Specific representatives of these groups who were consulted are listed below:</w:t>
      </w:r>
    </w:p>
    <w:p w14:paraId="2B744CCE" w14:textId="77777777" w:rsidR="00A8416D" w:rsidRDefault="00A8416D" w:rsidP="00A8416D">
      <w:pPr>
        <w:ind w:left="360"/>
        <w:rPr>
          <w:rFonts w:ascii="Arial" w:hAnsi="Arial" w:cs="Arial"/>
          <w:sz w:val="24"/>
        </w:rPr>
      </w:pPr>
    </w:p>
    <w:p w14:paraId="27B35068" w14:textId="77777777" w:rsidR="00A8416D" w:rsidRDefault="00A8416D" w:rsidP="00A8416D">
      <w:pPr>
        <w:ind w:left="360"/>
        <w:rPr>
          <w:rFonts w:ascii="Arial" w:hAnsi="Arial" w:cs="Arial"/>
          <w:sz w:val="24"/>
        </w:rPr>
      </w:pPr>
      <w:r>
        <w:rPr>
          <w:rFonts w:ascii="Arial" w:hAnsi="Arial" w:cs="Arial"/>
          <w:sz w:val="24"/>
        </w:rPr>
        <w:t>Angela Miller, PhD, MSPH</w:t>
      </w:r>
    </w:p>
    <w:p w14:paraId="252069E5" w14:textId="77777777" w:rsidR="00A8416D" w:rsidRDefault="00A8416D" w:rsidP="00A8416D">
      <w:pPr>
        <w:ind w:left="360"/>
        <w:rPr>
          <w:rFonts w:ascii="Arial" w:hAnsi="Arial" w:cs="Arial"/>
          <w:sz w:val="24"/>
        </w:rPr>
      </w:pPr>
      <w:r>
        <w:rPr>
          <w:rFonts w:ascii="Arial" w:hAnsi="Arial" w:cs="Arial"/>
          <w:sz w:val="24"/>
        </w:rPr>
        <w:t>Co-Chair, ASTHVI Data Committee</w:t>
      </w:r>
    </w:p>
    <w:p w14:paraId="678B2DF0" w14:textId="77777777" w:rsidR="00A8416D" w:rsidRDefault="00A8416D" w:rsidP="00A8416D">
      <w:pPr>
        <w:ind w:left="360"/>
        <w:rPr>
          <w:rFonts w:ascii="Arial" w:hAnsi="Arial" w:cs="Arial"/>
          <w:sz w:val="24"/>
        </w:rPr>
      </w:pPr>
      <w:r>
        <w:rPr>
          <w:rFonts w:ascii="Arial" w:hAnsi="Arial" w:cs="Arial"/>
          <w:sz w:val="24"/>
        </w:rPr>
        <w:t>Epidemiologist 2</w:t>
      </w:r>
    </w:p>
    <w:p w14:paraId="616E2F6B" w14:textId="77777777" w:rsidR="00A8416D" w:rsidRDefault="00A8416D" w:rsidP="00A8416D">
      <w:pPr>
        <w:ind w:left="360"/>
        <w:rPr>
          <w:rFonts w:ascii="Arial" w:hAnsi="Arial" w:cs="Arial"/>
          <w:sz w:val="24"/>
        </w:rPr>
      </w:pPr>
      <w:r>
        <w:rPr>
          <w:rFonts w:ascii="Arial" w:hAnsi="Arial" w:cs="Arial"/>
          <w:sz w:val="24"/>
        </w:rPr>
        <w:t>Division of Family Health and Wellness</w:t>
      </w:r>
    </w:p>
    <w:p w14:paraId="5B1E16E7" w14:textId="77777777" w:rsidR="00A8416D" w:rsidRDefault="00A8416D" w:rsidP="00A8416D">
      <w:pPr>
        <w:ind w:left="360"/>
        <w:rPr>
          <w:rFonts w:ascii="Arial" w:hAnsi="Arial" w:cs="Arial"/>
          <w:sz w:val="24"/>
        </w:rPr>
      </w:pPr>
      <w:r>
        <w:rPr>
          <w:rFonts w:ascii="Arial" w:hAnsi="Arial" w:cs="Arial"/>
          <w:sz w:val="24"/>
        </w:rPr>
        <w:t>Tennessee Department of Health</w:t>
      </w:r>
    </w:p>
    <w:p w14:paraId="2C617F80" w14:textId="77777777" w:rsidR="00A8416D" w:rsidRDefault="00B1340F" w:rsidP="00A8416D">
      <w:pPr>
        <w:ind w:left="360"/>
        <w:rPr>
          <w:rFonts w:ascii="Arial" w:hAnsi="Arial" w:cs="Arial"/>
          <w:sz w:val="24"/>
        </w:rPr>
      </w:pPr>
      <w:hyperlink r:id="rId9" w:history="1">
        <w:r w:rsidR="00A8416D" w:rsidRPr="009131A3">
          <w:rPr>
            <w:rStyle w:val="Hyperlink"/>
            <w:rFonts w:ascii="Arial" w:hAnsi="Arial" w:cs="Arial"/>
            <w:sz w:val="24"/>
          </w:rPr>
          <w:t>Angela.m.miller@tn.gov</w:t>
        </w:r>
      </w:hyperlink>
    </w:p>
    <w:p w14:paraId="33651456" w14:textId="77777777" w:rsidR="00A8416D" w:rsidRDefault="00A8416D" w:rsidP="00A8416D">
      <w:pPr>
        <w:ind w:left="360"/>
        <w:rPr>
          <w:rFonts w:ascii="Arial" w:hAnsi="Arial" w:cs="Arial"/>
          <w:sz w:val="24"/>
        </w:rPr>
      </w:pPr>
      <w:r>
        <w:rPr>
          <w:rFonts w:ascii="Arial" w:hAnsi="Arial" w:cs="Arial"/>
          <w:sz w:val="24"/>
        </w:rPr>
        <w:t>615-253-2655</w:t>
      </w:r>
    </w:p>
    <w:p w14:paraId="47CA01FB" w14:textId="77777777" w:rsidR="00A8416D" w:rsidRDefault="00A8416D" w:rsidP="00A8416D">
      <w:pPr>
        <w:ind w:left="360"/>
        <w:rPr>
          <w:rFonts w:ascii="Arial" w:hAnsi="Arial" w:cs="Arial"/>
          <w:sz w:val="24"/>
        </w:rPr>
      </w:pPr>
    </w:p>
    <w:p w14:paraId="2BBAD2C0" w14:textId="77777777" w:rsidR="00A8416D" w:rsidRDefault="00A8416D" w:rsidP="00A8416D">
      <w:pPr>
        <w:ind w:left="360"/>
        <w:rPr>
          <w:rFonts w:ascii="Arial" w:hAnsi="Arial" w:cs="Arial"/>
          <w:sz w:val="24"/>
        </w:rPr>
      </w:pPr>
      <w:r>
        <w:rPr>
          <w:rFonts w:ascii="Arial" w:hAnsi="Arial" w:cs="Arial"/>
          <w:sz w:val="24"/>
        </w:rPr>
        <w:t>Leslie Schwartz</w:t>
      </w:r>
    </w:p>
    <w:p w14:paraId="3933DE0D" w14:textId="77777777" w:rsidR="00A8416D" w:rsidRDefault="00A8416D" w:rsidP="00A8416D">
      <w:pPr>
        <w:ind w:left="360"/>
        <w:rPr>
          <w:rFonts w:ascii="Arial" w:hAnsi="Arial" w:cs="Arial"/>
          <w:sz w:val="24"/>
        </w:rPr>
      </w:pPr>
      <w:r>
        <w:rPr>
          <w:rFonts w:ascii="Arial" w:hAnsi="Arial" w:cs="Arial"/>
          <w:sz w:val="24"/>
        </w:rPr>
        <w:t>Co-Chair, ASTHVI Data Committee</w:t>
      </w:r>
    </w:p>
    <w:p w14:paraId="15DA6B72" w14:textId="77777777" w:rsidR="00A8416D" w:rsidRDefault="00A8416D" w:rsidP="00A8416D">
      <w:pPr>
        <w:ind w:left="360"/>
        <w:rPr>
          <w:rFonts w:ascii="Arial" w:hAnsi="Arial" w:cs="Arial"/>
          <w:sz w:val="24"/>
        </w:rPr>
      </w:pPr>
      <w:r>
        <w:rPr>
          <w:rFonts w:ascii="Arial" w:hAnsi="Arial" w:cs="Arial"/>
          <w:sz w:val="24"/>
        </w:rPr>
        <w:t>Program Director/Manager of Program Evaluation</w:t>
      </w:r>
    </w:p>
    <w:p w14:paraId="7758BC44" w14:textId="77777777" w:rsidR="00A8416D" w:rsidRDefault="00A8416D" w:rsidP="00A8416D">
      <w:pPr>
        <w:ind w:left="360"/>
        <w:rPr>
          <w:rFonts w:ascii="Arial" w:hAnsi="Arial" w:cs="Arial"/>
          <w:sz w:val="24"/>
        </w:rPr>
      </w:pPr>
      <w:r>
        <w:rPr>
          <w:rFonts w:ascii="Arial" w:hAnsi="Arial" w:cs="Arial"/>
          <w:sz w:val="24"/>
        </w:rPr>
        <w:t>Illinois Governor’s Office of Early Childhood Development</w:t>
      </w:r>
    </w:p>
    <w:p w14:paraId="223B8453" w14:textId="77777777" w:rsidR="00A8416D" w:rsidRDefault="00B1340F" w:rsidP="00A8416D">
      <w:pPr>
        <w:ind w:left="360"/>
        <w:rPr>
          <w:rFonts w:ascii="Arial" w:hAnsi="Arial" w:cs="Arial"/>
          <w:sz w:val="24"/>
        </w:rPr>
      </w:pPr>
      <w:hyperlink r:id="rId10" w:history="1">
        <w:r w:rsidR="00A8416D" w:rsidRPr="009131A3">
          <w:rPr>
            <w:rStyle w:val="Hyperlink"/>
            <w:rFonts w:ascii="Arial" w:hAnsi="Arial" w:cs="Arial"/>
            <w:sz w:val="24"/>
          </w:rPr>
          <w:t>Lesley.schwartz@illinois.gov</w:t>
        </w:r>
      </w:hyperlink>
    </w:p>
    <w:p w14:paraId="6050354C" w14:textId="77777777" w:rsidR="00A8416D" w:rsidRDefault="00A8416D" w:rsidP="00A8416D">
      <w:pPr>
        <w:ind w:left="360"/>
        <w:rPr>
          <w:rFonts w:ascii="Arial" w:hAnsi="Arial" w:cs="Arial"/>
          <w:sz w:val="24"/>
        </w:rPr>
      </w:pPr>
      <w:r>
        <w:rPr>
          <w:rFonts w:ascii="Arial" w:hAnsi="Arial" w:cs="Arial"/>
          <w:sz w:val="24"/>
        </w:rPr>
        <w:t>312-814-6379</w:t>
      </w:r>
    </w:p>
    <w:p w14:paraId="001999F4" w14:textId="77777777" w:rsidR="00A8416D" w:rsidRDefault="00A8416D" w:rsidP="00A8416D">
      <w:pPr>
        <w:ind w:left="360"/>
        <w:rPr>
          <w:rFonts w:ascii="Arial" w:hAnsi="Arial" w:cs="Arial"/>
          <w:sz w:val="24"/>
        </w:rPr>
      </w:pPr>
    </w:p>
    <w:p w14:paraId="7133C3FC" w14:textId="77777777" w:rsidR="00A8416D" w:rsidRDefault="00A8416D" w:rsidP="00A8416D">
      <w:pPr>
        <w:ind w:left="360"/>
        <w:rPr>
          <w:rFonts w:ascii="Arial" w:hAnsi="Arial" w:cs="Arial"/>
          <w:sz w:val="24"/>
        </w:rPr>
      </w:pPr>
      <w:r>
        <w:rPr>
          <w:rFonts w:ascii="Arial" w:hAnsi="Arial" w:cs="Arial"/>
          <w:sz w:val="24"/>
        </w:rPr>
        <w:t xml:space="preserve">Kerry Caverly </w:t>
      </w:r>
    </w:p>
    <w:p w14:paraId="69F28A0A" w14:textId="77777777" w:rsidR="00A8416D" w:rsidRDefault="00A8416D" w:rsidP="00A8416D">
      <w:pPr>
        <w:ind w:left="360"/>
        <w:rPr>
          <w:rFonts w:ascii="Arial" w:hAnsi="Arial" w:cs="Arial"/>
          <w:sz w:val="24"/>
        </w:rPr>
      </w:pPr>
      <w:r>
        <w:rPr>
          <w:rFonts w:ascii="Arial" w:hAnsi="Arial" w:cs="Arial"/>
          <w:sz w:val="24"/>
        </w:rPr>
        <w:t>Vice President, Program Implementation and Support</w:t>
      </w:r>
    </w:p>
    <w:p w14:paraId="18A6940D" w14:textId="77777777" w:rsidR="00A8416D" w:rsidRDefault="00A8416D" w:rsidP="00A8416D">
      <w:pPr>
        <w:ind w:left="360"/>
        <w:rPr>
          <w:rFonts w:ascii="Arial" w:hAnsi="Arial" w:cs="Arial"/>
          <w:sz w:val="24"/>
        </w:rPr>
      </w:pPr>
      <w:r>
        <w:rPr>
          <w:rFonts w:ascii="Arial" w:hAnsi="Arial" w:cs="Arial"/>
          <w:sz w:val="24"/>
        </w:rPr>
        <w:t>Parents as Teachers</w:t>
      </w:r>
    </w:p>
    <w:p w14:paraId="498A7836" w14:textId="77777777" w:rsidR="00A8416D" w:rsidRDefault="00B1340F" w:rsidP="00A8416D">
      <w:pPr>
        <w:ind w:left="360"/>
        <w:rPr>
          <w:rFonts w:ascii="Arial" w:hAnsi="Arial" w:cs="Arial"/>
          <w:sz w:val="24"/>
        </w:rPr>
      </w:pPr>
      <w:hyperlink r:id="rId11" w:history="1">
        <w:r w:rsidR="00A8416D" w:rsidRPr="0097228C">
          <w:rPr>
            <w:rStyle w:val="Hyperlink"/>
            <w:rFonts w:ascii="Arial" w:hAnsi="Arial" w:cs="Arial"/>
            <w:sz w:val="24"/>
          </w:rPr>
          <w:t>Kerry.Caverly@parentsasteachers.org</w:t>
        </w:r>
      </w:hyperlink>
    </w:p>
    <w:p w14:paraId="60328003" w14:textId="77777777" w:rsidR="00A8416D" w:rsidRDefault="00A8416D" w:rsidP="00A8416D">
      <w:pPr>
        <w:ind w:left="360"/>
        <w:rPr>
          <w:rFonts w:ascii="Arial" w:hAnsi="Arial" w:cs="Arial"/>
          <w:sz w:val="24"/>
        </w:rPr>
      </w:pPr>
      <w:r>
        <w:rPr>
          <w:rFonts w:ascii="Arial" w:hAnsi="Arial" w:cs="Arial"/>
          <w:sz w:val="24"/>
        </w:rPr>
        <w:t>301-432-4330</w:t>
      </w:r>
    </w:p>
    <w:p w14:paraId="30D715FB"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14:paraId="46730B6F" w14:textId="77777777" w:rsidR="00935E77" w:rsidRPr="009168C6" w:rsidRDefault="00935E77" w:rsidP="00E42D2B">
      <w:pPr>
        <w:spacing w:before="120"/>
        <w:ind w:left="360"/>
        <w:rPr>
          <w:rFonts w:ascii="Arial" w:hAnsi="Arial" w:cs="Arial"/>
          <w:sz w:val="24"/>
        </w:rPr>
      </w:pPr>
      <w:r w:rsidRPr="009168C6">
        <w:rPr>
          <w:rFonts w:ascii="Arial" w:hAnsi="Arial" w:cs="Arial"/>
          <w:sz w:val="24"/>
        </w:rPr>
        <w:t xml:space="preserve">Respondents will not receive </w:t>
      </w:r>
      <w:r w:rsidR="008B04CA" w:rsidRPr="009168C6">
        <w:rPr>
          <w:rFonts w:ascii="Arial" w:hAnsi="Arial" w:cs="Arial"/>
          <w:sz w:val="24"/>
        </w:rPr>
        <w:t xml:space="preserve">any </w:t>
      </w:r>
      <w:r w:rsidRPr="009168C6">
        <w:rPr>
          <w:rFonts w:ascii="Arial" w:hAnsi="Arial" w:cs="Arial"/>
          <w:sz w:val="24"/>
        </w:rPr>
        <w:t>payment</w:t>
      </w:r>
      <w:r w:rsidR="008B04CA" w:rsidRPr="009168C6">
        <w:rPr>
          <w:rFonts w:ascii="Arial" w:hAnsi="Arial" w:cs="Arial"/>
          <w:sz w:val="24"/>
        </w:rPr>
        <w:t>s</w:t>
      </w:r>
      <w:r w:rsidRPr="009168C6">
        <w:rPr>
          <w:rFonts w:ascii="Arial" w:hAnsi="Arial" w:cs="Arial"/>
          <w:sz w:val="24"/>
        </w:rPr>
        <w:t xml:space="preserve"> or gifts.</w:t>
      </w:r>
    </w:p>
    <w:p w14:paraId="468A8594"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Assurance of Confidentiality Provided to Respondents</w:t>
      </w:r>
    </w:p>
    <w:p w14:paraId="4B3359F4" w14:textId="6BAA36C5" w:rsidR="009168C6" w:rsidRDefault="009168C6" w:rsidP="009168C6">
      <w:pPr>
        <w:spacing w:before="240"/>
        <w:ind w:left="360"/>
        <w:rPr>
          <w:rFonts w:ascii="Arial" w:hAnsi="Arial" w:cs="Arial"/>
          <w:sz w:val="24"/>
        </w:rPr>
      </w:pPr>
      <w:r>
        <w:rPr>
          <w:rFonts w:ascii="Arial" w:hAnsi="Arial" w:cs="Arial"/>
          <w:sz w:val="24"/>
        </w:rPr>
        <w:t>No personally identifiable information (PII) is being collected through this information collection request.  All data will be reported in aggregate by the grantee.  This project does not require IRB approval.</w:t>
      </w:r>
    </w:p>
    <w:p w14:paraId="0C0EC1A8" w14:textId="77777777" w:rsidR="009B3794" w:rsidRPr="009168C6"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14:paraId="2D27FF9B" w14:textId="5573F309" w:rsidR="009168C6" w:rsidRDefault="009168C6" w:rsidP="009168C6">
      <w:pPr>
        <w:spacing w:before="240"/>
        <w:ind w:left="360"/>
        <w:rPr>
          <w:rFonts w:ascii="Arial" w:hAnsi="Arial" w:cs="Arial"/>
          <w:sz w:val="24"/>
        </w:rPr>
      </w:pPr>
      <w:r>
        <w:rPr>
          <w:rFonts w:ascii="Arial" w:hAnsi="Arial" w:cs="Arial"/>
          <w:sz w:val="24"/>
        </w:rPr>
        <w:t>No questions of a sensitive nature will be asked of respondents.</w:t>
      </w:r>
    </w:p>
    <w:p w14:paraId="1D8E9436" w14:textId="77777777" w:rsidR="00E04076" w:rsidRDefault="00E04076">
      <w:pPr>
        <w:widowControl/>
        <w:autoSpaceDE/>
        <w:autoSpaceDN/>
        <w:adjustRightInd/>
        <w:rPr>
          <w:rFonts w:ascii="Arial" w:hAnsi="Arial" w:cs="Arial"/>
          <w:b/>
          <w:sz w:val="24"/>
          <w:u w:val="single"/>
        </w:rPr>
      </w:pPr>
      <w:r>
        <w:rPr>
          <w:rFonts w:ascii="Arial" w:hAnsi="Arial" w:cs="Arial"/>
          <w:b/>
          <w:sz w:val="24"/>
          <w:u w:val="single"/>
        </w:rPr>
        <w:br w:type="page"/>
      </w:r>
    </w:p>
    <w:p w14:paraId="7285B246" w14:textId="5FCEDA03" w:rsidR="009B3794" w:rsidRPr="00C45431" w:rsidRDefault="009B3794" w:rsidP="00CA3DA6">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 xml:space="preserve">Estimates of Annualized Hour and Cost Burden  </w:t>
      </w:r>
    </w:p>
    <w:p w14:paraId="0E1526E3" w14:textId="77777777" w:rsidR="009B3794" w:rsidRPr="00C45431" w:rsidRDefault="009B3794" w:rsidP="00CA3DA6">
      <w:pPr>
        <w:widowControl/>
        <w:tabs>
          <w:tab w:val="num" w:pos="720"/>
        </w:tabs>
        <w:spacing w:before="120"/>
        <w:rPr>
          <w:rFonts w:ascii="Arial" w:hAnsi="Arial" w:cs="Arial"/>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tbl>
      <w:tblPr>
        <w:tblpPr w:leftFromText="180" w:rightFromText="180" w:vertAnchor="text" w:horzAnchor="margin" w:tblpXSpec="center" w:tblpY="3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1530"/>
        <w:gridCol w:w="1440"/>
        <w:gridCol w:w="1350"/>
        <w:gridCol w:w="1350"/>
        <w:gridCol w:w="1260"/>
        <w:gridCol w:w="990"/>
      </w:tblGrid>
      <w:tr w:rsidR="00217DAC" w:rsidRPr="00C45431" w14:paraId="556CF3FC" w14:textId="77777777" w:rsidTr="00AA7AFF">
        <w:trPr>
          <w:trHeight w:val="2189"/>
        </w:trPr>
        <w:tc>
          <w:tcPr>
            <w:tcW w:w="1345" w:type="dxa"/>
          </w:tcPr>
          <w:p w14:paraId="5C8184E4"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Type of</w:t>
            </w:r>
          </w:p>
          <w:p w14:paraId="6FD40208"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Respondent</w:t>
            </w:r>
          </w:p>
          <w:p w14:paraId="335ED9A1" w14:textId="77777777" w:rsidR="00217DAC" w:rsidRPr="0089532E" w:rsidRDefault="00217DAC" w:rsidP="00217DAC">
            <w:pPr>
              <w:widowControl/>
              <w:tabs>
                <w:tab w:val="num" w:pos="1080"/>
              </w:tabs>
              <w:spacing w:before="120"/>
              <w:rPr>
                <w:rFonts w:ascii="Arial" w:hAnsi="Arial" w:cs="Arial"/>
                <w:bCs/>
                <w:szCs w:val="20"/>
              </w:rPr>
            </w:pPr>
          </w:p>
        </w:tc>
        <w:tc>
          <w:tcPr>
            <w:tcW w:w="1530" w:type="dxa"/>
          </w:tcPr>
          <w:p w14:paraId="58CFBE8B"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Form</w:t>
            </w:r>
          </w:p>
          <w:p w14:paraId="34CDB828"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Name</w:t>
            </w:r>
          </w:p>
          <w:p w14:paraId="531EB251" w14:textId="77777777" w:rsidR="00217DAC" w:rsidRPr="0089532E" w:rsidRDefault="00217DAC" w:rsidP="00217DAC">
            <w:pPr>
              <w:widowControl/>
              <w:tabs>
                <w:tab w:val="num" w:pos="1080"/>
              </w:tabs>
              <w:spacing w:before="120"/>
              <w:rPr>
                <w:rFonts w:ascii="Arial" w:hAnsi="Arial" w:cs="Arial"/>
                <w:bCs/>
                <w:szCs w:val="20"/>
              </w:rPr>
            </w:pPr>
          </w:p>
        </w:tc>
        <w:tc>
          <w:tcPr>
            <w:tcW w:w="1440" w:type="dxa"/>
          </w:tcPr>
          <w:p w14:paraId="5BABBAD2"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No. of</w:t>
            </w:r>
          </w:p>
          <w:p w14:paraId="662AEB9E"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Respondents</w:t>
            </w:r>
          </w:p>
        </w:tc>
        <w:tc>
          <w:tcPr>
            <w:tcW w:w="1350" w:type="dxa"/>
          </w:tcPr>
          <w:p w14:paraId="179E0ABB" w14:textId="437105F1"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No.</w:t>
            </w:r>
          </w:p>
          <w:p w14:paraId="250E64DA"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Responses</w:t>
            </w:r>
          </w:p>
          <w:p w14:paraId="343FCC86"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per</w:t>
            </w:r>
          </w:p>
          <w:p w14:paraId="0E95F58B"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Respondent</w:t>
            </w:r>
          </w:p>
        </w:tc>
        <w:tc>
          <w:tcPr>
            <w:tcW w:w="1350" w:type="dxa"/>
          </w:tcPr>
          <w:p w14:paraId="0905B59D" w14:textId="5517AB8A"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Total Responses</w:t>
            </w:r>
          </w:p>
        </w:tc>
        <w:tc>
          <w:tcPr>
            <w:tcW w:w="1260" w:type="dxa"/>
          </w:tcPr>
          <w:p w14:paraId="29F98633" w14:textId="5329E1A9"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Average</w:t>
            </w:r>
          </w:p>
          <w:p w14:paraId="649E2EE9"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Burden per</w:t>
            </w:r>
          </w:p>
          <w:p w14:paraId="237A9F6D"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Response</w:t>
            </w:r>
          </w:p>
          <w:p w14:paraId="3242D8F6"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(in hours)</w:t>
            </w:r>
          </w:p>
        </w:tc>
        <w:tc>
          <w:tcPr>
            <w:tcW w:w="990" w:type="dxa"/>
          </w:tcPr>
          <w:p w14:paraId="498A3054" w14:textId="77777777" w:rsidR="00217DAC" w:rsidRPr="0089532E" w:rsidRDefault="00217DAC" w:rsidP="00217DAC">
            <w:pPr>
              <w:widowControl/>
              <w:tabs>
                <w:tab w:val="num" w:pos="1080"/>
              </w:tabs>
              <w:spacing w:before="120"/>
              <w:rPr>
                <w:rFonts w:ascii="Arial" w:hAnsi="Arial" w:cs="Arial"/>
                <w:bCs/>
                <w:szCs w:val="20"/>
              </w:rPr>
            </w:pPr>
            <w:r w:rsidRPr="0089532E">
              <w:rPr>
                <w:rFonts w:ascii="Arial" w:hAnsi="Arial" w:cs="Arial"/>
                <w:bCs/>
                <w:szCs w:val="20"/>
              </w:rPr>
              <w:t>Total Burden Hours</w:t>
            </w:r>
          </w:p>
        </w:tc>
      </w:tr>
      <w:tr w:rsidR="00217DAC" w:rsidRPr="00C45431" w14:paraId="7886D4AF" w14:textId="77777777" w:rsidTr="00AA7AFF">
        <w:trPr>
          <w:trHeight w:val="679"/>
        </w:trPr>
        <w:tc>
          <w:tcPr>
            <w:tcW w:w="1345" w:type="dxa"/>
          </w:tcPr>
          <w:p w14:paraId="4FD8F2D9" w14:textId="436ECE1A" w:rsidR="00217DAC" w:rsidRPr="009403CD" w:rsidRDefault="00217DAC" w:rsidP="00217DAC">
            <w:pPr>
              <w:widowControl/>
              <w:tabs>
                <w:tab w:val="num" w:pos="1080"/>
              </w:tabs>
              <w:spacing w:before="120"/>
              <w:rPr>
                <w:rFonts w:ascii="Arial" w:hAnsi="Arial" w:cs="Arial"/>
                <w:bCs/>
                <w:sz w:val="22"/>
                <w:szCs w:val="22"/>
              </w:rPr>
            </w:pPr>
            <w:r w:rsidRPr="009403CD">
              <w:rPr>
                <w:rFonts w:ascii="Arial" w:hAnsi="Arial" w:cs="Arial"/>
                <w:bCs/>
                <w:sz w:val="22"/>
                <w:szCs w:val="22"/>
              </w:rPr>
              <w:t>MIECHV Awardees</w:t>
            </w:r>
          </w:p>
          <w:p w14:paraId="50E942AD" w14:textId="77777777" w:rsidR="00217DAC" w:rsidRPr="009403CD" w:rsidRDefault="00217DAC" w:rsidP="00217DAC">
            <w:pPr>
              <w:widowControl/>
              <w:tabs>
                <w:tab w:val="num" w:pos="1080"/>
              </w:tabs>
              <w:spacing w:before="120"/>
              <w:rPr>
                <w:rFonts w:ascii="Arial" w:hAnsi="Arial" w:cs="Arial"/>
                <w:bCs/>
                <w:sz w:val="22"/>
                <w:szCs w:val="22"/>
              </w:rPr>
            </w:pPr>
          </w:p>
        </w:tc>
        <w:tc>
          <w:tcPr>
            <w:tcW w:w="1530" w:type="dxa"/>
          </w:tcPr>
          <w:p w14:paraId="1FAFCA81" w14:textId="37A98933"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Form 4: Section A - Quarterly Performance Report</w:t>
            </w:r>
          </w:p>
        </w:tc>
        <w:tc>
          <w:tcPr>
            <w:tcW w:w="1440" w:type="dxa"/>
          </w:tcPr>
          <w:p w14:paraId="35F880AB" w14:textId="653C4E3A"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56</w:t>
            </w:r>
          </w:p>
        </w:tc>
        <w:tc>
          <w:tcPr>
            <w:tcW w:w="1350" w:type="dxa"/>
          </w:tcPr>
          <w:p w14:paraId="196CF6BE" w14:textId="5D6B339D"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4</w:t>
            </w:r>
          </w:p>
        </w:tc>
        <w:tc>
          <w:tcPr>
            <w:tcW w:w="1350" w:type="dxa"/>
          </w:tcPr>
          <w:p w14:paraId="2CEBB249" w14:textId="081CBEA7"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sz w:val="22"/>
                <w:szCs w:val="22"/>
              </w:rPr>
              <w:t>224</w:t>
            </w:r>
          </w:p>
        </w:tc>
        <w:tc>
          <w:tcPr>
            <w:tcW w:w="1260" w:type="dxa"/>
          </w:tcPr>
          <w:p w14:paraId="0442899B" w14:textId="3A5B7D8E"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24</w:t>
            </w:r>
          </w:p>
        </w:tc>
        <w:tc>
          <w:tcPr>
            <w:tcW w:w="990" w:type="dxa"/>
          </w:tcPr>
          <w:p w14:paraId="07A5A3BA" w14:textId="2D57911A"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5,376</w:t>
            </w:r>
          </w:p>
        </w:tc>
      </w:tr>
      <w:tr w:rsidR="00217DAC" w:rsidRPr="00C45431" w14:paraId="5DF65F69" w14:textId="77777777" w:rsidTr="00AA7AFF">
        <w:trPr>
          <w:trHeight w:val="800"/>
        </w:trPr>
        <w:tc>
          <w:tcPr>
            <w:tcW w:w="1345" w:type="dxa"/>
          </w:tcPr>
          <w:p w14:paraId="679A2DAA" w14:textId="4AD0B9B5" w:rsidR="00217DAC" w:rsidRPr="009403CD" w:rsidRDefault="00217DAC" w:rsidP="00217DAC">
            <w:pPr>
              <w:widowControl/>
              <w:tabs>
                <w:tab w:val="num" w:pos="1080"/>
              </w:tabs>
              <w:spacing w:before="120"/>
              <w:rPr>
                <w:rFonts w:ascii="Arial" w:hAnsi="Arial" w:cs="Arial"/>
                <w:bCs/>
                <w:sz w:val="22"/>
                <w:szCs w:val="22"/>
              </w:rPr>
            </w:pPr>
            <w:r w:rsidRPr="009403CD">
              <w:rPr>
                <w:rFonts w:ascii="Arial" w:hAnsi="Arial" w:cs="Arial"/>
                <w:bCs/>
                <w:sz w:val="22"/>
                <w:szCs w:val="22"/>
              </w:rPr>
              <w:t>MIECHV Awardees</w:t>
            </w:r>
          </w:p>
          <w:p w14:paraId="20D6C8C6" w14:textId="77777777" w:rsidR="00217DAC" w:rsidRPr="009403CD" w:rsidRDefault="00217DAC" w:rsidP="00217DAC">
            <w:pPr>
              <w:widowControl/>
              <w:tabs>
                <w:tab w:val="num" w:pos="1080"/>
              </w:tabs>
              <w:spacing w:before="120"/>
              <w:rPr>
                <w:rFonts w:ascii="Arial" w:hAnsi="Arial" w:cs="Arial"/>
                <w:bCs/>
                <w:sz w:val="22"/>
                <w:szCs w:val="22"/>
              </w:rPr>
            </w:pPr>
          </w:p>
        </w:tc>
        <w:tc>
          <w:tcPr>
            <w:tcW w:w="1530" w:type="dxa"/>
          </w:tcPr>
          <w:p w14:paraId="6AE10AA0" w14:textId="1687EEFD"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Form 4: Section B - Benchmark Performance Measures</w:t>
            </w:r>
          </w:p>
        </w:tc>
        <w:tc>
          <w:tcPr>
            <w:tcW w:w="1440" w:type="dxa"/>
          </w:tcPr>
          <w:p w14:paraId="56618CE4" w14:textId="4F98ECAE"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10</w:t>
            </w:r>
            <w:r w:rsidRPr="009403CD">
              <w:rPr>
                <w:rStyle w:val="FootnoteReference"/>
                <w:rFonts w:ascii="Arial" w:hAnsi="Arial" w:cs="Arial"/>
                <w:sz w:val="22"/>
                <w:szCs w:val="22"/>
                <w:vertAlign w:val="superscript"/>
              </w:rPr>
              <w:footnoteReference w:id="1"/>
            </w:r>
          </w:p>
        </w:tc>
        <w:tc>
          <w:tcPr>
            <w:tcW w:w="1350" w:type="dxa"/>
          </w:tcPr>
          <w:p w14:paraId="7766EEE7" w14:textId="6BD8871E"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4</w:t>
            </w:r>
          </w:p>
        </w:tc>
        <w:tc>
          <w:tcPr>
            <w:tcW w:w="1350" w:type="dxa"/>
          </w:tcPr>
          <w:p w14:paraId="0E6D9388" w14:textId="51CAC743"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sz w:val="22"/>
                <w:szCs w:val="22"/>
              </w:rPr>
              <w:t>40</w:t>
            </w:r>
          </w:p>
        </w:tc>
        <w:tc>
          <w:tcPr>
            <w:tcW w:w="1260" w:type="dxa"/>
          </w:tcPr>
          <w:p w14:paraId="42E7F939" w14:textId="2456EE00" w:rsidR="00217DAC" w:rsidRPr="009403CD" w:rsidRDefault="00217DAC" w:rsidP="00217DAC">
            <w:pPr>
              <w:widowControl/>
              <w:tabs>
                <w:tab w:val="num" w:pos="1080"/>
              </w:tabs>
              <w:spacing w:before="120"/>
              <w:rPr>
                <w:rFonts w:ascii="Arial" w:hAnsi="Arial" w:cs="Arial"/>
                <w:b/>
                <w:bCs/>
                <w:sz w:val="22"/>
                <w:szCs w:val="22"/>
              </w:rPr>
            </w:pPr>
            <w:r w:rsidRPr="009403CD">
              <w:rPr>
                <w:rFonts w:ascii="Arial" w:hAnsi="Arial" w:cs="Arial"/>
                <w:sz w:val="22"/>
                <w:szCs w:val="22"/>
              </w:rPr>
              <w:t>200</w:t>
            </w:r>
          </w:p>
        </w:tc>
        <w:tc>
          <w:tcPr>
            <w:tcW w:w="990" w:type="dxa"/>
          </w:tcPr>
          <w:p w14:paraId="5850C95C" w14:textId="6FF592AC"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sz w:val="22"/>
                <w:szCs w:val="22"/>
              </w:rPr>
              <w:t>8,000</w:t>
            </w:r>
          </w:p>
          <w:p w14:paraId="2E49BD78" w14:textId="77777777" w:rsidR="00217DAC" w:rsidRPr="009403CD" w:rsidRDefault="00217DAC" w:rsidP="00217DAC">
            <w:pPr>
              <w:widowControl/>
              <w:tabs>
                <w:tab w:val="num" w:pos="1080"/>
              </w:tabs>
              <w:spacing w:before="120"/>
              <w:rPr>
                <w:rFonts w:ascii="Arial" w:hAnsi="Arial" w:cs="Arial"/>
                <w:b/>
                <w:bCs/>
                <w:sz w:val="22"/>
                <w:szCs w:val="22"/>
              </w:rPr>
            </w:pPr>
          </w:p>
        </w:tc>
      </w:tr>
      <w:tr w:rsidR="00217DAC" w:rsidRPr="00C45431" w14:paraId="00194FF0" w14:textId="77777777" w:rsidTr="00AA7AFF">
        <w:trPr>
          <w:trHeight w:val="815"/>
        </w:trPr>
        <w:tc>
          <w:tcPr>
            <w:tcW w:w="1345" w:type="dxa"/>
          </w:tcPr>
          <w:p w14:paraId="4FB72F89" w14:textId="77777777" w:rsidR="00217DAC" w:rsidRPr="009403CD" w:rsidRDefault="00217DAC" w:rsidP="00217DAC">
            <w:pPr>
              <w:widowControl/>
              <w:tabs>
                <w:tab w:val="num" w:pos="1080"/>
              </w:tabs>
              <w:spacing w:before="120"/>
              <w:rPr>
                <w:rFonts w:ascii="Arial" w:hAnsi="Arial" w:cs="Arial"/>
                <w:bCs/>
                <w:sz w:val="22"/>
                <w:szCs w:val="22"/>
              </w:rPr>
            </w:pPr>
            <w:r w:rsidRPr="009403CD">
              <w:rPr>
                <w:rFonts w:ascii="Arial" w:hAnsi="Arial" w:cs="Arial"/>
                <w:bCs/>
                <w:sz w:val="22"/>
                <w:szCs w:val="22"/>
              </w:rPr>
              <w:t>Total</w:t>
            </w:r>
          </w:p>
        </w:tc>
        <w:tc>
          <w:tcPr>
            <w:tcW w:w="1530" w:type="dxa"/>
          </w:tcPr>
          <w:p w14:paraId="41A7864B" w14:textId="77777777" w:rsidR="00217DAC" w:rsidRPr="009403CD" w:rsidRDefault="00217DAC" w:rsidP="00217DAC">
            <w:pPr>
              <w:widowControl/>
              <w:tabs>
                <w:tab w:val="num" w:pos="1080"/>
              </w:tabs>
              <w:spacing w:before="120"/>
              <w:rPr>
                <w:rFonts w:ascii="Arial" w:hAnsi="Arial" w:cs="Arial"/>
                <w:sz w:val="22"/>
                <w:szCs w:val="22"/>
              </w:rPr>
            </w:pPr>
          </w:p>
        </w:tc>
        <w:tc>
          <w:tcPr>
            <w:tcW w:w="1440" w:type="dxa"/>
          </w:tcPr>
          <w:p w14:paraId="52D7B7D2" w14:textId="30E0CA32"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sz w:val="22"/>
                <w:szCs w:val="22"/>
              </w:rPr>
              <w:t>56</w:t>
            </w:r>
            <w:r w:rsidR="009403CD" w:rsidRPr="009403CD">
              <w:rPr>
                <w:rFonts w:ascii="Arial" w:hAnsi="Arial" w:cs="Arial"/>
                <w:sz w:val="22"/>
                <w:szCs w:val="22"/>
                <w:vertAlign w:val="superscript"/>
              </w:rPr>
              <w:t>2</w:t>
            </w:r>
          </w:p>
        </w:tc>
        <w:tc>
          <w:tcPr>
            <w:tcW w:w="1350" w:type="dxa"/>
          </w:tcPr>
          <w:p w14:paraId="38B3E58E" w14:textId="48F8EFF4" w:rsidR="00217DAC" w:rsidRPr="009403CD" w:rsidRDefault="00217DAC" w:rsidP="00217DAC">
            <w:pPr>
              <w:widowControl/>
              <w:tabs>
                <w:tab w:val="num" w:pos="1080"/>
              </w:tabs>
              <w:spacing w:before="120"/>
              <w:rPr>
                <w:rFonts w:ascii="Arial" w:hAnsi="Arial" w:cs="Arial"/>
                <w:sz w:val="22"/>
                <w:szCs w:val="22"/>
              </w:rPr>
            </w:pPr>
          </w:p>
        </w:tc>
        <w:tc>
          <w:tcPr>
            <w:tcW w:w="1350" w:type="dxa"/>
          </w:tcPr>
          <w:p w14:paraId="4580E15C" w14:textId="6B4B30D3"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sz w:val="22"/>
                <w:szCs w:val="22"/>
              </w:rPr>
              <w:t>264</w:t>
            </w:r>
          </w:p>
        </w:tc>
        <w:tc>
          <w:tcPr>
            <w:tcW w:w="1260" w:type="dxa"/>
          </w:tcPr>
          <w:p w14:paraId="687A527F" w14:textId="1C1F1E25" w:rsidR="00217DAC" w:rsidRPr="009403CD" w:rsidRDefault="00217DAC" w:rsidP="00217DAC">
            <w:pPr>
              <w:widowControl/>
              <w:tabs>
                <w:tab w:val="num" w:pos="1080"/>
              </w:tabs>
              <w:spacing w:before="120"/>
              <w:rPr>
                <w:rFonts w:ascii="Arial" w:hAnsi="Arial" w:cs="Arial"/>
                <w:sz w:val="22"/>
                <w:szCs w:val="22"/>
              </w:rPr>
            </w:pPr>
          </w:p>
        </w:tc>
        <w:tc>
          <w:tcPr>
            <w:tcW w:w="990" w:type="dxa"/>
          </w:tcPr>
          <w:p w14:paraId="37BBD124" w14:textId="4714D8D7" w:rsidR="00217DAC" w:rsidRPr="009403CD" w:rsidRDefault="00217DAC" w:rsidP="00217DAC">
            <w:pPr>
              <w:widowControl/>
              <w:tabs>
                <w:tab w:val="num" w:pos="1080"/>
              </w:tabs>
              <w:spacing w:before="120"/>
              <w:rPr>
                <w:rFonts w:ascii="Arial" w:hAnsi="Arial" w:cs="Arial"/>
                <w:sz w:val="22"/>
                <w:szCs w:val="22"/>
              </w:rPr>
            </w:pPr>
            <w:r w:rsidRPr="009403CD">
              <w:rPr>
                <w:rFonts w:ascii="Arial" w:hAnsi="Arial" w:cs="Arial"/>
                <w:b/>
                <w:bCs/>
                <w:sz w:val="22"/>
                <w:szCs w:val="22"/>
              </w:rPr>
              <w:t>13,376</w:t>
            </w:r>
          </w:p>
          <w:p w14:paraId="3B532759" w14:textId="77777777" w:rsidR="00217DAC" w:rsidRPr="009403CD" w:rsidRDefault="00217DAC" w:rsidP="00217DAC">
            <w:pPr>
              <w:widowControl/>
              <w:tabs>
                <w:tab w:val="num" w:pos="1080"/>
              </w:tabs>
              <w:spacing w:before="120"/>
              <w:rPr>
                <w:rFonts w:ascii="Arial" w:hAnsi="Arial" w:cs="Arial"/>
                <w:sz w:val="22"/>
                <w:szCs w:val="22"/>
              </w:rPr>
            </w:pPr>
          </w:p>
        </w:tc>
      </w:tr>
    </w:tbl>
    <w:p w14:paraId="007E1DF0" w14:textId="1F9F4CD3" w:rsidR="009403CD" w:rsidRPr="003F1E48" w:rsidRDefault="009403CD" w:rsidP="003F1E48">
      <w:pPr>
        <w:rPr>
          <w:rFonts w:ascii="Arial" w:hAnsi="Arial" w:cs="Arial"/>
          <w:color w:val="000000"/>
          <w:sz w:val="18"/>
          <w:szCs w:val="18"/>
        </w:rPr>
      </w:pPr>
      <w:r w:rsidRPr="003F1E48">
        <w:rPr>
          <w:rFonts w:ascii="Arial" w:hAnsi="Arial" w:cs="Arial"/>
          <w:bCs/>
          <w:sz w:val="18"/>
          <w:szCs w:val="18"/>
          <w:vertAlign w:val="superscript"/>
        </w:rPr>
        <w:t>1</w:t>
      </w:r>
      <w:r w:rsidRPr="003F1E48">
        <w:rPr>
          <w:rFonts w:ascii="Arial" w:hAnsi="Arial" w:cs="Arial"/>
          <w:b/>
          <w:bCs/>
          <w:sz w:val="18"/>
          <w:szCs w:val="18"/>
        </w:rPr>
        <w:t xml:space="preserve">  </w:t>
      </w:r>
      <w:r w:rsidRPr="003F1E48">
        <w:rPr>
          <w:rFonts w:ascii="Arial" w:hAnsi="Arial" w:cs="Arial"/>
          <w:color w:val="000000"/>
          <w:sz w:val="18"/>
          <w:szCs w:val="18"/>
        </w:rPr>
        <w:t xml:space="preserve">HRSA currently estimates approximately 10 awardees may need </w:t>
      </w:r>
      <w:r w:rsidRPr="009403CD">
        <w:rPr>
          <w:rFonts w:ascii="Arial" w:hAnsi="Arial" w:cs="Arial"/>
          <w:color w:val="000000"/>
          <w:sz w:val="18"/>
          <w:szCs w:val="18"/>
        </w:rPr>
        <w:t xml:space="preserve">to report benchmark performance data on a quarterly basis based on the </w:t>
      </w:r>
      <w:r w:rsidR="00A37603" w:rsidRPr="009403CD">
        <w:rPr>
          <w:rFonts w:ascii="Arial" w:hAnsi="Arial" w:cs="Arial"/>
          <w:color w:val="000000"/>
          <w:sz w:val="18"/>
          <w:szCs w:val="18"/>
        </w:rPr>
        <w:t>statutorily required</w:t>
      </w:r>
      <w:r w:rsidRPr="009403CD">
        <w:rPr>
          <w:rFonts w:ascii="Arial" w:hAnsi="Arial" w:cs="Arial"/>
          <w:color w:val="000000"/>
          <w:sz w:val="18"/>
          <w:szCs w:val="18"/>
        </w:rPr>
        <w:t xml:space="preserve"> assessment of improvement.</w:t>
      </w:r>
    </w:p>
    <w:p w14:paraId="7BD3A205" w14:textId="0F3BEB0F" w:rsidR="009403CD" w:rsidRPr="009403CD" w:rsidRDefault="009403CD" w:rsidP="009403CD">
      <w:pPr>
        <w:widowControl/>
        <w:autoSpaceDE/>
        <w:autoSpaceDN/>
        <w:adjustRightInd/>
        <w:rPr>
          <w:rFonts w:ascii="Arial" w:hAnsi="Arial" w:cs="Arial"/>
          <w:color w:val="000000"/>
          <w:sz w:val="18"/>
          <w:szCs w:val="18"/>
        </w:rPr>
      </w:pPr>
      <w:r w:rsidRPr="003F1E48">
        <w:rPr>
          <w:rFonts w:ascii="Arial" w:hAnsi="Arial" w:cs="Arial"/>
          <w:color w:val="000000"/>
          <w:sz w:val="18"/>
          <w:szCs w:val="18"/>
          <w:vertAlign w:val="superscript"/>
        </w:rPr>
        <w:t>2</w:t>
      </w:r>
      <w:r w:rsidRPr="003F1E48">
        <w:rPr>
          <w:rFonts w:ascii="Arial" w:hAnsi="Arial" w:cs="Arial"/>
          <w:color w:val="000000"/>
          <w:sz w:val="18"/>
          <w:szCs w:val="18"/>
        </w:rPr>
        <w:t xml:space="preserve"> </w:t>
      </w:r>
      <w:r w:rsidRPr="009403CD">
        <w:rPr>
          <w:rFonts w:ascii="Arial" w:hAnsi="Arial" w:cs="Arial"/>
          <w:color w:val="000000"/>
          <w:sz w:val="18"/>
          <w:szCs w:val="18"/>
        </w:rPr>
        <w:t>The 10 responses for Section B are a sub-set of 56 total awardees funded through the MIECHV Program.</w:t>
      </w:r>
    </w:p>
    <w:p w14:paraId="00FB9ED1" w14:textId="77777777" w:rsidR="009403CD" w:rsidRPr="009403CD" w:rsidRDefault="009403CD" w:rsidP="009403CD">
      <w:pPr>
        <w:widowControl/>
        <w:autoSpaceDE/>
        <w:autoSpaceDN/>
        <w:adjustRightInd/>
        <w:rPr>
          <w:rFonts w:ascii="Consolas" w:hAnsi="Consolas"/>
          <w:color w:val="000000"/>
          <w:szCs w:val="20"/>
        </w:rPr>
      </w:pPr>
    </w:p>
    <w:p w14:paraId="669E92D2" w14:textId="7C7C9CBC" w:rsidR="00D92E1D" w:rsidRPr="00C45431" w:rsidRDefault="009B3794" w:rsidP="00CA3DA6">
      <w:pPr>
        <w:widowControl/>
        <w:spacing w:before="120"/>
        <w:rPr>
          <w:rFonts w:ascii="Arial" w:hAnsi="Arial" w:cs="Arial"/>
          <w:sz w:val="28"/>
          <w:szCs w:val="28"/>
        </w:rPr>
      </w:pPr>
      <w:r w:rsidRPr="00C45431">
        <w:rPr>
          <w:rFonts w:ascii="Arial" w:hAnsi="Arial" w:cs="Arial"/>
          <w:b/>
          <w:sz w:val="28"/>
          <w:szCs w:val="28"/>
        </w:rPr>
        <w:t>12B</w:t>
      </w:r>
      <w:r w:rsidRPr="00C45431">
        <w:rPr>
          <w:rFonts w:ascii="Arial" w:hAnsi="Arial" w:cs="Arial"/>
          <w:sz w:val="28"/>
          <w:szCs w:val="28"/>
        </w:rPr>
        <w:t xml:space="preserve">.  </w:t>
      </w:r>
    </w:p>
    <w:p w14:paraId="6C7372AE" w14:textId="65E6C6E2" w:rsidR="009B3794" w:rsidRDefault="009B3794" w:rsidP="00CA3DA6">
      <w:pPr>
        <w:widowControl/>
        <w:spacing w:before="120"/>
        <w:ind w:left="270"/>
        <w:rPr>
          <w:rFonts w:ascii="Arial" w:hAnsi="Arial" w:cs="Arial"/>
          <w:b/>
          <w:sz w:val="24"/>
        </w:rPr>
      </w:pPr>
      <w:r w:rsidRPr="00C45431">
        <w:rPr>
          <w:rFonts w:ascii="Arial" w:hAnsi="Arial" w:cs="Arial"/>
          <w:b/>
          <w:sz w:val="24"/>
        </w:rPr>
        <w:t>Estimated Annualized Burden Costs</w:t>
      </w:r>
    </w:p>
    <w:p w14:paraId="6168B706" w14:textId="2AEBF3BB" w:rsidR="00821327" w:rsidRDefault="00821327" w:rsidP="00CA3DA6">
      <w:pPr>
        <w:widowControl/>
        <w:spacing w:before="120"/>
        <w:ind w:left="270"/>
        <w:rPr>
          <w:rFonts w:ascii="Arial" w:hAnsi="Arial" w:cs="Arial"/>
          <w:b/>
          <w:sz w:val="24"/>
        </w:rPr>
      </w:pPr>
    </w:p>
    <w:p w14:paraId="38F206C7" w14:textId="2A54536F" w:rsidR="00821327" w:rsidRDefault="00821327" w:rsidP="00CA3DA6">
      <w:pPr>
        <w:widowControl/>
        <w:spacing w:before="120"/>
        <w:ind w:left="270"/>
        <w:rPr>
          <w:rFonts w:ascii="Arial" w:hAnsi="Arial" w:cs="Arial"/>
          <w:sz w:val="24"/>
        </w:rPr>
      </w:pPr>
      <w:r w:rsidRPr="00821327">
        <w:rPr>
          <w:rFonts w:ascii="Arial" w:hAnsi="Arial" w:cs="Arial"/>
          <w:sz w:val="24"/>
        </w:rPr>
        <w:t>The estimated total cost to respondents is approximately $</w:t>
      </w:r>
      <w:r>
        <w:rPr>
          <w:rFonts w:ascii="Arial" w:hAnsi="Arial" w:cs="Arial"/>
          <w:sz w:val="24"/>
        </w:rPr>
        <w:t>824,496</w:t>
      </w:r>
      <w:r w:rsidRPr="00821327">
        <w:rPr>
          <w:rFonts w:ascii="Arial" w:hAnsi="Arial" w:cs="Arial"/>
          <w:sz w:val="24"/>
        </w:rPr>
        <w:t xml:space="preserve">. This annualized cost to respondents is based on the average wage of </w:t>
      </w:r>
      <w:r>
        <w:rPr>
          <w:rFonts w:ascii="Arial" w:hAnsi="Arial" w:cs="Arial"/>
          <w:sz w:val="24"/>
        </w:rPr>
        <w:t>social and community service managers</w:t>
      </w:r>
      <w:r w:rsidRPr="00821327">
        <w:rPr>
          <w:rFonts w:ascii="Arial" w:hAnsi="Arial" w:cs="Arial"/>
          <w:sz w:val="24"/>
        </w:rPr>
        <w:t xml:space="preserve"> from the 2017 Bureau of Labor Statistics report on Wage Estimates (Bureau of Labor Statistics, 201</w:t>
      </w:r>
      <w:r>
        <w:rPr>
          <w:rFonts w:ascii="Arial" w:hAnsi="Arial" w:cs="Arial"/>
          <w:sz w:val="24"/>
        </w:rPr>
        <w:t>8</w:t>
      </w:r>
      <w:r w:rsidRPr="00821327">
        <w:rPr>
          <w:rFonts w:ascii="Arial" w:hAnsi="Arial" w:cs="Arial"/>
          <w:sz w:val="24"/>
        </w:rPr>
        <w:t>).  The average hourly wage was multiplied by 2 to account for the costs of fringe benefits and overhead.</w:t>
      </w:r>
    </w:p>
    <w:p w14:paraId="7FAAEFC6" w14:textId="75B7A2DB" w:rsidR="00793533" w:rsidRDefault="00793533">
      <w:pPr>
        <w:widowControl/>
        <w:autoSpaceDE/>
        <w:autoSpaceDN/>
        <w:adjustRightInd/>
        <w:rPr>
          <w:rFonts w:ascii="Arial" w:hAnsi="Arial" w:cs="Arial"/>
          <w:b/>
          <w:sz w:val="32"/>
        </w:rPr>
      </w:pPr>
      <w:r>
        <w:rPr>
          <w:rFonts w:ascii="Arial" w:hAnsi="Arial" w:cs="Arial"/>
          <w:b/>
          <w:sz w:val="32"/>
        </w:rPr>
        <w:br w:type="page"/>
      </w:r>
    </w:p>
    <w:p w14:paraId="20EFA026" w14:textId="77777777" w:rsidR="00821327" w:rsidRPr="00821327" w:rsidRDefault="00821327" w:rsidP="00CA3DA6">
      <w:pPr>
        <w:widowControl/>
        <w:spacing w:before="120"/>
        <w:ind w:left="270"/>
        <w:rPr>
          <w:rFonts w:ascii="Arial" w:hAnsi="Arial" w:cs="Arial"/>
          <w:b/>
          <w:sz w:val="32"/>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9B3794" w:rsidRPr="00C45431" w14:paraId="7C9F4C2F" w14:textId="77777777" w:rsidTr="00104F7F">
        <w:tc>
          <w:tcPr>
            <w:tcW w:w="1603" w:type="dxa"/>
          </w:tcPr>
          <w:p w14:paraId="240368BC"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Type of</w:t>
            </w:r>
          </w:p>
          <w:p w14:paraId="31D5C0F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Respondent</w:t>
            </w:r>
          </w:p>
          <w:p w14:paraId="7057FD25" w14:textId="77777777" w:rsidR="009B3794" w:rsidRPr="00C45431" w:rsidRDefault="009B3794" w:rsidP="00CE5AA9">
            <w:pPr>
              <w:widowControl/>
              <w:spacing w:before="120"/>
              <w:rPr>
                <w:rFonts w:ascii="Arial" w:hAnsi="Arial" w:cs="Arial"/>
                <w:b/>
                <w:bCs/>
                <w:sz w:val="24"/>
              </w:rPr>
            </w:pPr>
          </w:p>
        </w:tc>
        <w:tc>
          <w:tcPr>
            <w:tcW w:w="1277" w:type="dxa"/>
          </w:tcPr>
          <w:p w14:paraId="7A977098"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Total Burden</w:t>
            </w:r>
          </w:p>
          <w:p w14:paraId="1EC776AD"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Hours</w:t>
            </w:r>
          </w:p>
          <w:p w14:paraId="65207D46" w14:textId="77777777" w:rsidR="009B3794" w:rsidRPr="00C45431" w:rsidRDefault="009B3794" w:rsidP="00CE5AA9">
            <w:pPr>
              <w:widowControl/>
              <w:spacing w:before="120"/>
              <w:rPr>
                <w:rFonts w:ascii="Arial" w:hAnsi="Arial" w:cs="Arial"/>
                <w:b/>
                <w:bCs/>
                <w:sz w:val="24"/>
              </w:rPr>
            </w:pPr>
          </w:p>
        </w:tc>
        <w:tc>
          <w:tcPr>
            <w:tcW w:w="1342" w:type="dxa"/>
          </w:tcPr>
          <w:p w14:paraId="2A72C9A3" w14:textId="77777777" w:rsidR="009B3794" w:rsidRPr="00C45431" w:rsidRDefault="009B3794" w:rsidP="00CE5AA9">
            <w:pPr>
              <w:widowControl/>
              <w:spacing w:before="120"/>
              <w:rPr>
                <w:rFonts w:ascii="Arial" w:hAnsi="Arial" w:cs="Arial"/>
                <w:b/>
                <w:bCs/>
                <w:sz w:val="24"/>
              </w:rPr>
            </w:pPr>
            <w:r w:rsidRPr="00C45431">
              <w:rPr>
                <w:rFonts w:ascii="Arial" w:hAnsi="Arial" w:cs="Arial"/>
                <w:b/>
                <w:bCs/>
                <w:sz w:val="24"/>
              </w:rPr>
              <w:t>Hourly</w:t>
            </w:r>
          </w:p>
          <w:p w14:paraId="10AE3893"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Wage Rate</w:t>
            </w:r>
          </w:p>
          <w:p w14:paraId="06BD2863" w14:textId="77777777" w:rsidR="009B3794" w:rsidRPr="00C45431" w:rsidRDefault="009B3794" w:rsidP="00CE5AA9">
            <w:pPr>
              <w:widowControl/>
              <w:spacing w:before="120"/>
              <w:rPr>
                <w:rFonts w:ascii="Arial" w:hAnsi="Arial" w:cs="Arial"/>
                <w:b/>
                <w:bCs/>
                <w:sz w:val="24"/>
              </w:rPr>
            </w:pPr>
          </w:p>
        </w:tc>
        <w:tc>
          <w:tcPr>
            <w:tcW w:w="1743" w:type="dxa"/>
          </w:tcPr>
          <w:p w14:paraId="21C30E4C" w14:textId="77777777" w:rsidR="009B3794" w:rsidRPr="00C45431" w:rsidRDefault="009B3794" w:rsidP="00CE5AA9">
            <w:pPr>
              <w:widowControl/>
              <w:spacing w:before="120"/>
              <w:rPr>
                <w:rFonts w:ascii="Arial" w:hAnsi="Arial" w:cs="Arial"/>
                <w:sz w:val="24"/>
              </w:rPr>
            </w:pPr>
            <w:r w:rsidRPr="00C45431">
              <w:rPr>
                <w:rFonts w:ascii="Arial" w:hAnsi="Arial" w:cs="Arial"/>
                <w:b/>
                <w:bCs/>
                <w:sz w:val="24"/>
              </w:rPr>
              <w:t>Total Respondent Costs</w:t>
            </w:r>
          </w:p>
          <w:p w14:paraId="53083327" w14:textId="77777777" w:rsidR="009B3794" w:rsidRPr="00C45431" w:rsidRDefault="009B3794" w:rsidP="00CE5AA9">
            <w:pPr>
              <w:widowControl/>
              <w:spacing w:before="120"/>
              <w:rPr>
                <w:rFonts w:ascii="Arial" w:hAnsi="Arial" w:cs="Arial"/>
                <w:b/>
                <w:bCs/>
                <w:sz w:val="24"/>
              </w:rPr>
            </w:pPr>
          </w:p>
        </w:tc>
      </w:tr>
      <w:tr w:rsidR="009B3794" w:rsidRPr="00C45431" w14:paraId="58D8BC4F" w14:textId="77777777" w:rsidTr="00104F7F">
        <w:tc>
          <w:tcPr>
            <w:tcW w:w="1603" w:type="dxa"/>
          </w:tcPr>
          <w:p w14:paraId="063AB24B" w14:textId="0511F88B" w:rsidR="009B3794" w:rsidRPr="00C45431" w:rsidRDefault="00710FB4" w:rsidP="00F84356">
            <w:pPr>
              <w:spacing w:before="120"/>
              <w:rPr>
                <w:rFonts w:ascii="Arial" w:hAnsi="Arial" w:cs="Arial"/>
                <w:sz w:val="24"/>
              </w:rPr>
            </w:pPr>
            <w:r>
              <w:rPr>
                <w:rFonts w:ascii="Arial" w:hAnsi="Arial" w:cs="Arial"/>
                <w:sz w:val="24"/>
              </w:rPr>
              <w:t xml:space="preserve">MIECHV </w:t>
            </w:r>
            <w:r w:rsidR="00F84356">
              <w:rPr>
                <w:rFonts w:ascii="Arial" w:hAnsi="Arial" w:cs="Arial"/>
                <w:sz w:val="24"/>
              </w:rPr>
              <w:t>Awardees</w:t>
            </w:r>
          </w:p>
        </w:tc>
        <w:tc>
          <w:tcPr>
            <w:tcW w:w="1277" w:type="dxa"/>
          </w:tcPr>
          <w:p w14:paraId="14D6AD9B" w14:textId="7015A81B" w:rsidR="009B3794" w:rsidRPr="00C45431" w:rsidRDefault="00710FB4" w:rsidP="00F84356">
            <w:pPr>
              <w:spacing w:before="120"/>
              <w:rPr>
                <w:rFonts w:ascii="Arial" w:hAnsi="Arial" w:cs="Arial"/>
                <w:sz w:val="24"/>
              </w:rPr>
            </w:pPr>
            <w:r>
              <w:rPr>
                <w:rFonts w:ascii="Arial" w:hAnsi="Arial" w:cs="Arial"/>
                <w:sz w:val="24"/>
              </w:rPr>
              <w:t>1</w:t>
            </w:r>
            <w:r w:rsidR="004E188C">
              <w:rPr>
                <w:rFonts w:ascii="Arial" w:hAnsi="Arial" w:cs="Arial"/>
                <w:sz w:val="24"/>
              </w:rPr>
              <w:t>3</w:t>
            </w:r>
            <w:r>
              <w:rPr>
                <w:rFonts w:ascii="Arial" w:hAnsi="Arial" w:cs="Arial"/>
                <w:sz w:val="24"/>
              </w:rPr>
              <w:t>,</w:t>
            </w:r>
            <w:r w:rsidR="00F84356">
              <w:rPr>
                <w:rFonts w:ascii="Arial" w:hAnsi="Arial" w:cs="Arial"/>
                <w:sz w:val="24"/>
              </w:rPr>
              <w:t>376</w:t>
            </w:r>
            <w:r w:rsidR="00F84356" w:rsidRPr="00C45431">
              <w:rPr>
                <w:rFonts w:ascii="Arial" w:hAnsi="Arial" w:cs="Arial"/>
                <w:sz w:val="24"/>
              </w:rPr>
              <w:t xml:space="preserve"> </w:t>
            </w:r>
          </w:p>
        </w:tc>
        <w:tc>
          <w:tcPr>
            <w:tcW w:w="1342" w:type="dxa"/>
          </w:tcPr>
          <w:p w14:paraId="0ACEDC4B" w14:textId="3C2EDEB4" w:rsidR="009B3794" w:rsidRPr="00C45431" w:rsidRDefault="009B3794" w:rsidP="00F84356">
            <w:pPr>
              <w:spacing w:before="120"/>
              <w:jc w:val="right"/>
              <w:rPr>
                <w:rFonts w:ascii="Arial" w:hAnsi="Arial" w:cs="Arial"/>
                <w:sz w:val="24"/>
              </w:rPr>
            </w:pPr>
            <w:r w:rsidRPr="00C45431">
              <w:rPr>
                <w:rFonts w:ascii="Arial" w:hAnsi="Arial" w:cs="Arial"/>
                <w:sz w:val="24"/>
              </w:rPr>
              <w:t>$</w:t>
            </w:r>
            <w:r w:rsidR="00F84356">
              <w:rPr>
                <w:rFonts w:ascii="Arial" w:hAnsi="Arial" w:cs="Arial"/>
                <w:sz w:val="24"/>
              </w:rPr>
              <w:t>30.82</w:t>
            </w:r>
            <w:r w:rsidR="00F84356" w:rsidRPr="00816AE9">
              <w:rPr>
                <w:rStyle w:val="FootnoteReference"/>
                <w:rFonts w:ascii="Arial" w:hAnsi="Arial" w:cs="Arial"/>
                <w:vertAlign w:val="superscript"/>
              </w:rPr>
              <w:footnoteReference w:id="2"/>
            </w:r>
            <w:r w:rsidR="00821327">
              <w:rPr>
                <w:rFonts w:ascii="Arial" w:hAnsi="Arial" w:cs="Arial"/>
                <w:sz w:val="24"/>
              </w:rPr>
              <w:t xml:space="preserve"> ($61.64 to account for fringe and overhead)</w:t>
            </w:r>
            <w:r w:rsidRPr="00C45431">
              <w:rPr>
                <w:rFonts w:ascii="Arial" w:hAnsi="Arial" w:cs="Arial"/>
                <w:sz w:val="24"/>
              </w:rPr>
              <w:t xml:space="preserve"> </w:t>
            </w:r>
          </w:p>
        </w:tc>
        <w:tc>
          <w:tcPr>
            <w:tcW w:w="1743" w:type="dxa"/>
          </w:tcPr>
          <w:p w14:paraId="3CE5D993" w14:textId="0E2AC509" w:rsidR="009B3794" w:rsidRPr="00C45431" w:rsidRDefault="009B3794" w:rsidP="00821327">
            <w:pPr>
              <w:spacing w:before="120"/>
              <w:jc w:val="right"/>
              <w:rPr>
                <w:rFonts w:ascii="Arial" w:hAnsi="Arial" w:cs="Arial"/>
                <w:sz w:val="24"/>
              </w:rPr>
            </w:pPr>
            <w:r w:rsidRPr="00C45431">
              <w:rPr>
                <w:rFonts w:ascii="Arial" w:hAnsi="Arial" w:cs="Arial"/>
                <w:sz w:val="24"/>
              </w:rPr>
              <w:t xml:space="preserve"> $</w:t>
            </w:r>
            <w:r w:rsidR="00821327">
              <w:rPr>
                <w:rFonts w:ascii="Arial" w:hAnsi="Arial" w:cs="Arial"/>
                <w:sz w:val="24"/>
              </w:rPr>
              <w:t>824,496.64</w:t>
            </w:r>
          </w:p>
        </w:tc>
      </w:tr>
    </w:tbl>
    <w:p w14:paraId="6D180611" w14:textId="77777777" w:rsidR="00816AE9" w:rsidRPr="00816AE9" w:rsidRDefault="00816AE9" w:rsidP="00816AE9">
      <w:pPr>
        <w:spacing w:before="240"/>
        <w:rPr>
          <w:rFonts w:ascii="Arial" w:hAnsi="Arial" w:cs="Arial"/>
          <w:b/>
          <w:sz w:val="24"/>
        </w:rPr>
      </w:pPr>
    </w:p>
    <w:p w14:paraId="0DBD0FB9" w14:textId="130CCCC3"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other Total Annual Cost Burden to Respondents or Recordkeepers/Capital Costs</w:t>
      </w:r>
    </w:p>
    <w:p w14:paraId="3A1FEA9B" w14:textId="77777777" w:rsidR="00F84356" w:rsidRPr="00104F7F" w:rsidRDefault="00F84356" w:rsidP="00F84356">
      <w:pPr>
        <w:pStyle w:val="BodyTextIndent"/>
        <w:spacing w:before="120"/>
        <w:ind w:left="360"/>
        <w:rPr>
          <w:rFonts w:ascii="Arial" w:hAnsi="Arial" w:cs="Arial"/>
        </w:rPr>
      </w:pPr>
      <w:r w:rsidRPr="00104F7F">
        <w:rPr>
          <w:rFonts w:ascii="Arial" w:hAnsi="Arial" w:cs="Arial"/>
        </w:rPr>
        <w:t xml:space="preserve">Other than their time, there is no cost to </w:t>
      </w:r>
      <w:r>
        <w:rPr>
          <w:rFonts w:ascii="Arial" w:hAnsi="Arial" w:cs="Arial"/>
        </w:rPr>
        <w:t>home visiting program participants</w:t>
      </w:r>
      <w:r w:rsidRPr="00104F7F">
        <w:rPr>
          <w:rFonts w:ascii="Arial" w:hAnsi="Arial" w:cs="Arial"/>
        </w:rPr>
        <w:t>.</w:t>
      </w:r>
      <w:r>
        <w:rPr>
          <w:rFonts w:ascii="Arial" w:hAnsi="Arial" w:cs="Arial"/>
        </w:rPr>
        <w:t xml:space="preserve">  MIECHV Program awardees devote time and resources to the development and/or update of management information systems used to collect, aggregate, and report performance data in order to align with the information requested under this request.  HRSA will provide technical assistance to awardees in order to promote efficiencies in this development work.  Additionally, HRSA has exempted awardee costs related to these updates from the programmatic ceiling for infrastructure costs.  Awardees may use grant funds to pay for these developments/updates. </w:t>
      </w:r>
    </w:p>
    <w:p w14:paraId="09089B3D" w14:textId="77777777" w:rsidR="009B3794" w:rsidRPr="00D44E3D" w:rsidRDefault="009B3794" w:rsidP="00CA3DA6">
      <w:pPr>
        <w:numPr>
          <w:ilvl w:val="0"/>
          <w:numId w:val="2"/>
        </w:numPr>
        <w:tabs>
          <w:tab w:val="clear" w:pos="1080"/>
          <w:tab w:val="num" w:pos="360"/>
        </w:tabs>
        <w:spacing w:before="240"/>
        <w:ind w:left="360"/>
        <w:rPr>
          <w:rFonts w:ascii="Arial" w:hAnsi="Arial" w:cs="Arial"/>
          <w:b/>
          <w:sz w:val="24"/>
        </w:rPr>
      </w:pPr>
      <w:r w:rsidRPr="00D44E3D">
        <w:rPr>
          <w:rFonts w:ascii="Arial" w:hAnsi="Arial" w:cs="Arial"/>
          <w:b/>
          <w:sz w:val="24"/>
          <w:u w:val="single"/>
        </w:rPr>
        <w:t>Annualized Cost to Federal Government</w:t>
      </w:r>
    </w:p>
    <w:p w14:paraId="2A382E35" w14:textId="77777777" w:rsidR="002D12D3" w:rsidRDefault="002D12D3" w:rsidP="002D12D3">
      <w:pPr>
        <w:pStyle w:val="BodyTextIndent"/>
        <w:spacing w:before="120"/>
        <w:ind w:left="360"/>
        <w:rPr>
          <w:rFonts w:ascii="Arial" w:hAnsi="Arial" w:cs="Arial"/>
        </w:rPr>
      </w:pPr>
      <w:r>
        <w:rPr>
          <w:rFonts w:ascii="Arial" w:hAnsi="Arial" w:cs="Arial"/>
        </w:rPr>
        <w:t xml:space="preserve">Costs to the federal government </w:t>
      </w:r>
      <w:r w:rsidR="00BE38C5">
        <w:rPr>
          <w:rFonts w:ascii="Arial" w:hAnsi="Arial" w:cs="Arial"/>
        </w:rPr>
        <w:t>fall into three categories:</w:t>
      </w:r>
    </w:p>
    <w:p w14:paraId="48515FD3" w14:textId="6D753C5D" w:rsidR="00BE38C5" w:rsidRDefault="00BE38C5" w:rsidP="00BE38C5">
      <w:pPr>
        <w:pStyle w:val="BodyTextIndent"/>
        <w:numPr>
          <w:ilvl w:val="0"/>
          <w:numId w:val="41"/>
        </w:numPr>
        <w:spacing w:before="120"/>
        <w:rPr>
          <w:rFonts w:ascii="Arial" w:hAnsi="Arial" w:cs="Arial"/>
        </w:rPr>
      </w:pPr>
      <w:r>
        <w:rPr>
          <w:rFonts w:ascii="Arial" w:hAnsi="Arial" w:cs="Arial"/>
        </w:rPr>
        <w:t xml:space="preserve">Cost of developing </w:t>
      </w:r>
      <w:r w:rsidR="00F84356">
        <w:rPr>
          <w:rFonts w:ascii="Arial" w:hAnsi="Arial" w:cs="Arial"/>
        </w:rPr>
        <w:t xml:space="preserve">and maintaining </w:t>
      </w:r>
      <w:r>
        <w:rPr>
          <w:rFonts w:ascii="Arial" w:hAnsi="Arial" w:cs="Arial"/>
        </w:rPr>
        <w:t>the reporting system</w:t>
      </w:r>
    </w:p>
    <w:p w14:paraId="74D600CF" w14:textId="468164A7" w:rsidR="00BE38C5" w:rsidRDefault="00BE38C5" w:rsidP="00BE38C5">
      <w:pPr>
        <w:pStyle w:val="BodyTextIndent"/>
        <w:numPr>
          <w:ilvl w:val="0"/>
          <w:numId w:val="41"/>
        </w:numPr>
        <w:spacing w:before="120"/>
        <w:rPr>
          <w:rFonts w:ascii="Arial" w:hAnsi="Arial" w:cs="Arial"/>
        </w:rPr>
      </w:pPr>
      <w:r>
        <w:rPr>
          <w:rFonts w:ascii="Arial" w:hAnsi="Arial" w:cs="Arial"/>
        </w:rPr>
        <w:t>Cost of federal staff time for project oversight and development</w:t>
      </w:r>
    </w:p>
    <w:p w14:paraId="6CFF3B66" w14:textId="06E78D76" w:rsidR="00F84356" w:rsidRDefault="00F84356" w:rsidP="00BE38C5">
      <w:pPr>
        <w:pStyle w:val="BodyTextIndent"/>
        <w:numPr>
          <w:ilvl w:val="0"/>
          <w:numId w:val="41"/>
        </w:numPr>
        <w:spacing w:before="120"/>
        <w:rPr>
          <w:rFonts w:ascii="Arial" w:hAnsi="Arial" w:cs="Arial"/>
        </w:rPr>
      </w:pPr>
      <w:r>
        <w:rPr>
          <w:rFonts w:ascii="Arial" w:hAnsi="Arial" w:cs="Arial"/>
        </w:rPr>
        <w:t>Cost of federal staff time for technical assistance and review and approval of quarterly performance reports</w:t>
      </w:r>
    </w:p>
    <w:p w14:paraId="50E9F943" w14:textId="77777777" w:rsidR="00BE38C5" w:rsidRDefault="00BE38C5" w:rsidP="00BE38C5">
      <w:pPr>
        <w:pStyle w:val="BodyTextIndent"/>
        <w:numPr>
          <w:ilvl w:val="0"/>
          <w:numId w:val="41"/>
        </w:numPr>
        <w:spacing w:before="120"/>
        <w:rPr>
          <w:rFonts w:ascii="Arial" w:hAnsi="Arial" w:cs="Arial"/>
        </w:rPr>
      </w:pPr>
      <w:r>
        <w:rPr>
          <w:rFonts w:ascii="Arial" w:hAnsi="Arial" w:cs="Arial"/>
        </w:rPr>
        <w:t>Cost of contractual support for data cleaning and analysis</w:t>
      </w:r>
    </w:p>
    <w:p w14:paraId="3B0C671E" w14:textId="77777777" w:rsidR="00BE38C5" w:rsidRDefault="00BE38C5" w:rsidP="00BE38C5">
      <w:pPr>
        <w:pStyle w:val="BodyTextIndent"/>
        <w:spacing w:before="120"/>
        <w:ind w:left="0"/>
        <w:rPr>
          <w:rFonts w:ascii="Arial" w:hAnsi="Arial" w:cs="Arial"/>
        </w:rPr>
      </w:pPr>
    </w:p>
    <w:tbl>
      <w:tblPr>
        <w:tblStyle w:val="TableGrid"/>
        <w:tblW w:w="0" w:type="auto"/>
        <w:tblLook w:val="04A0" w:firstRow="1" w:lastRow="0" w:firstColumn="1" w:lastColumn="0" w:noHBand="0" w:noVBand="1"/>
      </w:tblPr>
      <w:tblGrid>
        <w:gridCol w:w="3192"/>
        <w:gridCol w:w="3192"/>
        <w:gridCol w:w="3192"/>
      </w:tblGrid>
      <w:tr w:rsidR="00BE38C5" w14:paraId="2AE719E3" w14:textId="77777777" w:rsidTr="00BE38C5">
        <w:tc>
          <w:tcPr>
            <w:tcW w:w="3192" w:type="dxa"/>
          </w:tcPr>
          <w:p w14:paraId="65DCB354" w14:textId="77777777" w:rsidR="00BE38C5" w:rsidRDefault="00BE38C5" w:rsidP="00BE38C5">
            <w:pPr>
              <w:pStyle w:val="BodyTextIndent"/>
              <w:spacing w:before="120"/>
              <w:ind w:left="0"/>
              <w:rPr>
                <w:rFonts w:ascii="Arial" w:hAnsi="Arial" w:cs="Arial"/>
              </w:rPr>
            </w:pPr>
            <w:r>
              <w:rPr>
                <w:rFonts w:ascii="Arial" w:hAnsi="Arial" w:cs="Arial"/>
              </w:rPr>
              <w:t>Type of Cost</w:t>
            </w:r>
          </w:p>
        </w:tc>
        <w:tc>
          <w:tcPr>
            <w:tcW w:w="3192" w:type="dxa"/>
          </w:tcPr>
          <w:p w14:paraId="5ED877A7" w14:textId="77777777" w:rsidR="00BE38C5" w:rsidRDefault="00BE38C5" w:rsidP="00BE38C5">
            <w:pPr>
              <w:pStyle w:val="BodyTextIndent"/>
              <w:spacing w:before="120"/>
              <w:ind w:left="0"/>
              <w:rPr>
                <w:rFonts w:ascii="Arial" w:hAnsi="Arial" w:cs="Arial"/>
              </w:rPr>
            </w:pPr>
            <w:r>
              <w:rPr>
                <w:rFonts w:ascii="Arial" w:hAnsi="Arial" w:cs="Arial"/>
              </w:rPr>
              <w:t>Description of Services</w:t>
            </w:r>
          </w:p>
        </w:tc>
        <w:tc>
          <w:tcPr>
            <w:tcW w:w="3192" w:type="dxa"/>
          </w:tcPr>
          <w:p w14:paraId="31732F37" w14:textId="77777777" w:rsidR="00BE38C5" w:rsidRDefault="00BE38C5" w:rsidP="00BE38C5">
            <w:pPr>
              <w:pStyle w:val="BodyTextIndent"/>
              <w:spacing w:before="120"/>
              <w:ind w:left="0"/>
              <w:rPr>
                <w:rFonts w:ascii="Arial" w:hAnsi="Arial" w:cs="Arial"/>
              </w:rPr>
            </w:pPr>
            <w:r>
              <w:rPr>
                <w:rFonts w:ascii="Arial" w:hAnsi="Arial" w:cs="Arial"/>
              </w:rPr>
              <w:t>Annual Cost</w:t>
            </w:r>
          </w:p>
        </w:tc>
      </w:tr>
      <w:tr w:rsidR="00BE38C5" w14:paraId="428D809F" w14:textId="77777777" w:rsidTr="00BE38C5">
        <w:tc>
          <w:tcPr>
            <w:tcW w:w="3192" w:type="dxa"/>
          </w:tcPr>
          <w:p w14:paraId="7ED8E92F" w14:textId="5935F0C3" w:rsidR="00BE38C5" w:rsidRDefault="00F84356" w:rsidP="00BE38C5">
            <w:pPr>
              <w:pStyle w:val="BodyTextIndent"/>
              <w:spacing w:before="120"/>
              <w:ind w:left="0"/>
              <w:rPr>
                <w:rFonts w:ascii="Arial" w:hAnsi="Arial" w:cs="Arial"/>
              </w:rPr>
            </w:pPr>
            <w:r>
              <w:rPr>
                <w:rFonts w:ascii="Arial" w:hAnsi="Arial" w:cs="Arial"/>
              </w:rPr>
              <w:t>HVIS</w:t>
            </w:r>
            <w:r w:rsidR="00BE38C5">
              <w:rPr>
                <w:rFonts w:ascii="Arial" w:hAnsi="Arial" w:cs="Arial"/>
              </w:rPr>
              <w:t xml:space="preserve"> Development – Contracted</w:t>
            </w:r>
          </w:p>
        </w:tc>
        <w:tc>
          <w:tcPr>
            <w:tcW w:w="3192" w:type="dxa"/>
          </w:tcPr>
          <w:p w14:paraId="6276BA77" w14:textId="77777777" w:rsidR="00BE38C5" w:rsidRDefault="00BE38C5" w:rsidP="00BE38C5">
            <w:pPr>
              <w:pStyle w:val="BodyTextIndent"/>
              <w:spacing w:before="120"/>
              <w:ind w:left="0"/>
              <w:rPr>
                <w:rFonts w:ascii="Arial" w:hAnsi="Arial" w:cs="Arial"/>
              </w:rPr>
            </w:pPr>
            <w:r>
              <w:rPr>
                <w:rFonts w:ascii="Arial" w:hAnsi="Arial" w:cs="Arial"/>
              </w:rPr>
              <w:t>Development and maintenance of the electronic reporting system for quarterly data collection</w:t>
            </w:r>
          </w:p>
        </w:tc>
        <w:tc>
          <w:tcPr>
            <w:tcW w:w="3192" w:type="dxa"/>
          </w:tcPr>
          <w:p w14:paraId="7FDC53F3" w14:textId="7AB52946" w:rsidR="00BE38C5" w:rsidRDefault="00BE38C5" w:rsidP="00F84356">
            <w:pPr>
              <w:pStyle w:val="BodyTextIndent"/>
              <w:spacing w:before="120"/>
              <w:ind w:left="0"/>
              <w:rPr>
                <w:rFonts w:ascii="Arial" w:hAnsi="Arial" w:cs="Arial"/>
              </w:rPr>
            </w:pPr>
            <w:r>
              <w:rPr>
                <w:rFonts w:ascii="Arial" w:hAnsi="Arial" w:cs="Arial"/>
              </w:rPr>
              <w:t>$</w:t>
            </w:r>
            <w:r w:rsidR="00F84356">
              <w:rPr>
                <w:rFonts w:ascii="Arial" w:hAnsi="Arial" w:cs="Arial"/>
              </w:rPr>
              <w:t>150</w:t>
            </w:r>
            <w:r>
              <w:rPr>
                <w:rFonts w:ascii="Arial" w:hAnsi="Arial" w:cs="Arial"/>
              </w:rPr>
              <w:t>,000</w:t>
            </w:r>
          </w:p>
        </w:tc>
      </w:tr>
      <w:tr w:rsidR="00BE38C5" w14:paraId="138BE780" w14:textId="77777777" w:rsidTr="00BE38C5">
        <w:tc>
          <w:tcPr>
            <w:tcW w:w="3192" w:type="dxa"/>
          </w:tcPr>
          <w:p w14:paraId="498C2A9A" w14:textId="6F65C452" w:rsidR="00BE38C5" w:rsidRDefault="00BE38C5" w:rsidP="00F84356">
            <w:pPr>
              <w:pStyle w:val="BodyTextIndent"/>
              <w:spacing w:before="120"/>
              <w:ind w:left="0"/>
              <w:rPr>
                <w:rFonts w:ascii="Arial" w:hAnsi="Arial" w:cs="Arial"/>
              </w:rPr>
            </w:pPr>
            <w:r>
              <w:rPr>
                <w:rFonts w:ascii="Arial" w:hAnsi="Arial" w:cs="Arial"/>
              </w:rPr>
              <w:t xml:space="preserve">Government </w:t>
            </w:r>
            <w:r w:rsidR="00F84356">
              <w:rPr>
                <w:rFonts w:ascii="Arial" w:hAnsi="Arial" w:cs="Arial"/>
              </w:rPr>
              <w:t xml:space="preserve">Social Science </w:t>
            </w:r>
            <w:r>
              <w:rPr>
                <w:rFonts w:ascii="Arial" w:hAnsi="Arial" w:cs="Arial"/>
              </w:rPr>
              <w:t>Analyst (10%)</w:t>
            </w:r>
          </w:p>
        </w:tc>
        <w:tc>
          <w:tcPr>
            <w:tcW w:w="3192" w:type="dxa"/>
          </w:tcPr>
          <w:p w14:paraId="214B43CB" w14:textId="77777777" w:rsidR="00BE38C5" w:rsidRDefault="00BE38C5" w:rsidP="00BE38C5">
            <w:pPr>
              <w:pStyle w:val="BodyTextIndent"/>
              <w:spacing w:before="120"/>
              <w:ind w:left="0"/>
              <w:rPr>
                <w:rFonts w:ascii="Arial" w:hAnsi="Arial" w:cs="Arial"/>
              </w:rPr>
            </w:pPr>
            <w:r>
              <w:rPr>
                <w:rFonts w:ascii="Arial" w:hAnsi="Arial" w:cs="Arial"/>
              </w:rPr>
              <w:t xml:space="preserve">Project management and oversight, consultation, and development </w:t>
            </w:r>
          </w:p>
        </w:tc>
        <w:tc>
          <w:tcPr>
            <w:tcW w:w="3192" w:type="dxa"/>
          </w:tcPr>
          <w:p w14:paraId="5F748129" w14:textId="622D4DDA" w:rsidR="00BE38C5" w:rsidRDefault="00BE38C5" w:rsidP="00F84356">
            <w:pPr>
              <w:pStyle w:val="BodyTextIndent"/>
              <w:spacing w:before="120"/>
              <w:ind w:left="0"/>
              <w:rPr>
                <w:rFonts w:ascii="Arial" w:hAnsi="Arial" w:cs="Arial"/>
              </w:rPr>
            </w:pPr>
            <w:r>
              <w:rPr>
                <w:rFonts w:ascii="Arial" w:hAnsi="Arial" w:cs="Arial"/>
              </w:rPr>
              <w:t>$</w:t>
            </w:r>
            <w:r w:rsidR="00F84356">
              <w:rPr>
                <w:rFonts w:ascii="Arial" w:hAnsi="Arial" w:cs="Arial"/>
              </w:rPr>
              <w:t>10,343</w:t>
            </w:r>
          </w:p>
        </w:tc>
      </w:tr>
      <w:tr w:rsidR="00F84356" w14:paraId="0E6B7FC0" w14:textId="77777777" w:rsidTr="00BE38C5">
        <w:tc>
          <w:tcPr>
            <w:tcW w:w="3192" w:type="dxa"/>
          </w:tcPr>
          <w:p w14:paraId="70FF68C8" w14:textId="1837F6F5" w:rsidR="00F84356" w:rsidRDefault="00F84356" w:rsidP="00F84356">
            <w:pPr>
              <w:pStyle w:val="BodyTextIndent"/>
              <w:spacing w:before="120"/>
              <w:ind w:left="0"/>
              <w:rPr>
                <w:rFonts w:ascii="Arial" w:hAnsi="Arial" w:cs="Arial"/>
              </w:rPr>
            </w:pPr>
            <w:r>
              <w:rPr>
                <w:rFonts w:ascii="Arial" w:hAnsi="Arial" w:cs="Arial"/>
              </w:rPr>
              <w:t>Government Project Officers (5%)</w:t>
            </w:r>
          </w:p>
        </w:tc>
        <w:tc>
          <w:tcPr>
            <w:tcW w:w="3192" w:type="dxa"/>
          </w:tcPr>
          <w:p w14:paraId="1163A6A3" w14:textId="66637715" w:rsidR="00F84356" w:rsidRDefault="00F84356" w:rsidP="00BE38C5">
            <w:pPr>
              <w:pStyle w:val="BodyTextIndent"/>
              <w:spacing w:before="120"/>
              <w:ind w:left="0"/>
              <w:rPr>
                <w:rFonts w:ascii="Arial" w:hAnsi="Arial" w:cs="Arial"/>
              </w:rPr>
            </w:pPr>
            <w:r>
              <w:rPr>
                <w:rFonts w:ascii="Arial" w:hAnsi="Arial" w:cs="Arial"/>
              </w:rPr>
              <w:t>10 regional project officers provide TA to awardees and review and approve quarterly reports</w:t>
            </w:r>
          </w:p>
        </w:tc>
        <w:tc>
          <w:tcPr>
            <w:tcW w:w="3192" w:type="dxa"/>
          </w:tcPr>
          <w:p w14:paraId="36FC76EF" w14:textId="12A3F6BA" w:rsidR="00F84356" w:rsidRDefault="00F84356" w:rsidP="00F84356">
            <w:pPr>
              <w:pStyle w:val="BodyTextIndent"/>
              <w:spacing w:before="120"/>
              <w:ind w:left="0"/>
              <w:rPr>
                <w:rFonts w:ascii="Arial" w:hAnsi="Arial" w:cs="Arial"/>
              </w:rPr>
            </w:pPr>
            <w:r>
              <w:rPr>
                <w:rFonts w:ascii="Arial" w:hAnsi="Arial" w:cs="Arial"/>
              </w:rPr>
              <w:t>$52,208</w:t>
            </w:r>
          </w:p>
        </w:tc>
      </w:tr>
      <w:tr w:rsidR="00BE38C5" w14:paraId="61152BDB" w14:textId="77777777" w:rsidTr="00BE38C5">
        <w:tc>
          <w:tcPr>
            <w:tcW w:w="3192" w:type="dxa"/>
          </w:tcPr>
          <w:p w14:paraId="793CD8A9" w14:textId="77777777" w:rsidR="00BE38C5" w:rsidRDefault="00605378" w:rsidP="00BE38C5">
            <w:pPr>
              <w:pStyle w:val="BodyTextIndent"/>
              <w:spacing w:before="120"/>
              <w:ind w:left="0"/>
              <w:rPr>
                <w:rFonts w:ascii="Arial" w:hAnsi="Arial" w:cs="Arial"/>
              </w:rPr>
            </w:pPr>
            <w:r>
              <w:rPr>
                <w:rFonts w:ascii="Arial" w:hAnsi="Arial" w:cs="Arial"/>
              </w:rPr>
              <w:t>Data Cleaning and Analysis – Contracted</w:t>
            </w:r>
          </w:p>
        </w:tc>
        <w:tc>
          <w:tcPr>
            <w:tcW w:w="3192" w:type="dxa"/>
          </w:tcPr>
          <w:p w14:paraId="2E50D052" w14:textId="77777777" w:rsidR="00BE38C5" w:rsidRDefault="00605378" w:rsidP="00BE38C5">
            <w:pPr>
              <w:pStyle w:val="BodyTextIndent"/>
              <w:spacing w:before="120"/>
              <w:ind w:left="0"/>
              <w:rPr>
                <w:rFonts w:ascii="Arial" w:hAnsi="Arial" w:cs="Arial"/>
              </w:rPr>
            </w:pPr>
            <w:r>
              <w:rPr>
                <w:rFonts w:ascii="Arial" w:hAnsi="Arial" w:cs="Arial"/>
              </w:rPr>
              <w:t>Data aggregation and analysis</w:t>
            </w:r>
          </w:p>
        </w:tc>
        <w:tc>
          <w:tcPr>
            <w:tcW w:w="3192" w:type="dxa"/>
          </w:tcPr>
          <w:p w14:paraId="6D549641" w14:textId="77777777" w:rsidR="00BE38C5" w:rsidRDefault="00605378" w:rsidP="00BE38C5">
            <w:pPr>
              <w:pStyle w:val="BodyTextIndent"/>
              <w:spacing w:before="120"/>
              <w:ind w:left="0"/>
              <w:rPr>
                <w:rFonts w:ascii="Arial" w:hAnsi="Arial" w:cs="Arial"/>
              </w:rPr>
            </w:pPr>
            <w:r>
              <w:rPr>
                <w:rFonts w:ascii="Arial" w:hAnsi="Arial" w:cs="Arial"/>
              </w:rPr>
              <w:t>$65,750</w:t>
            </w:r>
          </w:p>
        </w:tc>
      </w:tr>
      <w:tr w:rsidR="00605378" w14:paraId="6B20AA22" w14:textId="77777777" w:rsidTr="00BE38C5">
        <w:tc>
          <w:tcPr>
            <w:tcW w:w="3192" w:type="dxa"/>
          </w:tcPr>
          <w:p w14:paraId="04404E4C" w14:textId="77777777" w:rsidR="00605378" w:rsidRDefault="00605378" w:rsidP="00BE38C5">
            <w:pPr>
              <w:pStyle w:val="BodyTextIndent"/>
              <w:spacing w:before="120"/>
              <w:ind w:left="0"/>
              <w:rPr>
                <w:rFonts w:ascii="Arial" w:hAnsi="Arial" w:cs="Arial"/>
              </w:rPr>
            </w:pPr>
            <w:r>
              <w:rPr>
                <w:rFonts w:ascii="Arial" w:hAnsi="Arial" w:cs="Arial"/>
              </w:rPr>
              <w:t>Total Estimated Annual Cost</w:t>
            </w:r>
          </w:p>
        </w:tc>
        <w:tc>
          <w:tcPr>
            <w:tcW w:w="3192" w:type="dxa"/>
          </w:tcPr>
          <w:p w14:paraId="32087601" w14:textId="77777777" w:rsidR="00605378" w:rsidRDefault="00605378" w:rsidP="00BE38C5">
            <w:pPr>
              <w:pStyle w:val="BodyTextIndent"/>
              <w:spacing w:before="120"/>
              <w:ind w:left="0"/>
              <w:rPr>
                <w:rFonts w:ascii="Arial" w:hAnsi="Arial" w:cs="Arial"/>
              </w:rPr>
            </w:pPr>
          </w:p>
        </w:tc>
        <w:tc>
          <w:tcPr>
            <w:tcW w:w="3192" w:type="dxa"/>
          </w:tcPr>
          <w:p w14:paraId="09A3C747" w14:textId="05561BC7" w:rsidR="00605378" w:rsidRDefault="00D44E3D" w:rsidP="00F84356">
            <w:pPr>
              <w:pStyle w:val="BodyTextIndent"/>
              <w:spacing w:before="120"/>
              <w:ind w:left="0"/>
              <w:rPr>
                <w:rFonts w:ascii="Arial" w:hAnsi="Arial" w:cs="Arial"/>
              </w:rPr>
            </w:pPr>
            <w:r>
              <w:rPr>
                <w:rFonts w:ascii="Arial" w:hAnsi="Arial" w:cs="Arial"/>
              </w:rPr>
              <w:t>$</w:t>
            </w:r>
            <w:r w:rsidR="00F84356">
              <w:rPr>
                <w:rFonts w:ascii="Arial" w:hAnsi="Arial" w:cs="Arial"/>
              </w:rPr>
              <w:t>278,301</w:t>
            </w:r>
          </w:p>
        </w:tc>
      </w:tr>
    </w:tbl>
    <w:p w14:paraId="5F2BD528" w14:textId="77777777" w:rsidR="00BE38C5" w:rsidRDefault="00BE38C5" w:rsidP="00BE38C5">
      <w:pPr>
        <w:pStyle w:val="BodyTextIndent"/>
        <w:spacing w:before="120"/>
        <w:ind w:left="0"/>
        <w:rPr>
          <w:rFonts w:ascii="Arial" w:hAnsi="Arial" w:cs="Arial"/>
        </w:rPr>
      </w:pPr>
    </w:p>
    <w:p w14:paraId="4DF8EE04" w14:textId="67C964D6" w:rsidR="00F84356" w:rsidRPr="00F40BA9" w:rsidRDefault="00F84356" w:rsidP="00F84356">
      <w:pPr>
        <w:pStyle w:val="BodyTextIndent"/>
        <w:spacing w:before="120"/>
        <w:ind w:left="360"/>
        <w:rPr>
          <w:rFonts w:ascii="Arial" w:hAnsi="Arial" w:cs="Arial"/>
        </w:rPr>
      </w:pPr>
      <w:r w:rsidRPr="00F40BA9">
        <w:rPr>
          <w:rFonts w:ascii="Arial" w:hAnsi="Arial" w:cs="Arial"/>
        </w:rPr>
        <w:t xml:space="preserve">HRSA estimates the average annual cost for the federal government will include personnel costs for project and contract oversight, instrument design, and analysis.  This will include federal program analyst at Grade 13 Step </w:t>
      </w:r>
      <w:r>
        <w:rPr>
          <w:rFonts w:ascii="Arial" w:hAnsi="Arial" w:cs="Arial"/>
        </w:rPr>
        <w:t>3</w:t>
      </w:r>
      <w:r w:rsidRPr="00F40BA9">
        <w:rPr>
          <w:rFonts w:ascii="Arial" w:hAnsi="Arial" w:cs="Arial"/>
        </w:rPr>
        <w:t xml:space="preserve"> ($4</w:t>
      </w:r>
      <w:r>
        <w:rPr>
          <w:rFonts w:ascii="Arial" w:hAnsi="Arial" w:cs="Arial"/>
        </w:rPr>
        <w:t>9</w:t>
      </w:r>
      <w:r w:rsidRPr="00F40BA9">
        <w:rPr>
          <w:rFonts w:ascii="Arial" w:hAnsi="Arial" w:cs="Arial"/>
        </w:rPr>
        <w:t>.73 hourly rate</w:t>
      </w:r>
      <w:r w:rsidR="00821327">
        <w:rPr>
          <w:rFonts w:ascii="Arial" w:hAnsi="Arial" w:cs="Arial"/>
        </w:rPr>
        <w:t>; Office of</w:t>
      </w:r>
      <w:r w:rsidR="005F4C31">
        <w:rPr>
          <w:rFonts w:ascii="Arial" w:hAnsi="Arial" w:cs="Arial"/>
        </w:rPr>
        <w:t xml:space="preserve"> Personne</w:t>
      </w:r>
      <w:r w:rsidR="00821327">
        <w:rPr>
          <w:rFonts w:ascii="Arial" w:hAnsi="Arial" w:cs="Arial"/>
        </w:rPr>
        <w:t>l Management, 2018</w:t>
      </w:r>
      <w:r w:rsidR="00821327" w:rsidRPr="00821327">
        <w:rPr>
          <w:rStyle w:val="FootnoteReference"/>
          <w:rFonts w:ascii="Arial" w:hAnsi="Arial" w:cs="Arial"/>
          <w:vertAlign w:val="superscript"/>
        </w:rPr>
        <w:footnoteReference w:id="3"/>
      </w:r>
      <w:r w:rsidRPr="00F40BA9">
        <w:rPr>
          <w:rFonts w:ascii="Arial" w:hAnsi="Arial" w:cs="Arial"/>
        </w:rPr>
        <w:t xml:space="preserve">) for </w:t>
      </w:r>
      <w:r>
        <w:rPr>
          <w:rFonts w:ascii="Arial" w:hAnsi="Arial" w:cs="Arial"/>
        </w:rPr>
        <w:t>208</w:t>
      </w:r>
      <w:r w:rsidRPr="00F40BA9">
        <w:rPr>
          <w:rFonts w:ascii="Arial" w:hAnsi="Arial" w:cs="Arial"/>
        </w:rPr>
        <w:t xml:space="preserve"> hours.</w:t>
      </w:r>
    </w:p>
    <w:p w14:paraId="61CFF74D" w14:textId="5378FDD8" w:rsidR="00F84356" w:rsidRPr="00F40BA9" w:rsidRDefault="00F84356" w:rsidP="00F84356">
      <w:pPr>
        <w:pStyle w:val="BodyTextIndent"/>
        <w:spacing w:before="120"/>
        <w:ind w:left="360"/>
        <w:rPr>
          <w:rFonts w:ascii="Arial" w:hAnsi="Arial" w:cs="Arial"/>
        </w:rPr>
      </w:pPr>
      <w:r w:rsidRPr="00F40BA9">
        <w:rPr>
          <w:rFonts w:ascii="Arial" w:hAnsi="Arial" w:cs="Arial"/>
        </w:rPr>
        <w:t xml:space="preserve">Government costs will also include personnel costs for providing technical assistance to </w:t>
      </w:r>
      <w:r>
        <w:rPr>
          <w:rFonts w:ascii="Arial" w:hAnsi="Arial" w:cs="Arial"/>
        </w:rPr>
        <w:t>awardees</w:t>
      </w:r>
      <w:r w:rsidRPr="00F40BA9">
        <w:rPr>
          <w:rFonts w:ascii="Arial" w:hAnsi="Arial" w:cs="Arial"/>
        </w:rPr>
        <w:t xml:space="preserve"> and time for federal project officers to review and approval annual reports.  These tasks will be completed by 10 federal project officers at Grade 13 Step 5 ($50.20 hourly rate</w:t>
      </w:r>
      <w:r w:rsidR="00821327">
        <w:rPr>
          <w:rFonts w:ascii="Arial" w:hAnsi="Arial" w:cs="Arial"/>
        </w:rPr>
        <w:t>; Office of Personnel Management, 2018</w:t>
      </w:r>
      <w:r w:rsidR="00821327">
        <w:rPr>
          <w:rFonts w:ascii="Arial" w:hAnsi="Arial" w:cs="Arial"/>
          <w:vertAlign w:val="superscript"/>
        </w:rPr>
        <w:t>3</w:t>
      </w:r>
      <w:r w:rsidRPr="00F40BA9">
        <w:rPr>
          <w:rFonts w:ascii="Arial" w:hAnsi="Arial" w:cs="Arial"/>
        </w:rPr>
        <w:t xml:space="preserve">) for </w:t>
      </w:r>
      <w:r>
        <w:rPr>
          <w:rFonts w:ascii="Arial" w:hAnsi="Arial" w:cs="Arial"/>
        </w:rPr>
        <w:t>104</w:t>
      </w:r>
      <w:r w:rsidRPr="00F40BA9">
        <w:rPr>
          <w:rFonts w:ascii="Arial" w:hAnsi="Arial" w:cs="Arial"/>
        </w:rPr>
        <w:t xml:space="preserve"> hours each, or a total annual level of effort of </w:t>
      </w:r>
      <w:r>
        <w:rPr>
          <w:rFonts w:ascii="Arial" w:hAnsi="Arial" w:cs="Arial"/>
        </w:rPr>
        <w:t>1,040</w:t>
      </w:r>
      <w:r w:rsidRPr="00F40BA9">
        <w:rPr>
          <w:rFonts w:ascii="Arial" w:hAnsi="Arial" w:cs="Arial"/>
        </w:rPr>
        <w:t xml:space="preserve"> hours.   </w:t>
      </w:r>
    </w:p>
    <w:p w14:paraId="2F9D54A5" w14:textId="35A9725B" w:rsidR="00D44E3D" w:rsidRPr="002D12D3" w:rsidRDefault="00F84356" w:rsidP="00F84356">
      <w:pPr>
        <w:pStyle w:val="BodyTextIndent"/>
        <w:spacing w:before="120"/>
        <w:ind w:left="360"/>
        <w:rPr>
          <w:rFonts w:ascii="Arial" w:hAnsi="Arial" w:cs="Arial"/>
        </w:rPr>
      </w:pPr>
      <w:r>
        <w:rPr>
          <w:rFonts w:ascii="Arial" w:hAnsi="Arial" w:cs="Arial"/>
        </w:rPr>
        <w:t>The total annual cost to the Federal Government for this requirement is estimated at $278,301</w:t>
      </w:r>
      <w:r w:rsidR="00D44E3D">
        <w:rPr>
          <w:rFonts w:ascii="Arial" w:hAnsi="Arial" w:cs="Arial"/>
        </w:rPr>
        <w:t xml:space="preserve"> </w:t>
      </w:r>
    </w:p>
    <w:p w14:paraId="41C5141C"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14:paraId="40A14BAA" w14:textId="65EFDA47" w:rsidR="009B3794" w:rsidRPr="00C45431" w:rsidRDefault="009B3794" w:rsidP="00CA3DA6">
      <w:pPr>
        <w:pStyle w:val="BodyTextIndent"/>
        <w:spacing w:before="120"/>
        <w:ind w:left="360"/>
        <w:rPr>
          <w:rFonts w:ascii="Arial" w:hAnsi="Arial" w:cs="Arial"/>
          <w:b/>
        </w:rPr>
      </w:pPr>
      <w:r w:rsidRPr="00C45431">
        <w:rPr>
          <w:rFonts w:ascii="Arial" w:hAnsi="Arial" w:cs="Arial"/>
        </w:rPr>
        <w:t xml:space="preserve">This is a </w:t>
      </w:r>
      <w:r w:rsidR="00C1716C">
        <w:rPr>
          <w:rFonts w:ascii="Arial" w:hAnsi="Arial" w:cs="Arial"/>
        </w:rPr>
        <w:t>revised</w:t>
      </w:r>
      <w:r w:rsidR="00C1716C" w:rsidRPr="00C45431">
        <w:rPr>
          <w:rFonts w:ascii="Arial" w:hAnsi="Arial" w:cs="Arial"/>
        </w:rPr>
        <w:t xml:space="preserve"> </w:t>
      </w:r>
      <w:r w:rsidR="00FE6C30" w:rsidRPr="00C45431">
        <w:rPr>
          <w:rFonts w:ascii="Arial" w:hAnsi="Arial" w:cs="Arial"/>
        </w:rPr>
        <w:t>information</w:t>
      </w:r>
      <w:r w:rsidRPr="00C45431">
        <w:rPr>
          <w:rFonts w:ascii="Arial" w:hAnsi="Arial" w:cs="Arial"/>
        </w:rPr>
        <w:t xml:space="preserve"> collection</w:t>
      </w:r>
      <w:r w:rsidR="00C1716C">
        <w:rPr>
          <w:rFonts w:ascii="Arial" w:hAnsi="Arial" w:cs="Arial"/>
        </w:rPr>
        <w:t xml:space="preserve"> request</w:t>
      </w:r>
      <w:r w:rsidRPr="00C45431">
        <w:rPr>
          <w:rFonts w:ascii="Arial" w:hAnsi="Arial" w:cs="Arial"/>
        </w:rPr>
        <w:t>.</w:t>
      </w:r>
      <w:r w:rsidR="00C1716C">
        <w:rPr>
          <w:rFonts w:ascii="Arial" w:hAnsi="Arial" w:cs="Arial"/>
        </w:rPr>
        <w:t xml:space="preserve">  Explanation for revisions are provided in Section 2.</w:t>
      </w:r>
      <w:r w:rsidR="00B13485">
        <w:rPr>
          <w:rFonts w:ascii="Arial" w:hAnsi="Arial" w:cs="Arial"/>
        </w:rPr>
        <w:t xml:space="preserve">  The current hour burden inventory is 13,440 with this revision requesting 13,376 hours.  </w:t>
      </w:r>
    </w:p>
    <w:p w14:paraId="06E09C44" w14:textId="77777777" w:rsidR="009B3794" w:rsidRPr="00D82F0E" w:rsidRDefault="009B3794" w:rsidP="00CA3DA6">
      <w:pPr>
        <w:numPr>
          <w:ilvl w:val="0"/>
          <w:numId w:val="2"/>
        </w:numPr>
        <w:tabs>
          <w:tab w:val="clear" w:pos="1080"/>
          <w:tab w:val="num" w:pos="360"/>
        </w:tabs>
        <w:spacing w:before="240"/>
        <w:ind w:left="360"/>
        <w:rPr>
          <w:rFonts w:ascii="Arial" w:hAnsi="Arial" w:cs="Arial"/>
          <w:b/>
          <w:sz w:val="24"/>
        </w:rPr>
      </w:pPr>
      <w:r w:rsidRPr="00D82F0E">
        <w:rPr>
          <w:rFonts w:ascii="Arial" w:hAnsi="Arial" w:cs="Arial"/>
          <w:b/>
          <w:sz w:val="24"/>
          <w:u w:val="single"/>
        </w:rPr>
        <w:t>Plans for Tabulation</w:t>
      </w:r>
      <w:r w:rsidR="002118B4" w:rsidRPr="00D82F0E">
        <w:rPr>
          <w:rFonts w:ascii="Arial" w:hAnsi="Arial" w:cs="Arial"/>
          <w:b/>
          <w:sz w:val="24"/>
          <w:u w:val="single"/>
        </w:rPr>
        <w:t xml:space="preserve">, </w:t>
      </w:r>
      <w:r w:rsidRPr="00D82F0E">
        <w:rPr>
          <w:rFonts w:ascii="Arial" w:hAnsi="Arial" w:cs="Arial"/>
          <w:b/>
          <w:sz w:val="24"/>
          <w:u w:val="single"/>
        </w:rPr>
        <w:t>Publication</w:t>
      </w:r>
      <w:r w:rsidR="002118B4" w:rsidRPr="00D82F0E">
        <w:rPr>
          <w:rFonts w:ascii="Arial" w:hAnsi="Arial" w:cs="Arial"/>
          <w:b/>
          <w:sz w:val="24"/>
          <w:u w:val="single"/>
        </w:rPr>
        <w:t>,</w:t>
      </w:r>
      <w:r w:rsidRPr="00D82F0E">
        <w:rPr>
          <w:rFonts w:ascii="Arial" w:hAnsi="Arial" w:cs="Arial"/>
          <w:b/>
          <w:sz w:val="24"/>
          <w:u w:val="single"/>
        </w:rPr>
        <w:t xml:space="preserve"> and Project Time Schedule</w:t>
      </w:r>
    </w:p>
    <w:p w14:paraId="71D79891" w14:textId="143467CF" w:rsidR="00BE7B03" w:rsidRDefault="00BE7B03" w:rsidP="00CA3DA6">
      <w:pPr>
        <w:spacing w:before="120"/>
        <w:ind w:left="360"/>
        <w:rPr>
          <w:rFonts w:ascii="Arial" w:hAnsi="Arial" w:cs="Arial"/>
          <w:sz w:val="24"/>
        </w:rPr>
      </w:pPr>
      <w:r>
        <w:rPr>
          <w:rFonts w:ascii="Arial" w:hAnsi="Arial" w:cs="Arial"/>
          <w:sz w:val="24"/>
        </w:rPr>
        <w:t>Aggregation and d</w:t>
      </w:r>
      <w:r w:rsidR="00D44E3D">
        <w:rPr>
          <w:rFonts w:ascii="Arial" w:hAnsi="Arial" w:cs="Arial"/>
          <w:sz w:val="24"/>
        </w:rPr>
        <w:t xml:space="preserve">escriptive statistics on quarterly data will be conducted in order to summarize the performance of both </w:t>
      </w:r>
      <w:r w:rsidR="00C1716C">
        <w:rPr>
          <w:rFonts w:ascii="Arial" w:hAnsi="Arial" w:cs="Arial"/>
          <w:sz w:val="24"/>
        </w:rPr>
        <w:t>awardees</w:t>
      </w:r>
      <w:r w:rsidR="00D44E3D">
        <w:rPr>
          <w:rFonts w:ascii="Arial" w:hAnsi="Arial" w:cs="Arial"/>
          <w:sz w:val="24"/>
        </w:rPr>
        <w:t xml:space="preserve">, as well as the program as a whole.  This summary information may be made public through data briefs, </w:t>
      </w:r>
      <w:r>
        <w:rPr>
          <w:rFonts w:ascii="Arial" w:hAnsi="Arial" w:cs="Arial"/>
          <w:sz w:val="24"/>
        </w:rPr>
        <w:t>fact sheets, professional presentations, and/or published manuscripts.</w:t>
      </w:r>
    </w:p>
    <w:p w14:paraId="361E8EA2" w14:textId="60DB0DFA" w:rsidR="00C1716C" w:rsidRDefault="00C1716C" w:rsidP="00C1716C">
      <w:pPr>
        <w:spacing w:before="120"/>
        <w:ind w:left="360"/>
        <w:rPr>
          <w:rFonts w:ascii="Arial" w:hAnsi="Arial" w:cs="Arial"/>
          <w:sz w:val="24"/>
        </w:rPr>
      </w:pPr>
      <w:r>
        <w:rPr>
          <w:rFonts w:ascii="Arial" w:hAnsi="Arial" w:cs="Arial"/>
          <w:sz w:val="24"/>
        </w:rPr>
        <w:t>For awardees who do not demonstrate improvement during the initial assessment and are required to submit more frequent benchmark performance data, time series comparisons of performance indicators and systems outcome benchmark performance data will be conducted. Performance values will be compared to prior quarter values in order to assess progress for demonstrating improvement in each benchmark area.  Where appropriate and applicable, performance data will be compared to state or national representative data sources.  Summary benchmark performance data may be made public through data briefs, fact sheets, professional presentations, and/or published manuscripts.</w:t>
      </w:r>
    </w:p>
    <w:p w14:paraId="6759D306" w14:textId="34BC7001" w:rsidR="00BE7B03" w:rsidRDefault="00C1716C" w:rsidP="00CA3DA6">
      <w:pPr>
        <w:spacing w:before="120"/>
        <w:ind w:left="360"/>
        <w:rPr>
          <w:rFonts w:ascii="Arial" w:hAnsi="Arial" w:cs="Arial"/>
          <w:sz w:val="24"/>
        </w:rPr>
      </w:pPr>
      <w:r>
        <w:rPr>
          <w:rFonts w:ascii="Arial" w:hAnsi="Arial" w:cs="Arial"/>
          <w:sz w:val="24"/>
        </w:rPr>
        <w:t xml:space="preserve">HRSA is requesting a </w:t>
      </w:r>
      <w:r w:rsidR="00A37603">
        <w:rPr>
          <w:rFonts w:ascii="Arial" w:hAnsi="Arial" w:cs="Arial"/>
          <w:sz w:val="24"/>
        </w:rPr>
        <w:t>three-year</w:t>
      </w:r>
      <w:r>
        <w:rPr>
          <w:rFonts w:ascii="Arial" w:hAnsi="Arial" w:cs="Arial"/>
          <w:sz w:val="24"/>
        </w:rPr>
        <w:t xml:space="preserve"> clearance extension beyond the original expiration date of 3/31/2019 for this data collection activity. </w:t>
      </w:r>
      <w:r w:rsidR="00BE7B03">
        <w:rPr>
          <w:rFonts w:ascii="Arial" w:hAnsi="Arial" w:cs="Arial"/>
          <w:sz w:val="24"/>
        </w:rPr>
        <w:t>Project Timeline</w:t>
      </w:r>
    </w:p>
    <w:p w14:paraId="5E101296" w14:textId="77777777" w:rsidR="00816AE9" w:rsidRDefault="00816AE9" w:rsidP="00CA3DA6">
      <w:pPr>
        <w:spacing w:before="120"/>
        <w:ind w:left="360"/>
        <w:rPr>
          <w:rFonts w:ascii="Arial" w:hAnsi="Arial" w:cs="Arial"/>
          <w:sz w:val="24"/>
        </w:rPr>
      </w:pPr>
    </w:p>
    <w:tbl>
      <w:tblPr>
        <w:tblStyle w:val="TableGrid"/>
        <w:tblW w:w="0" w:type="auto"/>
        <w:tblInd w:w="360" w:type="dxa"/>
        <w:tblLook w:val="04A0" w:firstRow="1" w:lastRow="0" w:firstColumn="1" w:lastColumn="0" w:noHBand="0" w:noVBand="1"/>
      </w:tblPr>
      <w:tblGrid>
        <w:gridCol w:w="4511"/>
        <w:gridCol w:w="4479"/>
      </w:tblGrid>
      <w:tr w:rsidR="00D82F0E" w14:paraId="688D8D0D" w14:textId="77777777" w:rsidTr="00816AE9">
        <w:tc>
          <w:tcPr>
            <w:tcW w:w="4511" w:type="dxa"/>
          </w:tcPr>
          <w:p w14:paraId="7C01733B" w14:textId="77777777" w:rsidR="00D82F0E" w:rsidRPr="00D82F0E" w:rsidRDefault="00D82F0E" w:rsidP="00CA3DA6">
            <w:pPr>
              <w:spacing w:before="120"/>
              <w:rPr>
                <w:rFonts w:ascii="Arial" w:hAnsi="Arial" w:cs="Arial"/>
                <w:b/>
                <w:sz w:val="24"/>
              </w:rPr>
            </w:pPr>
            <w:r w:rsidRPr="00D82F0E">
              <w:rPr>
                <w:rFonts w:ascii="Arial" w:hAnsi="Arial" w:cs="Arial"/>
                <w:b/>
                <w:sz w:val="24"/>
              </w:rPr>
              <w:t>Activity</w:t>
            </w:r>
          </w:p>
        </w:tc>
        <w:tc>
          <w:tcPr>
            <w:tcW w:w="4479" w:type="dxa"/>
          </w:tcPr>
          <w:p w14:paraId="5EAE8768" w14:textId="77777777" w:rsidR="00D82F0E" w:rsidRPr="00D82F0E" w:rsidRDefault="00D82F0E" w:rsidP="00CA3DA6">
            <w:pPr>
              <w:spacing w:before="120"/>
              <w:rPr>
                <w:rFonts w:ascii="Arial" w:hAnsi="Arial" w:cs="Arial"/>
                <w:b/>
                <w:sz w:val="24"/>
              </w:rPr>
            </w:pPr>
            <w:r w:rsidRPr="00D82F0E">
              <w:rPr>
                <w:rFonts w:ascii="Arial" w:hAnsi="Arial" w:cs="Arial"/>
                <w:b/>
                <w:sz w:val="24"/>
              </w:rPr>
              <w:t>Time Schedule</w:t>
            </w:r>
          </w:p>
        </w:tc>
      </w:tr>
      <w:tr w:rsidR="00D82F0E" w14:paraId="191EEA97" w14:textId="77777777" w:rsidTr="00816AE9">
        <w:tc>
          <w:tcPr>
            <w:tcW w:w="4511" w:type="dxa"/>
          </w:tcPr>
          <w:p w14:paraId="1969179F" w14:textId="54534532" w:rsidR="00D82F0E" w:rsidRDefault="00D82F0E" w:rsidP="00C1716C">
            <w:pPr>
              <w:spacing w:before="120"/>
              <w:rPr>
                <w:rFonts w:ascii="Arial" w:hAnsi="Arial" w:cs="Arial"/>
                <w:sz w:val="24"/>
              </w:rPr>
            </w:pPr>
            <w:r>
              <w:rPr>
                <w:rFonts w:ascii="Arial" w:hAnsi="Arial" w:cs="Arial"/>
                <w:sz w:val="24"/>
              </w:rPr>
              <w:t xml:space="preserve">Distribute data collection forms and instructions to MIECHV </w:t>
            </w:r>
            <w:r w:rsidR="00C1716C">
              <w:rPr>
                <w:rFonts w:ascii="Arial" w:hAnsi="Arial" w:cs="Arial"/>
                <w:sz w:val="24"/>
              </w:rPr>
              <w:t>awardees</w:t>
            </w:r>
          </w:p>
        </w:tc>
        <w:tc>
          <w:tcPr>
            <w:tcW w:w="4479" w:type="dxa"/>
          </w:tcPr>
          <w:p w14:paraId="6FBBF7D0" w14:textId="77777777" w:rsidR="00D82F0E" w:rsidRDefault="00D82F0E" w:rsidP="00CA3DA6">
            <w:pPr>
              <w:spacing w:before="120"/>
              <w:rPr>
                <w:rFonts w:ascii="Arial" w:hAnsi="Arial" w:cs="Arial"/>
                <w:sz w:val="24"/>
              </w:rPr>
            </w:pPr>
            <w:r>
              <w:rPr>
                <w:rFonts w:ascii="Arial" w:hAnsi="Arial" w:cs="Arial"/>
                <w:sz w:val="24"/>
              </w:rPr>
              <w:t>Immediately following OMB approval</w:t>
            </w:r>
          </w:p>
        </w:tc>
      </w:tr>
      <w:tr w:rsidR="00D82F0E" w14:paraId="65199F13" w14:textId="77777777" w:rsidTr="00816AE9">
        <w:tc>
          <w:tcPr>
            <w:tcW w:w="4511" w:type="dxa"/>
          </w:tcPr>
          <w:p w14:paraId="048B18F1" w14:textId="71D584D4" w:rsidR="00D82F0E" w:rsidRDefault="00D82F0E" w:rsidP="00C1716C">
            <w:pPr>
              <w:spacing w:before="120"/>
              <w:rPr>
                <w:rFonts w:ascii="Arial" w:hAnsi="Arial" w:cs="Arial"/>
                <w:sz w:val="24"/>
              </w:rPr>
            </w:pPr>
            <w:r>
              <w:rPr>
                <w:rFonts w:ascii="Arial" w:hAnsi="Arial" w:cs="Arial"/>
                <w:sz w:val="24"/>
              </w:rPr>
              <w:t>Quarterly Report due (</w:t>
            </w:r>
            <w:r w:rsidR="00C1716C">
              <w:rPr>
                <w:rFonts w:ascii="Arial" w:hAnsi="Arial" w:cs="Arial"/>
                <w:sz w:val="24"/>
              </w:rPr>
              <w:t>April-June 2019</w:t>
            </w:r>
            <w:r>
              <w:rPr>
                <w:rFonts w:ascii="Arial" w:hAnsi="Arial" w:cs="Arial"/>
                <w:sz w:val="24"/>
              </w:rPr>
              <w:t>)</w:t>
            </w:r>
          </w:p>
        </w:tc>
        <w:tc>
          <w:tcPr>
            <w:tcW w:w="4479" w:type="dxa"/>
          </w:tcPr>
          <w:p w14:paraId="67488B6C" w14:textId="0B8E3C64" w:rsidR="00D82F0E" w:rsidRDefault="00C1716C" w:rsidP="00CA3DA6">
            <w:pPr>
              <w:spacing w:before="120"/>
              <w:rPr>
                <w:rFonts w:ascii="Arial" w:hAnsi="Arial" w:cs="Arial"/>
                <w:sz w:val="24"/>
              </w:rPr>
            </w:pPr>
            <w:r>
              <w:rPr>
                <w:rFonts w:ascii="Arial" w:hAnsi="Arial" w:cs="Arial"/>
                <w:sz w:val="24"/>
              </w:rPr>
              <w:t>July 31, 2019</w:t>
            </w:r>
          </w:p>
        </w:tc>
      </w:tr>
      <w:tr w:rsidR="00D82F0E" w14:paraId="4228EA39" w14:textId="77777777" w:rsidTr="00816AE9">
        <w:tc>
          <w:tcPr>
            <w:tcW w:w="4511" w:type="dxa"/>
          </w:tcPr>
          <w:p w14:paraId="22F88AE0" w14:textId="51BE8808" w:rsidR="00D82F0E" w:rsidRDefault="00D82F0E" w:rsidP="00C1716C">
            <w:pPr>
              <w:spacing w:before="120"/>
              <w:rPr>
                <w:rFonts w:ascii="Arial" w:hAnsi="Arial" w:cs="Arial"/>
                <w:sz w:val="24"/>
              </w:rPr>
            </w:pPr>
            <w:r>
              <w:rPr>
                <w:rFonts w:ascii="Arial" w:hAnsi="Arial" w:cs="Arial"/>
                <w:sz w:val="24"/>
              </w:rPr>
              <w:t>Quarterly Report due (</w:t>
            </w:r>
            <w:r w:rsidR="00C1716C">
              <w:rPr>
                <w:rFonts w:ascii="Arial" w:hAnsi="Arial" w:cs="Arial"/>
                <w:sz w:val="24"/>
              </w:rPr>
              <w:t>July-September 2019</w:t>
            </w:r>
            <w:r>
              <w:rPr>
                <w:rFonts w:ascii="Arial" w:hAnsi="Arial" w:cs="Arial"/>
                <w:sz w:val="24"/>
              </w:rPr>
              <w:t>)</w:t>
            </w:r>
          </w:p>
        </w:tc>
        <w:tc>
          <w:tcPr>
            <w:tcW w:w="4479" w:type="dxa"/>
          </w:tcPr>
          <w:p w14:paraId="33F4673A" w14:textId="3D0F0EDB" w:rsidR="00D82F0E" w:rsidRDefault="00C1716C" w:rsidP="00CA3DA6">
            <w:pPr>
              <w:spacing w:before="120"/>
              <w:rPr>
                <w:rFonts w:ascii="Arial" w:hAnsi="Arial" w:cs="Arial"/>
                <w:sz w:val="24"/>
              </w:rPr>
            </w:pPr>
            <w:r>
              <w:rPr>
                <w:rFonts w:ascii="Arial" w:hAnsi="Arial" w:cs="Arial"/>
                <w:sz w:val="24"/>
              </w:rPr>
              <w:t>October 31, 2019</w:t>
            </w:r>
          </w:p>
        </w:tc>
      </w:tr>
      <w:tr w:rsidR="00D82F0E" w14:paraId="39A23185" w14:textId="77777777" w:rsidTr="00816AE9">
        <w:tc>
          <w:tcPr>
            <w:tcW w:w="4511" w:type="dxa"/>
          </w:tcPr>
          <w:p w14:paraId="36AE517E" w14:textId="4465BD0F" w:rsidR="00D82F0E" w:rsidRDefault="00D82F0E" w:rsidP="00C1716C">
            <w:pPr>
              <w:spacing w:before="120"/>
              <w:rPr>
                <w:rFonts w:ascii="Arial" w:hAnsi="Arial" w:cs="Arial"/>
                <w:sz w:val="24"/>
              </w:rPr>
            </w:pPr>
            <w:r>
              <w:rPr>
                <w:rFonts w:ascii="Arial" w:hAnsi="Arial" w:cs="Arial"/>
                <w:sz w:val="24"/>
              </w:rPr>
              <w:t>Quarterly Report due (</w:t>
            </w:r>
            <w:r w:rsidR="00C1716C">
              <w:rPr>
                <w:rFonts w:ascii="Arial" w:hAnsi="Arial" w:cs="Arial"/>
                <w:sz w:val="24"/>
              </w:rPr>
              <w:t>October-December 2019</w:t>
            </w:r>
            <w:r>
              <w:rPr>
                <w:rFonts w:ascii="Arial" w:hAnsi="Arial" w:cs="Arial"/>
                <w:sz w:val="24"/>
              </w:rPr>
              <w:t>)</w:t>
            </w:r>
          </w:p>
        </w:tc>
        <w:tc>
          <w:tcPr>
            <w:tcW w:w="4479" w:type="dxa"/>
          </w:tcPr>
          <w:p w14:paraId="58791EDF" w14:textId="75F2BA1D" w:rsidR="00D82F0E" w:rsidRDefault="00C1716C" w:rsidP="00CA3DA6">
            <w:pPr>
              <w:spacing w:before="120"/>
              <w:rPr>
                <w:rFonts w:ascii="Arial" w:hAnsi="Arial" w:cs="Arial"/>
                <w:sz w:val="24"/>
              </w:rPr>
            </w:pPr>
            <w:r>
              <w:rPr>
                <w:rFonts w:ascii="Arial" w:hAnsi="Arial" w:cs="Arial"/>
                <w:sz w:val="24"/>
              </w:rPr>
              <w:t>January 31, 2020</w:t>
            </w:r>
          </w:p>
        </w:tc>
      </w:tr>
      <w:tr w:rsidR="00D82F0E" w14:paraId="570843E7" w14:textId="77777777" w:rsidTr="00816AE9">
        <w:tc>
          <w:tcPr>
            <w:tcW w:w="4511" w:type="dxa"/>
          </w:tcPr>
          <w:p w14:paraId="1E52935C" w14:textId="4CFAA5DB" w:rsidR="00D82F0E" w:rsidRDefault="00D82F0E" w:rsidP="00C1716C">
            <w:pPr>
              <w:spacing w:before="120"/>
              <w:rPr>
                <w:rFonts w:ascii="Arial" w:hAnsi="Arial" w:cs="Arial"/>
                <w:sz w:val="24"/>
              </w:rPr>
            </w:pPr>
            <w:r>
              <w:rPr>
                <w:rFonts w:ascii="Arial" w:hAnsi="Arial" w:cs="Arial"/>
                <w:sz w:val="24"/>
              </w:rPr>
              <w:t>Quarterly Report due (</w:t>
            </w:r>
            <w:r w:rsidR="00C1716C">
              <w:rPr>
                <w:rFonts w:ascii="Arial" w:hAnsi="Arial" w:cs="Arial"/>
                <w:sz w:val="24"/>
              </w:rPr>
              <w:t>January-March 2020</w:t>
            </w:r>
            <w:r>
              <w:rPr>
                <w:rFonts w:ascii="Arial" w:hAnsi="Arial" w:cs="Arial"/>
                <w:sz w:val="24"/>
              </w:rPr>
              <w:t>)</w:t>
            </w:r>
          </w:p>
        </w:tc>
        <w:tc>
          <w:tcPr>
            <w:tcW w:w="4479" w:type="dxa"/>
          </w:tcPr>
          <w:p w14:paraId="60EBF44E" w14:textId="6765E567" w:rsidR="00D82F0E" w:rsidRDefault="00C1716C" w:rsidP="00CA3DA6">
            <w:pPr>
              <w:spacing w:before="120"/>
              <w:rPr>
                <w:rFonts w:ascii="Arial" w:hAnsi="Arial" w:cs="Arial"/>
                <w:sz w:val="24"/>
              </w:rPr>
            </w:pPr>
            <w:r>
              <w:rPr>
                <w:rFonts w:ascii="Arial" w:hAnsi="Arial" w:cs="Arial"/>
                <w:sz w:val="24"/>
              </w:rPr>
              <w:t>April 30, 2020</w:t>
            </w:r>
          </w:p>
        </w:tc>
      </w:tr>
      <w:tr w:rsidR="00D82F0E" w14:paraId="75AEFB7F" w14:textId="77777777" w:rsidTr="00816AE9">
        <w:tc>
          <w:tcPr>
            <w:tcW w:w="8990" w:type="dxa"/>
            <w:gridSpan w:val="2"/>
          </w:tcPr>
          <w:p w14:paraId="7321E083" w14:textId="77777777" w:rsidR="00D82F0E" w:rsidRDefault="00D82F0E" w:rsidP="00CA3DA6">
            <w:pPr>
              <w:spacing w:before="120"/>
              <w:rPr>
                <w:rFonts w:ascii="Arial" w:hAnsi="Arial" w:cs="Arial"/>
                <w:sz w:val="24"/>
              </w:rPr>
            </w:pPr>
            <w:r>
              <w:rPr>
                <w:rFonts w:ascii="Arial" w:hAnsi="Arial" w:cs="Arial"/>
                <w:sz w:val="24"/>
              </w:rPr>
              <w:t>Quarterly reporting will continue on an annual schedule throughout the OMB approved clearance timeframe</w:t>
            </w:r>
            <w:r w:rsidR="007C68ED">
              <w:rPr>
                <w:rFonts w:ascii="Arial" w:hAnsi="Arial" w:cs="Arial"/>
                <w:sz w:val="24"/>
              </w:rPr>
              <w:t>.</w:t>
            </w:r>
            <w:r>
              <w:rPr>
                <w:rFonts w:ascii="Arial" w:hAnsi="Arial" w:cs="Arial"/>
                <w:sz w:val="24"/>
              </w:rPr>
              <w:t xml:space="preserve"> </w:t>
            </w:r>
          </w:p>
        </w:tc>
      </w:tr>
    </w:tbl>
    <w:p w14:paraId="54F3255B" w14:textId="77777777" w:rsidR="00D44E3D" w:rsidRDefault="00BE7B03" w:rsidP="00CA3DA6">
      <w:pPr>
        <w:spacing w:before="120"/>
        <w:ind w:left="360"/>
        <w:rPr>
          <w:rFonts w:ascii="Arial" w:hAnsi="Arial" w:cs="Arial"/>
          <w:sz w:val="24"/>
        </w:rPr>
      </w:pPr>
      <w:r>
        <w:rPr>
          <w:rFonts w:ascii="Arial" w:hAnsi="Arial" w:cs="Arial"/>
          <w:sz w:val="24"/>
        </w:rPr>
        <w:t xml:space="preserve">   </w:t>
      </w:r>
    </w:p>
    <w:p w14:paraId="0EECF565"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14:paraId="338ED54C" w14:textId="1387B4B1" w:rsidR="009B3794" w:rsidRPr="009B3E2C" w:rsidRDefault="00D11CA3" w:rsidP="00CA3DA6">
      <w:pPr>
        <w:pStyle w:val="BodyTextIndent"/>
        <w:spacing w:before="120"/>
        <w:ind w:left="360"/>
        <w:rPr>
          <w:rFonts w:ascii="Arial" w:hAnsi="Arial" w:cs="Arial"/>
        </w:rPr>
      </w:pPr>
      <w:r w:rsidRPr="009B3E2C">
        <w:rPr>
          <w:rFonts w:ascii="Arial" w:hAnsi="Arial" w:cs="Arial"/>
        </w:rPr>
        <w:t xml:space="preserve">The OMB number and </w:t>
      </w:r>
      <w:r w:rsidR="00C1716C">
        <w:rPr>
          <w:rFonts w:ascii="Arial" w:hAnsi="Arial" w:cs="Arial"/>
        </w:rPr>
        <w:t>e</w:t>
      </w:r>
      <w:r w:rsidR="00C1716C" w:rsidRPr="009B3E2C">
        <w:rPr>
          <w:rFonts w:ascii="Arial" w:hAnsi="Arial" w:cs="Arial"/>
        </w:rPr>
        <w:t xml:space="preserve">xpiration </w:t>
      </w:r>
      <w:r w:rsidRPr="009B3E2C">
        <w:rPr>
          <w:rFonts w:ascii="Arial" w:hAnsi="Arial" w:cs="Arial"/>
        </w:rPr>
        <w:t>date will be displayed on every page of every form/instrument.</w:t>
      </w:r>
    </w:p>
    <w:p w14:paraId="09998188" w14:textId="77777777" w:rsidR="009B3794" w:rsidRPr="00C45431" w:rsidRDefault="009B3794" w:rsidP="00CA3DA6">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14:paraId="610AE55E" w14:textId="3F969E7E" w:rsidR="009B3794" w:rsidRDefault="009B3794" w:rsidP="00CA3DA6">
      <w:pPr>
        <w:pStyle w:val="BodyTextIndent"/>
        <w:spacing w:before="120"/>
        <w:ind w:left="360"/>
        <w:rPr>
          <w:rFonts w:ascii="Arial" w:hAnsi="Arial" w:cs="Arial"/>
        </w:rPr>
      </w:pPr>
      <w:r w:rsidRPr="00991936">
        <w:rPr>
          <w:rFonts w:ascii="Arial" w:hAnsi="Arial" w:cs="Arial"/>
        </w:rPr>
        <w:t>There are no exceptions to the certification.</w:t>
      </w:r>
    </w:p>
    <w:p w14:paraId="45582A6A" w14:textId="77777777" w:rsidR="00821327" w:rsidRDefault="00821327" w:rsidP="00821327">
      <w:pPr>
        <w:widowControl/>
        <w:autoSpaceDE/>
        <w:autoSpaceDN/>
        <w:adjustRightInd/>
        <w:rPr>
          <w:rFonts w:ascii="Arial" w:hAnsi="Arial" w:cs="Arial"/>
          <w:b/>
          <w:sz w:val="24"/>
          <w:u w:val="single"/>
        </w:rPr>
      </w:pPr>
    </w:p>
    <w:p w14:paraId="7D36124F" w14:textId="6C459AFF" w:rsidR="00821327" w:rsidRPr="00821327" w:rsidRDefault="00821327" w:rsidP="00821327">
      <w:pPr>
        <w:widowControl/>
        <w:autoSpaceDE/>
        <w:autoSpaceDN/>
        <w:adjustRightInd/>
        <w:rPr>
          <w:rFonts w:ascii="Arial" w:hAnsi="Arial" w:cs="Arial"/>
          <w:b/>
          <w:sz w:val="24"/>
          <w:u w:val="single"/>
        </w:rPr>
      </w:pPr>
      <w:r w:rsidRPr="00821327">
        <w:rPr>
          <w:rFonts w:ascii="Arial" w:hAnsi="Arial" w:cs="Arial"/>
          <w:b/>
          <w:sz w:val="24"/>
          <w:u w:val="single"/>
        </w:rPr>
        <w:t xml:space="preserve">List of Attachments </w:t>
      </w:r>
    </w:p>
    <w:p w14:paraId="5E5BE7D3" w14:textId="77777777" w:rsidR="00821327" w:rsidRPr="00821327" w:rsidRDefault="00821327" w:rsidP="00821327">
      <w:pPr>
        <w:widowControl/>
        <w:autoSpaceDE/>
        <w:autoSpaceDN/>
        <w:adjustRightInd/>
        <w:rPr>
          <w:rFonts w:ascii="Arial" w:hAnsi="Arial" w:cs="Arial"/>
          <w:sz w:val="24"/>
        </w:rPr>
      </w:pPr>
    </w:p>
    <w:p w14:paraId="14C39042" w14:textId="211143C6" w:rsidR="00821327" w:rsidRPr="00821327" w:rsidRDefault="00821327" w:rsidP="00821327">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A</w:t>
      </w:r>
      <w:r w:rsidRPr="00821327">
        <w:rPr>
          <w:rFonts w:ascii="Arial" w:hAnsi="Arial" w:cs="Arial"/>
          <w:sz w:val="24"/>
        </w:rPr>
        <w:t xml:space="preserve">.  </w:t>
      </w:r>
      <w:r>
        <w:rPr>
          <w:rFonts w:ascii="Arial" w:hAnsi="Arial" w:cs="Arial"/>
          <w:sz w:val="24"/>
        </w:rPr>
        <w:t>MIECHV Quarterly Performance Report</w:t>
      </w:r>
    </w:p>
    <w:p w14:paraId="6D5F4A60" w14:textId="0C6CB374" w:rsidR="00821327" w:rsidRPr="00821327" w:rsidRDefault="00821327" w:rsidP="00821327">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B</w:t>
      </w:r>
      <w:r w:rsidRPr="00821327">
        <w:rPr>
          <w:rFonts w:ascii="Arial" w:hAnsi="Arial" w:cs="Arial"/>
          <w:sz w:val="24"/>
        </w:rPr>
        <w:t>.  60-day Federal Register Notice</w:t>
      </w:r>
    </w:p>
    <w:p w14:paraId="3CAD8F24" w14:textId="5EA57738" w:rsidR="00821327" w:rsidRDefault="00821327" w:rsidP="00821327">
      <w:pPr>
        <w:widowControl/>
        <w:autoSpaceDE/>
        <w:autoSpaceDN/>
        <w:adjustRightInd/>
        <w:rPr>
          <w:rFonts w:ascii="Arial" w:hAnsi="Arial" w:cs="Arial"/>
          <w:sz w:val="24"/>
        </w:rPr>
      </w:pPr>
      <w:r w:rsidRPr="00821327">
        <w:rPr>
          <w:rFonts w:ascii="Arial" w:hAnsi="Arial" w:cs="Arial"/>
          <w:sz w:val="24"/>
        </w:rPr>
        <w:t xml:space="preserve">Attachment </w:t>
      </w:r>
      <w:r>
        <w:rPr>
          <w:rFonts w:ascii="Arial" w:hAnsi="Arial" w:cs="Arial"/>
          <w:sz w:val="24"/>
        </w:rPr>
        <w:t>C</w:t>
      </w:r>
      <w:r w:rsidRPr="00821327">
        <w:rPr>
          <w:rFonts w:ascii="Arial" w:hAnsi="Arial" w:cs="Arial"/>
          <w:sz w:val="24"/>
        </w:rPr>
        <w:t xml:space="preserve">.  </w:t>
      </w:r>
      <w:r>
        <w:rPr>
          <w:rFonts w:ascii="Arial" w:hAnsi="Arial" w:cs="Arial"/>
          <w:sz w:val="24"/>
        </w:rPr>
        <w:t xml:space="preserve">HRSA Response to Comments Received </w:t>
      </w:r>
    </w:p>
    <w:p w14:paraId="383F0F15" w14:textId="4EC8E2FA" w:rsidR="00821327" w:rsidRPr="00821327" w:rsidRDefault="00821327" w:rsidP="00821327">
      <w:pPr>
        <w:widowControl/>
        <w:autoSpaceDE/>
        <w:autoSpaceDN/>
        <w:adjustRightInd/>
        <w:rPr>
          <w:rFonts w:ascii="Arial" w:hAnsi="Arial" w:cs="Arial"/>
          <w:sz w:val="32"/>
        </w:rPr>
      </w:pPr>
      <w:r w:rsidRPr="00821327">
        <w:rPr>
          <w:rFonts w:ascii="Arial" w:hAnsi="Arial" w:cs="Arial"/>
          <w:sz w:val="24"/>
        </w:rPr>
        <w:t xml:space="preserve">Attachment </w:t>
      </w:r>
      <w:r>
        <w:rPr>
          <w:rFonts w:ascii="Arial" w:hAnsi="Arial" w:cs="Arial"/>
          <w:sz w:val="24"/>
        </w:rPr>
        <w:t>D</w:t>
      </w:r>
      <w:r w:rsidRPr="00821327">
        <w:rPr>
          <w:rFonts w:ascii="Arial" w:hAnsi="Arial" w:cs="Arial"/>
          <w:sz w:val="24"/>
        </w:rPr>
        <w:t>.  Individual Comments Received in Response to 60-Day Federal Register Notice</w:t>
      </w:r>
    </w:p>
    <w:sectPr w:rsidR="00821327" w:rsidRPr="00821327" w:rsidSect="00F5723C">
      <w:footerReference w:type="default" r:id="rId12"/>
      <w:endnotePr>
        <w:numFmt w:val="decimal"/>
      </w:endnotePr>
      <w:type w:val="continuous"/>
      <w:pgSz w:w="12240" w:h="15840"/>
      <w:pgMar w:top="1440" w:right="1440" w:bottom="1440" w:left="1440" w:header="1440" w:footer="43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3DC9F" w14:textId="77777777" w:rsidR="006E11FE" w:rsidRDefault="006E11FE">
      <w:r>
        <w:separator/>
      </w:r>
    </w:p>
  </w:endnote>
  <w:endnote w:type="continuationSeparator" w:id="0">
    <w:p w14:paraId="38CD17FE" w14:textId="77777777" w:rsidR="006E11FE" w:rsidRDefault="006E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9D9FD" w14:textId="77777777" w:rsidR="00D92E1D" w:rsidRDefault="00D92E1D">
    <w:pPr>
      <w:spacing w:line="240" w:lineRule="exact"/>
    </w:pPr>
  </w:p>
  <w:p w14:paraId="5B7CB30C" w14:textId="20C5B92C" w:rsidR="00D92E1D" w:rsidRPr="00F5723C" w:rsidRDefault="00B655C6">
    <w:pPr>
      <w:framePr w:w="9361" w:wrap="notBeside" w:vAnchor="text" w:hAnchor="text" w:x="1" w:y="1"/>
      <w:jc w:val="center"/>
      <w:rPr>
        <w:rFonts w:ascii="Arial" w:hAnsi="Arial" w:cs="Arial"/>
        <w:sz w:val="24"/>
      </w:rPr>
    </w:pPr>
    <w:r w:rsidRPr="00F5723C">
      <w:rPr>
        <w:rFonts w:ascii="Arial" w:hAnsi="Arial" w:cs="Arial"/>
        <w:sz w:val="24"/>
      </w:rPr>
      <w:fldChar w:fldCharType="begin"/>
    </w:r>
    <w:r w:rsidR="00D92E1D" w:rsidRPr="00F5723C">
      <w:rPr>
        <w:rFonts w:ascii="Arial" w:hAnsi="Arial" w:cs="Arial"/>
        <w:sz w:val="24"/>
      </w:rPr>
      <w:instrText xml:space="preserve">PAGE </w:instrText>
    </w:r>
    <w:r w:rsidRPr="00F5723C">
      <w:rPr>
        <w:rFonts w:ascii="Arial" w:hAnsi="Arial" w:cs="Arial"/>
        <w:sz w:val="24"/>
      </w:rPr>
      <w:fldChar w:fldCharType="separate"/>
    </w:r>
    <w:r w:rsidR="00B1340F">
      <w:rPr>
        <w:rFonts w:ascii="Arial" w:hAnsi="Arial" w:cs="Arial"/>
        <w:noProof/>
        <w:sz w:val="24"/>
      </w:rPr>
      <w:t>1</w:t>
    </w:r>
    <w:r w:rsidRPr="00F5723C">
      <w:rPr>
        <w:rFonts w:ascii="Arial" w:hAnsi="Arial" w:cs="Arial"/>
        <w:sz w:val="24"/>
      </w:rPr>
      <w:fldChar w:fldCharType="end"/>
    </w:r>
  </w:p>
  <w:p w14:paraId="59EDC22D"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064FDB" w14:textId="77777777" w:rsidR="006E11FE" w:rsidRDefault="006E11FE">
      <w:r>
        <w:separator/>
      </w:r>
    </w:p>
  </w:footnote>
  <w:footnote w:type="continuationSeparator" w:id="0">
    <w:p w14:paraId="22187467" w14:textId="77777777" w:rsidR="006E11FE" w:rsidRDefault="006E11FE">
      <w:r>
        <w:continuationSeparator/>
      </w:r>
    </w:p>
  </w:footnote>
  <w:footnote w:id="1">
    <w:p w14:paraId="38BCAFF2" w14:textId="006BF2FF" w:rsidR="00217DAC" w:rsidRPr="00734A26" w:rsidRDefault="00217DAC" w:rsidP="00217DAC">
      <w:pPr>
        <w:pStyle w:val="FootnoteText"/>
        <w:rPr>
          <w:rFonts w:ascii="Arial" w:hAnsi="Arial" w:cs="Arial"/>
          <w:sz w:val="16"/>
          <w:vertAlign w:val="superscript"/>
        </w:rPr>
      </w:pPr>
    </w:p>
  </w:footnote>
  <w:footnote w:id="2">
    <w:p w14:paraId="10B666E4" w14:textId="5E16A578" w:rsidR="00F84356" w:rsidRDefault="00F84356">
      <w:pPr>
        <w:pStyle w:val="FootnoteText"/>
      </w:pPr>
      <w:r w:rsidRPr="00816AE9">
        <w:rPr>
          <w:rStyle w:val="FootnoteReference"/>
          <w:rFonts w:ascii="Arial" w:hAnsi="Arial" w:cs="Arial"/>
          <w:vertAlign w:val="superscript"/>
        </w:rPr>
        <w:footnoteRef/>
      </w:r>
      <w:r w:rsidRPr="00816AE9">
        <w:rPr>
          <w:sz w:val="24"/>
        </w:rPr>
        <w:t xml:space="preserve"> </w:t>
      </w:r>
      <w:r w:rsidR="00821327" w:rsidRPr="00821327">
        <w:rPr>
          <w:rFonts w:ascii="Arial" w:hAnsi="Arial" w:cs="Arial"/>
          <w:sz w:val="16"/>
        </w:rPr>
        <w:t xml:space="preserve">Bureau of Labor Statistics (2018). May 2017 National Occupational Employment and Wage Estimates, </w:t>
      </w:r>
      <w:r w:rsidR="00821327">
        <w:rPr>
          <w:rFonts w:ascii="Arial" w:hAnsi="Arial" w:cs="Arial"/>
          <w:sz w:val="16"/>
        </w:rPr>
        <w:t>Social and Community Service Managers</w:t>
      </w:r>
      <w:r w:rsidR="00821327" w:rsidRPr="00821327">
        <w:rPr>
          <w:rFonts w:ascii="Arial" w:hAnsi="Arial" w:cs="Arial"/>
          <w:sz w:val="16"/>
        </w:rPr>
        <w:t>. Retrieved from https://www.bls.gov/oes/2017/may/oes191041.htm</w:t>
      </w:r>
      <w:r w:rsidR="00821327" w:rsidRPr="00821327">
        <w:rPr>
          <w:sz w:val="16"/>
        </w:rPr>
        <w:t xml:space="preserve"> </w:t>
      </w:r>
    </w:p>
  </w:footnote>
  <w:footnote w:id="3">
    <w:p w14:paraId="52E70689" w14:textId="38F43404" w:rsidR="00821327" w:rsidRDefault="00821327">
      <w:pPr>
        <w:pStyle w:val="FootnoteText"/>
      </w:pPr>
      <w:r w:rsidRPr="00821327">
        <w:rPr>
          <w:rStyle w:val="FootnoteReference"/>
          <w:rFonts w:ascii="Arial" w:hAnsi="Arial" w:cs="Arial"/>
          <w:vertAlign w:val="superscript"/>
        </w:rPr>
        <w:footnoteRef/>
      </w:r>
      <w:r w:rsidRPr="00821327">
        <w:rPr>
          <w:rFonts w:ascii="Arial" w:hAnsi="Arial" w:cs="Arial"/>
          <w:vertAlign w:val="superscript"/>
        </w:rPr>
        <w:t xml:space="preserve"> </w:t>
      </w:r>
      <w:r w:rsidRPr="00821327">
        <w:rPr>
          <w:rFonts w:ascii="Arial" w:hAnsi="Arial" w:cs="Arial"/>
          <w:sz w:val="16"/>
        </w:rPr>
        <w:t>Office of Personnel Management (2018). SALARY TABLE 2018-DCB. Retrieved from https://www.opm.gov/policy-data-oversight/pay-leave/salaries-wages/salary-tables/pdf/2018/DCB_h.pdf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7AF3169"/>
    <w:multiLevelType w:val="hybridMultilevel"/>
    <w:tmpl w:val="6BF8986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4A871D2"/>
    <w:multiLevelType w:val="hybridMultilevel"/>
    <w:tmpl w:val="003EB7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AA94C4C"/>
    <w:multiLevelType w:val="hybridMultilevel"/>
    <w:tmpl w:val="1AF0AC7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ABE5561"/>
    <w:multiLevelType w:val="hybridMultilevel"/>
    <w:tmpl w:val="0598D5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2"/>
  </w:num>
  <w:num w:numId="3">
    <w:abstractNumId w:val="15"/>
  </w:num>
  <w:num w:numId="4">
    <w:abstractNumId w:val="41"/>
  </w:num>
  <w:num w:numId="5">
    <w:abstractNumId w:val="44"/>
  </w:num>
  <w:num w:numId="6">
    <w:abstractNumId w:val="9"/>
  </w:num>
  <w:num w:numId="7">
    <w:abstractNumId w:val="36"/>
  </w:num>
  <w:num w:numId="8">
    <w:abstractNumId w:val="18"/>
  </w:num>
  <w:num w:numId="9">
    <w:abstractNumId w:val="26"/>
  </w:num>
  <w:num w:numId="10">
    <w:abstractNumId w:val="20"/>
  </w:num>
  <w:num w:numId="11">
    <w:abstractNumId w:val="8"/>
  </w:num>
  <w:num w:numId="12">
    <w:abstractNumId w:val="25"/>
  </w:num>
  <w:num w:numId="13">
    <w:abstractNumId w:val="21"/>
  </w:num>
  <w:num w:numId="14">
    <w:abstractNumId w:val="23"/>
  </w:num>
  <w:num w:numId="15">
    <w:abstractNumId w:val="7"/>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0"/>
  </w:num>
  <w:num w:numId="33">
    <w:abstractNumId w:val="2"/>
  </w:num>
  <w:num w:numId="34">
    <w:abstractNumId w:val="28"/>
  </w:num>
  <w:num w:numId="35">
    <w:abstractNumId w:val="12"/>
  </w:num>
  <w:num w:numId="36">
    <w:abstractNumId w:val="11"/>
  </w:num>
  <w:num w:numId="37">
    <w:abstractNumId w:val="14"/>
  </w:num>
  <w:num w:numId="38">
    <w:abstractNumId w:val="4"/>
  </w:num>
  <w:num w:numId="39">
    <w:abstractNumId w:val="30"/>
  </w:num>
  <w:num w:numId="40">
    <w:abstractNumId w:val="6"/>
  </w:num>
  <w:num w:numId="41">
    <w:abstractNumId w:val="29"/>
  </w:num>
  <w:num w:numId="42">
    <w:abstractNumId w:val="24"/>
  </w:num>
  <w:num w:numId="43">
    <w:abstractNumId w:val="5"/>
  </w:num>
  <w:num w:numId="44">
    <w:abstractNumId w:val="13"/>
  </w:num>
  <w:num w:numId="45">
    <w:abstractNumId w:val="3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064C9C"/>
    <w:rsid w:val="000661C6"/>
    <w:rsid w:val="000A5B37"/>
    <w:rsid w:val="00104F7F"/>
    <w:rsid w:val="00115BD5"/>
    <w:rsid w:val="001325B2"/>
    <w:rsid w:val="00164F42"/>
    <w:rsid w:val="001920C3"/>
    <w:rsid w:val="001C7CB7"/>
    <w:rsid w:val="001D4856"/>
    <w:rsid w:val="002118B4"/>
    <w:rsid w:val="00217DAC"/>
    <w:rsid w:val="002251DE"/>
    <w:rsid w:val="0023166B"/>
    <w:rsid w:val="002640E7"/>
    <w:rsid w:val="002B3BCE"/>
    <w:rsid w:val="002D12D3"/>
    <w:rsid w:val="00322313"/>
    <w:rsid w:val="00324D65"/>
    <w:rsid w:val="00325DA4"/>
    <w:rsid w:val="00340EC6"/>
    <w:rsid w:val="00384291"/>
    <w:rsid w:val="0038612B"/>
    <w:rsid w:val="00391E16"/>
    <w:rsid w:val="003A1EE6"/>
    <w:rsid w:val="003C3642"/>
    <w:rsid w:val="003D23B1"/>
    <w:rsid w:val="003F1E48"/>
    <w:rsid w:val="004134BD"/>
    <w:rsid w:val="00420BCA"/>
    <w:rsid w:val="00426162"/>
    <w:rsid w:val="00457567"/>
    <w:rsid w:val="00472847"/>
    <w:rsid w:val="00474320"/>
    <w:rsid w:val="004746CA"/>
    <w:rsid w:val="00490720"/>
    <w:rsid w:val="00490E9A"/>
    <w:rsid w:val="004949E0"/>
    <w:rsid w:val="004E188C"/>
    <w:rsid w:val="004E687D"/>
    <w:rsid w:val="004F107F"/>
    <w:rsid w:val="00503BAB"/>
    <w:rsid w:val="005644DB"/>
    <w:rsid w:val="00573645"/>
    <w:rsid w:val="005C3A2D"/>
    <w:rsid w:val="005D450B"/>
    <w:rsid w:val="005D7625"/>
    <w:rsid w:val="005E1765"/>
    <w:rsid w:val="005F4C31"/>
    <w:rsid w:val="005F6313"/>
    <w:rsid w:val="00605378"/>
    <w:rsid w:val="00624019"/>
    <w:rsid w:val="00627FFD"/>
    <w:rsid w:val="00651EA9"/>
    <w:rsid w:val="00680D76"/>
    <w:rsid w:val="006E11FE"/>
    <w:rsid w:val="00702A1D"/>
    <w:rsid w:val="00710FB4"/>
    <w:rsid w:val="0073114C"/>
    <w:rsid w:val="00734A26"/>
    <w:rsid w:val="007536E9"/>
    <w:rsid w:val="00793533"/>
    <w:rsid w:val="0079472E"/>
    <w:rsid w:val="007C68ED"/>
    <w:rsid w:val="007D2CCC"/>
    <w:rsid w:val="007D3947"/>
    <w:rsid w:val="007F047A"/>
    <w:rsid w:val="008002AB"/>
    <w:rsid w:val="00816AE9"/>
    <w:rsid w:val="00821327"/>
    <w:rsid w:val="0082193E"/>
    <w:rsid w:val="0089532E"/>
    <w:rsid w:val="0089795F"/>
    <w:rsid w:val="008A4643"/>
    <w:rsid w:val="008B04CA"/>
    <w:rsid w:val="008C6C8A"/>
    <w:rsid w:val="008D2D67"/>
    <w:rsid w:val="008F14C7"/>
    <w:rsid w:val="009168C6"/>
    <w:rsid w:val="00935E77"/>
    <w:rsid w:val="009403CD"/>
    <w:rsid w:val="009600BE"/>
    <w:rsid w:val="00991936"/>
    <w:rsid w:val="009B03F1"/>
    <w:rsid w:val="009B3794"/>
    <w:rsid w:val="009B3E2C"/>
    <w:rsid w:val="009B7E4D"/>
    <w:rsid w:val="00A1688A"/>
    <w:rsid w:val="00A24461"/>
    <w:rsid w:val="00A37603"/>
    <w:rsid w:val="00A822BC"/>
    <w:rsid w:val="00A8416D"/>
    <w:rsid w:val="00A92CAB"/>
    <w:rsid w:val="00AA48A2"/>
    <w:rsid w:val="00AA7AFF"/>
    <w:rsid w:val="00AD36B7"/>
    <w:rsid w:val="00AD3A7C"/>
    <w:rsid w:val="00AE1243"/>
    <w:rsid w:val="00AE7154"/>
    <w:rsid w:val="00AE7438"/>
    <w:rsid w:val="00B129BA"/>
    <w:rsid w:val="00B1340F"/>
    <w:rsid w:val="00B13485"/>
    <w:rsid w:val="00B437FF"/>
    <w:rsid w:val="00B655C6"/>
    <w:rsid w:val="00B65975"/>
    <w:rsid w:val="00B7516D"/>
    <w:rsid w:val="00BA1A0C"/>
    <w:rsid w:val="00BB596D"/>
    <w:rsid w:val="00BE38C5"/>
    <w:rsid w:val="00BE7B03"/>
    <w:rsid w:val="00C1716C"/>
    <w:rsid w:val="00C22465"/>
    <w:rsid w:val="00C45431"/>
    <w:rsid w:val="00C74B86"/>
    <w:rsid w:val="00C761AB"/>
    <w:rsid w:val="00C814AC"/>
    <w:rsid w:val="00CA3DA6"/>
    <w:rsid w:val="00CD36E7"/>
    <w:rsid w:val="00CE5AA9"/>
    <w:rsid w:val="00D11CA3"/>
    <w:rsid w:val="00D44E3D"/>
    <w:rsid w:val="00D46313"/>
    <w:rsid w:val="00D56CC2"/>
    <w:rsid w:val="00D74B86"/>
    <w:rsid w:val="00D82F0E"/>
    <w:rsid w:val="00D92E1D"/>
    <w:rsid w:val="00DC0E37"/>
    <w:rsid w:val="00DE3A45"/>
    <w:rsid w:val="00DE4E29"/>
    <w:rsid w:val="00E00CEE"/>
    <w:rsid w:val="00E04076"/>
    <w:rsid w:val="00E203FA"/>
    <w:rsid w:val="00E25000"/>
    <w:rsid w:val="00E34A1F"/>
    <w:rsid w:val="00E42D2B"/>
    <w:rsid w:val="00E7207F"/>
    <w:rsid w:val="00E87554"/>
    <w:rsid w:val="00E94236"/>
    <w:rsid w:val="00E944F2"/>
    <w:rsid w:val="00E962DB"/>
    <w:rsid w:val="00EC38CD"/>
    <w:rsid w:val="00ED18EA"/>
    <w:rsid w:val="00ED6C65"/>
    <w:rsid w:val="00EE529C"/>
    <w:rsid w:val="00F0432C"/>
    <w:rsid w:val="00F2137B"/>
    <w:rsid w:val="00F4221E"/>
    <w:rsid w:val="00F441F9"/>
    <w:rsid w:val="00F5723C"/>
    <w:rsid w:val="00F84356"/>
    <w:rsid w:val="00F859C5"/>
    <w:rsid w:val="00F94632"/>
    <w:rsid w:val="00F9652E"/>
    <w:rsid w:val="00FD6290"/>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9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semiHidden/>
    <w:unhideWhenUsed/>
    <w:rsid w:val="00F84356"/>
    <w:rPr>
      <w:szCs w:val="20"/>
    </w:rPr>
  </w:style>
  <w:style w:type="character" w:customStyle="1" w:styleId="FootnoteTextChar">
    <w:name w:val="Footnote Text Char"/>
    <w:basedOn w:val="DefaultParagraphFont"/>
    <w:link w:val="FootnoteText"/>
    <w:semiHidden/>
    <w:rsid w:val="00F84356"/>
  </w:style>
  <w:style w:type="paragraph" w:customStyle="1" w:styleId="exhibitsource">
    <w:name w:val="exhibit source"/>
    <w:basedOn w:val="Normal"/>
    <w:rsid w:val="00821327"/>
    <w:pPr>
      <w:widowControl/>
      <w:autoSpaceDE/>
      <w:autoSpaceDN/>
      <w:adjustRightInd/>
      <w:spacing w:after="120"/>
    </w:pPr>
    <w:rPr>
      <w:szCs w:val="22"/>
    </w:rPr>
  </w:style>
  <w:style w:type="paragraph" w:styleId="Header">
    <w:name w:val="header"/>
    <w:basedOn w:val="Normal"/>
    <w:link w:val="HeaderChar"/>
    <w:unhideWhenUsed/>
    <w:rsid w:val="00F5723C"/>
    <w:pPr>
      <w:tabs>
        <w:tab w:val="center" w:pos="4680"/>
        <w:tab w:val="right" w:pos="9360"/>
      </w:tabs>
    </w:pPr>
  </w:style>
  <w:style w:type="character" w:customStyle="1" w:styleId="HeaderChar">
    <w:name w:val="Header Char"/>
    <w:basedOn w:val="DefaultParagraphFont"/>
    <w:link w:val="Header"/>
    <w:rsid w:val="00F5723C"/>
    <w:rPr>
      <w:szCs w:val="24"/>
    </w:rPr>
  </w:style>
  <w:style w:type="paragraph" w:styleId="Footer">
    <w:name w:val="footer"/>
    <w:basedOn w:val="Normal"/>
    <w:link w:val="FooterChar"/>
    <w:unhideWhenUsed/>
    <w:rsid w:val="00F5723C"/>
    <w:pPr>
      <w:tabs>
        <w:tab w:val="center" w:pos="4680"/>
        <w:tab w:val="right" w:pos="9360"/>
      </w:tabs>
    </w:pPr>
  </w:style>
  <w:style w:type="character" w:customStyle="1" w:styleId="FooterChar">
    <w:name w:val="Footer Char"/>
    <w:basedOn w:val="DefaultParagraphFont"/>
    <w:link w:val="Footer"/>
    <w:rsid w:val="00F5723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FollowedHyperlink">
    <w:name w:val="FollowedHyperlink"/>
    <w:basedOn w:val="DefaultParagraphFont"/>
    <w:rsid w:val="00710FB4"/>
    <w:rPr>
      <w:color w:val="800080" w:themeColor="followedHyperlink"/>
      <w:u w:val="single"/>
    </w:rPr>
  </w:style>
  <w:style w:type="character" w:styleId="CommentReference">
    <w:name w:val="annotation reference"/>
    <w:basedOn w:val="DefaultParagraphFont"/>
    <w:rsid w:val="00AD3A7C"/>
    <w:rPr>
      <w:sz w:val="16"/>
      <w:szCs w:val="16"/>
    </w:rPr>
  </w:style>
  <w:style w:type="paragraph" w:styleId="CommentText">
    <w:name w:val="annotation text"/>
    <w:basedOn w:val="Normal"/>
    <w:link w:val="CommentTextChar"/>
    <w:rsid w:val="00AD3A7C"/>
    <w:rPr>
      <w:szCs w:val="20"/>
    </w:rPr>
  </w:style>
  <w:style w:type="character" w:customStyle="1" w:styleId="CommentTextChar">
    <w:name w:val="Comment Text Char"/>
    <w:basedOn w:val="DefaultParagraphFont"/>
    <w:link w:val="CommentText"/>
    <w:rsid w:val="00AD3A7C"/>
  </w:style>
  <w:style w:type="paragraph" w:styleId="CommentSubject">
    <w:name w:val="annotation subject"/>
    <w:basedOn w:val="CommentText"/>
    <w:next w:val="CommentText"/>
    <w:link w:val="CommentSubjectChar"/>
    <w:rsid w:val="00AD3A7C"/>
    <w:rPr>
      <w:b/>
      <w:bCs/>
    </w:rPr>
  </w:style>
  <w:style w:type="character" w:customStyle="1" w:styleId="CommentSubjectChar">
    <w:name w:val="Comment Subject Char"/>
    <w:basedOn w:val="CommentTextChar"/>
    <w:link w:val="CommentSubject"/>
    <w:rsid w:val="00AD3A7C"/>
    <w:rPr>
      <w:b/>
      <w:bCs/>
    </w:rPr>
  </w:style>
  <w:style w:type="paragraph" w:styleId="Revision">
    <w:name w:val="Revision"/>
    <w:hidden/>
    <w:uiPriority w:val="99"/>
    <w:semiHidden/>
    <w:rsid w:val="004E188C"/>
    <w:rPr>
      <w:szCs w:val="24"/>
    </w:rPr>
  </w:style>
  <w:style w:type="paragraph" w:styleId="FootnoteText">
    <w:name w:val="footnote text"/>
    <w:basedOn w:val="Normal"/>
    <w:link w:val="FootnoteTextChar"/>
    <w:semiHidden/>
    <w:unhideWhenUsed/>
    <w:rsid w:val="00F84356"/>
    <w:rPr>
      <w:szCs w:val="20"/>
    </w:rPr>
  </w:style>
  <w:style w:type="character" w:customStyle="1" w:styleId="FootnoteTextChar">
    <w:name w:val="Footnote Text Char"/>
    <w:basedOn w:val="DefaultParagraphFont"/>
    <w:link w:val="FootnoteText"/>
    <w:semiHidden/>
    <w:rsid w:val="00F84356"/>
  </w:style>
  <w:style w:type="paragraph" w:customStyle="1" w:styleId="exhibitsource">
    <w:name w:val="exhibit source"/>
    <w:basedOn w:val="Normal"/>
    <w:rsid w:val="00821327"/>
    <w:pPr>
      <w:widowControl/>
      <w:autoSpaceDE/>
      <w:autoSpaceDN/>
      <w:adjustRightInd/>
      <w:spacing w:after="120"/>
    </w:pPr>
    <w:rPr>
      <w:szCs w:val="22"/>
    </w:rPr>
  </w:style>
  <w:style w:type="paragraph" w:styleId="Header">
    <w:name w:val="header"/>
    <w:basedOn w:val="Normal"/>
    <w:link w:val="HeaderChar"/>
    <w:unhideWhenUsed/>
    <w:rsid w:val="00F5723C"/>
    <w:pPr>
      <w:tabs>
        <w:tab w:val="center" w:pos="4680"/>
        <w:tab w:val="right" w:pos="9360"/>
      </w:tabs>
    </w:pPr>
  </w:style>
  <w:style w:type="character" w:customStyle="1" w:styleId="HeaderChar">
    <w:name w:val="Header Char"/>
    <w:basedOn w:val="DefaultParagraphFont"/>
    <w:link w:val="Header"/>
    <w:rsid w:val="00F5723C"/>
    <w:rPr>
      <w:szCs w:val="24"/>
    </w:rPr>
  </w:style>
  <w:style w:type="paragraph" w:styleId="Footer">
    <w:name w:val="footer"/>
    <w:basedOn w:val="Normal"/>
    <w:link w:val="FooterChar"/>
    <w:unhideWhenUsed/>
    <w:rsid w:val="00F5723C"/>
    <w:pPr>
      <w:tabs>
        <w:tab w:val="center" w:pos="4680"/>
        <w:tab w:val="right" w:pos="9360"/>
      </w:tabs>
    </w:pPr>
  </w:style>
  <w:style w:type="character" w:customStyle="1" w:styleId="FooterChar">
    <w:name w:val="Footer Char"/>
    <w:basedOn w:val="DefaultParagraphFont"/>
    <w:link w:val="Footer"/>
    <w:rsid w:val="00F5723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712946">
      <w:bodyDiv w:val="1"/>
      <w:marLeft w:val="0"/>
      <w:marRight w:val="0"/>
      <w:marTop w:val="0"/>
      <w:marBottom w:val="0"/>
      <w:divBdr>
        <w:top w:val="none" w:sz="0" w:space="0" w:color="auto"/>
        <w:left w:val="none" w:sz="0" w:space="0" w:color="auto"/>
        <w:bottom w:val="none" w:sz="0" w:space="0" w:color="auto"/>
        <w:right w:val="none" w:sz="0" w:space="0" w:color="auto"/>
      </w:divBdr>
    </w:div>
    <w:div w:id="170763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rry.Caverly@parentsasteachers.org" TargetMode="External"/><Relationship Id="rId5" Type="http://schemas.openxmlformats.org/officeDocument/2006/relationships/settings" Target="settings.xml"/><Relationship Id="rId10" Type="http://schemas.openxmlformats.org/officeDocument/2006/relationships/hyperlink" Target="mailto:Lesley.schwartz@illinois.gov" TargetMode="External"/><Relationship Id="rId4" Type="http://schemas.microsoft.com/office/2007/relationships/stylesWithEffects" Target="stylesWithEffects.xml"/><Relationship Id="rId9" Type="http://schemas.openxmlformats.org/officeDocument/2006/relationships/hyperlink" Target="mailto:Angela.m.miller@t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E9D9-38E3-4C0F-A5EE-00266E56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20135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dc:description/>
  <cp:lastModifiedBy>SYSTEM</cp:lastModifiedBy>
  <cp:revision>2</cp:revision>
  <cp:lastPrinted>2018-11-15T19:28:00Z</cp:lastPrinted>
  <dcterms:created xsi:type="dcterms:W3CDTF">2018-12-19T19:56:00Z</dcterms:created>
  <dcterms:modified xsi:type="dcterms:W3CDTF">2018-12-19T19:56:00Z</dcterms:modified>
</cp:coreProperties>
</file>