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90E23" w14:textId="77777777" w:rsidR="00A813A8" w:rsidRDefault="00A813A8" w:rsidP="004C3099">
      <w:pPr>
        <w:spacing w:after="0"/>
        <w:jc w:val="center"/>
        <w:rPr>
          <w:rFonts w:ascii="Times New Roman" w:hAnsi="Times New Roman"/>
          <w:b/>
          <w:sz w:val="24"/>
          <w:szCs w:val="24"/>
        </w:rPr>
      </w:pPr>
      <w:bookmarkStart w:id="0" w:name="_GoBack"/>
      <w:bookmarkEnd w:id="0"/>
      <w:r>
        <w:rPr>
          <w:rFonts w:ascii="Times New Roman" w:hAnsi="Times New Roman"/>
          <w:b/>
          <w:sz w:val="24"/>
          <w:szCs w:val="24"/>
        </w:rPr>
        <w:t>JUSTIFICATION FOR CHANGE</w:t>
      </w:r>
    </w:p>
    <w:p w14:paraId="087035E7" w14:textId="77777777" w:rsidR="00A813A8" w:rsidRDefault="00A813A8" w:rsidP="004C3099">
      <w:pPr>
        <w:spacing w:after="0"/>
        <w:jc w:val="center"/>
        <w:rPr>
          <w:rFonts w:ascii="Times New Roman" w:hAnsi="Times New Roman"/>
          <w:b/>
          <w:sz w:val="24"/>
          <w:szCs w:val="24"/>
        </w:rPr>
      </w:pPr>
      <w:r>
        <w:rPr>
          <w:rFonts w:ascii="Times New Roman" w:hAnsi="Times New Roman"/>
          <w:b/>
          <w:sz w:val="24"/>
          <w:szCs w:val="24"/>
        </w:rPr>
        <w:t xml:space="preserve">ALASKA PACIFIC HALIBUT &amp; SABLEFISH FISHERIES: </w:t>
      </w:r>
    </w:p>
    <w:p w14:paraId="53D08295" w14:textId="77777777" w:rsidR="00A813A8" w:rsidRDefault="00A813A8" w:rsidP="004C3099">
      <w:pPr>
        <w:spacing w:after="0"/>
        <w:jc w:val="center"/>
        <w:rPr>
          <w:rFonts w:ascii="Times New Roman" w:hAnsi="Times New Roman"/>
          <w:b/>
          <w:sz w:val="24"/>
          <w:szCs w:val="24"/>
        </w:rPr>
      </w:pPr>
      <w:r>
        <w:rPr>
          <w:rFonts w:ascii="Times New Roman" w:hAnsi="Times New Roman"/>
          <w:b/>
          <w:sz w:val="24"/>
          <w:szCs w:val="24"/>
        </w:rPr>
        <w:t>INDIVIDUAL FISHING QUOTA (IFQ)</w:t>
      </w:r>
    </w:p>
    <w:p w14:paraId="012E79A8" w14:textId="77777777" w:rsidR="00A813A8" w:rsidRDefault="00A813A8" w:rsidP="004C3099">
      <w:pPr>
        <w:spacing w:after="0"/>
        <w:jc w:val="center"/>
        <w:rPr>
          <w:rFonts w:ascii="Times New Roman" w:hAnsi="Times New Roman"/>
          <w:b/>
          <w:sz w:val="24"/>
          <w:szCs w:val="24"/>
        </w:rPr>
      </w:pPr>
      <w:r>
        <w:rPr>
          <w:rFonts w:ascii="Times New Roman" w:hAnsi="Times New Roman"/>
          <w:b/>
          <w:sz w:val="24"/>
          <w:szCs w:val="24"/>
        </w:rPr>
        <w:t>OMB CONTROL NO. 0648-0272</w:t>
      </w:r>
    </w:p>
    <w:p w14:paraId="6EFDC83E" w14:textId="77777777" w:rsidR="00C513F6" w:rsidRDefault="00C513F6" w:rsidP="004C3099">
      <w:pPr>
        <w:spacing w:after="0" w:line="240" w:lineRule="auto"/>
        <w:rPr>
          <w:rFonts w:ascii="Times New Roman" w:hAnsi="Times New Roman"/>
          <w:sz w:val="24"/>
          <w:szCs w:val="24"/>
        </w:rPr>
      </w:pPr>
    </w:p>
    <w:p w14:paraId="7EB6666A" w14:textId="35681992" w:rsidR="004C3099" w:rsidRDefault="00C513F6" w:rsidP="00A750FE">
      <w:pPr>
        <w:spacing w:after="0" w:line="240" w:lineRule="auto"/>
        <w:rPr>
          <w:rFonts w:ascii="Times New Roman" w:hAnsi="Times New Roman"/>
          <w:sz w:val="24"/>
          <w:szCs w:val="24"/>
        </w:rPr>
      </w:pPr>
      <w:r>
        <w:rPr>
          <w:rFonts w:ascii="Times New Roman" w:hAnsi="Times New Roman"/>
          <w:sz w:val="24"/>
          <w:szCs w:val="24"/>
        </w:rPr>
        <w:t xml:space="preserve">The National </w:t>
      </w:r>
      <w:r w:rsidR="00AD2EBB">
        <w:rPr>
          <w:rFonts w:ascii="Times New Roman" w:hAnsi="Times New Roman"/>
          <w:sz w:val="24"/>
          <w:szCs w:val="24"/>
        </w:rPr>
        <w:t>Marine Fisheries Service (NMFS)</w:t>
      </w:r>
      <w:r>
        <w:rPr>
          <w:rFonts w:ascii="Times New Roman" w:hAnsi="Times New Roman"/>
          <w:sz w:val="24"/>
          <w:szCs w:val="24"/>
        </w:rPr>
        <w:t xml:space="preserve"> Alaska Region</w:t>
      </w:r>
      <w:r w:rsidR="004B0166">
        <w:rPr>
          <w:rFonts w:ascii="Times New Roman" w:hAnsi="Times New Roman"/>
          <w:sz w:val="24"/>
          <w:szCs w:val="24"/>
        </w:rPr>
        <w:t xml:space="preserve"> (AKR)</w:t>
      </w:r>
      <w:r>
        <w:rPr>
          <w:rFonts w:ascii="Times New Roman" w:hAnsi="Times New Roman"/>
          <w:sz w:val="24"/>
          <w:szCs w:val="24"/>
        </w:rPr>
        <w:t xml:space="preserve"> requests </w:t>
      </w:r>
      <w:r w:rsidR="00A118BB">
        <w:rPr>
          <w:rFonts w:ascii="Times New Roman" w:hAnsi="Times New Roman"/>
          <w:sz w:val="24"/>
          <w:szCs w:val="24"/>
        </w:rPr>
        <w:t>to</w:t>
      </w:r>
      <w:r>
        <w:rPr>
          <w:rFonts w:ascii="Times New Roman" w:hAnsi="Times New Roman"/>
          <w:sz w:val="24"/>
          <w:szCs w:val="24"/>
        </w:rPr>
        <w:t xml:space="preserve"> </w:t>
      </w:r>
      <w:r w:rsidR="00A750FE">
        <w:rPr>
          <w:rFonts w:ascii="Times New Roman" w:hAnsi="Times New Roman"/>
          <w:sz w:val="24"/>
          <w:szCs w:val="24"/>
        </w:rPr>
        <w:t xml:space="preserve">merge </w:t>
      </w:r>
      <w:r w:rsidR="004C3099">
        <w:rPr>
          <w:rFonts w:ascii="Times New Roman" w:hAnsi="Times New Roman"/>
          <w:sz w:val="24"/>
          <w:szCs w:val="24"/>
        </w:rPr>
        <w:t>the following related information collections</w:t>
      </w:r>
      <w:r w:rsidR="00A750FE">
        <w:rPr>
          <w:rFonts w:ascii="Times New Roman" w:hAnsi="Times New Roman"/>
          <w:sz w:val="24"/>
          <w:szCs w:val="24"/>
        </w:rPr>
        <w:t xml:space="preserve"> into</w:t>
      </w:r>
      <w:r w:rsidR="00A750FE" w:rsidRPr="00A750FE">
        <w:rPr>
          <w:rFonts w:ascii="Times New Roman" w:hAnsi="Times New Roman"/>
          <w:sz w:val="24"/>
          <w:szCs w:val="24"/>
        </w:rPr>
        <w:t xml:space="preserve"> </w:t>
      </w:r>
      <w:hyperlink r:id="rId9" w:history="1">
        <w:r w:rsidR="00A750FE" w:rsidRPr="007345BC">
          <w:rPr>
            <w:rStyle w:val="Hyperlink"/>
            <w:rFonts w:ascii="Times New Roman" w:hAnsi="Times New Roman"/>
            <w:sz w:val="24"/>
            <w:szCs w:val="24"/>
          </w:rPr>
          <w:t>OMB Control No. 0648-0272</w:t>
        </w:r>
      </w:hyperlink>
      <w:r w:rsidR="00A750FE">
        <w:rPr>
          <w:rFonts w:ascii="Times New Roman" w:hAnsi="Times New Roman"/>
          <w:sz w:val="24"/>
          <w:szCs w:val="24"/>
        </w:rPr>
        <w:t>:</w:t>
      </w:r>
    </w:p>
    <w:p w14:paraId="4172017A" w14:textId="77777777" w:rsidR="004C3099" w:rsidRDefault="004C3099" w:rsidP="004C3099">
      <w:pPr>
        <w:spacing w:after="0" w:line="240" w:lineRule="auto"/>
        <w:rPr>
          <w:rFonts w:ascii="Times New Roman" w:hAnsi="Times New Roman"/>
          <w:sz w:val="24"/>
          <w:szCs w:val="24"/>
        </w:rPr>
      </w:pPr>
    </w:p>
    <w:p w14:paraId="21781E3D" w14:textId="41D4917A" w:rsidR="004C3099" w:rsidRPr="004C3099" w:rsidRDefault="00E37C94" w:rsidP="004C3099">
      <w:pPr>
        <w:pStyle w:val="ListParagraph"/>
        <w:numPr>
          <w:ilvl w:val="0"/>
          <w:numId w:val="1"/>
        </w:numPr>
        <w:spacing w:after="0" w:line="240" w:lineRule="auto"/>
        <w:rPr>
          <w:rFonts w:ascii="Times New Roman" w:hAnsi="Times New Roman"/>
          <w:sz w:val="24"/>
          <w:szCs w:val="24"/>
        </w:rPr>
      </w:pPr>
      <w:hyperlink r:id="rId10" w:history="1">
        <w:r w:rsidR="004C3099" w:rsidRPr="007345BC">
          <w:rPr>
            <w:rStyle w:val="Hyperlink"/>
            <w:rFonts w:ascii="Times New Roman" w:hAnsi="Times New Roman"/>
            <w:sz w:val="24"/>
            <w:szCs w:val="24"/>
          </w:rPr>
          <w:t>OMB Control No. 0648-0758</w:t>
        </w:r>
      </w:hyperlink>
      <w:r w:rsidR="004C3099" w:rsidRPr="004C3099">
        <w:rPr>
          <w:rFonts w:ascii="Times New Roman" w:hAnsi="Times New Roman"/>
          <w:sz w:val="24"/>
          <w:szCs w:val="24"/>
        </w:rPr>
        <w:t xml:space="preserve"> (Alaska Region Recreational Quota Entity)</w:t>
      </w:r>
      <w:r w:rsidR="004C3099">
        <w:rPr>
          <w:rFonts w:ascii="Times New Roman" w:hAnsi="Times New Roman"/>
          <w:sz w:val="24"/>
          <w:szCs w:val="24"/>
        </w:rPr>
        <w:t>; and</w:t>
      </w:r>
    </w:p>
    <w:p w14:paraId="76B5EED1" w14:textId="587F3061" w:rsidR="004C3099" w:rsidRPr="004C3099" w:rsidRDefault="00E37C94" w:rsidP="004C3099">
      <w:pPr>
        <w:pStyle w:val="ListParagraph"/>
        <w:numPr>
          <w:ilvl w:val="0"/>
          <w:numId w:val="1"/>
        </w:numPr>
        <w:spacing w:after="0" w:line="240" w:lineRule="auto"/>
        <w:rPr>
          <w:rFonts w:ascii="Times New Roman" w:hAnsi="Times New Roman"/>
          <w:sz w:val="24"/>
          <w:szCs w:val="24"/>
        </w:rPr>
      </w:pPr>
      <w:hyperlink r:id="rId11" w:history="1">
        <w:r w:rsidR="004C3099" w:rsidRPr="007345BC">
          <w:rPr>
            <w:rStyle w:val="Hyperlink"/>
            <w:rFonts w:ascii="Times New Roman" w:hAnsi="Times New Roman"/>
            <w:sz w:val="24"/>
            <w:szCs w:val="24"/>
          </w:rPr>
          <w:t>OMB Control No. 0648-0764</w:t>
        </w:r>
      </w:hyperlink>
      <w:r w:rsidR="004C3099" w:rsidRPr="004C3099">
        <w:rPr>
          <w:rFonts w:ascii="Times New Roman" w:hAnsi="Times New Roman"/>
          <w:sz w:val="24"/>
          <w:szCs w:val="24"/>
        </w:rPr>
        <w:t xml:space="preserve"> (Alaska Pacific Halibut and Sablefish Fisheries: Temporary IFQ Transfer)</w:t>
      </w:r>
    </w:p>
    <w:p w14:paraId="5C78ACE2" w14:textId="2441EF4F" w:rsidR="004C3099" w:rsidRDefault="004C3099" w:rsidP="004C3099">
      <w:pPr>
        <w:spacing w:after="0" w:line="240" w:lineRule="auto"/>
        <w:rPr>
          <w:rFonts w:ascii="Times New Roman" w:hAnsi="Times New Roman"/>
          <w:sz w:val="24"/>
          <w:szCs w:val="24"/>
        </w:rPr>
      </w:pPr>
    </w:p>
    <w:p w14:paraId="10865D7A" w14:textId="34B28577" w:rsidR="004C3099" w:rsidRDefault="004C3099" w:rsidP="004C3099">
      <w:pPr>
        <w:spacing w:after="0" w:line="240" w:lineRule="auto"/>
        <w:rPr>
          <w:rFonts w:ascii="Times New Roman" w:hAnsi="Times New Roman"/>
          <w:sz w:val="24"/>
          <w:szCs w:val="24"/>
        </w:rPr>
      </w:pPr>
      <w:r>
        <w:rPr>
          <w:rFonts w:ascii="Times New Roman" w:hAnsi="Times New Roman"/>
          <w:sz w:val="24"/>
          <w:szCs w:val="24"/>
        </w:rPr>
        <w:t xml:space="preserve">These collections also have </w:t>
      </w:r>
      <w:r w:rsidR="00CC1008">
        <w:rPr>
          <w:rFonts w:ascii="Times New Roman" w:hAnsi="Times New Roman"/>
          <w:sz w:val="24"/>
          <w:szCs w:val="24"/>
        </w:rPr>
        <w:t>elements</w:t>
      </w:r>
      <w:r>
        <w:rPr>
          <w:rFonts w:ascii="Times New Roman" w:hAnsi="Times New Roman"/>
          <w:sz w:val="24"/>
          <w:szCs w:val="24"/>
        </w:rPr>
        <w:t xml:space="preserve"> that are being merged into OMB Control No. 0648-0711 (Alaska Quota Cost Recovery Programs) as part of its 3-year renewal. </w:t>
      </w:r>
      <w:r w:rsidR="00CA2673">
        <w:rPr>
          <w:rFonts w:ascii="Times New Roman" w:hAnsi="Times New Roman"/>
          <w:sz w:val="24"/>
          <w:szCs w:val="24"/>
        </w:rPr>
        <w:t>The</w:t>
      </w:r>
      <w:r>
        <w:rPr>
          <w:rFonts w:ascii="Times New Roman" w:hAnsi="Times New Roman"/>
          <w:sz w:val="24"/>
          <w:szCs w:val="24"/>
        </w:rPr>
        <w:t xml:space="preserve"> </w:t>
      </w:r>
      <w:r w:rsidR="00A750FE">
        <w:rPr>
          <w:rFonts w:ascii="Times New Roman" w:hAnsi="Times New Roman"/>
          <w:sz w:val="24"/>
          <w:szCs w:val="24"/>
        </w:rPr>
        <w:t>collections</w:t>
      </w:r>
      <w:r w:rsidR="00CA2673">
        <w:rPr>
          <w:rFonts w:ascii="Times New Roman" w:hAnsi="Times New Roman"/>
          <w:sz w:val="24"/>
          <w:szCs w:val="24"/>
        </w:rPr>
        <w:t xml:space="preserve"> for 0758 and 0764</w:t>
      </w:r>
      <w:r w:rsidR="00A750FE">
        <w:rPr>
          <w:rFonts w:ascii="Times New Roman" w:hAnsi="Times New Roman"/>
          <w:sz w:val="24"/>
          <w:szCs w:val="24"/>
        </w:rPr>
        <w:t xml:space="preserve"> </w:t>
      </w:r>
      <w:r>
        <w:rPr>
          <w:rFonts w:ascii="Times New Roman" w:hAnsi="Times New Roman"/>
          <w:sz w:val="24"/>
          <w:szCs w:val="24"/>
        </w:rPr>
        <w:t xml:space="preserve">will be discontinued once the renewal </w:t>
      </w:r>
      <w:r w:rsidR="00CC1008">
        <w:rPr>
          <w:rFonts w:ascii="Times New Roman" w:hAnsi="Times New Roman"/>
          <w:sz w:val="24"/>
          <w:szCs w:val="24"/>
        </w:rPr>
        <w:t xml:space="preserve">for 0711 </w:t>
      </w:r>
      <w:r>
        <w:rPr>
          <w:rFonts w:ascii="Times New Roman" w:hAnsi="Times New Roman"/>
          <w:sz w:val="24"/>
          <w:szCs w:val="24"/>
        </w:rPr>
        <w:t>and this change request are approved.</w:t>
      </w:r>
    </w:p>
    <w:p w14:paraId="6BEDB915" w14:textId="23651492" w:rsidR="004C3099" w:rsidRDefault="004C3099" w:rsidP="004C3099">
      <w:pPr>
        <w:spacing w:after="0" w:line="240" w:lineRule="auto"/>
        <w:rPr>
          <w:rFonts w:ascii="Times New Roman" w:hAnsi="Times New Roman"/>
          <w:sz w:val="24"/>
          <w:szCs w:val="24"/>
        </w:rPr>
      </w:pPr>
    </w:p>
    <w:p w14:paraId="738BAF25" w14:textId="77777777" w:rsidR="00AD2EBB" w:rsidRDefault="00AD2EBB" w:rsidP="00AD2EBB">
      <w:pPr>
        <w:pStyle w:val="BodyText"/>
        <w:spacing w:after="0"/>
        <w:contextualSpacing/>
        <w:rPr>
          <w:rFonts w:ascii="Times New Roman" w:eastAsia="Times New Roman" w:hAnsi="Times New Roman"/>
          <w:sz w:val="24"/>
          <w:szCs w:val="24"/>
        </w:rPr>
      </w:pPr>
      <w:r>
        <w:rPr>
          <w:rFonts w:ascii="Times New Roman" w:hAnsi="Times New Roman"/>
          <w:sz w:val="24"/>
          <w:szCs w:val="24"/>
        </w:rPr>
        <w:t xml:space="preserve">The collections for 0272, 0758, and 0764 collect information necessary for management of the </w:t>
      </w:r>
      <w:r w:rsidRPr="00B63B60">
        <w:rPr>
          <w:rFonts w:ascii="Times New Roman" w:eastAsia="Times New Roman" w:hAnsi="Times New Roman"/>
          <w:sz w:val="24"/>
          <w:szCs w:val="24"/>
        </w:rPr>
        <w:t>fixed gear Pacific halibut and sablefish Individual Fishing Quota (IFQ) Program.</w:t>
      </w:r>
      <w:r w:rsidRPr="00AD2EBB">
        <w:rPr>
          <w:rFonts w:ascii="Times New Roman" w:eastAsia="Times New Roman" w:hAnsi="Times New Roman"/>
          <w:sz w:val="24"/>
          <w:szCs w:val="24"/>
        </w:rPr>
        <w:t xml:space="preserve"> </w:t>
      </w:r>
    </w:p>
    <w:p w14:paraId="2247000E" w14:textId="77777777" w:rsidR="00361938" w:rsidRDefault="00361938" w:rsidP="00361938">
      <w:pPr>
        <w:pStyle w:val="BodyText"/>
        <w:spacing w:after="0"/>
        <w:contextualSpacing/>
        <w:rPr>
          <w:rFonts w:ascii="Times New Roman" w:eastAsia="Times New Roman" w:hAnsi="Times New Roman"/>
          <w:sz w:val="24"/>
          <w:szCs w:val="24"/>
        </w:rPr>
      </w:pPr>
    </w:p>
    <w:p w14:paraId="1DDDFE63" w14:textId="77777777" w:rsidR="00476520" w:rsidRPr="00476520" w:rsidRDefault="00476520" w:rsidP="00476520">
      <w:pPr>
        <w:widowControl w:val="0"/>
        <w:autoSpaceDE w:val="0"/>
        <w:autoSpaceDN w:val="0"/>
        <w:adjustRightInd w:val="0"/>
        <w:spacing w:after="0" w:line="240" w:lineRule="auto"/>
        <w:rPr>
          <w:rFonts w:ascii="Times New Roman" w:eastAsia="Times New Roman" w:hAnsi="Times New Roman"/>
          <w:sz w:val="24"/>
          <w:szCs w:val="24"/>
        </w:rPr>
      </w:pPr>
      <w:r w:rsidRPr="00476520">
        <w:rPr>
          <w:rFonts w:ascii="Times New Roman" w:eastAsia="Times New Roman" w:hAnsi="Times New Roman"/>
          <w:sz w:val="24"/>
          <w:szCs w:val="24"/>
        </w:rPr>
        <w:t>The International Pacific Halibut Commission (IPHC) and NMFS AKR manage fishing for Pacific halibut (</w:t>
      </w:r>
      <w:r w:rsidRPr="00476520">
        <w:rPr>
          <w:rFonts w:ascii="Times New Roman" w:eastAsia="Times New Roman" w:hAnsi="Times New Roman"/>
          <w:i/>
          <w:sz w:val="24"/>
          <w:szCs w:val="24"/>
        </w:rPr>
        <w:t>Hippoglossus stenolepis</w:t>
      </w:r>
      <w:r w:rsidRPr="00476520">
        <w:rPr>
          <w:rFonts w:ascii="Times New Roman" w:eastAsia="Times New Roman" w:hAnsi="Times New Roman"/>
          <w:sz w:val="24"/>
          <w:szCs w:val="24"/>
        </w:rPr>
        <w:t xml:space="preserve">) through regulations established under the authority of the </w:t>
      </w:r>
      <w:hyperlink r:id="rId12" w:history="1">
        <w:r w:rsidRPr="00476520">
          <w:rPr>
            <w:rFonts w:ascii="Times New Roman" w:eastAsia="Times New Roman" w:hAnsi="Times New Roman"/>
            <w:color w:val="0000FF"/>
            <w:sz w:val="24"/>
            <w:szCs w:val="24"/>
            <w:u w:val="single"/>
          </w:rPr>
          <w:t>Northern Pacific Halibut Act of 1982</w:t>
        </w:r>
      </w:hyperlink>
      <w:r w:rsidRPr="00476520">
        <w:rPr>
          <w:rFonts w:ascii="Times New Roman" w:eastAsia="Times New Roman" w:hAnsi="Times New Roman"/>
          <w:sz w:val="24"/>
          <w:szCs w:val="24"/>
        </w:rPr>
        <w:t xml:space="preserve">. The IPHC promulgates regulations governing the halibut fishery under the Convention between the United States and Canada for the Preservation of the Halibut Fishery of the Northern Pacific Ocean and Bering Sea (Convention). NMFS manages the sablefish fisheries off Alaska under the authority of the </w:t>
      </w:r>
      <w:hyperlink r:id="rId13" w:history="1">
        <w:r w:rsidRPr="00476520">
          <w:rPr>
            <w:rFonts w:ascii="Times New Roman" w:eastAsia="Times New Roman" w:hAnsi="Times New Roman"/>
            <w:color w:val="0000FF"/>
            <w:sz w:val="24"/>
            <w:szCs w:val="24"/>
            <w:u w:val="single" w:color="0000FF"/>
          </w:rPr>
          <w:t>Magnuson-Stevens Fishery Conservation and Management Act</w:t>
        </w:r>
      </w:hyperlink>
      <w:r w:rsidRPr="00476520">
        <w:rPr>
          <w:rFonts w:ascii="Times New Roman" w:eastAsia="Times New Roman" w:hAnsi="Times New Roman"/>
          <w:sz w:val="24"/>
          <w:szCs w:val="24"/>
        </w:rPr>
        <w:t xml:space="preserve"> (16 U.S.C. 1801 </w:t>
      </w:r>
      <w:r w:rsidRPr="00476520">
        <w:rPr>
          <w:rFonts w:ascii="Times New Roman" w:eastAsia="Times New Roman" w:hAnsi="Times New Roman"/>
          <w:i/>
          <w:sz w:val="24"/>
          <w:szCs w:val="24"/>
        </w:rPr>
        <w:t>et seq</w:t>
      </w:r>
      <w:r w:rsidRPr="00476520">
        <w:rPr>
          <w:rFonts w:ascii="Times New Roman" w:eastAsia="Times New Roman" w:hAnsi="Times New Roman"/>
          <w:sz w:val="24"/>
          <w:szCs w:val="24"/>
        </w:rPr>
        <w:t>.).</w:t>
      </w:r>
    </w:p>
    <w:p w14:paraId="5BE37760" w14:textId="77777777" w:rsidR="00476520" w:rsidRDefault="00476520" w:rsidP="00361938">
      <w:pPr>
        <w:pStyle w:val="BodyText"/>
        <w:spacing w:after="0"/>
        <w:contextualSpacing/>
        <w:rPr>
          <w:rFonts w:ascii="Times New Roman" w:eastAsia="Times New Roman" w:hAnsi="Times New Roman"/>
          <w:sz w:val="24"/>
          <w:szCs w:val="24"/>
        </w:rPr>
      </w:pPr>
    </w:p>
    <w:p w14:paraId="19770430" w14:textId="4AA07D54" w:rsidR="00361938" w:rsidRDefault="00361938" w:rsidP="00361938">
      <w:pPr>
        <w:pStyle w:val="BodyText"/>
        <w:spacing w:after="0"/>
        <w:contextualSpacing/>
        <w:rPr>
          <w:rFonts w:ascii="Times New Roman" w:eastAsia="Times New Roman" w:hAnsi="Times New Roman"/>
          <w:sz w:val="24"/>
          <w:szCs w:val="24"/>
        </w:rPr>
      </w:pPr>
      <w:r w:rsidRPr="00B63B60">
        <w:rPr>
          <w:rFonts w:ascii="Times New Roman" w:eastAsia="Times New Roman" w:hAnsi="Times New Roman"/>
          <w:sz w:val="24"/>
          <w:szCs w:val="24"/>
        </w:rPr>
        <w:t xml:space="preserve">The IFQ Program provides a limited access system for Pacific halibut in Convention waters in and off Alaska and sablefish fisheries in waters of the Exclusive Economic Zone off Alaska. Under this program, IFQ is issued annually to persons holding fishable Pacific halibut and sablefish quota share (QS) that </w:t>
      </w:r>
      <w:r w:rsidRPr="00B63B60">
        <w:rPr>
          <w:rFonts w:ascii="Times New Roman" w:hAnsi="Times New Roman"/>
          <w:sz w:val="24"/>
          <w:szCs w:val="24"/>
        </w:rPr>
        <w:t xml:space="preserve">can be used any time during the open season to allow each fisherman to set his or her own pace and fishing effort. </w:t>
      </w:r>
      <w:r w:rsidRPr="00B63B60" w:rsidDel="008354B4">
        <w:rPr>
          <w:rFonts w:ascii="Times New Roman" w:eastAsia="Times New Roman" w:hAnsi="Times New Roman"/>
          <w:sz w:val="24"/>
          <w:szCs w:val="24"/>
        </w:rPr>
        <w:t>NMFS initially issued QS to persons who owned or leased vessels that made legal commercial fixed-gear landings of Pacific halibut or sablefish during 1988, 1989, or 1990 off Alaska. Currently, QS may only be obtained through transfer.</w:t>
      </w:r>
      <w:r w:rsidRPr="00B63B60">
        <w:rPr>
          <w:rFonts w:ascii="Times New Roman" w:eastAsia="Times New Roman" w:hAnsi="Times New Roman"/>
          <w:sz w:val="24"/>
          <w:szCs w:val="24"/>
        </w:rPr>
        <w:t xml:space="preserve"> </w:t>
      </w:r>
    </w:p>
    <w:p w14:paraId="5ED3C12C" w14:textId="77777777" w:rsidR="005865CC" w:rsidRDefault="005865CC" w:rsidP="00361938">
      <w:pPr>
        <w:pStyle w:val="BodyText"/>
        <w:spacing w:after="0"/>
        <w:contextualSpacing/>
        <w:rPr>
          <w:rFonts w:ascii="Times New Roman" w:eastAsia="Times New Roman" w:hAnsi="Times New Roman"/>
          <w:sz w:val="24"/>
          <w:szCs w:val="24"/>
        </w:rPr>
      </w:pPr>
    </w:p>
    <w:p w14:paraId="7CA69E2E" w14:textId="62F307F4" w:rsidR="005865CC" w:rsidRDefault="00571C8A" w:rsidP="00361938">
      <w:pPr>
        <w:pStyle w:val="BodyText"/>
        <w:spacing w:after="0"/>
        <w:contextualSpacing/>
        <w:rPr>
          <w:rFonts w:ascii="Times New Roman" w:eastAsia="Times New Roman" w:hAnsi="Times New Roman"/>
          <w:sz w:val="24"/>
          <w:szCs w:val="24"/>
        </w:rPr>
      </w:pPr>
      <w:r w:rsidRPr="00571C8A">
        <w:rPr>
          <w:rFonts w:ascii="Times New Roman" w:hAnsi="Times New Roman"/>
          <w:sz w:val="24"/>
          <w:szCs w:val="24"/>
        </w:rPr>
        <w:t xml:space="preserve">The charter </w:t>
      </w:r>
      <w:r w:rsidR="0086068F">
        <w:rPr>
          <w:rFonts w:ascii="Times New Roman" w:hAnsi="Times New Roman"/>
          <w:sz w:val="24"/>
          <w:szCs w:val="24"/>
        </w:rPr>
        <w:t xml:space="preserve">halibut </w:t>
      </w:r>
      <w:r w:rsidRPr="00571C8A">
        <w:rPr>
          <w:rFonts w:ascii="Times New Roman" w:hAnsi="Times New Roman"/>
          <w:sz w:val="24"/>
          <w:szCs w:val="24"/>
        </w:rPr>
        <w:t xml:space="preserve">fisheries in IFQ regulatory areas 2C and 3A are managed under the Charter Halibut Limited Access Program (CHLAP) and the </w:t>
      </w:r>
      <w:r w:rsidR="0086068F">
        <w:rPr>
          <w:rFonts w:ascii="Times New Roman" w:hAnsi="Times New Roman"/>
          <w:sz w:val="24"/>
          <w:szCs w:val="24"/>
        </w:rPr>
        <w:t xml:space="preserve">Pacific Halibut </w:t>
      </w:r>
      <w:r w:rsidRPr="00571C8A">
        <w:rPr>
          <w:rFonts w:ascii="Times New Roman" w:hAnsi="Times New Roman"/>
          <w:sz w:val="24"/>
          <w:szCs w:val="24"/>
        </w:rPr>
        <w:t xml:space="preserve">Catch Sharing Plan (CSP). The CHLAP limits the number of operators in the charter </w:t>
      </w:r>
      <w:r w:rsidR="00CC1008">
        <w:rPr>
          <w:rFonts w:ascii="Times New Roman" w:hAnsi="Times New Roman"/>
          <w:sz w:val="24"/>
          <w:szCs w:val="24"/>
        </w:rPr>
        <w:t xml:space="preserve">halibut </w:t>
      </w:r>
      <w:r w:rsidRPr="00571C8A">
        <w:rPr>
          <w:rFonts w:ascii="Times New Roman" w:hAnsi="Times New Roman"/>
          <w:sz w:val="24"/>
          <w:szCs w:val="24"/>
        </w:rPr>
        <w:t xml:space="preserve">fishery, while the CSP establishes annual allocations to the charter and commercial </w:t>
      </w:r>
      <w:r w:rsidR="00CC1008">
        <w:rPr>
          <w:rFonts w:ascii="Times New Roman" w:hAnsi="Times New Roman"/>
          <w:sz w:val="24"/>
          <w:szCs w:val="24"/>
        </w:rPr>
        <w:t xml:space="preserve">halibut </w:t>
      </w:r>
      <w:r w:rsidRPr="00571C8A">
        <w:rPr>
          <w:rFonts w:ascii="Times New Roman" w:hAnsi="Times New Roman"/>
          <w:sz w:val="24"/>
          <w:szCs w:val="24"/>
        </w:rPr>
        <w:t>fisheries and describes a process for determining annual management measures to limit charter harvest to the allocations in each management area.</w:t>
      </w:r>
      <w:r w:rsidR="005865CC" w:rsidRPr="005865CC">
        <w:rPr>
          <w:rFonts w:ascii="Times New Roman" w:hAnsi="Times New Roman"/>
          <w:sz w:val="24"/>
          <w:szCs w:val="24"/>
        </w:rPr>
        <w:t xml:space="preserve"> </w:t>
      </w:r>
    </w:p>
    <w:p w14:paraId="5657E4B7" w14:textId="77777777" w:rsidR="00AD2EBB" w:rsidRDefault="00AD2EBB" w:rsidP="00AD2EBB">
      <w:pPr>
        <w:pStyle w:val="BodyText"/>
        <w:spacing w:after="0"/>
        <w:contextualSpacing/>
        <w:rPr>
          <w:rFonts w:ascii="Times New Roman" w:eastAsia="Times New Roman" w:hAnsi="Times New Roman"/>
          <w:sz w:val="24"/>
          <w:szCs w:val="24"/>
        </w:rPr>
      </w:pPr>
    </w:p>
    <w:p w14:paraId="3084CC07" w14:textId="7DB20015" w:rsidR="00987451" w:rsidRDefault="00987451" w:rsidP="00AD2EBB">
      <w:pPr>
        <w:pStyle w:val="BodyText"/>
        <w:spacing w:after="0"/>
        <w:contextualSpacing/>
        <w:rPr>
          <w:rFonts w:ascii="Times New Roman" w:eastAsia="Times New Roman" w:hAnsi="Times New Roman"/>
          <w:sz w:val="24"/>
          <w:szCs w:val="24"/>
        </w:rPr>
      </w:pPr>
      <w:r w:rsidRPr="00B63B60">
        <w:rPr>
          <w:rFonts w:ascii="Times New Roman" w:eastAsia="Times New Roman" w:hAnsi="Times New Roman"/>
          <w:sz w:val="24"/>
          <w:szCs w:val="24"/>
        </w:rPr>
        <w:t>More information on the IFQ Program</w:t>
      </w:r>
      <w:r w:rsidR="00CC1008">
        <w:rPr>
          <w:rFonts w:ascii="Times New Roman" w:eastAsia="Times New Roman" w:hAnsi="Times New Roman"/>
          <w:sz w:val="24"/>
          <w:szCs w:val="24"/>
        </w:rPr>
        <w:t xml:space="preserve">, the CHLAP, and the CSP is available </w:t>
      </w:r>
      <w:r w:rsidRPr="00B63B60">
        <w:rPr>
          <w:rFonts w:ascii="Times New Roman" w:eastAsia="Times New Roman" w:hAnsi="Times New Roman"/>
          <w:sz w:val="24"/>
          <w:szCs w:val="24"/>
        </w:rPr>
        <w:t xml:space="preserve">on the </w:t>
      </w:r>
      <w:hyperlink r:id="rId14" w:history="1">
        <w:r w:rsidRPr="0086068F">
          <w:rPr>
            <w:rFonts w:ascii="Times New Roman" w:eastAsia="Times New Roman" w:hAnsi="Times New Roman"/>
            <w:color w:val="0000FF"/>
            <w:sz w:val="24"/>
            <w:szCs w:val="24"/>
            <w:u w:val="single"/>
          </w:rPr>
          <w:t>NMFS Alaska Region website</w:t>
        </w:r>
      </w:hyperlink>
      <w:r w:rsidRPr="0086068F">
        <w:rPr>
          <w:rFonts w:ascii="Times New Roman" w:eastAsia="Times New Roman" w:hAnsi="Times New Roman"/>
          <w:sz w:val="24"/>
          <w:szCs w:val="24"/>
        </w:rPr>
        <w:t xml:space="preserve">. </w:t>
      </w:r>
    </w:p>
    <w:p w14:paraId="03404940" w14:textId="77777777" w:rsidR="00987451" w:rsidRDefault="00987451" w:rsidP="00AD2EBB">
      <w:pPr>
        <w:pStyle w:val="BodyText"/>
        <w:spacing w:after="0"/>
        <w:contextualSpacing/>
        <w:rPr>
          <w:rFonts w:ascii="Times New Roman" w:eastAsia="Times New Roman" w:hAnsi="Times New Roman"/>
          <w:sz w:val="24"/>
          <w:szCs w:val="24"/>
        </w:rPr>
      </w:pPr>
    </w:p>
    <w:p w14:paraId="01C10DD3" w14:textId="1BD7566D" w:rsidR="00AD2EBB" w:rsidRDefault="007345BC" w:rsidP="00AD2EBB">
      <w:pPr>
        <w:pStyle w:val="BodyText"/>
        <w:spacing w:after="0"/>
        <w:contextualSpacing/>
        <w:rPr>
          <w:rFonts w:ascii="Times New Roman" w:hAnsi="Times New Roman"/>
          <w:sz w:val="24"/>
          <w:szCs w:val="24"/>
        </w:rPr>
      </w:pPr>
      <w:r>
        <w:rPr>
          <w:rFonts w:ascii="Times New Roman" w:hAnsi="Times New Roman"/>
          <w:sz w:val="24"/>
          <w:szCs w:val="24"/>
        </w:rPr>
        <w:t xml:space="preserve">The following elements from 0758 and 0764 will be merged into </w:t>
      </w:r>
      <w:r w:rsidR="00795099">
        <w:rPr>
          <w:rFonts w:ascii="Times New Roman" w:hAnsi="Times New Roman"/>
          <w:sz w:val="24"/>
          <w:szCs w:val="24"/>
        </w:rPr>
        <w:t>0</w:t>
      </w:r>
      <w:r>
        <w:rPr>
          <w:rFonts w:ascii="Times New Roman" w:hAnsi="Times New Roman"/>
          <w:sz w:val="24"/>
          <w:szCs w:val="24"/>
        </w:rPr>
        <w:t>272:</w:t>
      </w:r>
    </w:p>
    <w:p w14:paraId="3EA65D51" w14:textId="2631D845" w:rsidR="0008441A" w:rsidRPr="00916754" w:rsidRDefault="00795099" w:rsidP="0008441A">
      <w:pPr>
        <w:pStyle w:val="BodyText"/>
        <w:numPr>
          <w:ilvl w:val="0"/>
          <w:numId w:val="2"/>
        </w:numPr>
        <w:spacing w:after="0"/>
        <w:contextualSpacing/>
        <w:rPr>
          <w:rFonts w:ascii="Times New Roman" w:hAnsi="Times New Roman"/>
          <w:b/>
          <w:sz w:val="24"/>
          <w:szCs w:val="24"/>
        </w:rPr>
      </w:pPr>
      <w:r>
        <w:rPr>
          <w:rFonts w:ascii="Times New Roman" w:hAnsi="Times New Roman"/>
          <w:b/>
          <w:sz w:val="24"/>
          <w:szCs w:val="24"/>
        </w:rPr>
        <w:t>0648-</w:t>
      </w:r>
      <w:r w:rsidR="0008441A" w:rsidRPr="00916754">
        <w:rPr>
          <w:rFonts w:ascii="Times New Roman" w:hAnsi="Times New Roman"/>
          <w:b/>
          <w:sz w:val="24"/>
          <w:szCs w:val="24"/>
        </w:rPr>
        <w:t>0758</w:t>
      </w:r>
    </w:p>
    <w:p w14:paraId="0D6BC4C4" w14:textId="2BAEE1D8" w:rsidR="0008441A" w:rsidRPr="0008441A" w:rsidRDefault="0008441A" w:rsidP="0008441A">
      <w:pPr>
        <w:pStyle w:val="BodyText"/>
        <w:numPr>
          <w:ilvl w:val="1"/>
          <w:numId w:val="2"/>
        </w:numPr>
        <w:spacing w:after="0"/>
        <w:contextualSpacing/>
        <w:rPr>
          <w:rFonts w:ascii="Times New Roman" w:hAnsi="Times New Roman"/>
          <w:sz w:val="24"/>
          <w:szCs w:val="24"/>
        </w:rPr>
      </w:pPr>
      <w:r w:rsidRPr="0008441A">
        <w:rPr>
          <w:rFonts w:ascii="Times New Roman" w:hAnsi="Times New Roman"/>
          <w:sz w:val="24"/>
          <w:szCs w:val="24"/>
        </w:rPr>
        <w:t>Application for a Non-profit Corporation to be Designated as a Recreational Quota</w:t>
      </w:r>
      <w:r>
        <w:rPr>
          <w:rFonts w:ascii="Times New Roman" w:hAnsi="Times New Roman"/>
          <w:sz w:val="24"/>
          <w:szCs w:val="24"/>
        </w:rPr>
        <w:t xml:space="preserve"> </w:t>
      </w:r>
      <w:r w:rsidRPr="0008441A">
        <w:rPr>
          <w:rFonts w:ascii="Times New Roman" w:hAnsi="Times New Roman"/>
          <w:sz w:val="24"/>
          <w:szCs w:val="24"/>
        </w:rPr>
        <w:t xml:space="preserve">Entity </w:t>
      </w:r>
    </w:p>
    <w:p w14:paraId="76D93674" w14:textId="1F4E08CB" w:rsidR="007345BC" w:rsidRPr="0008441A" w:rsidRDefault="0008441A" w:rsidP="0008441A">
      <w:pPr>
        <w:pStyle w:val="BodyText"/>
        <w:numPr>
          <w:ilvl w:val="1"/>
          <w:numId w:val="2"/>
        </w:numPr>
        <w:spacing w:after="0"/>
        <w:contextualSpacing/>
        <w:rPr>
          <w:rFonts w:ascii="Times New Roman" w:hAnsi="Times New Roman"/>
          <w:sz w:val="24"/>
          <w:szCs w:val="24"/>
        </w:rPr>
      </w:pPr>
      <w:r w:rsidRPr="0008441A">
        <w:rPr>
          <w:rFonts w:ascii="Times New Roman" w:hAnsi="Times New Roman"/>
          <w:sz w:val="24"/>
          <w:szCs w:val="24"/>
        </w:rPr>
        <w:t>Application for Transfer of Q</w:t>
      </w:r>
      <w:r w:rsidR="00A95C54">
        <w:rPr>
          <w:rFonts w:ascii="Times New Roman" w:hAnsi="Times New Roman"/>
          <w:sz w:val="24"/>
          <w:szCs w:val="24"/>
        </w:rPr>
        <w:t>uota Share</w:t>
      </w:r>
      <w:r w:rsidRPr="0008441A">
        <w:rPr>
          <w:rFonts w:ascii="Times New Roman" w:hAnsi="Times New Roman"/>
          <w:sz w:val="24"/>
          <w:szCs w:val="24"/>
        </w:rPr>
        <w:t xml:space="preserve"> To or F</w:t>
      </w:r>
      <w:r w:rsidR="00A95C54">
        <w:rPr>
          <w:rFonts w:ascii="Times New Roman" w:hAnsi="Times New Roman"/>
          <w:sz w:val="24"/>
          <w:szCs w:val="24"/>
        </w:rPr>
        <w:t>rom a Recreational Quota Entity</w:t>
      </w:r>
    </w:p>
    <w:p w14:paraId="32E7ACAC" w14:textId="0CD93453" w:rsidR="007345BC" w:rsidRDefault="0008441A" w:rsidP="0008441A">
      <w:pPr>
        <w:pStyle w:val="BodyText"/>
        <w:numPr>
          <w:ilvl w:val="1"/>
          <w:numId w:val="2"/>
        </w:numPr>
        <w:spacing w:after="0"/>
        <w:contextualSpacing/>
        <w:rPr>
          <w:rFonts w:ascii="Times New Roman" w:hAnsi="Times New Roman"/>
          <w:sz w:val="24"/>
          <w:szCs w:val="24"/>
        </w:rPr>
      </w:pPr>
      <w:r w:rsidRPr="0008441A">
        <w:rPr>
          <w:rFonts w:ascii="Times New Roman" w:hAnsi="Times New Roman"/>
          <w:sz w:val="24"/>
          <w:szCs w:val="24"/>
        </w:rPr>
        <w:t xml:space="preserve">Recreational Quota </w:t>
      </w:r>
      <w:r>
        <w:rPr>
          <w:rFonts w:ascii="Times New Roman" w:hAnsi="Times New Roman"/>
          <w:sz w:val="24"/>
          <w:szCs w:val="24"/>
        </w:rPr>
        <w:t>Entity Annual Report</w:t>
      </w:r>
    </w:p>
    <w:p w14:paraId="53FDFA5B" w14:textId="5BB8E80B" w:rsidR="0008441A" w:rsidRPr="00916754" w:rsidRDefault="00795099" w:rsidP="00BC146F">
      <w:pPr>
        <w:pStyle w:val="BodyText"/>
        <w:keepNext/>
        <w:numPr>
          <w:ilvl w:val="0"/>
          <w:numId w:val="2"/>
        </w:numPr>
        <w:spacing w:after="0" w:line="257" w:lineRule="auto"/>
        <w:contextualSpacing/>
        <w:rPr>
          <w:rFonts w:ascii="Times New Roman" w:hAnsi="Times New Roman"/>
          <w:b/>
          <w:sz w:val="24"/>
          <w:szCs w:val="24"/>
        </w:rPr>
      </w:pPr>
      <w:r>
        <w:rPr>
          <w:rFonts w:ascii="Times New Roman" w:hAnsi="Times New Roman"/>
          <w:b/>
          <w:sz w:val="24"/>
          <w:szCs w:val="24"/>
        </w:rPr>
        <w:t>0648-</w:t>
      </w:r>
      <w:r w:rsidR="0008441A" w:rsidRPr="00916754">
        <w:rPr>
          <w:rFonts w:ascii="Times New Roman" w:hAnsi="Times New Roman"/>
          <w:b/>
          <w:sz w:val="24"/>
          <w:szCs w:val="24"/>
        </w:rPr>
        <w:t>0764</w:t>
      </w:r>
    </w:p>
    <w:p w14:paraId="435412A8" w14:textId="68D55382" w:rsidR="0008441A" w:rsidRDefault="0008441A" w:rsidP="00BC146F">
      <w:pPr>
        <w:pStyle w:val="BodyText"/>
        <w:keepNext/>
        <w:numPr>
          <w:ilvl w:val="1"/>
          <w:numId w:val="2"/>
        </w:numPr>
        <w:spacing w:after="0" w:line="257" w:lineRule="auto"/>
        <w:contextualSpacing/>
        <w:rPr>
          <w:rFonts w:ascii="Times New Roman" w:hAnsi="Times New Roman"/>
          <w:sz w:val="24"/>
          <w:szCs w:val="24"/>
        </w:rPr>
      </w:pPr>
      <w:r w:rsidRPr="0008441A">
        <w:rPr>
          <w:rFonts w:ascii="Times New Roman" w:hAnsi="Times New Roman"/>
          <w:sz w:val="24"/>
          <w:szCs w:val="24"/>
        </w:rPr>
        <w:t xml:space="preserve">Application for Temporary Transfer of Halibut/Sablefish Individual Fishing Quota </w:t>
      </w:r>
    </w:p>
    <w:p w14:paraId="7CF78B19" w14:textId="5BA7EDF7" w:rsidR="0008441A" w:rsidRDefault="0008441A" w:rsidP="00BC146F">
      <w:pPr>
        <w:pStyle w:val="BodyText"/>
        <w:keepNext/>
        <w:numPr>
          <w:ilvl w:val="1"/>
          <w:numId w:val="2"/>
        </w:numPr>
        <w:spacing w:after="0" w:line="257" w:lineRule="auto"/>
        <w:contextualSpacing/>
        <w:rPr>
          <w:rFonts w:ascii="Times New Roman" w:hAnsi="Times New Roman"/>
          <w:sz w:val="24"/>
          <w:szCs w:val="24"/>
        </w:rPr>
      </w:pPr>
      <w:r w:rsidRPr="0008441A">
        <w:rPr>
          <w:rFonts w:ascii="Times New Roman" w:hAnsi="Times New Roman"/>
          <w:sz w:val="24"/>
          <w:szCs w:val="24"/>
        </w:rPr>
        <w:t>Annual Report</w:t>
      </w:r>
      <w:r>
        <w:rPr>
          <w:rFonts w:ascii="Times New Roman" w:hAnsi="Times New Roman"/>
          <w:sz w:val="24"/>
          <w:szCs w:val="24"/>
        </w:rPr>
        <w:t xml:space="preserve"> for CDQ IFQ Transfers</w:t>
      </w:r>
    </w:p>
    <w:p w14:paraId="7FC0C951" w14:textId="77777777" w:rsidR="00734932" w:rsidRDefault="00734932" w:rsidP="00734932">
      <w:pPr>
        <w:pStyle w:val="BodyText"/>
        <w:spacing w:after="0"/>
        <w:contextualSpacing/>
        <w:rPr>
          <w:rFonts w:ascii="Times New Roman" w:hAnsi="Times New Roman"/>
          <w:sz w:val="24"/>
          <w:szCs w:val="24"/>
        </w:rPr>
      </w:pPr>
    </w:p>
    <w:p w14:paraId="6F05C5E1" w14:textId="356A9C90" w:rsidR="0008441A" w:rsidRPr="00B63B60" w:rsidRDefault="003C187F" w:rsidP="00AD2EBB">
      <w:pPr>
        <w:pStyle w:val="BodyText"/>
        <w:spacing w:after="0"/>
        <w:contextualSpacing/>
        <w:rPr>
          <w:rFonts w:ascii="Times New Roman" w:hAnsi="Times New Roman"/>
          <w:sz w:val="24"/>
          <w:szCs w:val="24"/>
        </w:rPr>
      </w:pPr>
      <w:r>
        <w:rPr>
          <w:rFonts w:ascii="Times New Roman" w:hAnsi="Times New Roman"/>
          <w:sz w:val="24"/>
          <w:szCs w:val="24"/>
        </w:rPr>
        <w:t>D</w:t>
      </w:r>
      <w:r w:rsidR="00734932" w:rsidRPr="005F0DDD">
        <w:rPr>
          <w:rFonts w:ascii="Times New Roman" w:hAnsi="Times New Roman"/>
          <w:sz w:val="24"/>
          <w:szCs w:val="24"/>
        </w:rPr>
        <w:t xml:space="preserve">ue to </w:t>
      </w:r>
      <w:r w:rsidR="00A84150" w:rsidRPr="005F0DDD">
        <w:rPr>
          <w:rFonts w:ascii="Times New Roman" w:hAnsi="Times New Roman"/>
          <w:sz w:val="24"/>
          <w:szCs w:val="24"/>
        </w:rPr>
        <w:t>merging</w:t>
      </w:r>
      <w:r w:rsidR="00734932" w:rsidRPr="005F0DDD">
        <w:rPr>
          <w:rFonts w:ascii="Times New Roman" w:hAnsi="Times New Roman"/>
          <w:sz w:val="24"/>
          <w:szCs w:val="24"/>
        </w:rPr>
        <w:t xml:space="preserve"> 0764, </w:t>
      </w:r>
      <w:r w:rsidR="00A84150" w:rsidRPr="005F0DDD">
        <w:rPr>
          <w:rFonts w:ascii="Times New Roman" w:hAnsi="Times New Roman"/>
          <w:sz w:val="24"/>
          <w:szCs w:val="24"/>
        </w:rPr>
        <w:t xml:space="preserve">this change request </w:t>
      </w:r>
      <w:r w:rsidR="00B86381">
        <w:rPr>
          <w:rFonts w:ascii="Times New Roman" w:hAnsi="Times New Roman"/>
          <w:sz w:val="24"/>
          <w:szCs w:val="24"/>
        </w:rPr>
        <w:t>removes the form “</w:t>
      </w:r>
      <w:r w:rsidR="00B86381" w:rsidRPr="00B86381">
        <w:rPr>
          <w:rFonts w:ascii="Times New Roman" w:hAnsi="Times New Roman"/>
          <w:sz w:val="24"/>
          <w:szCs w:val="24"/>
        </w:rPr>
        <w:t>Application for Transfer of QS/IFQ</w:t>
      </w:r>
      <w:r w:rsidR="00B86381">
        <w:rPr>
          <w:rFonts w:ascii="Times New Roman" w:hAnsi="Times New Roman"/>
          <w:sz w:val="24"/>
          <w:szCs w:val="24"/>
        </w:rPr>
        <w:t xml:space="preserve">” and </w:t>
      </w:r>
      <w:r w:rsidR="00A84150" w:rsidRPr="005F0DDD">
        <w:rPr>
          <w:rFonts w:ascii="Times New Roman" w:hAnsi="Times New Roman"/>
          <w:sz w:val="24"/>
          <w:szCs w:val="24"/>
        </w:rPr>
        <w:t xml:space="preserve">adds </w:t>
      </w:r>
      <w:r w:rsidR="00B86381">
        <w:rPr>
          <w:rFonts w:ascii="Times New Roman" w:hAnsi="Times New Roman"/>
          <w:sz w:val="24"/>
          <w:szCs w:val="24"/>
        </w:rPr>
        <w:t>the</w:t>
      </w:r>
      <w:r w:rsidR="00B86381" w:rsidRPr="005F0DDD">
        <w:rPr>
          <w:rFonts w:ascii="Times New Roman" w:hAnsi="Times New Roman"/>
          <w:sz w:val="24"/>
          <w:szCs w:val="24"/>
        </w:rPr>
        <w:t xml:space="preserve"> </w:t>
      </w:r>
      <w:r w:rsidR="00734932" w:rsidRPr="005F0DDD">
        <w:rPr>
          <w:rFonts w:ascii="Times New Roman" w:hAnsi="Times New Roman"/>
          <w:sz w:val="24"/>
          <w:szCs w:val="24"/>
        </w:rPr>
        <w:t xml:space="preserve">form </w:t>
      </w:r>
      <w:r w:rsidR="0071052D">
        <w:rPr>
          <w:rFonts w:ascii="Times New Roman" w:hAnsi="Times New Roman"/>
          <w:sz w:val="24"/>
          <w:szCs w:val="24"/>
        </w:rPr>
        <w:t>“Application for Transfer of QS</w:t>
      </w:r>
      <w:r w:rsidR="00B86381">
        <w:rPr>
          <w:rFonts w:ascii="Times New Roman" w:hAnsi="Times New Roman"/>
          <w:sz w:val="24"/>
          <w:szCs w:val="24"/>
        </w:rPr>
        <w:t>,</w:t>
      </w:r>
      <w:r w:rsidR="0071052D">
        <w:rPr>
          <w:rFonts w:ascii="Times New Roman" w:hAnsi="Times New Roman"/>
          <w:sz w:val="24"/>
          <w:szCs w:val="24"/>
        </w:rPr>
        <w:t xml:space="preserve">” </w:t>
      </w:r>
      <w:r w:rsidR="00B86381">
        <w:rPr>
          <w:rFonts w:ascii="Times New Roman" w:hAnsi="Times New Roman"/>
          <w:sz w:val="24"/>
          <w:szCs w:val="24"/>
        </w:rPr>
        <w:t>which</w:t>
      </w:r>
      <w:r w:rsidR="0071052D">
        <w:rPr>
          <w:rFonts w:ascii="Times New Roman" w:hAnsi="Times New Roman"/>
          <w:sz w:val="24"/>
          <w:szCs w:val="24"/>
        </w:rPr>
        <w:t xml:space="preserve"> will collect</w:t>
      </w:r>
      <w:r w:rsidR="00734932" w:rsidRPr="005F0DDD">
        <w:rPr>
          <w:rFonts w:ascii="Times New Roman" w:hAnsi="Times New Roman"/>
          <w:sz w:val="24"/>
          <w:szCs w:val="24"/>
        </w:rPr>
        <w:t xml:space="preserve"> information that is currently collected </w:t>
      </w:r>
      <w:r w:rsidR="006E19F9">
        <w:rPr>
          <w:rFonts w:ascii="Times New Roman" w:hAnsi="Times New Roman"/>
          <w:sz w:val="24"/>
          <w:szCs w:val="24"/>
        </w:rPr>
        <w:t>the form being removed</w:t>
      </w:r>
      <w:r w:rsidR="00A84150" w:rsidRPr="005F0DDD">
        <w:rPr>
          <w:rFonts w:ascii="Times New Roman" w:hAnsi="Times New Roman"/>
          <w:sz w:val="24"/>
          <w:szCs w:val="24"/>
        </w:rPr>
        <w:t xml:space="preserve">. </w:t>
      </w:r>
      <w:r w:rsidR="00CA2673">
        <w:rPr>
          <w:rFonts w:ascii="Times New Roman" w:hAnsi="Times New Roman"/>
          <w:sz w:val="24"/>
          <w:szCs w:val="24"/>
        </w:rPr>
        <w:t xml:space="preserve">See </w:t>
      </w:r>
      <w:r w:rsidR="0071052D">
        <w:rPr>
          <w:rFonts w:ascii="Times New Roman" w:hAnsi="Times New Roman"/>
          <w:sz w:val="24"/>
          <w:szCs w:val="24"/>
        </w:rPr>
        <w:t xml:space="preserve">the </w:t>
      </w:r>
      <w:r w:rsidR="00CA2673">
        <w:rPr>
          <w:rFonts w:ascii="Times New Roman" w:hAnsi="Times New Roman"/>
          <w:sz w:val="24"/>
          <w:szCs w:val="24"/>
        </w:rPr>
        <w:t xml:space="preserve">explanation below under the heading </w:t>
      </w:r>
      <w:r w:rsidR="004F4BDC">
        <w:rPr>
          <w:rFonts w:ascii="Times New Roman" w:hAnsi="Times New Roman"/>
          <w:sz w:val="24"/>
          <w:szCs w:val="24"/>
        </w:rPr>
        <w:t>“</w:t>
      </w:r>
      <w:r w:rsidR="00CA2673" w:rsidRPr="004F4BDC">
        <w:rPr>
          <w:rFonts w:ascii="Times New Roman" w:hAnsi="Times New Roman"/>
          <w:sz w:val="24"/>
          <w:szCs w:val="24"/>
        </w:rPr>
        <w:t>0648-0764</w:t>
      </w:r>
      <w:r w:rsidR="00CA2673">
        <w:rPr>
          <w:rFonts w:ascii="Times New Roman" w:hAnsi="Times New Roman"/>
          <w:sz w:val="24"/>
          <w:szCs w:val="24"/>
        </w:rPr>
        <w:t>.</w:t>
      </w:r>
      <w:r w:rsidR="004F4BDC">
        <w:rPr>
          <w:rFonts w:ascii="Times New Roman" w:hAnsi="Times New Roman"/>
          <w:sz w:val="24"/>
          <w:szCs w:val="24"/>
        </w:rPr>
        <w:t>”</w:t>
      </w:r>
    </w:p>
    <w:p w14:paraId="15792B11" w14:textId="55674E02" w:rsidR="006417ED" w:rsidRDefault="006417ED" w:rsidP="00AD2EBB">
      <w:pPr>
        <w:spacing w:after="0" w:line="240" w:lineRule="auto"/>
        <w:rPr>
          <w:rFonts w:ascii="Times New Roman" w:hAnsi="Times New Roman"/>
          <w:sz w:val="24"/>
          <w:szCs w:val="24"/>
        </w:rPr>
      </w:pPr>
    </w:p>
    <w:p w14:paraId="76E32481" w14:textId="4E37DAF5" w:rsidR="00116ACE" w:rsidRPr="00116ACE" w:rsidRDefault="00116ACE" w:rsidP="00AD2EBB">
      <w:pPr>
        <w:spacing w:after="0" w:line="240" w:lineRule="auto"/>
        <w:rPr>
          <w:rFonts w:ascii="Times New Roman" w:hAnsi="Times New Roman"/>
          <w:b/>
          <w:sz w:val="24"/>
          <w:szCs w:val="24"/>
        </w:rPr>
      </w:pPr>
      <w:r w:rsidRPr="00116ACE">
        <w:rPr>
          <w:rFonts w:ascii="Times New Roman" w:hAnsi="Times New Roman"/>
          <w:b/>
          <w:sz w:val="24"/>
          <w:szCs w:val="24"/>
        </w:rPr>
        <w:t>0648-0758</w:t>
      </w:r>
    </w:p>
    <w:p w14:paraId="4FD7B5A8" w14:textId="34D53D29" w:rsidR="00116ACE" w:rsidRDefault="00116ACE" w:rsidP="00AD2EBB">
      <w:pPr>
        <w:spacing w:after="0" w:line="240" w:lineRule="auto"/>
        <w:rPr>
          <w:rFonts w:ascii="Times New Roman" w:hAnsi="Times New Roman"/>
          <w:sz w:val="24"/>
          <w:szCs w:val="24"/>
        </w:rPr>
      </w:pPr>
      <w:r>
        <w:rPr>
          <w:rFonts w:ascii="Times New Roman" w:hAnsi="Times New Roman"/>
          <w:sz w:val="24"/>
          <w:szCs w:val="24"/>
        </w:rPr>
        <w:t>On September 21, 2018, OMB approved 0758, which is a new temporary collection associated with a rule (RIN 0648-BG57)</w:t>
      </w:r>
      <w:r w:rsidR="00BC3078" w:rsidRPr="00BC3078">
        <w:t xml:space="preserve"> </w:t>
      </w:r>
      <w:r w:rsidR="00BC3078" w:rsidRPr="00BC3078">
        <w:rPr>
          <w:rFonts w:ascii="Times New Roman" w:hAnsi="Times New Roman"/>
          <w:sz w:val="24"/>
          <w:szCs w:val="24"/>
        </w:rPr>
        <w:t>that modified regulations governing the IFQ Program</w:t>
      </w:r>
      <w:r w:rsidR="00BC3078">
        <w:rPr>
          <w:rFonts w:ascii="Times New Roman" w:hAnsi="Times New Roman"/>
          <w:sz w:val="24"/>
          <w:szCs w:val="24"/>
        </w:rPr>
        <w:t xml:space="preserve"> </w:t>
      </w:r>
      <w:r w:rsidR="00BC3078" w:rsidRPr="00BC3078">
        <w:rPr>
          <w:rFonts w:ascii="Times New Roman" w:hAnsi="Times New Roman"/>
          <w:sz w:val="24"/>
          <w:szCs w:val="24"/>
        </w:rPr>
        <w:t>(83 FR 47819, September 21, 2018)</w:t>
      </w:r>
      <w:r w:rsidR="00E07E82" w:rsidRPr="00BC3078">
        <w:rPr>
          <w:rFonts w:ascii="Times New Roman" w:hAnsi="Times New Roman"/>
          <w:sz w:val="24"/>
          <w:szCs w:val="24"/>
        </w:rPr>
        <w:t>.</w:t>
      </w:r>
      <w:r w:rsidR="00BC3078">
        <w:rPr>
          <w:rFonts w:ascii="Times New Roman" w:hAnsi="Times New Roman"/>
          <w:sz w:val="24"/>
          <w:szCs w:val="24"/>
        </w:rPr>
        <w:t xml:space="preserve"> This</w:t>
      </w:r>
      <w:r w:rsidR="00E07E82">
        <w:rPr>
          <w:rFonts w:ascii="Times New Roman" w:hAnsi="Times New Roman"/>
          <w:sz w:val="24"/>
          <w:szCs w:val="24"/>
        </w:rPr>
        <w:t xml:space="preserve"> rule </w:t>
      </w:r>
      <w:r w:rsidR="008D626B">
        <w:rPr>
          <w:rFonts w:ascii="Times New Roman" w:hAnsi="Times New Roman"/>
          <w:sz w:val="24"/>
          <w:szCs w:val="24"/>
        </w:rPr>
        <w:t xml:space="preserve">allows </w:t>
      </w:r>
      <w:r w:rsidR="00124A90">
        <w:rPr>
          <w:rFonts w:ascii="Times New Roman" w:hAnsi="Times New Roman"/>
          <w:sz w:val="24"/>
          <w:szCs w:val="24"/>
        </w:rPr>
        <w:t xml:space="preserve">establishment of </w:t>
      </w:r>
      <w:r w:rsidR="008D626B">
        <w:rPr>
          <w:rFonts w:ascii="Times New Roman" w:hAnsi="Times New Roman"/>
          <w:sz w:val="24"/>
          <w:szCs w:val="24"/>
        </w:rPr>
        <w:t>a</w:t>
      </w:r>
      <w:r w:rsidR="008D626B" w:rsidRPr="008D626B">
        <w:rPr>
          <w:rFonts w:ascii="Times New Roman" w:hAnsi="Times New Roman"/>
          <w:sz w:val="24"/>
          <w:szCs w:val="24"/>
        </w:rPr>
        <w:t xml:space="preserve"> </w:t>
      </w:r>
      <w:r w:rsidR="008D626B" w:rsidRPr="0008441A">
        <w:rPr>
          <w:rFonts w:ascii="Times New Roman" w:hAnsi="Times New Roman"/>
          <w:sz w:val="24"/>
          <w:szCs w:val="24"/>
        </w:rPr>
        <w:t xml:space="preserve">Recreational Quota </w:t>
      </w:r>
      <w:r w:rsidR="008D626B">
        <w:rPr>
          <w:rFonts w:ascii="Times New Roman" w:hAnsi="Times New Roman"/>
          <w:sz w:val="24"/>
          <w:szCs w:val="24"/>
        </w:rPr>
        <w:t>Entity</w:t>
      </w:r>
      <w:r>
        <w:rPr>
          <w:rFonts w:ascii="Times New Roman" w:hAnsi="Times New Roman"/>
          <w:sz w:val="24"/>
          <w:szCs w:val="24"/>
        </w:rPr>
        <w:t xml:space="preserve"> </w:t>
      </w:r>
      <w:r w:rsidR="008D626B">
        <w:rPr>
          <w:rFonts w:ascii="Times New Roman" w:hAnsi="Times New Roman"/>
          <w:sz w:val="24"/>
          <w:szCs w:val="24"/>
        </w:rPr>
        <w:t>(</w:t>
      </w:r>
      <w:r>
        <w:rPr>
          <w:rFonts w:ascii="Times New Roman" w:hAnsi="Times New Roman"/>
          <w:sz w:val="24"/>
          <w:szCs w:val="24"/>
        </w:rPr>
        <w:t>RQE</w:t>
      </w:r>
      <w:r w:rsidR="008D626B">
        <w:rPr>
          <w:rFonts w:ascii="Times New Roman" w:hAnsi="Times New Roman"/>
          <w:sz w:val="24"/>
          <w:szCs w:val="24"/>
        </w:rPr>
        <w:t>)</w:t>
      </w:r>
      <w:r>
        <w:rPr>
          <w:rFonts w:ascii="Times New Roman" w:hAnsi="Times New Roman"/>
          <w:sz w:val="24"/>
          <w:szCs w:val="24"/>
        </w:rPr>
        <w:t xml:space="preserve"> </w:t>
      </w:r>
      <w:r w:rsidR="00124A90">
        <w:rPr>
          <w:rFonts w:ascii="Times New Roman" w:hAnsi="Times New Roman"/>
          <w:sz w:val="24"/>
          <w:szCs w:val="24"/>
        </w:rPr>
        <w:t>that can hold</w:t>
      </w:r>
      <w:r>
        <w:rPr>
          <w:rFonts w:ascii="Times New Roman" w:hAnsi="Times New Roman"/>
          <w:sz w:val="24"/>
          <w:szCs w:val="24"/>
        </w:rPr>
        <w:t xml:space="preserve"> commercial </w:t>
      </w:r>
      <w:r w:rsidR="00E07E82">
        <w:rPr>
          <w:rFonts w:ascii="Times New Roman" w:hAnsi="Times New Roman"/>
          <w:sz w:val="24"/>
          <w:szCs w:val="24"/>
        </w:rPr>
        <w:t xml:space="preserve">halibut </w:t>
      </w:r>
      <w:r>
        <w:rPr>
          <w:rFonts w:ascii="Times New Roman" w:hAnsi="Times New Roman"/>
          <w:sz w:val="24"/>
          <w:szCs w:val="24"/>
        </w:rPr>
        <w:t xml:space="preserve">QS </w:t>
      </w:r>
      <w:r w:rsidR="00E07E82">
        <w:rPr>
          <w:rFonts w:ascii="Times New Roman" w:hAnsi="Times New Roman"/>
          <w:sz w:val="24"/>
          <w:szCs w:val="24"/>
        </w:rPr>
        <w:t xml:space="preserve">to supplement the annual </w:t>
      </w:r>
      <w:r w:rsidR="00987451">
        <w:rPr>
          <w:rFonts w:ascii="Times New Roman" w:hAnsi="Times New Roman"/>
          <w:sz w:val="24"/>
          <w:szCs w:val="24"/>
        </w:rPr>
        <w:t>charter halibut fishery</w:t>
      </w:r>
      <w:r w:rsidR="00E07E82" w:rsidRPr="00E714BA">
        <w:rPr>
          <w:rFonts w:ascii="Times New Roman" w:hAnsi="Times New Roman"/>
          <w:sz w:val="24"/>
          <w:szCs w:val="24"/>
        </w:rPr>
        <w:t xml:space="preserve"> limit </w:t>
      </w:r>
      <w:r w:rsidRPr="00E714BA">
        <w:rPr>
          <w:rFonts w:ascii="Times New Roman" w:hAnsi="Times New Roman"/>
          <w:sz w:val="24"/>
          <w:szCs w:val="24"/>
        </w:rPr>
        <w:t xml:space="preserve">in </w:t>
      </w:r>
      <w:r w:rsidR="00F00D4E">
        <w:rPr>
          <w:rFonts w:ascii="Times New Roman" w:hAnsi="Times New Roman"/>
          <w:sz w:val="24"/>
          <w:szCs w:val="24"/>
        </w:rPr>
        <w:t>A</w:t>
      </w:r>
      <w:r w:rsidRPr="00E714BA">
        <w:rPr>
          <w:rFonts w:ascii="Times New Roman" w:hAnsi="Times New Roman"/>
          <w:sz w:val="24"/>
          <w:szCs w:val="24"/>
        </w:rPr>
        <w:t xml:space="preserve">reas 2C and 3A </w:t>
      </w:r>
      <w:r w:rsidR="00E07E82" w:rsidRPr="00E714BA">
        <w:rPr>
          <w:rFonts w:ascii="Times New Roman" w:hAnsi="Times New Roman"/>
          <w:sz w:val="24"/>
          <w:szCs w:val="24"/>
        </w:rPr>
        <w:t xml:space="preserve">under the </w:t>
      </w:r>
      <w:r w:rsidR="00987451">
        <w:rPr>
          <w:rFonts w:ascii="Times New Roman" w:hAnsi="Times New Roman"/>
          <w:sz w:val="24"/>
          <w:szCs w:val="24"/>
        </w:rPr>
        <w:t>CSP</w:t>
      </w:r>
      <w:r w:rsidRPr="00E714BA">
        <w:rPr>
          <w:rFonts w:ascii="Times New Roman" w:hAnsi="Times New Roman"/>
          <w:sz w:val="24"/>
          <w:szCs w:val="24"/>
        </w:rPr>
        <w:t>. The</w:t>
      </w:r>
      <w:r>
        <w:rPr>
          <w:rFonts w:ascii="Times New Roman" w:hAnsi="Times New Roman"/>
          <w:sz w:val="24"/>
          <w:szCs w:val="24"/>
        </w:rPr>
        <w:t xml:space="preserve"> regulatory changes implemented by this rule necessitated the addition of two new </w:t>
      </w:r>
      <w:r w:rsidR="00BC3078">
        <w:rPr>
          <w:rFonts w:ascii="Times New Roman" w:hAnsi="Times New Roman"/>
          <w:sz w:val="24"/>
          <w:szCs w:val="24"/>
        </w:rPr>
        <w:t xml:space="preserve">application </w:t>
      </w:r>
      <w:r w:rsidR="00273706">
        <w:rPr>
          <w:rFonts w:ascii="Times New Roman" w:hAnsi="Times New Roman"/>
          <w:sz w:val="24"/>
          <w:szCs w:val="24"/>
        </w:rPr>
        <w:t>forms</w:t>
      </w:r>
      <w:r>
        <w:rPr>
          <w:rFonts w:ascii="Times New Roman" w:hAnsi="Times New Roman"/>
          <w:sz w:val="24"/>
          <w:szCs w:val="24"/>
        </w:rPr>
        <w:t xml:space="preserve"> and a new annual report. </w:t>
      </w:r>
    </w:p>
    <w:p w14:paraId="076C2F96" w14:textId="77777777" w:rsidR="00273706" w:rsidRDefault="00273706" w:rsidP="00AD2EBB">
      <w:pPr>
        <w:spacing w:after="0" w:line="240" w:lineRule="auto"/>
        <w:rPr>
          <w:rFonts w:ascii="Times New Roman" w:hAnsi="Times New Roman"/>
          <w:sz w:val="24"/>
          <w:szCs w:val="24"/>
        </w:rPr>
      </w:pPr>
    </w:p>
    <w:p w14:paraId="0C5F2EB6" w14:textId="6929E612" w:rsidR="008D626B" w:rsidRPr="00273706" w:rsidRDefault="00273706" w:rsidP="00AD2EBB">
      <w:pPr>
        <w:spacing w:after="0" w:line="240" w:lineRule="auto"/>
        <w:rPr>
          <w:rFonts w:ascii="Times New Roman" w:hAnsi="Times New Roman"/>
          <w:i/>
          <w:sz w:val="24"/>
          <w:szCs w:val="24"/>
        </w:rPr>
      </w:pPr>
      <w:r w:rsidRPr="00273706">
        <w:rPr>
          <w:rFonts w:ascii="Times New Roman" w:hAnsi="Times New Roman"/>
          <w:i/>
          <w:sz w:val="24"/>
          <w:szCs w:val="24"/>
        </w:rPr>
        <w:t>Application for a Non-profit Corporation to be Designated as a Recreational Quota Entity</w:t>
      </w:r>
    </w:p>
    <w:p w14:paraId="520345D3" w14:textId="4B105149" w:rsidR="008D626B" w:rsidRPr="0008441A" w:rsidRDefault="008D626B" w:rsidP="008D626B">
      <w:pPr>
        <w:pStyle w:val="BodyText"/>
        <w:spacing w:after="0"/>
        <w:contextualSpacing/>
        <w:rPr>
          <w:rFonts w:ascii="Times New Roman" w:hAnsi="Times New Roman"/>
          <w:sz w:val="24"/>
          <w:szCs w:val="24"/>
        </w:rPr>
      </w:pPr>
      <w:r>
        <w:rPr>
          <w:rFonts w:ascii="Times New Roman" w:hAnsi="Times New Roman"/>
          <w:sz w:val="24"/>
          <w:szCs w:val="24"/>
        </w:rPr>
        <w:t xml:space="preserve">The </w:t>
      </w:r>
      <w:r w:rsidRPr="0008441A">
        <w:rPr>
          <w:rFonts w:ascii="Times New Roman" w:hAnsi="Times New Roman"/>
          <w:sz w:val="24"/>
          <w:szCs w:val="24"/>
        </w:rPr>
        <w:t>Application for a Non-profit Corporation to be Designated as a Recreational Quota</w:t>
      </w:r>
      <w:r>
        <w:rPr>
          <w:rFonts w:ascii="Times New Roman" w:hAnsi="Times New Roman"/>
          <w:sz w:val="24"/>
          <w:szCs w:val="24"/>
        </w:rPr>
        <w:t xml:space="preserve"> </w:t>
      </w:r>
      <w:r w:rsidRPr="0008441A">
        <w:rPr>
          <w:rFonts w:ascii="Times New Roman" w:hAnsi="Times New Roman"/>
          <w:sz w:val="24"/>
          <w:szCs w:val="24"/>
        </w:rPr>
        <w:t>Entity</w:t>
      </w:r>
      <w:r>
        <w:rPr>
          <w:rFonts w:ascii="Times New Roman" w:hAnsi="Times New Roman"/>
          <w:sz w:val="24"/>
          <w:szCs w:val="24"/>
        </w:rPr>
        <w:t xml:space="preserve"> is used by a non-profit corporation to apply for recognition as an RQE</w:t>
      </w:r>
      <w:r w:rsidR="00943BF8">
        <w:rPr>
          <w:rFonts w:ascii="Times New Roman" w:hAnsi="Times New Roman"/>
          <w:sz w:val="24"/>
          <w:szCs w:val="24"/>
        </w:rPr>
        <w:t xml:space="preserve">. Designation as an RQE authorizes the </w:t>
      </w:r>
      <w:r w:rsidR="00E07E82">
        <w:rPr>
          <w:rFonts w:ascii="Times New Roman" w:hAnsi="Times New Roman"/>
          <w:sz w:val="24"/>
          <w:szCs w:val="24"/>
        </w:rPr>
        <w:t>RQE</w:t>
      </w:r>
      <w:r w:rsidR="00943BF8">
        <w:rPr>
          <w:rFonts w:ascii="Times New Roman" w:hAnsi="Times New Roman"/>
          <w:sz w:val="24"/>
          <w:szCs w:val="24"/>
        </w:rPr>
        <w:t xml:space="preserve"> to </w:t>
      </w:r>
      <w:r w:rsidR="00E07E82">
        <w:rPr>
          <w:rFonts w:ascii="Times New Roman" w:hAnsi="Times New Roman"/>
          <w:sz w:val="24"/>
          <w:szCs w:val="24"/>
        </w:rPr>
        <w:t xml:space="preserve">buy, sell, and </w:t>
      </w:r>
      <w:r w:rsidR="00943BF8">
        <w:rPr>
          <w:rFonts w:ascii="Times New Roman" w:hAnsi="Times New Roman"/>
          <w:sz w:val="24"/>
          <w:szCs w:val="24"/>
        </w:rPr>
        <w:t xml:space="preserve">hold commercial halibut QS in </w:t>
      </w:r>
      <w:r w:rsidR="00E07E82">
        <w:rPr>
          <w:rFonts w:ascii="Times New Roman" w:hAnsi="Times New Roman"/>
          <w:sz w:val="24"/>
          <w:szCs w:val="24"/>
        </w:rPr>
        <w:t xml:space="preserve">Areas 2C and 3A. </w:t>
      </w:r>
      <w:r w:rsidR="00582776">
        <w:rPr>
          <w:rFonts w:ascii="Times New Roman" w:hAnsi="Times New Roman"/>
          <w:sz w:val="24"/>
          <w:szCs w:val="24"/>
        </w:rPr>
        <w:t xml:space="preserve">This application collects information necessary for NMFS to determine eligibility of the entity to be designated an RQE. </w:t>
      </w:r>
    </w:p>
    <w:p w14:paraId="63CD4E69" w14:textId="77777777" w:rsidR="00273706" w:rsidRDefault="00273706" w:rsidP="00AD2EBB">
      <w:pPr>
        <w:spacing w:after="0" w:line="240" w:lineRule="auto"/>
        <w:rPr>
          <w:rFonts w:ascii="Times New Roman" w:hAnsi="Times New Roman"/>
          <w:sz w:val="24"/>
          <w:szCs w:val="24"/>
        </w:rPr>
      </w:pPr>
    </w:p>
    <w:p w14:paraId="1FF493E0" w14:textId="68798276" w:rsidR="008D626B" w:rsidRPr="00273706" w:rsidRDefault="00273706" w:rsidP="00AD2EBB">
      <w:pPr>
        <w:spacing w:after="0" w:line="240" w:lineRule="auto"/>
        <w:rPr>
          <w:rFonts w:ascii="Times New Roman" w:hAnsi="Times New Roman"/>
          <w:i/>
          <w:sz w:val="24"/>
          <w:szCs w:val="24"/>
        </w:rPr>
      </w:pPr>
      <w:r w:rsidRPr="00273706">
        <w:rPr>
          <w:rFonts w:ascii="Times New Roman" w:hAnsi="Times New Roman"/>
          <w:i/>
          <w:sz w:val="24"/>
          <w:szCs w:val="24"/>
        </w:rPr>
        <w:t xml:space="preserve">Application for Transfer of </w:t>
      </w:r>
      <w:r w:rsidR="00A95C54">
        <w:rPr>
          <w:rFonts w:ascii="Times New Roman" w:hAnsi="Times New Roman"/>
          <w:i/>
          <w:sz w:val="24"/>
          <w:szCs w:val="24"/>
        </w:rPr>
        <w:t>Quota Share</w:t>
      </w:r>
      <w:r w:rsidRPr="00273706">
        <w:rPr>
          <w:rFonts w:ascii="Times New Roman" w:hAnsi="Times New Roman"/>
          <w:i/>
          <w:sz w:val="24"/>
          <w:szCs w:val="24"/>
        </w:rPr>
        <w:t xml:space="preserve"> To or From a Recreational Quota Entity</w:t>
      </w:r>
    </w:p>
    <w:p w14:paraId="4FA2CB39" w14:textId="016E31CA" w:rsidR="00273706" w:rsidRPr="0008441A" w:rsidRDefault="00273706" w:rsidP="00273706">
      <w:pPr>
        <w:pStyle w:val="BodyText"/>
        <w:spacing w:after="0"/>
        <w:contextualSpacing/>
        <w:rPr>
          <w:rFonts w:ascii="Times New Roman" w:hAnsi="Times New Roman"/>
          <w:sz w:val="24"/>
          <w:szCs w:val="24"/>
        </w:rPr>
      </w:pPr>
      <w:r>
        <w:rPr>
          <w:rFonts w:ascii="Times New Roman" w:hAnsi="Times New Roman"/>
          <w:sz w:val="24"/>
          <w:szCs w:val="24"/>
        </w:rPr>
        <w:t xml:space="preserve">The </w:t>
      </w:r>
      <w:r w:rsidRPr="0008441A">
        <w:rPr>
          <w:rFonts w:ascii="Times New Roman" w:hAnsi="Times New Roman"/>
          <w:sz w:val="24"/>
          <w:szCs w:val="24"/>
        </w:rPr>
        <w:t xml:space="preserve">Application for Transfer of </w:t>
      </w:r>
      <w:r w:rsidR="00A95C54">
        <w:rPr>
          <w:rFonts w:ascii="Times New Roman" w:hAnsi="Times New Roman"/>
          <w:sz w:val="24"/>
          <w:szCs w:val="24"/>
        </w:rPr>
        <w:t>Quota Share</w:t>
      </w:r>
      <w:r w:rsidRPr="0008441A">
        <w:rPr>
          <w:rFonts w:ascii="Times New Roman" w:hAnsi="Times New Roman"/>
          <w:sz w:val="24"/>
          <w:szCs w:val="24"/>
        </w:rPr>
        <w:t xml:space="preserve"> To or From a Recreational Quota Entity</w:t>
      </w:r>
      <w:r w:rsidR="00582776">
        <w:rPr>
          <w:rFonts w:ascii="Times New Roman" w:hAnsi="Times New Roman"/>
          <w:sz w:val="24"/>
          <w:szCs w:val="24"/>
        </w:rPr>
        <w:t xml:space="preserve"> is used by an RQE to permanently receive or transfer QS. This application collects information necessary for NMFS to ensure that QS are transferred in compliance with the buying and selling of QS.</w:t>
      </w:r>
    </w:p>
    <w:p w14:paraId="20224883" w14:textId="419E26CA" w:rsidR="00116ACE" w:rsidRDefault="00116ACE" w:rsidP="00AD2EBB">
      <w:pPr>
        <w:spacing w:after="0" w:line="240" w:lineRule="auto"/>
        <w:rPr>
          <w:rFonts w:ascii="Times New Roman" w:hAnsi="Times New Roman"/>
          <w:sz w:val="24"/>
          <w:szCs w:val="24"/>
        </w:rPr>
      </w:pPr>
    </w:p>
    <w:p w14:paraId="09B015D9" w14:textId="77777777" w:rsidR="00273706" w:rsidRPr="00273706" w:rsidRDefault="00273706" w:rsidP="00273706">
      <w:pPr>
        <w:pStyle w:val="BodyText"/>
        <w:spacing w:after="0"/>
        <w:contextualSpacing/>
        <w:rPr>
          <w:rFonts w:ascii="Times New Roman" w:hAnsi="Times New Roman"/>
          <w:i/>
          <w:sz w:val="24"/>
          <w:szCs w:val="24"/>
        </w:rPr>
      </w:pPr>
      <w:r w:rsidRPr="00273706">
        <w:rPr>
          <w:rFonts w:ascii="Times New Roman" w:hAnsi="Times New Roman"/>
          <w:i/>
          <w:sz w:val="24"/>
          <w:szCs w:val="24"/>
        </w:rPr>
        <w:t>Recreational Quota Entity Annual Report</w:t>
      </w:r>
    </w:p>
    <w:p w14:paraId="6842C3EC" w14:textId="008C1C41" w:rsidR="00116ACE" w:rsidRPr="00285B90" w:rsidRDefault="00AF04BE" w:rsidP="00AD2EBB">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RQE </w:t>
      </w:r>
      <w:r w:rsidR="00285B90" w:rsidRPr="00285B90">
        <w:rPr>
          <w:rFonts w:ascii="Times New Roman" w:eastAsia="Times New Roman" w:hAnsi="Times New Roman"/>
          <w:sz w:val="24"/>
          <w:szCs w:val="24"/>
        </w:rPr>
        <w:t xml:space="preserve">annual report </w:t>
      </w:r>
      <w:r w:rsidR="00BC3078">
        <w:rPr>
          <w:rFonts w:ascii="Times New Roman" w:eastAsia="Times New Roman" w:hAnsi="Times New Roman"/>
          <w:sz w:val="24"/>
          <w:szCs w:val="24"/>
        </w:rPr>
        <w:t xml:space="preserve">must be submitted by </w:t>
      </w:r>
      <w:r w:rsidR="00285B90" w:rsidRPr="00285B90">
        <w:rPr>
          <w:rFonts w:ascii="Times New Roman" w:eastAsia="Times New Roman" w:hAnsi="Times New Roman"/>
          <w:sz w:val="24"/>
          <w:szCs w:val="24"/>
        </w:rPr>
        <w:t xml:space="preserve">an RQE for any year </w:t>
      </w:r>
      <w:r w:rsidR="00044FE6">
        <w:rPr>
          <w:rFonts w:ascii="Times New Roman" w:eastAsia="Times New Roman" w:hAnsi="Times New Roman"/>
          <w:sz w:val="24"/>
          <w:szCs w:val="24"/>
        </w:rPr>
        <w:t>that</w:t>
      </w:r>
      <w:r w:rsidR="00285B90" w:rsidRPr="00285B90">
        <w:rPr>
          <w:rFonts w:ascii="Times New Roman" w:eastAsia="Times New Roman" w:hAnsi="Times New Roman"/>
          <w:sz w:val="24"/>
          <w:szCs w:val="24"/>
        </w:rPr>
        <w:t xml:space="preserve"> it held </w:t>
      </w:r>
      <w:r w:rsidR="00104315">
        <w:rPr>
          <w:rFonts w:ascii="Times New Roman" w:eastAsia="Times New Roman" w:hAnsi="Times New Roman"/>
          <w:sz w:val="24"/>
          <w:szCs w:val="24"/>
        </w:rPr>
        <w:t xml:space="preserve">commercial </w:t>
      </w:r>
      <w:r w:rsidR="00285B90" w:rsidRPr="00285B90">
        <w:rPr>
          <w:rFonts w:ascii="Times New Roman" w:eastAsia="Times New Roman" w:hAnsi="Times New Roman"/>
          <w:sz w:val="24"/>
          <w:szCs w:val="24"/>
        </w:rPr>
        <w:t xml:space="preserve">QS. This report contains a list of all QS purchased or sold; </w:t>
      </w:r>
      <w:r w:rsidR="00BC3078">
        <w:rPr>
          <w:rFonts w:ascii="Times New Roman" w:eastAsia="Times New Roman" w:hAnsi="Times New Roman"/>
          <w:sz w:val="24"/>
          <w:szCs w:val="24"/>
        </w:rPr>
        <w:t xml:space="preserve">the </w:t>
      </w:r>
      <w:r w:rsidR="00285B90" w:rsidRPr="00285B90">
        <w:rPr>
          <w:rFonts w:ascii="Times New Roman" w:eastAsia="Times New Roman" w:hAnsi="Times New Roman"/>
          <w:sz w:val="24"/>
          <w:szCs w:val="24"/>
        </w:rPr>
        <w:t xml:space="preserve">number of charter halibut permits purchased or sold; changes to </w:t>
      </w:r>
      <w:r w:rsidR="00BC3078">
        <w:rPr>
          <w:rFonts w:ascii="Times New Roman" w:eastAsia="Times New Roman" w:hAnsi="Times New Roman"/>
          <w:sz w:val="24"/>
          <w:szCs w:val="24"/>
        </w:rPr>
        <w:t>the RQE’s</w:t>
      </w:r>
      <w:r w:rsidR="00285B90" w:rsidRPr="00285B90">
        <w:rPr>
          <w:rFonts w:ascii="Times New Roman" w:eastAsia="Times New Roman" w:hAnsi="Times New Roman"/>
          <w:sz w:val="24"/>
          <w:szCs w:val="24"/>
        </w:rPr>
        <w:t xml:space="preserve"> bylaws, Board of Directors, or key personnel; funds</w:t>
      </w:r>
      <w:r w:rsidR="00285B90" w:rsidRPr="00285B90">
        <w:t xml:space="preserve"> </w:t>
      </w:r>
      <w:r w:rsidR="00285B90" w:rsidRPr="00285B90">
        <w:rPr>
          <w:rFonts w:ascii="Times New Roman" w:eastAsia="Times New Roman" w:hAnsi="Times New Roman"/>
          <w:sz w:val="24"/>
          <w:szCs w:val="24"/>
        </w:rPr>
        <w:t>spent on conservation, research, and promotion of the halibut resource and a</w:t>
      </w:r>
      <w:r w:rsidR="00285B90">
        <w:rPr>
          <w:rFonts w:ascii="Times New Roman" w:eastAsia="Times New Roman" w:hAnsi="Times New Roman"/>
          <w:sz w:val="24"/>
          <w:szCs w:val="24"/>
        </w:rPr>
        <w:t xml:space="preserve"> </w:t>
      </w:r>
      <w:r w:rsidR="00285B90" w:rsidRPr="00285B90">
        <w:rPr>
          <w:rFonts w:ascii="Times New Roman" w:eastAsia="Times New Roman" w:hAnsi="Times New Roman"/>
          <w:sz w:val="24"/>
          <w:szCs w:val="24"/>
        </w:rPr>
        <w:t xml:space="preserve">summary of results; and administrative and all other expenses. </w:t>
      </w:r>
      <w:r>
        <w:rPr>
          <w:rFonts w:ascii="Times New Roman" w:eastAsia="Times New Roman" w:hAnsi="Times New Roman"/>
          <w:sz w:val="24"/>
          <w:szCs w:val="24"/>
        </w:rPr>
        <w:t>There is no form for this</w:t>
      </w:r>
      <w:r w:rsidR="00273706" w:rsidRPr="00285B90">
        <w:rPr>
          <w:rFonts w:ascii="Times New Roman" w:eastAsia="Times New Roman" w:hAnsi="Times New Roman"/>
          <w:sz w:val="24"/>
          <w:szCs w:val="24"/>
        </w:rPr>
        <w:t xml:space="preserve"> annual report.</w:t>
      </w:r>
    </w:p>
    <w:p w14:paraId="0302A6ED" w14:textId="77777777" w:rsidR="00116ACE" w:rsidRDefault="00116ACE" w:rsidP="00AD2EBB">
      <w:pPr>
        <w:spacing w:after="0" w:line="240" w:lineRule="auto"/>
        <w:rPr>
          <w:rFonts w:ascii="Times New Roman" w:hAnsi="Times New Roman"/>
          <w:sz w:val="24"/>
          <w:szCs w:val="24"/>
        </w:rPr>
      </w:pPr>
    </w:p>
    <w:p w14:paraId="567E56CF" w14:textId="0C17ABFD" w:rsidR="00273706" w:rsidRPr="00273706" w:rsidRDefault="00273706" w:rsidP="00A80069">
      <w:pPr>
        <w:pStyle w:val="BodyText"/>
        <w:keepNext/>
        <w:spacing w:after="0" w:line="257" w:lineRule="auto"/>
        <w:contextualSpacing/>
        <w:rPr>
          <w:rFonts w:ascii="Times New Roman" w:eastAsia="Times New Roman" w:hAnsi="Times New Roman"/>
          <w:i/>
          <w:sz w:val="24"/>
          <w:szCs w:val="24"/>
        </w:rPr>
      </w:pPr>
      <w:r w:rsidRPr="00273706">
        <w:rPr>
          <w:rFonts w:ascii="Times New Roman" w:eastAsia="Times New Roman" w:hAnsi="Times New Roman"/>
          <w:i/>
          <w:sz w:val="24"/>
          <w:szCs w:val="24"/>
        </w:rPr>
        <w:lastRenderedPageBreak/>
        <w:t>Comments</w:t>
      </w:r>
    </w:p>
    <w:p w14:paraId="30591A23" w14:textId="08868C10" w:rsidR="00116ACE" w:rsidRDefault="00116ACE" w:rsidP="00A80069">
      <w:pPr>
        <w:pStyle w:val="BodyText"/>
        <w:keepNext/>
        <w:spacing w:after="0" w:line="257" w:lineRule="auto"/>
        <w:contextualSpacing/>
        <w:rPr>
          <w:rFonts w:ascii="Times New Roman" w:eastAsia="Times New Roman" w:hAnsi="Times New Roman"/>
          <w:sz w:val="24"/>
          <w:szCs w:val="24"/>
        </w:rPr>
      </w:pPr>
      <w:r w:rsidRPr="00B12840">
        <w:rPr>
          <w:rFonts w:ascii="Times New Roman" w:eastAsia="Times New Roman" w:hAnsi="Times New Roman"/>
          <w:sz w:val="24"/>
          <w:szCs w:val="24"/>
        </w:rPr>
        <w:t>Notice of these changes was gi</w:t>
      </w:r>
      <w:r w:rsidR="00AD3A93">
        <w:rPr>
          <w:rFonts w:ascii="Times New Roman" w:eastAsia="Times New Roman" w:hAnsi="Times New Roman"/>
          <w:sz w:val="24"/>
          <w:szCs w:val="24"/>
        </w:rPr>
        <w:t>ven in the proposed rule for BG</w:t>
      </w:r>
      <w:r w:rsidR="00B12840" w:rsidRPr="00B12840">
        <w:rPr>
          <w:rFonts w:ascii="Times New Roman" w:eastAsia="Times New Roman" w:hAnsi="Times New Roman"/>
          <w:sz w:val="24"/>
          <w:szCs w:val="24"/>
        </w:rPr>
        <w:t>57</w:t>
      </w:r>
      <w:r w:rsidRPr="00B12840">
        <w:rPr>
          <w:rFonts w:ascii="Times New Roman" w:eastAsia="Times New Roman" w:hAnsi="Times New Roman"/>
          <w:sz w:val="24"/>
          <w:szCs w:val="24"/>
        </w:rPr>
        <w:t xml:space="preserve"> </w:t>
      </w:r>
      <w:hyperlink r:id="rId15" w:history="1">
        <w:r w:rsidRPr="00B12840">
          <w:rPr>
            <w:rStyle w:val="Hyperlink"/>
            <w:rFonts w:ascii="Times New Roman" w:eastAsia="Times New Roman" w:hAnsi="Times New Roman"/>
            <w:sz w:val="24"/>
            <w:szCs w:val="24"/>
          </w:rPr>
          <w:t>(8</w:t>
        </w:r>
        <w:r w:rsidR="00B12840" w:rsidRPr="00B12840">
          <w:rPr>
            <w:rStyle w:val="Hyperlink"/>
            <w:rFonts w:ascii="Times New Roman" w:eastAsia="Times New Roman" w:hAnsi="Times New Roman"/>
            <w:sz w:val="24"/>
            <w:szCs w:val="24"/>
          </w:rPr>
          <w:t>2</w:t>
        </w:r>
        <w:r w:rsidRPr="00B12840">
          <w:rPr>
            <w:rStyle w:val="Hyperlink"/>
            <w:rFonts w:ascii="Times New Roman" w:eastAsia="Times New Roman" w:hAnsi="Times New Roman"/>
            <w:sz w:val="24"/>
            <w:szCs w:val="24"/>
          </w:rPr>
          <w:t xml:space="preserve"> FR </w:t>
        </w:r>
        <w:r w:rsidR="00B12840" w:rsidRPr="00B12840">
          <w:rPr>
            <w:rStyle w:val="Hyperlink"/>
            <w:rFonts w:ascii="Times New Roman" w:eastAsia="Times New Roman" w:hAnsi="Times New Roman"/>
            <w:sz w:val="24"/>
            <w:szCs w:val="24"/>
          </w:rPr>
          <w:t>46016</w:t>
        </w:r>
        <w:r w:rsidRPr="00B12840">
          <w:rPr>
            <w:rStyle w:val="Hyperlink"/>
            <w:rFonts w:ascii="Times New Roman" w:eastAsia="Times New Roman" w:hAnsi="Times New Roman"/>
            <w:sz w:val="24"/>
            <w:szCs w:val="24"/>
          </w:rPr>
          <w:t xml:space="preserve">, </w:t>
        </w:r>
        <w:r w:rsidR="00B12840" w:rsidRPr="00B12840">
          <w:rPr>
            <w:rStyle w:val="Hyperlink"/>
            <w:rFonts w:ascii="Times New Roman" w:eastAsia="Times New Roman" w:hAnsi="Times New Roman"/>
            <w:sz w:val="24"/>
            <w:szCs w:val="24"/>
          </w:rPr>
          <w:t>October 3, 2017</w:t>
        </w:r>
        <w:r w:rsidRPr="00B12840">
          <w:rPr>
            <w:rStyle w:val="Hyperlink"/>
            <w:rFonts w:ascii="Times New Roman" w:eastAsia="Times New Roman" w:hAnsi="Times New Roman"/>
            <w:sz w:val="24"/>
            <w:szCs w:val="24"/>
          </w:rPr>
          <w:t>)</w:t>
        </w:r>
      </w:hyperlink>
      <w:r w:rsidRPr="00B12840">
        <w:rPr>
          <w:rFonts w:ascii="Times New Roman" w:eastAsia="Times New Roman" w:hAnsi="Times New Roman"/>
          <w:sz w:val="24"/>
          <w:szCs w:val="24"/>
        </w:rPr>
        <w:t xml:space="preserve">. The responses to comments received were published in the final rule </w:t>
      </w:r>
      <w:hyperlink r:id="rId16" w:history="1">
        <w:r w:rsidRPr="00B12840">
          <w:rPr>
            <w:rStyle w:val="Hyperlink"/>
            <w:rFonts w:ascii="Times New Roman" w:eastAsia="Times New Roman" w:hAnsi="Times New Roman"/>
            <w:sz w:val="24"/>
            <w:szCs w:val="24"/>
          </w:rPr>
          <w:t xml:space="preserve">(83 FR </w:t>
        </w:r>
        <w:r w:rsidR="00B12840">
          <w:rPr>
            <w:rStyle w:val="Hyperlink"/>
            <w:rFonts w:ascii="Times New Roman" w:eastAsia="Times New Roman" w:hAnsi="Times New Roman"/>
            <w:sz w:val="24"/>
            <w:szCs w:val="24"/>
          </w:rPr>
          <w:t>47819</w:t>
        </w:r>
        <w:r w:rsidRPr="00B12840">
          <w:rPr>
            <w:rStyle w:val="Hyperlink"/>
            <w:rFonts w:ascii="Times New Roman" w:eastAsia="Times New Roman" w:hAnsi="Times New Roman"/>
            <w:sz w:val="24"/>
            <w:szCs w:val="24"/>
          </w:rPr>
          <w:t xml:space="preserve">, </w:t>
        </w:r>
        <w:r w:rsidR="00B12840">
          <w:rPr>
            <w:rStyle w:val="Hyperlink"/>
            <w:rFonts w:ascii="Times New Roman" w:eastAsia="Times New Roman" w:hAnsi="Times New Roman"/>
            <w:sz w:val="24"/>
            <w:szCs w:val="24"/>
          </w:rPr>
          <w:t>September</w:t>
        </w:r>
        <w:r w:rsidRPr="00B12840">
          <w:rPr>
            <w:rStyle w:val="Hyperlink"/>
            <w:rFonts w:ascii="Times New Roman" w:eastAsia="Times New Roman" w:hAnsi="Times New Roman"/>
            <w:sz w:val="24"/>
            <w:szCs w:val="24"/>
          </w:rPr>
          <w:t xml:space="preserve"> </w:t>
        </w:r>
        <w:r w:rsidR="00B12840">
          <w:rPr>
            <w:rStyle w:val="Hyperlink"/>
            <w:rFonts w:ascii="Times New Roman" w:eastAsia="Times New Roman" w:hAnsi="Times New Roman"/>
            <w:sz w:val="24"/>
            <w:szCs w:val="24"/>
          </w:rPr>
          <w:t>21</w:t>
        </w:r>
        <w:r w:rsidRPr="00B12840">
          <w:rPr>
            <w:rStyle w:val="Hyperlink"/>
            <w:rFonts w:ascii="Times New Roman" w:eastAsia="Times New Roman" w:hAnsi="Times New Roman"/>
            <w:sz w:val="24"/>
            <w:szCs w:val="24"/>
          </w:rPr>
          <w:t>, 2018)</w:t>
        </w:r>
      </w:hyperlink>
      <w:r w:rsidRPr="00B12840">
        <w:rPr>
          <w:rFonts w:ascii="Times New Roman" w:eastAsia="Times New Roman" w:hAnsi="Times New Roman"/>
          <w:sz w:val="24"/>
          <w:szCs w:val="24"/>
        </w:rPr>
        <w:t xml:space="preserve">. No comments were received on the information requirements, and this was noted in the </w:t>
      </w:r>
      <w:hyperlink r:id="rId17" w:history="1">
        <w:r w:rsidR="00F902A9">
          <w:rPr>
            <w:rStyle w:val="Hyperlink"/>
            <w:rFonts w:ascii="Times New Roman" w:eastAsia="Times New Roman" w:hAnsi="Times New Roman"/>
            <w:sz w:val="24"/>
            <w:szCs w:val="24"/>
          </w:rPr>
          <w:t>information collection review</w:t>
        </w:r>
        <w:r w:rsidR="00B12840" w:rsidRPr="00B12840">
          <w:rPr>
            <w:rStyle w:val="Hyperlink"/>
            <w:rFonts w:ascii="Times New Roman" w:eastAsia="Times New Roman" w:hAnsi="Times New Roman"/>
            <w:sz w:val="24"/>
            <w:szCs w:val="24"/>
          </w:rPr>
          <w:t xml:space="preserve"> for 0648-0758</w:t>
        </w:r>
      </w:hyperlink>
      <w:r w:rsidRPr="00B12840">
        <w:rPr>
          <w:rFonts w:ascii="Times New Roman" w:eastAsia="Times New Roman" w:hAnsi="Times New Roman"/>
          <w:sz w:val="24"/>
          <w:szCs w:val="24"/>
        </w:rPr>
        <w:t>.</w:t>
      </w:r>
      <w:r>
        <w:rPr>
          <w:rFonts w:ascii="Times New Roman" w:eastAsia="Times New Roman" w:hAnsi="Times New Roman"/>
          <w:sz w:val="24"/>
          <w:szCs w:val="24"/>
        </w:rPr>
        <w:t xml:space="preserve"> </w:t>
      </w:r>
    </w:p>
    <w:p w14:paraId="283671AF" w14:textId="5EC37AD9" w:rsidR="00116ACE" w:rsidRDefault="00116ACE" w:rsidP="00AD2EBB">
      <w:pPr>
        <w:spacing w:after="0" w:line="240" w:lineRule="auto"/>
        <w:rPr>
          <w:rFonts w:ascii="Times New Roman" w:hAnsi="Times New Roman"/>
          <w:sz w:val="24"/>
          <w:szCs w:val="24"/>
        </w:rPr>
      </w:pPr>
    </w:p>
    <w:p w14:paraId="0C4CC3C8" w14:textId="304DD285" w:rsidR="00116ACE" w:rsidRPr="00116ACE" w:rsidRDefault="00116ACE" w:rsidP="00BC146F">
      <w:pPr>
        <w:keepNext/>
        <w:spacing w:after="0" w:line="240" w:lineRule="auto"/>
        <w:rPr>
          <w:rFonts w:ascii="Times New Roman" w:hAnsi="Times New Roman"/>
          <w:b/>
          <w:sz w:val="24"/>
          <w:szCs w:val="24"/>
        </w:rPr>
      </w:pPr>
      <w:r w:rsidRPr="00116ACE">
        <w:rPr>
          <w:rFonts w:ascii="Times New Roman" w:hAnsi="Times New Roman"/>
          <w:b/>
          <w:sz w:val="24"/>
          <w:szCs w:val="24"/>
        </w:rPr>
        <w:t>0648-0764</w:t>
      </w:r>
    </w:p>
    <w:p w14:paraId="1A9CDFA6" w14:textId="36F0DD07" w:rsidR="00AB6CE9" w:rsidRDefault="003170DF" w:rsidP="00BC146F">
      <w:pPr>
        <w:pStyle w:val="BodyText"/>
        <w:keepNext/>
        <w:spacing w:after="0"/>
        <w:contextualSpacing/>
        <w:rPr>
          <w:rFonts w:ascii="Times New Roman" w:eastAsia="Times New Roman" w:hAnsi="Times New Roman"/>
          <w:sz w:val="24"/>
          <w:szCs w:val="24"/>
        </w:rPr>
      </w:pPr>
      <w:r>
        <w:rPr>
          <w:rFonts w:ascii="Times New Roman" w:eastAsia="Times New Roman" w:hAnsi="Times New Roman"/>
          <w:sz w:val="24"/>
          <w:szCs w:val="24"/>
        </w:rPr>
        <w:t xml:space="preserve">On October 18, 2018, </w:t>
      </w:r>
      <w:r w:rsidRPr="00A84150">
        <w:rPr>
          <w:rStyle w:val="Hyperlink"/>
          <w:rFonts w:ascii="Times New Roman" w:eastAsia="Times New Roman" w:hAnsi="Times New Roman"/>
          <w:color w:val="auto"/>
          <w:sz w:val="24"/>
          <w:szCs w:val="24"/>
          <w:u w:val="none"/>
        </w:rPr>
        <w:t>OMB approved 0764</w:t>
      </w:r>
      <w:r>
        <w:rPr>
          <w:rFonts w:ascii="Times New Roman" w:eastAsia="Times New Roman" w:hAnsi="Times New Roman"/>
          <w:sz w:val="24"/>
          <w:szCs w:val="24"/>
        </w:rPr>
        <w:t xml:space="preserve">, which </w:t>
      </w:r>
      <w:r w:rsidR="003A67C5">
        <w:rPr>
          <w:rFonts w:ascii="Times New Roman" w:eastAsia="Times New Roman" w:hAnsi="Times New Roman"/>
          <w:sz w:val="24"/>
          <w:szCs w:val="24"/>
        </w:rPr>
        <w:t xml:space="preserve">is a new temporary collection </w:t>
      </w:r>
      <w:r>
        <w:rPr>
          <w:rFonts w:ascii="Times New Roman" w:eastAsia="Times New Roman" w:hAnsi="Times New Roman"/>
          <w:sz w:val="24"/>
          <w:szCs w:val="24"/>
        </w:rPr>
        <w:t>associated with</w:t>
      </w:r>
      <w:r w:rsidR="004B4C83">
        <w:rPr>
          <w:rFonts w:ascii="Times New Roman" w:eastAsia="Times New Roman" w:hAnsi="Times New Roman"/>
          <w:sz w:val="24"/>
          <w:szCs w:val="24"/>
        </w:rPr>
        <w:t xml:space="preserve"> </w:t>
      </w:r>
      <w:r w:rsidR="003A67C5">
        <w:rPr>
          <w:rFonts w:ascii="Times New Roman" w:eastAsia="Times New Roman" w:hAnsi="Times New Roman"/>
          <w:sz w:val="24"/>
          <w:szCs w:val="24"/>
        </w:rPr>
        <w:t>a rule (RIN 0648-BG94) that modified regulations governing the IFQ Program</w:t>
      </w:r>
      <w:r w:rsidR="004B4C83">
        <w:rPr>
          <w:rFonts w:ascii="Times New Roman" w:eastAsia="Times New Roman" w:hAnsi="Times New Roman"/>
          <w:sz w:val="24"/>
          <w:szCs w:val="24"/>
        </w:rPr>
        <w:t xml:space="preserve"> (83 FR 52760, October 18, 2018). This rule </w:t>
      </w:r>
      <w:r w:rsidR="003A67C5">
        <w:rPr>
          <w:rFonts w:ascii="Times New Roman" w:eastAsia="Times New Roman" w:hAnsi="Times New Roman"/>
          <w:sz w:val="24"/>
          <w:szCs w:val="24"/>
        </w:rPr>
        <w:t>allow</w:t>
      </w:r>
      <w:r w:rsidR="004B4C83">
        <w:rPr>
          <w:rFonts w:ascii="Times New Roman" w:eastAsia="Times New Roman" w:hAnsi="Times New Roman"/>
          <w:sz w:val="24"/>
          <w:szCs w:val="24"/>
        </w:rPr>
        <w:t>s</w:t>
      </w:r>
      <w:r w:rsidR="003A67C5">
        <w:rPr>
          <w:rFonts w:ascii="Times New Roman" w:eastAsia="Times New Roman" w:hAnsi="Times New Roman"/>
          <w:sz w:val="24"/>
          <w:szCs w:val="24"/>
        </w:rPr>
        <w:t xml:space="preserve"> Western Alaska Community Development Quota (CDQ) groups to receive by transfer halibut IFQ in </w:t>
      </w:r>
      <w:r w:rsidR="003A67C5" w:rsidRPr="00E714BA">
        <w:rPr>
          <w:rFonts w:ascii="Times New Roman" w:eastAsia="Times New Roman" w:hAnsi="Times New Roman"/>
          <w:sz w:val="24"/>
          <w:szCs w:val="24"/>
        </w:rPr>
        <w:t>IFQ regulatory areas 4B, 4C, and 4D in years</w:t>
      </w:r>
      <w:r w:rsidR="003A67C5">
        <w:rPr>
          <w:rFonts w:ascii="Times New Roman" w:eastAsia="Times New Roman" w:hAnsi="Times New Roman"/>
          <w:sz w:val="24"/>
          <w:szCs w:val="24"/>
        </w:rPr>
        <w:t xml:space="preserve"> of low halibut catch limits.</w:t>
      </w:r>
      <w:r w:rsidR="00192C24">
        <w:rPr>
          <w:rFonts w:ascii="Times New Roman" w:eastAsia="Times New Roman" w:hAnsi="Times New Roman"/>
          <w:sz w:val="24"/>
          <w:szCs w:val="24"/>
        </w:rPr>
        <w:t xml:space="preserve"> </w:t>
      </w:r>
      <w:r w:rsidR="007243AA">
        <w:rPr>
          <w:rFonts w:ascii="Times New Roman" w:eastAsia="Times New Roman" w:hAnsi="Times New Roman"/>
          <w:sz w:val="24"/>
          <w:szCs w:val="24"/>
        </w:rPr>
        <w:t>The</w:t>
      </w:r>
      <w:r w:rsidR="00116ACE">
        <w:rPr>
          <w:rFonts w:ascii="Times New Roman" w:eastAsia="Times New Roman" w:hAnsi="Times New Roman"/>
          <w:sz w:val="24"/>
          <w:szCs w:val="24"/>
        </w:rPr>
        <w:t xml:space="preserve"> regulatory</w:t>
      </w:r>
      <w:r w:rsidR="007243AA">
        <w:rPr>
          <w:rFonts w:ascii="Times New Roman" w:eastAsia="Times New Roman" w:hAnsi="Times New Roman"/>
          <w:sz w:val="24"/>
          <w:szCs w:val="24"/>
        </w:rPr>
        <w:t xml:space="preserve"> changes implemented by this rule necessitated </w:t>
      </w:r>
      <w:r w:rsidR="0090630B">
        <w:rPr>
          <w:rFonts w:ascii="Times New Roman" w:eastAsia="Times New Roman" w:hAnsi="Times New Roman"/>
          <w:sz w:val="24"/>
          <w:szCs w:val="24"/>
        </w:rPr>
        <w:t>addition</w:t>
      </w:r>
      <w:r w:rsidR="007243AA">
        <w:rPr>
          <w:rFonts w:ascii="Times New Roman" w:eastAsia="Times New Roman" w:hAnsi="Times New Roman"/>
          <w:sz w:val="24"/>
          <w:szCs w:val="24"/>
        </w:rPr>
        <w:t xml:space="preserve"> of a new applicatio</w:t>
      </w:r>
      <w:r w:rsidR="0090630B">
        <w:rPr>
          <w:rFonts w:ascii="Times New Roman" w:eastAsia="Times New Roman" w:hAnsi="Times New Roman"/>
          <w:sz w:val="24"/>
          <w:szCs w:val="24"/>
        </w:rPr>
        <w:t>n form and a new annual report.</w:t>
      </w:r>
    </w:p>
    <w:p w14:paraId="6D5FD54D" w14:textId="77777777" w:rsidR="00273706" w:rsidRDefault="00273706" w:rsidP="004C3099">
      <w:pPr>
        <w:pStyle w:val="BodyText"/>
        <w:spacing w:after="0"/>
        <w:contextualSpacing/>
        <w:rPr>
          <w:rFonts w:ascii="Times New Roman" w:eastAsia="Times New Roman" w:hAnsi="Times New Roman"/>
          <w:i/>
          <w:sz w:val="24"/>
          <w:szCs w:val="24"/>
        </w:rPr>
      </w:pPr>
    </w:p>
    <w:p w14:paraId="0F3C9DE7" w14:textId="7F9BFEFA" w:rsidR="00AB6CE9" w:rsidRPr="00273706" w:rsidRDefault="00273706" w:rsidP="004C3099">
      <w:pPr>
        <w:pStyle w:val="BodyText"/>
        <w:spacing w:after="0"/>
        <w:contextualSpacing/>
        <w:rPr>
          <w:rFonts w:ascii="Times New Roman" w:eastAsia="Times New Roman" w:hAnsi="Times New Roman"/>
          <w:i/>
          <w:sz w:val="24"/>
          <w:szCs w:val="24"/>
        </w:rPr>
      </w:pPr>
      <w:r w:rsidRPr="00273706">
        <w:rPr>
          <w:rFonts w:ascii="Times New Roman" w:eastAsia="Times New Roman" w:hAnsi="Times New Roman"/>
          <w:i/>
          <w:sz w:val="24"/>
          <w:szCs w:val="24"/>
        </w:rPr>
        <w:t>Application for Temporary Transfer of Halibut/Sablefish Individual Fishing Quota</w:t>
      </w:r>
    </w:p>
    <w:p w14:paraId="23825C0B" w14:textId="3A43F81F" w:rsidR="0069464A" w:rsidRDefault="00AB6CE9" w:rsidP="004C3099">
      <w:pPr>
        <w:pStyle w:val="BodyText"/>
        <w:spacing w:after="0"/>
        <w:contextualSpacing/>
        <w:rPr>
          <w:rFonts w:ascii="Times New Roman" w:eastAsia="Times New Roman" w:hAnsi="Times New Roman"/>
          <w:sz w:val="24"/>
          <w:szCs w:val="24"/>
        </w:rPr>
      </w:pPr>
      <w:r w:rsidRPr="00AB6CE9">
        <w:rPr>
          <w:rFonts w:ascii="Times New Roman" w:eastAsia="Times New Roman" w:hAnsi="Times New Roman"/>
          <w:sz w:val="24"/>
          <w:szCs w:val="24"/>
        </w:rPr>
        <w:t xml:space="preserve">To facilitate </w:t>
      </w:r>
      <w:r w:rsidR="00B052A1">
        <w:rPr>
          <w:rFonts w:ascii="Times New Roman" w:eastAsia="Times New Roman" w:hAnsi="Times New Roman"/>
          <w:sz w:val="24"/>
          <w:szCs w:val="24"/>
        </w:rPr>
        <w:t xml:space="preserve">the </w:t>
      </w:r>
      <w:r w:rsidR="0069464A">
        <w:rPr>
          <w:rFonts w:ascii="Times New Roman" w:eastAsia="Times New Roman" w:hAnsi="Times New Roman"/>
          <w:sz w:val="24"/>
          <w:szCs w:val="24"/>
        </w:rPr>
        <w:t xml:space="preserve">rule’s </w:t>
      </w:r>
      <w:r w:rsidRPr="00AB6CE9">
        <w:rPr>
          <w:rFonts w:ascii="Times New Roman" w:eastAsia="Times New Roman" w:hAnsi="Times New Roman"/>
          <w:sz w:val="24"/>
          <w:szCs w:val="24"/>
        </w:rPr>
        <w:t>recordkee</w:t>
      </w:r>
      <w:r>
        <w:rPr>
          <w:rFonts w:ascii="Times New Roman" w:eastAsia="Times New Roman" w:hAnsi="Times New Roman"/>
          <w:sz w:val="24"/>
          <w:szCs w:val="24"/>
        </w:rPr>
        <w:t>ping and reporting requirements</w:t>
      </w:r>
      <w:r w:rsidR="00643289">
        <w:rPr>
          <w:rFonts w:ascii="Times New Roman" w:eastAsia="Times New Roman" w:hAnsi="Times New Roman"/>
          <w:sz w:val="24"/>
          <w:szCs w:val="24"/>
        </w:rPr>
        <w:t xml:space="preserve">, </w:t>
      </w:r>
      <w:r>
        <w:rPr>
          <w:rFonts w:ascii="Times New Roman" w:eastAsia="Times New Roman" w:hAnsi="Times New Roman"/>
          <w:sz w:val="24"/>
          <w:szCs w:val="24"/>
        </w:rPr>
        <w:t xml:space="preserve">0764 </w:t>
      </w:r>
      <w:r w:rsidR="00ED2DF6">
        <w:rPr>
          <w:rFonts w:ascii="Times New Roman" w:eastAsia="Times New Roman" w:hAnsi="Times New Roman"/>
          <w:sz w:val="24"/>
          <w:szCs w:val="24"/>
        </w:rPr>
        <w:t>split</w:t>
      </w:r>
      <w:r w:rsidRPr="00AB6CE9">
        <w:rPr>
          <w:rFonts w:ascii="Times New Roman" w:eastAsia="Times New Roman" w:hAnsi="Times New Roman"/>
          <w:sz w:val="24"/>
          <w:szCs w:val="24"/>
        </w:rPr>
        <w:t xml:space="preserve"> the existing form </w:t>
      </w:r>
      <w:r w:rsidR="00304FCB">
        <w:rPr>
          <w:rFonts w:ascii="Times New Roman" w:eastAsia="Times New Roman" w:hAnsi="Times New Roman"/>
          <w:sz w:val="24"/>
          <w:szCs w:val="24"/>
        </w:rPr>
        <w:t>“</w:t>
      </w:r>
      <w:r w:rsidRPr="00AB6CE9">
        <w:rPr>
          <w:rFonts w:ascii="Times New Roman" w:eastAsia="Times New Roman" w:hAnsi="Times New Roman"/>
          <w:sz w:val="24"/>
          <w:szCs w:val="24"/>
        </w:rPr>
        <w:t>Application for Transfer of QS/IFQ</w:t>
      </w:r>
      <w:r w:rsidR="005E60C9">
        <w:rPr>
          <w:rFonts w:ascii="Times New Roman" w:eastAsia="Times New Roman" w:hAnsi="Times New Roman"/>
          <w:sz w:val="24"/>
          <w:szCs w:val="24"/>
        </w:rPr>
        <w:t>”</w:t>
      </w:r>
      <w:r w:rsidRPr="00AB6CE9">
        <w:rPr>
          <w:rFonts w:ascii="Times New Roman" w:eastAsia="Times New Roman" w:hAnsi="Times New Roman"/>
          <w:sz w:val="24"/>
          <w:szCs w:val="24"/>
        </w:rPr>
        <w:t xml:space="preserve"> </w:t>
      </w:r>
      <w:r w:rsidR="00792479">
        <w:rPr>
          <w:rFonts w:ascii="Times New Roman" w:eastAsia="Times New Roman" w:hAnsi="Times New Roman"/>
          <w:sz w:val="24"/>
          <w:szCs w:val="24"/>
        </w:rPr>
        <w:t xml:space="preserve">(approved under 0272) </w:t>
      </w:r>
      <w:r w:rsidRPr="00AB6CE9">
        <w:rPr>
          <w:rFonts w:ascii="Times New Roman" w:eastAsia="Times New Roman" w:hAnsi="Times New Roman"/>
          <w:sz w:val="24"/>
          <w:szCs w:val="24"/>
        </w:rPr>
        <w:t>into two forms</w:t>
      </w:r>
      <w:r w:rsidR="00BE1E35">
        <w:rPr>
          <w:rFonts w:ascii="Times New Roman" w:eastAsia="Times New Roman" w:hAnsi="Times New Roman"/>
          <w:sz w:val="24"/>
          <w:szCs w:val="24"/>
        </w:rPr>
        <w:t xml:space="preserve"> </w:t>
      </w:r>
      <w:r w:rsidR="0069464A">
        <w:rPr>
          <w:rFonts w:ascii="Times New Roman" w:eastAsia="Times New Roman" w:hAnsi="Times New Roman"/>
          <w:sz w:val="24"/>
          <w:szCs w:val="24"/>
        </w:rPr>
        <w:t xml:space="preserve">because </w:t>
      </w:r>
      <w:r w:rsidR="00E2737B">
        <w:rPr>
          <w:rFonts w:ascii="Times New Roman" w:eastAsia="Times New Roman" w:hAnsi="Times New Roman"/>
          <w:sz w:val="24"/>
          <w:szCs w:val="24"/>
        </w:rPr>
        <w:t>this</w:t>
      </w:r>
      <w:r w:rsidR="003170DF">
        <w:rPr>
          <w:rFonts w:ascii="Times New Roman" w:eastAsia="Times New Roman" w:hAnsi="Times New Roman"/>
          <w:sz w:val="24"/>
          <w:szCs w:val="24"/>
        </w:rPr>
        <w:t xml:space="preserve"> form</w:t>
      </w:r>
      <w:r w:rsidR="007243AA">
        <w:rPr>
          <w:rFonts w:ascii="Times New Roman" w:eastAsia="Times New Roman" w:hAnsi="Times New Roman"/>
          <w:sz w:val="24"/>
          <w:szCs w:val="24"/>
        </w:rPr>
        <w:t xml:space="preserve"> </w:t>
      </w:r>
      <w:r w:rsidR="0069464A">
        <w:rPr>
          <w:rFonts w:ascii="Times New Roman" w:eastAsia="Times New Roman" w:hAnsi="Times New Roman"/>
          <w:sz w:val="24"/>
          <w:szCs w:val="24"/>
        </w:rPr>
        <w:t xml:space="preserve">did not collect the information needed </w:t>
      </w:r>
      <w:r w:rsidR="002A32C9">
        <w:rPr>
          <w:rFonts w:ascii="Times New Roman" w:eastAsia="Times New Roman" w:hAnsi="Times New Roman"/>
          <w:sz w:val="24"/>
          <w:szCs w:val="24"/>
        </w:rPr>
        <w:t xml:space="preserve">to monitor the IFQ transfers created under the rule. </w:t>
      </w:r>
      <w:r w:rsidR="00792479">
        <w:rPr>
          <w:rFonts w:ascii="Times New Roman" w:eastAsia="Times New Roman" w:hAnsi="Times New Roman"/>
          <w:sz w:val="24"/>
          <w:szCs w:val="24"/>
        </w:rPr>
        <w:t>T</w:t>
      </w:r>
      <w:r w:rsidR="0069464A">
        <w:rPr>
          <w:rFonts w:ascii="Times New Roman" w:eastAsia="Times New Roman" w:hAnsi="Times New Roman"/>
          <w:sz w:val="24"/>
          <w:szCs w:val="24"/>
        </w:rPr>
        <w:t>he changes</w:t>
      </w:r>
      <w:r w:rsidR="003170DF">
        <w:rPr>
          <w:rFonts w:ascii="Times New Roman" w:eastAsia="Times New Roman" w:hAnsi="Times New Roman"/>
          <w:sz w:val="24"/>
          <w:szCs w:val="24"/>
        </w:rPr>
        <w:t xml:space="preserve"> </w:t>
      </w:r>
      <w:r w:rsidR="00AF04BE">
        <w:rPr>
          <w:rFonts w:ascii="Times New Roman" w:eastAsia="Times New Roman" w:hAnsi="Times New Roman"/>
          <w:sz w:val="24"/>
          <w:szCs w:val="24"/>
        </w:rPr>
        <w:t xml:space="preserve">due to the rule </w:t>
      </w:r>
      <w:r w:rsidR="003170DF">
        <w:rPr>
          <w:rFonts w:ascii="Times New Roman" w:eastAsia="Times New Roman" w:hAnsi="Times New Roman"/>
          <w:sz w:val="24"/>
          <w:szCs w:val="24"/>
        </w:rPr>
        <w:t>were</w:t>
      </w:r>
      <w:r w:rsidR="0069464A">
        <w:rPr>
          <w:rFonts w:ascii="Times New Roman" w:eastAsia="Times New Roman" w:hAnsi="Times New Roman"/>
          <w:sz w:val="24"/>
          <w:szCs w:val="24"/>
        </w:rPr>
        <w:t xml:space="preserve"> incorporated in</w:t>
      </w:r>
      <w:r w:rsidR="00104315">
        <w:rPr>
          <w:rFonts w:ascii="Times New Roman" w:eastAsia="Times New Roman" w:hAnsi="Times New Roman"/>
          <w:sz w:val="24"/>
          <w:szCs w:val="24"/>
        </w:rPr>
        <w:t>to</w:t>
      </w:r>
      <w:r w:rsidR="0069464A">
        <w:rPr>
          <w:rFonts w:ascii="Times New Roman" w:eastAsia="Times New Roman" w:hAnsi="Times New Roman"/>
          <w:sz w:val="24"/>
          <w:szCs w:val="24"/>
        </w:rPr>
        <w:t xml:space="preserve"> a separate new form </w:t>
      </w:r>
      <w:r w:rsidR="005E60C9">
        <w:rPr>
          <w:rFonts w:ascii="Times New Roman" w:eastAsia="Times New Roman" w:hAnsi="Times New Roman"/>
          <w:sz w:val="24"/>
          <w:szCs w:val="24"/>
        </w:rPr>
        <w:t>titled “</w:t>
      </w:r>
      <w:r w:rsidR="0069464A" w:rsidRPr="0069464A">
        <w:rPr>
          <w:rFonts w:ascii="Times New Roman" w:eastAsia="Times New Roman" w:hAnsi="Times New Roman"/>
          <w:sz w:val="24"/>
          <w:szCs w:val="24"/>
        </w:rPr>
        <w:t>Application for Temporary Transfer of Halibut/Sablefish Individual Fishing Quota (IFQ)</w:t>
      </w:r>
      <w:r w:rsidR="002A32C9">
        <w:rPr>
          <w:rFonts w:ascii="Times New Roman" w:eastAsia="Times New Roman" w:hAnsi="Times New Roman"/>
          <w:sz w:val="24"/>
          <w:szCs w:val="24"/>
        </w:rPr>
        <w:t>,</w:t>
      </w:r>
      <w:r w:rsidR="005E60C9">
        <w:rPr>
          <w:rFonts w:ascii="Times New Roman" w:eastAsia="Times New Roman" w:hAnsi="Times New Roman"/>
          <w:sz w:val="24"/>
          <w:szCs w:val="24"/>
        </w:rPr>
        <w:t>”</w:t>
      </w:r>
      <w:r w:rsidR="0069464A">
        <w:rPr>
          <w:rFonts w:ascii="Times New Roman" w:eastAsia="Times New Roman" w:hAnsi="Times New Roman"/>
          <w:sz w:val="24"/>
          <w:szCs w:val="24"/>
        </w:rPr>
        <w:t xml:space="preserve"> which </w:t>
      </w:r>
      <w:r w:rsidR="0069464A" w:rsidRPr="0069464A">
        <w:rPr>
          <w:rFonts w:ascii="Times New Roman" w:eastAsia="Times New Roman" w:hAnsi="Times New Roman"/>
          <w:sz w:val="24"/>
          <w:szCs w:val="24"/>
        </w:rPr>
        <w:t xml:space="preserve">designates a temporary transfer valid only for the calendar year in which it is approved. </w:t>
      </w:r>
      <w:r w:rsidR="00985CC7">
        <w:rPr>
          <w:rFonts w:ascii="Times New Roman" w:eastAsia="Times New Roman" w:hAnsi="Times New Roman"/>
          <w:sz w:val="24"/>
          <w:szCs w:val="24"/>
        </w:rPr>
        <w:t xml:space="preserve">Most of the information </w:t>
      </w:r>
      <w:r w:rsidR="003170DF">
        <w:rPr>
          <w:rFonts w:ascii="Times New Roman" w:eastAsia="Times New Roman" w:hAnsi="Times New Roman"/>
          <w:sz w:val="24"/>
          <w:szCs w:val="24"/>
        </w:rPr>
        <w:t xml:space="preserve">it collects had been </w:t>
      </w:r>
      <w:r w:rsidR="00985CC7">
        <w:rPr>
          <w:rFonts w:ascii="Times New Roman" w:eastAsia="Times New Roman" w:hAnsi="Times New Roman"/>
          <w:sz w:val="24"/>
          <w:szCs w:val="24"/>
        </w:rPr>
        <w:t xml:space="preserve">collected by the existing form. </w:t>
      </w:r>
      <w:r w:rsidR="0069464A" w:rsidRPr="0069464A">
        <w:rPr>
          <w:rFonts w:ascii="Times New Roman" w:eastAsia="Times New Roman" w:hAnsi="Times New Roman"/>
          <w:sz w:val="24"/>
          <w:szCs w:val="24"/>
        </w:rPr>
        <w:t>Th</w:t>
      </w:r>
      <w:r w:rsidR="00985CC7">
        <w:rPr>
          <w:rFonts w:ascii="Times New Roman" w:eastAsia="Times New Roman" w:hAnsi="Times New Roman"/>
          <w:sz w:val="24"/>
          <w:szCs w:val="24"/>
        </w:rPr>
        <w:t>e new transfer</w:t>
      </w:r>
      <w:r w:rsidR="0069464A" w:rsidRPr="0069464A">
        <w:rPr>
          <w:rFonts w:ascii="Times New Roman" w:eastAsia="Times New Roman" w:hAnsi="Times New Roman"/>
          <w:sz w:val="24"/>
          <w:szCs w:val="24"/>
        </w:rPr>
        <w:t xml:space="preserve"> form is not specific to the CDQ exception</w:t>
      </w:r>
      <w:r w:rsidR="005E60C9">
        <w:rPr>
          <w:rFonts w:ascii="Times New Roman" w:eastAsia="Times New Roman" w:hAnsi="Times New Roman"/>
          <w:sz w:val="24"/>
          <w:szCs w:val="24"/>
        </w:rPr>
        <w:t xml:space="preserve"> under the rule</w:t>
      </w:r>
      <w:r w:rsidR="00985CC7">
        <w:rPr>
          <w:rFonts w:ascii="Times New Roman" w:eastAsia="Times New Roman" w:hAnsi="Times New Roman"/>
          <w:sz w:val="24"/>
          <w:szCs w:val="24"/>
        </w:rPr>
        <w:t xml:space="preserve"> and is used</w:t>
      </w:r>
      <w:r w:rsidR="0069464A" w:rsidRPr="0069464A">
        <w:rPr>
          <w:rFonts w:ascii="Times New Roman" w:eastAsia="Times New Roman" w:hAnsi="Times New Roman"/>
          <w:sz w:val="24"/>
          <w:szCs w:val="24"/>
        </w:rPr>
        <w:t xml:space="preserve"> </w:t>
      </w:r>
      <w:r w:rsidR="005E60C9">
        <w:rPr>
          <w:rFonts w:ascii="Times New Roman" w:eastAsia="Times New Roman" w:hAnsi="Times New Roman"/>
          <w:sz w:val="24"/>
          <w:szCs w:val="24"/>
        </w:rPr>
        <w:t>by IFQ holder</w:t>
      </w:r>
      <w:r w:rsidR="00985CC7">
        <w:rPr>
          <w:rFonts w:ascii="Times New Roman" w:eastAsia="Times New Roman" w:hAnsi="Times New Roman"/>
          <w:sz w:val="24"/>
          <w:szCs w:val="24"/>
        </w:rPr>
        <w:t>s</w:t>
      </w:r>
      <w:r w:rsidR="005E60C9">
        <w:rPr>
          <w:rFonts w:ascii="Times New Roman" w:eastAsia="Times New Roman" w:hAnsi="Times New Roman"/>
          <w:sz w:val="24"/>
          <w:szCs w:val="24"/>
        </w:rPr>
        <w:t xml:space="preserve"> for </w:t>
      </w:r>
      <w:r w:rsidR="00985CC7">
        <w:rPr>
          <w:rFonts w:ascii="Times New Roman" w:eastAsia="Times New Roman" w:hAnsi="Times New Roman"/>
          <w:sz w:val="24"/>
          <w:szCs w:val="24"/>
        </w:rPr>
        <w:t xml:space="preserve">any temporary </w:t>
      </w:r>
      <w:r w:rsidR="00104315">
        <w:rPr>
          <w:rFonts w:ascii="Times New Roman" w:eastAsia="Times New Roman" w:hAnsi="Times New Roman"/>
          <w:sz w:val="24"/>
          <w:szCs w:val="24"/>
        </w:rPr>
        <w:t>IFQ transfer</w:t>
      </w:r>
      <w:r w:rsidR="0069464A" w:rsidRPr="0069464A">
        <w:rPr>
          <w:rFonts w:ascii="Times New Roman" w:eastAsia="Times New Roman" w:hAnsi="Times New Roman"/>
          <w:sz w:val="24"/>
          <w:szCs w:val="24"/>
        </w:rPr>
        <w:t xml:space="preserve"> listed on the form.</w:t>
      </w:r>
    </w:p>
    <w:p w14:paraId="5B11E384" w14:textId="77777777" w:rsidR="0069464A" w:rsidRDefault="0069464A" w:rsidP="004C3099">
      <w:pPr>
        <w:pStyle w:val="BodyText"/>
        <w:spacing w:after="0"/>
        <w:contextualSpacing/>
        <w:rPr>
          <w:rFonts w:ascii="Times New Roman" w:eastAsia="Times New Roman" w:hAnsi="Times New Roman"/>
          <w:sz w:val="24"/>
          <w:szCs w:val="24"/>
        </w:rPr>
      </w:pPr>
    </w:p>
    <w:p w14:paraId="2B74EC2E" w14:textId="231E8DFE" w:rsidR="00273706" w:rsidRPr="00273706" w:rsidRDefault="00273706" w:rsidP="004C3099">
      <w:pPr>
        <w:pStyle w:val="BodyText"/>
        <w:spacing w:after="0"/>
        <w:contextualSpacing/>
        <w:rPr>
          <w:rFonts w:ascii="Times New Roman" w:eastAsia="Times New Roman" w:hAnsi="Times New Roman"/>
          <w:i/>
          <w:sz w:val="24"/>
          <w:szCs w:val="24"/>
        </w:rPr>
      </w:pPr>
      <w:r w:rsidRPr="00273706">
        <w:rPr>
          <w:rFonts w:ascii="Times New Roman" w:eastAsia="Times New Roman" w:hAnsi="Times New Roman"/>
          <w:i/>
          <w:sz w:val="24"/>
          <w:szCs w:val="24"/>
        </w:rPr>
        <w:t>Annual Report for CDQ IFQ Transfers</w:t>
      </w:r>
    </w:p>
    <w:p w14:paraId="585230C5" w14:textId="5147BA43" w:rsidR="003170DF" w:rsidRDefault="00273706" w:rsidP="004C3099">
      <w:pPr>
        <w:pStyle w:val="BodyText"/>
        <w:spacing w:after="0"/>
        <w:contextualSpacing/>
        <w:rPr>
          <w:rFonts w:ascii="Times New Roman" w:eastAsia="Times New Roman" w:hAnsi="Times New Roman"/>
          <w:sz w:val="24"/>
          <w:szCs w:val="24"/>
        </w:rPr>
      </w:pPr>
      <w:r>
        <w:rPr>
          <w:rFonts w:ascii="Times New Roman" w:eastAsia="Times New Roman" w:hAnsi="Times New Roman"/>
          <w:sz w:val="24"/>
          <w:szCs w:val="24"/>
        </w:rPr>
        <w:t xml:space="preserve">This </w:t>
      </w:r>
      <w:r w:rsidR="003170DF">
        <w:rPr>
          <w:rFonts w:ascii="Times New Roman" w:eastAsia="Times New Roman" w:hAnsi="Times New Roman"/>
          <w:sz w:val="24"/>
          <w:szCs w:val="24"/>
        </w:rPr>
        <w:t xml:space="preserve">new annual report </w:t>
      </w:r>
      <w:r w:rsidR="00104315">
        <w:rPr>
          <w:rFonts w:ascii="Times New Roman" w:eastAsia="Times New Roman" w:hAnsi="Times New Roman"/>
          <w:sz w:val="24"/>
          <w:szCs w:val="24"/>
        </w:rPr>
        <w:t>must be submitted by a</w:t>
      </w:r>
      <w:r w:rsidR="003170DF">
        <w:rPr>
          <w:rFonts w:ascii="Times New Roman" w:eastAsia="Times New Roman" w:hAnsi="Times New Roman"/>
          <w:sz w:val="24"/>
          <w:szCs w:val="24"/>
        </w:rPr>
        <w:t xml:space="preserve"> CDQ group </w:t>
      </w:r>
      <w:r w:rsidR="00104315">
        <w:rPr>
          <w:rFonts w:ascii="Times New Roman" w:eastAsia="Times New Roman" w:hAnsi="Times New Roman"/>
          <w:sz w:val="24"/>
          <w:szCs w:val="24"/>
        </w:rPr>
        <w:t xml:space="preserve">for any year that </w:t>
      </w:r>
      <w:r w:rsidR="003170DF">
        <w:rPr>
          <w:rFonts w:ascii="Times New Roman" w:eastAsia="Times New Roman" w:hAnsi="Times New Roman"/>
          <w:sz w:val="24"/>
          <w:szCs w:val="24"/>
        </w:rPr>
        <w:t xml:space="preserve">it receives halibut IFQ by transfer. </w:t>
      </w:r>
      <w:r w:rsidR="00BE1E35">
        <w:rPr>
          <w:rFonts w:ascii="Times New Roman" w:eastAsia="Times New Roman" w:hAnsi="Times New Roman"/>
          <w:sz w:val="24"/>
          <w:szCs w:val="24"/>
        </w:rPr>
        <w:t xml:space="preserve">This report contains the </w:t>
      </w:r>
      <w:r w:rsidR="00BE1E35" w:rsidRPr="00BE1E35">
        <w:rPr>
          <w:rFonts w:ascii="Times New Roman" w:eastAsia="Times New Roman" w:hAnsi="Times New Roman"/>
          <w:sz w:val="24"/>
          <w:szCs w:val="24"/>
        </w:rPr>
        <w:t xml:space="preserve">criteria </w:t>
      </w:r>
      <w:r w:rsidR="00BE1E35">
        <w:rPr>
          <w:rFonts w:ascii="Times New Roman" w:eastAsia="Times New Roman" w:hAnsi="Times New Roman"/>
          <w:sz w:val="24"/>
          <w:szCs w:val="24"/>
        </w:rPr>
        <w:t xml:space="preserve">the CDQ </w:t>
      </w:r>
      <w:r w:rsidR="00FA0FE6">
        <w:rPr>
          <w:rFonts w:ascii="Times New Roman" w:eastAsia="Times New Roman" w:hAnsi="Times New Roman"/>
          <w:sz w:val="24"/>
          <w:szCs w:val="24"/>
        </w:rPr>
        <w:t xml:space="preserve">group </w:t>
      </w:r>
      <w:r w:rsidR="00BE1E35">
        <w:rPr>
          <w:rFonts w:ascii="Times New Roman" w:eastAsia="Times New Roman" w:hAnsi="Times New Roman"/>
          <w:sz w:val="24"/>
          <w:szCs w:val="24"/>
        </w:rPr>
        <w:t xml:space="preserve">used </w:t>
      </w:r>
      <w:r w:rsidR="00BE1E35" w:rsidRPr="00BE1E35">
        <w:rPr>
          <w:rFonts w:ascii="Times New Roman" w:eastAsia="Times New Roman" w:hAnsi="Times New Roman"/>
          <w:sz w:val="24"/>
          <w:szCs w:val="24"/>
        </w:rPr>
        <w:t>to select IFQ holders to receive IFQ transfers from, the criteria used to determine who can receive transferred IFQ, and the amount and type of IFQ transferred.</w:t>
      </w:r>
      <w:r w:rsidR="00AF04BE">
        <w:rPr>
          <w:rFonts w:ascii="Times New Roman" w:eastAsia="Times New Roman" w:hAnsi="Times New Roman"/>
          <w:sz w:val="24"/>
          <w:szCs w:val="24"/>
        </w:rPr>
        <w:t xml:space="preserve"> There is no form for this</w:t>
      </w:r>
      <w:r w:rsidR="004B3E75">
        <w:rPr>
          <w:rFonts w:ascii="Times New Roman" w:eastAsia="Times New Roman" w:hAnsi="Times New Roman"/>
          <w:sz w:val="24"/>
          <w:szCs w:val="24"/>
        </w:rPr>
        <w:t xml:space="preserve"> annual report.</w:t>
      </w:r>
    </w:p>
    <w:p w14:paraId="6425CC08" w14:textId="299C0D83" w:rsidR="003170DF" w:rsidRDefault="003170DF" w:rsidP="004C3099">
      <w:pPr>
        <w:pStyle w:val="BodyText"/>
        <w:spacing w:after="0"/>
        <w:contextualSpacing/>
        <w:rPr>
          <w:rFonts w:ascii="Times New Roman" w:eastAsia="Times New Roman" w:hAnsi="Times New Roman"/>
          <w:sz w:val="24"/>
          <w:szCs w:val="24"/>
        </w:rPr>
      </w:pPr>
    </w:p>
    <w:p w14:paraId="62BF28F7" w14:textId="4214C2D1" w:rsidR="00273706" w:rsidRPr="00273706" w:rsidRDefault="00273706" w:rsidP="004C3099">
      <w:pPr>
        <w:pStyle w:val="BodyText"/>
        <w:spacing w:after="0"/>
        <w:contextualSpacing/>
        <w:rPr>
          <w:rFonts w:ascii="Times New Roman" w:eastAsia="Times New Roman" w:hAnsi="Times New Roman"/>
          <w:i/>
          <w:sz w:val="24"/>
          <w:szCs w:val="24"/>
        </w:rPr>
      </w:pPr>
      <w:r w:rsidRPr="00273706">
        <w:rPr>
          <w:rFonts w:ascii="Times New Roman" w:eastAsia="Times New Roman" w:hAnsi="Times New Roman"/>
          <w:i/>
          <w:sz w:val="24"/>
          <w:szCs w:val="24"/>
        </w:rPr>
        <w:t>Application for Transfer of QS</w:t>
      </w:r>
    </w:p>
    <w:p w14:paraId="19114047" w14:textId="7873BF03" w:rsidR="0094581D" w:rsidRDefault="0094581D" w:rsidP="004C3099">
      <w:pPr>
        <w:pStyle w:val="BodyText"/>
        <w:spacing w:after="0"/>
        <w:contextualSpacing/>
        <w:rPr>
          <w:rFonts w:ascii="Times New Roman" w:eastAsia="Times New Roman" w:hAnsi="Times New Roman"/>
          <w:sz w:val="24"/>
          <w:szCs w:val="24"/>
        </w:rPr>
      </w:pPr>
      <w:r>
        <w:rPr>
          <w:rFonts w:ascii="Times New Roman" w:eastAsia="Times New Roman" w:hAnsi="Times New Roman"/>
          <w:sz w:val="24"/>
          <w:szCs w:val="24"/>
        </w:rPr>
        <w:t xml:space="preserve">In addition to </w:t>
      </w:r>
      <w:r w:rsidR="00E2737B">
        <w:rPr>
          <w:rFonts w:ascii="Times New Roman" w:eastAsia="Times New Roman" w:hAnsi="Times New Roman"/>
          <w:sz w:val="24"/>
          <w:szCs w:val="24"/>
        </w:rPr>
        <w:t>merging</w:t>
      </w:r>
      <w:r w:rsidR="00D744F0">
        <w:rPr>
          <w:rFonts w:ascii="Times New Roman" w:eastAsia="Times New Roman" w:hAnsi="Times New Roman"/>
          <w:sz w:val="24"/>
          <w:szCs w:val="24"/>
        </w:rPr>
        <w:t xml:space="preserve"> elements of</w:t>
      </w:r>
      <w:r w:rsidR="00E2737B">
        <w:rPr>
          <w:rFonts w:ascii="Times New Roman" w:eastAsia="Times New Roman" w:hAnsi="Times New Roman"/>
          <w:sz w:val="24"/>
          <w:szCs w:val="24"/>
        </w:rPr>
        <w:t xml:space="preserve"> </w:t>
      </w:r>
      <w:r w:rsidR="00D973BA">
        <w:rPr>
          <w:rFonts w:ascii="Times New Roman" w:eastAsia="Times New Roman" w:hAnsi="Times New Roman"/>
          <w:sz w:val="24"/>
          <w:szCs w:val="24"/>
        </w:rPr>
        <w:t>0764,</w:t>
      </w:r>
      <w:r>
        <w:rPr>
          <w:rFonts w:ascii="Times New Roman" w:eastAsia="Times New Roman" w:hAnsi="Times New Roman"/>
          <w:sz w:val="24"/>
          <w:szCs w:val="24"/>
        </w:rPr>
        <w:t xml:space="preserve"> this change request add</w:t>
      </w:r>
      <w:r w:rsidR="00025E9C">
        <w:rPr>
          <w:rFonts w:ascii="Times New Roman" w:eastAsia="Times New Roman" w:hAnsi="Times New Roman"/>
          <w:sz w:val="24"/>
          <w:szCs w:val="24"/>
        </w:rPr>
        <w:t>s</w:t>
      </w:r>
      <w:r>
        <w:rPr>
          <w:rFonts w:ascii="Times New Roman" w:eastAsia="Times New Roman" w:hAnsi="Times New Roman"/>
          <w:sz w:val="24"/>
          <w:szCs w:val="24"/>
        </w:rPr>
        <w:t xml:space="preserve"> a new form titled “</w:t>
      </w:r>
      <w:r w:rsidRPr="0094581D">
        <w:rPr>
          <w:rFonts w:ascii="Times New Roman" w:eastAsia="Times New Roman" w:hAnsi="Times New Roman"/>
          <w:sz w:val="24"/>
          <w:szCs w:val="24"/>
        </w:rPr>
        <w:t>Application for Transfer of QS</w:t>
      </w:r>
      <w:r>
        <w:rPr>
          <w:rFonts w:ascii="Times New Roman" w:eastAsia="Times New Roman" w:hAnsi="Times New Roman"/>
          <w:sz w:val="24"/>
          <w:szCs w:val="24"/>
        </w:rPr>
        <w:t>”</w:t>
      </w:r>
      <w:r w:rsidRPr="0094581D">
        <w:rPr>
          <w:rFonts w:ascii="Times New Roman" w:eastAsia="Times New Roman" w:hAnsi="Times New Roman"/>
          <w:sz w:val="24"/>
          <w:szCs w:val="24"/>
        </w:rPr>
        <w:t xml:space="preserve"> to 0272.</w:t>
      </w:r>
      <w:r w:rsidR="000F6FF0">
        <w:rPr>
          <w:rFonts w:ascii="Times New Roman" w:eastAsia="Times New Roman" w:hAnsi="Times New Roman"/>
          <w:sz w:val="24"/>
          <w:szCs w:val="24"/>
        </w:rPr>
        <w:t xml:space="preserve"> This is necessary due to the split of </w:t>
      </w:r>
      <w:r w:rsidR="00044FE6">
        <w:rPr>
          <w:rFonts w:ascii="Times New Roman" w:eastAsia="Times New Roman" w:hAnsi="Times New Roman"/>
          <w:sz w:val="24"/>
          <w:szCs w:val="24"/>
        </w:rPr>
        <w:t xml:space="preserve">the </w:t>
      </w:r>
      <w:r w:rsidR="000F6FF0" w:rsidRPr="000F6FF0">
        <w:rPr>
          <w:rFonts w:ascii="Times New Roman" w:eastAsia="Times New Roman" w:hAnsi="Times New Roman"/>
          <w:sz w:val="24"/>
          <w:szCs w:val="24"/>
        </w:rPr>
        <w:t>Application for Transfer of QS/IFQ</w:t>
      </w:r>
      <w:r w:rsidR="000F6FF0">
        <w:rPr>
          <w:rFonts w:ascii="Times New Roman" w:eastAsia="Times New Roman" w:hAnsi="Times New Roman"/>
          <w:sz w:val="24"/>
          <w:szCs w:val="24"/>
        </w:rPr>
        <w:t xml:space="preserve"> under</w:t>
      </w:r>
      <w:r w:rsidR="00D973BA">
        <w:rPr>
          <w:rFonts w:ascii="Times New Roman" w:eastAsia="Times New Roman" w:hAnsi="Times New Roman"/>
          <w:sz w:val="24"/>
          <w:szCs w:val="24"/>
        </w:rPr>
        <w:t xml:space="preserve"> 0764.</w:t>
      </w:r>
      <w:r w:rsidR="000F6FF0">
        <w:rPr>
          <w:rFonts w:ascii="Times New Roman" w:eastAsia="Times New Roman" w:hAnsi="Times New Roman"/>
          <w:sz w:val="24"/>
          <w:szCs w:val="24"/>
        </w:rPr>
        <w:t xml:space="preserve"> </w:t>
      </w:r>
      <w:r w:rsidR="000F6FF0" w:rsidRPr="000F6FF0">
        <w:rPr>
          <w:rFonts w:ascii="Times New Roman" w:eastAsia="Times New Roman" w:hAnsi="Times New Roman"/>
          <w:sz w:val="24"/>
          <w:szCs w:val="24"/>
        </w:rPr>
        <w:t xml:space="preserve">Only the </w:t>
      </w:r>
      <w:r w:rsidR="00500EC4">
        <w:rPr>
          <w:rFonts w:ascii="Times New Roman" w:eastAsia="Times New Roman" w:hAnsi="Times New Roman"/>
          <w:sz w:val="24"/>
          <w:szCs w:val="24"/>
        </w:rPr>
        <w:t xml:space="preserve">separate form for </w:t>
      </w:r>
      <w:r w:rsidR="000F6FF0" w:rsidRPr="000F6FF0">
        <w:rPr>
          <w:rFonts w:ascii="Times New Roman" w:eastAsia="Times New Roman" w:hAnsi="Times New Roman"/>
          <w:sz w:val="24"/>
          <w:szCs w:val="24"/>
        </w:rPr>
        <w:t xml:space="preserve">temporary </w:t>
      </w:r>
      <w:r w:rsidR="00500EC4">
        <w:rPr>
          <w:rFonts w:ascii="Times New Roman" w:eastAsia="Times New Roman" w:hAnsi="Times New Roman"/>
          <w:sz w:val="24"/>
          <w:szCs w:val="24"/>
        </w:rPr>
        <w:t>t</w:t>
      </w:r>
      <w:r w:rsidR="000F6FF0" w:rsidRPr="000F6FF0">
        <w:rPr>
          <w:rFonts w:ascii="Times New Roman" w:eastAsia="Times New Roman" w:hAnsi="Times New Roman"/>
          <w:sz w:val="24"/>
          <w:szCs w:val="24"/>
        </w:rPr>
        <w:t>ransfer</w:t>
      </w:r>
      <w:r w:rsidR="00500EC4">
        <w:rPr>
          <w:rFonts w:ascii="Times New Roman" w:eastAsia="Times New Roman" w:hAnsi="Times New Roman"/>
          <w:sz w:val="24"/>
          <w:szCs w:val="24"/>
        </w:rPr>
        <w:t xml:space="preserve"> of IFQ</w:t>
      </w:r>
      <w:r w:rsidR="000F6FF0" w:rsidRPr="000F6FF0">
        <w:rPr>
          <w:rFonts w:ascii="Times New Roman" w:eastAsia="Times New Roman" w:hAnsi="Times New Roman"/>
          <w:sz w:val="24"/>
          <w:szCs w:val="24"/>
        </w:rPr>
        <w:t xml:space="preserve"> was created in 0764, as the QS transfer form was not</w:t>
      </w:r>
      <w:r w:rsidR="00043AD7">
        <w:rPr>
          <w:rFonts w:ascii="Times New Roman" w:eastAsia="Times New Roman" w:hAnsi="Times New Roman"/>
          <w:sz w:val="24"/>
          <w:szCs w:val="24"/>
        </w:rPr>
        <w:t xml:space="preserve"> related to the rule. NMFS A</w:t>
      </w:r>
      <w:r w:rsidR="000F6FF0" w:rsidRPr="000F6FF0">
        <w:rPr>
          <w:rFonts w:ascii="Times New Roman" w:eastAsia="Times New Roman" w:hAnsi="Times New Roman"/>
          <w:sz w:val="24"/>
          <w:szCs w:val="24"/>
        </w:rPr>
        <w:t>KR expected that BG94</w:t>
      </w:r>
      <w:r w:rsidR="000F6FF0">
        <w:rPr>
          <w:rFonts w:ascii="Times New Roman" w:eastAsia="Times New Roman" w:hAnsi="Times New Roman"/>
          <w:sz w:val="24"/>
          <w:szCs w:val="24"/>
        </w:rPr>
        <w:t>, the rule associated with 0764,</w:t>
      </w:r>
      <w:r w:rsidR="000F6FF0" w:rsidRPr="000F6FF0">
        <w:rPr>
          <w:rFonts w:ascii="Times New Roman" w:eastAsia="Times New Roman" w:hAnsi="Times New Roman"/>
          <w:sz w:val="24"/>
          <w:szCs w:val="24"/>
        </w:rPr>
        <w:t xml:space="preserve"> would have cleared before the recent extension for 0272 was submitted, and the</w:t>
      </w:r>
      <w:r w:rsidR="00500EC4">
        <w:rPr>
          <w:rFonts w:ascii="Times New Roman" w:eastAsia="Times New Roman" w:hAnsi="Times New Roman"/>
          <w:sz w:val="24"/>
          <w:szCs w:val="24"/>
        </w:rPr>
        <w:t xml:space="preserve"> separate</w:t>
      </w:r>
      <w:r w:rsidR="000F6FF0" w:rsidRPr="000F6FF0">
        <w:rPr>
          <w:rFonts w:ascii="Times New Roman" w:eastAsia="Times New Roman" w:hAnsi="Times New Roman"/>
          <w:sz w:val="24"/>
          <w:szCs w:val="24"/>
        </w:rPr>
        <w:t xml:space="preserve"> QS transfer form would have been included in the extension.</w:t>
      </w:r>
      <w:r w:rsidR="0099441D">
        <w:rPr>
          <w:rFonts w:ascii="Times New Roman" w:eastAsia="Times New Roman" w:hAnsi="Times New Roman"/>
          <w:sz w:val="24"/>
          <w:szCs w:val="24"/>
        </w:rPr>
        <w:t xml:space="preserve"> However, BG94 was delayed and the </w:t>
      </w:r>
      <w:r w:rsidR="00500EC4">
        <w:rPr>
          <w:rFonts w:ascii="Times New Roman" w:eastAsia="Times New Roman" w:hAnsi="Times New Roman"/>
          <w:sz w:val="24"/>
          <w:szCs w:val="24"/>
        </w:rPr>
        <w:t>separate</w:t>
      </w:r>
      <w:r w:rsidR="0099441D">
        <w:rPr>
          <w:rFonts w:ascii="Times New Roman" w:eastAsia="Times New Roman" w:hAnsi="Times New Roman"/>
          <w:sz w:val="24"/>
          <w:szCs w:val="24"/>
        </w:rPr>
        <w:t xml:space="preserve"> QS transfer form was not included in the extension</w:t>
      </w:r>
      <w:r w:rsidR="00F03675">
        <w:rPr>
          <w:rFonts w:ascii="Times New Roman" w:eastAsia="Times New Roman" w:hAnsi="Times New Roman"/>
          <w:sz w:val="24"/>
          <w:szCs w:val="24"/>
        </w:rPr>
        <w:t>.</w:t>
      </w:r>
      <w:r w:rsidR="0099441D">
        <w:rPr>
          <w:rFonts w:ascii="Times New Roman" w:eastAsia="Times New Roman" w:hAnsi="Times New Roman"/>
          <w:sz w:val="24"/>
          <w:szCs w:val="24"/>
        </w:rPr>
        <w:t xml:space="preserve"> </w:t>
      </w:r>
    </w:p>
    <w:p w14:paraId="45DB9073" w14:textId="77777777" w:rsidR="0094581D" w:rsidRDefault="0094581D" w:rsidP="004C3099">
      <w:pPr>
        <w:pStyle w:val="BodyText"/>
        <w:spacing w:after="0"/>
        <w:contextualSpacing/>
        <w:rPr>
          <w:rFonts w:ascii="Times New Roman" w:eastAsia="Times New Roman" w:hAnsi="Times New Roman"/>
          <w:sz w:val="24"/>
          <w:szCs w:val="24"/>
        </w:rPr>
      </w:pPr>
    </w:p>
    <w:p w14:paraId="13416F83" w14:textId="489E7733" w:rsidR="000F6FF0" w:rsidRDefault="000F6FF0" w:rsidP="004C3099">
      <w:pPr>
        <w:pStyle w:val="BodyText"/>
        <w:spacing w:after="0"/>
        <w:contextualSpacing/>
        <w:rPr>
          <w:rFonts w:ascii="Times New Roman" w:eastAsia="Times New Roman" w:hAnsi="Times New Roman"/>
          <w:sz w:val="24"/>
          <w:szCs w:val="24"/>
        </w:rPr>
      </w:pPr>
      <w:r>
        <w:rPr>
          <w:rFonts w:ascii="Times New Roman" w:eastAsia="Times New Roman" w:hAnsi="Times New Roman"/>
          <w:sz w:val="24"/>
          <w:szCs w:val="24"/>
        </w:rPr>
        <w:t xml:space="preserve">The Application for Transfer of QS is used to permanently transfer QS. </w:t>
      </w:r>
      <w:r w:rsidRPr="000F6FF0">
        <w:rPr>
          <w:rFonts w:ascii="Times New Roman" w:eastAsia="Times New Roman" w:hAnsi="Times New Roman"/>
          <w:sz w:val="24"/>
          <w:szCs w:val="24"/>
        </w:rPr>
        <w:t xml:space="preserve">No changes </w:t>
      </w:r>
      <w:r w:rsidR="00F03675">
        <w:rPr>
          <w:rFonts w:ascii="Times New Roman" w:eastAsia="Times New Roman" w:hAnsi="Times New Roman"/>
          <w:sz w:val="24"/>
          <w:szCs w:val="24"/>
        </w:rPr>
        <w:t>have been</w:t>
      </w:r>
      <w:r w:rsidR="00F03675" w:rsidRPr="000F6FF0">
        <w:rPr>
          <w:rFonts w:ascii="Times New Roman" w:eastAsia="Times New Roman" w:hAnsi="Times New Roman"/>
          <w:sz w:val="24"/>
          <w:szCs w:val="24"/>
        </w:rPr>
        <w:t xml:space="preserve"> </w:t>
      </w:r>
      <w:r w:rsidR="00F03675">
        <w:rPr>
          <w:rFonts w:ascii="Times New Roman" w:eastAsia="Times New Roman" w:hAnsi="Times New Roman"/>
          <w:sz w:val="24"/>
          <w:szCs w:val="24"/>
        </w:rPr>
        <w:t xml:space="preserve">made for the </w:t>
      </w:r>
      <w:r w:rsidRPr="000F6FF0">
        <w:rPr>
          <w:rFonts w:ascii="Times New Roman" w:eastAsia="Times New Roman" w:hAnsi="Times New Roman"/>
          <w:sz w:val="24"/>
          <w:szCs w:val="24"/>
        </w:rPr>
        <w:t>transfer of QS</w:t>
      </w:r>
      <w:r w:rsidR="00BE7B36">
        <w:rPr>
          <w:rFonts w:ascii="Times New Roman" w:eastAsia="Times New Roman" w:hAnsi="Times New Roman"/>
          <w:sz w:val="24"/>
          <w:szCs w:val="24"/>
        </w:rPr>
        <w:t>; therefore,</w:t>
      </w:r>
      <w:r w:rsidRPr="000F6FF0">
        <w:rPr>
          <w:rFonts w:ascii="Times New Roman" w:eastAsia="Times New Roman" w:hAnsi="Times New Roman"/>
          <w:sz w:val="24"/>
          <w:szCs w:val="24"/>
        </w:rPr>
        <w:t xml:space="preserve"> </w:t>
      </w:r>
      <w:r w:rsidR="00BE7B36">
        <w:rPr>
          <w:rFonts w:ascii="Times New Roman" w:eastAsia="Times New Roman" w:hAnsi="Times New Roman"/>
          <w:sz w:val="24"/>
          <w:szCs w:val="24"/>
        </w:rPr>
        <w:t>this</w:t>
      </w:r>
      <w:r w:rsidRPr="000F6FF0">
        <w:rPr>
          <w:rFonts w:ascii="Times New Roman" w:eastAsia="Times New Roman" w:hAnsi="Times New Roman"/>
          <w:sz w:val="24"/>
          <w:szCs w:val="24"/>
        </w:rPr>
        <w:t xml:space="preserve"> form </w:t>
      </w:r>
      <w:r w:rsidR="00AF04BE">
        <w:rPr>
          <w:rFonts w:ascii="Times New Roman" w:eastAsia="Times New Roman" w:hAnsi="Times New Roman"/>
          <w:sz w:val="24"/>
          <w:szCs w:val="24"/>
        </w:rPr>
        <w:t xml:space="preserve">collects no new information and </w:t>
      </w:r>
      <w:r w:rsidRPr="000F6FF0">
        <w:rPr>
          <w:rFonts w:ascii="Times New Roman" w:eastAsia="Times New Roman" w:hAnsi="Times New Roman"/>
          <w:sz w:val="24"/>
          <w:szCs w:val="24"/>
        </w:rPr>
        <w:t xml:space="preserve">contains the </w:t>
      </w:r>
      <w:r w:rsidR="00F03675">
        <w:rPr>
          <w:rFonts w:ascii="Times New Roman" w:eastAsia="Times New Roman" w:hAnsi="Times New Roman"/>
          <w:sz w:val="24"/>
          <w:szCs w:val="24"/>
        </w:rPr>
        <w:t>relevant</w:t>
      </w:r>
      <w:r w:rsidR="00F03675" w:rsidRPr="000F6FF0">
        <w:rPr>
          <w:rFonts w:ascii="Times New Roman" w:eastAsia="Times New Roman" w:hAnsi="Times New Roman"/>
          <w:sz w:val="24"/>
          <w:szCs w:val="24"/>
        </w:rPr>
        <w:t xml:space="preserve"> </w:t>
      </w:r>
      <w:r w:rsidRPr="000F6FF0">
        <w:rPr>
          <w:rFonts w:ascii="Times New Roman" w:eastAsia="Times New Roman" w:hAnsi="Times New Roman"/>
          <w:sz w:val="24"/>
          <w:szCs w:val="24"/>
        </w:rPr>
        <w:t xml:space="preserve">information from the </w:t>
      </w:r>
      <w:r w:rsidR="00AF04BE" w:rsidRPr="00AF04BE">
        <w:rPr>
          <w:rFonts w:ascii="Times New Roman" w:eastAsia="Times New Roman" w:hAnsi="Times New Roman"/>
          <w:sz w:val="24"/>
          <w:szCs w:val="24"/>
        </w:rPr>
        <w:t>Application for Transfer of QS/IFQ</w:t>
      </w:r>
      <w:r w:rsidR="00AF04BE">
        <w:rPr>
          <w:rFonts w:ascii="Times New Roman" w:eastAsia="Times New Roman" w:hAnsi="Times New Roman"/>
          <w:sz w:val="24"/>
          <w:szCs w:val="24"/>
        </w:rPr>
        <w:t>, which is being removed</w:t>
      </w:r>
      <w:r w:rsidRPr="000F6FF0">
        <w:rPr>
          <w:rFonts w:ascii="Times New Roman" w:eastAsia="Times New Roman" w:hAnsi="Times New Roman"/>
          <w:sz w:val="24"/>
          <w:szCs w:val="24"/>
        </w:rPr>
        <w:t>.</w:t>
      </w:r>
    </w:p>
    <w:p w14:paraId="505F9F00" w14:textId="537A1338" w:rsidR="000F6FF0" w:rsidRDefault="000F6FF0" w:rsidP="004C3099">
      <w:pPr>
        <w:pStyle w:val="BodyText"/>
        <w:spacing w:after="0"/>
        <w:contextualSpacing/>
        <w:rPr>
          <w:rFonts w:ascii="Times New Roman" w:eastAsia="Times New Roman" w:hAnsi="Times New Roman"/>
          <w:sz w:val="24"/>
          <w:szCs w:val="24"/>
        </w:rPr>
      </w:pPr>
    </w:p>
    <w:p w14:paraId="0D4037B2" w14:textId="038C95CF" w:rsidR="00AF04BE" w:rsidRPr="00A52443" w:rsidRDefault="00AF04BE" w:rsidP="004C3099">
      <w:pPr>
        <w:pStyle w:val="BodyText"/>
        <w:spacing w:after="0"/>
        <w:contextualSpacing/>
        <w:rPr>
          <w:rFonts w:ascii="Times New Roman" w:eastAsia="Times New Roman" w:hAnsi="Times New Roman"/>
          <w:i/>
          <w:sz w:val="24"/>
          <w:szCs w:val="24"/>
        </w:rPr>
      </w:pPr>
      <w:r w:rsidRPr="00A52443">
        <w:rPr>
          <w:rFonts w:ascii="Times New Roman" w:eastAsia="Times New Roman" w:hAnsi="Times New Roman"/>
          <w:i/>
          <w:sz w:val="24"/>
          <w:szCs w:val="24"/>
        </w:rPr>
        <w:t>Application for Transfer of QS/IFQ</w:t>
      </w:r>
    </w:p>
    <w:p w14:paraId="533AF4E3" w14:textId="38040560" w:rsidR="00AF04BE" w:rsidRPr="00A52443" w:rsidRDefault="00AF04BE" w:rsidP="00AF04BE">
      <w:pPr>
        <w:pStyle w:val="BodyText"/>
        <w:spacing w:after="0"/>
        <w:contextualSpacing/>
        <w:rPr>
          <w:rFonts w:ascii="Times New Roman" w:eastAsia="Times New Roman" w:hAnsi="Times New Roman"/>
          <w:sz w:val="24"/>
          <w:szCs w:val="24"/>
        </w:rPr>
      </w:pPr>
      <w:r>
        <w:rPr>
          <w:rFonts w:ascii="Times New Roman" w:eastAsia="Times New Roman" w:hAnsi="Times New Roman"/>
          <w:sz w:val="24"/>
          <w:szCs w:val="24"/>
        </w:rPr>
        <w:t xml:space="preserve">This change request removes the </w:t>
      </w:r>
      <w:r w:rsidRPr="00AF04BE">
        <w:rPr>
          <w:rFonts w:ascii="Times New Roman" w:eastAsia="Times New Roman" w:hAnsi="Times New Roman"/>
          <w:sz w:val="24"/>
          <w:szCs w:val="24"/>
        </w:rPr>
        <w:t>Application for Transfer of QS/IFQ</w:t>
      </w:r>
      <w:r>
        <w:rPr>
          <w:rFonts w:ascii="Times New Roman" w:eastAsia="Times New Roman" w:hAnsi="Times New Roman"/>
          <w:sz w:val="24"/>
          <w:szCs w:val="24"/>
        </w:rPr>
        <w:t xml:space="preserve"> </w:t>
      </w:r>
      <w:r w:rsidR="000532A0">
        <w:rPr>
          <w:rFonts w:ascii="Times New Roman" w:eastAsia="Times New Roman" w:hAnsi="Times New Roman"/>
          <w:sz w:val="24"/>
          <w:szCs w:val="24"/>
        </w:rPr>
        <w:t xml:space="preserve">(approved under 0272) </w:t>
      </w:r>
      <w:r>
        <w:rPr>
          <w:rFonts w:ascii="Times New Roman" w:eastAsia="Times New Roman" w:hAnsi="Times New Roman"/>
          <w:sz w:val="24"/>
          <w:szCs w:val="24"/>
        </w:rPr>
        <w:t xml:space="preserve">because the information it collects will be collected by separate forms, the </w:t>
      </w:r>
      <w:r w:rsidRPr="00A52443">
        <w:rPr>
          <w:rFonts w:ascii="Times New Roman" w:eastAsia="Times New Roman" w:hAnsi="Times New Roman"/>
          <w:sz w:val="24"/>
          <w:szCs w:val="24"/>
        </w:rPr>
        <w:t xml:space="preserve">Application for Temporary Transfer of Halibut/Sablefish Individual Fishing Quota and </w:t>
      </w:r>
      <w:r>
        <w:rPr>
          <w:rFonts w:ascii="Times New Roman" w:eastAsia="Times New Roman" w:hAnsi="Times New Roman"/>
          <w:sz w:val="24"/>
          <w:szCs w:val="24"/>
        </w:rPr>
        <w:t xml:space="preserve">the </w:t>
      </w:r>
      <w:r w:rsidRPr="00A52443">
        <w:rPr>
          <w:rFonts w:ascii="Times New Roman" w:eastAsia="Times New Roman" w:hAnsi="Times New Roman"/>
          <w:sz w:val="24"/>
          <w:szCs w:val="24"/>
        </w:rPr>
        <w:t>Application for Transfer of QS</w:t>
      </w:r>
      <w:r>
        <w:rPr>
          <w:rFonts w:ascii="Times New Roman" w:eastAsia="Times New Roman" w:hAnsi="Times New Roman"/>
          <w:sz w:val="24"/>
          <w:szCs w:val="24"/>
        </w:rPr>
        <w:t>.</w:t>
      </w:r>
    </w:p>
    <w:p w14:paraId="5AA1DF48" w14:textId="77777777" w:rsidR="00AF04BE" w:rsidRDefault="00AF04BE" w:rsidP="004C3099">
      <w:pPr>
        <w:pStyle w:val="BodyText"/>
        <w:spacing w:after="0"/>
        <w:contextualSpacing/>
        <w:rPr>
          <w:rFonts w:ascii="Times New Roman" w:eastAsia="Times New Roman" w:hAnsi="Times New Roman"/>
          <w:sz w:val="24"/>
          <w:szCs w:val="24"/>
        </w:rPr>
      </w:pPr>
    </w:p>
    <w:p w14:paraId="76D66C17" w14:textId="735E8040" w:rsidR="00273706" w:rsidRPr="00273706" w:rsidRDefault="00273706" w:rsidP="00A80069">
      <w:pPr>
        <w:pStyle w:val="BodyText"/>
        <w:keepNext/>
        <w:spacing w:after="0" w:line="257" w:lineRule="auto"/>
        <w:contextualSpacing/>
        <w:rPr>
          <w:rFonts w:ascii="Times New Roman" w:eastAsia="Times New Roman" w:hAnsi="Times New Roman"/>
          <w:i/>
          <w:sz w:val="24"/>
          <w:szCs w:val="24"/>
        </w:rPr>
      </w:pPr>
      <w:r w:rsidRPr="00273706">
        <w:rPr>
          <w:rFonts w:ascii="Times New Roman" w:eastAsia="Times New Roman" w:hAnsi="Times New Roman"/>
          <w:i/>
          <w:sz w:val="24"/>
          <w:szCs w:val="24"/>
        </w:rPr>
        <w:t>Comments</w:t>
      </w:r>
    </w:p>
    <w:p w14:paraId="7F63957E" w14:textId="68BB2B2F" w:rsidR="006005D2" w:rsidRDefault="006005D2" w:rsidP="00A80069">
      <w:pPr>
        <w:pStyle w:val="BodyText"/>
        <w:keepNext/>
        <w:spacing w:after="0" w:line="257"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Notice of these changes was given in the proposed rule for BG94 </w:t>
      </w:r>
      <w:hyperlink r:id="rId18" w:history="1">
        <w:r w:rsidR="004C126F" w:rsidRPr="004C126F">
          <w:rPr>
            <w:rStyle w:val="Hyperlink"/>
            <w:rFonts w:ascii="Times New Roman" w:eastAsia="Times New Roman" w:hAnsi="Times New Roman"/>
            <w:sz w:val="24"/>
            <w:szCs w:val="24"/>
          </w:rPr>
          <w:t>(83 FR 8028, February 23, 2018)</w:t>
        </w:r>
      </w:hyperlink>
      <w:r>
        <w:rPr>
          <w:rFonts w:ascii="Times New Roman" w:eastAsia="Times New Roman" w:hAnsi="Times New Roman"/>
          <w:sz w:val="24"/>
          <w:szCs w:val="24"/>
        </w:rPr>
        <w:t xml:space="preserve">. The responses to comments received were published in the final rule </w:t>
      </w:r>
      <w:hyperlink r:id="rId19" w:history="1">
        <w:r w:rsidRPr="00F57CE7">
          <w:rPr>
            <w:rStyle w:val="Hyperlink"/>
            <w:rFonts w:ascii="Times New Roman" w:eastAsia="Times New Roman" w:hAnsi="Times New Roman"/>
            <w:sz w:val="24"/>
            <w:szCs w:val="24"/>
          </w:rPr>
          <w:t>(83 FR 52760, October 18, 2018)</w:t>
        </w:r>
      </w:hyperlink>
      <w:r>
        <w:rPr>
          <w:rFonts w:ascii="Times New Roman" w:eastAsia="Times New Roman" w:hAnsi="Times New Roman"/>
          <w:sz w:val="24"/>
          <w:szCs w:val="24"/>
        </w:rPr>
        <w:t>. No comments were received on the information requirements</w:t>
      </w:r>
      <w:r w:rsidR="00E2737B">
        <w:rPr>
          <w:rFonts w:ascii="Times New Roman" w:eastAsia="Times New Roman" w:hAnsi="Times New Roman"/>
          <w:sz w:val="24"/>
          <w:szCs w:val="24"/>
        </w:rPr>
        <w:t xml:space="preserve">, and this was noted in the </w:t>
      </w:r>
      <w:hyperlink r:id="rId20" w:history="1">
        <w:r w:rsidR="003F6FF4">
          <w:rPr>
            <w:rStyle w:val="Hyperlink"/>
            <w:rFonts w:ascii="Times New Roman" w:eastAsia="Times New Roman" w:hAnsi="Times New Roman"/>
            <w:sz w:val="24"/>
            <w:szCs w:val="24"/>
          </w:rPr>
          <w:t>information collection review</w:t>
        </w:r>
        <w:r w:rsidR="00E2737B" w:rsidRPr="00E2737B">
          <w:rPr>
            <w:rStyle w:val="Hyperlink"/>
            <w:rFonts w:ascii="Times New Roman" w:eastAsia="Times New Roman" w:hAnsi="Times New Roman"/>
            <w:sz w:val="24"/>
            <w:szCs w:val="24"/>
          </w:rPr>
          <w:t xml:space="preserve"> for 0764</w:t>
        </w:r>
      </w:hyperlink>
      <w:r>
        <w:rPr>
          <w:rFonts w:ascii="Times New Roman" w:eastAsia="Times New Roman" w:hAnsi="Times New Roman"/>
          <w:sz w:val="24"/>
          <w:szCs w:val="24"/>
        </w:rPr>
        <w:t xml:space="preserve">. </w:t>
      </w:r>
    </w:p>
    <w:p w14:paraId="237AB1F8" w14:textId="77777777" w:rsidR="00116ACE" w:rsidRDefault="00116ACE" w:rsidP="004C3099">
      <w:pPr>
        <w:pStyle w:val="BodyText"/>
        <w:spacing w:after="0"/>
        <w:contextualSpacing/>
        <w:rPr>
          <w:rFonts w:ascii="Times New Roman" w:eastAsia="Times New Roman" w:hAnsi="Times New Roman"/>
          <w:b/>
          <w:sz w:val="24"/>
          <w:szCs w:val="24"/>
        </w:rPr>
      </w:pPr>
    </w:p>
    <w:p w14:paraId="61263093" w14:textId="6C21ABE1" w:rsidR="00116ACE" w:rsidRPr="00116ACE" w:rsidRDefault="00116ACE" w:rsidP="004C3099">
      <w:pPr>
        <w:pStyle w:val="BodyText"/>
        <w:spacing w:after="0"/>
        <w:contextualSpacing/>
        <w:rPr>
          <w:rFonts w:ascii="Times New Roman" w:eastAsia="Times New Roman" w:hAnsi="Times New Roman"/>
          <w:b/>
          <w:sz w:val="24"/>
          <w:szCs w:val="24"/>
        </w:rPr>
      </w:pPr>
      <w:r w:rsidRPr="00116ACE">
        <w:rPr>
          <w:rFonts w:ascii="Times New Roman" w:eastAsia="Times New Roman" w:hAnsi="Times New Roman"/>
          <w:b/>
          <w:sz w:val="24"/>
          <w:szCs w:val="24"/>
        </w:rPr>
        <w:t>Changes to 0648-0272</w:t>
      </w:r>
    </w:p>
    <w:p w14:paraId="3BA58FEE" w14:textId="71719721" w:rsidR="00C6781C" w:rsidRDefault="00F57CE7" w:rsidP="00742A4F">
      <w:pPr>
        <w:widowControl w:val="0"/>
        <w:spacing w:after="120" w:line="240" w:lineRule="auto"/>
        <w:rPr>
          <w:rFonts w:ascii="Times New Roman" w:eastAsia="Times New Roman" w:hAnsi="Times New Roman"/>
          <w:sz w:val="24"/>
          <w:szCs w:val="24"/>
        </w:rPr>
      </w:pPr>
      <w:r>
        <w:rPr>
          <w:rFonts w:ascii="Times New Roman" w:eastAsia="Times New Roman" w:hAnsi="Times New Roman"/>
          <w:sz w:val="24"/>
          <w:szCs w:val="24"/>
        </w:rPr>
        <w:t xml:space="preserve">On approval of this change request, 0272 </w:t>
      </w:r>
      <w:r w:rsidR="006624A4">
        <w:rPr>
          <w:rFonts w:ascii="Times New Roman" w:eastAsia="Times New Roman" w:hAnsi="Times New Roman"/>
          <w:sz w:val="24"/>
          <w:szCs w:val="24"/>
        </w:rPr>
        <w:t>will</w:t>
      </w:r>
      <w:r>
        <w:rPr>
          <w:rFonts w:ascii="Times New Roman" w:eastAsia="Times New Roman" w:hAnsi="Times New Roman"/>
          <w:sz w:val="24"/>
          <w:szCs w:val="24"/>
        </w:rPr>
        <w:t xml:space="preserve"> contain the </w:t>
      </w:r>
      <w:r w:rsidR="00C6781C" w:rsidRPr="00C6781C">
        <w:rPr>
          <w:rFonts w:ascii="Times New Roman" w:eastAsia="Times New Roman" w:hAnsi="Times New Roman"/>
          <w:sz w:val="24"/>
          <w:szCs w:val="24"/>
        </w:rPr>
        <w:t xml:space="preserve">elements listed </w:t>
      </w:r>
      <w:r w:rsidR="00BC146F">
        <w:rPr>
          <w:rFonts w:ascii="Times New Roman" w:eastAsia="Times New Roman" w:hAnsi="Times New Roman"/>
          <w:sz w:val="24"/>
          <w:szCs w:val="24"/>
        </w:rPr>
        <w:t>below</w:t>
      </w:r>
      <w:r w:rsidR="00C6781C" w:rsidRPr="00C6781C">
        <w:rPr>
          <w:rFonts w:ascii="Times New Roman" w:eastAsia="Times New Roman" w:hAnsi="Times New Roman"/>
          <w:sz w:val="24"/>
          <w:szCs w:val="24"/>
        </w:rPr>
        <w:t>.</w:t>
      </w:r>
      <w:r w:rsidR="00723A8D">
        <w:rPr>
          <w:rFonts w:ascii="Times New Roman" w:eastAsia="Times New Roman" w:hAnsi="Times New Roman"/>
          <w:sz w:val="24"/>
          <w:szCs w:val="24"/>
        </w:rPr>
        <w:t xml:space="preserve"> </w:t>
      </w:r>
    </w:p>
    <w:tbl>
      <w:tblPr>
        <w:tblW w:w="9102" w:type="dxa"/>
        <w:tblInd w:w="-6" w:type="dxa"/>
        <w:tblLayout w:type="fixed"/>
        <w:tblCellMar>
          <w:left w:w="0" w:type="dxa"/>
          <w:right w:w="0" w:type="dxa"/>
        </w:tblCellMar>
        <w:tblLook w:val="01E0" w:firstRow="1" w:lastRow="1" w:firstColumn="1" w:lastColumn="1" w:noHBand="0" w:noVBand="0"/>
      </w:tblPr>
      <w:tblGrid>
        <w:gridCol w:w="6582"/>
        <w:gridCol w:w="2520"/>
      </w:tblGrid>
      <w:tr w:rsidR="00C6781C" w:rsidRPr="00F0379E" w14:paraId="290231A8" w14:textId="77777777" w:rsidTr="00BC146F">
        <w:trPr>
          <w:trHeight w:hRule="exact" w:val="534"/>
        </w:trPr>
        <w:tc>
          <w:tcPr>
            <w:tcW w:w="6582" w:type="dxa"/>
            <w:tcBorders>
              <w:top w:val="single" w:sz="5" w:space="0" w:color="000000"/>
              <w:left w:val="single" w:sz="5" w:space="0" w:color="000000"/>
              <w:bottom w:val="single" w:sz="6" w:space="0" w:color="000000"/>
              <w:right w:val="single" w:sz="5" w:space="0" w:color="000000"/>
            </w:tcBorders>
            <w:shd w:val="clear" w:color="auto" w:fill="DBE5F1" w:themeFill="accent1" w:themeFillTint="33"/>
            <w:vAlign w:val="center"/>
          </w:tcPr>
          <w:p w14:paraId="598F6910" w14:textId="77777777" w:rsidR="00C6781C" w:rsidRPr="00F0379E" w:rsidRDefault="00C6781C" w:rsidP="004C3099">
            <w:pPr>
              <w:widowControl w:val="0"/>
              <w:spacing w:after="0" w:line="240" w:lineRule="auto"/>
              <w:jc w:val="center"/>
              <w:rPr>
                <w:rFonts w:asciiTheme="minorHAnsi" w:eastAsia="Times New Roman" w:hAnsiTheme="minorHAnsi"/>
                <w:sz w:val="20"/>
                <w:szCs w:val="20"/>
              </w:rPr>
            </w:pPr>
            <w:r w:rsidRPr="00F0379E">
              <w:rPr>
                <w:rFonts w:asciiTheme="minorHAnsi" w:hAnsiTheme="minorHAnsi"/>
                <w:b/>
                <w:sz w:val="20"/>
                <w:szCs w:val="20"/>
              </w:rPr>
              <w:t>Name of Form or Report</w:t>
            </w:r>
          </w:p>
        </w:tc>
        <w:tc>
          <w:tcPr>
            <w:tcW w:w="2520"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vAlign w:val="center"/>
          </w:tcPr>
          <w:p w14:paraId="6DBE6F37" w14:textId="77777777" w:rsidR="00C6781C" w:rsidRPr="00F0379E" w:rsidRDefault="00C6781C" w:rsidP="004C3099">
            <w:pPr>
              <w:widowControl w:val="0"/>
              <w:spacing w:after="0" w:line="240" w:lineRule="auto"/>
              <w:ind w:hanging="257"/>
              <w:jc w:val="center"/>
              <w:rPr>
                <w:rFonts w:asciiTheme="minorHAnsi" w:hAnsiTheme="minorHAnsi"/>
                <w:b/>
                <w:sz w:val="20"/>
                <w:szCs w:val="20"/>
              </w:rPr>
            </w:pPr>
            <w:r w:rsidRPr="00F0379E">
              <w:rPr>
                <w:rFonts w:asciiTheme="minorHAnsi" w:hAnsiTheme="minorHAnsi"/>
                <w:b/>
                <w:sz w:val="20"/>
                <w:szCs w:val="20"/>
              </w:rPr>
              <w:t>Regulations</w:t>
            </w:r>
          </w:p>
          <w:p w14:paraId="3DBD7A1B" w14:textId="77777777" w:rsidR="00C6781C" w:rsidRPr="00F0379E" w:rsidRDefault="00C6781C" w:rsidP="004C3099">
            <w:pPr>
              <w:widowControl w:val="0"/>
              <w:spacing w:after="0" w:line="240" w:lineRule="auto"/>
              <w:ind w:hanging="257"/>
              <w:jc w:val="center"/>
              <w:rPr>
                <w:rFonts w:asciiTheme="minorHAnsi" w:eastAsia="Times New Roman" w:hAnsiTheme="minorHAnsi"/>
                <w:sz w:val="20"/>
                <w:szCs w:val="20"/>
              </w:rPr>
            </w:pPr>
            <w:r w:rsidRPr="00F0379E">
              <w:rPr>
                <w:rFonts w:asciiTheme="minorHAnsi" w:hAnsiTheme="minorHAnsi"/>
                <w:b/>
                <w:sz w:val="20"/>
                <w:szCs w:val="20"/>
              </w:rPr>
              <w:t>50 CFR part 679</w:t>
            </w:r>
          </w:p>
        </w:tc>
      </w:tr>
      <w:tr w:rsidR="00A66D7D" w:rsidRPr="00F0379E" w14:paraId="47A4E100" w14:textId="77777777" w:rsidTr="00A52443">
        <w:trPr>
          <w:trHeight w:hRule="exact" w:val="533"/>
        </w:trPr>
        <w:tc>
          <w:tcPr>
            <w:tcW w:w="6582" w:type="dxa"/>
            <w:tcBorders>
              <w:top w:val="single" w:sz="6" w:space="0" w:color="000000"/>
              <w:left w:val="single" w:sz="5" w:space="0" w:color="000000"/>
              <w:bottom w:val="single" w:sz="5" w:space="0" w:color="000000"/>
              <w:right w:val="single" w:sz="5" w:space="0" w:color="000000"/>
            </w:tcBorders>
            <w:vAlign w:val="center"/>
          </w:tcPr>
          <w:p w14:paraId="520BC77F" w14:textId="3F6F2556" w:rsidR="00A66D7D" w:rsidRPr="00F0379E" w:rsidRDefault="00A66D7D" w:rsidP="00F0379E">
            <w:pPr>
              <w:spacing w:after="0" w:line="240" w:lineRule="auto"/>
              <w:jc w:val="center"/>
              <w:rPr>
                <w:rFonts w:asciiTheme="minorHAnsi" w:eastAsia="Times New Roman" w:hAnsiTheme="minorHAnsi"/>
                <w:sz w:val="20"/>
                <w:szCs w:val="20"/>
              </w:rPr>
            </w:pPr>
            <w:r w:rsidRPr="00F0379E">
              <w:rPr>
                <w:rFonts w:asciiTheme="minorHAnsi" w:hAnsiTheme="minorHAnsi"/>
                <w:sz w:val="20"/>
                <w:szCs w:val="20"/>
              </w:rPr>
              <w:t xml:space="preserve">Application for a Non-profit Corporation to be Designated as a Recreational Quota Entity </w:t>
            </w:r>
            <w:r w:rsidRPr="00F0379E">
              <w:rPr>
                <w:rFonts w:asciiTheme="minorHAnsi" w:eastAsia="Times New Roman" w:hAnsiTheme="minorHAnsi"/>
                <w:i/>
                <w:sz w:val="20"/>
                <w:szCs w:val="20"/>
              </w:rPr>
              <w:t>[merged from 0758]</w:t>
            </w:r>
          </w:p>
        </w:tc>
        <w:tc>
          <w:tcPr>
            <w:tcW w:w="2520" w:type="dxa"/>
            <w:tcBorders>
              <w:top w:val="single" w:sz="5" w:space="0" w:color="000000"/>
              <w:left w:val="single" w:sz="5" w:space="0" w:color="000000"/>
              <w:bottom w:val="single" w:sz="5" w:space="0" w:color="000000"/>
              <w:right w:val="single" w:sz="5" w:space="0" w:color="000000"/>
            </w:tcBorders>
            <w:vAlign w:val="center"/>
          </w:tcPr>
          <w:p w14:paraId="28F12F00" w14:textId="3CBFEF78" w:rsidR="00A66D7D" w:rsidRPr="00F0379E" w:rsidRDefault="004B426B" w:rsidP="00A66D7D">
            <w:pPr>
              <w:widowControl w:val="0"/>
              <w:spacing w:after="0" w:line="240" w:lineRule="auto"/>
              <w:ind w:left="144"/>
              <w:jc w:val="center"/>
              <w:rPr>
                <w:rFonts w:asciiTheme="minorHAnsi" w:eastAsia="Times New Roman" w:hAnsiTheme="minorHAnsi"/>
                <w:sz w:val="20"/>
                <w:szCs w:val="20"/>
              </w:rPr>
            </w:pPr>
            <w:r w:rsidRPr="00F0379E">
              <w:rPr>
                <w:rFonts w:asciiTheme="minorHAnsi" w:eastAsia="Times New Roman" w:hAnsiTheme="minorHAnsi"/>
                <w:sz w:val="20"/>
                <w:szCs w:val="20"/>
              </w:rPr>
              <w:t>§ 679.41(n)(2)</w:t>
            </w:r>
          </w:p>
        </w:tc>
      </w:tr>
      <w:tr w:rsidR="00A66D7D" w:rsidRPr="00F0379E" w14:paraId="558953C3" w14:textId="77777777" w:rsidTr="00A52443">
        <w:trPr>
          <w:trHeight w:hRule="exact" w:val="533"/>
        </w:trPr>
        <w:tc>
          <w:tcPr>
            <w:tcW w:w="6582" w:type="dxa"/>
            <w:tcBorders>
              <w:top w:val="single" w:sz="5" w:space="0" w:color="000000"/>
              <w:left w:val="single" w:sz="5" w:space="0" w:color="000000"/>
              <w:bottom w:val="single" w:sz="5" w:space="0" w:color="000000"/>
              <w:right w:val="single" w:sz="5" w:space="0" w:color="000000"/>
            </w:tcBorders>
            <w:vAlign w:val="center"/>
          </w:tcPr>
          <w:p w14:paraId="1B589A37" w14:textId="3E020184" w:rsidR="00A66D7D" w:rsidRPr="00F0379E" w:rsidRDefault="00A66D7D" w:rsidP="00F0379E">
            <w:pPr>
              <w:spacing w:after="0" w:line="240" w:lineRule="auto"/>
              <w:jc w:val="center"/>
              <w:rPr>
                <w:rFonts w:asciiTheme="minorHAnsi" w:eastAsia="Times New Roman" w:hAnsiTheme="minorHAnsi"/>
                <w:sz w:val="20"/>
                <w:szCs w:val="20"/>
              </w:rPr>
            </w:pPr>
            <w:r w:rsidRPr="00F0379E">
              <w:rPr>
                <w:rFonts w:asciiTheme="minorHAnsi" w:hAnsiTheme="minorHAnsi"/>
                <w:sz w:val="20"/>
                <w:szCs w:val="20"/>
              </w:rPr>
              <w:t xml:space="preserve">Application for Transfer of Quota Share To or From a Recreational Quota Entity </w:t>
            </w:r>
            <w:r w:rsidRPr="00F0379E">
              <w:rPr>
                <w:rFonts w:asciiTheme="minorHAnsi" w:eastAsia="Times New Roman" w:hAnsiTheme="minorHAnsi"/>
                <w:i/>
                <w:sz w:val="20"/>
                <w:szCs w:val="20"/>
              </w:rPr>
              <w:t>[merged from 0758]</w:t>
            </w:r>
          </w:p>
        </w:tc>
        <w:tc>
          <w:tcPr>
            <w:tcW w:w="2520" w:type="dxa"/>
            <w:tcBorders>
              <w:top w:val="single" w:sz="5" w:space="0" w:color="000000"/>
              <w:left w:val="single" w:sz="5" w:space="0" w:color="000000"/>
              <w:bottom w:val="single" w:sz="5" w:space="0" w:color="000000"/>
              <w:right w:val="single" w:sz="5" w:space="0" w:color="000000"/>
            </w:tcBorders>
            <w:vAlign w:val="center"/>
          </w:tcPr>
          <w:p w14:paraId="3120E1F5" w14:textId="75659A44" w:rsidR="00A66D7D" w:rsidRPr="00F0379E" w:rsidRDefault="00A77E4A" w:rsidP="00A66D7D">
            <w:pPr>
              <w:widowControl w:val="0"/>
              <w:spacing w:after="0" w:line="240" w:lineRule="auto"/>
              <w:ind w:left="144"/>
              <w:jc w:val="center"/>
              <w:rPr>
                <w:rFonts w:asciiTheme="minorHAnsi" w:eastAsia="Times New Roman" w:hAnsiTheme="minorHAnsi"/>
                <w:sz w:val="20"/>
                <w:szCs w:val="20"/>
              </w:rPr>
            </w:pPr>
            <w:r w:rsidRPr="00F0379E">
              <w:rPr>
                <w:rFonts w:asciiTheme="minorHAnsi" w:eastAsia="Times New Roman" w:hAnsiTheme="minorHAnsi"/>
                <w:sz w:val="20"/>
                <w:szCs w:val="20"/>
              </w:rPr>
              <w:t>§ 679.41(b)</w:t>
            </w:r>
          </w:p>
        </w:tc>
      </w:tr>
      <w:tr w:rsidR="00A66D7D" w:rsidRPr="00F0379E" w14:paraId="144140D7" w14:textId="77777777" w:rsidTr="00A52443">
        <w:trPr>
          <w:trHeight w:hRule="exact" w:val="346"/>
        </w:trPr>
        <w:tc>
          <w:tcPr>
            <w:tcW w:w="6582" w:type="dxa"/>
            <w:tcBorders>
              <w:top w:val="single" w:sz="5" w:space="0" w:color="000000"/>
              <w:left w:val="single" w:sz="5" w:space="0" w:color="000000"/>
              <w:bottom w:val="single" w:sz="5" w:space="0" w:color="000000"/>
              <w:right w:val="single" w:sz="5" w:space="0" w:color="000000"/>
            </w:tcBorders>
            <w:vAlign w:val="center"/>
          </w:tcPr>
          <w:p w14:paraId="105F3EED" w14:textId="0B36B491" w:rsidR="00A66D7D" w:rsidRPr="00F0379E" w:rsidRDefault="00A66D7D" w:rsidP="00F0379E">
            <w:pPr>
              <w:pStyle w:val="BodyText"/>
              <w:spacing w:after="0"/>
              <w:contextualSpacing/>
              <w:jc w:val="center"/>
              <w:rPr>
                <w:rFonts w:asciiTheme="minorHAnsi" w:hAnsiTheme="minorHAnsi"/>
                <w:sz w:val="20"/>
                <w:szCs w:val="20"/>
              </w:rPr>
            </w:pPr>
            <w:r w:rsidRPr="00F0379E">
              <w:rPr>
                <w:rFonts w:asciiTheme="minorHAnsi" w:hAnsiTheme="minorHAnsi"/>
                <w:sz w:val="20"/>
                <w:szCs w:val="20"/>
              </w:rPr>
              <w:t xml:space="preserve">Recreational Quota Entity Annual Report </w:t>
            </w:r>
            <w:r w:rsidRPr="00F0379E">
              <w:rPr>
                <w:rFonts w:asciiTheme="minorHAnsi" w:eastAsia="Times New Roman" w:hAnsiTheme="minorHAnsi"/>
                <w:i/>
                <w:sz w:val="20"/>
                <w:szCs w:val="20"/>
              </w:rPr>
              <w:t>[merged from 0758]</w:t>
            </w:r>
          </w:p>
        </w:tc>
        <w:tc>
          <w:tcPr>
            <w:tcW w:w="2520" w:type="dxa"/>
            <w:tcBorders>
              <w:top w:val="single" w:sz="5" w:space="0" w:color="000000"/>
              <w:left w:val="single" w:sz="5" w:space="0" w:color="000000"/>
              <w:bottom w:val="single" w:sz="5" w:space="0" w:color="000000"/>
              <w:right w:val="single" w:sz="5" w:space="0" w:color="000000"/>
            </w:tcBorders>
            <w:vAlign w:val="center"/>
          </w:tcPr>
          <w:p w14:paraId="30FDD0D5" w14:textId="7FB7EC08" w:rsidR="00A66D7D" w:rsidRPr="00F0379E" w:rsidRDefault="004B426B" w:rsidP="00F02510">
            <w:pPr>
              <w:widowControl w:val="0"/>
              <w:spacing w:after="0" w:line="240" w:lineRule="auto"/>
              <w:ind w:left="144"/>
              <w:jc w:val="center"/>
              <w:rPr>
                <w:rFonts w:asciiTheme="minorHAnsi" w:eastAsia="Times New Roman" w:hAnsiTheme="minorHAnsi"/>
                <w:sz w:val="20"/>
                <w:szCs w:val="20"/>
              </w:rPr>
            </w:pPr>
            <w:r w:rsidRPr="00F0379E">
              <w:rPr>
                <w:rFonts w:asciiTheme="minorHAnsi" w:eastAsia="Times New Roman" w:hAnsiTheme="minorHAnsi"/>
                <w:sz w:val="20"/>
                <w:szCs w:val="20"/>
              </w:rPr>
              <w:t>§</w:t>
            </w:r>
            <w:r w:rsidR="00423727" w:rsidRPr="00F0379E">
              <w:rPr>
                <w:rFonts w:asciiTheme="minorHAnsi" w:eastAsia="Times New Roman" w:hAnsiTheme="minorHAnsi"/>
                <w:sz w:val="20"/>
                <w:szCs w:val="20"/>
              </w:rPr>
              <w:t>§</w:t>
            </w:r>
            <w:r w:rsidRPr="00F0379E">
              <w:rPr>
                <w:rFonts w:asciiTheme="minorHAnsi" w:eastAsia="Times New Roman" w:hAnsiTheme="minorHAnsi"/>
                <w:sz w:val="20"/>
                <w:szCs w:val="20"/>
              </w:rPr>
              <w:t xml:space="preserve"> 679.5(v)</w:t>
            </w:r>
          </w:p>
        </w:tc>
      </w:tr>
      <w:tr w:rsidR="00A66D7D" w:rsidRPr="00F0379E" w14:paraId="4C5317DF" w14:textId="77777777" w:rsidTr="00A52443">
        <w:trPr>
          <w:trHeight w:hRule="exact" w:val="533"/>
        </w:trPr>
        <w:tc>
          <w:tcPr>
            <w:tcW w:w="6582" w:type="dxa"/>
            <w:tcBorders>
              <w:top w:val="single" w:sz="5" w:space="0" w:color="000000"/>
              <w:left w:val="single" w:sz="5" w:space="0" w:color="000000"/>
              <w:bottom w:val="single" w:sz="5" w:space="0" w:color="000000"/>
              <w:right w:val="single" w:sz="5" w:space="0" w:color="000000"/>
            </w:tcBorders>
            <w:vAlign w:val="center"/>
          </w:tcPr>
          <w:p w14:paraId="221ED691" w14:textId="3B293136" w:rsidR="00A66D7D" w:rsidRPr="00F0379E" w:rsidRDefault="00A66D7D" w:rsidP="00F0379E">
            <w:pPr>
              <w:widowControl w:val="0"/>
              <w:spacing w:after="0" w:line="240" w:lineRule="auto"/>
              <w:jc w:val="center"/>
              <w:rPr>
                <w:rFonts w:asciiTheme="minorHAnsi" w:hAnsiTheme="minorHAnsi"/>
                <w:sz w:val="20"/>
                <w:szCs w:val="20"/>
              </w:rPr>
            </w:pPr>
            <w:r w:rsidRPr="00F0379E">
              <w:rPr>
                <w:rFonts w:asciiTheme="minorHAnsi" w:eastAsia="Times New Roman" w:hAnsiTheme="minorHAnsi"/>
                <w:sz w:val="20"/>
                <w:szCs w:val="20"/>
              </w:rPr>
              <w:t xml:space="preserve">Application for Temporary Transfer of Halibut/Sablefish Individual Fishing Quota </w:t>
            </w:r>
            <w:r w:rsidRPr="00F0379E">
              <w:rPr>
                <w:rFonts w:asciiTheme="minorHAnsi" w:eastAsia="Times New Roman" w:hAnsiTheme="minorHAnsi"/>
                <w:i/>
                <w:sz w:val="20"/>
                <w:szCs w:val="20"/>
              </w:rPr>
              <w:t>[merged from 0764]</w:t>
            </w:r>
          </w:p>
        </w:tc>
        <w:tc>
          <w:tcPr>
            <w:tcW w:w="2520" w:type="dxa"/>
            <w:tcBorders>
              <w:top w:val="single" w:sz="5" w:space="0" w:color="000000"/>
              <w:left w:val="single" w:sz="5" w:space="0" w:color="000000"/>
              <w:bottom w:val="single" w:sz="5" w:space="0" w:color="000000"/>
              <w:right w:val="single" w:sz="5" w:space="0" w:color="000000"/>
            </w:tcBorders>
            <w:vAlign w:val="center"/>
          </w:tcPr>
          <w:p w14:paraId="141A343F" w14:textId="7CFEE96B" w:rsidR="00A66D7D" w:rsidRPr="00F0379E" w:rsidRDefault="00A66D7D" w:rsidP="00A66D7D">
            <w:pPr>
              <w:widowControl w:val="0"/>
              <w:spacing w:after="0" w:line="240" w:lineRule="auto"/>
              <w:ind w:left="144"/>
              <w:jc w:val="center"/>
              <w:rPr>
                <w:rFonts w:asciiTheme="minorHAnsi" w:hAnsiTheme="minorHAnsi"/>
                <w:sz w:val="20"/>
                <w:szCs w:val="20"/>
              </w:rPr>
            </w:pPr>
            <w:r w:rsidRPr="00F0379E">
              <w:rPr>
                <w:rFonts w:asciiTheme="minorHAnsi" w:eastAsia="Times New Roman" w:hAnsiTheme="minorHAnsi"/>
                <w:sz w:val="20"/>
                <w:szCs w:val="20"/>
              </w:rPr>
              <w:t>§ 679.41(b)and (c)</w:t>
            </w:r>
          </w:p>
        </w:tc>
      </w:tr>
      <w:tr w:rsidR="00A66D7D" w:rsidRPr="00F0379E" w14:paraId="69132F82" w14:textId="77777777" w:rsidTr="00A52443">
        <w:trPr>
          <w:trHeight w:hRule="exact" w:val="346"/>
        </w:trPr>
        <w:tc>
          <w:tcPr>
            <w:tcW w:w="6582" w:type="dxa"/>
            <w:tcBorders>
              <w:top w:val="single" w:sz="5" w:space="0" w:color="000000"/>
              <w:left w:val="single" w:sz="5" w:space="0" w:color="000000"/>
              <w:bottom w:val="single" w:sz="5" w:space="0" w:color="000000"/>
              <w:right w:val="single" w:sz="5" w:space="0" w:color="000000"/>
            </w:tcBorders>
            <w:vAlign w:val="center"/>
          </w:tcPr>
          <w:p w14:paraId="0A5E1BC1" w14:textId="1E0EEEEE" w:rsidR="00A66D7D" w:rsidRPr="00F0379E" w:rsidRDefault="00A66D7D" w:rsidP="00F0379E">
            <w:pPr>
              <w:widowControl w:val="0"/>
              <w:spacing w:after="0" w:line="240" w:lineRule="auto"/>
              <w:jc w:val="center"/>
              <w:rPr>
                <w:rFonts w:asciiTheme="minorHAnsi" w:eastAsia="Times New Roman" w:hAnsiTheme="minorHAnsi"/>
                <w:sz w:val="20"/>
                <w:szCs w:val="20"/>
              </w:rPr>
            </w:pPr>
            <w:r w:rsidRPr="00F0379E">
              <w:rPr>
                <w:rFonts w:asciiTheme="minorHAnsi" w:hAnsiTheme="minorHAnsi"/>
                <w:sz w:val="20"/>
                <w:szCs w:val="20"/>
              </w:rPr>
              <w:t xml:space="preserve">Annual Report </w:t>
            </w:r>
            <w:r w:rsidR="00417FF9" w:rsidRPr="00F0379E">
              <w:rPr>
                <w:rFonts w:asciiTheme="minorHAnsi" w:hAnsiTheme="minorHAnsi"/>
                <w:sz w:val="20"/>
                <w:szCs w:val="20"/>
              </w:rPr>
              <w:t xml:space="preserve">for CDQ IFQ Transfers </w:t>
            </w:r>
            <w:r w:rsidRPr="00F0379E">
              <w:rPr>
                <w:rFonts w:asciiTheme="minorHAnsi" w:hAnsiTheme="minorHAnsi"/>
                <w:i/>
                <w:sz w:val="20"/>
                <w:szCs w:val="20"/>
              </w:rPr>
              <w:t>[merged from 0764]</w:t>
            </w:r>
          </w:p>
        </w:tc>
        <w:tc>
          <w:tcPr>
            <w:tcW w:w="2520" w:type="dxa"/>
            <w:tcBorders>
              <w:top w:val="single" w:sz="5" w:space="0" w:color="000000"/>
              <w:left w:val="single" w:sz="5" w:space="0" w:color="000000"/>
              <w:bottom w:val="single" w:sz="5" w:space="0" w:color="000000"/>
              <w:right w:val="single" w:sz="5" w:space="0" w:color="000000"/>
            </w:tcBorders>
            <w:vAlign w:val="center"/>
          </w:tcPr>
          <w:p w14:paraId="575B6A8B" w14:textId="591E0DF6" w:rsidR="00A66D7D" w:rsidRPr="00F0379E" w:rsidRDefault="00A66D7D" w:rsidP="00A66D7D">
            <w:pPr>
              <w:widowControl w:val="0"/>
              <w:spacing w:after="0" w:line="240" w:lineRule="auto"/>
              <w:ind w:left="144"/>
              <w:jc w:val="center"/>
              <w:rPr>
                <w:rFonts w:asciiTheme="minorHAnsi" w:eastAsia="Times New Roman" w:hAnsiTheme="minorHAnsi"/>
                <w:sz w:val="20"/>
                <w:szCs w:val="20"/>
              </w:rPr>
            </w:pPr>
            <w:r w:rsidRPr="00F0379E">
              <w:rPr>
                <w:rFonts w:asciiTheme="minorHAnsi" w:hAnsiTheme="minorHAnsi"/>
                <w:sz w:val="20"/>
                <w:szCs w:val="20"/>
              </w:rPr>
              <w:t>§ 679.5(l)(10) and (w)</w:t>
            </w:r>
          </w:p>
        </w:tc>
      </w:tr>
      <w:tr w:rsidR="00A66D7D" w:rsidRPr="00F0379E" w14:paraId="1DB0E764" w14:textId="77777777" w:rsidTr="00A52443">
        <w:trPr>
          <w:trHeight w:hRule="exact" w:val="346"/>
        </w:trPr>
        <w:tc>
          <w:tcPr>
            <w:tcW w:w="6582" w:type="dxa"/>
            <w:tcBorders>
              <w:top w:val="single" w:sz="5" w:space="0" w:color="000000"/>
              <w:left w:val="single" w:sz="5" w:space="0" w:color="000000"/>
              <w:bottom w:val="single" w:sz="6" w:space="0" w:color="000000"/>
              <w:right w:val="single" w:sz="5" w:space="0" w:color="000000"/>
            </w:tcBorders>
            <w:vAlign w:val="center"/>
          </w:tcPr>
          <w:p w14:paraId="2AC7AEB0" w14:textId="1C3DEF57" w:rsidR="00A66D7D" w:rsidRPr="00F0379E" w:rsidRDefault="00A66D7D" w:rsidP="00F0379E">
            <w:pPr>
              <w:widowControl w:val="0"/>
              <w:spacing w:after="0" w:line="240" w:lineRule="auto"/>
              <w:jc w:val="center"/>
              <w:rPr>
                <w:rFonts w:asciiTheme="minorHAnsi" w:hAnsiTheme="minorHAnsi"/>
                <w:sz w:val="20"/>
                <w:szCs w:val="20"/>
              </w:rPr>
            </w:pPr>
            <w:r w:rsidRPr="00F0379E">
              <w:rPr>
                <w:rFonts w:asciiTheme="minorHAnsi" w:eastAsia="Times New Roman" w:hAnsiTheme="minorHAnsi"/>
                <w:sz w:val="20"/>
                <w:szCs w:val="20"/>
              </w:rPr>
              <w:t xml:space="preserve">Application for Transfer of QS </w:t>
            </w:r>
            <w:r w:rsidRPr="00F0379E">
              <w:rPr>
                <w:rFonts w:asciiTheme="minorHAnsi" w:eastAsia="Times New Roman" w:hAnsiTheme="minorHAnsi"/>
                <w:i/>
                <w:sz w:val="20"/>
                <w:szCs w:val="20"/>
              </w:rPr>
              <w:t>[added due to merge of 0764]</w:t>
            </w:r>
          </w:p>
        </w:tc>
        <w:tc>
          <w:tcPr>
            <w:tcW w:w="2520" w:type="dxa"/>
            <w:tcBorders>
              <w:top w:val="single" w:sz="5" w:space="0" w:color="000000"/>
              <w:left w:val="single" w:sz="5" w:space="0" w:color="000000"/>
              <w:bottom w:val="single" w:sz="5" w:space="0" w:color="000000"/>
              <w:right w:val="single" w:sz="5" w:space="0" w:color="000000"/>
            </w:tcBorders>
            <w:vAlign w:val="center"/>
          </w:tcPr>
          <w:p w14:paraId="49856643" w14:textId="58CDD5A1" w:rsidR="00A66D7D" w:rsidRPr="00F0379E" w:rsidRDefault="00A66D7D" w:rsidP="00A66D7D">
            <w:pPr>
              <w:widowControl w:val="0"/>
              <w:spacing w:after="0" w:line="240" w:lineRule="auto"/>
              <w:ind w:left="144"/>
              <w:jc w:val="center"/>
              <w:rPr>
                <w:rFonts w:asciiTheme="minorHAnsi" w:hAnsiTheme="minorHAnsi"/>
                <w:sz w:val="20"/>
                <w:szCs w:val="20"/>
              </w:rPr>
            </w:pPr>
            <w:r w:rsidRPr="00F0379E">
              <w:rPr>
                <w:rFonts w:asciiTheme="minorHAnsi" w:eastAsia="Times New Roman" w:hAnsiTheme="minorHAnsi"/>
                <w:sz w:val="20"/>
                <w:szCs w:val="20"/>
              </w:rPr>
              <w:t>§ 679.41(b)and (c)</w:t>
            </w:r>
          </w:p>
        </w:tc>
      </w:tr>
      <w:tr w:rsidR="00A66D7D" w:rsidRPr="00F0379E" w14:paraId="5F344BF6" w14:textId="77777777" w:rsidTr="001824DC">
        <w:trPr>
          <w:trHeight w:hRule="exact" w:val="216"/>
        </w:trPr>
        <w:tc>
          <w:tcPr>
            <w:tcW w:w="6582" w:type="dxa"/>
            <w:tcBorders>
              <w:top w:val="single" w:sz="6" w:space="0" w:color="000000"/>
              <w:left w:val="single" w:sz="6" w:space="0" w:color="000000"/>
              <w:bottom w:val="single" w:sz="6" w:space="0" w:color="000000"/>
            </w:tcBorders>
            <w:shd w:val="clear" w:color="auto" w:fill="FDE9D9" w:themeFill="accent6" w:themeFillTint="33"/>
            <w:vAlign w:val="center"/>
          </w:tcPr>
          <w:p w14:paraId="4E08C70E" w14:textId="1614DDD7" w:rsidR="00A66D7D" w:rsidRPr="00F0379E" w:rsidRDefault="00A66D7D" w:rsidP="00F0379E">
            <w:pPr>
              <w:widowControl w:val="0"/>
              <w:spacing w:after="0" w:line="240" w:lineRule="auto"/>
              <w:rPr>
                <w:rFonts w:asciiTheme="minorHAnsi" w:hAnsiTheme="minorHAnsi"/>
                <w:b/>
                <w:sz w:val="20"/>
                <w:szCs w:val="20"/>
              </w:rPr>
            </w:pPr>
          </w:p>
        </w:tc>
        <w:tc>
          <w:tcPr>
            <w:tcW w:w="2520" w:type="dxa"/>
            <w:tcBorders>
              <w:top w:val="single" w:sz="5" w:space="0" w:color="000000"/>
              <w:left w:val="nil"/>
              <w:bottom w:val="single" w:sz="5" w:space="0" w:color="000000"/>
              <w:right w:val="single" w:sz="5" w:space="0" w:color="000000"/>
            </w:tcBorders>
            <w:shd w:val="clear" w:color="auto" w:fill="FDE9D9" w:themeFill="accent6" w:themeFillTint="33"/>
            <w:vAlign w:val="center"/>
          </w:tcPr>
          <w:p w14:paraId="41C93648" w14:textId="77777777" w:rsidR="00A66D7D" w:rsidRPr="00F0379E" w:rsidRDefault="00A66D7D" w:rsidP="00A66D7D">
            <w:pPr>
              <w:widowControl w:val="0"/>
              <w:spacing w:after="0" w:line="240" w:lineRule="auto"/>
              <w:ind w:left="144"/>
              <w:jc w:val="center"/>
              <w:rPr>
                <w:rFonts w:asciiTheme="minorHAnsi" w:hAnsiTheme="minorHAnsi"/>
                <w:sz w:val="20"/>
                <w:szCs w:val="20"/>
              </w:rPr>
            </w:pPr>
          </w:p>
        </w:tc>
      </w:tr>
      <w:tr w:rsidR="00A66D7D" w:rsidRPr="00F0379E" w14:paraId="7CAAF19E" w14:textId="77777777" w:rsidTr="00A52443">
        <w:trPr>
          <w:trHeight w:hRule="exact" w:val="346"/>
        </w:trPr>
        <w:tc>
          <w:tcPr>
            <w:tcW w:w="6582" w:type="dxa"/>
            <w:tcBorders>
              <w:top w:val="single" w:sz="6" w:space="0" w:color="000000"/>
              <w:left w:val="single" w:sz="5" w:space="0" w:color="000000"/>
              <w:bottom w:val="single" w:sz="5" w:space="0" w:color="000000"/>
              <w:right w:val="single" w:sz="5" w:space="0" w:color="000000"/>
            </w:tcBorders>
            <w:vAlign w:val="center"/>
          </w:tcPr>
          <w:p w14:paraId="5437B752" w14:textId="77777777" w:rsidR="00A66D7D" w:rsidRPr="00F0379E" w:rsidRDefault="00A66D7D" w:rsidP="00F0379E">
            <w:pPr>
              <w:widowControl w:val="0"/>
              <w:spacing w:after="0" w:line="240" w:lineRule="auto"/>
              <w:jc w:val="center"/>
              <w:rPr>
                <w:rFonts w:asciiTheme="minorHAnsi" w:hAnsiTheme="minorHAnsi"/>
                <w:sz w:val="20"/>
                <w:szCs w:val="20"/>
              </w:rPr>
            </w:pPr>
            <w:r w:rsidRPr="00F0379E">
              <w:rPr>
                <w:rFonts w:asciiTheme="minorHAnsi" w:hAnsiTheme="minorHAnsi"/>
                <w:sz w:val="20"/>
                <w:szCs w:val="20"/>
              </w:rPr>
              <w:t>Application for Eligibility to Receive QS/IFQ by Transfer</w:t>
            </w:r>
          </w:p>
        </w:tc>
        <w:tc>
          <w:tcPr>
            <w:tcW w:w="2520" w:type="dxa"/>
            <w:tcBorders>
              <w:top w:val="single" w:sz="5" w:space="0" w:color="000000"/>
              <w:left w:val="single" w:sz="5" w:space="0" w:color="000000"/>
              <w:bottom w:val="single" w:sz="5" w:space="0" w:color="000000"/>
              <w:right w:val="single" w:sz="5" w:space="0" w:color="000000"/>
            </w:tcBorders>
            <w:vAlign w:val="center"/>
          </w:tcPr>
          <w:p w14:paraId="7880B4F4" w14:textId="77777777" w:rsidR="00A66D7D" w:rsidRPr="00F0379E" w:rsidRDefault="00A66D7D" w:rsidP="00A66D7D">
            <w:pPr>
              <w:widowControl w:val="0"/>
              <w:spacing w:after="0" w:line="240" w:lineRule="auto"/>
              <w:ind w:left="144"/>
              <w:jc w:val="center"/>
              <w:rPr>
                <w:rFonts w:asciiTheme="minorHAnsi" w:hAnsiTheme="minorHAnsi"/>
                <w:sz w:val="20"/>
                <w:szCs w:val="20"/>
              </w:rPr>
            </w:pPr>
            <w:r w:rsidRPr="00F0379E">
              <w:rPr>
                <w:rFonts w:asciiTheme="minorHAnsi" w:hAnsiTheme="minorHAnsi"/>
                <w:sz w:val="20"/>
                <w:szCs w:val="20"/>
              </w:rPr>
              <w:t>§ 679.41(d)</w:t>
            </w:r>
          </w:p>
        </w:tc>
      </w:tr>
      <w:tr w:rsidR="00A66D7D" w:rsidRPr="00F0379E" w14:paraId="35062AF9" w14:textId="77777777" w:rsidTr="00A52443">
        <w:trPr>
          <w:trHeight w:hRule="exact" w:val="346"/>
        </w:trPr>
        <w:tc>
          <w:tcPr>
            <w:tcW w:w="6582" w:type="dxa"/>
            <w:tcBorders>
              <w:top w:val="single" w:sz="5" w:space="0" w:color="000000"/>
              <w:left w:val="single" w:sz="5" w:space="0" w:color="000000"/>
              <w:bottom w:val="single" w:sz="5" w:space="0" w:color="000000"/>
              <w:right w:val="single" w:sz="5" w:space="0" w:color="000000"/>
            </w:tcBorders>
            <w:vAlign w:val="center"/>
          </w:tcPr>
          <w:p w14:paraId="450439B4" w14:textId="77777777" w:rsidR="00A66D7D" w:rsidRPr="00F0379E" w:rsidRDefault="00A66D7D" w:rsidP="00F0379E">
            <w:pPr>
              <w:widowControl w:val="0"/>
              <w:spacing w:after="0" w:line="240" w:lineRule="auto"/>
              <w:jc w:val="center"/>
              <w:rPr>
                <w:rFonts w:asciiTheme="minorHAnsi" w:hAnsiTheme="minorHAnsi"/>
                <w:sz w:val="20"/>
                <w:szCs w:val="20"/>
              </w:rPr>
            </w:pPr>
            <w:r w:rsidRPr="00F0379E">
              <w:rPr>
                <w:rFonts w:asciiTheme="minorHAnsi" w:hAnsiTheme="minorHAnsi"/>
                <w:sz w:val="20"/>
                <w:szCs w:val="20"/>
              </w:rPr>
              <w:t>Quota Share (QS) Holder: Identification of Ownership Interest</w:t>
            </w:r>
          </w:p>
        </w:tc>
        <w:tc>
          <w:tcPr>
            <w:tcW w:w="2520" w:type="dxa"/>
            <w:tcBorders>
              <w:top w:val="single" w:sz="5" w:space="0" w:color="000000"/>
              <w:left w:val="single" w:sz="5" w:space="0" w:color="000000"/>
              <w:bottom w:val="single" w:sz="5" w:space="0" w:color="000000"/>
              <w:right w:val="single" w:sz="5" w:space="0" w:color="000000"/>
            </w:tcBorders>
            <w:vAlign w:val="center"/>
          </w:tcPr>
          <w:p w14:paraId="4E26793E" w14:textId="77777777" w:rsidR="00A66D7D" w:rsidRPr="00F0379E" w:rsidRDefault="00A66D7D" w:rsidP="00A66D7D">
            <w:pPr>
              <w:widowControl w:val="0"/>
              <w:spacing w:after="0" w:line="240" w:lineRule="auto"/>
              <w:ind w:left="144"/>
              <w:jc w:val="center"/>
              <w:rPr>
                <w:rFonts w:asciiTheme="minorHAnsi" w:hAnsiTheme="minorHAnsi"/>
                <w:sz w:val="20"/>
                <w:szCs w:val="20"/>
              </w:rPr>
            </w:pPr>
            <w:r w:rsidRPr="00F0379E">
              <w:rPr>
                <w:rFonts w:asciiTheme="minorHAnsi" w:hAnsiTheme="minorHAnsi"/>
                <w:sz w:val="20"/>
                <w:szCs w:val="20"/>
              </w:rPr>
              <w:t>§ 679.42</w:t>
            </w:r>
          </w:p>
        </w:tc>
      </w:tr>
      <w:tr w:rsidR="00A66D7D" w:rsidRPr="00F0379E" w14:paraId="6DD10210" w14:textId="77777777" w:rsidTr="00A52443">
        <w:trPr>
          <w:trHeight w:hRule="exact" w:val="346"/>
        </w:trPr>
        <w:tc>
          <w:tcPr>
            <w:tcW w:w="6582" w:type="dxa"/>
            <w:tcBorders>
              <w:top w:val="single" w:sz="5" w:space="0" w:color="000000"/>
              <w:left w:val="single" w:sz="5" w:space="0" w:color="000000"/>
              <w:bottom w:val="single" w:sz="5" w:space="0" w:color="000000"/>
              <w:right w:val="single" w:sz="5" w:space="0" w:color="000000"/>
            </w:tcBorders>
            <w:vAlign w:val="center"/>
          </w:tcPr>
          <w:p w14:paraId="48AB5811" w14:textId="77777777" w:rsidR="00A66D7D" w:rsidRPr="00F0379E" w:rsidRDefault="00A66D7D" w:rsidP="00F0379E">
            <w:pPr>
              <w:widowControl w:val="0"/>
              <w:spacing w:after="0" w:line="240" w:lineRule="auto"/>
              <w:jc w:val="center"/>
              <w:rPr>
                <w:rFonts w:asciiTheme="minorHAnsi" w:eastAsia="Times New Roman" w:hAnsiTheme="minorHAnsi"/>
                <w:sz w:val="20"/>
                <w:szCs w:val="20"/>
              </w:rPr>
            </w:pPr>
            <w:r w:rsidRPr="00F0379E">
              <w:rPr>
                <w:rFonts w:asciiTheme="minorHAnsi" w:eastAsia="Times New Roman" w:hAnsiTheme="minorHAnsi"/>
                <w:sz w:val="20"/>
                <w:szCs w:val="20"/>
              </w:rPr>
              <w:t>Application for IFQ/CDQ Hired Master Permit</w:t>
            </w:r>
          </w:p>
        </w:tc>
        <w:tc>
          <w:tcPr>
            <w:tcW w:w="2520" w:type="dxa"/>
            <w:tcBorders>
              <w:top w:val="single" w:sz="5" w:space="0" w:color="000000"/>
              <w:left w:val="single" w:sz="5" w:space="0" w:color="000000"/>
              <w:bottom w:val="single" w:sz="5" w:space="0" w:color="000000"/>
              <w:right w:val="single" w:sz="5" w:space="0" w:color="000000"/>
            </w:tcBorders>
            <w:vAlign w:val="center"/>
          </w:tcPr>
          <w:p w14:paraId="705E5432" w14:textId="77777777" w:rsidR="00A66D7D" w:rsidRPr="00F0379E" w:rsidRDefault="00A66D7D" w:rsidP="00A66D7D">
            <w:pPr>
              <w:widowControl w:val="0"/>
              <w:spacing w:after="0" w:line="240" w:lineRule="auto"/>
              <w:jc w:val="center"/>
              <w:rPr>
                <w:rFonts w:asciiTheme="minorHAnsi" w:eastAsia="Times New Roman" w:hAnsiTheme="minorHAnsi"/>
                <w:sz w:val="20"/>
                <w:szCs w:val="20"/>
              </w:rPr>
            </w:pPr>
            <w:r w:rsidRPr="00F0379E">
              <w:rPr>
                <w:rFonts w:asciiTheme="minorHAnsi" w:eastAsia="Times New Roman" w:hAnsiTheme="minorHAnsi"/>
                <w:sz w:val="20"/>
                <w:szCs w:val="20"/>
              </w:rPr>
              <w:t>679.4(d)(2) and (e)</w:t>
            </w:r>
          </w:p>
        </w:tc>
      </w:tr>
      <w:tr w:rsidR="00A66D7D" w:rsidRPr="00F0379E" w14:paraId="01ADC064" w14:textId="77777777" w:rsidTr="00A52443">
        <w:trPr>
          <w:trHeight w:hRule="exact" w:val="346"/>
        </w:trPr>
        <w:tc>
          <w:tcPr>
            <w:tcW w:w="6582" w:type="dxa"/>
            <w:tcBorders>
              <w:top w:val="single" w:sz="5" w:space="0" w:color="000000"/>
              <w:left w:val="single" w:sz="5" w:space="0" w:color="000000"/>
              <w:bottom w:val="single" w:sz="5" w:space="0" w:color="000000"/>
              <w:right w:val="single" w:sz="5" w:space="0" w:color="000000"/>
            </w:tcBorders>
            <w:vAlign w:val="center"/>
          </w:tcPr>
          <w:p w14:paraId="0649226B" w14:textId="77777777" w:rsidR="00A66D7D" w:rsidRPr="00F0379E" w:rsidRDefault="00A66D7D" w:rsidP="00F0379E">
            <w:pPr>
              <w:widowControl w:val="0"/>
              <w:spacing w:after="0" w:line="240" w:lineRule="auto"/>
              <w:jc w:val="center"/>
              <w:rPr>
                <w:rFonts w:asciiTheme="minorHAnsi" w:eastAsia="Times New Roman" w:hAnsiTheme="minorHAnsi"/>
                <w:sz w:val="20"/>
                <w:szCs w:val="20"/>
              </w:rPr>
            </w:pPr>
            <w:r w:rsidRPr="00F0379E">
              <w:rPr>
                <w:rFonts w:asciiTheme="minorHAnsi" w:eastAsia="Times New Roman" w:hAnsiTheme="minorHAnsi"/>
                <w:sz w:val="20"/>
                <w:szCs w:val="20"/>
              </w:rPr>
              <w:t>Application for IFQ/CDQ Registered Buyer Permit</w:t>
            </w:r>
          </w:p>
        </w:tc>
        <w:tc>
          <w:tcPr>
            <w:tcW w:w="2520" w:type="dxa"/>
            <w:tcBorders>
              <w:top w:val="single" w:sz="5" w:space="0" w:color="000000"/>
              <w:left w:val="single" w:sz="5" w:space="0" w:color="000000"/>
              <w:bottom w:val="single" w:sz="5" w:space="0" w:color="000000"/>
              <w:right w:val="single" w:sz="5" w:space="0" w:color="000000"/>
            </w:tcBorders>
            <w:vAlign w:val="center"/>
          </w:tcPr>
          <w:p w14:paraId="3EBA0710" w14:textId="77777777" w:rsidR="00A66D7D" w:rsidRPr="00F0379E" w:rsidRDefault="00A66D7D" w:rsidP="00A66D7D">
            <w:pPr>
              <w:widowControl w:val="0"/>
              <w:spacing w:after="0" w:line="240" w:lineRule="auto"/>
              <w:jc w:val="center"/>
              <w:rPr>
                <w:rFonts w:asciiTheme="minorHAnsi" w:eastAsia="Times New Roman" w:hAnsiTheme="minorHAnsi"/>
                <w:sz w:val="20"/>
                <w:szCs w:val="20"/>
              </w:rPr>
            </w:pPr>
            <w:r w:rsidRPr="00F0379E">
              <w:rPr>
                <w:rFonts w:asciiTheme="minorHAnsi" w:eastAsia="Times New Roman" w:hAnsiTheme="minorHAnsi"/>
                <w:sz w:val="20"/>
                <w:szCs w:val="20"/>
              </w:rPr>
              <w:t>§ 679.4(d)(3)</w:t>
            </w:r>
          </w:p>
        </w:tc>
      </w:tr>
      <w:tr w:rsidR="00A66D7D" w:rsidRPr="00F0379E" w14:paraId="3CB2D415" w14:textId="77777777" w:rsidTr="00A52443">
        <w:trPr>
          <w:trHeight w:hRule="exact" w:val="346"/>
        </w:trPr>
        <w:tc>
          <w:tcPr>
            <w:tcW w:w="6582" w:type="dxa"/>
            <w:tcBorders>
              <w:top w:val="single" w:sz="5" w:space="0" w:color="000000"/>
              <w:left w:val="single" w:sz="5" w:space="0" w:color="000000"/>
              <w:bottom w:val="single" w:sz="5" w:space="0" w:color="000000"/>
              <w:right w:val="single" w:sz="5" w:space="0" w:color="000000"/>
            </w:tcBorders>
            <w:vAlign w:val="center"/>
          </w:tcPr>
          <w:p w14:paraId="01BA6C10" w14:textId="77777777" w:rsidR="00A66D7D" w:rsidRPr="00F0379E" w:rsidRDefault="00A66D7D" w:rsidP="00F0379E">
            <w:pPr>
              <w:widowControl w:val="0"/>
              <w:spacing w:after="0" w:line="240" w:lineRule="auto"/>
              <w:jc w:val="center"/>
              <w:rPr>
                <w:rFonts w:asciiTheme="minorHAnsi" w:eastAsia="Times New Roman" w:hAnsiTheme="minorHAnsi"/>
                <w:sz w:val="20"/>
                <w:szCs w:val="20"/>
              </w:rPr>
            </w:pPr>
            <w:r w:rsidRPr="00F0379E">
              <w:rPr>
                <w:rFonts w:asciiTheme="minorHAnsi" w:eastAsia="Times New Roman" w:hAnsiTheme="minorHAnsi"/>
                <w:sz w:val="20"/>
                <w:szCs w:val="20"/>
              </w:rPr>
              <w:t>QS/IFQ Beneficiary Designation Form</w:t>
            </w:r>
          </w:p>
        </w:tc>
        <w:tc>
          <w:tcPr>
            <w:tcW w:w="2520" w:type="dxa"/>
            <w:tcBorders>
              <w:top w:val="single" w:sz="5" w:space="0" w:color="000000"/>
              <w:left w:val="single" w:sz="5" w:space="0" w:color="000000"/>
              <w:bottom w:val="single" w:sz="5" w:space="0" w:color="000000"/>
              <w:right w:val="single" w:sz="5" w:space="0" w:color="000000"/>
            </w:tcBorders>
            <w:vAlign w:val="center"/>
          </w:tcPr>
          <w:p w14:paraId="67D049F9" w14:textId="77777777" w:rsidR="00A66D7D" w:rsidRPr="00F0379E" w:rsidRDefault="00A66D7D" w:rsidP="00A66D7D">
            <w:pPr>
              <w:widowControl w:val="0"/>
              <w:spacing w:after="0" w:line="240" w:lineRule="auto"/>
              <w:jc w:val="center"/>
              <w:rPr>
                <w:rFonts w:asciiTheme="minorHAnsi" w:eastAsia="Times New Roman" w:hAnsiTheme="minorHAnsi"/>
                <w:sz w:val="20"/>
                <w:szCs w:val="20"/>
              </w:rPr>
            </w:pPr>
            <w:r w:rsidRPr="00F0379E">
              <w:rPr>
                <w:rFonts w:asciiTheme="minorHAnsi" w:eastAsia="Times New Roman" w:hAnsiTheme="minorHAnsi"/>
                <w:sz w:val="20"/>
                <w:szCs w:val="20"/>
              </w:rPr>
              <w:t>§ 679.41(k)</w:t>
            </w:r>
          </w:p>
        </w:tc>
      </w:tr>
      <w:tr w:rsidR="00A66D7D" w:rsidRPr="00F0379E" w14:paraId="59996C28" w14:textId="77777777" w:rsidTr="00A52443">
        <w:trPr>
          <w:trHeight w:hRule="exact" w:val="346"/>
        </w:trPr>
        <w:tc>
          <w:tcPr>
            <w:tcW w:w="6582" w:type="dxa"/>
            <w:tcBorders>
              <w:top w:val="single" w:sz="5" w:space="0" w:color="000000"/>
              <w:left w:val="single" w:sz="5" w:space="0" w:color="000000"/>
              <w:bottom w:val="single" w:sz="5" w:space="0" w:color="000000"/>
              <w:right w:val="single" w:sz="5" w:space="0" w:color="000000"/>
            </w:tcBorders>
            <w:vAlign w:val="center"/>
          </w:tcPr>
          <w:p w14:paraId="1233005D" w14:textId="133FC4B4" w:rsidR="00A66D7D" w:rsidRPr="00F0379E" w:rsidRDefault="00A66D7D" w:rsidP="00F0379E">
            <w:pPr>
              <w:widowControl w:val="0"/>
              <w:spacing w:after="0" w:line="240" w:lineRule="auto"/>
              <w:jc w:val="center"/>
              <w:rPr>
                <w:rFonts w:asciiTheme="minorHAnsi" w:eastAsia="Times New Roman" w:hAnsiTheme="minorHAnsi"/>
                <w:sz w:val="20"/>
                <w:szCs w:val="20"/>
                <w:highlight w:val="yellow"/>
              </w:rPr>
            </w:pPr>
            <w:r w:rsidRPr="00F0379E">
              <w:rPr>
                <w:rFonts w:asciiTheme="minorHAnsi" w:eastAsia="Times New Roman" w:hAnsiTheme="minorHAnsi"/>
                <w:sz w:val="20"/>
                <w:szCs w:val="20"/>
              </w:rPr>
              <w:t xml:space="preserve">Application for Transfer of QS/IFQ by Self Sweep-up </w:t>
            </w:r>
          </w:p>
        </w:tc>
        <w:tc>
          <w:tcPr>
            <w:tcW w:w="2520" w:type="dxa"/>
            <w:tcBorders>
              <w:top w:val="single" w:sz="5" w:space="0" w:color="000000"/>
              <w:left w:val="single" w:sz="5" w:space="0" w:color="000000"/>
              <w:bottom w:val="single" w:sz="5" w:space="0" w:color="000000"/>
              <w:right w:val="single" w:sz="5" w:space="0" w:color="000000"/>
            </w:tcBorders>
            <w:vAlign w:val="center"/>
          </w:tcPr>
          <w:p w14:paraId="49A1A73B" w14:textId="4ED0745E" w:rsidR="00A66D7D" w:rsidRPr="00F0379E" w:rsidRDefault="00A66D7D" w:rsidP="00A66D7D">
            <w:pPr>
              <w:widowControl w:val="0"/>
              <w:spacing w:after="0" w:line="240" w:lineRule="auto"/>
              <w:jc w:val="center"/>
              <w:rPr>
                <w:rFonts w:asciiTheme="minorHAnsi" w:eastAsia="Times New Roman" w:hAnsiTheme="minorHAnsi"/>
                <w:sz w:val="20"/>
                <w:szCs w:val="20"/>
                <w:highlight w:val="yellow"/>
              </w:rPr>
            </w:pPr>
            <w:r w:rsidRPr="00F0379E">
              <w:rPr>
                <w:rFonts w:asciiTheme="minorHAnsi" w:eastAsia="Times New Roman" w:hAnsiTheme="minorHAnsi"/>
                <w:sz w:val="20"/>
                <w:szCs w:val="20"/>
              </w:rPr>
              <w:t>§ 679.41(b)and (c)</w:t>
            </w:r>
          </w:p>
        </w:tc>
      </w:tr>
      <w:tr w:rsidR="00A66D7D" w:rsidRPr="00F0379E" w14:paraId="68BC9967" w14:textId="77777777" w:rsidTr="00A52443">
        <w:trPr>
          <w:trHeight w:hRule="exact" w:val="346"/>
        </w:trPr>
        <w:tc>
          <w:tcPr>
            <w:tcW w:w="6582" w:type="dxa"/>
            <w:tcBorders>
              <w:top w:val="single" w:sz="5" w:space="0" w:color="000000"/>
              <w:left w:val="single" w:sz="5" w:space="0" w:color="000000"/>
              <w:bottom w:val="single" w:sz="5" w:space="0" w:color="000000"/>
              <w:right w:val="single" w:sz="5" w:space="0" w:color="000000"/>
            </w:tcBorders>
            <w:vAlign w:val="center"/>
          </w:tcPr>
          <w:p w14:paraId="0FB60933" w14:textId="77777777" w:rsidR="00A66D7D" w:rsidRPr="00F0379E" w:rsidRDefault="00A66D7D" w:rsidP="00F0379E">
            <w:pPr>
              <w:widowControl w:val="0"/>
              <w:spacing w:after="0" w:line="240" w:lineRule="auto"/>
              <w:jc w:val="center"/>
              <w:rPr>
                <w:rFonts w:asciiTheme="minorHAnsi" w:eastAsia="Times New Roman" w:hAnsiTheme="minorHAnsi"/>
                <w:sz w:val="20"/>
                <w:szCs w:val="20"/>
              </w:rPr>
            </w:pPr>
            <w:r w:rsidRPr="00F0379E">
              <w:rPr>
                <w:rFonts w:asciiTheme="minorHAnsi" w:eastAsia="Times New Roman" w:hAnsiTheme="minorHAnsi"/>
                <w:sz w:val="20"/>
                <w:szCs w:val="20"/>
              </w:rPr>
              <w:t>Application for Temporary Military Transfer of IFQ</w:t>
            </w:r>
          </w:p>
        </w:tc>
        <w:tc>
          <w:tcPr>
            <w:tcW w:w="2520" w:type="dxa"/>
            <w:tcBorders>
              <w:top w:val="single" w:sz="5" w:space="0" w:color="000000"/>
              <w:left w:val="single" w:sz="5" w:space="0" w:color="000000"/>
              <w:bottom w:val="single" w:sz="5" w:space="0" w:color="000000"/>
              <w:right w:val="single" w:sz="5" w:space="0" w:color="000000"/>
            </w:tcBorders>
            <w:vAlign w:val="center"/>
          </w:tcPr>
          <w:p w14:paraId="558BA16C" w14:textId="77777777" w:rsidR="00A66D7D" w:rsidRPr="00F0379E" w:rsidRDefault="00A66D7D" w:rsidP="00A66D7D">
            <w:pPr>
              <w:widowControl w:val="0"/>
              <w:spacing w:after="0" w:line="240" w:lineRule="auto"/>
              <w:jc w:val="center"/>
              <w:rPr>
                <w:rFonts w:asciiTheme="minorHAnsi" w:eastAsia="Times New Roman" w:hAnsiTheme="minorHAnsi"/>
                <w:sz w:val="20"/>
                <w:szCs w:val="20"/>
              </w:rPr>
            </w:pPr>
            <w:r w:rsidRPr="00F0379E">
              <w:rPr>
                <w:rFonts w:asciiTheme="minorHAnsi" w:eastAsia="Times New Roman" w:hAnsiTheme="minorHAnsi"/>
                <w:sz w:val="20"/>
                <w:szCs w:val="20"/>
              </w:rPr>
              <w:t>§ 679.41(m)</w:t>
            </w:r>
          </w:p>
        </w:tc>
      </w:tr>
      <w:tr w:rsidR="00A66D7D" w:rsidRPr="00F0379E" w14:paraId="632C8648" w14:textId="77777777" w:rsidTr="00A52443">
        <w:trPr>
          <w:trHeight w:hRule="exact" w:val="346"/>
        </w:trPr>
        <w:tc>
          <w:tcPr>
            <w:tcW w:w="6582" w:type="dxa"/>
            <w:tcBorders>
              <w:top w:val="single" w:sz="5" w:space="0" w:color="000000"/>
              <w:left w:val="single" w:sz="5" w:space="0" w:color="000000"/>
              <w:bottom w:val="single" w:sz="5" w:space="0" w:color="000000"/>
              <w:right w:val="single" w:sz="5" w:space="0" w:color="000000"/>
            </w:tcBorders>
            <w:vAlign w:val="center"/>
          </w:tcPr>
          <w:p w14:paraId="2655F736" w14:textId="77777777" w:rsidR="00A66D7D" w:rsidRPr="00F0379E" w:rsidRDefault="00A66D7D" w:rsidP="00F0379E">
            <w:pPr>
              <w:widowControl w:val="0"/>
              <w:spacing w:after="0" w:line="240" w:lineRule="auto"/>
              <w:jc w:val="center"/>
              <w:rPr>
                <w:rFonts w:asciiTheme="minorHAnsi" w:eastAsia="Times New Roman" w:hAnsiTheme="minorHAnsi"/>
                <w:sz w:val="20"/>
                <w:szCs w:val="20"/>
              </w:rPr>
            </w:pPr>
            <w:r w:rsidRPr="00F0379E">
              <w:rPr>
                <w:rFonts w:asciiTheme="minorHAnsi" w:eastAsia="Times New Roman" w:hAnsiTheme="minorHAnsi"/>
                <w:sz w:val="20"/>
                <w:szCs w:val="20"/>
              </w:rPr>
              <w:t>Application for Medical Transfer</w:t>
            </w:r>
          </w:p>
        </w:tc>
        <w:tc>
          <w:tcPr>
            <w:tcW w:w="2520" w:type="dxa"/>
            <w:tcBorders>
              <w:top w:val="single" w:sz="5" w:space="0" w:color="000000"/>
              <w:left w:val="single" w:sz="5" w:space="0" w:color="000000"/>
              <w:bottom w:val="single" w:sz="5" w:space="0" w:color="000000"/>
              <w:right w:val="single" w:sz="5" w:space="0" w:color="000000"/>
            </w:tcBorders>
            <w:vAlign w:val="center"/>
          </w:tcPr>
          <w:p w14:paraId="4AF99095" w14:textId="77777777" w:rsidR="00A66D7D" w:rsidRPr="00F0379E" w:rsidRDefault="00A66D7D" w:rsidP="00A66D7D">
            <w:pPr>
              <w:widowControl w:val="0"/>
              <w:spacing w:after="0" w:line="240" w:lineRule="auto"/>
              <w:jc w:val="center"/>
              <w:rPr>
                <w:rFonts w:asciiTheme="minorHAnsi" w:eastAsia="Times New Roman" w:hAnsiTheme="minorHAnsi"/>
                <w:sz w:val="20"/>
                <w:szCs w:val="20"/>
              </w:rPr>
            </w:pPr>
            <w:r w:rsidRPr="00F0379E">
              <w:rPr>
                <w:rFonts w:asciiTheme="minorHAnsi" w:eastAsia="Times New Roman" w:hAnsiTheme="minorHAnsi"/>
                <w:sz w:val="20"/>
                <w:szCs w:val="20"/>
              </w:rPr>
              <w:t>§ 679.42(d)(2)</w:t>
            </w:r>
          </w:p>
        </w:tc>
      </w:tr>
      <w:tr w:rsidR="00A66D7D" w:rsidRPr="00F0379E" w14:paraId="69F437F3" w14:textId="77777777" w:rsidTr="00A52443">
        <w:trPr>
          <w:trHeight w:hRule="exact" w:val="346"/>
        </w:trPr>
        <w:tc>
          <w:tcPr>
            <w:tcW w:w="6582" w:type="dxa"/>
            <w:tcBorders>
              <w:top w:val="single" w:sz="5" w:space="0" w:color="000000"/>
              <w:left w:val="single" w:sz="5" w:space="0" w:color="000000"/>
              <w:bottom w:val="single" w:sz="5" w:space="0" w:color="000000"/>
              <w:right w:val="single" w:sz="5" w:space="0" w:color="000000"/>
            </w:tcBorders>
            <w:vAlign w:val="center"/>
          </w:tcPr>
          <w:p w14:paraId="3E287669" w14:textId="77777777" w:rsidR="00A66D7D" w:rsidRPr="00F0379E" w:rsidRDefault="00A66D7D" w:rsidP="00F0379E">
            <w:pPr>
              <w:widowControl w:val="0"/>
              <w:spacing w:after="0" w:line="240" w:lineRule="auto"/>
              <w:jc w:val="center"/>
              <w:rPr>
                <w:rFonts w:asciiTheme="minorHAnsi" w:hAnsiTheme="minorHAnsi"/>
                <w:sz w:val="20"/>
                <w:szCs w:val="20"/>
              </w:rPr>
            </w:pPr>
            <w:r w:rsidRPr="00F0379E">
              <w:rPr>
                <w:rFonts w:asciiTheme="minorHAnsi" w:hAnsiTheme="minorHAnsi"/>
                <w:sz w:val="20"/>
                <w:szCs w:val="20"/>
              </w:rPr>
              <w:t>Application for Replacement of Certificates or Permits</w:t>
            </w:r>
          </w:p>
        </w:tc>
        <w:tc>
          <w:tcPr>
            <w:tcW w:w="2520" w:type="dxa"/>
            <w:tcBorders>
              <w:top w:val="single" w:sz="5" w:space="0" w:color="000000"/>
              <w:left w:val="single" w:sz="5" w:space="0" w:color="000000"/>
              <w:bottom w:val="single" w:sz="5" w:space="0" w:color="000000"/>
              <w:right w:val="single" w:sz="5" w:space="0" w:color="000000"/>
            </w:tcBorders>
            <w:vAlign w:val="center"/>
          </w:tcPr>
          <w:p w14:paraId="31537675" w14:textId="77777777" w:rsidR="00A66D7D" w:rsidRPr="00F0379E" w:rsidRDefault="00A66D7D" w:rsidP="00A66D7D">
            <w:pPr>
              <w:widowControl w:val="0"/>
              <w:spacing w:after="0" w:line="240" w:lineRule="auto"/>
              <w:jc w:val="center"/>
              <w:rPr>
                <w:rFonts w:asciiTheme="minorHAnsi" w:hAnsiTheme="minorHAnsi"/>
                <w:sz w:val="20"/>
                <w:szCs w:val="20"/>
              </w:rPr>
            </w:pPr>
            <w:r w:rsidRPr="00F0379E">
              <w:rPr>
                <w:rFonts w:asciiTheme="minorHAnsi" w:hAnsiTheme="minorHAnsi"/>
                <w:sz w:val="20"/>
                <w:szCs w:val="20"/>
              </w:rPr>
              <w:t>§ 679.4</w:t>
            </w:r>
          </w:p>
        </w:tc>
      </w:tr>
      <w:tr w:rsidR="00A66D7D" w:rsidRPr="00F0379E" w14:paraId="715C269B" w14:textId="77777777" w:rsidTr="00A52443">
        <w:trPr>
          <w:trHeight w:hRule="exact" w:val="346"/>
        </w:trPr>
        <w:tc>
          <w:tcPr>
            <w:tcW w:w="6582" w:type="dxa"/>
            <w:tcBorders>
              <w:top w:val="single" w:sz="5" w:space="0" w:color="000000"/>
              <w:left w:val="single" w:sz="5" w:space="0" w:color="000000"/>
              <w:bottom w:val="single" w:sz="5" w:space="0" w:color="000000"/>
              <w:right w:val="single" w:sz="5" w:space="0" w:color="000000"/>
            </w:tcBorders>
            <w:vAlign w:val="center"/>
          </w:tcPr>
          <w:p w14:paraId="59135020" w14:textId="77777777" w:rsidR="00A66D7D" w:rsidRPr="00F0379E" w:rsidRDefault="00A66D7D" w:rsidP="00F0379E">
            <w:pPr>
              <w:widowControl w:val="0"/>
              <w:spacing w:after="0" w:line="240" w:lineRule="auto"/>
              <w:jc w:val="center"/>
              <w:rPr>
                <w:rFonts w:asciiTheme="minorHAnsi" w:hAnsiTheme="minorHAnsi"/>
                <w:sz w:val="20"/>
                <w:szCs w:val="20"/>
              </w:rPr>
            </w:pPr>
            <w:r w:rsidRPr="00F0379E">
              <w:rPr>
                <w:rFonts w:asciiTheme="minorHAnsi" w:hAnsiTheme="minorHAnsi"/>
                <w:sz w:val="20"/>
                <w:szCs w:val="20"/>
              </w:rPr>
              <w:t>Registered Buyer Landing Report</w:t>
            </w:r>
          </w:p>
        </w:tc>
        <w:tc>
          <w:tcPr>
            <w:tcW w:w="2520" w:type="dxa"/>
            <w:tcBorders>
              <w:top w:val="single" w:sz="5" w:space="0" w:color="000000"/>
              <w:left w:val="single" w:sz="5" w:space="0" w:color="000000"/>
              <w:bottom w:val="single" w:sz="5" w:space="0" w:color="000000"/>
              <w:right w:val="single" w:sz="5" w:space="0" w:color="000000"/>
            </w:tcBorders>
            <w:vAlign w:val="center"/>
          </w:tcPr>
          <w:p w14:paraId="54F5B636" w14:textId="77777777" w:rsidR="00A66D7D" w:rsidRPr="00F0379E" w:rsidRDefault="00A66D7D" w:rsidP="00A66D7D">
            <w:pPr>
              <w:widowControl w:val="0"/>
              <w:spacing w:after="0" w:line="240" w:lineRule="auto"/>
              <w:jc w:val="center"/>
              <w:rPr>
                <w:rFonts w:asciiTheme="minorHAnsi" w:hAnsiTheme="minorHAnsi"/>
                <w:sz w:val="20"/>
                <w:szCs w:val="20"/>
              </w:rPr>
            </w:pPr>
            <w:r w:rsidRPr="00F0379E">
              <w:rPr>
                <w:rFonts w:asciiTheme="minorHAnsi" w:hAnsiTheme="minorHAnsi"/>
                <w:sz w:val="20"/>
                <w:szCs w:val="20"/>
              </w:rPr>
              <w:t>§ 679.5(e)(7)</w:t>
            </w:r>
          </w:p>
        </w:tc>
      </w:tr>
      <w:tr w:rsidR="00A66D7D" w:rsidRPr="00F0379E" w14:paraId="2D9B9F7D" w14:textId="77777777" w:rsidTr="00A52443">
        <w:trPr>
          <w:trHeight w:hRule="exact" w:val="346"/>
        </w:trPr>
        <w:tc>
          <w:tcPr>
            <w:tcW w:w="6582" w:type="dxa"/>
            <w:tcBorders>
              <w:top w:val="single" w:sz="5" w:space="0" w:color="000000"/>
              <w:left w:val="single" w:sz="5" w:space="0" w:color="000000"/>
              <w:bottom w:val="single" w:sz="5" w:space="0" w:color="000000"/>
              <w:right w:val="single" w:sz="5" w:space="0" w:color="000000"/>
            </w:tcBorders>
            <w:vAlign w:val="center"/>
          </w:tcPr>
          <w:p w14:paraId="77420536" w14:textId="77777777" w:rsidR="00A66D7D" w:rsidRPr="00F0379E" w:rsidRDefault="00A66D7D" w:rsidP="00F0379E">
            <w:pPr>
              <w:widowControl w:val="0"/>
              <w:spacing w:after="0" w:line="240" w:lineRule="auto"/>
              <w:jc w:val="center"/>
              <w:rPr>
                <w:rFonts w:asciiTheme="minorHAnsi" w:hAnsiTheme="minorHAnsi"/>
                <w:sz w:val="20"/>
                <w:szCs w:val="20"/>
              </w:rPr>
            </w:pPr>
            <w:r w:rsidRPr="00F0379E">
              <w:rPr>
                <w:rFonts w:asciiTheme="minorHAnsi" w:hAnsiTheme="minorHAnsi"/>
                <w:sz w:val="20"/>
                <w:szCs w:val="20"/>
              </w:rPr>
              <w:t>IFQ Administrative Waiver</w:t>
            </w:r>
          </w:p>
        </w:tc>
        <w:tc>
          <w:tcPr>
            <w:tcW w:w="2520" w:type="dxa"/>
            <w:tcBorders>
              <w:top w:val="single" w:sz="5" w:space="0" w:color="000000"/>
              <w:left w:val="single" w:sz="5" w:space="0" w:color="000000"/>
              <w:bottom w:val="single" w:sz="5" w:space="0" w:color="000000"/>
              <w:right w:val="single" w:sz="5" w:space="0" w:color="000000"/>
            </w:tcBorders>
            <w:vAlign w:val="center"/>
          </w:tcPr>
          <w:p w14:paraId="3ACEE107" w14:textId="77777777" w:rsidR="00A66D7D" w:rsidRPr="00F0379E" w:rsidRDefault="00A66D7D" w:rsidP="00A66D7D">
            <w:pPr>
              <w:widowControl w:val="0"/>
              <w:spacing w:after="0" w:line="240" w:lineRule="auto"/>
              <w:jc w:val="center"/>
              <w:rPr>
                <w:rFonts w:asciiTheme="minorHAnsi" w:hAnsiTheme="minorHAnsi"/>
                <w:sz w:val="20"/>
                <w:szCs w:val="20"/>
              </w:rPr>
            </w:pPr>
            <w:r w:rsidRPr="00F0379E">
              <w:rPr>
                <w:rFonts w:asciiTheme="minorHAnsi" w:hAnsiTheme="minorHAnsi"/>
                <w:sz w:val="20"/>
                <w:szCs w:val="20"/>
              </w:rPr>
              <w:t>§ 679.5</w:t>
            </w:r>
          </w:p>
        </w:tc>
      </w:tr>
      <w:tr w:rsidR="00A66D7D" w:rsidRPr="00F0379E" w14:paraId="6821B1F8" w14:textId="77777777" w:rsidTr="00A52443">
        <w:trPr>
          <w:trHeight w:hRule="exact" w:val="346"/>
        </w:trPr>
        <w:tc>
          <w:tcPr>
            <w:tcW w:w="6582" w:type="dxa"/>
            <w:tcBorders>
              <w:top w:val="single" w:sz="5" w:space="0" w:color="000000"/>
              <w:left w:val="single" w:sz="5" w:space="0" w:color="000000"/>
              <w:bottom w:val="single" w:sz="5" w:space="0" w:color="000000"/>
              <w:right w:val="single" w:sz="5" w:space="0" w:color="000000"/>
            </w:tcBorders>
            <w:vAlign w:val="center"/>
          </w:tcPr>
          <w:p w14:paraId="46423F00" w14:textId="77777777" w:rsidR="00A66D7D" w:rsidRPr="00F0379E" w:rsidRDefault="00A66D7D" w:rsidP="00F0379E">
            <w:pPr>
              <w:widowControl w:val="0"/>
              <w:spacing w:after="0" w:line="240" w:lineRule="auto"/>
              <w:jc w:val="center"/>
              <w:rPr>
                <w:rFonts w:asciiTheme="minorHAnsi" w:hAnsiTheme="minorHAnsi"/>
                <w:sz w:val="20"/>
                <w:szCs w:val="20"/>
              </w:rPr>
            </w:pPr>
            <w:r w:rsidRPr="00F0379E">
              <w:rPr>
                <w:rFonts w:asciiTheme="minorHAnsi" w:hAnsiTheme="minorHAnsi"/>
                <w:sz w:val="20"/>
                <w:szCs w:val="20"/>
              </w:rPr>
              <w:t>Prior Notice of Landing</w:t>
            </w:r>
          </w:p>
        </w:tc>
        <w:tc>
          <w:tcPr>
            <w:tcW w:w="2520" w:type="dxa"/>
            <w:tcBorders>
              <w:top w:val="single" w:sz="5" w:space="0" w:color="000000"/>
              <w:left w:val="single" w:sz="5" w:space="0" w:color="000000"/>
              <w:bottom w:val="single" w:sz="5" w:space="0" w:color="000000"/>
              <w:right w:val="single" w:sz="5" w:space="0" w:color="000000"/>
            </w:tcBorders>
            <w:vAlign w:val="center"/>
          </w:tcPr>
          <w:p w14:paraId="7677AC80" w14:textId="77777777" w:rsidR="00A66D7D" w:rsidRPr="00F0379E" w:rsidRDefault="00A66D7D" w:rsidP="00A66D7D">
            <w:pPr>
              <w:widowControl w:val="0"/>
              <w:spacing w:after="0" w:line="240" w:lineRule="auto"/>
              <w:jc w:val="center"/>
              <w:rPr>
                <w:rFonts w:asciiTheme="minorHAnsi" w:hAnsiTheme="minorHAnsi"/>
                <w:sz w:val="20"/>
                <w:szCs w:val="20"/>
              </w:rPr>
            </w:pPr>
            <w:r w:rsidRPr="00F0379E">
              <w:rPr>
                <w:rFonts w:asciiTheme="minorHAnsi" w:hAnsiTheme="minorHAnsi"/>
                <w:sz w:val="20"/>
                <w:szCs w:val="20"/>
              </w:rPr>
              <w:t>§ 679.5(l)(1)</w:t>
            </w:r>
          </w:p>
        </w:tc>
      </w:tr>
      <w:tr w:rsidR="00A66D7D" w:rsidRPr="00F0379E" w14:paraId="0E7894F0" w14:textId="77777777" w:rsidTr="00A52443">
        <w:trPr>
          <w:trHeight w:hRule="exact" w:val="346"/>
        </w:trPr>
        <w:tc>
          <w:tcPr>
            <w:tcW w:w="6582" w:type="dxa"/>
            <w:tcBorders>
              <w:top w:val="single" w:sz="5" w:space="0" w:color="000000"/>
              <w:left w:val="single" w:sz="5" w:space="0" w:color="000000"/>
              <w:bottom w:val="single" w:sz="5" w:space="0" w:color="000000"/>
              <w:right w:val="single" w:sz="5" w:space="0" w:color="000000"/>
            </w:tcBorders>
            <w:vAlign w:val="center"/>
          </w:tcPr>
          <w:p w14:paraId="6FB56084" w14:textId="77777777" w:rsidR="00A66D7D" w:rsidRPr="00F0379E" w:rsidRDefault="00A66D7D" w:rsidP="00F0379E">
            <w:pPr>
              <w:widowControl w:val="0"/>
              <w:spacing w:after="0" w:line="240" w:lineRule="auto"/>
              <w:jc w:val="center"/>
              <w:rPr>
                <w:rFonts w:asciiTheme="minorHAnsi" w:hAnsiTheme="minorHAnsi"/>
                <w:sz w:val="20"/>
                <w:szCs w:val="20"/>
              </w:rPr>
            </w:pPr>
            <w:r w:rsidRPr="00F0379E">
              <w:rPr>
                <w:rFonts w:asciiTheme="minorHAnsi" w:hAnsiTheme="minorHAnsi"/>
                <w:sz w:val="20"/>
                <w:szCs w:val="20"/>
              </w:rPr>
              <w:t>IFQ Departure Report</w:t>
            </w:r>
          </w:p>
        </w:tc>
        <w:tc>
          <w:tcPr>
            <w:tcW w:w="2520" w:type="dxa"/>
            <w:tcBorders>
              <w:top w:val="single" w:sz="5" w:space="0" w:color="000000"/>
              <w:left w:val="single" w:sz="5" w:space="0" w:color="000000"/>
              <w:bottom w:val="single" w:sz="5" w:space="0" w:color="000000"/>
              <w:right w:val="single" w:sz="5" w:space="0" w:color="000000"/>
            </w:tcBorders>
            <w:vAlign w:val="center"/>
          </w:tcPr>
          <w:p w14:paraId="1C449799" w14:textId="77777777" w:rsidR="00A66D7D" w:rsidRPr="00F0379E" w:rsidRDefault="00A66D7D" w:rsidP="00A66D7D">
            <w:pPr>
              <w:widowControl w:val="0"/>
              <w:spacing w:after="0" w:line="240" w:lineRule="auto"/>
              <w:jc w:val="center"/>
              <w:rPr>
                <w:rFonts w:asciiTheme="minorHAnsi" w:hAnsiTheme="minorHAnsi"/>
                <w:sz w:val="20"/>
                <w:szCs w:val="20"/>
              </w:rPr>
            </w:pPr>
            <w:r w:rsidRPr="00F0379E">
              <w:rPr>
                <w:rFonts w:asciiTheme="minorHAnsi" w:hAnsiTheme="minorHAnsi"/>
                <w:sz w:val="20"/>
                <w:szCs w:val="20"/>
              </w:rPr>
              <w:t>§ 679.5(l)(4)</w:t>
            </w:r>
          </w:p>
        </w:tc>
      </w:tr>
      <w:tr w:rsidR="00A66D7D" w:rsidRPr="00F0379E" w14:paraId="7AC86335" w14:textId="77777777" w:rsidTr="00A52443">
        <w:trPr>
          <w:trHeight w:hRule="exact" w:val="346"/>
        </w:trPr>
        <w:tc>
          <w:tcPr>
            <w:tcW w:w="6582" w:type="dxa"/>
            <w:tcBorders>
              <w:top w:val="single" w:sz="5" w:space="0" w:color="000000"/>
              <w:left w:val="single" w:sz="5" w:space="0" w:color="000000"/>
              <w:bottom w:val="single" w:sz="5" w:space="0" w:color="000000"/>
              <w:right w:val="single" w:sz="5" w:space="0" w:color="000000"/>
            </w:tcBorders>
            <w:vAlign w:val="center"/>
          </w:tcPr>
          <w:p w14:paraId="42F6722F" w14:textId="77777777" w:rsidR="00A66D7D" w:rsidRPr="00F0379E" w:rsidRDefault="00A66D7D" w:rsidP="00F0379E">
            <w:pPr>
              <w:widowControl w:val="0"/>
              <w:spacing w:after="0" w:line="240" w:lineRule="auto"/>
              <w:jc w:val="center"/>
              <w:rPr>
                <w:rFonts w:asciiTheme="minorHAnsi" w:hAnsiTheme="minorHAnsi"/>
                <w:sz w:val="20"/>
                <w:szCs w:val="20"/>
              </w:rPr>
            </w:pPr>
            <w:r w:rsidRPr="00F0379E">
              <w:rPr>
                <w:rFonts w:asciiTheme="minorHAnsi" w:hAnsiTheme="minorHAnsi"/>
                <w:sz w:val="20"/>
                <w:szCs w:val="20"/>
              </w:rPr>
              <w:t>Transshipment Authorization</w:t>
            </w:r>
          </w:p>
        </w:tc>
        <w:tc>
          <w:tcPr>
            <w:tcW w:w="2520" w:type="dxa"/>
            <w:tcBorders>
              <w:top w:val="single" w:sz="5" w:space="0" w:color="000000"/>
              <w:left w:val="single" w:sz="5" w:space="0" w:color="000000"/>
              <w:bottom w:val="single" w:sz="5" w:space="0" w:color="000000"/>
              <w:right w:val="single" w:sz="5" w:space="0" w:color="000000"/>
            </w:tcBorders>
            <w:vAlign w:val="center"/>
          </w:tcPr>
          <w:p w14:paraId="03875B5B" w14:textId="77777777" w:rsidR="00A66D7D" w:rsidRPr="00F0379E" w:rsidRDefault="00A66D7D" w:rsidP="00A66D7D">
            <w:pPr>
              <w:widowControl w:val="0"/>
              <w:spacing w:after="0" w:line="240" w:lineRule="auto"/>
              <w:jc w:val="center"/>
              <w:rPr>
                <w:rFonts w:asciiTheme="minorHAnsi" w:hAnsiTheme="minorHAnsi"/>
                <w:sz w:val="20"/>
                <w:szCs w:val="20"/>
              </w:rPr>
            </w:pPr>
            <w:r w:rsidRPr="00F0379E">
              <w:rPr>
                <w:rFonts w:asciiTheme="minorHAnsi" w:hAnsiTheme="minorHAnsi"/>
                <w:sz w:val="20"/>
                <w:szCs w:val="20"/>
              </w:rPr>
              <w:t xml:space="preserve"> § 679.5(l)(3)</w:t>
            </w:r>
          </w:p>
        </w:tc>
      </w:tr>
      <w:tr w:rsidR="00A66D7D" w:rsidRPr="00F0379E" w14:paraId="011A68F1" w14:textId="77777777" w:rsidTr="00A52443">
        <w:trPr>
          <w:trHeight w:hRule="exact" w:val="346"/>
        </w:trPr>
        <w:tc>
          <w:tcPr>
            <w:tcW w:w="6582" w:type="dxa"/>
            <w:tcBorders>
              <w:top w:val="single" w:sz="5" w:space="0" w:color="000000"/>
              <w:left w:val="single" w:sz="5" w:space="0" w:color="000000"/>
              <w:bottom w:val="single" w:sz="5" w:space="0" w:color="000000"/>
              <w:right w:val="single" w:sz="5" w:space="0" w:color="000000"/>
            </w:tcBorders>
            <w:vAlign w:val="center"/>
          </w:tcPr>
          <w:p w14:paraId="7492EE73" w14:textId="77777777" w:rsidR="00A66D7D" w:rsidRPr="00F0379E" w:rsidRDefault="00A66D7D" w:rsidP="00982651">
            <w:pPr>
              <w:widowControl w:val="0"/>
              <w:spacing w:after="0" w:line="240" w:lineRule="auto"/>
              <w:jc w:val="center"/>
              <w:rPr>
                <w:rFonts w:asciiTheme="minorHAnsi" w:hAnsiTheme="minorHAnsi"/>
                <w:sz w:val="20"/>
                <w:szCs w:val="20"/>
              </w:rPr>
            </w:pPr>
            <w:r w:rsidRPr="00F0379E">
              <w:rPr>
                <w:rFonts w:asciiTheme="minorHAnsi" w:hAnsiTheme="minorHAnsi"/>
                <w:sz w:val="20"/>
                <w:szCs w:val="20"/>
              </w:rPr>
              <w:t>Dockside sales</w:t>
            </w:r>
          </w:p>
        </w:tc>
        <w:tc>
          <w:tcPr>
            <w:tcW w:w="2520" w:type="dxa"/>
            <w:tcBorders>
              <w:top w:val="single" w:sz="5" w:space="0" w:color="000000"/>
              <w:left w:val="single" w:sz="5" w:space="0" w:color="000000"/>
              <w:bottom w:val="single" w:sz="5" w:space="0" w:color="000000"/>
              <w:right w:val="single" w:sz="5" w:space="0" w:color="000000"/>
            </w:tcBorders>
            <w:vAlign w:val="center"/>
          </w:tcPr>
          <w:p w14:paraId="43D297E8" w14:textId="77777777" w:rsidR="00A66D7D" w:rsidRPr="00F0379E" w:rsidRDefault="00A66D7D" w:rsidP="00A66D7D">
            <w:pPr>
              <w:widowControl w:val="0"/>
              <w:spacing w:after="0" w:line="240" w:lineRule="auto"/>
              <w:jc w:val="center"/>
              <w:rPr>
                <w:rFonts w:asciiTheme="minorHAnsi" w:hAnsiTheme="minorHAnsi"/>
                <w:sz w:val="20"/>
                <w:szCs w:val="20"/>
              </w:rPr>
            </w:pPr>
            <w:r w:rsidRPr="00F0379E">
              <w:rPr>
                <w:rFonts w:asciiTheme="minorHAnsi" w:hAnsiTheme="minorHAnsi"/>
                <w:sz w:val="20"/>
                <w:szCs w:val="20"/>
              </w:rPr>
              <w:t>§ 679.5(g)(2)(iv)</w:t>
            </w:r>
          </w:p>
        </w:tc>
      </w:tr>
    </w:tbl>
    <w:p w14:paraId="33147E42" w14:textId="77777777" w:rsidR="00C6781C" w:rsidRPr="00C6781C" w:rsidRDefault="00C6781C" w:rsidP="004C3099">
      <w:pPr>
        <w:widowControl w:val="0"/>
        <w:spacing w:after="0" w:line="240" w:lineRule="auto"/>
        <w:rPr>
          <w:rFonts w:ascii="Times New Roman" w:eastAsia="Times New Roman" w:hAnsi="Times New Roman"/>
          <w:sz w:val="24"/>
          <w:szCs w:val="24"/>
        </w:rPr>
      </w:pPr>
      <w:r w:rsidRPr="00C6781C">
        <w:rPr>
          <w:rFonts w:ascii="Times New Roman" w:eastAsia="Times New Roman" w:hAnsi="Times New Roman"/>
          <w:sz w:val="24"/>
          <w:szCs w:val="24"/>
        </w:rPr>
        <w:t xml:space="preserve"> </w:t>
      </w:r>
    </w:p>
    <w:p w14:paraId="1B2BA215" w14:textId="7F874893" w:rsidR="000D38BB" w:rsidRDefault="00681116" w:rsidP="000D38BB">
      <w:pPr>
        <w:widowControl w:val="0"/>
        <w:spacing w:after="0" w:line="240" w:lineRule="auto"/>
        <w:rPr>
          <w:rFonts w:ascii="Times New Roman" w:eastAsia="Times New Roman" w:hAnsi="Times New Roman"/>
          <w:sz w:val="24"/>
          <w:szCs w:val="24"/>
        </w:rPr>
      </w:pPr>
      <w:r w:rsidRPr="006624A4">
        <w:rPr>
          <w:rFonts w:ascii="Times New Roman" w:eastAsia="Times New Roman" w:hAnsi="Times New Roman"/>
          <w:sz w:val="24"/>
          <w:szCs w:val="24"/>
        </w:rPr>
        <w:t xml:space="preserve">The table below shows the estimates for the </w:t>
      </w:r>
      <w:r w:rsidR="000D38BB">
        <w:rPr>
          <w:rFonts w:ascii="Times New Roman" w:eastAsia="Times New Roman" w:hAnsi="Times New Roman"/>
          <w:sz w:val="24"/>
          <w:szCs w:val="24"/>
        </w:rPr>
        <w:t xml:space="preserve">Application for Transfer of </w:t>
      </w:r>
      <w:r w:rsidR="000D38BB" w:rsidRPr="006624A4">
        <w:rPr>
          <w:rFonts w:ascii="Times New Roman" w:eastAsia="Times New Roman" w:hAnsi="Times New Roman"/>
          <w:sz w:val="24"/>
          <w:szCs w:val="24"/>
        </w:rPr>
        <w:t xml:space="preserve">QS </w:t>
      </w:r>
      <w:r w:rsidR="000D38BB">
        <w:rPr>
          <w:rFonts w:ascii="Times New Roman" w:eastAsia="Times New Roman" w:hAnsi="Times New Roman"/>
          <w:sz w:val="24"/>
          <w:szCs w:val="24"/>
        </w:rPr>
        <w:t xml:space="preserve">and the </w:t>
      </w:r>
      <w:r w:rsidR="0008633D" w:rsidRPr="006624A4">
        <w:rPr>
          <w:rFonts w:ascii="Times New Roman" w:eastAsia="Times New Roman" w:hAnsi="Times New Roman"/>
          <w:sz w:val="24"/>
          <w:szCs w:val="24"/>
        </w:rPr>
        <w:t>elements from 0</w:t>
      </w:r>
      <w:r w:rsidR="006624A4">
        <w:rPr>
          <w:rFonts w:ascii="Times New Roman" w:eastAsia="Times New Roman" w:hAnsi="Times New Roman"/>
          <w:sz w:val="24"/>
          <w:szCs w:val="24"/>
        </w:rPr>
        <w:t>758 and 0</w:t>
      </w:r>
      <w:r w:rsidR="0008633D" w:rsidRPr="006624A4">
        <w:rPr>
          <w:rFonts w:ascii="Times New Roman" w:eastAsia="Times New Roman" w:hAnsi="Times New Roman"/>
          <w:sz w:val="24"/>
          <w:szCs w:val="24"/>
        </w:rPr>
        <w:t xml:space="preserve">764 that </w:t>
      </w:r>
      <w:r w:rsidR="00025E9C">
        <w:rPr>
          <w:rFonts w:ascii="Times New Roman" w:eastAsia="Times New Roman" w:hAnsi="Times New Roman"/>
          <w:sz w:val="24"/>
          <w:szCs w:val="24"/>
        </w:rPr>
        <w:t>will</w:t>
      </w:r>
      <w:r w:rsidR="006624A4">
        <w:rPr>
          <w:rFonts w:ascii="Times New Roman" w:eastAsia="Times New Roman" w:hAnsi="Times New Roman"/>
          <w:sz w:val="24"/>
          <w:szCs w:val="24"/>
        </w:rPr>
        <w:t xml:space="preserve"> be</w:t>
      </w:r>
      <w:r w:rsidR="000D38BB">
        <w:rPr>
          <w:rFonts w:ascii="Times New Roman" w:eastAsia="Times New Roman" w:hAnsi="Times New Roman"/>
          <w:sz w:val="24"/>
          <w:szCs w:val="24"/>
        </w:rPr>
        <w:t xml:space="preserve"> merged into 0272. It also includes </w:t>
      </w:r>
      <w:r w:rsidR="0008633D" w:rsidRPr="006624A4">
        <w:rPr>
          <w:rFonts w:ascii="Times New Roman" w:eastAsia="Times New Roman" w:hAnsi="Times New Roman"/>
          <w:sz w:val="24"/>
          <w:szCs w:val="24"/>
        </w:rPr>
        <w:t xml:space="preserve">the Application for Transfer of QS/IFQ by Self Sweep-up. No changes have been made to the sweep-up application, but </w:t>
      </w:r>
      <w:r w:rsidR="000D38BB">
        <w:rPr>
          <w:rFonts w:ascii="Times New Roman" w:eastAsia="Times New Roman" w:hAnsi="Times New Roman"/>
          <w:sz w:val="24"/>
          <w:szCs w:val="24"/>
        </w:rPr>
        <w:t xml:space="preserve">in previous reviews of 0272 </w:t>
      </w:r>
      <w:r w:rsidR="0008633D" w:rsidRPr="006624A4">
        <w:rPr>
          <w:rFonts w:ascii="Times New Roman" w:eastAsia="Times New Roman" w:hAnsi="Times New Roman"/>
          <w:sz w:val="24"/>
          <w:szCs w:val="24"/>
        </w:rPr>
        <w:t xml:space="preserve">its estimates were combined with </w:t>
      </w:r>
      <w:r w:rsidR="000D38BB">
        <w:rPr>
          <w:rFonts w:ascii="Times New Roman" w:eastAsia="Times New Roman" w:hAnsi="Times New Roman"/>
          <w:sz w:val="24"/>
          <w:szCs w:val="24"/>
        </w:rPr>
        <w:t xml:space="preserve">those of </w:t>
      </w:r>
      <w:r w:rsidR="0008633D" w:rsidRPr="006624A4">
        <w:rPr>
          <w:rFonts w:ascii="Times New Roman" w:eastAsia="Times New Roman" w:hAnsi="Times New Roman"/>
          <w:sz w:val="24"/>
          <w:szCs w:val="24"/>
        </w:rPr>
        <w:t xml:space="preserve">the </w:t>
      </w:r>
      <w:r w:rsidR="000D38BB" w:rsidRPr="000D38BB">
        <w:rPr>
          <w:rFonts w:ascii="Times New Roman" w:eastAsia="Times New Roman" w:hAnsi="Times New Roman"/>
          <w:sz w:val="24"/>
          <w:szCs w:val="24"/>
        </w:rPr>
        <w:t>Application for Transfer of QS/IFQ</w:t>
      </w:r>
      <w:r w:rsidR="000D38BB">
        <w:rPr>
          <w:rFonts w:ascii="Times New Roman" w:eastAsia="Times New Roman" w:hAnsi="Times New Roman"/>
          <w:sz w:val="24"/>
          <w:szCs w:val="24"/>
        </w:rPr>
        <w:t xml:space="preserve">, </w:t>
      </w:r>
      <w:r w:rsidR="00B50DB8">
        <w:rPr>
          <w:rFonts w:ascii="Times New Roman" w:eastAsia="Times New Roman" w:hAnsi="Times New Roman"/>
          <w:sz w:val="24"/>
          <w:szCs w:val="24"/>
        </w:rPr>
        <w:t>which is being removed</w:t>
      </w:r>
      <w:r w:rsidR="000D38BB">
        <w:rPr>
          <w:rFonts w:ascii="Times New Roman" w:eastAsia="Times New Roman" w:hAnsi="Times New Roman"/>
          <w:sz w:val="24"/>
          <w:szCs w:val="24"/>
        </w:rPr>
        <w:t>.</w:t>
      </w:r>
      <w:r w:rsidR="000D38BB" w:rsidRPr="000D38BB">
        <w:rPr>
          <w:rFonts w:ascii="Times New Roman" w:eastAsia="Times New Roman" w:hAnsi="Times New Roman"/>
          <w:sz w:val="24"/>
          <w:szCs w:val="24"/>
        </w:rPr>
        <w:t xml:space="preserve"> </w:t>
      </w:r>
      <w:r w:rsidR="000D38BB" w:rsidRPr="006624A4">
        <w:rPr>
          <w:rFonts w:ascii="Times New Roman" w:eastAsia="Times New Roman" w:hAnsi="Times New Roman"/>
          <w:sz w:val="24"/>
          <w:szCs w:val="24"/>
        </w:rPr>
        <w:t>Therefore</w:t>
      </w:r>
      <w:r w:rsidR="000D38BB">
        <w:rPr>
          <w:rFonts w:ascii="Times New Roman" w:eastAsia="Times New Roman" w:hAnsi="Times New Roman"/>
          <w:sz w:val="24"/>
          <w:szCs w:val="24"/>
        </w:rPr>
        <w:t>,</w:t>
      </w:r>
      <w:r w:rsidR="000D38BB" w:rsidRPr="006624A4">
        <w:rPr>
          <w:rFonts w:ascii="Times New Roman" w:eastAsia="Times New Roman" w:hAnsi="Times New Roman"/>
          <w:sz w:val="24"/>
          <w:szCs w:val="24"/>
        </w:rPr>
        <w:t xml:space="preserve"> after approval of this change request, it will be reported </w:t>
      </w:r>
      <w:r w:rsidR="000D38BB">
        <w:rPr>
          <w:rFonts w:ascii="Times New Roman" w:eastAsia="Times New Roman" w:hAnsi="Times New Roman"/>
          <w:sz w:val="24"/>
          <w:szCs w:val="24"/>
        </w:rPr>
        <w:t>individually</w:t>
      </w:r>
      <w:r w:rsidR="000D38BB" w:rsidRPr="006624A4">
        <w:rPr>
          <w:rFonts w:ascii="Times New Roman" w:eastAsia="Times New Roman" w:hAnsi="Times New Roman"/>
          <w:sz w:val="24"/>
          <w:szCs w:val="24"/>
        </w:rPr>
        <w:t xml:space="preserve">. </w:t>
      </w:r>
    </w:p>
    <w:p w14:paraId="50745245" w14:textId="75B6A086" w:rsidR="000D38BB" w:rsidRDefault="000D38BB" w:rsidP="003B37AC">
      <w:pPr>
        <w:widowControl w:val="0"/>
        <w:spacing w:after="0" w:line="240" w:lineRule="auto"/>
        <w:rPr>
          <w:rFonts w:ascii="Times New Roman" w:eastAsia="Times New Roman" w:hAnsi="Times New Roman"/>
          <w:sz w:val="24"/>
          <w:szCs w:val="24"/>
        </w:rPr>
      </w:pPr>
    </w:p>
    <w:tbl>
      <w:tblPr>
        <w:tblStyle w:val="TableGrid"/>
        <w:tblW w:w="0" w:type="auto"/>
        <w:tblLayout w:type="fixed"/>
        <w:tblLook w:val="04A0" w:firstRow="1" w:lastRow="0" w:firstColumn="1" w:lastColumn="0" w:noHBand="0" w:noVBand="1"/>
      </w:tblPr>
      <w:tblGrid>
        <w:gridCol w:w="3505"/>
        <w:gridCol w:w="1350"/>
        <w:gridCol w:w="1103"/>
        <w:gridCol w:w="900"/>
        <w:gridCol w:w="1037"/>
        <w:gridCol w:w="1455"/>
      </w:tblGrid>
      <w:tr w:rsidR="00D877C4" w:rsidRPr="00D877C4" w14:paraId="7A51A67D" w14:textId="77777777" w:rsidTr="0095785D">
        <w:tc>
          <w:tcPr>
            <w:tcW w:w="3505" w:type="dxa"/>
            <w:shd w:val="clear" w:color="auto" w:fill="DBE5F1" w:themeFill="accent1" w:themeFillTint="33"/>
            <w:vAlign w:val="center"/>
          </w:tcPr>
          <w:p w14:paraId="6E9437F6" w14:textId="77777777" w:rsidR="00D877C4" w:rsidRPr="00D877C4" w:rsidRDefault="00D877C4" w:rsidP="004C3099">
            <w:pPr>
              <w:pStyle w:val="BodyText"/>
              <w:spacing w:after="0" w:line="240" w:lineRule="auto"/>
              <w:contextualSpacing/>
              <w:jc w:val="center"/>
              <w:rPr>
                <w:rFonts w:asciiTheme="minorHAnsi" w:eastAsia="Times New Roman" w:hAnsiTheme="minorHAnsi" w:cstheme="minorHAnsi"/>
                <w:sz w:val="20"/>
                <w:szCs w:val="20"/>
              </w:rPr>
            </w:pPr>
          </w:p>
        </w:tc>
        <w:tc>
          <w:tcPr>
            <w:tcW w:w="1350" w:type="dxa"/>
            <w:shd w:val="clear" w:color="auto" w:fill="DBE5F1" w:themeFill="accent1" w:themeFillTint="33"/>
            <w:vAlign w:val="center"/>
          </w:tcPr>
          <w:p w14:paraId="4733D665" w14:textId="77777777" w:rsidR="00D877C4" w:rsidRPr="004079C7" w:rsidRDefault="00D877C4" w:rsidP="004C3099">
            <w:pPr>
              <w:pStyle w:val="BodyText"/>
              <w:spacing w:after="0" w:line="240" w:lineRule="auto"/>
              <w:contextualSpacing/>
              <w:jc w:val="center"/>
              <w:rPr>
                <w:rFonts w:asciiTheme="minorHAnsi" w:eastAsia="Times New Roman" w:hAnsiTheme="minorHAnsi" w:cstheme="minorHAnsi"/>
                <w:b/>
                <w:sz w:val="20"/>
                <w:szCs w:val="20"/>
              </w:rPr>
            </w:pPr>
            <w:r w:rsidRPr="004079C7">
              <w:rPr>
                <w:rFonts w:asciiTheme="minorHAnsi" w:eastAsia="Times New Roman" w:hAnsiTheme="minorHAnsi" w:cstheme="minorHAnsi"/>
                <w:b/>
                <w:sz w:val="20"/>
                <w:szCs w:val="20"/>
              </w:rPr>
              <w:t>Respondents</w:t>
            </w:r>
          </w:p>
        </w:tc>
        <w:tc>
          <w:tcPr>
            <w:tcW w:w="1103" w:type="dxa"/>
            <w:shd w:val="clear" w:color="auto" w:fill="DBE5F1" w:themeFill="accent1" w:themeFillTint="33"/>
            <w:vAlign w:val="center"/>
          </w:tcPr>
          <w:p w14:paraId="2AB4CE9D" w14:textId="77777777" w:rsidR="00D877C4" w:rsidRPr="004079C7" w:rsidRDefault="00D877C4" w:rsidP="004C3099">
            <w:pPr>
              <w:pStyle w:val="BodyText"/>
              <w:spacing w:after="0" w:line="240" w:lineRule="auto"/>
              <w:contextualSpacing/>
              <w:jc w:val="center"/>
              <w:rPr>
                <w:rFonts w:asciiTheme="minorHAnsi" w:eastAsia="Times New Roman" w:hAnsiTheme="minorHAnsi" w:cstheme="minorHAnsi"/>
                <w:b/>
                <w:sz w:val="20"/>
                <w:szCs w:val="20"/>
              </w:rPr>
            </w:pPr>
            <w:r w:rsidRPr="004079C7">
              <w:rPr>
                <w:rFonts w:asciiTheme="minorHAnsi" w:eastAsia="Times New Roman" w:hAnsiTheme="minorHAnsi" w:cstheme="minorHAnsi"/>
                <w:b/>
                <w:sz w:val="20"/>
                <w:szCs w:val="20"/>
              </w:rPr>
              <w:t>Responses</w:t>
            </w:r>
          </w:p>
        </w:tc>
        <w:tc>
          <w:tcPr>
            <w:tcW w:w="900" w:type="dxa"/>
            <w:shd w:val="clear" w:color="auto" w:fill="DBE5F1" w:themeFill="accent1" w:themeFillTint="33"/>
            <w:vAlign w:val="center"/>
          </w:tcPr>
          <w:p w14:paraId="7567226A" w14:textId="77777777" w:rsidR="00D877C4" w:rsidRPr="004079C7" w:rsidRDefault="00D877C4" w:rsidP="004C3099">
            <w:pPr>
              <w:pStyle w:val="BodyText"/>
              <w:spacing w:after="0" w:line="240" w:lineRule="auto"/>
              <w:contextualSpacing/>
              <w:jc w:val="center"/>
              <w:rPr>
                <w:rFonts w:asciiTheme="minorHAnsi" w:eastAsia="Times New Roman" w:hAnsiTheme="minorHAnsi" w:cstheme="minorHAnsi"/>
                <w:b/>
                <w:sz w:val="20"/>
                <w:szCs w:val="20"/>
              </w:rPr>
            </w:pPr>
            <w:r w:rsidRPr="004079C7">
              <w:rPr>
                <w:rFonts w:asciiTheme="minorHAnsi" w:eastAsia="Times New Roman" w:hAnsiTheme="minorHAnsi" w:cstheme="minorHAnsi"/>
                <w:b/>
                <w:sz w:val="20"/>
                <w:szCs w:val="20"/>
              </w:rPr>
              <w:t>Burden Hours</w:t>
            </w:r>
          </w:p>
        </w:tc>
        <w:tc>
          <w:tcPr>
            <w:tcW w:w="1037" w:type="dxa"/>
            <w:shd w:val="clear" w:color="auto" w:fill="DBE5F1" w:themeFill="accent1" w:themeFillTint="33"/>
            <w:vAlign w:val="center"/>
          </w:tcPr>
          <w:p w14:paraId="10A0445B" w14:textId="77777777" w:rsidR="00D877C4" w:rsidRPr="004079C7" w:rsidRDefault="00D877C4" w:rsidP="004C3099">
            <w:pPr>
              <w:pStyle w:val="BodyText"/>
              <w:spacing w:after="0" w:line="240" w:lineRule="auto"/>
              <w:contextualSpacing/>
              <w:jc w:val="center"/>
              <w:rPr>
                <w:rFonts w:asciiTheme="minorHAnsi" w:eastAsia="Times New Roman" w:hAnsiTheme="minorHAnsi" w:cstheme="minorHAnsi"/>
                <w:b/>
                <w:sz w:val="20"/>
                <w:szCs w:val="20"/>
              </w:rPr>
            </w:pPr>
            <w:r w:rsidRPr="004079C7">
              <w:rPr>
                <w:rFonts w:asciiTheme="minorHAnsi" w:eastAsia="Times New Roman" w:hAnsiTheme="minorHAnsi" w:cstheme="minorHAnsi"/>
                <w:b/>
                <w:sz w:val="20"/>
                <w:szCs w:val="20"/>
              </w:rPr>
              <w:t>Labor Costs</w:t>
            </w:r>
          </w:p>
        </w:tc>
        <w:tc>
          <w:tcPr>
            <w:tcW w:w="1455" w:type="dxa"/>
            <w:shd w:val="clear" w:color="auto" w:fill="DBE5F1" w:themeFill="accent1" w:themeFillTint="33"/>
            <w:vAlign w:val="center"/>
          </w:tcPr>
          <w:p w14:paraId="6F6B16AC" w14:textId="77777777" w:rsidR="00D877C4" w:rsidRPr="004079C7" w:rsidRDefault="00D877C4" w:rsidP="004C3099">
            <w:pPr>
              <w:pStyle w:val="BodyText"/>
              <w:spacing w:after="0" w:line="240" w:lineRule="auto"/>
              <w:contextualSpacing/>
              <w:jc w:val="center"/>
              <w:rPr>
                <w:rFonts w:asciiTheme="minorHAnsi" w:eastAsia="Times New Roman" w:hAnsiTheme="minorHAnsi" w:cstheme="minorHAnsi"/>
                <w:b/>
                <w:sz w:val="20"/>
                <w:szCs w:val="20"/>
              </w:rPr>
            </w:pPr>
            <w:r w:rsidRPr="004079C7">
              <w:rPr>
                <w:rFonts w:asciiTheme="minorHAnsi" w:eastAsia="Times New Roman" w:hAnsiTheme="minorHAnsi" w:cstheme="minorHAnsi"/>
                <w:b/>
                <w:sz w:val="20"/>
                <w:szCs w:val="20"/>
              </w:rPr>
              <w:t>Recordkeeping and Reporting Costs</w:t>
            </w:r>
          </w:p>
        </w:tc>
      </w:tr>
      <w:tr w:rsidR="00FC3AE2" w:rsidRPr="00D877C4" w14:paraId="46006F9D" w14:textId="77777777" w:rsidTr="00AB0493">
        <w:trPr>
          <w:trHeight w:val="792"/>
        </w:trPr>
        <w:tc>
          <w:tcPr>
            <w:tcW w:w="3505" w:type="dxa"/>
            <w:vAlign w:val="center"/>
          </w:tcPr>
          <w:p w14:paraId="7FBE9F1F" w14:textId="762CDE78" w:rsidR="00FC3AE2" w:rsidRPr="00D877C4" w:rsidRDefault="00FC3AE2" w:rsidP="004C3099">
            <w:pPr>
              <w:pStyle w:val="BodyText"/>
              <w:spacing w:after="0" w:line="240" w:lineRule="auto"/>
              <w:contextualSpacing/>
              <w:jc w:val="center"/>
              <w:rPr>
                <w:rFonts w:asciiTheme="minorHAnsi" w:eastAsia="Times New Roman" w:hAnsiTheme="minorHAnsi" w:cstheme="minorHAnsi"/>
                <w:sz w:val="20"/>
                <w:szCs w:val="20"/>
              </w:rPr>
            </w:pPr>
            <w:r w:rsidRPr="00FC3AE2">
              <w:rPr>
                <w:rFonts w:asciiTheme="minorHAnsi" w:eastAsia="Times New Roman" w:hAnsiTheme="minorHAnsi" w:cstheme="minorHAnsi"/>
                <w:sz w:val="20"/>
                <w:szCs w:val="20"/>
              </w:rPr>
              <w:t xml:space="preserve">Application for a Non-profit Corporation to be Designated as a Recreational Quota Entity </w:t>
            </w:r>
            <w:r w:rsidRPr="00FC3AE2">
              <w:rPr>
                <w:rFonts w:asciiTheme="minorHAnsi" w:eastAsia="Times New Roman" w:hAnsiTheme="minorHAnsi" w:cstheme="minorHAnsi"/>
                <w:i/>
                <w:sz w:val="20"/>
                <w:szCs w:val="20"/>
              </w:rPr>
              <w:t>[merged from 0758]</w:t>
            </w:r>
          </w:p>
        </w:tc>
        <w:tc>
          <w:tcPr>
            <w:tcW w:w="1350" w:type="dxa"/>
            <w:vAlign w:val="center"/>
          </w:tcPr>
          <w:p w14:paraId="4EEB617F" w14:textId="1B6A1F5D" w:rsidR="00FC3AE2" w:rsidRDefault="00EF7BB1" w:rsidP="004C3099">
            <w:pPr>
              <w:pStyle w:val="BodyText"/>
              <w:spacing w:after="0" w:line="240" w:lineRule="auto"/>
              <w:contextualSpacing/>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1</w:t>
            </w:r>
          </w:p>
        </w:tc>
        <w:tc>
          <w:tcPr>
            <w:tcW w:w="1103" w:type="dxa"/>
            <w:vAlign w:val="center"/>
          </w:tcPr>
          <w:p w14:paraId="37081B15" w14:textId="4801ECCF" w:rsidR="00FC3AE2" w:rsidRDefault="00EF7BB1" w:rsidP="004C3099">
            <w:pPr>
              <w:pStyle w:val="BodyText"/>
              <w:spacing w:after="0" w:line="240" w:lineRule="auto"/>
              <w:contextualSpacing/>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1</w:t>
            </w:r>
          </w:p>
        </w:tc>
        <w:tc>
          <w:tcPr>
            <w:tcW w:w="900" w:type="dxa"/>
            <w:vAlign w:val="center"/>
          </w:tcPr>
          <w:p w14:paraId="4D03B537" w14:textId="4D4451ED" w:rsidR="00FC3AE2" w:rsidRDefault="00EF7BB1" w:rsidP="004C3099">
            <w:pPr>
              <w:pStyle w:val="BodyText"/>
              <w:spacing w:after="0" w:line="240" w:lineRule="auto"/>
              <w:contextualSpacing/>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67</w:t>
            </w:r>
          </w:p>
        </w:tc>
        <w:tc>
          <w:tcPr>
            <w:tcW w:w="1037" w:type="dxa"/>
            <w:vAlign w:val="center"/>
          </w:tcPr>
          <w:p w14:paraId="224BEEDA" w14:textId="766494E2" w:rsidR="00FC3AE2" w:rsidRDefault="00EF7BB1" w:rsidP="004C3099">
            <w:pPr>
              <w:pStyle w:val="BodyText"/>
              <w:spacing w:after="0" w:line="240" w:lineRule="auto"/>
              <w:contextualSpacing/>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$7,400</w:t>
            </w:r>
          </w:p>
        </w:tc>
        <w:tc>
          <w:tcPr>
            <w:tcW w:w="1455" w:type="dxa"/>
            <w:vAlign w:val="center"/>
          </w:tcPr>
          <w:p w14:paraId="5616DBF0" w14:textId="14B51DDF" w:rsidR="00FC3AE2" w:rsidRDefault="00EF7BB1" w:rsidP="004C3099">
            <w:pPr>
              <w:pStyle w:val="BodyText"/>
              <w:spacing w:after="0" w:line="240" w:lineRule="auto"/>
              <w:contextualSpacing/>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$3</w:t>
            </w:r>
          </w:p>
        </w:tc>
      </w:tr>
      <w:tr w:rsidR="00FC3AE2" w:rsidRPr="00D877C4" w14:paraId="54DC76BA" w14:textId="77777777" w:rsidTr="00AB0493">
        <w:trPr>
          <w:trHeight w:val="792"/>
        </w:trPr>
        <w:tc>
          <w:tcPr>
            <w:tcW w:w="3505" w:type="dxa"/>
            <w:vAlign w:val="center"/>
          </w:tcPr>
          <w:p w14:paraId="19C6A351" w14:textId="59C826B9" w:rsidR="00FC3AE2" w:rsidRPr="00D877C4" w:rsidRDefault="00FC3AE2" w:rsidP="004C3099">
            <w:pPr>
              <w:pStyle w:val="BodyText"/>
              <w:spacing w:after="0" w:line="240" w:lineRule="auto"/>
              <w:contextualSpacing/>
              <w:jc w:val="center"/>
              <w:rPr>
                <w:rFonts w:asciiTheme="minorHAnsi" w:eastAsia="Times New Roman" w:hAnsiTheme="minorHAnsi" w:cstheme="minorHAnsi"/>
                <w:sz w:val="20"/>
                <w:szCs w:val="20"/>
              </w:rPr>
            </w:pPr>
            <w:r w:rsidRPr="00FC3AE2">
              <w:rPr>
                <w:rFonts w:asciiTheme="minorHAnsi" w:eastAsia="Times New Roman" w:hAnsiTheme="minorHAnsi" w:cstheme="minorHAnsi"/>
                <w:sz w:val="20"/>
                <w:szCs w:val="20"/>
              </w:rPr>
              <w:t xml:space="preserve">Application for Transfer of Quota Share To or From a Recreational Quota Entity </w:t>
            </w:r>
            <w:r w:rsidRPr="00FC3AE2">
              <w:rPr>
                <w:rFonts w:asciiTheme="minorHAnsi" w:eastAsia="Times New Roman" w:hAnsiTheme="minorHAnsi" w:cstheme="minorHAnsi"/>
                <w:i/>
                <w:sz w:val="20"/>
                <w:szCs w:val="20"/>
              </w:rPr>
              <w:t>[merged from 0758]</w:t>
            </w:r>
          </w:p>
        </w:tc>
        <w:tc>
          <w:tcPr>
            <w:tcW w:w="1350" w:type="dxa"/>
            <w:vAlign w:val="center"/>
          </w:tcPr>
          <w:p w14:paraId="747426A0" w14:textId="7660E54A" w:rsidR="00FC3AE2" w:rsidRDefault="00EF7BB1" w:rsidP="004C3099">
            <w:pPr>
              <w:pStyle w:val="BodyText"/>
              <w:spacing w:after="0" w:line="240" w:lineRule="auto"/>
              <w:contextualSpacing/>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1</w:t>
            </w:r>
          </w:p>
        </w:tc>
        <w:tc>
          <w:tcPr>
            <w:tcW w:w="1103" w:type="dxa"/>
            <w:vAlign w:val="center"/>
          </w:tcPr>
          <w:p w14:paraId="26FABDEA" w14:textId="2F419801" w:rsidR="00FC3AE2" w:rsidRDefault="00EF7BB1" w:rsidP="004C3099">
            <w:pPr>
              <w:pStyle w:val="BodyText"/>
              <w:spacing w:after="0" w:line="240" w:lineRule="auto"/>
              <w:contextualSpacing/>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20</w:t>
            </w:r>
          </w:p>
        </w:tc>
        <w:tc>
          <w:tcPr>
            <w:tcW w:w="900" w:type="dxa"/>
            <w:vAlign w:val="center"/>
          </w:tcPr>
          <w:p w14:paraId="7C548229" w14:textId="2FD286E4" w:rsidR="00FC3AE2" w:rsidRDefault="00EF7BB1" w:rsidP="004C3099">
            <w:pPr>
              <w:pStyle w:val="BodyText"/>
              <w:spacing w:after="0" w:line="240" w:lineRule="auto"/>
              <w:contextualSpacing/>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40</w:t>
            </w:r>
          </w:p>
        </w:tc>
        <w:tc>
          <w:tcPr>
            <w:tcW w:w="1037" w:type="dxa"/>
            <w:vAlign w:val="center"/>
          </w:tcPr>
          <w:p w14:paraId="51125C06" w14:textId="58B2C745" w:rsidR="00FC3AE2" w:rsidRDefault="008A700D" w:rsidP="004C3099">
            <w:pPr>
              <w:pStyle w:val="BodyText"/>
              <w:spacing w:after="0" w:line="240" w:lineRule="auto"/>
              <w:contextualSpacing/>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w:t>
            </w:r>
            <w:r w:rsidR="00EF7BB1">
              <w:rPr>
                <w:rFonts w:asciiTheme="minorHAnsi" w:eastAsia="Times New Roman" w:hAnsiTheme="minorHAnsi" w:cstheme="minorHAnsi"/>
                <w:sz w:val="20"/>
                <w:szCs w:val="20"/>
              </w:rPr>
              <w:t>1,480</w:t>
            </w:r>
          </w:p>
        </w:tc>
        <w:tc>
          <w:tcPr>
            <w:tcW w:w="1455" w:type="dxa"/>
            <w:vAlign w:val="center"/>
          </w:tcPr>
          <w:p w14:paraId="48613935" w14:textId="6EB6179C" w:rsidR="00FC3AE2" w:rsidRDefault="008A700D" w:rsidP="004C3099">
            <w:pPr>
              <w:pStyle w:val="BodyText"/>
              <w:spacing w:after="0" w:line="240" w:lineRule="auto"/>
              <w:contextualSpacing/>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$134</w:t>
            </w:r>
          </w:p>
        </w:tc>
      </w:tr>
      <w:tr w:rsidR="00FC3AE2" w:rsidRPr="00D877C4" w14:paraId="1C32F831" w14:textId="77777777" w:rsidTr="00A52443">
        <w:trPr>
          <w:trHeight w:val="533"/>
        </w:trPr>
        <w:tc>
          <w:tcPr>
            <w:tcW w:w="3505" w:type="dxa"/>
            <w:vAlign w:val="center"/>
          </w:tcPr>
          <w:p w14:paraId="28C39A8F" w14:textId="6CB75467" w:rsidR="00FC3AE2" w:rsidRPr="00D877C4" w:rsidRDefault="00FC3AE2" w:rsidP="004C3099">
            <w:pPr>
              <w:pStyle w:val="BodyText"/>
              <w:spacing w:after="0" w:line="240" w:lineRule="auto"/>
              <w:contextualSpacing/>
              <w:jc w:val="center"/>
              <w:rPr>
                <w:rFonts w:asciiTheme="minorHAnsi" w:eastAsia="Times New Roman" w:hAnsiTheme="minorHAnsi" w:cstheme="minorHAnsi"/>
                <w:sz w:val="20"/>
                <w:szCs w:val="20"/>
              </w:rPr>
            </w:pPr>
            <w:r w:rsidRPr="00FC3AE2">
              <w:rPr>
                <w:rFonts w:asciiTheme="minorHAnsi" w:eastAsia="Times New Roman" w:hAnsiTheme="minorHAnsi" w:cstheme="minorHAnsi"/>
                <w:sz w:val="20"/>
                <w:szCs w:val="20"/>
              </w:rPr>
              <w:t xml:space="preserve">Recreational Quota Entity Annual Report </w:t>
            </w:r>
            <w:r w:rsidRPr="00FC3AE2">
              <w:rPr>
                <w:rFonts w:asciiTheme="minorHAnsi" w:eastAsia="Times New Roman" w:hAnsiTheme="minorHAnsi" w:cstheme="minorHAnsi"/>
                <w:i/>
                <w:sz w:val="20"/>
                <w:szCs w:val="20"/>
              </w:rPr>
              <w:t>[merged from 0758]</w:t>
            </w:r>
          </w:p>
        </w:tc>
        <w:tc>
          <w:tcPr>
            <w:tcW w:w="1350" w:type="dxa"/>
            <w:vAlign w:val="center"/>
          </w:tcPr>
          <w:p w14:paraId="730D2362" w14:textId="7002FC06" w:rsidR="00FC3AE2" w:rsidRDefault="00EF7BB1" w:rsidP="004C3099">
            <w:pPr>
              <w:pStyle w:val="BodyText"/>
              <w:spacing w:after="0" w:line="240" w:lineRule="auto"/>
              <w:contextualSpacing/>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1</w:t>
            </w:r>
          </w:p>
        </w:tc>
        <w:tc>
          <w:tcPr>
            <w:tcW w:w="1103" w:type="dxa"/>
            <w:vAlign w:val="center"/>
          </w:tcPr>
          <w:p w14:paraId="5A1352B9" w14:textId="0DBA0B12" w:rsidR="00FC3AE2" w:rsidRDefault="008A700D" w:rsidP="004C3099">
            <w:pPr>
              <w:pStyle w:val="BodyText"/>
              <w:spacing w:after="0" w:line="240" w:lineRule="auto"/>
              <w:contextualSpacing/>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1</w:t>
            </w:r>
          </w:p>
        </w:tc>
        <w:tc>
          <w:tcPr>
            <w:tcW w:w="900" w:type="dxa"/>
            <w:vAlign w:val="center"/>
          </w:tcPr>
          <w:p w14:paraId="3259613E" w14:textId="0B0999DE" w:rsidR="00FC3AE2" w:rsidRDefault="008A700D" w:rsidP="004C3099">
            <w:pPr>
              <w:pStyle w:val="BodyText"/>
              <w:spacing w:after="0" w:line="240" w:lineRule="auto"/>
              <w:contextualSpacing/>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40</w:t>
            </w:r>
          </w:p>
        </w:tc>
        <w:tc>
          <w:tcPr>
            <w:tcW w:w="1037" w:type="dxa"/>
            <w:vAlign w:val="center"/>
          </w:tcPr>
          <w:p w14:paraId="29F45FCA" w14:textId="5584F863" w:rsidR="00FC3AE2" w:rsidRDefault="008A700D" w:rsidP="004C3099">
            <w:pPr>
              <w:pStyle w:val="BodyText"/>
              <w:spacing w:after="0" w:line="240" w:lineRule="auto"/>
              <w:contextualSpacing/>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$1,480</w:t>
            </w:r>
          </w:p>
        </w:tc>
        <w:tc>
          <w:tcPr>
            <w:tcW w:w="1455" w:type="dxa"/>
            <w:vAlign w:val="center"/>
          </w:tcPr>
          <w:p w14:paraId="1F0BA12D" w14:textId="43D975F0" w:rsidR="00FC3AE2" w:rsidRDefault="008A700D" w:rsidP="004C3099">
            <w:pPr>
              <w:pStyle w:val="BodyText"/>
              <w:spacing w:after="0" w:line="240" w:lineRule="auto"/>
              <w:contextualSpacing/>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$1</w:t>
            </w:r>
          </w:p>
        </w:tc>
      </w:tr>
      <w:tr w:rsidR="00D877C4" w:rsidRPr="00D877C4" w14:paraId="4510AABD" w14:textId="77777777" w:rsidTr="00AB0493">
        <w:trPr>
          <w:trHeight w:val="792"/>
        </w:trPr>
        <w:tc>
          <w:tcPr>
            <w:tcW w:w="3505" w:type="dxa"/>
            <w:vAlign w:val="center"/>
          </w:tcPr>
          <w:p w14:paraId="296CF9BB" w14:textId="243F0280" w:rsidR="00D877C4" w:rsidRPr="00D877C4" w:rsidRDefault="00D877C4" w:rsidP="004C3099">
            <w:pPr>
              <w:pStyle w:val="BodyText"/>
              <w:spacing w:after="0" w:line="240" w:lineRule="auto"/>
              <w:contextualSpacing/>
              <w:jc w:val="center"/>
              <w:rPr>
                <w:rFonts w:asciiTheme="minorHAnsi" w:eastAsia="Times New Roman" w:hAnsiTheme="minorHAnsi" w:cstheme="minorHAnsi"/>
                <w:sz w:val="20"/>
                <w:szCs w:val="20"/>
              </w:rPr>
            </w:pPr>
            <w:r w:rsidRPr="00D877C4">
              <w:rPr>
                <w:rFonts w:asciiTheme="minorHAnsi" w:eastAsia="Times New Roman" w:hAnsiTheme="minorHAnsi" w:cstheme="minorHAnsi"/>
                <w:sz w:val="20"/>
                <w:szCs w:val="20"/>
              </w:rPr>
              <w:t>Application for Temporary Transfer of Halibut/Sablefish IFQ</w:t>
            </w:r>
            <w:r w:rsidR="004079C7">
              <w:rPr>
                <w:rFonts w:asciiTheme="minorHAnsi" w:eastAsia="Times New Roman" w:hAnsiTheme="minorHAnsi" w:cstheme="minorHAnsi"/>
                <w:sz w:val="20"/>
                <w:szCs w:val="20"/>
              </w:rPr>
              <w:t xml:space="preserve"> </w:t>
            </w:r>
            <w:r w:rsidR="004079C7" w:rsidRPr="00FC3AE2">
              <w:rPr>
                <w:rFonts w:asciiTheme="minorHAnsi" w:eastAsia="Times New Roman" w:hAnsiTheme="minorHAnsi" w:cstheme="minorHAnsi"/>
                <w:i/>
                <w:sz w:val="20"/>
                <w:szCs w:val="20"/>
              </w:rPr>
              <w:t>[merged from 0764]</w:t>
            </w:r>
          </w:p>
        </w:tc>
        <w:tc>
          <w:tcPr>
            <w:tcW w:w="1350" w:type="dxa"/>
            <w:vAlign w:val="center"/>
          </w:tcPr>
          <w:p w14:paraId="54B53933" w14:textId="69CD8F16" w:rsidR="00D877C4" w:rsidRPr="00D877C4" w:rsidRDefault="00D877C4" w:rsidP="00211D68">
            <w:pPr>
              <w:pStyle w:val="BodyText"/>
              <w:spacing w:after="0" w:line="240" w:lineRule="auto"/>
              <w:contextualSpacing/>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742</w:t>
            </w:r>
            <w:r w:rsidR="00681116">
              <w:rPr>
                <w:rFonts w:asciiTheme="minorHAnsi" w:eastAsia="Times New Roman" w:hAnsiTheme="minorHAnsi" w:cstheme="minorHAnsi"/>
                <w:sz w:val="20"/>
                <w:szCs w:val="20"/>
              </w:rPr>
              <w:t xml:space="preserve"> </w:t>
            </w:r>
          </w:p>
        </w:tc>
        <w:tc>
          <w:tcPr>
            <w:tcW w:w="1103" w:type="dxa"/>
            <w:vAlign w:val="center"/>
          </w:tcPr>
          <w:p w14:paraId="47603131" w14:textId="77777777" w:rsidR="00D877C4" w:rsidRPr="00D877C4" w:rsidRDefault="00D877C4" w:rsidP="004C3099">
            <w:pPr>
              <w:pStyle w:val="BodyText"/>
              <w:spacing w:after="0" w:line="240" w:lineRule="auto"/>
              <w:contextualSpacing/>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371</w:t>
            </w:r>
          </w:p>
        </w:tc>
        <w:tc>
          <w:tcPr>
            <w:tcW w:w="900" w:type="dxa"/>
            <w:vAlign w:val="center"/>
          </w:tcPr>
          <w:p w14:paraId="504C1292" w14:textId="77777777" w:rsidR="00D877C4" w:rsidRPr="00D877C4" w:rsidRDefault="00D877C4" w:rsidP="004C3099">
            <w:pPr>
              <w:pStyle w:val="BodyText"/>
              <w:spacing w:after="0" w:line="240" w:lineRule="auto"/>
              <w:contextualSpacing/>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742</w:t>
            </w:r>
          </w:p>
        </w:tc>
        <w:tc>
          <w:tcPr>
            <w:tcW w:w="1037" w:type="dxa"/>
            <w:vAlign w:val="center"/>
          </w:tcPr>
          <w:p w14:paraId="117148DA" w14:textId="77777777" w:rsidR="00D877C4" w:rsidRDefault="00D877C4" w:rsidP="004C3099">
            <w:pPr>
              <w:pStyle w:val="BodyText"/>
              <w:spacing w:after="0" w:line="240" w:lineRule="auto"/>
              <w:contextualSpacing/>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$27,454</w:t>
            </w:r>
          </w:p>
        </w:tc>
        <w:tc>
          <w:tcPr>
            <w:tcW w:w="1455" w:type="dxa"/>
            <w:vAlign w:val="center"/>
          </w:tcPr>
          <w:p w14:paraId="4204968E" w14:textId="7A47B671" w:rsidR="00D877C4" w:rsidRPr="00D877C4" w:rsidRDefault="00D877C4" w:rsidP="004630BC">
            <w:pPr>
              <w:pStyle w:val="BodyText"/>
              <w:spacing w:after="0" w:line="240" w:lineRule="auto"/>
              <w:contextualSpacing/>
              <w:jc w:val="center"/>
              <w:rPr>
                <w:rFonts w:asciiTheme="minorHAnsi" w:eastAsia="Times New Roman" w:hAnsiTheme="minorHAnsi" w:cstheme="minorHAnsi"/>
                <w:sz w:val="20"/>
                <w:szCs w:val="20"/>
              </w:rPr>
            </w:pPr>
            <w:r w:rsidRPr="004630BC">
              <w:rPr>
                <w:rFonts w:asciiTheme="minorHAnsi" w:eastAsia="Times New Roman" w:hAnsiTheme="minorHAnsi" w:cstheme="minorHAnsi"/>
                <w:sz w:val="20"/>
                <w:szCs w:val="20"/>
              </w:rPr>
              <w:t>$</w:t>
            </w:r>
            <w:r w:rsidR="004630BC" w:rsidRPr="004630BC">
              <w:rPr>
                <w:rFonts w:asciiTheme="minorHAnsi" w:eastAsia="Times New Roman" w:hAnsiTheme="minorHAnsi" w:cstheme="minorHAnsi"/>
                <w:sz w:val="20"/>
                <w:szCs w:val="20"/>
              </w:rPr>
              <w:t>2,167</w:t>
            </w:r>
          </w:p>
        </w:tc>
      </w:tr>
      <w:tr w:rsidR="004079C7" w:rsidRPr="00D877C4" w14:paraId="31CBF279" w14:textId="77777777" w:rsidTr="00A52443">
        <w:trPr>
          <w:trHeight w:val="533"/>
        </w:trPr>
        <w:tc>
          <w:tcPr>
            <w:tcW w:w="3505" w:type="dxa"/>
          </w:tcPr>
          <w:p w14:paraId="409C8CF3" w14:textId="2D1BFA92" w:rsidR="004079C7" w:rsidRPr="00D877C4" w:rsidRDefault="00FC3AE2" w:rsidP="004C3099">
            <w:pPr>
              <w:pStyle w:val="BodyText"/>
              <w:spacing w:after="0" w:line="240" w:lineRule="auto"/>
              <w:contextualSpacing/>
              <w:jc w:val="center"/>
              <w:rPr>
                <w:rFonts w:asciiTheme="minorHAnsi" w:eastAsia="Times New Roman" w:hAnsiTheme="minorHAnsi" w:cstheme="minorHAnsi"/>
                <w:sz w:val="20"/>
                <w:szCs w:val="20"/>
              </w:rPr>
            </w:pPr>
            <w:r w:rsidRPr="00FC3AE2">
              <w:rPr>
                <w:rFonts w:asciiTheme="minorHAnsi" w:eastAsia="Times New Roman" w:hAnsiTheme="minorHAnsi" w:cstheme="minorHAnsi"/>
                <w:sz w:val="20"/>
                <w:szCs w:val="20"/>
              </w:rPr>
              <w:t xml:space="preserve">Annual Report for CDQ IFQ Transfers </w:t>
            </w:r>
            <w:r w:rsidRPr="00FC3AE2">
              <w:rPr>
                <w:rFonts w:asciiTheme="minorHAnsi" w:eastAsia="Times New Roman" w:hAnsiTheme="minorHAnsi" w:cstheme="minorHAnsi"/>
                <w:i/>
                <w:sz w:val="20"/>
                <w:szCs w:val="20"/>
              </w:rPr>
              <w:t>[merged from 0764]</w:t>
            </w:r>
          </w:p>
        </w:tc>
        <w:tc>
          <w:tcPr>
            <w:tcW w:w="1350" w:type="dxa"/>
            <w:vAlign w:val="center"/>
          </w:tcPr>
          <w:p w14:paraId="50D8268F" w14:textId="77777777" w:rsidR="004079C7" w:rsidRPr="00D877C4" w:rsidRDefault="004079C7" w:rsidP="004C3099">
            <w:pPr>
              <w:pStyle w:val="BodyText"/>
              <w:spacing w:after="0" w:line="240" w:lineRule="auto"/>
              <w:contextualSpacing/>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2</w:t>
            </w:r>
          </w:p>
        </w:tc>
        <w:tc>
          <w:tcPr>
            <w:tcW w:w="1103" w:type="dxa"/>
            <w:vAlign w:val="center"/>
          </w:tcPr>
          <w:p w14:paraId="0F4C2574" w14:textId="77777777" w:rsidR="004079C7" w:rsidRPr="00D877C4" w:rsidRDefault="004079C7" w:rsidP="004C3099">
            <w:pPr>
              <w:pStyle w:val="BodyText"/>
              <w:spacing w:after="0" w:line="240" w:lineRule="auto"/>
              <w:contextualSpacing/>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2</w:t>
            </w:r>
          </w:p>
        </w:tc>
        <w:tc>
          <w:tcPr>
            <w:tcW w:w="900" w:type="dxa"/>
            <w:vAlign w:val="center"/>
          </w:tcPr>
          <w:p w14:paraId="77457D06" w14:textId="77777777" w:rsidR="004079C7" w:rsidRPr="00D877C4" w:rsidRDefault="004079C7" w:rsidP="004C3099">
            <w:pPr>
              <w:pStyle w:val="BodyText"/>
              <w:spacing w:after="0" w:line="240" w:lineRule="auto"/>
              <w:contextualSpacing/>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80</w:t>
            </w:r>
          </w:p>
        </w:tc>
        <w:tc>
          <w:tcPr>
            <w:tcW w:w="1037" w:type="dxa"/>
            <w:vAlign w:val="center"/>
          </w:tcPr>
          <w:p w14:paraId="3FDA3DA0" w14:textId="77777777" w:rsidR="004079C7" w:rsidRPr="00D877C4" w:rsidRDefault="004079C7" w:rsidP="004C3099">
            <w:pPr>
              <w:pStyle w:val="BodyText"/>
              <w:spacing w:after="0" w:line="240" w:lineRule="auto"/>
              <w:contextualSpacing/>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$2,960</w:t>
            </w:r>
          </w:p>
        </w:tc>
        <w:tc>
          <w:tcPr>
            <w:tcW w:w="1455" w:type="dxa"/>
            <w:vAlign w:val="center"/>
          </w:tcPr>
          <w:p w14:paraId="327AF313" w14:textId="77777777" w:rsidR="004079C7" w:rsidRPr="00D877C4" w:rsidRDefault="004079C7" w:rsidP="004C3099">
            <w:pPr>
              <w:pStyle w:val="BodyText"/>
              <w:spacing w:after="0" w:line="240" w:lineRule="auto"/>
              <w:contextualSpacing/>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$10</w:t>
            </w:r>
          </w:p>
        </w:tc>
      </w:tr>
      <w:tr w:rsidR="00D877C4" w:rsidRPr="00D877C4" w14:paraId="1A90F3AF" w14:textId="77777777" w:rsidTr="00A52443">
        <w:trPr>
          <w:trHeight w:val="533"/>
        </w:trPr>
        <w:tc>
          <w:tcPr>
            <w:tcW w:w="3505" w:type="dxa"/>
            <w:shd w:val="clear" w:color="auto" w:fill="auto"/>
            <w:vAlign w:val="center"/>
          </w:tcPr>
          <w:p w14:paraId="2B72F6BE" w14:textId="0F7054DF" w:rsidR="00D877C4" w:rsidRPr="00D877C4" w:rsidRDefault="00D877C4" w:rsidP="004C3099">
            <w:pPr>
              <w:pStyle w:val="BodyText"/>
              <w:spacing w:after="0" w:line="240" w:lineRule="auto"/>
              <w:contextualSpacing/>
              <w:jc w:val="center"/>
              <w:rPr>
                <w:rFonts w:asciiTheme="minorHAnsi" w:eastAsia="Times New Roman" w:hAnsiTheme="minorHAnsi" w:cstheme="minorHAnsi"/>
                <w:sz w:val="20"/>
                <w:szCs w:val="20"/>
              </w:rPr>
            </w:pPr>
            <w:r w:rsidRPr="00D877C4">
              <w:rPr>
                <w:rFonts w:asciiTheme="minorHAnsi" w:eastAsia="Times New Roman" w:hAnsiTheme="minorHAnsi" w:cstheme="minorHAnsi"/>
                <w:sz w:val="20"/>
                <w:szCs w:val="20"/>
              </w:rPr>
              <w:t>Application for Transfer of QS</w:t>
            </w:r>
            <w:r w:rsidR="00FC3AE2">
              <w:rPr>
                <w:rFonts w:asciiTheme="minorHAnsi" w:eastAsia="Times New Roman" w:hAnsiTheme="minorHAnsi" w:cstheme="minorHAnsi"/>
                <w:sz w:val="20"/>
                <w:szCs w:val="20"/>
              </w:rPr>
              <w:t xml:space="preserve"> </w:t>
            </w:r>
            <w:r w:rsidR="00FC3AE2" w:rsidRPr="00FC3AE2">
              <w:rPr>
                <w:rFonts w:asciiTheme="minorHAnsi" w:eastAsia="Times New Roman" w:hAnsiTheme="minorHAnsi" w:cstheme="minorHAnsi"/>
                <w:i/>
                <w:sz w:val="20"/>
                <w:szCs w:val="20"/>
              </w:rPr>
              <w:t>[added due to merge of 0764]</w:t>
            </w:r>
          </w:p>
        </w:tc>
        <w:tc>
          <w:tcPr>
            <w:tcW w:w="1350" w:type="dxa"/>
            <w:shd w:val="clear" w:color="auto" w:fill="auto"/>
            <w:vAlign w:val="center"/>
          </w:tcPr>
          <w:p w14:paraId="7470A7F1" w14:textId="38C76DC2" w:rsidR="00D877C4" w:rsidRPr="00D877C4" w:rsidRDefault="00681116" w:rsidP="00211D68">
            <w:pPr>
              <w:pStyle w:val="BodyText"/>
              <w:spacing w:after="0" w:line="240" w:lineRule="auto"/>
              <w:contextualSpacing/>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r w:rsidR="00733E51">
              <w:rPr>
                <w:rFonts w:asciiTheme="minorHAnsi" w:eastAsia="Times New Roman" w:hAnsiTheme="minorHAnsi" w:cstheme="minorHAnsi"/>
                <w:sz w:val="20"/>
                <w:szCs w:val="20"/>
              </w:rPr>
              <w:t>880</w:t>
            </w:r>
          </w:p>
        </w:tc>
        <w:tc>
          <w:tcPr>
            <w:tcW w:w="1103" w:type="dxa"/>
            <w:shd w:val="clear" w:color="auto" w:fill="auto"/>
            <w:vAlign w:val="center"/>
          </w:tcPr>
          <w:p w14:paraId="20E7CF59" w14:textId="696AD772" w:rsidR="00D877C4" w:rsidRPr="00D877C4" w:rsidRDefault="00733E51" w:rsidP="004C3099">
            <w:pPr>
              <w:pStyle w:val="BodyText"/>
              <w:spacing w:after="0" w:line="240" w:lineRule="auto"/>
              <w:contextualSpacing/>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440</w:t>
            </w:r>
          </w:p>
        </w:tc>
        <w:tc>
          <w:tcPr>
            <w:tcW w:w="900" w:type="dxa"/>
            <w:shd w:val="clear" w:color="auto" w:fill="auto"/>
            <w:vAlign w:val="center"/>
          </w:tcPr>
          <w:p w14:paraId="780A5A7A" w14:textId="07FEB373" w:rsidR="00D877C4" w:rsidRPr="00D877C4" w:rsidRDefault="00733E51" w:rsidP="004C3099">
            <w:pPr>
              <w:pStyle w:val="BodyText"/>
              <w:spacing w:after="0" w:line="240" w:lineRule="auto"/>
              <w:contextualSpacing/>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880</w:t>
            </w:r>
          </w:p>
        </w:tc>
        <w:tc>
          <w:tcPr>
            <w:tcW w:w="1037" w:type="dxa"/>
            <w:shd w:val="clear" w:color="auto" w:fill="auto"/>
            <w:vAlign w:val="center"/>
          </w:tcPr>
          <w:p w14:paraId="403DEFA9" w14:textId="446477F0" w:rsidR="00D877C4" w:rsidRPr="00D877C4" w:rsidRDefault="007132D6" w:rsidP="00FA6532">
            <w:pPr>
              <w:pStyle w:val="BodyText"/>
              <w:spacing w:after="0" w:line="240" w:lineRule="auto"/>
              <w:contextualSpacing/>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w:t>
            </w:r>
            <w:r w:rsidR="00733E51">
              <w:rPr>
                <w:rFonts w:asciiTheme="minorHAnsi" w:eastAsia="Times New Roman" w:hAnsiTheme="minorHAnsi" w:cstheme="minorHAnsi"/>
                <w:sz w:val="20"/>
                <w:szCs w:val="20"/>
              </w:rPr>
              <w:t>32,560</w:t>
            </w:r>
          </w:p>
        </w:tc>
        <w:tc>
          <w:tcPr>
            <w:tcW w:w="1455" w:type="dxa"/>
            <w:shd w:val="clear" w:color="auto" w:fill="auto"/>
            <w:vAlign w:val="center"/>
          </w:tcPr>
          <w:p w14:paraId="231FEB41" w14:textId="25AD1D69" w:rsidR="00D877C4" w:rsidRPr="00D877C4" w:rsidRDefault="00230836" w:rsidP="00FA6532">
            <w:pPr>
              <w:pStyle w:val="BodyText"/>
              <w:spacing w:after="0" w:line="240" w:lineRule="auto"/>
              <w:contextualSpacing/>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w:t>
            </w:r>
            <w:r w:rsidR="00733E51">
              <w:rPr>
                <w:rFonts w:asciiTheme="minorHAnsi" w:eastAsia="Times New Roman" w:hAnsiTheme="minorHAnsi" w:cstheme="minorHAnsi"/>
                <w:sz w:val="20"/>
                <w:szCs w:val="20"/>
              </w:rPr>
              <w:t>4,836</w:t>
            </w:r>
          </w:p>
        </w:tc>
      </w:tr>
      <w:tr w:rsidR="00D877C4" w:rsidRPr="00D877C4" w14:paraId="3BEA82F8" w14:textId="77777777" w:rsidTr="00AB0493">
        <w:trPr>
          <w:trHeight w:val="792"/>
        </w:trPr>
        <w:tc>
          <w:tcPr>
            <w:tcW w:w="3505" w:type="dxa"/>
            <w:shd w:val="clear" w:color="auto" w:fill="auto"/>
            <w:vAlign w:val="center"/>
          </w:tcPr>
          <w:p w14:paraId="45E13699" w14:textId="2CEEAE30" w:rsidR="00D877C4" w:rsidRPr="00D877C4" w:rsidRDefault="004079C7" w:rsidP="00875EAA">
            <w:pPr>
              <w:pStyle w:val="BodyText"/>
              <w:spacing w:after="0" w:line="240" w:lineRule="auto"/>
              <w:contextualSpacing/>
              <w:jc w:val="center"/>
              <w:rPr>
                <w:rFonts w:asciiTheme="minorHAnsi" w:eastAsia="Times New Roman" w:hAnsiTheme="minorHAnsi" w:cstheme="minorHAnsi"/>
                <w:sz w:val="20"/>
                <w:szCs w:val="20"/>
              </w:rPr>
            </w:pPr>
            <w:r w:rsidRPr="004079C7">
              <w:rPr>
                <w:rFonts w:asciiTheme="minorHAnsi" w:eastAsia="Times New Roman" w:hAnsiTheme="minorHAnsi" w:cstheme="minorHAnsi"/>
                <w:sz w:val="20"/>
                <w:szCs w:val="20"/>
              </w:rPr>
              <w:t>Application for Transfer of QS/IFQ by Self Sweep-</w:t>
            </w:r>
            <w:r w:rsidR="00875EAA" w:rsidRPr="004079C7" w:rsidDel="00875EAA">
              <w:rPr>
                <w:rFonts w:asciiTheme="minorHAnsi" w:eastAsia="Times New Roman" w:hAnsiTheme="minorHAnsi" w:cstheme="minorHAnsi"/>
                <w:sz w:val="20"/>
                <w:szCs w:val="20"/>
              </w:rPr>
              <w:t xml:space="preserve"> </w:t>
            </w:r>
            <w:r w:rsidRPr="004630BC">
              <w:rPr>
                <w:rFonts w:asciiTheme="minorHAnsi" w:eastAsia="Times New Roman" w:hAnsiTheme="minorHAnsi" w:cstheme="minorHAnsi"/>
                <w:i/>
                <w:sz w:val="20"/>
                <w:szCs w:val="20"/>
              </w:rPr>
              <w:t>was summarized with Application for Transfer of QS/IFQ]</w:t>
            </w:r>
          </w:p>
        </w:tc>
        <w:tc>
          <w:tcPr>
            <w:tcW w:w="1350" w:type="dxa"/>
            <w:shd w:val="clear" w:color="auto" w:fill="auto"/>
            <w:vAlign w:val="center"/>
          </w:tcPr>
          <w:p w14:paraId="6BF863FF" w14:textId="09A0423C" w:rsidR="00D877C4" w:rsidRPr="00D877C4" w:rsidRDefault="00733E51" w:rsidP="004C3099">
            <w:pPr>
              <w:pStyle w:val="BodyText"/>
              <w:spacing w:after="0" w:line="240" w:lineRule="auto"/>
              <w:contextualSpacing/>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58</w:t>
            </w:r>
          </w:p>
        </w:tc>
        <w:tc>
          <w:tcPr>
            <w:tcW w:w="1103" w:type="dxa"/>
            <w:shd w:val="clear" w:color="auto" w:fill="auto"/>
            <w:vAlign w:val="center"/>
          </w:tcPr>
          <w:p w14:paraId="3321145D" w14:textId="016CC079" w:rsidR="00D877C4" w:rsidRPr="00D877C4" w:rsidRDefault="00733E51" w:rsidP="004C3099">
            <w:pPr>
              <w:pStyle w:val="BodyText"/>
              <w:spacing w:after="0" w:line="240" w:lineRule="auto"/>
              <w:contextualSpacing/>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58</w:t>
            </w:r>
          </w:p>
        </w:tc>
        <w:tc>
          <w:tcPr>
            <w:tcW w:w="900" w:type="dxa"/>
            <w:shd w:val="clear" w:color="auto" w:fill="auto"/>
            <w:vAlign w:val="center"/>
          </w:tcPr>
          <w:p w14:paraId="17170ED3" w14:textId="0A0A541B" w:rsidR="00D877C4" w:rsidRPr="00D877C4" w:rsidRDefault="00733E51" w:rsidP="004C3099">
            <w:pPr>
              <w:pStyle w:val="BodyText"/>
              <w:spacing w:after="0" w:line="240" w:lineRule="auto"/>
              <w:contextualSpacing/>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116</w:t>
            </w:r>
          </w:p>
        </w:tc>
        <w:tc>
          <w:tcPr>
            <w:tcW w:w="1037" w:type="dxa"/>
            <w:shd w:val="clear" w:color="auto" w:fill="auto"/>
            <w:vAlign w:val="center"/>
          </w:tcPr>
          <w:p w14:paraId="6AA082BA" w14:textId="1E269415" w:rsidR="00D877C4" w:rsidRPr="00D877C4" w:rsidRDefault="00733E51" w:rsidP="004C3099">
            <w:pPr>
              <w:pStyle w:val="BodyText"/>
              <w:spacing w:after="0" w:line="240" w:lineRule="auto"/>
              <w:contextualSpacing/>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$4,292</w:t>
            </w:r>
          </w:p>
        </w:tc>
        <w:tc>
          <w:tcPr>
            <w:tcW w:w="1455" w:type="dxa"/>
            <w:shd w:val="clear" w:color="auto" w:fill="auto"/>
            <w:vAlign w:val="center"/>
          </w:tcPr>
          <w:p w14:paraId="2AC3FDC0" w14:textId="6291D39B" w:rsidR="00D877C4" w:rsidRPr="00D877C4" w:rsidRDefault="00733E51" w:rsidP="004C3099">
            <w:pPr>
              <w:pStyle w:val="BodyText"/>
              <w:spacing w:after="0" w:line="240" w:lineRule="auto"/>
              <w:contextualSpacing/>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$327</w:t>
            </w:r>
          </w:p>
        </w:tc>
      </w:tr>
      <w:tr w:rsidR="0095785D" w:rsidRPr="00D877C4" w14:paraId="6EF8CA3D" w14:textId="77777777" w:rsidTr="00A52443">
        <w:trPr>
          <w:trHeight w:val="533"/>
        </w:trPr>
        <w:tc>
          <w:tcPr>
            <w:tcW w:w="3505" w:type="dxa"/>
            <w:shd w:val="clear" w:color="auto" w:fill="auto"/>
            <w:vAlign w:val="center"/>
          </w:tcPr>
          <w:p w14:paraId="76CFAFDE" w14:textId="2D9745E8" w:rsidR="0095785D" w:rsidRPr="004079C7" w:rsidRDefault="0095785D" w:rsidP="004C3099">
            <w:pPr>
              <w:pStyle w:val="BodyText"/>
              <w:spacing w:after="0" w:line="240" w:lineRule="auto"/>
              <w:contextualSpacing/>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Application for Transfer of QS/IFQ </w:t>
            </w:r>
            <w:r w:rsidRPr="0095785D">
              <w:rPr>
                <w:rFonts w:asciiTheme="minorHAnsi" w:eastAsia="Times New Roman" w:hAnsiTheme="minorHAnsi" w:cstheme="minorHAnsi"/>
                <w:i/>
                <w:sz w:val="20"/>
                <w:szCs w:val="20"/>
              </w:rPr>
              <w:t>[removed]</w:t>
            </w:r>
          </w:p>
        </w:tc>
        <w:tc>
          <w:tcPr>
            <w:tcW w:w="1350" w:type="dxa"/>
            <w:shd w:val="clear" w:color="auto" w:fill="auto"/>
            <w:vAlign w:val="center"/>
          </w:tcPr>
          <w:p w14:paraId="189ADD06" w14:textId="239D2D26" w:rsidR="0095785D" w:rsidRDefault="0095785D" w:rsidP="004C3099">
            <w:pPr>
              <w:pStyle w:val="BodyText"/>
              <w:spacing w:after="0" w:line="240" w:lineRule="auto"/>
              <w:contextualSpacing/>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- 1,204</w:t>
            </w:r>
          </w:p>
        </w:tc>
        <w:tc>
          <w:tcPr>
            <w:tcW w:w="1103" w:type="dxa"/>
            <w:shd w:val="clear" w:color="auto" w:fill="auto"/>
            <w:vAlign w:val="center"/>
          </w:tcPr>
          <w:p w14:paraId="081DEEF3" w14:textId="1B26E1AE" w:rsidR="0095785D" w:rsidRDefault="0095785D" w:rsidP="004C3099">
            <w:pPr>
              <w:pStyle w:val="BodyText"/>
              <w:spacing w:after="0" w:line="240" w:lineRule="auto"/>
              <w:contextualSpacing/>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- 602</w:t>
            </w:r>
          </w:p>
        </w:tc>
        <w:tc>
          <w:tcPr>
            <w:tcW w:w="900" w:type="dxa"/>
            <w:shd w:val="clear" w:color="auto" w:fill="auto"/>
            <w:vAlign w:val="center"/>
          </w:tcPr>
          <w:p w14:paraId="7F64837D" w14:textId="65A20026" w:rsidR="0095785D" w:rsidRDefault="0095785D" w:rsidP="004C3099">
            <w:pPr>
              <w:pStyle w:val="BodyText"/>
              <w:spacing w:after="0" w:line="240" w:lineRule="auto"/>
              <w:contextualSpacing/>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- 1,204</w:t>
            </w:r>
          </w:p>
        </w:tc>
        <w:tc>
          <w:tcPr>
            <w:tcW w:w="1037" w:type="dxa"/>
            <w:shd w:val="clear" w:color="auto" w:fill="auto"/>
            <w:vAlign w:val="center"/>
          </w:tcPr>
          <w:p w14:paraId="4E1560D9" w14:textId="1F1E3EE3" w:rsidR="0095785D" w:rsidRDefault="0095785D" w:rsidP="004C3099">
            <w:pPr>
              <w:pStyle w:val="BodyText"/>
              <w:spacing w:after="0" w:line="240" w:lineRule="auto"/>
              <w:contextualSpacing/>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 $44,548</w:t>
            </w:r>
          </w:p>
        </w:tc>
        <w:tc>
          <w:tcPr>
            <w:tcW w:w="1455" w:type="dxa"/>
            <w:shd w:val="clear" w:color="auto" w:fill="auto"/>
            <w:vAlign w:val="center"/>
          </w:tcPr>
          <w:p w14:paraId="25314A36" w14:textId="5BA28D30" w:rsidR="0095785D" w:rsidRDefault="0095785D" w:rsidP="004C3099">
            <w:pPr>
              <w:pStyle w:val="BodyText"/>
              <w:spacing w:after="0" w:line="240" w:lineRule="auto"/>
              <w:contextualSpacing/>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 $6,496</w:t>
            </w:r>
          </w:p>
        </w:tc>
      </w:tr>
    </w:tbl>
    <w:p w14:paraId="14D940A3" w14:textId="77777777" w:rsidR="003952F2" w:rsidRDefault="003952F2" w:rsidP="004C3099">
      <w:pPr>
        <w:pStyle w:val="BodyText"/>
        <w:spacing w:after="0" w:line="240" w:lineRule="auto"/>
        <w:contextualSpacing/>
        <w:rPr>
          <w:rFonts w:ascii="Times New Roman" w:eastAsia="Times New Roman" w:hAnsi="Times New Roman"/>
          <w:sz w:val="24"/>
          <w:szCs w:val="24"/>
        </w:rPr>
      </w:pPr>
    </w:p>
    <w:p w14:paraId="2371E74A" w14:textId="1C980D58" w:rsidR="00424D0B" w:rsidRDefault="00424D0B" w:rsidP="00424D0B">
      <w:pPr>
        <w:pStyle w:val="BodyText"/>
        <w:spacing w:after="0"/>
        <w:contextualSpacing/>
        <w:rPr>
          <w:rFonts w:ascii="Times New Roman" w:eastAsia="Times New Roman" w:hAnsi="Times New Roman"/>
          <w:sz w:val="24"/>
          <w:szCs w:val="24"/>
        </w:rPr>
      </w:pPr>
      <w:r w:rsidRPr="00AC18DF">
        <w:rPr>
          <w:rFonts w:ascii="Times New Roman" w:eastAsia="Times New Roman" w:hAnsi="Times New Roman"/>
          <w:sz w:val="24"/>
          <w:szCs w:val="24"/>
        </w:rPr>
        <w:t xml:space="preserve">Because the respondents for 0764 and 0272 are the same, </w:t>
      </w:r>
      <w:r>
        <w:rPr>
          <w:rFonts w:ascii="Times New Roman" w:eastAsia="Times New Roman" w:hAnsi="Times New Roman"/>
          <w:sz w:val="24"/>
          <w:szCs w:val="24"/>
        </w:rPr>
        <w:t>merging these collections</w:t>
      </w:r>
      <w:r w:rsidRPr="00AC18DF">
        <w:rPr>
          <w:rFonts w:ascii="Times New Roman" w:eastAsia="Times New Roman" w:hAnsi="Times New Roman"/>
          <w:sz w:val="24"/>
          <w:szCs w:val="24"/>
        </w:rPr>
        <w:t xml:space="preserve"> </w:t>
      </w:r>
      <w:r w:rsidR="00F0379E">
        <w:rPr>
          <w:rFonts w:ascii="Times New Roman" w:eastAsia="Times New Roman" w:hAnsi="Times New Roman"/>
          <w:sz w:val="24"/>
          <w:szCs w:val="24"/>
        </w:rPr>
        <w:t>does</w:t>
      </w:r>
      <w:r w:rsidRPr="00AC18DF">
        <w:rPr>
          <w:rFonts w:ascii="Times New Roman" w:eastAsia="Times New Roman" w:hAnsi="Times New Roman"/>
          <w:sz w:val="24"/>
          <w:szCs w:val="24"/>
        </w:rPr>
        <w:t xml:space="preserve"> not change the number of respondents. Merging 0758 with 0272 add</w:t>
      </w:r>
      <w:r w:rsidR="0091623D">
        <w:rPr>
          <w:rFonts w:ascii="Times New Roman" w:eastAsia="Times New Roman" w:hAnsi="Times New Roman"/>
          <w:sz w:val="24"/>
          <w:szCs w:val="24"/>
        </w:rPr>
        <w:t>s</w:t>
      </w:r>
      <w:r w:rsidRPr="00AC18DF">
        <w:rPr>
          <w:rFonts w:ascii="Times New Roman" w:eastAsia="Times New Roman" w:hAnsi="Times New Roman"/>
          <w:sz w:val="24"/>
          <w:szCs w:val="24"/>
        </w:rPr>
        <w:t xml:space="preserve"> one </w:t>
      </w:r>
      <w:r>
        <w:rPr>
          <w:rFonts w:ascii="Times New Roman" w:eastAsia="Times New Roman" w:hAnsi="Times New Roman"/>
          <w:sz w:val="24"/>
          <w:szCs w:val="24"/>
        </w:rPr>
        <w:t xml:space="preserve">new </w:t>
      </w:r>
      <w:r w:rsidRPr="00AC18DF">
        <w:rPr>
          <w:rFonts w:ascii="Times New Roman" w:eastAsia="Times New Roman" w:hAnsi="Times New Roman"/>
          <w:sz w:val="24"/>
          <w:szCs w:val="24"/>
        </w:rPr>
        <w:t>respondent</w:t>
      </w:r>
      <w:r>
        <w:rPr>
          <w:rFonts w:ascii="Times New Roman" w:eastAsia="Times New Roman" w:hAnsi="Times New Roman"/>
          <w:sz w:val="24"/>
          <w:szCs w:val="24"/>
        </w:rPr>
        <w:t>,</w:t>
      </w:r>
      <w:r w:rsidRPr="00AC18DF">
        <w:rPr>
          <w:rFonts w:ascii="Times New Roman" w:eastAsia="Times New Roman" w:hAnsi="Times New Roman"/>
          <w:sz w:val="24"/>
          <w:szCs w:val="24"/>
        </w:rPr>
        <w:t xml:space="preserve"> the RQE. After OMB approval, 0272 will have 2,794 </w:t>
      </w:r>
      <w:r w:rsidR="0095785D">
        <w:rPr>
          <w:rFonts w:ascii="Times New Roman" w:eastAsia="Times New Roman" w:hAnsi="Times New Roman"/>
          <w:sz w:val="24"/>
          <w:szCs w:val="24"/>
        </w:rPr>
        <w:t xml:space="preserve">unique </w:t>
      </w:r>
      <w:r w:rsidRPr="00AC18DF">
        <w:rPr>
          <w:rFonts w:ascii="Times New Roman" w:eastAsia="Times New Roman" w:hAnsi="Times New Roman"/>
          <w:sz w:val="24"/>
          <w:szCs w:val="24"/>
        </w:rPr>
        <w:t>respondents.</w:t>
      </w:r>
    </w:p>
    <w:p w14:paraId="0A483A7D" w14:textId="77777777" w:rsidR="0041301D" w:rsidRDefault="0041301D" w:rsidP="00424D0B">
      <w:pPr>
        <w:pStyle w:val="BodyText"/>
        <w:spacing w:after="0" w:line="240" w:lineRule="auto"/>
        <w:contextualSpacing/>
        <w:rPr>
          <w:rFonts w:ascii="Times New Roman" w:eastAsia="Times New Roman" w:hAnsi="Times New Roman"/>
          <w:sz w:val="24"/>
          <w:szCs w:val="24"/>
        </w:rPr>
      </w:pPr>
    </w:p>
    <w:p w14:paraId="522B2F74" w14:textId="43F5F338" w:rsidR="0041301D" w:rsidRDefault="0041301D" w:rsidP="00424D0B">
      <w:pPr>
        <w:pStyle w:val="BodyT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Merging 0758 and 0764 with 0272 add</w:t>
      </w:r>
      <w:r w:rsidR="0091623D">
        <w:rPr>
          <w:rFonts w:ascii="Times New Roman" w:eastAsia="Times New Roman" w:hAnsi="Times New Roman"/>
          <w:sz w:val="24"/>
          <w:szCs w:val="24"/>
        </w:rPr>
        <w:t>s</w:t>
      </w:r>
      <w:r w:rsidR="00424D0B">
        <w:rPr>
          <w:rFonts w:ascii="Times New Roman" w:eastAsia="Times New Roman" w:hAnsi="Times New Roman"/>
          <w:sz w:val="24"/>
          <w:szCs w:val="24"/>
        </w:rPr>
        <w:t xml:space="preserve"> </w:t>
      </w:r>
      <w:r w:rsidR="00F0379E">
        <w:rPr>
          <w:rFonts w:ascii="Times New Roman" w:eastAsia="Times New Roman" w:hAnsi="Times New Roman"/>
          <w:sz w:val="24"/>
          <w:szCs w:val="24"/>
        </w:rPr>
        <w:t>291</w:t>
      </w:r>
      <w:r w:rsidR="00424D0B">
        <w:rPr>
          <w:rFonts w:ascii="Times New Roman" w:eastAsia="Times New Roman" w:hAnsi="Times New Roman"/>
          <w:sz w:val="24"/>
          <w:szCs w:val="24"/>
        </w:rPr>
        <w:t xml:space="preserve"> responses</w:t>
      </w:r>
      <w:r w:rsidR="00F0379E">
        <w:rPr>
          <w:rFonts w:ascii="Times New Roman" w:eastAsia="Times New Roman" w:hAnsi="Times New Roman"/>
          <w:sz w:val="24"/>
          <w:szCs w:val="24"/>
        </w:rPr>
        <w:t>;</w:t>
      </w:r>
      <w:r w:rsidR="00424D0B">
        <w:rPr>
          <w:rFonts w:ascii="Times New Roman" w:eastAsia="Times New Roman" w:hAnsi="Times New Roman"/>
          <w:sz w:val="24"/>
          <w:szCs w:val="24"/>
        </w:rPr>
        <w:t xml:space="preserve"> </w:t>
      </w:r>
      <w:r w:rsidR="00F0379E">
        <w:rPr>
          <w:rFonts w:ascii="Times New Roman" w:eastAsia="Times New Roman" w:hAnsi="Times New Roman"/>
          <w:sz w:val="24"/>
          <w:szCs w:val="24"/>
        </w:rPr>
        <w:t>761 burden hours;</w:t>
      </w:r>
      <w:r w:rsidR="00424D0B">
        <w:rPr>
          <w:rFonts w:ascii="Times New Roman" w:eastAsia="Times New Roman" w:hAnsi="Times New Roman"/>
          <w:sz w:val="24"/>
          <w:szCs w:val="24"/>
        </w:rPr>
        <w:t xml:space="preserve"> </w:t>
      </w:r>
      <w:r w:rsidR="00F0379E">
        <w:rPr>
          <w:rFonts w:ascii="Times New Roman" w:eastAsia="Times New Roman" w:hAnsi="Times New Roman"/>
          <w:sz w:val="24"/>
          <w:szCs w:val="24"/>
        </w:rPr>
        <w:t>$33,078 labor costs;</w:t>
      </w:r>
      <w:r w:rsidR="00424D0B">
        <w:rPr>
          <w:rFonts w:ascii="Times New Roman" w:eastAsia="Times New Roman" w:hAnsi="Times New Roman"/>
          <w:sz w:val="24"/>
          <w:szCs w:val="24"/>
        </w:rPr>
        <w:t xml:space="preserve"> and </w:t>
      </w:r>
      <w:r w:rsidR="00F0379E">
        <w:rPr>
          <w:rFonts w:ascii="Times New Roman" w:eastAsia="Times New Roman" w:hAnsi="Times New Roman"/>
          <w:sz w:val="24"/>
          <w:szCs w:val="24"/>
        </w:rPr>
        <w:t>$982</w:t>
      </w:r>
      <w:r w:rsidR="00424D0B">
        <w:rPr>
          <w:rFonts w:ascii="Times New Roman" w:eastAsia="Times New Roman" w:hAnsi="Times New Roman"/>
          <w:sz w:val="24"/>
          <w:szCs w:val="24"/>
        </w:rPr>
        <w:t xml:space="preserve"> recordkeeping and reporting costs. </w:t>
      </w:r>
    </w:p>
    <w:p w14:paraId="2C049A68" w14:textId="77777777" w:rsidR="0041301D" w:rsidRDefault="0041301D" w:rsidP="00424D0B">
      <w:pPr>
        <w:pStyle w:val="BodyText"/>
        <w:spacing w:after="0" w:line="240" w:lineRule="auto"/>
        <w:contextualSpacing/>
        <w:rPr>
          <w:rFonts w:ascii="Times New Roman" w:eastAsia="Times New Roman" w:hAnsi="Times New Roman"/>
          <w:sz w:val="24"/>
          <w:szCs w:val="24"/>
        </w:rPr>
      </w:pPr>
    </w:p>
    <w:p w14:paraId="0F713DD7" w14:textId="4CED9B57" w:rsidR="00424D0B" w:rsidRDefault="00424D0B" w:rsidP="00424D0B">
      <w:pPr>
        <w:pStyle w:val="BodyT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After approval the response and burden estimates for 0272 will be </w:t>
      </w:r>
      <w:r w:rsidR="0041301D">
        <w:rPr>
          <w:rFonts w:ascii="Times New Roman" w:eastAsia="Times New Roman" w:hAnsi="Times New Roman"/>
          <w:sz w:val="24"/>
          <w:szCs w:val="24"/>
        </w:rPr>
        <w:t>14,697</w:t>
      </w:r>
      <w:r w:rsidR="0041301D" w:rsidRPr="00424D0B">
        <w:rPr>
          <w:rFonts w:ascii="Times New Roman" w:eastAsia="Times New Roman" w:hAnsi="Times New Roman"/>
          <w:sz w:val="24"/>
          <w:szCs w:val="24"/>
        </w:rPr>
        <w:t xml:space="preserve"> </w:t>
      </w:r>
      <w:r w:rsidR="00F0379E">
        <w:rPr>
          <w:rFonts w:ascii="Times New Roman" w:eastAsia="Times New Roman" w:hAnsi="Times New Roman"/>
          <w:sz w:val="24"/>
          <w:szCs w:val="24"/>
        </w:rPr>
        <w:t>responses;</w:t>
      </w:r>
      <w:r w:rsidRPr="00424D0B">
        <w:rPr>
          <w:rFonts w:ascii="Times New Roman" w:eastAsia="Times New Roman" w:hAnsi="Times New Roman"/>
          <w:sz w:val="24"/>
          <w:szCs w:val="24"/>
        </w:rPr>
        <w:t xml:space="preserve"> </w:t>
      </w:r>
      <w:r w:rsidR="0041301D">
        <w:rPr>
          <w:rFonts w:ascii="Times New Roman" w:eastAsia="Times New Roman" w:hAnsi="Times New Roman"/>
          <w:sz w:val="24"/>
          <w:szCs w:val="24"/>
        </w:rPr>
        <w:t>5,741</w:t>
      </w:r>
      <w:r w:rsidR="0041301D" w:rsidRPr="00424D0B">
        <w:rPr>
          <w:rFonts w:ascii="Times New Roman" w:eastAsia="Times New Roman" w:hAnsi="Times New Roman"/>
          <w:sz w:val="24"/>
          <w:szCs w:val="24"/>
        </w:rPr>
        <w:t xml:space="preserve"> </w:t>
      </w:r>
      <w:r w:rsidR="00F0379E">
        <w:rPr>
          <w:rFonts w:ascii="Times New Roman" w:eastAsia="Times New Roman" w:hAnsi="Times New Roman"/>
          <w:sz w:val="24"/>
          <w:szCs w:val="24"/>
        </w:rPr>
        <w:t>burden hours;</w:t>
      </w:r>
      <w:r w:rsidRPr="00424D0B">
        <w:rPr>
          <w:rFonts w:ascii="Times New Roman" w:eastAsia="Times New Roman" w:hAnsi="Times New Roman"/>
          <w:sz w:val="24"/>
          <w:szCs w:val="24"/>
        </w:rPr>
        <w:t xml:space="preserve"> </w:t>
      </w:r>
      <w:r w:rsidR="0041301D">
        <w:rPr>
          <w:rFonts w:ascii="Times New Roman" w:eastAsia="Times New Roman" w:hAnsi="Times New Roman"/>
          <w:sz w:val="24"/>
          <w:szCs w:val="24"/>
        </w:rPr>
        <w:t>$217,486</w:t>
      </w:r>
      <w:r w:rsidR="0041301D" w:rsidRPr="00424D0B">
        <w:rPr>
          <w:rFonts w:ascii="Times New Roman" w:eastAsia="Times New Roman" w:hAnsi="Times New Roman"/>
          <w:sz w:val="24"/>
          <w:szCs w:val="24"/>
        </w:rPr>
        <w:t xml:space="preserve"> </w:t>
      </w:r>
      <w:r w:rsidR="00F0379E">
        <w:rPr>
          <w:rFonts w:ascii="Times New Roman" w:eastAsia="Times New Roman" w:hAnsi="Times New Roman"/>
          <w:sz w:val="24"/>
          <w:szCs w:val="24"/>
        </w:rPr>
        <w:t>labor costs;</w:t>
      </w:r>
      <w:r w:rsidRPr="00424D0B">
        <w:rPr>
          <w:rFonts w:ascii="Times New Roman" w:eastAsia="Times New Roman" w:hAnsi="Times New Roman"/>
          <w:sz w:val="24"/>
          <w:szCs w:val="24"/>
        </w:rPr>
        <w:t xml:space="preserve"> and </w:t>
      </w:r>
      <w:r w:rsidR="0041301D">
        <w:rPr>
          <w:rFonts w:ascii="Times New Roman" w:eastAsia="Times New Roman" w:hAnsi="Times New Roman"/>
          <w:sz w:val="24"/>
          <w:szCs w:val="24"/>
        </w:rPr>
        <w:t>$9,064</w:t>
      </w:r>
      <w:r w:rsidR="0041301D" w:rsidRPr="00424D0B">
        <w:rPr>
          <w:rFonts w:ascii="Times New Roman" w:eastAsia="Times New Roman" w:hAnsi="Times New Roman"/>
          <w:sz w:val="24"/>
          <w:szCs w:val="24"/>
        </w:rPr>
        <w:t xml:space="preserve"> </w:t>
      </w:r>
      <w:r w:rsidRPr="00424D0B">
        <w:rPr>
          <w:rFonts w:ascii="Times New Roman" w:eastAsia="Times New Roman" w:hAnsi="Times New Roman"/>
          <w:sz w:val="24"/>
          <w:szCs w:val="24"/>
        </w:rPr>
        <w:t>recordkeeping and reporting costs</w:t>
      </w:r>
      <w:r>
        <w:rPr>
          <w:rFonts w:ascii="Times New Roman" w:eastAsia="Times New Roman" w:hAnsi="Times New Roman"/>
          <w:sz w:val="24"/>
          <w:szCs w:val="24"/>
        </w:rPr>
        <w:t>.</w:t>
      </w:r>
    </w:p>
    <w:p w14:paraId="155C97DC" w14:textId="77777777" w:rsidR="00424D0B" w:rsidRPr="00AC18DF" w:rsidRDefault="00424D0B" w:rsidP="00424D0B">
      <w:pPr>
        <w:pStyle w:val="BodyText"/>
        <w:spacing w:after="0"/>
        <w:contextualSpacing/>
        <w:rPr>
          <w:rFonts w:ascii="Times New Roman" w:eastAsia="Times New Roman" w:hAnsi="Times New Roman"/>
          <w:sz w:val="24"/>
          <w:szCs w:val="24"/>
        </w:rPr>
      </w:pPr>
    </w:p>
    <w:p w14:paraId="195BF7DF" w14:textId="02EB86AE" w:rsidR="00424D0B" w:rsidRPr="00AF1BAB" w:rsidRDefault="00424D0B" w:rsidP="00424D0B">
      <w:pPr>
        <w:pStyle w:val="BodyText"/>
        <w:spacing w:after="0"/>
        <w:contextualSpacing/>
        <w:rPr>
          <w:rFonts w:ascii="Times New Roman" w:eastAsia="Times New Roman" w:hAnsi="Times New Roman"/>
          <w:strike/>
          <w:sz w:val="24"/>
          <w:szCs w:val="24"/>
        </w:rPr>
      </w:pPr>
      <w:r w:rsidRPr="00273ADE">
        <w:rPr>
          <w:rFonts w:ascii="Times New Roman" w:eastAsia="Times New Roman" w:hAnsi="Times New Roman"/>
          <w:sz w:val="24"/>
          <w:szCs w:val="24"/>
        </w:rPr>
        <w:t>A cost recovery program is in effect for the IFQ Program</w:t>
      </w:r>
      <w:r>
        <w:rPr>
          <w:rFonts w:ascii="Times New Roman" w:eastAsia="Times New Roman" w:hAnsi="Times New Roman"/>
          <w:sz w:val="24"/>
          <w:szCs w:val="24"/>
        </w:rPr>
        <w:t>; therefore</w:t>
      </w:r>
      <w:r w:rsidRPr="00273ADE">
        <w:t xml:space="preserve"> </w:t>
      </w:r>
      <w:r w:rsidRPr="00273ADE">
        <w:rPr>
          <w:rFonts w:ascii="Times New Roman" w:eastAsia="Times New Roman" w:hAnsi="Times New Roman"/>
          <w:sz w:val="24"/>
          <w:szCs w:val="24"/>
        </w:rPr>
        <w:t>the</w:t>
      </w:r>
      <w:r>
        <w:rPr>
          <w:rFonts w:ascii="Times New Roman" w:eastAsia="Times New Roman" w:hAnsi="Times New Roman"/>
          <w:sz w:val="24"/>
          <w:szCs w:val="24"/>
        </w:rPr>
        <w:t xml:space="preserve"> </w:t>
      </w:r>
      <w:r w:rsidRPr="00273ADE">
        <w:rPr>
          <w:rFonts w:ascii="Times New Roman" w:eastAsia="Times New Roman" w:hAnsi="Times New Roman"/>
          <w:sz w:val="24"/>
          <w:szCs w:val="24"/>
        </w:rPr>
        <w:t>information collection requirements of the IFQ Program do not impose a cost on the Federal</w:t>
      </w:r>
      <w:r>
        <w:rPr>
          <w:rFonts w:ascii="Times New Roman" w:eastAsia="Times New Roman" w:hAnsi="Times New Roman"/>
          <w:sz w:val="24"/>
          <w:szCs w:val="24"/>
        </w:rPr>
        <w:t xml:space="preserve"> </w:t>
      </w:r>
      <w:r w:rsidRPr="00273ADE">
        <w:rPr>
          <w:rFonts w:ascii="Times New Roman" w:eastAsia="Times New Roman" w:hAnsi="Times New Roman"/>
          <w:sz w:val="24"/>
          <w:szCs w:val="24"/>
        </w:rPr>
        <w:t>Government. Under this cost recovery program,</w:t>
      </w:r>
      <w:r>
        <w:rPr>
          <w:rFonts w:ascii="Times New Roman" w:eastAsia="Times New Roman" w:hAnsi="Times New Roman"/>
          <w:sz w:val="24"/>
          <w:szCs w:val="24"/>
        </w:rPr>
        <w:t xml:space="preserve"> </w:t>
      </w:r>
      <w:r w:rsidRPr="00273ADE">
        <w:rPr>
          <w:rFonts w:ascii="Times New Roman" w:eastAsia="Times New Roman" w:hAnsi="Times New Roman"/>
          <w:sz w:val="24"/>
          <w:szCs w:val="24"/>
        </w:rPr>
        <w:t>NMFS is authorized to collect direct program costs from the permit holders. Direct program costs are the costs NMFS incurs to manage, collect data from, and</w:t>
      </w:r>
      <w:r>
        <w:rPr>
          <w:rFonts w:ascii="Times New Roman" w:eastAsia="Times New Roman" w:hAnsi="Times New Roman"/>
          <w:sz w:val="24"/>
          <w:szCs w:val="24"/>
        </w:rPr>
        <w:t xml:space="preserve"> </w:t>
      </w:r>
      <w:r w:rsidRPr="00273ADE">
        <w:rPr>
          <w:rFonts w:ascii="Times New Roman" w:eastAsia="Times New Roman" w:hAnsi="Times New Roman"/>
          <w:sz w:val="24"/>
          <w:szCs w:val="24"/>
        </w:rPr>
        <w:t>enforce the IFQ Program</w:t>
      </w:r>
      <w:r>
        <w:rPr>
          <w:rFonts w:ascii="Times New Roman" w:eastAsia="Times New Roman" w:hAnsi="Times New Roman"/>
          <w:sz w:val="24"/>
          <w:szCs w:val="24"/>
        </w:rPr>
        <w:t>.</w:t>
      </w:r>
    </w:p>
    <w:sectPr w:rsidR="00424D0B" w:rsidRPr="00AF1BAB">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4C7DB1" w14:textId="77777777" w:rsidR="003F0547" w:rsidRDefault="003F0547" w:rsidP="00C31F5E">
      <w:pPr>
        <w:spacing w:after="0" w:line="240" w:lineRule="auto"/>
      </w:pPr>
      <w:r>
        <w:separator/>
      </w:r>
    </w:p>
  </w:endnote>
  <w:endnote w:type="continuationSeparator" w:id="0">
    <w:p w14:paraId="1ACF2913" w14:textId="77777777" w:rsidR="003F0547" w:rsidRDefault="003F0547" w:rsidP="00C31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840477"/>
      <w:docPartObj>
        <w:docPartGallery w:val="Page Numbers (Bottom of Page)"/>
        <w:docPartUnique/>
      </w:docPartObj>
    </w:sdtPr>
    <w:sdtEndPr>
      <w:rPr>
        <w:noProof/>
      </w:rPr>
    </w:sdtEndPr>
    <w:sdtContent>
      <w:p w14:paraId="7018E78C" w14:textId="438AD897" w:rsidR="004B3E75" w:rsidRDefault="004B3E75">
        <w:pPr>
          <w:pStyle w:val="Footer"/>
          <w:jc w:val="center"/>
        </w:pPr>
        <w:r>
          <w:fldChar w:fldCharType="begin"/>
        </w:r>
        <w:r>
          <w:instrText xml:space="preserve"> PAGE   \* MERGEFORMAT </w:instrText>
        </w:r>
        <w:r>
          <w:fldChar w:fldCharType="separate"/>
        </w:r>
        <w:r w:rsidR="00E37C94">
          <w:rPr>
            <w:noProof/>
          </w:rPr>
          <w:t>1</w:t>
        </w:r>
        <w:r>
          <w:rPr>
            <w:noProof/>
          </w:rPr>
          <w:fldChar w:fldCharType="end"/>
        </w:r>
      </w:p>
    </w:sdtContent>
  </w:sdt>
  <w:p w14:paraId="0677E0F8" w14:textId="77777777" w:rsidR="004B3E75" w:rsidRDefault="004B3E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82E49F" w14:textId="77777777" w:rsidR="003F0547" w:rsidRDefault="003F0547" w:rsidP="00C31F5E">
      <w:pPr>
        <w:spacing w:after="0" w:line="240" w:lineRule="auto"/>
      </w:pPr>
      <w:r>
        <w:separator/>
      </w:r>
    </w:p>
  </w:footnote>
  <w:footnote w:type="continuationSeparator" w:id="0">
    <w:p w14:paraId="19243ACE" w14:textId="77777777" w:rsidR="003F0547" w:rsidRDefault="003F0547" w:rsidP="00C31F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3610F"/>
    <w:multiLevelType w:val="hybridMultilevel"/>
    <w:tmpl w:val="AA1A3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EE4B96"/>
    <w:multiLevelType w:val="hybridMultilevel"/>
    <w:tmpl w:val="BABC6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ah Brabson">
    <w15:presenceInfo w15:providerId="None" w15:userId="Sarah Brab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6E6"/>
    <w:rsid w:val="000011D7"/>
    <w:rsid w:val="00022F41"/>
    <w:rsid w:val="00025E9C"/>
    <w:rsid w:val="00026206"/>
    <w:rsid w:val="00043AD7"/>
    <w:rsid w:val="00044FE6"/>
    <w:rsid w:val="000532A0"/>
    <w:rsid w:val="00056B4B"/>
    <w:rsid w:val="000743D8"/>
    <w:rsid w:val="0007445B"/>
    <w:rsid w:val="00076F95"/>
    <w:rsid w:val="0008441A"/>
    <w:rsid w:val="00084A26"/>
    <w:rsid w:val="0008633D"/>
    <w:rsid w:val="00096B70"/>
    <w:rsid w:val="000A18A9"/>
    <w:rsid w:val="000A6B42"/>
    <w:rsid w:val="000D38BB"/>
    <w:rsid w:val="000E2B25"/>
    <w:rsid w:val="000F6FF0"/>
    <w:rsid w:val="00104315"/>
    <w:rsid w:val="001121A5"/>
    <w:rsid w:val="00116ACE"/>
    <w:rsid w:val="00124A90"/>
    <w:rsid w:val="00142406"/>
    <w:rsid w:val="001524D7"/>
    <w:rsid w:val="00174976"/>
    <w:rsid w:val="00181064"/>
    <w:rsid w:val="00181B9D"/>
    <w:rsid w:val="001824DC"/>
    <w:rsid w:val="00192314"/>
    <w:rsid w:val="00192C24"/>
    <w:rsid w:val="00194928"/>
    <w:rsid w:val="001A7B9B"/>
    <w:rsid w:val="001A7C44"/>
    <w:rsid w:val="001B4C5D"/>
    <w:rsid w:val="001C6BA9"/>
    <w:rsid w:val="001C7EA1"/>
    <w:rsid w:val="00204624"/>
    <w:rsid w:val="00211D68"/>
    <w:rsid w:val="00220A47"/>
    <w:rsid w:val="0022246A"/>
    <w:rsid w:val="00230836"/>
    <w:rsid w:val="002344BB"/>
    <w:rsid w:val="0024449A"/>
    <w:rsid w:val="00270CD7"/>
    <w:rsid w:val="00273706"/>
    <w:rsid w:val="00273ADE"/>
    <w:rsid w:val="00283D1C"/>
    <w:rsid w:val="00285B90"/>
    <w:rsid w:val="00287C15"/>
    <w:rsid w:val="002A32C9"/>
    <w:rsid w:val="002A38E7"/>
    <w:rsid w:val="002B0FBA"/>
    <w:rsid w:val="00304FCB"/>
    <w:rsid w:val="003170DF"/>
    <w:rsid w:val="00317E7D"/>
    <w:rsid w:val="0034174E"/>
    <w:rsid w:val="00361938"/>
    <w:rsid w:val="0037014F"/>
    <w:rsid w:val="00392A35"/>
    <w:rsid w:val="003952F2"/>
    <w:rsid w:val="003A67C5"/>
    <w:rsid w:val="003B37AC"/>
    <w:rsid w:val="003B3AD8"/>
    <w:rsid w:val="003C187F"/>
    <w:rsid w:val="003C6FF1"/>
    <w:rsid w:val="003F0547"/>
    <w:rsid w:val="003F107D"/>
    <w:rsid w:val="003F6FF4"/>
    <w:rsid w:val="004011C7"/>
    <w:rsid w:val="00405E75"/>
    <w:rsid w:val="004079C7"/>
    <w:rsid w:val="0041301D"/>
    <w:rsid w:val="0041591A"/>
    <w:rsid w:val="00417FF9"/>
    <w:rsid w:val="00420C3A"/>
    <w:rsid w:val="00423727"/>
    <w:rsid w:val="00424D0B"/>
    <w:rsid w:val="004630BC"/>
    <w:rsid w:val="00476520"/>
    <w:rsid w:val="00495548"/>
    <w:rsid w:val="00495E5A"/>
    <w:rsid w:val="004A3A7F"/>
    <w:rsid w:val="004B0166"/>
    <w:rsid w:val="004B3E75"/>
    <w:rsid w:val="004B426B"/>
    <w:rsid w:val="004B4C83"/>
    <w:rsid w:val="004B6ED1"/>
    <w:rsid w:val="004C126F"/>
    <w:rsid w:val="004C3099"/>
    <w:rsid w:val="004D633F"/>
    <w:rsid w:val="004D7A2A"/>
    <w:rsid w:val="004E33FE"/>
    <w:rsid w:val="004F4BDC"/>
    <w:rsid w:val="00500EC4"/>
    <w:rsid w:val="0051658C"/>
    <w:rsid w:val="00522D1E"/>
    <w:rsid w:val="00541F19"/>
    <w:rsid w:val="0056761A"/>
    <w:rsid w:val="00571C8A"/>
    <w:rsid w:val="00577B23"/>
    <w:rsid w:val="00582776"/>
    <w:rsid w:val="00583958"/>
    <w:rsid w:val="005865CC"/>
    <w:rsid w:val="005940A5"/>
    <w:rsid w:val="00595619"/>
    <w:rsid w:val="005A0423"/>
    <w:rsid w:val="005A11C0"/>
    <w:rsid w:val="005C0DC1"/>
    <w:rsid w:val="005C4462"/>
    <w:rsid w:val="005E2BA0"/>
    <w:rsid w:val="005E60C9"/>
    <w:rsid w:val="005F0DDD"/>
    <w:rsid w:val="006005D2"/>
    <w:rsid w:val="0062158C"/>
    <w:rsid w:val="00622077"/>
    <w:rsid w:val="006417ED"/>
    <w:rsid w:val="00643289"/>
    <w:rsid w:val="0065709D"/>
    <w:rsid w:val="006624A4"/>
    <w:rsid w:val="0066532B"/>
    <w:rsid w:val="0067427A"/>
    <w:rsid w:val="00680A20"/>
    <w:rsid w:val="00681116"/>
    <w:rsid w:val="006825F7"/>
    <w:rsid w:val="0069464A"/>
    <w:rsid w:val="006B3DCF"/>
    <w:rsid w:val="006C028C"/>
    <w:rsid w:val="006E106C"/>
    <w:rsid w:val="006E19F9"/>
    <w:rsid w:val="0071052D"/>
    <w:rsid w:val="007116F3"/>
    <w:rsid w:val="007132D6"/>
    <w:rsid w:val="00717C97"/>
    <w:rsid w:val="00723A8D"/>
    <w:rsid w:val="007243AA"/>
    <w:rsid w:val="00733E51"/>
    <w:rsid w:val="007345BC"/>
    <w:rsid w:val="00734932"/>
    <w:rsid w:val="00742A4F"/>
    <w:rsid w:val="00746D87"/>
    <w:rsid w:val="00756982"/>
    <w:rsid w:val="00772276"/>
    <w:rsid w:val="007842A6"/>
    <w:rsid w:val="00786D35"/>
    <w:rsid w:val="00792479"/>
    <w:rsid w:val="00795099"/>
    <w:rsid w:val="007A1647"/>
    <w:rsid w:val="007A536A"/>
    <w:rsid w:val="007C0761"/>
    <w:rsid w:val="007C5929"/>
    <w:rsid w:val="007E6594"/>
    <w:rsid w:val="007F6DC4"/>
    <w:rsid w:val="00812A57"/>
    <w:rsid w:val="00812F4B"/>
    <w:rsid w:val="00830D83"/>
    <w:rsid w:val="0085646A"/>
    <w:rsid w:val="0086068F"/>
    <w:rsid w:val="00875EAA"/>
    <w:rsid w:val="008918AC"/>
    <w:rsid w:val="008A700D"/>
    <w:rsid w:val="008D032B"/>
    <w:rsid w:val="008D626B"/>
    <w:rsid w:val="008F6B60"/>
    <w:rsid w:val="0090630B"/>
    <w:rsid w:val="0091623D"/>
    <w:rsid w:val="00916754"/>
    <w:rsid w:val="009256C5"/>
    <w:rsid w:val="009343A9"/>
    <w:rsid w:val="00943BF8"/>
    <w:rsid w:val="0094581D"/>
    <w:rsid w:val="00956606"/>
    <w:rsid w:val="0095785D"/>
    <w:rsid w:val="00960689"/>
    <w:rsid w:val="00982651"/>
    <w:rsid w:val="00985CC7"/>
    <w:rsid w:val="00987451"/>
    <w:rsid w:val="0099441D"/>
    <w:rsid w:val="009D6EDC"/>
    <w:rsid w:val="00A118BB"/>
    <w:rsid w:val="00A2152B"/>
    <w:rsid w:val="00A22FBB"/>
    <w:rsid w:val="00A25B92"/>
    <w:rsid w:val="00A340CE"/>
    <w:rsid w:val="00A52443"/>
    <w:rsid w:val="00A66D7D"/>
    <w:rsid w:val="00A750FE"/>
    <w:rsid w:val="00A77E4A"/>
    <w:rsid w:val="00A80069"/>
    <w:rsid w:val="00A813A8"/>
    <w:rsid w:val="00A84150"/>
    <w:rsid w:val="00A8472E"/>
    <w:rsid w:val="00A95C54"/>
    <w:rsid w:val="00AB0493"/>
    <w:rsid w:val="00AB6CE9"/>
    <w:rsid w:val="00AC18DF"/>
    <w:rsid w:val="00AD0559"/>
    <w:rsid w:val="00AD11E7"/>
    <w:rsid w:val="00AD2EBB"/>
    <w:rsid w:val="00AD3A93"/>
    <w:rsid w:val="00AE21F0"/>
    <w:rsid w:val="00AF04BE"/>
    <w:rsid w:val="00AF1BAB"/>
    <w:rsid w:val="00AF6683"/>
    <w:rsid w:val="00B052A1"/>
    <w:rsid w:val="00B12840"/>
    <w:rsid w:val="00B45F9E"/>
    <w:rsid w:val="00B50DB8"/>
    <w:rsid w:val="00B63B60"/>
    <w:rsid w:val="00B86381"/>
    <w:rsid w:val="00B874D1"/>
    <w:rsid w:val="00B97BE6"/>
    <w:rsid w:val="00BC11ED"/>
    <w:rsid w:val="00BC146F"/>
    <w:rsid w:val="00BC3078"/>
    <w:rsid w:val="00BC36E6"/>
    <w:rsid w:val="00BD0AAB"/>
    <w:rsid w:val="00BD7256"/>
    <w:rsid w:val="00BE1E35"/>
    <w:rsid w:val="00BE4D18"/>
    <w:rsid w:val="00BE64DC"/>
    <w:rsid w:val="00BE7B36"/>
    <w:rsid w:val="00C107A7"/>
    <w:rsid w:val="00C1760D"/>
    <w:rsid w:val="00C31F5E"/>
    <w:rsid w:val="00C513F6"/>
    <w:rsid w:val="00C6781C"/>
    <w:rsid w:val="00C73C01"/>
    <w:rsid w:val="00CA2673"/>
    <w:rsid w:val="00CB28D1"/>
    <w:rsid w:val="00CC1008"/>
    <w:rsid w:val="00CC22FD"/>
    <w:rsid w:val="00D02459"/>
    <w:rsid w:val="00D217CF"/>
    <w:rsid w:val="00D33686"/>
    <w:rsid w:val="00D44F94"/>
    <w:rsid w:val="00D744F0"/>
    <w:rsid w:val="00D877C4"/>
    <w:rsid w:val="00D973BA"/>
    <w:rsid w:val="00D97901"/>
    <w:rsid w:val="00DB4CA2"/>
    <w:rsid w:val="00DE2E5D"/>
    <w:rsid w:val="00DE39D3"/>
    <w:rsid w:val="00E07E82"/>
    <w:rsid w:val="00E216EA"/>
    <w:rsid w:val="00E226C3"/>
    <w:rsid w:val="00E2737B"/>
    <w:rsid w:val="00E37C94"/>
    <w:rsid w:val="00E56D72"/>
    <w:rsid w:val="00E714BA"/>
    <w:rsid w:val="00E77730"/>
    <w:rsid w:val="00E848C2"/>
    <w:rsid w:val="00E86D28"/>
    <w:rsid w:val="00EC54E6"/>
    <w:rsid w:val="00ED2DF6"/>
    <w:rsid w:val="00ED7B57"/>
    <w:rsid w:val="00EE37CD"/>
    <w:rsid w:val="00EE6182"/>
    <w:rsid w:val="00EF38BE"/>
    <w:rsid w:val="00EF7BB1"/>
    <w:rsid w:val="00F00D4E"/>
    <w:rsid w:val="00F02510"/>
    <w:rsid w:val="00F02991"/>
    <w:rsid w:val="00F03675"/>
    <w:rsid w:val="00F0379E"/>
    <w:rsid w:val="00F57CE7"/>
    <w:rsid w:val="00F61ECC"/>
    <w:rsid w:val="00F702FE"/>
    <w:rsid w:val="00F902A9"/>
    <w:rsid w:val="00F91D5D"/>
    <w:rsid w:val="00FA0FE6"/>
    <w:rsid w:val="00FA56A3"/>
    <w:rsid w:val="00FA6532"/>
    <w:rsid w:val="00FC3AE2"/>
    <w:rsid w:val="00FD26DD"/>
    <w:rsid w:val="00FE4D03"/>
    <w:rsid w:val="00FE5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8B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EBB"/>
    <w:pPr>
      <w:spacing w:after="160"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31F5E"/>
    <w:pPr>
      <w:spacing w:after="120"/>
    </w:pPr>
  </w:style>
  <w:style w:type="character" w:customStyle="1" w:styleId="BodyTextChar">
    <w:name w:val="Body Text Char"/>
    <w:basedOn w:val="DefaultParagraphFont"/>
    <w:link w:val="BodyText"/>
    <w:uiPriority w:val="99"/>
    <w:rsid w:val="00C31F5E"/>
    <w:rPr>
      <w:rFonts w:ascii="Calibri" w:eastAsia="Calibri" w:hAnsi="Calibri" w:cs="Times New Roman"/>
    </w:rPr>
  </w:style>
  <w:style w:type="character" w:customStyle="1" w:styleId="Hyperlink1">
    <w:name w:val="Hyperlink1"/>
    <w:basedOn w:val="DefaultParagraphFont"/>
    <w:uiPriority w:val="99"/>
    <w:unhideWhenUsed/>
    <w:rsid w:val="00C31F5E"/>
    <w:rPr>
      <w:color w:val="0000FF"/>
      <w:u w:val="single"/>
    </w:rPr>
  </w:style>
  <w:style w:type="paragraph" w:styleId="FootnoteText">
    <w:name w:val="footnote text"/>
    <w:basedOn w:val="Normal"/>
    <w:link w:val="FootnoteTextChar"/>
    <w:uiPriority w:val="99"/>
    <w:semiHidden/>
    <w:unhideWhenUsed/>
    <w:rsid w:val="00C31F5E"/>
    <w:pPr>
      <w:widowControl w:val="0"/>
      <w:autoSpaceDE w:val="0"/>
      <w:autoSpaceDN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C31F5E"/>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31F5E"/>
    <w:rPr>
      <w:vertAlign w:val="superscript"/>
    </w:rPr>
  </w:style>
  <w:style w:type="character" w:styleId="Hyperlink">
    <w:name w:val="Hyperlink"/>
    <w:basedOn w:val="DefaultParagraphFont"/>
    <w:uiPriority w:val="99"/>
    <w:unhideWhenUsed/>
    <w:rsid w:val="00C31F5E"/>
    <w:rPr>
      <w:color w:val="0000FF" w:themeColor="hyperlink"/>
      <w:u w:val="single"/>
    </w:rPr>
  </w:style>
  <w:style w:type="character" w:styleId="CommentReference">
    <w:name w:val="annotation reference"/>
    <w:basedOn w:val="DefaultParagraphFont"/>
    <w:uiPriority w:val="99"/>
    <w:semiHidden/>
    <w:unhideWhenUsed/>
    <w:rsid w:val="00076F95"/>
    <w:rPr>
      <w:sz w:val="16"/>
      <w:szCs w:val="16"/>
    </w:rPr>
  </w:style>
  <w:style w:type="paragraph" w:styleId="CommentText">
    <w:name w:val="annotation text"/>
    <w:basedOn w:val="Normal"/>
    <w:link w:val="CommentTextChar"/>
    <w:uiPriority w:val="99"/>
    <w:semiHidden/>
    <w:unhideWhenUsed/>
    <w:rsid w:val="00076F95"/>
    <w:pPr>
      <w:spacing w:line="240" w:lineRule="auto"/>
    </w:pPr>
    <w:rPr>
      <w:sz w:val="20"/>
      <w:szCs w:val="20"/>
    </w:rPr>
  </w:style>
  <w:style w:type="character" w:customStyle="1" w:styleId="CommentTextChar">
    <w:name w:val="Comment Text Char"/>
    <w:basedOn w:val="DefaultParagraphFont"/>
    <w:link w:val="CommentText"/>
    <w:uiPriority w:val="99"/>
    <w:semiHidden/>
    <w:rsid w:val="00076F9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76F95"/>
    <w:rPr>
      <w:b/>
      <w:bCs/>
    </w:rPr>
  </w:style>
  <w:style w:type="character" w:customStyle="1" w:styleId="CommentSubjectChar">
    <w:name w:val="Comment Subject Char"/>
    <w:basedOn w:val="CommentTextChar"/>
    <w:link w:val="CommentSubject"/>
    <w:uiPriority w:val="99"/>
    <w:semiHidden/>
    <w:rsid w:val="00076F9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76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F95"/>
    <w:rPr>
      <w:rFonts w:ascii="Tahoma" w:eastAsia="Calibri" w:hAnsi="Tahoma" w:cs="Tahoma"/>
      <w:sz w:val="16"/>
      <w:szCs w:val="16"/>
    </w:rPr>
  </w:style>
  <w:style w:type="paragraph" w:styleId="Header">
    <w:name w:val="header"/>
    <w:basedOn w:val="Normal"/>
    <w:link w:val="HeaderChar"/>
    <w:uiPriority w:val="99"/>
    <w:unhideWhenUsed/>
    <w:rsid w:val="004B3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E75"/>
    <w:rPr>
      <w:rFonts w:ascii="Calibri" w:eastAsia="Calibri" w:hAnsi="Calibri" w:cs="Times New Roman"/>
    </w:rPr>
  </w:style>
  <w:style w:type="paragraph" w:styleId="Footer">
    <w:name w:val="footer"/>
    <w:basedOn w:val="Normal"/>
    <w:link w:val="FooterChar"/>
    <w:uiPriority w:val="99"/>
    <w:unhideWhenUsed/>
    <w:rsid w:val="004B3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E75"/>
    <w:rPr>
      <w:rFonts w:ascii="Calibri" w:eastAsia="Calibri" w:hAnsi="Calibri" w:cs="Times New Roman"/>
    </w:rPr>
  </w:style>
  <w:style w:type="table" w:styleId="TableGrid">
    <w:name w:val="Table Grid"/>
    <w:basedOn w:val="TableNormal"/>
    <w:uiPriority w:val="59"/>
    <w:rsid w:val="003952F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2737B"/>
    <w:rPr>
      <w:color w:val="800080" w:themeColor="followedHyperlink"/>
      <w:u w:val="single"/>
    </w:rPr>
  </w:style>
  <w:style w:type="paragraph" w:styleId="ListParagraph">
    <w:name w:val="List Paragraph"/>
    <w:basedOn w:val="Normal"/>
    <w:uiPriority w:val="34"/>
    <w:qFormat/>
    <w:rsid w:val="004C30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EBB"/>
    <w:pPr>
      <w:spacing w:after="160"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31F5E"/>
    <w:pPr>
      <w:spacing w:after="120"/>
    </w:pPr>
  </w:style>
  <w:style w:type="character" w:customStyle="1" w:styleId="BodyTextChar">
    <w:name w:val="Body Text Char"/>
    <w:basedOn w:val="DefaultParagraphFont"/>
    <w:link w:val="BodyText"/>
    <w:uiPriority w:val="99"/>
    <w:rsid w:val="00C31F5E"/>
    <w:rPr>
      <w:rFonts w:ascii="Calibri" w:eastAsia="Calibri" w:hAnsi="Calibri" w:cs="Times New Roman"/>
    </w:rPr>
  </w:style>
  <w:style w:type="character" w:customStyle="1" w:styleId="Hyperlink1">
    <w:name w:val="Hyperlink1"/>
    <w:basedOn w:val="DefaultParagraphFont"/>
    <w:uiPriority w:val="99"/>
    <w:unhideWhenUsed/>
    <w:rsid w:val="00C31F5E"/>
    <w:rPr>
      <w:color w:val="0000FF"/>
      <w:u w:val="single"/>
    </w:rPr>
  </w:style>
  <w:style w:type="paragraph" w:styleId="FootnoteText">
    <w:name w:val="footnote text"/>
    <w:basedOn w:val="Normal"/>
    <w:link w:val="FootnoteTextChar"/>
    <w:uiPriority w:val="99"/>
    <w:semiHidden/>
    <w:unhideWhenUsed/>
    <w:rsid w:val="00C31F5E"/>
    <w:pPr>
      <w:widowControl w:val="0"/>
      <w:autoSpaceDE w:val="0"/>
      <w:autoSpaceDN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C31F5E"/>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31F5E"/>
    <w:rPr>
      <w:vertAlign w:val="superscript"/>
    </w:rPr>
  </w:style>
  <w:style w:type="character" w:styleId="Hyperlink">
    <w:name w:val="Hyperlink"/>
    <w:basedOn w:val="DefaultParagraphFont"/>
    <w:uiPriority w:val="99"/>
    <w:unhideWhenUsed/>
    <w:rsid w:val="00C31F5E"/>
    <w:rPr>
      <w:color w:val="0000FF" w:themeColor="hyperlink"/>
      <w:u w:val="single"/>
    </w:rPr>
  </w:style>
  <w:style w:type="character" w:styleId="CommentReference">
    <w:name w:val="annotation reference"/>
    <w:basedOn w:val="DefaultParagraphFont"/>
    <w:uiPriority w:val="99"/>
    <w:semiHidden/>
    <w:unhideWhenUsed/>
    <w:rsid w:val="00076F95"/>
    <w:rPr>
      <w:sz w:val="16"/>
      <w:szCs w:val="16"/>
    </w:rPr>
  </w:style>
  <w:style w:type="paragraph" w:styleId="CommentText">
    <w:name w:val="annotation text"/>
    <w:basedOn w:val="Normal"/>
    <w:link w:val="CommentTextChar"/>
    <w:uiPriority w:val="99"/>
    <w:semiHidden/>
    <w:unhideWhenUsed/>
    <w:rsid w:val="00076F95"/>
    <w:pPr>
      <w:spacing w:line="240" w:lineRule="auto"/>
    </w:pPr>
    <w:rPr>
      <w:sz w:val="20"/>
      <w:szCs w:val="20"/>
    </w:rPr>
  </w:style>
  <w:style w:type="character" w:customStyle="1" w:styleId="CommentTextChar">
    <w:name w:val="Comment Text Char"/>
    <w:basedOn w:val="DefaultParagraphFont"/>
    <w:link w:val="CommentText"/>
    <w:uiPriority w:val="99"/>
    <w:semiHidden/>
    <w:rsid w:val="00076F9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76F95"/>
    <w:rPr>
      <w:b/>
      <w:bCs/>
    </w:rPr>
  </w:style>
  <w:style w:type="character" w:customStyle="1" w:styleId="CommentSubjectChar">
    <w:name w:val="Comment Subject Char"/>
    <w:basedOn w:val="CommentTextChar"/>
    <w:link w:val="CommentSubject"/>
    <w:uiPriority w:val="99"/>
    <w:semiHidden/>
    <w:rsid w:val="00076F9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76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F95"/>
    <w:rPr>
      <w:rFonts w:ascii="Tahoma" w:eastAsia="Calibri" w:hAnsi="Tahoma" w:cs="Tahoma"/>
      <w:sz w:val="16"/>
      <w:szCs w:val="16"/>
    </w:rPr>
  </w:style>
  <w:style w:type="paragraph" w:styleId="Header">
    <w:name w:val="header"/>
    <w:basedOn w:val="Normal"/>
    <w:link w:val="HeaderChar"/>
    <w:uiPriority w:val="99"/>
    <w:unhideWhenUsed/>
    <w:rsid w:val="004B3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E75"/>
    <w:rPr>
      <w:rFonts w:ascii="Calibri" w:eastAsia="Calibri" w:hAnsi="Calibri" w:cs="Times New Roman"/>
    </w:rPr>
  </w:style>
  <w:style w:type="paragraph" w:styleId="Footer">
    <w:name w:val="footer"/>
    <w:basedOn w:val="Normal"/>
    <w:link w:val="FooterChar"/>
    <w:uiPriority w:val="99"/>
    <w:unhideWhenUsed/>
    <w:rsid w:val="004B3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E75"/>
    <w:rPr>
      <w:rFonts w:ascii="Calibri" w:eastAsia="Calibri" w:hAnsi="Calibri" w:cs="Times New Roman"/>
    </w:rPr>
  </w:style>
  <w:style w:type="table" w:styleId="TableGrid">
    <w:name w:val="Table Grid"/>
    <w:basedOn w:val="TableNormal"/>
    <w:uiPriority w:val="59"/>
    <w:rsid w:val="003952F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2737B"/>
    <w:rPr>
      <w:color w:val="800080" w:themeColor="followedHyperlink"/>
      <w:u w:val="single"/>
    </w:rPr>
  </w:style>
  <w:style w:type="paragraph" w:styleId="ListParagraph">
    <w:name w:val="List Paragraph"/>
    <w:basedOn w:val="Normal"/>
    <w:uiPriority w:val="34"/>
    <w:qFormat/>
    <w:rsid w:val="004C30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097104">
      <w:bodyDiv w:val="1"/>
      <w:marLeft w:val="0"/>
      <w:marRight w:val="0"/>
      <w:marTop w:val="0"/>
      <w:marBottom w:val="0"/>
      <w:divBdr>
        <w:top w:val="none" w:sz="0" w:space="0" w:color="auto"/>
        <w:left w:val="none" w:sz="0" w:space="0" w:color="auto"/>
        <w:bottom w:val="none" w:sz="0" w:space="0" w:color="auto"/>
        <w:right w:val="none" w:sz="0" w:space="0" w:color="auto"/>
      </w:divBdr>
    </w:div>
    <w:div w:id="210122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mfs.noaa.gov/msa2005/docs/MSA_amended_msa%20_20070112_FINAL.pdf" TargetMode="External"/><Relationship Id="rId18" Type="http://schemas.openxmlformats.org/officeDocument/2006/relationships/hyperlink" Target="https://www.federalregister.gov/documents/2018/02/23/2018-03548/fisheries-of-the-exclusive-economic-zone-off-alaska-pacific-halibut-and-sablefish-individual-fishin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law.cornell.edu/uscode/text/16/chapter-10/subchapter-IV" TargetMode="External"/><Relationship Id="rId17" Type="http://schemas.openxmlformats.org/officeDocument/2006/relationships/hyperlink" Target="https://www.cio.noaa.gov/itmanagement/pdfs/0758sub.pdf" TargetMode="External"/><Relationship Id="rId2" Type="http://schemas.openxmlformats.org/officeDocument/2006/relationships/numbering" Target="numbering.xml"/><Relationship Id="rId16" Type="http://schemas.openxmlformats.org/officeDocument/2006/relationships/hyperlink" Target="https://www.federalregister.gov/documents/2018/09/21/2018-20410/fisheries-of-the-exclusive-economic-zone-off-alaska-authorize-recreational-quota-entity-to" TargetMode="External"/><Relationship Id="rId20" Type="http://schemas.openxmlformats.org/officeDocument/2006/relationships/hyperlink" Target="https://www.cio.noaa.gov/itmanagement/pdfs/0764sub.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io.noaa.gov/itmanagement/pdfs/0764sub.pdf"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federalregister.gov/documents/2017/10/03/2017-20894/fisheries-of-the-exclusive-economic-zone-off-alaska-authorize-recreational-quota-entity-to" TargetMode="External"/><Relationship Id="rId23" Type="http://schemas.openxmlformats.org/officeDocument/2006/relationships/theme" Target="theme/theme1.xml"/><Relationship Id="rId10" Type="http://schemas.openxmlformats.org/officeDocument/2006/relationships/hyperlink" Target="https://www.cio.noaa.gov/itmanagement/pdfs/0758sub.pdf" TargetMode="External"/><Relationship Id="rId19" Type="http://schemas.openxmlformats.org/officeDocument/2006/relationships/hyperlink" Target="https://www.federalregister.gov/documents/2018/10/18/2018-22687/fisheries-of-the-exclusive-economic-zone-off-alaska-pacific-halibut-and-sablefish-individual-fishing?utm_campaign=subscription%20mailing%20list&amp;utm_source=federalregister.gov&amp;utm_medium=email" TargetMode="External"/><Relationship Id="rId4" Type="http://schemas.microsoft.com/office/2007/relationships/stylesWithEffects" Target="stylesWithEffects.xml"/><Relationship Id="rId9" Type="http://schemas.openxmlformats.org/officeDocument/2006/relationships/hyperlink" Target="https://www.cio.noaa.gov/itmanagement/pdfs/0272rev_ext18.pdf" TargetMode="External"/><Relationship Id="rId14" Type="http://schemas.openxmlformats.org/officeDocument/2006/relationships/hyperlink" Target="https://alaskafisheries.noaa.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E6ACF-FCFE-4A55-9278-075C1DA7C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2143</Words>
  <Characters>12217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SYSTEM</cp:lastModifiedBy>
  <cp:revision>2</cp:revision>
  <cp:lastPrinted>2018-11-27T01:54:00Z</cp:lastPrinted>
  <dcterms:created xsi:type="dcterms:W3CDTF">2018-12-07T13:50:00Z</dcterms:created>
  <dcterms:modified xsi:type="dcterms:W3CDTF">2018-12-07T13:50:00Z</dcterms:modified>
</cp:coreProperties>
</file>