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EED96" w14:textId="52A84697" w:rsidR="005D6804" w:rsidRDefault="000D3153" w:rsidP="005D6804">
      <w:pPr>
        <w:jc w:val="center"/>
        <w:rPr>
          <w:i/>
          <w:sz w:val="36"/>
          <w:szCs w:val="36"/>
        </w:rPr>
      </w:pPr>
      <w:bookmarkStart w:id="0" w:name="_GoBack"/>
      <w:bookmarkEnd w:id="0"/>
      <w:r>
        <w:rPr>
          <w:szCs w:val="24"/>
        </w:rPr>
        <w:t>University of Virginia-</w:t>
      </w:r>
      <w:r w:rsidR="00DF3B4D">
        <w:rPr>
          <w:szCs w:val="24"/>
        </w:rPr>
        <w:t>Census Persuasion</w:t>
      </w:r>
      <w:r w:rsidR="005D6804">
        <w:rPr>
          <w:szCs w:val="24"/>
        </w:rPr>
        <w:t xml:space="preserve"> Survey</w:t>
      </w:r>
    </w:p>
    <w:p w14:paraId="6750517A" w14:textId="54716AD1" w:rsidR="005D6804" w:rsidRDefault="005D6804" w:rsidP="00AB1DA2">
      <w:pPr>
        <w:jc w:val="center"/>
        <w:rPr>
          <w:color w:val="000000"/>
          <w:szCs w:val="24"/>
        </w:rPr>
      </w:pPr>
      <w:r>
        <w:rPr>
          <w:color w:val="000000"/>
          <w:szCs w:val="24"/>
        </w:rPr>
        <w:t xml:space="preserve">Submitted Under </w:t>
      </w:r>
      <w:r w:rsidRPr="00F72DE2">
        <w:rPr>
          <w:color w:val="000000"/>
          <w:szCs w:val="24"/>
        </w:rPr>
        <w:t xml:space="preserve">Generic Clearance for </w:t>
      </w:r>
      <w:r w:rsidR="00AB1DA2" w:rsidRPr="00AB1DA2">
        <w:rPr>
          <w:color w:val="000000"/>
          <w:szCs w:val="24"/>
        </w:rPr>
        <w:t>Internet Nonprobability Panel Pretesting</w:t>
      </w:r>
    </w:p>
    <w:p w14:paraId="1E1BB5C9" w14:textId="77777777" w:rsidR="00AB1DA2" w:rsidRDefault="00AB1DA2" w:rsidP="00AB1DA2">
      <w:pPr>
        <w:jc w:val="center"/>
        <w:rPr>
          <w:szCs w:val="24"/>
        </w:rPr>
      </w:pPr>
    </w:p>
    <w:p w14:paraId="57011527" w14:textId="72ABA738" w:rsidR="002F75C1" w:rsidRDefault="005D6804" w:rsidP="002F75C1">
      <w:pPr>
        <w:autoSpaceDE w:val="0"/>
        <w:autoSpaceDN w:val="0"/>
        <w:adjustRightInd w:val="0"/>
        <w:rPr>
          <w:szCs w:val="24"/>
        </w:rPr>
      </w:pPr>
      <w:r w:rsidRPr="00E13171">
        <w:rPr>
          <w:b/>
          <w:szCs w:val="24"/>
        </w:rPr>
        <w:t>Request</w:t>
      </w:r>
      <w:r>
        <w:rPr>
          <w:szCs w:val="24"/>
        </w:rPr>
        <w:t xml:space="preserve">: </w:t>
      </w:r>
      <w:r w:rsidRPr="00BF7F48">
        <w:rPr>
          <w:szCs w:val="24"/>
        </w:rPr>
        <w:fldChar w:fldCharType="begin"/>
      </w:r>
      <w:r w:rsidRPr="00BF7F48">
        <w:rPr>
          <w:szCs w:val="24"/>
        </w:rPr>
        <w:instrText xml:space="preserve"> SEQ CHAPTER \h \r 1</w:instrText>
      </w:r>
      <w:r w:rsidRPr="00BF7F48">
        <w:rPr>
          <w:szCs w:val="24"/>
        </w:rPr>
        <w:fldChar w:fldCharType="end"/>
      </w:r>
      <w:r>
        <w:rPr>
          <w:rFonts w:eastAsiaTheme="minorHAnsi"/>
          <w:szCs w:val="24"/>
        </w:rPr>
        <w:t xml:space="preserve">The Census Bureau plans to conduct additional research under the generic clearance for </w:t>
      </w:r>
      <w:r w:rsidR="00AB1DA2" w:rsidRPr="00AB1DA2">
        <w:rPr>
          <w:rFonts w:eastAsiaTheme="minorHAnsi"/>
          <w:szCs w:val="24"/>
        </w:rPr>
        <w:t xml:space="preserve">Internet Nonprobability Panel Pretesting </w:t>
      </w:r>
      <w:r>
        <w:rPr>
          <w:rFonts w:eastAsiaTheme="minorHAnsi"/>
          <w:szCs w:val="24"/>
        </w:rPr>
        <w:t>(OMB #</w:t>
      </w:r>
      <w:r w:rsidRPr="0034291B">
        <w:rPr>
          <w:rFonts w:eastAsiaTheme="minorHAnsi"/>
          <w:szCs w:val="24"/>
        </w:rPr>
        <w:t>0607-0</w:t>
      </w:r>
      <w:r w:rsidR="00AB1DA2">
        <w:rPr>
          <w:rFonts w:eastAsiaTheme="minorHAnsi"/>
          <w:szCs w:val="24"/>
        </w:rPr>
        <w:t>978</w:t>
      </w:r>
      <w:r>
        <w:rPr>
          <w:rFonts w:eastAsiaTheme="minorHAnsi"/>
          <w:szCs w:val="24"/>
        </w:rPr>
        <w:t xml:space="preserve">). We </w:t>
      </w:r>
      <w:r w:rsidR="002F75C1">
        <w:rPr>
          <w:rFonts w:eastAsiaTheme="minorHAnsi"/>
          <w:szCs w:val="24"/>
        </w:rPr>
        <w:t>plan to</w:t>
      </w:r>
      <w:r>
        <w:rPr>
          <w:rFonts w:eastAsiaTheme="minorHAnsi"/>
          <w:szCs w:val="24"/>
        </w:rPr>
        <w:t xml:space="preserve"> administer an online survey </w:t>
      </w:r>
      <w:r w:rsidR="002F75C1">
        <w:rPr>
          <w:szCs w:val="24"/>
        </w:rPr>
        <w:t>experiment</w:t>
      </w:r>
      <w:r w:rsidR="002F75C1" w:rsidRPr="002F75C1">
        <w:rPr>
          <w:szCs w:val="24"/>
        </w:rPr>
        <w:t xml:space="preserve"> aimed at understanding the effectiveness of different persuasion techniques on eliciting response to the decennial census. </w:t>
      </w:r>
      <w:r w:rsidR="002F75C1">
        <w:rPr>
          <w:szCs w:val="24"/>
        </w:rPr>
        <w:t>As part of an</w:t>
      </w:r>
      <w:r w:rsidR="007C6A16">
        <w:rPr>
          <w:szCs w:val="24"/>
        </w:rPr>
        <w:t xml:space="preserve"> ongoing partnership with researchers at the University of Virginia</w:t>
      </w:r>
      <w:r w:rsidR="00CC7F39">
        <w:rPr>
          <w:szCs w:val="24"/>
        </w:rPr>
        <w:t xml:space="preserve"> (UVA)</w:t>
      </w:r>
      <w:r w:rsidR="007C6A16">
        <w:rPr>
          <w:szCs w:val="24"/>
        </w:rPr>
        <w:t xml:space="preserve">, this instrument has been through pilot testing with </w:t>
      </w:r>
      <w:r w:rsidR="00021160">
        <w:rPr>
          <w:szCs w:val="24"/>
        </w:rPr>
        <w:t>170</w:t>
      </w:r>
      <w:r w:rsidR="007C6A16">
        <w:rPr>
          <w:szCs w:val="24"/>
        </w:rPr>
        <w:t xml:space="preserve"> respondents.</w:t>
      </w:r>
    </w:p>
    <w:p w14:paraId="6F0C1DEA" w14:textId="77777777" w:rsidR="002F75C1" w:rsidRDefault="002F75C1" w:rsidP="002F75C1">
      <w:pPr>
        <w:autoSpaceDE w:val="0"/>
        <w:autoSpaceDN w:val="0"/>
        <w:adjustRightInd w:val="0"/>
        <w:rPr>
          <w:szCs w:val="24"/>
        </w:rPr>
      </w:pPr>
    </w:p>
    <w:p w14:paraId="0D5BD610" w14:textId="10334B85" w:rsidR="007C6A16" w:rsidRDefault="005D6804" w:rsidP="005D6804">
      <w:pPr>
        <w:pStyle w:val="NormalWeb"/>
        <w:shd w:val="clear" w:color="auto" w:fill="FFFFFF"/>
      </w:pPr>
      <w:r w:rsidRPr="00E13171">
        <w:rPr>
          <w:b/>
        </w:rPr>
        <w:t>Purpose</w:t>
      </w:r>
      <w:r>
        <w:t>: The purpose of conducting this survey</w:t>
      </w:r>
      <w:r w:rsidRPr="00BF7F48">
        <w:t xml:space="preserve"> is </w:t>
      </w:r>
      <w:r>
        <w:t xml:space="preserve">to </w:t>
      </w:r>
      <w:r w:rsidR="007C6A16" w:rsidRPr="002F75C1">
        <w:t>understand the effectiveness of different persuasion techniques on eliciting response to the decennial census</w:t>
      </w:r>
      <w:r w:rsidR="007C6A16">
        <w:t>.</w:t>
      </w:r>
      <w:r w:rsidR="007C6A16" w:rsidRPr="007C6A16">
        <w:t xml:space="preserve"> </w:t>
      </w:r>
      <w:r w:rsidR="007C6A16" w:rsidRPr="002F75C1">
        <w:t>The current thinking in the persuasion literature provides evidence that there are six archetypes</w:t>
      </w:r>
      <w:r w:rsidR="007C6A16">
        <w:t xml:space="preserve"> of persuasion</w:t>
      </w:r>
      <w:r w:rsidR="00C61D5B">
        <w:t>: reciprocity, consistency, social proof, liking, authority, and scarcity</w:t>
      </w:r>
      <w:r w:rsidR="007C6A16" w:rsidRPr="002F75C1">
        <w:t xml:space="preserve"> (Cialdini 2016). Examples of each of these archetypes will be used in experimental panels</w:t>
      </w:r>
      <w:r w:rsidR="00C61D5B">
        <w:t xml:space="preserve"> to test their effectiveness.</w:t>
      </w:r>
    </w:p>
    <w:p w14:paraId="164E8803" w14:textId="77777777" w:rsidR="007C6A16" w:rsidRDefault="007C6A16" w:rsidP="005D6804">
      <w:pPr>
        <w:pStyle w:val="NormalWeb"/>
        <w:shd w:val="clear" w:color="auto" w:fill="FFFFFF"/>
      </w:pPr>
    </w:p>
    <w:p w14:paraId="6F8FE07D" w14:textId="673F5C2E" w:rsidR="00B34B54" w:rsidRDefault="00016857" w:rsidP="005D6804">
      <w:pPr>
        <w:pStyle w:val="NormalWeb"/>
        <w:shd w:val="clear" w:color="auto" w:fill="FFFFFF"/>
      </w:pPr>
      <w:r>
        <w:t>The full questionnaire is attached (See Attachment I: Persuasion Survey Experiment</w:t>
      </w:r>
      <w:r w:rsidR="00087297">
        <w:t xml:space="preserve"> Questionnaire</w:t>
      </w:r>
      <w:r>
        <w:t>). Par</w:t>
      </w:r>
      <w:r w:rsidR="00821454">
        <w:t>ticipants are asked to answer a series</w:t>
      </w:r>
      <w:r>
        <w:t xml:space="preserve"> of questions meant to</w:t>
      </w:r>
      <w:r w:rsidR="007C6A16" w:rsidRPr="00584EE9">
        <w:t xml:space="preserve"> </w:t>
      </w:r>
      <w:r w:rsidR="005440CA" w:rsidRPr="00584EE9">
        <w:t xml:space="preserve">measure </w:t>
      </w:r>
      <w:r w:rsidR="00821454">
        <w:t>their perceptions of risk and trust in the decennial census an</w:t>
      </w:r>
      <w:r w:rsidR="00087297">
        <w:t xml:space="preserve">d the Census Bureau in general. Then they are asked to read an invitation to complete the decennial census. </w:t>
      </w:r>
      <w:r w:rsidR="001D205E">
        <w:t xml:space="preserve">The invitation contains the experimental messages that we are testing. </w:t>
      </w:r>
      <w:r w:rsidR="00B34B54">
        <w:t xml:space="preserve">We will randomly assign respondents to read one of 48 invitations. The invitations vary by the following characteristics: </w:t>
      </w:r>
    </w:p>
    <w:p w14:paraId="04C02BAE" w14:textId="77777777" w:rsidR="006C2ABD" w:rsidRDefault="006C2ABD" w:rsidP="005D6804">
      <w:pPr>
        <w:pStyle w:val="NormalWeb"/>
        <w:shd w:val="clear" w:color="auto" w:fill="FFFFFF"/>
      </w:pPr>
    </w:p>
    <w:p w14:paraId="6B3E7F48" w14:textId="500BC605" w:rsidR="00B34B54" w:rsidRDefault="00864A47" w:rsidP="00B34B54">
      <w:pPr>
        <w:pStyle w:val="NormalWeb"/>
        <w:numPr>
          <w:ilvl w:val="0"/>
          <w:numId w:val="3"/>
        </w:numPr>
        <w:shd w:val="clear" w:color="auto" w:fill="FFFFFF"/>
      </w:pPr>
      <w:r>
        <w:t>Letter or e</w:t>
      </w:r>
      <w:r w:rsidR="00B34B54">
        <w:t>mail</w:t>
      </w:r>
      <w:r w:rsidR="006C2ABD">
        <w:t xml:space="preserve"> invitation</w:t>
      </w:r>
      <w:r w:rsidR="00B34B54">
        <w:t xml:space="preserve">: The </w:t>
      </w:r>
      <w:r w:rsidR="006C2ABD">
        <w:t xml:space="preserve">mock </w:t>
      </w:r>
      <w:r w:rsidR="00B34B54">
        <w:t>invitations we ask respondents to read will look like either a letter or an email. This manipulation is to test whether the mode of invitation matters for the effectiveness of the persuasion message.</w:t>
      </w:r>
      <w:r w:rsidR="00E1617F">
        <w:t xml:space="preserve"> See Attachment II: Experimental Invitations</w:t>
      </w:r>
      <w:r w:rsidR="00367B1F">
        <w:t>.</w:t>
      </w:r>
    </w:p>
    <w:p w14:paraId="0430AB49" w14:textId="679BD33E" w:rsidR="00821454" w:rsidRDefault="00B34B54" w:rsidP="00B34B54">
      <w:pPr>
        <w:pStyle w:val="NormalWeb"/>
        <w:numPr>
          <w:ilvl w:val="0"/>
          <w:numId w:val="3"/>
        </w:numPr>
        <w:shd w:val="clear" w:color="auto" w:fill="FFFFFF"/>
      </w:pPr>
      <w:r>
        <w:t>Mode of response request: The invitations invite participants to respond to the census by clicking a link</w:t>
      </w:r>
      <w:r w:rsidR="00864A47">
        <w:t xml:space="preserve"> in a future email</w:t>
      </w:r>
      <w:r>
        <w:t xml:space="preserve">, </w:t>
      </w:r>
      <w:r w:rsidR="00864A47">
        <w:t xml:space="preserve">by following a personalized link in a letter, or </w:t>
      </w:r>
      <w:r>
        <w:t>by returning a paper questionnaire</w:t>
      </w:r>
      <w:r w:rsidR="00864A47">
        <w:t>. This manipulation is to test whether the offered mode of response has an effect on intent to respond and the effectiveness of the persuasion messages.</w:t>
      </w:r>
    </w:p>
    <w:p w14:paraId="6003E360" w14:textId="2C6D0776" w:rsidR="00864A47" w:rsidRDefault="00864A47" w:rsidP="00B34B54">
      <w:pPr>
        <w:pStyle w:val="NormalWeb"/>
        <w:numPr>
          <w:ilvl w:val="0"/>
          <w:numId w:val="3"/>
        </w:numPr>
        <w:shd w:val="clear" w:color="auto" w:fill="FFFFFF"/>
      </w:pPr>
      <w:r>
        <w:t xml:space="preserve">Persuasion messages: There are </w:t>
      </w:r>
      <w:r w:rsidR="0036579E" w:rsidRPr="002F75C1">
        <w:t>six archetypes</w:t>
      </w:r>
      <w:r w:rsidR="0036579E">
        <w:t xml:space="preserve"> of persuasion: reciprocity, consistency, social proof, liking, authority, and scarcity. We are testing two different authority messages and will also include a control that has no message in this experiment.</w:t>
      </w:r>
      <w:r w:rsidR="00E1617F">
        <w:t xml:space="preserve"> See Attachment II: </w:t>
      </w:r>
      <w:r w:rsidR="00367B1F">
        <w:t>Experimental Invitations</w:t>
      </w:r>
      <w:r w:rsidR="00E1617F">
        <w:t>.</w:t>
      </w:r>
    </w:p>
    <w:p w14:paraId="5E62673C" w14:textId="77777777" w:rsidR="0036579E" w:rsidRDefault="0036579E" w:rsidP="0036579E">
      <w:pPr>
        <w:pStyle w:val="NormalWeb"/>
        <w:shd w:val="clear" w:color="auto" w:fill="FFFFFF"/>
      </w:pPr>
    </w:p>
    <w:p w14:paraId="62F6F863" w14:textId="24E8350E" w:rsidR="00821454" w:rsidRDefault="0036579E" w:rsidP="005D6804">
      <w:pPr>
        <w:pStyle w:val="NormalWeb"/>
        <w:shd w:val="clear" w:color="auto" w:fill="FFFFFF"/>
      </w:pPr>
      <w:r>
        <w:t>The fully crossed design is 2 x 3 x 8</w:t>
      </w:r>
      <w:r w:rsidR="00D919B9">
        <w:t xml:space="preserve"> </w:t>
      </w:r>
      <w:r>
        <w:t>=</w:t>
      </w:r>
      <w:r w:rsidR="00D919B9">
        <w:t xml:space="preserve"> </w:t>
      </w:r>
      <w:r>
        <w:t>48.</w:t>
      </w:r>
      <w:r w:rsidR="00D76D06">
        <w:t xml:space="preserve"> After reading one of the messages, participants will respond to questions about the message they read and their intent to respond to the census based on that message. We also ask basic demographic questions</w:t>
      </w:r>
      <w:r w:rsidR="00D919B9">
        <w:t xml:space="preserve"> and present two short personality scales</w:t>
      </w:r>
      <w:r w:rsidR="00D76D06">
        <w:t>.</w:t>
      </w:r>
    </w:p>
    <w:p w14:paraId="109ACF31" w14:textId="77777777" w:rsidR="005D6804" w:rsidRDefault="005D6804" w:rsidP="005D6804">
      <w:pPr>
        <w:widowControl w:val="0"/>
      </w:pPr>
    </w:p>
    <w:p w14:paraId="12A93D47" w14:textId="77777777" w:rsidR="005D6804" w:rsidRPr="006C26B6" w:rsidRDefault="005D6804" w:rsidP="005D6804">
      <w:pPr>
        <w:pStyle w:val="NoSpacing"/>
        <w:rPr>
          <w:szCs w:val="24"/>
        </w:rPr>
      </w:pPr>
      <w:r w:rsidRPr="006C26B6">
        <w:rPr>
          <w:b/>
          <w:szCs w:val="24"/>
        </w:rPr>
        <w:t>Population of Interest</w:t>
      </w:r>
      <w:r w:rsidRPr="006C26B6">
        <w:rPr>
          <w:szCs w:val="24"/>
        </w:rPr>
        <w:t xml:space="preserve">: </w:t>
      </w:r>
      <w:r>
        <w:rPr>
          <w:szCs w:val="24"/>
        </w:rPr>
        <w:t>Residents of the United States and its territories</w:t>
      </w:r>
      <w:r w:rsidRPr="006C26B6">
        <w:rPr>
          <w:szCs w:val="24"/>
        </w:rPr>
        <w:t xml:space="preserve">.  </w:t>
      </w:r>
    </w:p>
    <w:p w14:paraId="09707A2F" w14:textId="235E2E94" w:rsidR="005D6804" w:rsidRPr="00D23E54" w:rsidRDefault="005D6804" w:rsidP="005D6804">
      <w:pPr>
        <w:widowControl w:val="0"/>
        <w:rPr>
          <w:szCs w:val="24"/>
        </w:rPr>
      </w:pPr>
      <w:r w:rsidRPr="00D23E54">
        <w:rPr>
          <w:b/>
          <w:szCs w:val="24"/>
        </w:rPr>
        <w:lastRenderedPageBreak/>
        <w:t>Timeline</w:t>
      </w:r>
      <w:r w:rsidRPr="00D23E54">
        <w:rPr>
          <w:szCs w:val="24"/>
        </w:rPr>
        <w:t xml:space="preserve">: </w:t>
      </w:r>
      <w:r w:rsidR="00FF32F1">
        <w:rPr>
          <w:szCs w:val="24"/>
        </w:rPr>
        <w:t xml:space="preserve">We intend to conduct this survey with a non-probability sample drawn from the Census Bureau’s Contact Frame in </w:t>
      </w:r>
      <w:r w:rsidR="005A620D">
        <w:rPr>
          <w:szCs w:val="24"/>
        </w:rPr>
        <w:t>December</w:t>
      </w:r>
      <w:r w:rsidR="00FF32F1">
        <w:rPr>
          <w:szCs w:val="24"/>
        </w:rPr>
        <w:t xml:space="preserve"> 2019. The survey will be open for a period of two weeks after the first email invitation is sent.</w:t>
      </w:r>
      <w:r w:rsidR="00AB73BB">
        <w:rPr>
          <w:szCs w:val="24"/>
        </w:rPr>
        <w:t xml:space="preserve"> </w:t>
      </w:r>
    </w:p>
    <w:p w14:paraId="3B0C1CB1" w14:textId="77777777" w:rsidR="005D6804" w:rsidRPr="00D23E54" w:rsidRDefault="005D6804" w:rsidP="005D6804">
      <w:pPr>
        <w:widowControl w:val="0"/>
        <w:rPr>
          <w:szCs w:val="24"/>
        </w:rPr>
      </w:pPr>
    </w:p>
    <w:p w14:paraId="08661736" w14:textId="7514608A" w:rsidR="005D6804" w:rsidRPr="009645B9" w:rsidRDefault="005D6804" w:rsidP="00AB73BB">
      <w:pPr>
        <w:widowControl w:val="0"/>
        <w:rPr>
          <w:szCs w:val="24"/>
        </w:rPr>
      </w:pPr>
      <w:r w:rsidRPr="00D23E54">
        <w:rPr>
          <w:b/>
          <w:szCs w:val="24"/>
        </w:rPr>
        <w:t>Sample</w:t>
      </w:r>
      <w:r w:rsidRPr="00D23E54">
        <w:rPr>
          <w:szCs w:val="24"/>
        </w:rPr>
        <w:t xml:space="preserve">: </w:t>
      </w:r>
      <w:r w:rsidR="00AB73BB" w:rsidRPr="00AB73BB">
        <w:rPr>
          <w:szCs w:val="24"/>
        </w:rPr>
        <w:t xml:space="preserve">In </w:t>
      </w:r>
      <w:r w:rsidR="005A620D">
        <w:rPr>
          <w:szCs w:val="24"/>
        </w:rPr>
        <w:t>December</w:t>
      </w:r>
      <w:r w:rsidR="00AB73BB" w:rsidRPr="00AB73BB">
        <w:rPr>
          <w:szCs w:val="24"/>
        </w:rPr>
        <w:t xml:space="preserve"> 2019, Census Bureau st</w:t>
      </w:r>
      <w:r w:rsidR="005A620D">
        <w:rPr>
          <w:szCs w:val="24"/>
        </w:rPr>
        <w:t xml:space="preserve">aff will sample </w:t>
      </w:r>
      <w:r w:rsidR="00936CBC">
        <w:rPr>
          <w:szCs w:val="24"/>
        </w:rPr>
        <w:t>72</w:t>
      </w:r>
      <w:r w:rsidR="00AB73BB" w:rsidRPr="00AB73BB">
        <w:rPr>
          <w:szCs w:val="24"/>
        </w:rPr>
        <w:t>,000 MAFIDs from the Census Bureau’s Contact Frame. The Contact Frame includes email addresses and phone numbers purchased from third party vendors and matched</w:t>
      </w:r>
      <w:r w:rsidR="00560385">
        <w:rPr>
          <w:szCs w:val="24"/>
        </w:rPr>
        <w:t xml:space="preserve"> with</w:t>
      </w:r>
      <w:r w:rsidR="00AB73BB" w:rsidRPr="00AB73BB">
        <w:rPr>
          <w:szCs w:val="24"/>
        </w:rPr>
        <w:t xml:space="preserve"> addresses from the Master Address File. </w:t>
      </w:r>
      <w:r w:rsidR="00AB73BB">
        <w:rPr>
          <w:szCs w:val="24"/>
        </w:rPr>
        <w:t xml:space="preserve">Based on past </w:t>
      </w:r>
      <w:r w:rsidR="003F0233">
        <w:rPr>
          <w:szCs w:val="24"/>
        </w:rPr>
        <w:t>use of this frame, we expect a 4</w:t>
      </w:r>
      <w:r w:rsidR="00AB73BB">
        <w:rPr>
          <w:szCs w:val="24"/>
        </w:rPr>
        <w:t xml:space="preserve">% response rate. </w:t>
      </w:r>
      <w:r w:rsidR="003F0233" w:rsidRPr="003F0233">
        <w:rPr>
          <w:szCs w:val="24"/>
        </w:rPr>
        <w:t xml:space="preserve">Using an alpha level α = .05 and assuming a small effect size </w:t>
      </w:r>
      <w:r w:rsidR="003F0233">
        <w:rPr>
          <w:szCs w:val="24"/>
        </w:rPr>
        <w:t>o</w:t>
      </w:r>
      <w:r w:rsidR="00AB73BB">
        <w:rPr>
          <w:szCs w:val="24"/>
        </w:rPr>
        <w:t>ur goal is 2</w:t>
      </w:r>
      <w:r w:rsidR="00183276">
        <w:rPr>
          <w:szCs w:val="24"/>
        </w:rPr>
        <w:t>,</w:t>
      </w:r>
      <w:r w:rsidR="00936CBC">
        <w:rPr>
          <w:szCs w:val="24"/>
        </w:rPr>
        <w:t>880</w:t>
      </w:r>
      <w:r w:rsidR="003F0233">
        <w:rPr>
          <w:szCs w:val="24"/>
        </w:rPr>
        <w:t xml:space="preserve"> complete responses.</w:t>
      </w:r>
    </w:p>
    <w:p w14:paraId="4F9526FE" w14:textId="77777777" w:rsidR="005D6804" w:rsidRPr="00F16E86" w:rsidRDefault="005D6804" w:rsidP="005D6804">
      <w:pPr>
        <w:widowControl w:val="0"/>
        <w:rPr>
          <w:szCs w:val="24"/>
          <w:highlight w:val="yellow"/>
        </w:rPr>
      </w:pPr>
    </w:p>
    <w:p w14:paraId="68AA5588" w14:textId="69E6B550" w:rsidR="00560385" w:rsidRPr="00367B1F" w:rsidRDefault="005D6804" w:rsidP="00560385">
      <w:pPr>
        <w:pStyle w:val="NoSpacing"/>
        <w:rPr>
          <w:szCs w:val="24"/>
        </w:rPr>
      </w:pPr>
      <w:r w:rsidRPr="00F16E86">
        <w:rPr>
          <w:b/>
          <w:szCs w:val="24"/>
        </w:rPr>
        <w:t>Recruitment</w:t>
      </w:r>
      <w:r w:rsidRPr="00F16E86">
        <w:rPr>
          <w:szCs w:val="24"/>
        </w:rPr>
        <w:t xml:space="preserve">: </w:t>
      </w:r>
      <w:r w:rsidR="00366B28">
        <w:t xml:space="preserve">Respondents will be invited to respond to the online survey by means of a series of emails </w:t>
      </w:r>
      <w:r w:rsidR="00AB73BB">
        <w:t xml:space="preserve">containing a link to the survey </w:t>
      </w:r>
      <w:r w:rsidR="00366B28">
        <w:t xml:space="preserve">(see </w:t>
      </w:r>
      <w:r w:rsidR="00367B1F" w:rsidRPr="007C7023">
        <w:rPr>
          <w:szCs w:val="24"/>
        </w:rPr>
        <w:t>Attachment II</w:t>
      </w:r>
      <w:r w:rsidR="00367B1F">
        <w:rPr>
          <w:szCs w:val="24"/>
        </w:rPr>
        <w:t>I</w:t>
      </w:r>
      <w:r w:rsidR="00367B1F" w:rsidRPr="007C7023">
        <w:rPr>
          <w:szCs w:val="24"/>
        </w:rPr>
        <w:t xml:space="preserve">: </w:t>
      </w:r>
      <w:r w:rsidR="00367B1F">
        <w:t xml:space="preserve">Persuasion Survey Experiment </w:t>
      </w:r>
      <w:r w:rsidR="00367B1F" w:rsidRPr="007C7023">
        <w:rPr>
          <w:szCs w:val="24"/>
        </w:rPr>
        <w:t>Email Invitations</w:t>
      </w:r>
      <w:r w:rsidR="00366B28">
        <w:t xml:space="preserve">). </w:t>
      </w:r>
      <w:r w:rsidR="00560385">
        <w:t xml:space="preserve">For this study, each email address in the sample will receive a maximum of three notification emails: </w:t>
      </w:r>
    </w:p>
    <w:p w14:paraId="5C2E0D37" w14:textId="176FF9B3" w:rsidR="00560385" w:rsidRDefault="00560385" w:rsidP="00560385">
      <w:pPr>
        <w:pStyle w:val="NoSpacing"/>
        <w:numPr>
          <w:ilvl w:val="0"/>
          <w:numId w:val="2"/>
        </w:numPr>
      </w:pPr>
      <w:r>
        <w:t xml:space="preserve">An initial email on a Monday, </w:t>
      </w:r>
    </w:p>
    <w:p w14:paraId="45FDB5D1" w14:textId="7B9C8908" w:rsidR="00560385" w:rsidRDefault="00560385" w:rsidP="00560385">
      <w:pPr>
        <w:pStyle w:val="NoSpacing"/>
        <w:numPr>
          <w:ilvl w:val="0"/>
          <w:numId w:val="2"/>
        </w:numPr>
      </w:pPr>
      <w:r>
        <w:t>A reminder email on the following Thursday (if they have not yet clicked on the link to the survey), and</w:t>
      </w:r>
    </w:p>
    <w:p w14:paraId="43B998DC" w14:textId="4F7375D8" w:rsidR="009B0F0A" w:rsidRDefault="00560385" w:rsidP="00560385">
      <w:pPr>
        <w:pStyle w:val="NoSpacing"/>
        <w:numPr>
          <w:ilvl w:val="0"/>
          <w:numId w:val="2"/>
        </w:numPr>
      </w:pPr>
      <w:r>
        <w:t>A final reminder email on the following Monday with the survey closing the following Friday.</w:t>
      </w:r>
      <w:r w:rsidR="00366B28">
        <w:t xml:space="preserve"> </w:t>
      </w:r>
    </w:p>
    <w:p w14:paraId="1499067A" w14:textId="77777777" w:rsidR="009B0F0A" w:rsidRDefault="009B0F0A" w:rsidP="005D6804">
      <w:pPr>
        <w:pStyle w:val="NoSpacing"/>
      </w:pPr>
    </w:p>
    <w:p w14:paraId="2805B6D7" w14:textId="4479F9BB" w:rsidR="005D6804" w:rsidRPr="00F16E86" w:rsidRDefault="009B0F0A" w:rsidP="005D6804">
      <w:pPr>
        <w:pStyle w:val="NoSpacing"/>
        <w:rPr>
          <w:szCs w:val="24"/>
        </w:rPr>
      </w:pPr>
      <w:r>
        <w:t>Each MAF-ID from the Contact Frame has up to three email addresses associated with an address. We will email all three addresses associated with a particular MAFID.</w:t>
      </w:r>
      <w:r w:rsidR="00366B28">
        <w:t xml:space="preserve">  </w:t>
      </w:r>
    </w:p>
    <w:p w14:paraId="7E442467" w14:textId="77777777" w:rsidR="005D6804" w:rsidRPr="00F16E86" w:rsidRDefault="005D6804" w:rsidP="005D6804">
      <w:pPr>
        <w:widowControl w:val="0"/>
        <w:rPr>
          <w:szCs w:val="24"/>
          <w:highlight w:val="yellow"/>
        </w:rPr>
      </w:pPr>
    </w:p>
    <w:p w14:paraId="17357C81" w14:textId="5ED04FD8" w:rsidR="005D6804" w:rsidRPr="00F16E86" w:rsidRDefault="00366B28" w:rsidP="005D6804">
      <w:pPr>
        <w:widowControl w:val="0"/>
        <w:rPr>
          <w:szCs w:val="24"/>
        </w:rPr>
      </w:pPr>
      <w:r>
        <w:rPr>
          <w:b/>
          <w:szCs w:val="24"/>
        </w:rPr>
        <w:t>Survey Administration</w:t>
      </w:r>
      <w:r w:rsidR="005D6804" w:rsidRPr="00F16E86">
        <w:rPr>
          <w:b/>
          <w:szCs w:val="24"/>
        </w:rPr>
        <w:t>:</w:t>
      </w:r>
      <w:r w:rsidR="005D6804" w:rsidRPr="00F16E86">
        <w:rPr>
          <w:szCs w:val="24"/>
        </w:rPr>
        <w:t xml:space="preserve"> </w:t>
      </w:r>
      <w:r>
        <w:t>The questionnaire will be administered online only using the survey platform Qualtrics.</w:t>
      </w:r>
      <w:r w:rsidR="00560385">
        <w:t xml:space="preserve"> Respondents will receive an invitation with a link to the survey which will then take them to the Qualtrics instrument.</w:t>
      </w:r>
    </w:p>
    <w:p w14:paraId="79F628B7" w14:textId="77777777" w:rsidR="005D6804" w:rsidRPr="00F16E86" w:rsidRDefault="005D6804" w:rsidP="005D6804">
      <w:pPr>
        <w:widowControl w:val="0"/>
        <w:rPr>
          <w:szCs w:val="24"/>
          <w:highlight w:val="yellow"/>
        </w:rPr>
      </w:pPr>
    </w:p>
    <w:p w14:paraId="7384FC19" w14:textId="1523C7E9" w:rsidR="005D6804" w:rsidRPr="009645B9" w:rsidRDefault="00366B28" w:rsidP="005D6804">
      <w:pPr>
        <w:widowControl w:val="0"/>
        <w:rPr>
          <w:szCs w:val="24"/>
        </w:rPr>
      </w:pPr>
      <w:r>
        <w:rPr>
          <w:b/>
          <w:szCs w:val="24"/>
        </w:rPr>
        <w:t>Questionnaire</w:t>
      </w:r>
      <w:r w:rsidR="005D6804" w:rsidRPr="009645B9">
        <w:rPr>
          <w:szCs w:val="24"/>
        </w:rPr>
        <w:t xml:space="preserve">: </w:t>
      </w:r>
      <w:r w:rsidR="00AA3EE4">
        <w:t xml:space="preserve">The questionnaire, programmed in the online survey platform Qualtrics, </w:t>
      </w:r>
      <w:r w:rsidR="00CC7F39">
        <w:t xml:space="preserve">begins with a consent form that is required by UVA’s </w:t>
      </w:r>
      <w:r w:rsidR="006C2ABD">
        <w:t>Institutional</w:t>
      </w:r>
      <w:r w:rsidR="00CC7F39">
        <w:t xml:space="preserve"> Review Board</w:t>
      </w:r>
      <w:r w:rsidR="006C2ABD">
        <w:t xml:space="preserve"> (IRB)</w:t>
      </w:r>
      <w:r w:rsidR="00CC7F39">
        <w:t xml:space="preserve">. </w:t>
      </w:r>
      <w:r w:rsidR="006E0EB5">
        <w:t>Demographic screeners that ask about age and US residency follow the consent screens</w:t>
      </w:r>
      <w:r w:rsidR="00CC7F39">
        <w:t xml:space="preserve">. </w:t>
      </w:r>
      <w:r w:rsidR="006E0EB5">
        <w:t>Next, we ask</w:t>
      </w:r>
      <w:r w:rsidR="00CC7F39">
        <w:t xml:space="preserve"> a series of perceptual questions about the decennial census, opinions on privacy and confidentiality, and perceptions of the Census Bureau more generally.</w:t>
      </w:r>
      <w:r w:rsidR="006E0EB5">
        <w:t xml:space="preserve"> An instruction screen informs respondents that this invitation is not a real invitation to complete the decennial census and that they will not receive a follow-up survey as the invitation suggests. Each participant is then shown one of the 48 invitations and then asked a series of follow-up questions about the message. </w:t>
      </w:r>
      <w:r w:rsidR="00D919B9">
        <w:t>Finally, participants are asked to answer a series of demographics questions as well as two short personality measures: the 4-item short Affinity for Technology Interaction (ATI-S) scale (</w:t>
      </w:r>
      <w:r w:rsidR="00444712">
        <w:t>Franke</w:t>
      </w:r>
      <w:r w:rsidR="00D919B9">
        <w:t xml:space="preserve">, Attig, &amp; </w:t>
      </w:r>
      <w:r w:rsidR="00444712">
        <w:t xml:space="preserve">Wessel </w:t>
      </w:r>
      <w:r w:rsidR="00D919B9">
        <w:t>2019) and the extra short 15-item Big Five Inventory-2 (BFI-2-XS) scale (Soto &amp; John 2017).</w:t>
      </w:r>
      <w:r w:rsidR="00787820">
        <w:t xml:space="preserve"> We expect these personality measures to correlate with perceptions and intent to respond based on the privacy and confidentiality </w:t>
      </w:r>
      <w:r w:rsidR="00283F26">
        <w:t>messages</w:t>
      </w:r>
      <w:r w:rsidR="00787820">
        <w:t>.</w:t>
      </w:r>
    </w:p>
    <w:p w14:paraId="4FC84298" w14:textId="77777777" w:rsidR="005D6804" w:rsidRPr="00F16E86" w:rsidRDefault="005D6804" w:rsidP="005D6804">
      <w:pPr>
        <w:widowControl w:val="0"/>
        <w:rPr>
          <w:szCs w:val="24"/>
          <w:highlight w:val="yellow"/>
        </w:rPr>
      </w:pPr>
    </w:p>
    <w:p w14:paraId="50AF9044" w14:textId="2C1BF00D" w:rsidR="005D6804" w:rsidRPr="00F16E86" w:rsidRDefault="005D6804" w:rsidP="005D6804">
      <w:pPr>
        <w:pStyle w:val="NoSpacing"/>
        <w:rPr>
          <w:szCs w:val="24"/>
        </w:rPr>
      </w:pPr>
      <w:r w:rsidRPr="00F16E86">
        <w:rPr>
          <w:b/>
          <w:szCs w:val="24"/>
        </w:rPr>
        <w:t>Informed Consent</w:t>
      </w:r>
      <w:r w:rsidRPr="00F16E86">
        <w:rPr>
          <w:szCs w:val="24"/>
        </w:rPr>
        <w:t xml:space="preserve">: </w:t>
      </w:r>
      <w:r w:rsidR="00161072">
        <w:rPr>
          <w:szCs w:val="24"/>
        </w:rPr>
        <w:t>In the survey invitation materials, w</w:t>
      </w:r>
      <w:r w:rsidRPr="00F16E86">
        <w:rPr>
          <w:szCs w:val="24"/>
        </w:rPr>
        <w:t xml:space="preserve">e will inform participants that their response is voluntary and that the information they provide is confidential and will be accessed </w:t>
      </w:r>
      <w:r w:rsidRPr="00F16E86">
        <w:rPr>
          <w:szCs w:val="24"/>
        </w:rPr>
        <w:lastRenderedPageBreak/>
        <w:t>only by employees involved in the research project.</w:t>
      </w:r>
      <w:r w:rsidR="006C2ABD">
        <w:rPr>
          <w:szCs w:val="24"/>
        </w:rPr>
        <w:t xml:space="preserve"> Informed consent is required by UVA’s IRB and is included at the beginning of the instrument.</w:t>
      </w:r>
    </w:p>
    <w:p w14:paraId="7A3E72BE" w14:textId="77777777" w:rsidR="005D6804" w:rsidRPr="00F16E86" w:rsidRDefault="005D6804" w:rsidP="005D6804">
      <w:pPr>
        <w:pStyle w:val="NoSpacing"/>
        <w:rPr>
          <w:szCs w:val="24"/>
        </w:rPr>
      </w:pPr>
    </w:p>
    <w:p w14:paraId="48C4CE65" w14:textId="1CFCB470" w:rsidR="005D6804" w:rsidRPr="00F16E86" w:rsidRDefault="005D6804" w:rsidP="005D6804">
      <w:pPr>
        <w:pStyle w:val="NoSpacing"/>
        <w:rPr>
          <w:szCs w:val="24"/>
        </w:rPr>
      </w:pPr>
      <w:r w:rsidRPr="00F16E86">
        <w:rPr>
          <w:b/>
          <w:szCs w:val="24"/>
        </w:rPr>
        <w:t>Incentive</w:t>
      </w:r>
      <w:r w:rsidRPr="00F16E86">
        <w:rPr>
          <w:szCs w:val="24"/>
        </w:rPr>
        <w:t xml:space="preserve">: Participants will </w:t>
      </w:r>
      <w:r w:rsidR="00161072">
        <w:rPr>
          <w:szCs w:val="24"/>
        </w:rPr>
        <w:t xml:space="preserve">not </w:t>
      </w:r>
      <w:r w:rsidRPr="00F16E86">
        <w:rPr>
          <w:szCs w:val="24"/>
        </w:rPr>
        <w:t xml:space="preserve">receive </w:t>
      </w:r>
      <w:r w:rsidR="00161072">
        <w:rPr>
          <w:szCs w:val="24"/>
        </w:rPr>
        <w:t>any payment for their participation in the survey.</w:t>
      </w:r>
    </w:p>
    <w:p w14:paraId="412EDDC5" w14:textId="77777777" w:rsidR="005D6804" w:rsidRPr="00F16E86" w:rsidRDefault="005D6804" w:rsidP="005D6804">
      <w:pPr>
        <w:widowControl w:val="0"/>
        <w:rPr>
          <w:szCs w:val="24"/>
          <w:highlight w:val="yellow"/>
        </w:rPr>
      </w:pPr>
    </w:p>
    <w:p w14:paraId="056096AD" w14:textId="7D9DDFB0" w:rsidR="005D6804" w:rsidRPr="007C7023" w:rsidRDefault="005D6804" w:rsidP="005D6804">
      <w:pPr>
        <w:pStyle w:val="NoSpacing"/>
        <w:rPr>
          <w:szCs w:val="24"/>
        </w:rPr>
      </w:pPr>
      <w:r w:rsidRPr="000C4489">
        <w:rPr>
          <w:b/>
          <w:szCs w:val="24"/>
        </w:rPr>
        <w:t>Length of Interview:</w:t>
      </w:r>
      <w:r w:rsidRPr="000C4489">
        <w:rPr>
          <w:szCs w:val="24"/>
        </w:rPr>
        <w:t xml:space="preserve"> </w:t>
      </w:r>
      <w:r>
        <w:rPr>
          <w:szCs w:val="24"/>
        </w:rPr>
        <w:t>We</w:t>
      </w:r>
      <w:r w:rsidR="00560385">
        <w:rPr>
          <w:szCs w:val="24"/>
        </w:rPr>
        <w:t xml:space="preserve"> estimate that the survey will take </w:t>
      </w:r>
      <w:r w:rsidR="008E636D">
        <w:rPr>
          <w:szCs w:val="24"/>
        </w:rPr>
        <w:t>an average of</w:t>
      </w:r>
      <w:r w:rsidR="005013F0">
        <w:rPr>
          <w:szCs w:val="24"/>
        </w:rPr>
        <w:t xml:space="preserve"> 1</w:t>
      </w:r>
      <w:r w:rsidR="006324BC">
        <w:rPr>
          <w:szCs w:val="24"/>
        </w:rPr>
        <w:t>5</w:t>
      </w:r>
      <w:r w:rsidR="00560385">
        <w:rPr>
          <w:szCs w:val="24"/>
        </w:rPr>
        <w:t xml:space="preserve"> minutes for each complete response. We expect </w:t>
      </w:r>
      <w:r w:rsidR="00B05D59">
        <w:rPr>
          <w:szCs w:val="24"/>
        </w:rPr>
        <w:t>2880</w:t>
      </w:r>
      <w:r w:rsidR="00560385">
        <w:rPr>
          <w:szCs w:val="24"/>
        </w:rPr>
        <w:t xml:space="preserve"> complete responses for a total of about </w:t>
      </w:r>
      <w:r w:rsidR="00B05D59">
        <w:rPr>
          <w:szCs w:val="24"/>
        </w:rPr>
        <w:t>720</w:t>
      </w:r>
      <w:r w:rsidR="00560385">
        <w:rPr>
          <w:szCs w:val="24"/>
        </w:rPr>
        <w:t xml:space="preserve"> hours.</w:t>
      </w:r>
      <w:r w:rsidRPr="000C4489">
        <w:rPr>
          <w:szCs w:val="24"/>
        </w:rPr>
        <w:t xml:space="preserve"> </w:t>
      </w:r>
      <w:r w:rsidR="007C7023">
        <w:rPr>
          <w:szCs w:val="24"/>
        </w:rPr>
        <w:t xml:space="preserve">Each email will take about 1 minute to read. Each person could get up to three emails and we will send emails to </w:t>
      </w:r>
      <w:r w:rsidR="00B05D59">
        <w:rPr>
          <w:szCs w:val="24"/>
        </w:rPr>
        <w:t>72</w:t>
      </w:r>
      <w:r w:rsidR="007C7023">
        <w:rPr>
          <w:szCs w:val="24"/>
        </w:rPr>
        <w:t>,000 email a</w:t>
      </w:r>
      <w:r w:rsidR="006C2ABD">
        <w:rPr>
          <w:szCs w:val="24"/>
        </w:rPr>
        <w:t xml:space="preserve">ddresses for a total burden of </w:t>
      </w:r>
      <w:r w:rsidR="00B05D59">
        <w:rPr>
          <w:szCs w:val="24"/>
        </w:rPr>
        <w:t>3,600</w:t>
      </w:r>
      <w:r w:rsidR="007C7023">
        <w:rPr>
          <w:szCs w:val="24"/>
        </w:rPr>
        <w:t xml:space="preserve"> hours. </w:t>
      </w:r>
      <w:r w:rsidR="007C7023">
        <w:rPr>
          <w:b/>
          <w:szCs w:val="24"/>
        </w:rPr>
        <w:t>T</w:t>
      </w:r>
      <w:r w:rsidRPr="000C4489">
        <w:rPr>
          <w:b/>
          <w:szCs w:val="24"/>
        </w:rPr>
        <w:t>he total estimat</w:t>
      </w:r>
      <w:r>
        <w:rPr>
          <w:b/>
          <w:szCs w:val="24"/>
        </w:rPr>
        <w:t xml:space="preserve">ed burden </w:t>
      </w:r>
      <w:r w:rsidRPr="000C4489">
        <w:rPr>
          <w:b/>
          <w:szCs w:val="24"/>
        </w:rPr>
        <w:t xml:space="preserve">of this research is </w:t>
      </w:r>
      <w:r w:rsidR="00B05D59">
        <w:rPr>
          <w:b/>
          <w:szCs w:val="24"/>
        </w:rPr>
        <w:t>4,320</w:t>
      </w:r>
      <w:r w:rsidRPr="000C4489">
        <w:rPr>
          <w:b/>
          <w:szCs w:val="24"/>
        </w:rPr>
        <w:t xml:space="preserve"> hours. </w:t>
      </w:r>
    </w:p>
    <w:p w14:paraId="6581193A" w14:textId="77777777" w:rsidR="005D6804" w:rsidRPr="000C4489" w:rsidRDefault="005D6804" w:rsidP="005D6804">
      <w:pPr>
        <w:pStyle w:val="NoSpacing"/>
        <w:rPr>
          <w:b/>
          <w:szCs w:val="24"/>
        </w:rPr>
      </w:pPr>
    </w:p>
    <w:p w14:paraId="24B1B09F" w14:textId="77777777" w:rsidR="005D6804" w:rsidRPr="000C4489" w:rsidRDefault="005D6804" w:rsidP="005D6804">
      <w:pPr>
        <w:pStyle w:val="Caption"/>
        <w:rPr>
          <w:b w:val="0"/>
          <w:color w:val="auto"/>
          <w:sz w:val="24"/>
          <w:szCs w:val="24"/>
        </w:rPr>
      </w:pPr>
      <w:r w:rsidRPr="000C4489">
        <w:rPr>
          <w:color w:val="auto"/>
          <w:sz w:val="24"/>
          <w:szCs w:val="24"/>
        </w:rPr>
        <w:t xml:space="preserve">Table </w:t>
      </w:r>
      <w:r w:rsidRPr="000C4489">
        <w:rPr>
          <w:color w:val="auto"/>
          <w:sz w:val="24"/>
          <w:szCs w:val="24"/>
        </w:rPr>
        <w:fldChar w:fldCharType="begin"/>
      </w:r>
      <w:r w:rsidRPr="000C4489">
        <w:rPr>
          <w:color w:val="auto"/>
          <w:sz w:val="24"/>
          <w:szCs w:val="24"/>
        </w:rPr>
        <w:instrText xml:space="preserve"> SEQ Table \* ARABIC </w:instrText>
      </w:r>
      <w:r w:rsidRPr="000C4489">
        <w:rPr>
          <w:color w:val="auto"/>
          <w:sz w:val="24"/>
          <w:szCs w:val="24"/>
        </w:rPr>
        <w:fldChar w:fldCharType="separate"/>
      </w:r>
      <w:r w:rsidRPr="000C4489">
        <w:rPr>
          <w:noProof/>
          <w:color w:val="auto"/>
          <w:sz w:val="24"/>
          <w:szCs w:val="24"/>
        </w:rPr>
        <w:t>1</w:t>
      </w:r>
      <w:r w:rsidRPr="000C4489">
        <w:rPr>
          <w:color w:val="auto"/>
          <w:sz w:val="24"/>
          <w:szCs w:val="24"/>
        </w:rPr>
        <w:fldChar w:fldCharType="end"/>
      </w:r>
      <w:r w:rsidRPr="000C4489">
        <w:rPr>
          <w:color w:val="auto"/>
          <w:sz w:val="24"/>
          <w:szCs w:val="24"/>
        </w:rPr>
        <w:t>. Total Estimated Burden</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462"/>
        <w:gridCol w:w="1530"/>
        <w:gridCol w:w="1418"/>
      </w:tblGrid>
      <w:tr w:rsidR="005D6804" w:rsidRPr="000C4489" w14:paraId="31AE6400" w14:textId="77777777" w:rsidTr="00F72473">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FD1827A" w14:textId="77777777" w:rsidR="005D6804" w:rsidRPr="000C4489" w:rsidRDefault="005D6804" w:rsidP="00F72473">
            <w:pPr>
              <w:rPr>
                <w:color w:val="000000"/>
                <w:szCs w:val="24"/>
              </w:rPr>
            </w:pPr>
            <w:r w:rsidRPr="000C4489">
              <w:rPr>
                <w:b/>
                <w:bCs/>
                <w:color w:val="000000"/>
                <w:szCs w:val="24"/>
              </w:rPr>
              <w:t xml:space="preserve">Category of Respondent </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3875D6F" w14:textId="77777777" w:rsidR="005D6804" w:rsidRPr="000C4489" w:rsidRDefault="005D6804" w:rsidP="00F72473">
            <w:pPr>
              <w:jc w:val="center"/>
              <w:rPr>
                <w:color w:val="000000"/>
                <w:szCs w:val="24"/>
              </w:rPr>
            </w:pPr>
            <w:r w:rsidRPr="000C4489">
              <w:rPr>
                <w:b/>
                <w:bCs/>
                <w:color w:val="000000"/>
                <w:szCs w:val="24"/>
              </w:rPr>
              <w:t>No. of Respondents</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B18405E" w14:textId="77777777" w:rsidR="005D6804" w:rsidRPr="000C4489" w:rsidRDefault="005D6804" w:rsidP="00F72473">
            <w:pPr>
              <w:jc w:val="center"/>
              <w:rPr>
                <w:color w:val="000000"/>
                <w:szCs w:val="24"/>
              </w:rPr>
            </w:pPr>
            <w:r w:rsidRPr="000C4489">
              <w:rPr>
                <w:b/>
                <w:bCs/>
                <w:color w:val="000000"/>
                <w:szCs w:val="24"/>
              </w:rPr>
              <w:t>Participation Time</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C6A3636" w14:textId="77777777" w:rsidR="005D6804" w:rsidRPr="000C4489" w:rsidRDefault="005D6804" w:rsidP="00F72473">
            <w:pPr>
              <w:jc w:val="center"/>
              <w:rPr>
                <w:color w:val="000000"/>
                <w:szCs w:val="24"/>
              </w:rPr>
            </w:pPr>
            <w:r w:rsidRPr="000C4489">
              <w:rPr>
                <w:b/>
                <w:bCs/>
                <w:color w:val="000000"/>
                <w:szCs w:val="24"/>
              </w:rPr>
              <w:t>Burden</w:t>
            </w:r>
          </w:p>
        </w:tc>
      </w:tr>
      <w:tr w:rsidR="005D6804" w:rsidRPr="000C4489" w14:paraId="3C271AA9" w14:textId="77777777" w:rsidTr="00F72473">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A3F1830" w14:textId="3A5683AD" w:rsidR="005D6804" w:rsidRPr="000C4489" w:rsidRDefault="005D6804" w:rsidP="007C7023">
            <w:pPr>
              <w:rPr>
                <w:color w:val="000000"/>
                <w:szCs w:val="24"/>
              </w:rPr>
            </w:pPr>
            <w:r w:rsidRPr="000C4489">
              <w:rPr>
                <w:color w:val="000000"/>
                <w:szCs w:val="24"/>
              </w:rPr>
              <w:t> </w:t>
            </w:r>
            <w:r w:rsidR="007C7023">
              <w:rPr>
                <w:color w:val="000000"/>
                <w:szCs w:val="24"/>
              </w:rPr>
              <w:t>Reading email invitations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18FA827" w14:textId="164C95AD" w:rsidR="005D6804" w:rsidRPr="000C4489" w:rsidRDefault="00B05D59" w:rsidP="00B05D59">
            <w:pPr>
              <w:jc w:val="center"/>
              <w:rPr>
                <w:color w:val="000000"/>
                <w:szCs w:val="24"/>
              </w:rPr>
            </w:pPr>
            <w:r>
              <w:rPr>
                <w:color w:val="000000"/>
                <w:szCs w:val="24"/>
              </w:rPr>
              <w:t>72</w:t>
            </w:r>
            <w:r w:rsidR="007C7023">
              <w:rPr>
                <w:color w:val="000000"/>
                <w:szCs w:val="24"/>
              </w:rPr>
              <w:t>,000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F32BB47" w14:textId="5414D9FE" w:rsidR="005D6804" w:rsidRPr="000C4489" w:rsidRDefault="007C7023" w:rsidP="00F72473">
            <w:pPr>
              <w:jc w:val="center"/>
              <w:rPr>
                <w:color w:val="000000"/>
                <w:szCs w:val="24"/>
              </w:rPr>
            </w:pPr>
            <w:r>
              <w:rPr>
                <w:color w:val="000000"/>
                <w:szCs w:val="24"/>
              </w:rPr>
              <w:t>3</w:t>
            </w:r>
            <w:r w:rsidR="005D6804" w:rsidRPr="000C4489">
              <w:rPr>
                <w:color w:val="000000"/>
                <w:szCs w:val="24"/>
              </w:rPr>
              <w:t xml:space="preserve">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8478E34" w14:textId="531A76EA" w:rsidR="005D6804" w:rsidRPr="000C4489" w:rsidRDefault="00B05D59" w:rsidP="006C2ABD">
            <w:pPr>
              <w:jc w:val="center"/>
              <w:rPr>
                <w:color w:val="000000"/>
                <w:szCs w:val="24"/>
              </w:rPr>
            </w:pPr>
            <w:r>
              <w:rPr>
                <w:color w:val="000000"/>
                <w:szCs w:val="24"/>
              </w:rPr>
              <w:t>3</w:t>
            </w:r>
            <w:r w:rsidR="007C7023">
              <w:rPr>
                <w:color w:val="000000"/>
                <w:szCs w:val="24"/>
              </w:rPr>
              <w:t>,</w:t>
            </w:r>
            <w:r>
              <w:rPr>
                <w:color w:val="000000"/>
                <w:szCs w:val="24"/>
              </w:rPr>
              <w:t>6</w:t>
            </w:r>
            <w:r w:rsidR="007C7023">
              <w:rPr>
                <w:color w:val="000000"/>
                <w:szCs w:val="24"/>
              </w:rPr>
              <w:t xml:space="preserve">00 </w:t>
            </w:r>
            <w:r w:rsidR="005D6804" w:rsidRPr="000C4489">
              <w:rPr>
                <w:color w:val="000000"/>
                <w:szCs w:val="24"/>
              </w:rPr>
              <w:t>hours</w:t>
            </w:r>
          </w:p>
        </w:tc>
      </w:tr>
      <w:tr w:rsidR="005D6804" w:rsidRPr="000C4489" w14:paraId="37F0CC2B" w14:textId="77777777" w:rsidTr="00F72473">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336A0F5" w14:textId="4D7AD083" w:rsidR="005D6804" w:rsidRPr="000C4489" w:rsidRDefault="005D6804" w:rsidP="008B3932">
            <w:pPr>
              <w:rPr>
                <w:color w:val="000000"/>
                <w:szCs w:val="24"/>
              </w:rPr>
            </w:pPr>
            <w:r w:rsidRPr="000C4489">
              <w:rPr>
                <w:color w:val="000000"/>
                <w:szCs w:val="24"/>
              </w:rPr>
              <w:t> </w:t>
            </w:r>
            <w:r w:rsidR="007C7023">
              <w:rPr>
                <w:color w:val="000000"/>
                <w:szCs w:val="24"/>
              </w:rPr>
              <w:t>Survey</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1C9AF7F" w14:textId="74307512" w:rsidR="005D6804" w:rsidRPr="000C4489" w:rsidRDefault="007C7023" w:rsidP="00F72473">
            <w:pPr>
              <w:jc w:val="center"/>
              <w:rPr>
                <w:color w:val="000000"/>
                <w:szCs w:val="24"/>
              </w:rPr>
            </w:pPr>
            <w:r>
              <w:rPr>
                <w:color w:val="000000"/>
                <w:szCs w:val="24"/>
              </w:rPr>
              <w:t>2</w:t>
            </w:r>
            <w:r w:rsidR="00B05D59">
              <w:rPr>
                <w:color w:val="000000"/>
                <w:szCs w:val="24"/>
              </w:rPr>
              <w:t>,880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15E6278" w14:textId="4C7C8F75" w:rsidR="005D6804" w:rsidRPr="000C4489" w:rsidRDefault="005013F0" w:rsidP="005013F0">
            <w:pPr>
              <w:jc w:val="center"/>
              <w:rPr>
                <w:color w:val="000000"/>
                <w:szCs w:val="24"/>
              </w:rPr>
            </w:pPr>
            <w:r>
              <w:rPr>
                <w:color w:val="000000"/>
                <w:szCs w:val="24"/>
              </w:rPr>
              <w:t>15</w:t>
            </w:r>
            <w:r w:rsidR="005D6804" w:rsidRPr="000C4489">
              <w:rPr>
                <w:color w:val="000000"/>
                <w:szCs w:val="24"/>
              </w:rPr>
              <w:t xml:space="preserve">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CF46C70" w14:textId="7DAC6E6F" w:rsidR="005D6804" w:rsidRPr="000C4489" w:rsidRDefault="00B05D59" w:rsidP="00F72473">
            <w:pPr>
              <w:jc w:val="center"/>
              <w:rPr>
                <w:color w:val="000000"/>
                <w:szCs w:val="24"/>
              </w:rPr>
            </w:pPr>
            <w:r>
              <w:rPr>
                <w:color w:val="000000"/>
                <w:szCs w:val="24"/>
              </w:rPr>
              <w:t xml:space="preserve">720 </w:t>
            </w:r>
            <w:r w:rsidR="005D6804">
              <w:rPr>
                <w:color w:val="000000"/>
                <w:szCs w:val="24"/>
              </w:rPr>
              <w:t>hours</w:t>
            </w:r>
          </w:p>
        </w:tc>
      </w:tr>
      <w:tr w:rsidR="005D6804" w:rsidRPr="000C4489" w14:paraId="47A913E8" w14:textId="77777777" w:rsidTr="00F72473">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BD57267" w14:textId="77777777" w:rsidR="005D6804" w:rsidRPr="000C4489" w:rsidRDefault="005D6804" w:rsidP="00F72473">
            <w:pPr>
              <w:rPr>
                <w:color w:val="000000"/>
                <w:szCs w:val="24"/>
              </w:rPr>
            </w:pPr>
            <w:r w:rsidRPr="000C4489">
              <w:rPr>
                <w:b/>
                <w:bCs/>
                <w:color w:val="000000"/>
                <w:szCs w:val="24"/>
              </w:rPr>
              <w:t>Totals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69298A9" w14:textId="77777777" w:rsidR="005D6804" w:rsidRPr="000C4489" w:rsidRDefault="005D6804" w:rsidP="00F72473">
            <w:pPr>
              <w:jc w:val="center"/>
              <w:rPr>
                <w:color w:val="000000"/>
                <w:szCs w:val="24"/>
              </w:rPr>
            </w:pP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30F74A8F" w14:textId="77777777" w:rsidR="005D6804" w:rsidRPr="000C4489" w:rsidRDefault="005D6804" w:rsidP="00F72473">
            <w:pPr>
              <w:jc w:val="center"/>
              <w:rPr>
                <w:color w:val="000000"/>
                <w:szCs w:val="24"/>
              </w:rPr>
            </w:pP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9F42E83" w14:textId="2D9D8D7A" w:rsidR="005D6804" w:rsidRPr="000C4489" w:rsidRDefault="00B05D59" w:rsidP="005013F0">
            <w:pPr>
              <w:jc w:val="center"/>
              <w:rPr>
                <w:color w:val="000000"/>
                <w:szCs w:val="24"/>
              </w:rPr>
            </w:pPr>
            <w:r>
              <w:rPr>
                <w:color w:val="000000"/>
                <w:szCs w:val="24"/>
              </w:rPr>
              <w:t>4,320</w:t>
            </w:r>
            <w:r w:rsidR="005D6804" w:rsidRPr="000C4489">
              <w:rPr>
                <w:color w:val="000000"/>
                <w:szCs w:val="24"/>
              </w:rPr>
              <w:t xml:space="preserve"> hours</w:t>
            </w:r>
          </w:p>
        </w:tc>
      </w:tr>
    </w:tbl>
    <w:p w14:paraId="3C6D8D96" w14:textId="77777777" w:rsidR="005D6804" w:rsidRPr="000C4489" w:rsidRDefault="005D6804" w:rsidP="005D6804">
      <w:pPr>
        <w:pStyle w:val="NoSpacing"/>
        <w:rPr>
          <w:szCs w:val="24"/>
        </w:rPr>
      </w:pPr>
    </w:p>
    <w:p w14:paraId="51DD9952" w14:textId="77777777" w:rsidR="005D6804" w:rsidRPr="000C4489" w:rsidRDefault="005D6804" w:rsidP="005D6804">
      <w:pPr>
        <w:widowControl w:val="0"/>
        <w:rPr>
          <w:szCs w:val="24"/>
        </w:rPr>
      </w:pPr>
    </w:p>
    <w:p w14:paraId="3D4FB2DC" w14:textId="77777777" w:rsidR="005D6804" w:rsidRPr="000C4489" w:rsidRDefault="005D6804" w:rsidP="005D6804">
      <w:pPr>
        <w:spacing w:after="200" w:line="276" w:lineRule="auto"/>
        <w:rPr>
          <w:szCs w:val="24"/>
        </w:rPr>
      </w:pPr>
      <w:r w:rsidRPr="000C4489">
        <w:rPr>
          <w:szCs w:val="24"/>
        </w:rPr>
        <w:t>The following documents are included as attachments:</w:t>
      </w:r>
    </w:p>
    <w:p w14:paraId="6CA90FA4" w14:textId="77777777" w:rsidR="006C2ABD" w:rsidRDefault="005D6804" w:rsidP="007C7023">
      <w:pPr>
        <w:pStyle w:val="NoSpacing"/>
        <w:rPr>
          <w:szCs w:val="24"/>
        </w:rPr>
      </w:pPr>
      <w:r>
        <w:rPr>
          <w:szCs w:val="24"/>
        </w:rPr>
        <w:t>Attachment I</w:t>
      </w:r>
      <w:r w:rsidR="008E636D">
        <w:rPr>
          <w:szCs w:val="24"/>
        </w:rPr>
        <w:t>:</w:t>
      </w:r>
      <w:r>
        <w:rPr>
          <w:szCs w:val="24"/>
        </w:rPr>
        <w:t xml:space="preserve">  </w:t>
      </w:r>
      <w:r w:rsidR="006C2ABD">
        <w:t>Persuasion Survey Experiment Questionnaire</w:t>
      </w:r>
      <w:r w:rsidR="006C2ABD" w:rsidRPr="007C7023">
        <w:rPr>
          <w:szCs w:val="24"/>
        </w:rPr>
        <w:t xml:space="preserve"> </w:t>
      </w:r>
    </w:p>
    <w:p w14:paraId="1C55E47D" w14:textId="58A9C2C4" w:rsidR="00E1617F" w:rsidRDefault="00E1617F" w:rsidP="007C7023">
      <w:pPr>
        <w:pStyle w:val="NoSpacing"/>
        <w:rPr>
          <w:szCs w:val="24"/>
        </w:rPr>
      </w:pPr>
      <w:r>
        <w:rPr>
          <w:szCs w:val="24"/>
        </w:rPr>
        <w:t>Attachment II: Experimental Invitations</w:t>
      </w:r>
    </w:p>
    <w:p w14:paraId="03A1C09C" w14:textId="1B6703FF" w:rsidR="00367B1F" w:rsidRDefault="00367B1F" w:rsidP="007C7023">
      <w:pPr>
        <w:pStyle w:val="NoSpacing"/>
        <w:rPr>
          <w:szCs w:val="24"/>
        </w:rPr>
      </w:pPr>
      <w:r w:rsidRPr="007C7023">
        <w:rPr>
          <w:szCs w:val="24"/>
        </w:rPr>
        <w:t>Attachment II</w:t>
      </w:r>
      <w:r>
        <w:rPr>
          <w:szCs w:val="24"/>
        </w:rPr>
        <w:t>I</w:t>
      </w:r>
      <w:r w:rsidRPr="007C7023">
        <w:rPr>
          <w:szCs w:val="24"/>
        </w:rPr>
        <w:t xml:space="preserve">: </w:t>
      </w:r>
      <w:r>
        <w:t xml:space="preserve">Persuasion Survey Experiment </w:t>
      </w:r>
      <w:r w:rsidRPr="007C7023">
        <w:rPr>
          <w:szCs w:val="24"/>
        </w:rPr>
        <w:t>Email Invitations</w:t>
      </w:r>
    </w:p>
    <w:p w14:paraId="21061414" w14:textId="77777777" w:rsidR="005D6804" w:rsidRPr="0082006F" w:rsidRDefault="005D6804" w:rsidP="005D6804">
      <w:pPr>
        <w:widowControl w:val="0"/>
        <w:rPr>
          <w:szCs w:val="24"/>
          <w:highlight w:val="yellow"/>
        </w:rPr>
      </w:pPr>
    </w:p>
    <w:p w14:paraId="013CFE8A" w14:textId="77777777" w:rsidR="005D6804" w:rsidRPr="00D6507E" w:rsidRDefault="005D6804" w:rsidP="005D6804">
      <w:pPr>
        <w:spacing w:after="200" w:line="276" w:lineRule="auto"/>
        <w:rPr>
          <w:szCs w:val="24"/>
        </w:rPr>
      </w:pPr>
      <w:r w:rsidRPr="00D6507E">
        <w:rPr>
          <w:szCs w:val="24"/>
        </w:rPr>
        <w:t>The contact person for questions regarding data collection and the design of this research is listed below:</w:t>
      </w:r>
    </w:p>
    <w:p w14:paraId="1BFD9B3F" w14:textId="710EF2BD" w:rsidR="005D6804" w:rsidRPr="00D6507E" w:rsidRDefault="005D6804" w:rsidP="005D6804">
      <w:pPr>
        <w:widowControl w:val="0"/>
        <w:rPr>
          <w:szCs w:val="24"/>
        </w:rPr>
      </w:pPr>
      <w:r w:rsidRPr="00D6507E">
        <w:rPr>
          <w:szCs w:val="24"/>
        </w:rPr>
        <w:tab/>
      </w:r>
      <w:r w:rsidR="00045918">
        <w:rPr>
          <w:szCs w:val="24"/>
        </w:rPr>
        <w:t>Aleia Fobia</w:t>
      </w:r>
    </w:p>
    <w:p w14:paraId="6B3992AE" w14:textId="6349D93C" w:rsidR="005D6804" w:rsidRPr="00D6507E" w:rsidRDefault="005D6804" w:rsidP="005D6804">
      <w:pPr>
        <w:widowControl w:val="0"/>
        <w:rPr>
          <w:szCs w:val="24"/>
        </w:rPr>
      </w:pPr>
      <w:r w:rsidRPr="00D6507E">
        <w:rPr>
          <w:szCs w:val="24"/>
        </w:rPr>
        <w:tab/>
        <w:t xml:space="preserve">Center for </w:t>
      </w:r>
      <w:r w:rsidR="00D34CF2">
        <w:rPr>
          <w:szCs w:val="24"/>
        </w:rPr>
        <w:t>Behavioral Science Methods</w:t>
      </w:r>
    </w:p>
    <w:p w14:paraId="1ABD1DE7" w14:textId="77777777" w:rsidR="005D6804" w:rsidRPr="00D6507E" w:rsidRDefault="005D6804" w:rsidP="005D6804">
      <w:pPr>
        <w:widowControl w:val="0"/>
        <w:rPr>
          <w:szCs w:val="24"/>
        </w:rPr>
      </w:pPr>
      <w:r w:rsidRPr="00D6507E">
        <w:rPr>
          <w:szCs w:val="24"/>
        </w:rPr>
        <w:tab/>
        <w:t xml:space="preserve">U.S. Census Bureau </w:t>
      </w:r>
    </w:p>
    <w:p w14:paraId="6430EC60" w14:textId="649306EB" w:rsidR="005D6804" w:rsidRPr="00D6507E" w:rsidRDefault="005D6804" w:rsidP="005D6804">
      <w:pPr>
        <w:widowControl w:val="0"/>
        <w:rPr>
          <w:szCs w:val="24"/>
        </w:rPr>
      </w:pPr>
      <w:r w:rsidRPr="00D6507E">
        <w:rPr>
          <w:szCs w:val="24"/>
        </w:rPr>
        <w:tab/>
        <w:t>Room 5K02</w:t>
      </w:r>
      <w:r w:rsidR="00045918">
        <w:rPr>
          <w:szCs w:val="24"/>
        </w:rPr>
        <w:t>4E</w:t>
      </w:r>
    </w:p>
    <w:p w14:paraId="43E90753" w14:textId="77777777" w:rsidR="005D6804" w:rsidRPr="00D6507E" w:rsidRDefault="005D6804" w:rsidP="005D6804">
      <w:pPr>
        <w:widowControl w:val="0"/>
        <w:rPr>
          <w:szCs w:val="24"/>
        </w:rPr>
      </w:pPr>
      <w:r w:rsidRPr="00D6507E">
        <w:rPr>
          <w:szCs w:val="24"/>
        </w:rPr>
        <w:tab/>
        <w:t>Washington, D.C. 20233</w:t>
      </w:r>
    </w:p>
    <w:p w14:paraId="5DCADCEF" w14:textId="1B366474" w:rsidR="005D6804" w:rsidRPr="00D6507E" w:rsidRDefault="005D6804" w:rsidP="005D6804">
      <w:pPr>
        <w:widowControl w:val="0"/>
        <w:rPr>
          <w:szCs w:val="24"/>
        </w:rPr>
      </w:pPr>
      <w:r w:rsidRPr="00D6507E">
        <w:rPr>
          <w:szCs w:val="24"/>
        </w:rPr>
        <w:tab/>
        <w:t>(301) 763-</w:t>
      </w:r>
      <w:r w:rsidR="00045918">
        <w:rPr>
          <w:szCs w:val="24"/>
        </w:rPr>
        <w:t>4075</w:t>
      </w:r>
    </w:p>
    <w:p w14:paraId="4A8A983D" w14:textId="56F191B3" w:rsidR="005D6804" w:rsidRPr="00823FDB" w:rsidRDefault="00045918" w:rsidP="005D6804">
      <w:pPr>
        <w:widowControl w:val="0"/>
        <w:ind w:firstLine="720"/>
        <w:rPr>
          <w:szCs w:val="24"/>
        </w:rPr>
      </w:pPr>
      <w:r>
        <w:rPr>
          <w:color w:val="0000FF"/>
          <w:szCs w:val="24"/>
          <w:u w:val="single"/>
        </w:rPr>
        <w:t>aleia.yvonne.clark.fobia@census.gov</w:t>
      </w:r>
    </w:p>
    <w:p w14:paraId="41FF26B7" w14:textId="4D050477" w:rsidR="00F72473" w:rsidRDefault="00F72473"/>
    <w:p w14:paraId="5CFDCA18" w14:textId="77777777" w:rsidR="00444712" w:rsidRDefault="00444712"/>
    <w:p w14:paraId="31BFA7E6" w14:textId="77777777" w:rsidR="00444712" w:rsidRDefault="00444712"/>
    <w:p w14:paraId="2E11702B" w14:textId="77777777" w:rsidR="00444712" w:rsidRDefault="00444712"/>
    <w:p w14:paraId="2CE21101" w14:textId="77777777" w:rsidR="00444712" w:rsidRDefault="00444712"/>
    <w:p w14:paraId="54892158" w14:textId="526D4629" w:rsidR="00283F26" w:rsidRDefault="00444712">
      <w:r>
        <w:t>References</w:t>
      </w:r>
    </w:p>
    <w:p w14:paraId="2744C9BB" w14:textId="77777777" w:rsidR="00444712" w:rsidRDefault="00444712"/>
    <w:p w14:paraId="2EE39D68" w14:textId="77777777" w:rsidR="00444712" w:rsidRDefault="00444712">
      <w:r w:rsidRPr="00444712">
        <w:t>Cialdini, R. (2016). Pre-suasion: A revolutionary way to influence and persuade. Simon and Schuster.</w:t>
      </w:r>
    </w:p>
    <w:p w14:paraId="4EA7502E" w14:textId="77777777" w:rsidR="00444712" w:rsidRDefault="00444712" w:rsidP="00444712"/>
    <w:p w14:paraId="497CA7BB" w14:textId="43B6960D" w:rsidR="00444712" w:rsidRDefault="00444712" w:rsidP="00444712">
      <w:r w:rsidRPr="00444712">
        <w:t>Franke, T., Attig, C., &amp; Wessel, D. (2019). A personal resource for technology interaction: development and validation of the affinity for technology interaction (ATI) scale. International Journal of Human–Computer Interaction, 35(6), 456-467.</w:t>
      </w:r>
    </w:p>
    <w:p w14:paraId="7893E361" w14:textId="77777777" w:rsidR="00444712" w:rsidRDefault="00444712" w:rsidP="00444712"/>
    <w:p w14:paraId="2164ABFE" w14:textId="162F47D6" w:rsidR="00283F26" w:rsidRDefault="00283F26">
      <w:r w:rsidRPr="00283F26">
        <w:t>Soto, C.J., &amp; John, O.P. (2017). The next Big Five Inventory (BFI-2): Developing and assessing a hierarchical model with 15 facets to enhance bandwidth, fidelity, and predictive power. Journal of personality and social psychology, 113 1, 117-143 .</w:t>
      </w:r>
    </w:p>
    <w:p w14:paraId="0B3BC630" w14:textId="77777777" w:rsidR="00283F26" w:rsidRDefault="00283F26"/>
    <w:p w14:paraId="09C19C5E" w14:textId="77777777" w:rsidR="00444712" w:rsidRDefault="00444712"/>
    <w:sectPr w:rsidR="004447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92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3ECD1C" w16cid:durableId="2183A560"/>
  <w16cid:commentId w16cid:paraId="169BB163" w16cid:durableId="2183A561"/>
  <w16cid:commentId w16cid:paraId="7D0E5B5B" w16cid:durableId="2183AC41"/>
  <w16cid:commentId w16cid:paraId="73E3CC13" w16cid:durableId="2183A562"/>
  <w16cid:commentId w16cid:paraId="4EF74BCA" w16cid:durableId="2183AC2F"/>
  <w16cid:commentId w16cid:paraId="60D7D4F2" w16cid:durableId="2183AD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ECCD8" w14:textId="77777777" w:rsidR="00E0396D" w:rsidRDefault="00E0396D">
      <w:r>
        <w:separator/>
      </w:r>
    </w:p>
  </w:endnote>
  <w:endnote w:type="continuationSeparator" w:id="0">
    <w:p w14:paraId="134D9D5F" w14:textId="77777777" w:rsidR="00E0396D" w:rsidRDefault="00E0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E227A" w14:textId="77777777" w:rsidR="006324BC" w:rsidRDefault="006324BC">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31BB112A" w14:textId="6C3C1897" w:rsidR="006324BC" w:rsidRPr="00DF535F" w:rsidRDefault="006324BC">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6A67C4">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6A67C4">
              <w:rPr>
                <w:bCs/>
                <w:noProof/>
              </w:rPr>
              <w:t>3</w:t>
            </w:r>
            <w:r w:rsidRPr="00DF535F">
              <w:rPr>
                <w:bCs/>
                <w:szCs w:val="24"/>
              </w:rPr>
              <w:fldChar w:fldCharType="end"/>
            </w:r>
          </w:p>
        </w:sdtContent>
      </w:sdt>
    </w:sdtContent>
  </w:sdt>
  <w:p w14:paraId="708E504C" w14:textId="77777777" w:rsidR="006324BC" w:rsidRDefault="006324BC">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60709" w14:textId="77777777" w:rsidR="006324BC" w:rsidRDefault="00632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34D50" w14:textId="77777777" w:rsidR="00E0396D" w:rsidRDefault="00E0396D">
      <w:r>
        <w:separator/>
      </w:r>
    </w:p>
  </w:footnote>
  <w:footnote w:type="continuationSeparator" w:id="0">
    <w:p w14:paraId="53039C62" w14:textId="77777777" w:rsidR="00E0396D" w:rsidRDefault="00E03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72AD7" w14:textId="77777777" w:rsidR="006324BC" w:rsidRDefault="006324BC">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5DD59" w14:textId="77777777" w:rsidR="006324BC" w:rsidRDefault="006324BC">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8A47" w14:textId="77777777" w:rsidR="006324BC" w:rsidRDefault="00632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3216BA"/>
    <w:multiLevelType w:val="hybridMultilevel"/>
    <w:tmpl w:val="3006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D34BCA"/>
    <w:multiLevelType w:val="hybridMultilevel"/>
    <w:tmpl w:val="9312A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04"/>
    <w:rsid w:val="00016857"/>
    <w:rsid w:val="00021160"/>
    <w:rsid w:val="000455DD"/>
    <w:rsid w:val="00045918"/>
    <w:rsid w:val="00087297"/>
    <w:rsid w:val="000D3153"/>
    <w:rsid w:val="00161072"/>
    <w:rsid w:val="00183276"/>
    <w:rsid w:val="00183E2A"/>
    <w:rsid w:val="001D205E"/>
    <w:rsid w:val="00201309"/>
    <w:rsid w:val="002830F7"/>
    <w:rsid w:val="00283F26"/>
    <w:rsid w:val="002C5438"/>
    <w:rsid w:val="002E736D"/>
    <w:rsid w:val="002F75C1"/>
    <w:rsid w:val="003276F9"/>
    <w:rsid w:val="0036579E"/>
    <w:rsid w:val="00366B28"/>
    <w:rsid w:val="00367B1F"/>
    <w:rsid w:val="003D1F7E"/>
    <w:rsid w:val="003F0233"/>
    <w:rsid w:val="00410180"/>
    <w:rsid w:val="00444712"/>
    <w:rsid w:val="005013F0"/>
    <w:rsid w:val="00504EFC"/>
    <w:rsid w:val="005440CA"/>
    <w:rsid w:val="00560385"/>
    <w:rsid w:val="005844E7"/>
    <w:rsid w:val="005A620D"/>
    <w:rsid w:val="005D6804"/>
    <w:rsid w:val="006324BC"/>
    <w:rsid w:val="00686815"/>
    <w:rsid w:val="006A67C4"/>
    <w:rsid w:val="006C2ABD"/>
    <w:rsid w:val="006E0EB5"/>
    <w:rsid w:val="00717E2C"/>
    <w:rsid w:val="0076219E"/>
    <w:rsid w:val="00787820"/>
    <w:rsid w:val="007C6A16"/>
    <w:rsid w:val="007C7023"/>
    <w:rsid w:val="00821454"/>
    <w:rsid w:val="00864A47"/>
    <w:rsid w:val="008B3932"/>
    <w:rsid w:val="008C7E9B"/>
    <w:rsid w:val="008D6250"/>
    <w:rsid w:val="008E636D"/>
    <w:rsid w:val="00914F31"/>
    <w:rsid w:val="00927D82"/>
    <w:rsid w:val="00936CBC"/>
    <w:rsid w:val="009B0F0A"/>
    <w:rsid w:val="00A9670F"/>
    <w:rsid w:val="00AA3EE4"/>
    <w:rsid w:val="00AB1DA2"/>
    <w:rsid w:val="00AB73BB"/>
    <w:rsid w:val="00B05D59"/>
    <w:rsid w:val="00B12BC2"/>
    <w:rsid w:val="00B34B54"/>
    <w:rsid w:val="00C61D5B"/>
    <w:rsid w:val="00CC7F39"/>
    <w:rsid w:val="00CD248D"/>
    <w:rsid w:val="00D34CF2"/>
    <w:rsid w:val="00D72DA4"/>
    <w:rsid w:val="00D76D06"/>
    <w:rsid w:val="00D919B9"/>
    <w:rsid w:val="00DD0348"/>
    <w:rsid w:val="00DE7F73"/>
    <w:rsid w:val="00DF3B4D"/>
    <w:rsid w:val="00E0396D"/>
    <w:rsid w:val="00E12542"/>
    <w:rsid w:val="00E1617F"/>
    <w:rsid w:val="00F53E5C"/>
    <w:rsid w:val="00F72473"/>
    <w:rsid w:val="00FF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0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04"/>
    <w:pPr>
      <w:tabs>
        <w:tab w:val="center" w:pos="4680"/>
        <w:tab w:val="right" w:pos="9360"/>
      </w:tabs>
    </w:pPr>
  </w:style>
  <w:style w:type="character" w:customStyle="1" w:styleId="HeaderChar">
    <w:name w:val="Header Char"/>
    <w:basedOn w:val="DefaultParagraphFont"/>
    <w:link w:val="Header"/>
    <w:uiPriority w:val="99"/>
    <w:rsid w:val="005D680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6804"/>
    <w:pPr>
      <w:tabs>
        <w:tab w:val="center" w:pos="4680"/>
        <w:tab w:val="right" w:pos="9360"/>
      </w:tabs>
    </w:pPr>
  </w:style>
  <w:style w:type="character" w:customStyle="1" w:styleId="FooterChar">
    <w:name w:val="Footer Char"/>
    <w:basedOn w:val="DefaultParagraphFont"/>
    <w:link w:val="Footer"/>
    <w:uiPriority w:val="99"/>
    <w:rsid w:val="005D6804"/>
    <w:rPr>
      <w:rFonts w:ascii="Times New Roman" w:eastAsia="Times New Roman" w:hAnsi="Times New Roman" w:cs="Times New Roman"/>
      <w:sz w:val="24"/>
      <w:szCs w:val="20"/>
    </w:rPr>
  </w:style>
  <w:style w:type="paragraph" w:styleId="ListParagraph">
    <w:name w:val="List Paragraph"/>
    <w:basedOn w:val="Normal"/>
    <w:uiPriority w:val="34"/>
    <w:qFormat/>
    <w:rsid w:val="005D6804"/>
    <w:pPr>
      <w:ind w:left="720"/>
      <w:contextualSpacing/>
    </w:pPr>
  </w:style>
  <w:style w:type="paragraph" w:styleId="NoSpacing">
    <w:name w:val="No Spacing"/>
    <w:uiPriority w:val="1"/>
    <w:qFormat/>
    <w:rsid w:val="005D6804"/>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5D6804"/>
    <w:rPr>
      <w:rFonts w:eastAsiaTheme="minorHAnsi"/>
      <w:szCs w:val="24"/>
    </w:rPr>
  </w:style>
  <w:style w:type="paragraph" w:styleId="Caption">
    <w:name w:val="caption"/>
    <w:basedOn w:val="Normal"/>
    <w:next w:val="Normal"/>
    <w:uiPriority w:val="35"/>
    <w:unhideWhenUsed/>
    <w:qFormat/>
    <w:rsid w:val="005D6804"/>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5D6804"/>
    <w:rPr>
      <w:sz w:val="16"/>
      <w:szCs w:val="16"/>
    </w:rPr>
  </w:style>
  <w:style w:type="paragraph" w:styleId="CommentText">
    <w:name w:val="annotation text"/>
    <w:basedOn w:val="Normal"/>
    <w:link w:val="CommentTextChar"/>
    <w:uiPriority w:val="99"/>
    <w:semiHidden/>
    <w:unhideWhenUsed/>
    <w:rsid w:val="005D6804"/>
    <w:rPr>
      <w:sz w:val="20"/>
    </w:rPr>
  </w:style>
  <w:style w:type="character" w:customStyle="1" w:styleId="CommentTextChar">
    <w:name w:val="Comment Text Char"/>
    <w:basedOn w:val="DefaultParagraphFont"/>
    <w:link w:val="CommentText"/>
    <w:uiPriority w:val="99"/>
    <w:semiHidden/>
    <w:rsid w:val="005D6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804"/>
    <w:rPr>
      <w:b/>
      <w:bCs/>
    </w:rPr>
  </w:style>
  <w:style w:type="character" w:customStyle="1" w:styleId="CommentSubjectChar">
    <w:name w:val="Comment Subject Char"/>
    <w:basedOn w:val="CommentTextChar"/>
    <w:link w:val="CommentSubject"/>
    <w:uiPriority w:val="99"/>
    <w:semiHidden/>
    <w:rsid w:val="005D68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04"/>
    <w:rPr>
      <w:rFonts w:ascii="Segoe UI" w:eastAsia="Times New Roman" w:hAnsi="Segoe UI" w:cs="Segoe UI"/>
      <w:sz w:val="18"/>
      <w:szCs w:val="18"/>
    </w:rPr>
  </w:style>
  <w:style w:type="table" w:styleId="TableGrid">
    <w:name w:val="Table Grid"/>
    <w:basedOn w:val="TableNormal"/>
    <w:uiPriority w:val="39"/>
    <w:rsid w:val="0041018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80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804"/>
    <w:pPr>
      <w:tabs>
        <w:tab w:val="center" w:pos="4680"/>
        <w:tab w:val="right" w:pos="9360"/>
      </w:tabs>
    </w:pPr>
  </w:style>
  <w:style w:type="character" w:customStyle="1" w:styleId="HeaderChar">
    <w:name w:val="Header Char"/>
    <w:basedOn w:val="DefaultParagraphFont"/>
    <w:link w:val="Header"/>
    <w:uiPriority w:val="99"/>
    <w:rsid w:val="005D680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6804"/>
    <w:pPr>
      <w:tabs>
        <w:tab w:val="center" w:pos="4680"/>
        <w:tab w:val="right" w:pos="9360"/>
      </w:tabs>
    </w:pPr>
  </w:style>
  <w:style w:type="character" w:customStyle="1" w:styleId="FooterChar">
    <w:name w:val="Footer Char"/>
    <w:basedOn w:val="DefaultParagraphFont"/>
    <w:link w:val="Footer"/>
    <w:uiPriority w:val="99"/>
    <w:rsid w:val="005D6804"/>
    <w:rPr>
      <w:rFonts w:ascii="Times New Roman" w:eastAsia="Times New Roman" w:hAnsi="Times New Roman" w:cs="Times New Roman"/>
      <w:sz w:val="24"/>
      <w:szCs w:val="20"/>
    </w:rPr>
  </w:style>
  <w:style w:type="paragraph" w:styleId="ListParagraph">
    <w:name w:val="List Paragraph"/>
    <w:basedOn w:val="Normal"/>
    <w:uiPriority w:val="34"/>
    <w:qFormat/>
    <w:rsid w:val="005D6804"/>
    <w:pPr>
      <w:ind w:left="720"/>
      <w:contextualSpacing/>
    </w:pPr>
  </w:style>
  <w:style w:type="paragraph" w:styleId="NoSpacing">
    <w:name w:val="No Spacing"/>
    <w:uiPriority w:val="1"/>
    <w:qFormat/>
    <w:rsid w:val="005D6804"/>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5D6804"/>
    <w:rPr>
      <w:rFonts w:eastAsiaTheme="minorHAnsi"/>
      <w:szCs w:val="24"/>
    </w:rPr>
  </w:style>
  <w:style w:type="paragraph" w:styleId="Caption">
    <w:name w:val="caption"/>
    <w:basedOn w:val="Normal"/>
    <w:next w:val="Normal"/>
    <w:uiPriority w:val="35"/>
    <w:unhideWhenUsed/>
    <w:qFormat/>
    <w:rsid w:val="005D6804"/>
    <w:pPr>
      <w:spacing w:after="200"/>
    </w:pPr>
    <w:rPr>
      <w:b/>
      <w:bCs/>
      <w:color w:val="5B9BD5" w:themeColor="accent1"/>
      <w:sz w:val="18"/>
      <w:szCs w:val="18"/>
    </w:rPr>
  </w:style>
  <w:style w:type="character" w:styleId="CommentReference">
    <w:name w:val="annotation reference"/>
    <w:basedOn w:val="DefaultParagraphFont"/>
    <w:uiPriority w:val="99"/>
    <w:semiHidden/>
    <w:unhideWhenUsed/>
    <w:rsid w:val="005D6804"/>
    <w:rPr>
      <w:sz w:val="16"/>
      <w:szCs w:val="16"/>
    </w:rPr>
  </w:style>
  <w:style w:type="paragraph" w:styleId="CommentText">
    <w:name w:val="annotation text"/>
    <w:basedOn w:val="Normal"/>
    <w:link w:val="CommentTextChar"/>
    <w:uiPriority w:val="99"/>
    <w:semiHidden/>
    <w:unhideWhenUsed/>
    <w:rsid w:val="005D6804"/>
    <w:rPr>
      <w:sz w:val="20"/>
    </w:rPr>
  </w:style>
  <w:style w:type="character" w:customStyle="1" w:styleId="CommentTextChar">
    <w:name w:val="Comment Text Char"/>
    <w:basedOn w:val="DefaultParagraphFont"/>
    <w:link w:val="CommentText"/>
    <w:uiPriority w:val="99"/>
    <w:semiHidden/>
    <w:rsid w:val="005D68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6804"/>
    <w:rPr>
      <w:b/>
      <w:bCs/>
    </w:rPr>
  </w:style>
  <w:style w:type="character" w:customStyle="1" w:styleId="CommentSubjectChar">
    <w:name w:val="Comment Subject Char"/>
    <w:basedOn w:val="CommentTextChar"/>
    <w:link w:val="CommentSubject"/>
    <w:uiPriority w:val="99"/>
    <w:semiHidden/>
    <w:rsid w:val="005D680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D6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04"/>
    <w:rPr>
      <w:rFonts w:ascii="Segoe UI" w:eastAsia="Times New Roman" w:hAnsi="Segoe UI" w:cs="Segoe UI"/>
      <w:sz w:val="18"/>
      <w:szCs w:val="18"/>
    </w:rPr>
  </w:style>
  <w:style w:type="table" w:styleId="TableGrid">
    <w:name w:val="Table Grid"/>
    <w:basedOn w:val="TableNormal"/>
    <w:uiPriority w:val="39"/>
    <w:rsid w:val="0041018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Eggleston (CENSUS/CSM FED)</dc:creator>
  <cp:keywords/>
  <dc:description/>
  <cp:lastModifiedBy>SYSTEM</cp:lastModifiedBy>
  <cp:revision>2</cp:revision>
  <dcterms:created xsi:type="dcterms:W3CDTF">2019-12-13T20:32:00Z</dcterms:created>
  <dcterms:modified xsi:type="dcterms:W3CDTF">2019-12-13T20:32:00Z</dcterms:modified>
</cp:coreProperties>
</file>