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68DC6" w14:textId="77777777" w:rsidR="00C32344" w:rsidRDefault="00C32344" w:rsidP="00C32344">
      <w:pPr>
        <w:jc w:val="center"/>
        <w:rPr>
          <w:b/>
          <w:bCs/>
          <w:sz w:val="28"/>
          <w:szCs w:val="28"/>
        </w:rPr>
      </w:pPr>
      <w:bookmarkStart w:id="0" w:name="_GoBack"/>
      <w:bookmarkEnd w:id="0"/>
      <w:r w:rsidRPr="001F3A52">
        <w:rPr>
          <w:b/>
          <w:bCs/>
          <w:sz w:val="28"/>
          <w:szCs w:val="28"/>
        </w:rPr>
        <w:t>RENEWAL OF INFORMATION COLLECTION REQUEST FOR THE CONTINUOUS RELEASE REPORTING REQUIREMENT</w:t>
      </w:r>
    </w:p>
    <w:p w14:paraId="1EB9A00D" w14:textId="77777777" w:rsidR="00F23FEC" w:rsidRDefault="00F23FEC" w:rsidP="00C32344">
      <w:pPr>
        <w:jc w:val="center"/>
        <w:rPr>
          <w:b/>
          <w:bCs/>
          <w:sz w:val="28"/>
          <w:szCs w:val="28"/>
        </w:rPr>
      </w:pPr>
    </w:p>
    <w:p w14:paraId="523DD243" w14:textId="77777777" w:rsidR="00C32344" w:rsidRPr="001C7658" w:rsidRDefault="00BC6C17" w:rsidP="00BC6C17">
      <w:pPr>
        <w:jc w:val="center"/>
        <w:rPr>
          <w:b/>
          <w:bCs/>
          <w:color w:val="92D050"/>
          <w:sz w:val="28"/>
          <w:szCs w:val="28"/>
        </w:rPr>
        <w:sectPr w:rsidR="00C32344" w:rsidRPr="001C7658" w:rsidSect="0082631E">
          <w:headerReference w:type="default" r:id="rId9"/>
          <w:footerReference w:type="default" r:id="rId10"/>
          <w:pgSz w:w="12240" w:h="15840"/>
          <w:pgMar w:top="1440" w:right="1440" w:bottom="1440" w:left="1440" w:header="1195" w:footer="1195" w:gutter="0"/>
          <w:cols w:space="720"/>
          <w:vAlign w:val="center"/>
          <w:noEndnote/>
          <w:docGrid w:linePitch="326"/>
        </w:sectPr>
      </w:pPr>
      <w:r w:rsidRPr="001C7658">
        <w:rPr>
          <w:b/>
          <w:bCs/>
          <w:color w:val="92D050"/>
          <w:sz w:val="28"/>
          <w:szCs w:val="28"/>
        </w:rPr>
        <w:t>Including</w:t>
      </w:r>
      <w:r w:rsidR="00F23FEC" w:rsidRPr="001C7658">
        <w:rPr>
          <w:b/>
          <w:bCs/>
          <w:color w:val="92D050"/>
          <w:sz w:val="28"/>
          <w:szCs w:val="28"/>
        </w:rPr>
        <w:t xml:space="preserve"> Analysis for Use of Continuous Release Reporting Forms</w:t>
      </w:r>
    </w:p>
    <w:p w14:paraId="3CB2E52B" w14:textId="39BD963F" w:rsidR="00DB5E38" w:rsidRDefault="00DB5E38">
      <w:pPr>
        <w:pStyle w:val="TOC1"/>
        <w:tabs>
          <w:tab w:val="right" w:leader="dot" w:pos="9710"/>
        </w:tabs>
      </w:pPr>
    </w:p>
    <w:p w14:paraId="3939AF8D" w14:textId="77777777" w:rsidR="00DB5E38" w:rsidRPr="00DB5E38" w:rsidRDefault="00DB5E38" w:rsidP="00DB5E38"/>
    <w:p w14:paraId="28B82F61" w14:textId="2125C1E3" w:rsidR="00C40C69" w:rsidRDefault="00DF1028">
      <w:pPr>
        <w:pStyle w:val="TOC1"/>
        <w:tabs>
          <w:tab w:val="right" w:leader="dot" w:pos="9710"/>
        </w:tabs>
        <w:rPr>
          <w:rFonts w:asciiTheme="minorHAnsi" w:eastAsiaTheme="minorEastAsia" w:hAnsiTheme="minorHAnsi" w:cstheme="minorBidi"/>
          <w:noProof/>
          <w:sz w:val="22"/>
          <w:szCs w:val="22"/>
        </w:rPr>
      </w:pPr>
      <w:r>
        <w:fldChar w:fldCharType="begin"/>
      </w:r>
      <w:r w:rsidR="007A4310">
        <w:instrText xml:space="preserve"> TOC \o "1-5" \h \z \u </w:instrText>
      </w:r>
      <w:r>
        <w:fldChar w:fldCharType="separate"/>
      </w:r>
      <w:hyperlink w:anchor="_Toc295823928" w:history="1">
        <w:r w:rsidR="00C40C69" w:rsidRPr="00355BDA">
          <w:rPr>
            <w:rStyle w:val="Hyperlink"/>
            <w:noProof/>
          </w:rPr>
          <w:t>1.</w:t>
        </w:r>
        <w:r w:rsidR="00C40C69">
          <w:rPr>
            <w:rFonts w:asciiTheme="minorHAnsi" w:eastAsiaTheme="minorEastAsia" w:hAnsiTheme="minorHAnsi" w:cstheme="minorBidi"/>
            <w:noProof/>
            <w:sz w:val="22"/>
            <w:szCs w:val="22"/>
          </w:rPr>
          <w:tab/>
        </w:r>
        <w:r w:rsidR="00C40C69" w:rsidRPr="00355BDA">
          <w:rPr>
            <w:rStyle w:val="Hyperlink"/>
            <w:noProof/>
          </w:rPr>
          <w:t>IDENTIFICATION OF THE INFORMATION COLLECTION</w:t>
        </w:r>
        <w:r w:rsidR="00C40C69">
          <w:rPr>
            <w:noProof/>
            <w:webHidden/>
          </w:rPr>
          <w:tab/>
        </w:r>
        <w:r>
          <w:rPr>
            <w:noProof/>
            <w:webHidden/>
          </w:rPr>
          <w:fldChar w:fldCharType="begin"/>
        </w:r>
        <w:r w:rsidR="00C40C69">
          <w:rPr>
            <w:noProof/>
            <w:webHidden/>
          </w:rPr>
          <w:instrText xml:space="preserve"> PAGEREF _Toc295823928 \h </w:instrText>
        </w:r>
        <w:r>
          <w:rPr>
            <w:noProof/>
            <w:webHidden/>
          </w:rPr>
        </w:r>
        <w:r>
          <w:rPr>
            <w:noProof/>
            <w:webHidden/>
          </w:rPr>
          <w:fldChar w:fldCharType="separate"/>
        </w:r>
        <w:r w:rsidR="00B02D8E">
          <w:rPr>
            <w:noProof/>
            <w:webHidden/>
          </w:rPr>
          <w:t>4</w:t>
        </w:r>
        <w:r>
          <w:rPr>
            <w:noProof/>
            <w:webHidden/>
          </w:rPr>
          <w:fldChar w:fldCharType="end"/>
        </w:r>
      </w:hyperlink>
    </w:p>
    <w:p w14:paraId="3CFE6A50" w14:textId="5CAFDF38" w:rsidR="00C40C69" w:rsidRDefault="00964E16">
      <w:pPr>
        <w:pStyle w:val="TOC2"/>
        <w:tabs>
          <w:tab w:val="left" w:pos="1080"/>
        </w:tabs>
        <w:rPr>
          <w:rFonts w:asciiTheme="minorHAnsi" w:eastAsiaTheme="minorEastAsia" w:hAnsiTheme="minorHAnsi" w:cstheme="minorBidi"/>
          <w:noProof/>
          <w:sz w:val="22"/>
          <w:szCs w:val="22"/>
        </w:rPr>
      </w:pPr>
      <w:hyperlink w:anchor="_Toc295823929" w:history="1">
        <w:r w:rsidR="00C40C69" w:rsidRPr="00355BDA">
          <w:rPr>
            <w:rStyle w:val="Hyperlink"/>
            <w:noProof/>
          </w:rPr>
          <w:t>1a.</w:t>
        </w:r>
        <w:r w:rsidR="00C40C69">
          <w:rPr>
            <w:rFonts w:asciiTheme="minorHAnsi" w:eastAsiaTheme="minorEastAsia" w:hAnsiTheme="minorHAnsi" w:cstheme="minorBidi"/>
            <w:noProof/>
            <w:sz w:val="22"/>
            <w:szCs w:val="22"/>
          </w:rPr>
          <w:tab/>
        </w:r>
        <w:r w:rsidR="00C40C69" w:rsidRPr="00355BDA">
          <w:rPr>
            <w:rStyle w:val="Hyperlink"/>
            <w:noProof/>
          </w:rPr>
          <w:t>Title of the Information Collection</w:t>
        </w:r>
        <w:r w:rsidR="00C40C69">
          <w:rPr>
            <w:noProof/>
            <w:webHidden/>
          </w:rPr>
          <w:tab/>
        </w:r>
        <w:r w:rsidR="00DF1028">
          <w:rPr>
            <w:noProof/>
            <w:webHidden/>
          </w:rPr>
          <w:fldChar w:fldCharType="begin"/>
        </w:r>
        <w:r w:rsidR="00C40C69">
          <w:rPr>
            <w:noProof/>
            <w:webHidden/>
          </w:rPr>
          <w:instrText xml:space="preserve"> PAGEREF _Toc295823929 \h </w:instrText>
        </w:r>
        <w:r w:rsidR="00DF1028">
          <w:rPr>
            <w:noProof/>
            <w:webHidden/>
          </w:rPr>
        </w:r>
        <w:r w:rsidR="00DF1028">
          <w:rPr>
            <w:noProof/>
            <w:webHidden/>
          </w:rPr>
          <w:fldChar w:fldCharType="separate"/>
        </w:r>
        <w:r w:rsidR="00B02D8E">
          <w:rPr>
            <w:noProof/>
            <w:webHidden/>
          </w:rPr>
          <w:t>4</w:t>
        </w:r>
        <w:r w:rsidR="00DF1028">
          <w:rPr>
            <w:noProof/>
            <w:webHidden/>
          </w:rPr>
          <w:fldChar w:fldCharType="end"/>
        </w:r>
      </w:hyperlink>
    </w:p>
    <w:p w14:paraId="0741633F" w14:textId="17FD76A5" w:rsidR="00C40C69" w:rsidRDefault="00964E16">
      <w:pPr>
        <w:pStyle w:val="TOC2"/>
        <w:tabs>
          <w:tab w:val="left" w:pos="1080"/>
        </w:tabs>
        <w:rPr>
          <w:rFonts w:asciiTheme="minorHAnsi" w:eastAsiaTheme="minorEastAsia" w:hAnsiTheme="minorHAnsi" w:cstheme="minorBidi"/>
          <w:noProof/>
          <w:sz w:val="22"/>
          <w:szCs w:val="22"/>
        </w:rPr>
      </w:pPr>
      <w:hyperlink w:anchor="_Toc295823930" w:history="1">
        <w:r w:rsidR="00C40C69" w:rsidRPr="00355BDA">
          <w:rPr>
            <w:rStyle w:val="Hyperlink"/>
            <w:noProof/>
          </w:rPr>
          <w:t>1b.</w:t>
        </w:r>
        <w:r w:rsidR="00C40C69">
          <w:rPr>
            <w:rFonts w:asciiTheme="minorHAnsi" w:eastAsiaTheme="minorEastAsia" w:hAnsiTheme="minorHAnsi" w:cstheme="minorBidi"/>
            <w:noProof/>
            <w:sz w:val="22"/>
            <w:szCs w:val="22"/>
          </w:rPr>
          <w:tab/>
        </w:r>
        <w:r w:rsidR="00C40C69" w:rsidRPr="00355BDA">
          <w:rPr>
            <w:rStyle w:val="Hyperlink"/>
            <w:noProof/>
          </w:rPr>
          <w:t>Short Characterization/Abstract</w:t>
        </w:r>
        <w:r w:rsidR="00C40C69">
          <w:rPr>
            <w:noProof/>
            <w:webHidden/>
          </w:rPr>
          <w:tab/>
        </w:r>
        <w:r w:rsidR="00DF1028">
          <w:rPr>
            <w:noProof/>
            <w:webHidden/>
          </w:rPr>
          <w:fldChar w:fldCharType="begin"/>
        </w:r>
        <w:r w:rsidR="00C40C69">
          <w:rPr>
            <w:noProof/>
            <w:webHidden/>
          </w:rPr>
          <w:instrText xml:space="preserve"> PAGEREF _Toc295823930 \h </w:instrText>
        </w:r>
        <w:r w:rsidR="00DF1028">
          <w:rPr>
            <w:noProof/>
            <w:webHidden/>
          </w:rPr>
        </w:r>
        <w:r w:rsidR="00DF1028">
          <w:rPr>
            <w:noProof/>
            <w:webHidden/>
          </w:rPr>
          <w:fldChar w:fldCharType="separate"/>
        </w:r>
        <w:r w:rsidR="00B02D8E">
          <w:rPr>
            <w:noProof/>
            <w:webHidden/>
          </w:rPr>
          <w:t>4</w:t>
        </w:r>
        <w:r w:rsidR="00DF1028">
          <w:rPr>
            <w:noProof/>
            <w:webHidden/>
          </w:rPr>
          <w:fldChar w:fldCharType="end"/>
        </w:r>
      </w:hyperlink>
    </w:p>
    <w:p w14:paraId="728915BD" w14:textId="085EBE63" w:rsidR="00C40C69" w:rsidRDefault="00964E16">
      <w:pPr>
        <w:pStyle w:val="TOC1"/>
        <w:tabs>
          <w:tab w:val="right" w:leader="dot" w:pos="9710"/>
        </w:tabs>
        <w:rPr>
          <w:rFonts w:asciiTheme="minorHAnsi" w:eastAsiaTheme="minorEastAsia" w:hAnsiTheme="minorHAnsi" w:cstheme="minorBidi"/>
          <w:noProof/>
          <w:sz w:val="22"/>
          <w:szCs w:val="22"/>
        </w:rPr>
      </w:pPr>
      <w:hyperlink w:anchor="_Toc295823931" w:history="1">
        <w:r w:rsidR="00C40C69" w:rsidRPr="00355BDA">
          <w:rPr>
            <w:rStyle w:val="Hyperlink"/>
            <w:noProof/>
          </w:rPr>
          <w:t>2.</w:t>
        </w:r>
        <w:r w:rsidR="00C40C69">
          <w:rPr>
            <w:rFonts w:asciiTheme="minorHAnsi" w:eastAsiaTheme="minorEastAsia" w:hAnsiTheme="minorHAnsi" w:cstheme="minorBidi"/>
            <w:noProof/>
            <w:sz w:val="22"/>
            <w:szCs w:val="22"/>
          </w:rPr>
          <w:tab/>
        </w:r>
        <w:r w:rsidR="00C40C69" w:rsidRPr="00355BDA">
          <w:rPr>
            <w:rStyle w:val="Hyperlink"/>
            <w:noProof/>
          </w:rPr>
          <w:t>NEED FOR AND USE OF THE COLLECTION</w:t>
        </w:r>
        <w:r w:rsidR="00C40C69">
          <w:rPr>
            <w:noProof/>
            <w:webHidden/>
          </w:rPr>
          <w:tab/>
        </w:r>
        <w:r w:rsidR="00DF1028">
          <w:rPr>
            <w:noProof/>
            <w:webHidden/>
          </w:rPr>
          <w:fldChar w:fldCharType="begin"/>
        </w:r>
        <w:r w:rsidR="00C40C69">
          <w:rPr>
            <w:noProof/>
            <w:webHidden/>
          </w:rPr>
          <w:instrText xml:space="preserve"> PAGEREF _Toc295823931 \h </w:instrText>
        </w:r>
        <w:r w:rsidR="00DF1028">
          <w:rPr>
            <w:noProof/>
            <w:webHidden/>
          </w:rPr>
        </w:r>
        <w:r w:rsidR="00DF1028">
          <w:rPr>
            <w:noProof/>
            <w:webHidden/>
          </w:rPr>
          <w:fldChar w:fldCharType="separate"/>
        </w:r>
        <w:r w:rsidR="00B02D8E">
          <w:rPr>
            <w:noProof/>
            <w:webHidden/>
          </w:rPr>
          <w:t>7</w:t>
        </w:r>
        <w:r w:rsidR="00DF1028">
          <w:rPr>
            <w:noProof/>
            <w:webHidden/>
          </w:rPr>
          <w:fldChar w:fldCharType="end"/>
        </w:r>
      </w:hyperlink>
    </w:p>
    <w:p w14:paraId="1013FA29" w14:textId="53961745" w:rsidR="00C40C69" w:rsidRDefault="00964E16">
      <w:pPr>
        <w:pStyle w:val="TOC2"/>
        <w:tabs>
          <w:tab w:val="left" w:pos="1080"/>
        </w:tabs>
        <w:rPr>
          <w:rFonts w:asciiTheme="minorHAnsi" w:eastAsiaTheme="minorEastAsia" w:hAnsiTheme="minorHAnsi" w:cstheme="minorBidi"/>
          <w:noProof/>
          <w:sz w:val="22"/>
          <w:szCs w:val="22"/>
        </w:rPr>
      </w:pPr>
      <w:hyperlink w:anchor="_Toc295823932" w:history="1">
        <w:r w:rsidR="00C40C69" w:rsidRPr="00355BDA">
          <w:rPr>
            <w:rStyle w:val="Hyperlink"/>
            <w:noProof/>
          </w:rPr>
          <w:t>2a.</w:t>
        </w:r>
        <w:r w:rsidR="00C40C69">
          <w:rPr>
            <w:rFonts w:asciiTheme="minorHAnsi" w:eastAsiaTheme="minorEastAsia" w:hAnsiTheme="minorHAnsi" w:cstheme="minorBidi"/>
            <w:noProof/>
            <w:sz w:val="22"/>
            <w:szCs w:val="22"/>
          </w:rPr>
          <w:tab/>
        </w:r>
        <w:r w:rsidR="00C40C69" w:rsidRPr="00355BDA">
          <w:rPr>
            <w:rStyle w:val="Hyperlink"/>
            <w:noProof/>
          </w:rPr>
          <w:t>Need and Authority for the Collection</w:t>
        </w:r>
        <w:r w:rsidR="00C40C69">
          <w:rPr>
            <w:noProof/>
            <w:webHidden/>
          </w:rPr>
          <w:tab/>
        </w:r>
        <w:r w:rsidR="00DF1028">
          <w:rPr>
            <w:noProof/>
            <w:webHidden/>
          </w:rPr>
          <w:fldChar w:fldCharType="begin"/>
        </w:r>
        <w:r w:rsidR="00C40C69">
          <w:rPr>
            <w:noProof/>
            <w:webHidden/>
          </w:rPr>
          <w:instrText xml:space="preserve"> PAGEREF _Toc295823932 \h </w:instrText>
        </w:r>
        <w:r w:rsidR="00DF1028">
          <w:rPr>
            <w:noProof/>
            <w:webHidden/>
          </w:rPr>
        </w:r>
        <w:r w:rsidR="00DF1028">
          <w:rPr>
            <w:noProof/>
            <w:webHidden/>
          </w:rPr>
          <w:fldChar w:fldCharType="separate"/>
        </w:r>
        <w:r w:rsidR="00B02D8E">
          <w:rPr>
            <w:noProof/>
            <w:webHidden/>
          </w:rPr>
          <w:t>7</w:t>
        </w:r>
        <w:r w:rsidR="00DF1028">
          <w:rPr>
            <w:noProof/>
            <w:webHidden/>
          </w:rPr>
          <w:fldChar w:fldCharType="end"/>
        </w:r>
      </w:hyperlink>
    </w:p>
    <w:p w14:paraId="6970AC2B" w14:textId="7E9A3D6A" w:rsidR="00C40C69" w:rsidRDefault="00964E16">
      <w:pPr>
        <w:pStyle w:val="TOC2"/>
        <w:tabs>
          <w:tab w:val="left" w:pos="1080"/>
        </w:tabs>
        <w:rPr>
          <w:rFonts w:asciiTheme="minorHAnsi" w:eastAsiaTheme="minorEastAsia" w:hAnsiTheme="minorHAnsi" w:cstheme="minorBidi"/>
          <w:noProof/>
          <w:sz w:val="22"/>
          <w:szCs w:val="22"/>
        </w:rPr>
      </w:pPr>
      <w:hyperlink w:anchor="_Toc295823933" w:history="1">
        <w:r w:rsidR="00C40C69" w:rsidRPr="00355BDA">
          <w:rPr>
            <w:rStyle w:val="Hyperlink"/>
            <w:noProof/>
          </w:rPr>
          <w:t>2b.</w:t>
        </w:r>
        <w:r w:rsidR="00C40C69">
          <w:rPr>
            <w:rFonts w:asciiTheme="minorHAnsi" w:eastAsiaTheme="minorEastAsia" w:hAnsiTheme="minorHAnsi" w:cstheme="minorBidi"/>
            <w:noProof/>
            <w:sz w:val="22"/>
            <w:szCs w:val="22"/>
          </w:rPr>
          <w:tab/>
        </w:r>
        <w:r w:rsidR="00C40C69" w:rsidRPr="00355BDA">
          <w:rPr>
            <w:rStyle w:val="Hyperlink"/>
            <w:noProof/>
          </w:rPr>
          <w:t>Practical Utility and Users of the Data</w:t>
        </w:r>
        <w:r w:rsidR="00C40C69">
          <w:rPr>
            <w:noProof/>
            <w:webHidden/>
          </w:rPr>
          <w:tab/>
        </w:r>
        <w:r w:rsidR="00DF1028">
          <w:rPr>
            <w:noProof/>
            <w:webHidden/>
          </w:rPr>
          <w:fldChar w:fldCharType="begin"/>
        </w:r>
        <w:r w:rsidR="00C40C69">
          <w:rPr>
            <w:noProof/>
            <w:webHidden/>
          </w:rPr>
          <w:instrText xml:space="preserve"> PAGEREF _Toc295823933 \h </w:instrText>
        </w:r>
        <w:r w:rsidR="00DF1028">
          <w:rPr>
            <w:noProof/>
            <w:webHidden/>
          </w:rPr>
        </w:r>
        <w:r w:rsidR="00DF1028">
          <w:rPr>
            <w:noProof/>
            <w:webHidden/>
          </w:rPr>
          <w:fldChar w:fldCharType="separate"/>
        </w:r>
        <w:r w:rsidR="00B02D8E">
          <w:rPr>
            <w:noProof/>
            <w:webHidden/>
          </w:rPr>
          <w:t>8</w:t>
        </w:r>
        <w:r w:rsidR="00DF1028">
          <w:rPr>
            <w:noProof/>
            <w:webHidden/>
          </w:rPr>
          <w:fldChar w:fldCharType="end"/>
        </w:r>
      </w:hyperlink>
    </w:p>
    <w:p w14:paraId="2289CD15" w14:textId="04193C1D" w:rsidR="00C40C69" w:rsidRDefault="00964E16">
      <w:pPr>
        <w:pStyle w:val="TOC1"/>
        <w:tabs>
          <w:tab w:val="right" w:leader="dot" w:pos="9710"/>
        </w:tabs>
        <w:rPr>
          <w:rFonts w:asciiTheme="minorHAnsi" w:eastAsiaTheme="minorEastAsia" w:hAnsiTheme="minorHAnsi" w:cstheme="minorBidi"/>
          <w:noProof/>
          <w:sz w:val="22"/>
          <w:szCs w:val="22"/>
        </w:rPr>
      </w:pPr>
      <w:hyperlink w:anchor="_Toc295823934" w:history="1">
        <w:r w:rsidR="00C40C69" w:rsidRPr="00355BDA">
          <w:rPr>
            <w:rStyle w:val="Hyperlink"/>
            <w:noProof/>
          </w:rPr>
          <w:t>3.</w:t>
        </w:r>
        <w:r w:rsidR="00C40C69">
          <w:rPr>
            <w:rFonts w:asciiTheme="minorHAnsi" w:eastAsiaTheme="minorEastAsia" w:hAnsiTheme="minorHAnsi" w:cstheme="minorBidi"/>
            <w:noProof/>
            <w:sz w:val="22"/>
            <w:szCs w:val="22"/>
          </w:rPr>
          <w:tab/>
        </w:r>
        <w:r w:rsidR="00C40C69" w:rsidRPr="00355BDA">
          <w:rPr>
            <w:rStyle w:val="Hyperlink"/>
            <w:noProof/>
          </w:rPr>
          <w:t>NON DUPLICATION, CONSULTATIONS, AND OTHER COLLECTION CRITERIA</w:t>
        </w:r>
        <w:r w:rsidR="00C40C69">
          <w:rPr>
            <w:noProof/>
            <w:webHidden/>
          </w:rPr>
          <w:tab/>
        </w:r>
        <w:r w:rsidR="00DF1028">
          <w:rPr>
            <w:noProof/>
            <w:webHidden/>
          </w:rPr>
          <w:fldChar w:fldCharType="begin"/>
        </w:r>
        <w:r w:rsidR="00C40C69">
          <w:rPr>
            <w:noProof/>
            <w:webHidden/>
          </w:rPr>
          <w:instrText xml:space="preserve"> PAGEREF _Toc295823934 \h </w:instrText>
        </w:r>
        <w:r w:rsidR="00DF1028">
          <w:rPr>
            <w:noProof/>
            <w:webHidden/>
          </w:rPr>
        </w:r>
        <w:r w:rsidR="00DF1028">
          <w:rPr>
            <w:noProof/>
            <w:webHidden/>
          </w:rPr>
          <w:fldChar w:fldCharType="separate"/>
        </w:r>
        <w:r w:rsidR="00B02D8E">
          <w:rPr>
            <w:noProof/>
            <w:webHidden/>
          </w:rPr>
          <w:t>8</w:t>
        </w:r>
        <w:r w:rsidR="00DF1028">
          <w:rPr>
            <w:noProof/>
            <w:webHidden/>
          </w:rPr>
          <w:fldChar w:fldCharType="end"/>
        </w:r>
      </w:hyperlink>
    </w:p>
    <w:p w14:paraId="1B8D61D8" w14:textId="1017881C" w:rsidR="00C40C69" w:rsidRDefault="00964E16">
      <w:pPr>
        <w:pStyle w:val="TOC2"/>
        <w:tabs>
          <w:tab w:val="left" w:pos="1080"/>
        </w:tabs>
        <w:rPr>
          <w:rFonts w:asciiTheme="minorHAnsi" w:eastAsiaTheme="minorEastAsia" w:hAnsiTheme="minorHAnsi" w:cstheme="minorBidi"/>
          <w:noProof/>
          <w:sz w:val="22"/>
          <w:szCs w:val="22"/>
        </w:rPr>
      </w:pPr>
      <w:hyperlink w:anchor="_Toc295823935" w:history="1">
        <w:r w:rsidR="00C40C69" w:rsidRPr="00355BDA">
          <w:rPr>
            <w:rStyle w:val="Hyperlink"/>
            <w:noProof/>
          </w:rPr>
          <w:t>3a.</w:t>
        </w:r>
        <w:r w:rsidR="00C40C69">
          <w:rPr>
            <w:rFonts w:asciiTheme="minorHAnsi" w:eastAsiaTheme="minorEastAsia" w:hAnsiTheme="minorHAnsi" w:cstheme="minorBidi"/>
            <w:noProof/>
            <w:sz w:val="22"/>
            <w:szCs w:val="22"/>
          </w:rPr>
          <w:tab/>
        </w:r>
        <w:r w:rsidR="00C40C69" w:rsidRPr="00355BDA">
          <w:rPr>
            <w:rStyle w:val="Hyperlink"/>
            <w:noProof/>
          </w:rPr>
          <w:t>Non Duplication</w:t>
        </w:r>
        <w:r w:rsidR="00C40C69">
          <w:rPr>
            <w:noProof/>
            <w:webHidden/>
          </w:rPr>
          <w:tab/>
        </w:r>
        <w:r w:rsidR="00DF1028">
          <w:rPr>
            <w:noProof/>
            <w:webHidden/>
          </w:rPr>
          <w:fldChar w:fldCharType="begin"/>
        </w:r>
        <w:r w:rsidR="00C40C69">
          <w:rPr>
            <w:noProof/>
            <w:webHidden/>
          </w:rPr>
          <w:instrText xml:space="preserve"> PAGEREF _Toc295823935 \h </w:instrText>
        </w:r>
        <w:r w:rsidR="00DF1028">
          <w:rPr>
            <w:noProof/>
            <w:webHidden/>
          </w:rPr>
        </w:r>
        <w:r w:rsidR="00DF1028">
          <w:rPr>
            <w:noProof/>
            <w:webHidden/>
          </w:rPr>
          <w:fldChar w:fldCharType="separate"/>
        </w:r>
        <w:r w:rsidR="00B02D8E">
          <w:rPr>
            <w:b/>
            <w:bCs/>
            <w:noProof/>
            <w:webHidden/>
          </w:rPr>
          <w:t>Error! Bookmark not defined.</w:t>
        </w:r>
        <w:r w:rsidR="00DF1028">
          <w:rPr>
            <w:noProof/>
            <w:webHidden/>
          </w:rPr>
          <w:fldChar w:fldCharType="end"/>
        </w:r>
      </w:hyperlink>
    </w:p>
    <w:p w14:paraId="19EF4C53" w14:textId="6D8FFACF" w:rsidR="00C40C69" w:rsidRDefault="00964E16">
      <w:pPr>
        <w:pStyle w:val="TOC2"/>
        <w:tabs>
          <w:tab w:val="left" w:pos="1080"/>
        </w:tabs>
        <w:rPr>
          <w:rFonts w:asciiTheme="minorHAnsi" w:eastAsiaTheme="minorEastAsia" w:hAnsiTheme="minorHAnsi" w:cstheme="minorBidi"/>
          <w:noProof/>
          <w:sz w:val="22"/>
          <w:szCs w:val="22"/>
        </w:rPr>
      </w:pPr>
      <w:hyperlink w:anchor="_Toc295823936" w:history="1">
        <w:r w:rsidR="00C40C69" w:rsidRPr="00355BDA">
          <w:rPr>
            <w:rStyle w:val="Hyperlink"/>
            <w:noProof/>
          </w:rPr>
          <w:t>3b.</w:t>
        </w:r>
        <w:r w:rsidR="00C40C69">
          <w:rPr>
            <w:rFonts w:asciiTheme="minorHAnsi" w:eastAsiaTheme="minorEastAsia" w:hAnsiTheme="minorHAnsi" w:cstheme="minorBidi"/>
            <w:noProof/>
            <w:sz w:val="22"/>
            <w:szCs w:val="22"/>
          </w:rPr>
          <w:tab/>
        </w:r>
        <w:r w:rsidR="00C40C69" w:rsidRPr="00355BDA">
          <w:rPr>
            <w:rStyle w:val="Hyperlink"/>
            <w:noProof/>
          </w:rPr>
          <w:t>Public Notice Required Prior to ICR Submission to OMB</w:t>
        </w:r>
        <w:r w:rsidR="00C40C69">
          <w:rPr>
            <w:noProof/>
            <w:webHidden/>
          </w:rPr>
          <w:tab/>
        </w:r>
        <w:r w:rsidR="00DF1028">
          <w:rPr>
            <w:noProof/>
            <w:webHidden/>
          </w:rPr>
          <w:fldChar w:fldCharType="begin"/>
        </w:r>
        <w:r w:rsidR="00C40C69">
          <w:rPr>
            <w:noProof/>
            <w:webHidden/>
          </w:rPr>
          <w:instrText xml:space="preserve"> PAGEREF _Toc295823936 \h </w:instrText>
        </w:r>
        <w:r w:rsidR="00DF1028">
          <w:rPr>
            <w:noProof/>
            <w:webHidden/>
          </w:rPr>
        </w:r>
        <w:r w:rsidR="00DF1028">
          <w:rPr>
            <w:noProof/>
            <w:webHidden/>
          </w:rPr>
          <w:fldChar w:fldCharType="separate"/>
        </w:r>
        <w:r w:rsidR="00B02D8E">
          <w:rPr>
            <w:noProof/>
            <w:webHidden/>
          </w:rPr>
          <w:t>9</w:t>
        </w:r>
        <w:r w:rsidR="00DF1028">
          <w:rPr>
            <w:noProof/>
            <w:webHidden/>
          </w:rPr>
          <w:fldChar w:fldCharType="end"/>
        </w:r>
      </w:hyperlink>
    </w:p>
    <w:p w14:paraId="0C4FD01E" w14:textId="57F17922" w:rsidR="00C40C69" w:rsidRDefault="00964E16">
      <w:pPr>
        <w:pStyle w:val="TOC2"/>
        <w:tabs>
          <w:tab w:val="left" w:pos="1080"/>
        </w:tabs>
        <w:rPr>
          <w:rFonts w:asciiTheme="minorHAnsi" w:eastAsiaTheme="minorEastAsia" w:hAnsiTheme="minorHAnsi" w:cstheme="minorBidi"/>
          <w:noProof/>
          <w:sz w:val="22"/>
          <w:szCs w:val="22"/>
        </w:rPr>
      </w:pPr>
      <w:hyperlink w:anchor="_Toc295823937" w:history="1">
        <w:r w:rsidR="00C40C69" w:rsidRPr="00355BDA">
          <w:rPr>
            <w:rStyle w:val="Hyperlink"/>
            <w:noProof/>
          </w:rPr>
          <w:t>3c.</w:t>
        </w:r>
        <w:r w:rsidR="00C40C69">
          <w:rPr>
            <w:rFonts w:asciiTheme="minorHAnsi" w:eastAsiaTheme="minorEastAsia" w:hAnsiTheme="minorHAnsi" w:cstheme="minorBidi"/>
            <w:noProof/>
            <w:sz w:val="22"/>
            <w:szCs w:val="22"/>
          </w:rPr>
          <w:tab/>
        </w:r>
        <w:r w:rsidR="00C40C69" w:rsidRPr="00355BDA">
          <w:rPr>
            <w:rStyle w:val="Hyperlink"/>
            <w:noProof/>
          </w:rPr>
          <w:t>Consultations</w:t>
        </w:r>
        <w:r w:rsidR="00C40C69">
          <w:rPr>
            <w:noProof/>
            <w:webHidden/>
          </w:rPr>
          <w:tab/>
        </w:r>
        <w:r w:rsidR="00DF1028">
          <w:rPr>
            <w:noProof/>
            <w:webHidden/>
          </w:rPr>
          <w:fldChar w:fldCharType="begin"/>
        </w:r>
        <w:r w:rsidR="00C40C69">
          <w:rPr>
            <w:noProof/>
            <w:webHidden/>
          </w:rPr>
          <w:instrText xml:space="preserve"> PAGEREF _Toc295823937 \h </w:instrText>
        </w:r>
        <w:r w:rsidR="00DF1028">
          <w:rPr>
            <w:noProof/>
            <w:webHidden/>
          </w:rPr>
        </w:r>
        <w:r w:rsidR="00DF1028">
          <w:rPr>
            <w:noProof/>
            <w:webHidden/>
          </w:rPr>
          <w:fldChar w:fldCharType="separate"/>
        </w:r>
        <w:r w:rsidR="00B02D8E">
          <w:rPr>
            <w:noProof/>
            <w:webHidden/>
          </w:rPr>
          <w:t>9</w:t>
        </w:r>
        <w:r w:rsidR="00DF1028">
          <w:rPr>
            <w:noProof/>
            <w:webHidden/>
          </w:rPr>
          <w:fldChar w:fldCharType="end"/>
        </w:r>
      </w:hyperlink>
    </w:p>
    <w:p w14:paraId="6CEFB8B5" w14:textId="35C82515" w:rsidR="00C40C69" w:rsidRDefault="00964E16">
      <w:pPr>
        <w:pStyle w:val="TOC2"/>
        <w:tabs>
          <w:tab w:val="left" w:pos="1080"/>
        </w:tabs>
        <w:rPr>
          <w:rFonts w:asciiTheme="minorHAnsi" w:eastAsiaTheme="minorEastAsia" w:hAnsiTheme="minorHAnsi" w:cstheme="minorBidi"/>
          <w:noProof/>
          <w:sz w:val="22"/>
          <w:szCs w:val="22"/>
        </w:rPr>
      </w:pPr>
      <w:hyperlink w:anchor="_Toc295823938" w:history="1">
        <w:r w:rsidR="00C40C69" w:rsidRPr="00355BDA">
          <w:rPr>
            <w:rStyle w:val="Hyperlink"/>
            <w:noProof/>
          </w:rPr>
          <w:t>3d.</w:t>
        </w:r>
        <w:r w:rsidR="00C40C69">
          <w:rPr>
            <w:rFonts w:asciiTheme="minorHAnsi" w:eastAsiaTheme="minorEastAsia" w:hAnsiTheme="minorHAnsi" w:cstheme="minorBidi"/>
            <w:noProof/>
            <w:sz w:val="22"/>
            <w:szCs w:val="22"/>
          </w:rPr>
          <w:tab/>
        </w:r>
        <w:r w:rsidR="00C40C69" w:rsidRPr="00355BDA">
          <w:rPr>
            <w:rStyle w:val="Hyperlink"/>
            <w:noProof/>
          </w:rPr>
          <w:t>Effects of Less Frequent Collection</w:t>
        </w:r>
        <w:r w:rsidR="00C40C69">
          <w:rPr>
            <w:noProof/>
            <w:webHidden/>
          </w:rPr>
          <w:tab/>
        </w:r>
        <w:r w:rsidR="00DF1028">
          <w:rPr>
            <w:noProof/>
            <w:webHidden/>
          </w:rPr>
          <w:fldChar w:fldCharType="begin"/>
        </w:r>
        <w:r w:rsidR="00C40C69">
          <w:rPr>
            <w:noProof/>
            <w:webHidden/>
          </w:rPr>
          <w:instrText xml:space="preserve"> PAGEREF _Toc295823938 \h </w:instrText>
        </w:r>
        <w:r w:rsidR="00DF1028">
          <w:rPr>
            <w:noProof/>
            <w:webHidden/>
          </w:rPr>
        </w:r>
        <w:r w:rsidR="00DF1028">
          <w:rPr>
            <w:noProof/>
            <w:webHidden/>
          </w:rPr>
          <w:fldChar w:fldCharType="separate"/>
        </w:r>
        <w:r w:rsidR="00B02D8E">
          <w:rPr>
            <w:noProof/>
            <w:webHidden/>
          </w:rPr>
          <w:t>10</w:t>
        </w:r>
        <w:r w:rsidR="00DF1028">
          <w:rPr>
            <w:noProof/>
            <w:webHidden/>
          </w:rPr>
          <w:fldChar w:fldCharType="end"/>
        </w:r>
      </w:hyperlink>
    </w:p>
    <w:p w14:paraId="438DDF3B" w14:textId="696C4FAF" w:rsidR="00C40C69" w:rsidRDefault="00964E16">
      <w:pPr>
        <w:pStyle w:val="TOC2"/>
        <w:tabs>
          <w:tab w:val="left" w:pos="1080"/>
        </w:tabs>
        <w:rPr>
          <w:rFonts w:asciiTheme="minorHAnsi" w:eastAsiaTheme="minorEastAsia" w:hAnsiTheme="minorHAnsi" w:cstheme="minorBidi"/>
          <w:noProof/>
          <w:sz w:val="22"/>
          <w:szCs w:val="22"/>
        </w:rPr>
      </w:pPr>
      <w:hyperlink w:anchor="_Toc295823939" w:history="1">
        <w:r w:rsidR="00C40C69" w:rsidRPr="00355BDA">
          <w:rPr>
            <w:rStyle w:val="Hyperlink"/>
            <w:noProof/>
          </w:rPr>
          <w:t>3e.</w:t>
        </w:r>
        <w:r w:rsidR="00C40C69">
          <w:rPr>
            <w:rFonts w:asciiTheme="minorHAnsi" w:eastAsiaTheme="minorEastAsia" w:hAnsiTheme="minorHAnsi" w:cstheme="minorBidi"/>
            <w:noProof/>
            <w:sz w:val="22"/>
            <w:szCs w:val="22"/>
          </w:rPr>
          <w:tab/>
        </w:r>
        <w:r w:rsidR="00C40C69" w:rsidRPr="00355BDA">
          <w:rPr>
            <w:rStyle w:val="Hyperlink"/>
            <w:noProof/>
          </w:rPr>
          <w:t>General Guidelines</w:t>
        </w:r>
        <w:r w:rsidR="00C40C69">
          <w:rPr>
            <w:noProof/>
            <w:webHidden/>
          </w:rPr>
          <w:tab/>
        </w:r>
        <w:r w:rsidR="00DF1028">
          <w:rPr>
            <w:noProof/>
            <w:webHidden/>
          </w:rPr>
          <w:fldChar w:fldCharType="begin"/>
        </w:r>
        <w:r w:rsidR="00C40C69">
          <w:rPr>
            <w:noProof/>
            <w:webHidden/>
          </w:rPr>
          <w:instrText xml:space="preserve"> PAGEREF _Toc295823939 \h </w:instrText>
        </w:r>
        <w:r w:rsidR="00DF1028">
          <w:rPr>
            <w:noProof/>
            <w:webHidden/>
          </w:rPr>
        </w:r>
        <w:r w:rsidR="00DF1028">
          <w:rPr>
            <w:noProof/>
            <w:webHidden/>
          </w:rPr>
          <w:fldChar w:fldCharType="separate"/>
        </w:r>
        <w:r w:rsidR="00B02D8E">
          <w:rPr>
            <w:noProof/>
            <w:webHidden/>
          </w:rPr>
          <w:t>10</w:t>
        </w:r>
        <w:r w:rsidR="00DF1028">
          <w:rPr>
            <w:noProof/>
            <w:webHidden/>
          </w:rPr>
          <w:fldChar w:fldCharType="end"/>
        </w:r>
      </w:hyperlink>
    </w:p>
    <w:p w14:paraId="34B9AE6E" w14:textId="7691133B" w:rsidR="00C40C69" w:rsidRDefault="00964E16">
      <w:pPr>
        <w:pStyle w:val="TOC2"/>
        <w:tabs>
          <w:tab w:val="left" w:pos="1080"/>
        </w:tabs>
        <w:rPr>
          <w:rFonts w:asciiTheme="minorHAnsi" w:eastAsiaTheme="minorEastAsia" w:hAnsiTheme="minorHAnsi" w:cstheme="minorBidi"/>
          <w:noProof/>
          <w:sz w:val="22"/>
          <w:szCs w:val="22"/>
        </w:rPr>
      </w:pPr>
      <w:hyperlink w:anchor="_Toc295823940" w:history="1">
        <w:r w:rsidR="00C40C69" w:rsidRPr="00355BDA">
          <w:rPr>
            <w:rStyle w:val="Hyperlink"/>
            <w:noProof/>
          </w:rPr>
          <w:t>3f.</w:t>
        </w:r>
        <w:r w:rsidR="00C40C69">
          <w:rPr>
            <w:rFonts w:asciiTheme="minorHAnsi" w:eastAsiaTheme="minorEastAsia" w:hAnsiTheme="minorHAnsi" w:cstheme="minorBidi"/>
            <w:noProof/>
            <w:sz w:val="22"/>
            <w:szCs w:val="22"/>
          </w:rPr>
          <w:tab/>
        </w:r>
        <w:r w:rsidR="00C40C69" w:rsidRPr="00355BDA">
          <w:rPr>
            <w:rStyle w:val="Hyperlink"/>
            <w:noProof/>
          </w:rPr>
          <w:t>Confidentiality</w:t>
        </w:r>
        <w:r w:rsidR="00C40C69">
          <w:rPr>
            <w:noProof/>
            <w:webHidden/>
          </w:rPr>
          <w:tab/>
        </w:r>
        <w:r w:rsidR="00DF1028">
          <w:rPr>
            <w:noProof/>
            <w:webHidden/>
          </w:rPr>
          <w:fldChar w:fldCharType="begin"/>
        </w:r>
        <w:r w:rsidR="00C40C69">
          <w:rPr>
            <w:noProof/>
            <w:webHidden/>
          </w:rPr>
          <w:instrText xml:space="preserve"> PAGEREF _Toc295823940 \h </w:instrText>
        </w:r>
        <w:r w:rsidR="00DF1028">
          <w:rPr>
            <w:noProof/>
            <w:webHidden/>
          </w:rPr>
        </w:r>
        <w:r w:rsidR="00DF1028">
          <w:rPr>
            <w:noProof/>
            <w:webHidden/>
          </w:rPr>
          <w:fldChar w:fldCharType="separate"/>
        </w:r>
        <w:r w:rsidR="00B02D8E">
          <w:rPr>
            <w:noProof/>
            <w:webHidden/>
          </w:rPr>
          <w:t>10</w:t>
        </w:r>
        <w:r w:rsidR="00DF1028">
          <w:rPr>
            <w:noProof/>
            <w:webHidden/>
          </w:rPr>
          <w:fldChar w:fldCharType="end"/>
        </w:r>
      </w:hyperlink>
    </w:p>
    <w:p w14:paraId="52657D30" w14:textId="0FE78539" w:rsidR="00C40C69" w:rsidRDefault="00964E16">
      <w:pPr>
        <w:pStyle w:val="TOC2"/>
        <w:tabs>
          <w:tab w:val="left" w:pos="1080"/>
        </w:tabs>
        <w:rPr>
          <w:rFonts w:asciiTheme="minorHAnsi" w:eastAsiaTheme="minorEastAsia" w:hAnsiTheme="minorHAnsi" w:cstheme="minorBidi"/>
          <w:noProof/>
          <w:sz w:val="22"/>
          <w:szCs w:val="22"/>
        </w:rPr>
      </w:pPr>
      <w:hyperlink w:anchor="_Toc295823941" w:history="1">
        <w:r w:rsidR="00C40C69" w:rsidRPr="00355BDA">
          <w:rPr>
            <w:rStyle w:val="Hyperlink"/>
            <w:noProof/>
          </w:rPr>
          <w:t>3g.</w:t>
        </w:r>
        <w:r w:rsidR="00C40C69">
          <w:rPr>
            <w:rFonts w:asciiTheme="minorHAnsi" w:eastAsiaTheme="minorEastAsia" w:hAnsiTheme="minorHAnsi" w:cstheme="minorBidi"/>
            <w:noProof/>
            <w:sz w:val="22"/>
            <w:szCs w:val="22"/>
          </w:rPr>
          <w:tab/>
        </w:r>
        <w:r w:rsidR="00C40C69" w:rsidRPr="00355BDA">
          <w:rPr>
            <w:rStyle w:val="Hyperlink"/>
            <w:noProof/>
          </w:rPr>
          <w:t>Sensitive Questions</w:t>
        </w:r>
        <w:r w:rsidR="00C40C69">
          <w:rPr>
            <w:noProof/>
            <w:webHidden/>
          </w:rPr>
          <w:tab/>
        </w:r>
        <w:r w:rsidR="00DF1028">
          <w:rPr>
            <w:noProof/>
            <w:webHidden/>
          </w:rPr>
          <w:fldChar w:fldCharType="begin"/>
        </w:r>
        <w:r w:rsidR="00C40C69">
          <w:rPr>
            <w:noProof/>
            <w:webHidden/>
          </w:rPr>
          <w:instrText xml:space="preserve"> PAGEREF _Toc295823941 \h </w:instrText>
        </w:r>
        <w:r w:rsidR="00DF1028">
          <w:rPr>
            <w:noProof/>
            <w:webHidden/>
          </w:rPr>
        </w:r>
        <w:r w:rsidR="00DF1028">
          <w:rPr>
            <w:noProof/>
            <w:webHidden/>
          </w:rPr>
          <w:fldChar w:fldCharType="separate"/>
        </w:r>
        <w:r w:rsidR="00B02D8E">
          <w:rPr>
            <w:noProof/>
            <w:webHidden/>
          </w:rPr>
          <w:t>10</w:t>
        </w:r>
        <w:r w:rsidR="00DF1028">
          <w:rPr>
            <w:noProof/>
            <w:webHidden/>
          </w:rPr>
          <w:fldChar w:fldCharType="end"/>
        </w:r>
      </w:hyperlink>
    </w:p>
    <w:p w14:paraId="1A80825E" w14:textId="402E1645" w:rsidR="00C40C69" w:rsidRDefault="00964E16">
      <w:pPr>
        <w:pStyle w:val="TOC1"/>
        <w:tabs>
          <w:tab w:val="right" w:leader="dot" w:pos="9710"/>
        </w:tabs>
        <w:rPr>
          <w:rFonts w:asciiTheme="minorHAnsi" w:eastAsiaTheme="minorEastAsia" w:hAnsiTheme="minorHAnsi" w:cstheme="minorBidi"/>
          <w:noProof/>
          <w:sz w:val="22"/>
          <w:szCs w:val="22"/>
        </w:rPr>
      </w:pPr>
      <w:hyperlink w:anchor="_Toc295823942" w:history="1">
        <w:r w:rsidR="00C40C69" w:rsidRPr="00355BDA">
          <w:rPr>
            <w:rStyle w:val="Hyperlink"/>
            <w:noProof/>
          </w:rPr>
          <w:t>4.</w:t>
        </w:r>
        <w:r w:rsidR="00C40C69">
          <w:rPr>
            <w:rFonts w:asciiTheme="minorHAnsi" w:eastAsiaTheme="minorEastAsia" w:hAnsiTheme="minorHAnsi" w:cstheme="minorBidi"/>
            <w:noProof/>
            <w:sz w:val="22"/>
            <w:szCs w:val="22"/>
          </w:rPr>
          <w:tab/>
        </w:r>
        <w:r w:rsidR="00C40C69" w:rsidRPr="00355BDA">
          <w:rPr>
            <w:rStyle w:val="Hyperlink"/>
            <w:noProof/>
          </w:rPr>
          <w:t>THE RESPONDENTS AND THE INFORMATION REQUESTED</w:t>
        </w:r>
        <w:r w:rsidR="00C40C69">
          <w:rPr>
            <w:noProof/>
            <w:webHidden/>
          </w:rPr>
          <w:tab/>
        </w:r>
        <w:r w:rsidR="00DF1028">
          <w:rPr>
            <w:noProof/>
            <w:webHidden/>
          </w:rPr>
          <w:fldChar w:fldCharType="begin"/>
        </w:r>
        <w:r w:rsidR="00C40C69">
          <w:rPr>
            <w:noProof/>
            <w:webHidden/>
          </w:rPr>
          <w:instrText xml:space="preserve"> PAGEREF _Toc295823942 \h </w:instrText>
        </w:r>
        <w:r w:rsidR="00DF1028">
          <w:rPr>
            <w:noProof/>
            <w:webHidden/>
          </w:rPr>
        </w:r>
        <w:r w:rsidR="00DF1028">
          <w:rPr>
            <w:noProof/>
            <w:webHidden/>
          </w:rPr>
          <w:fldChar w:fldCharType="separate"/>
        </w:r>
        <w:r w:rsidR="00B02D8E">
          <w:rPr>
            <w:noProof/>
            <w:webHidden/>
          </w:rPr>
          <w:t>10</w:t>
        </w:r>
        <w:r w:rsidR="00DF1028">
          <w:rPr>
            <w:noProof/>
            <w:webHidden/>
          </w:rPr>
          <w:fldChar w:fldCharType="end"/>
        </w:r>
      </w:hyperlink>
    </w:p>
    <w:p w14:paraId="4F160127" w14:textId="37297777" w:rsidR="00C40C69" w:rsidRDefault="00964E16">
      <w:pPr>
        <w:pStyle w:val="TOC2"/>
        <w:tabs>
          <w:tab w:val="left" w:pos="1080"/>
        </w:tabs>
        <w:rPr>
          <w:rFonts w:asciiTheme="minorHAnsi" w:eastAsiaTheme="minorEastAsia" w:hAnsiTheme="minorHAnsi" w:cstheme="minorBidi"/>
          <w:noProof/>
          <w:sz w:val="22"/>
          <w:szCs w:val="22"/>
        </w:rPr>
      </w:pPr>
      <w:hyperlink w:anchor="_Toc295823943" w:history="1">
        <w:r w:rsidR="00C40C69" w:rsidRPr="00355BDA">
          <w:rPr>
            <w:rStyle w:val="Hyperlink"/>
            <w:noProof/>
          </w:rPr>
          <w:t>4a.</w:t>
        </w:r>
        <w:r w:rsidR="00C40C69">
          <w:rPr>
            <w:rFonts w:asciiTheme="minorHAnsi" w:eastAsiaTheme="minorEastAsia" w:hAnsiTheme="minorHAnsi" w:cstheme="minorBidi"/>
            <w:noProof/>
            <w:sz w:val="22"/>
            <w:szCs w:val="22"/>
          </w:rPr>
          <w:tab/>
        </w:r>
        <w:r w:rsidR="00C40C69" w:rsidRPr="00355BDA">
          <w:rPr>
            <w:rStyle w:val="Hyperlink"/>
            <w:noProof/>
          </w:rPr>
          <w:t>Respondents and SIC Codes</w:t>
        </w:r>
        <w:r w:rsidR="00C40C69">
          <w:rPr>
            <w:noProof/>
            <w:webHidden/>
          </w:rPr>
          <w:tab/>
        </w:r>
        <w:r w:rsidR="00DF1028">
          <w:rPr>
            <w:noProof/>
            <w:webHidden/>
          </w:rPr>
          <w:fldChar w:fldCharType="begin"/>
        </w:r>
        <w:r w:rsidR="00C40C69">
          <w:rPr>
            <w:noProof/>
            <w:webHidden/>
          </w:rPr>
          <w:instrText xml:space="preserve"> PAGEREF _Toc295823943 \h </w:instrText>
        </w:r>
        <w:r w:rsidR="00DF1028">
          <w:rPr>
            <w:noProof/>
            <w:webHidden/>
          </w:rPr>
        </w:r>
        <w:r w:rsidR="00DF1028">
          <w:rPr>
            <w:noProof/>
            <w:webHidden/>
          </w:rPr>
          <w:fldChar w:fldCharType="separate"/>
        </w:r>
        <w:r w:rsidR="00B02D8E">
          <w:rPr>
            <w:noProof/>
            <w:webHidden/>
          </w:rPr>
          <w:t>10</w:t>
        </w:r>
        <w:r w:rsidR="00DF1028">
          <w:rPr>
            <w:noProof/>
            <w:webHidden/>
          </w:rPr>
          <w:fldChar w:fldCharType="end"/>
        </w:r>
      </w:hyperlink>
    </w:p>
    <w:p w14:paraId="1A370711" w14:textId="36008416" w:rsidR="00C40C69" w:rsidRDefault="00964E16">
      <w:pPr>
        <w:pStyle w:val="TOC2"/>
        <w:tabs>
          <w:tab w:val="left" w:pos="1080"/>
        </w:tabs>
        <w:rPr>
          <w:rFonts w:asciiTheme="minorHAnsi" w:eastAsiaTheme="minorEastAsia" w:hAnsiTheme="minorHAnsi" w:cstheme="minorBidi"/>
          <w:noProof/>
          <w:sz w:val="22"/>
          <w:szCs w:val="22"/>
        </w:rPr>
      </w:pPr>
      <w:hyperlink w:anchor="_Toc295823944" w:history="1">
        <w:r w:rsidR="00C40C69" w:rsidRPr="00355BDA">
          <w:rPr>
            <w:rStyle w:val="Hyperlink"/>
            <w:noProof/>
          </w:rPr>
          <w:t>4b.</w:t>
        </w:r>
        <w:r w:rsidR="00C40C69">
          <w:rPr>
            <w:rFonts w:asciiTheme="minorHAnsi" w:eastAsiaTheme="minorEastAsia" w:hAnsiTheme="minorHAnsi" w:cstheme="minorBidi"/>
            <w:noProof/>
            <w:sz w:val="22"/>
            <w:szCs w:val="22"/>
          </w:rPr>
          <w:tab/>
        </w:r>
        <w:r w:rsidR="00C40C69" w:rsidRPr="00355BDA">
          <w:rPr>
            <w:rStyle w:val="Hyperlink"/>
            <w:noProof/>
          </w:rPr>
          <w:t>Information Requested</w:t>
        </w:r>
        <w:r w:rsidR="00C40C69">
          <w:rPr>
            <w:noProof/>
            <w:webHidden/>
          </w:rPr>
          <w:tab/>
        </w:r>
        <w:r w:rsidR="00DF1028">
          <w:rPr>
            <w:noProof/>
            <w:webHidden/>
          </w:rPr>
          <w:fldChar w:fldCharType="begin"/>
        </w:r>
        <w:r w:rsidR="00C40C69">
          <w:rPr>
            <w:noProof/>
            <w:webHidden/>
          </w:rPr>
          <w:instrText xml:space="preserve"> PAGEREF _Toc295823944 \h </w:instrText>
        </w:r>
        <w:r w:rsidR="00DF1028">
          <w:rPr>
            <w:noProof/>
            <w:webHidden/>
          </w:rPr>
        </w:r>
        <w:r w:rsidR="00DF1028">
          <w:rPr>
            <w:noProof/>
            <w:webHidden/>
          </w:rPr>
          <w:fldChar w:fldCharType="separate"/>
        </w:r>
        <w:r w:rsidR="00B02D8E">
          <w:rPr>
            <w:noProof/>
            <w:webHidden/>
          </w:rPr>
          <w:t>10</w:t>
        </w:r>
        <w:r w:rsidR="00DF1028">
          <w:rPr>
            <w:noProof/>
            <w:webHidden/>
          </w:rPr>
          <w:fldChar w:fldCharType="end"/>
        </w:r>
      </w:hyperlink>
    </w:p>
    <w:p w14:paraId="4C16DF1B" w14:textId="18417F1E" w:rsidR="00C40C69" w:rsidRDefault="00964E16">
      <w:pPr>
        <w:pStyle w:val="TOC3"/>
        <w:rPr>
          <w:rFonts w:asciiTheme="minorHAnsi" w:eastAsiaTheme="minorEastAsia" w:hAnsiTheme="minorHAnsi" w:cstheme="minorBidi"/>
          <w:noProof/>
          <w:sz w:val="22"/>
          <w:szCs w:val="22"/>
        </w:rPr>
      </w:pPr>
      <w:hyperlink w:anchor="_Toc295823945" w:history="1">
        <w:r w:rsidR="00C40C69" w:rsidRPr="00355BDA">
          <w:rPr>
            <w:rStyle w:val="Hyperlink"/>
            <w:noProof/>
          </w:rPr>
          <w:t>i.</w:t>
        </w:r>
        <w:r w:rsidR="00C40C69">
          <w:rPr>
            <w:rFonts w:asciiTheme="minorHAnsi" w:eastAsiaTheme="minorEastAsia" w:hAnsiTheme="minorHAnsi" w:cstheme="minorBidi"/>
            <w:noProof/>
            <w:sz w:val="22"/>
            <w:szCs w:val="22"/>
          </w:rPr>
          <w:tab/>
        </w:r>
        <w:r w:rsidR="00C40C69" w:rsidRPr="00355BDA">
          <w:rPr>
            <w:rStyle w:val="Hyperlink"/>
            <w:noProof/>
          </w:rPr>
          <w:t>Data items, including record keeping requirements</w:t>
        </w:r>
        <w:r w:rsidR="00C40C69">
          <w:rPr>
            <w:noProof/>
            <w:webHidden/>
          </w:rPr>
          <w:tab/>
        </w:r>
        <w:r w:rsidR="00DF1028">
          <w:rPr>
            <w:noProof/>
            <w:webHidden/>
          </w:rPr>
          <w:fldChar w:fldCharType="begin"/>
        </w:r>
        <w:r w:rsidR="00C40C69">
          <w:rPr>
            <w:noProof/>
            <w:webHidden/>
          </w:rPr>
          <w:instrText xml:space="preserve"> PAGEREF _Toc295823945 \h </w:instrText>
        </w:r>
        <w:r w:rsidR="00DF1028">
          <w:rPr>
            <w:noProof/>
            <w:webHidden/>
          </w:rPr>
        </w:r>
        <w:r w:rsidR="00DF1028">
          <w:rPr>
            <w:noProof/>
            <w:webHidden/>
          </w:rPr>
          <w:fldChar w:fldCharType="separate"/>
        </w:r>
        <w:r w:rsidR="00B02D8E">
          <w:rPr>
            <w:noProof/>
            <w:webHidden/>
          </w:rPr>
          <w:t>10</w:t>
        </w:r>
        <w:r w:rsidR="00DF1028">
          <w:rPr>
            <w:noProof/>
            <w:webHidden/>
          </w:rPr>
          <w:fldChar w:fldCharType="end"/>
        </w:r>
      </w:hyperlink>
    </w:p>
    <w:p w14:paraId="2479F709" w14:textId="24078048" w:rsidR="00C40C69" w:rsidRDefault="00964E16">
      <w:pPr>
        <w:pStyle w:val="TOC3"/>
        <w:rPr>
          <w:rFonts w:asciiTheme="minorHAnsi" w:eastAsiaTheme="minorEastAsia" w:hAnsiTheme="minorHAnsi" w:cstheme="minorBidi"/>
          <w:noProof/>
          <w:sz w:val="22"/>
          <w:szCs w:val="22"/>
        </w:rPr>
      </w:pPr>
      <w:hyperlink w:anchor="_Toc295823946" w:history="1">
        <w:r w:rsidR="00C40C69" w:rsidRPr="00355BDA">
          <w:rPr>
            <w:rStyle w:val="Hyperlink"/>
            <w:noProof/>
          </w:rPr>
          <w:t>ii.</w:t>
        </w:r>
        <w:r w:rsidR="00C40C69">
          <w:rPr>
            <w:rFonts w:asciiTheme="minorHAnsi" w:eastAsiaTheme="minorEastAsia" w:hAnsiTheme="minorHAnsi" w:cstheme="minorBidi"/>
            <w:noProof/>
            <w:sz w:val="22"/>
            <w:szCs w:val="22"/>
          </w:rPr>
          <w:tab/>
        </w:r>
        <w:r w:rsidR="00C40C69" w:rsidRPr="00355BDA">
          <w:rPr>
            <w:rStyle w:val="Hyperlink"/>
            <w:noProof/>
          </w:rPr>
          <w:t>Respondent Activities</w:t>
        </w:r>
        <w:r w:rsidR="00C40C69">
          <w:rPr>
            <w:noProof/>
            <w:webHidden/>
          </w:rPr>
          <w:tab/>
        </w:r>
        <w:r w:rsidR="00DF1028">
          <w:rPr>
            <w:noProof/>
            <w:webHidden/>
          </w:rPr>
          <w:fldChar w:fldCharType="begin"/>
        </w:r>
        <w:r w:rsidR="00C40C69">
          <w:rPr>
            <w:noProof/>
            <w:webHidden/>
          </w:rPr>
          <w:instrText xml:space="preserve"> PAGEREF _Toc295823946 \h </w:instrText>
        </w:r>
        <w:r w:rsidR="00DF1028">
          <w:rPr>
            <w:noProof/>
            <w:webHidden/>
          </w:rPr>
        </w:r>
        <w:r w:rsidR="00DF1028">
          <w:rPr>
            <w:noProof/>
            <w:webHidden/>
          </w:rPr>
          <w:fldChar w:fldCharType="separate"/>
        </w:r>
        <w:r w:rsidR="00B02D8E">
          <w:rPr>
            <w:noProof/>
            <w:webHidden/>
          </w:rPr>
          <w:t>15</w:t>
        </w:r>
        <w:r w:rsidR="00DF1028">
          <w:rPr>
            <w:noProof/>
            <w:webHidden/>
          </w:rPr>
          <w:fldChar w:fldCharType="end"/>
        </w:r>
      </w:hyperlink>
    </w:p>
    <w:p w14:paraId="7606E125" w14:textId="47D1E5A5" w:rsidR="00C40C69" w:rsidRDefault="00964E16">
      <w:pPr>
        <w:pStyle w:val="TOC1"/>
        <w:tabs>
          <w:tab w:val="right" w:leader="dot" w:pos="9710"/>
        </w:tabs>
        <w:rPr>
          <w:rFonts w:asciiTheme="minorHAnsi" w:eastAsiaTheme="minorEastAsia" w:hAnsiTheme="minorHAnsi" w:cstheme="minorBidi"/>
          <w:noProof/>
          <w:sz w:val="22"/>
          <w:szCs w:val="22"/>
        </w:rPr>
      </w:pPr>
      <w:hyperlink w:anchor="_Toc295823947" w:history="1">
        <w:r w:rsidR="00C40C69" w:rsidRPr="00355BDA">
          <w:rPr>
            <w:rStyle w:val="Hyperlink"/>
            <w:noProof/>
          </w:rPr>
          <w:t>5.</w:t>
        </w:r>
        <w:r w:rsidR="00C40C69">
          <w:rPr>
            <w:rFonts w:asciiTheme="minorHAnsi" w:eastAsiaTheme="minorEastAsia" w:hAnsiTheme="minorHAnsi" w:cstheme="minorBidi"/>
            <w:noProof/>
            <w:sz w:val="22"/>
            <w:szCs w:val="22"/>
          </w:rPr>
          <w:tab/>
        </w:r>
        <w:r w:rsidR="00C40C69" w:rsidRPr="00355BDA">
          <w:rPr>
            <w:rStyle w:val="Hyperlink"/>
            <w:noProof/>
          </w:rPr>
          <w:t>THE INFORMATION COLLECTED – AGENCY ACTIVITIES, COLLECTION METHODOLOGY, AND INFORMATION MANAGEMENT</w:t>
        </w:r>
        <w:r w:rsidR="00C40C69">
          <w:rPr>
            <w:noProof/>
            <w:webHidden/>
          </w:rPr>
          <w:tab/>
        </w:r>
        <w:r w:rsidR="00DF1028">
          <w:rPr>
            <w:noProof/>
            <w:webHidden/>
          </w:rPr>
          <w:fldChar w:fldCharType="begin"/>
        </w:r>
        <w:r w:rsidR="00C40C69">
          <w:rPr>
            <w:noProof/>
            <w:webHidden/>
          </w:rPr>
          <w:instrText xml:space="preserve"> PAGEREF _Toc295823947 \h </w:instrText>
        </w:r>
        <w:r w:rsidR="00DF1028">
          <w:rPr>
            <w:noProof/>
            <w:webHidden/>
          </w:rPr>
        </w:r>
        <w:r w:rsidR="00DF1028">
          <w:rPr>
            <w:noProof/>
            <w:webHidden/>
          </w:rPr>
          <w:fldChar w:fldCharType="separate"/>
        </w:r>
        <w:r w:rsidR="00B02D8E">
          <w:rPr>
            <w:noProof/>
            <w:webHidden/>
          </w:rPr>
          <w:t>16</w:t>
        </w:r>
        <w:r w:rsidR="00DF1028">
          <w:rPr>
            <w:noProof/>
            <w:webHidden/>
          </w:rPr>
          <w:fldChar w:fldCharType="end"/>
        </w:r>
      </w:hyperlink>
    </w:p>
    <w:p w14:paraId="00F83039" w14:textId="41F3CDA5" w:rsidR="00C40C69" w:rsidRDefault="00964E16">
      <w:pPr>
        <w:pStyle w:val="TOC2"/>
        <w:tabs>
          <w:tab w:val="left" w:pos="1080"/>
        </w:tabs>
        <w:rPr>
          <w:rFonts w:asciiTheme="minorHAnsi" w:eastAsiaTheme="minorEastAsia" w:hAnsiTheme="minorHAnsi" w:cstheme="minorBidi"/>
          <w:noProof/>
          <w:sz w:val="22"/>
          <w:szCs w:val="22"/>
        </w:rPr>
      </w:pPr>
      <w:hyperlink w:anchor="_Toc295823948" w:history="1">
        <w:r w:rsidR="00C40C69" w:rsidRPr="00355BDA">
          <w:rPr>
            <w:rStyle w:val="Hyperlink"/>
            <w:noProof/>
          </w:rPr>
          <w:t>5a.</w:t>
        </w:r>
        <w:r w:rsidR="00C40C69">
          <w:rPr>
            <w:rFonts w:asciiTheme="minorHAnsi" w:eastAsiaTheme="minorEastAsia" w:hAnsiTheme="minorHAnsi" w:cstheme="minorBidi"/>
            <w:noProof/>
            <w:sz w:val="22"/>
            <w:szCs w:val="22"/>
          </w:rPr>
          <w:tab/>
        </w:r>
        <w:r w:rsidR="00C40C69" w:rsidRPr="00355BDA">
          <w:rPr>
            <w:rStyle w:val="Hyperlink"/>
            <w:noProof/>
          </w:rPr>
          <w:t>Agency Activities</w:t>
        </w:r>
        <w:r w:rsidR="00C40C69">
          <w:rPr>
            <w:noProof/>
            <w:webHidden/>
          </w:rPr>
          <w:tab/>
        </w:r>
        <w:r w:rsidR="00DF1028">
          <w:rPr>
            <w:noProof/>
            <w:webHidden/>
          </w:rPr>
          <w:fldChar w:fldCharType="begin"/>
        </w:r>
        <w:r w:rsidR="00C40C69">
          <w:rPr>
            <w:noProof/>
            <w:webHidden/>
          </w:rPr>
          <w:instrText xml:space="preserve"> PAGEREF _Toc295823948 \h </w:instrText>
        </w:r>
        <w:r w:rsidR="00DF1028">
          <w:rPr>
            <w:noProof/>
            <w:webHidden/>
          </w:rPr>
        </w:r>
        <w:r w:rsidR="00DF1028">
          <w:rPr>
            <w:noProof/>
            <w:webHidden/>
          </w:rPr>
          <w:fldChar w:fldCharType="separate"/>
        </w:r>
        <w:r w:rsidR="00B02D8E">
          <w:rPr>
            <w:noProof/>
            <w:webHidden/>
          </w:rPr>
          <w:t>16</w:t>
        </w:r>
        <w:r w:rsidR="00DF1028">
          <w:rPr>
            <w:noProof/>
            <w:webHidden/>
          </w:rPr>
          <w:fldChar w:fldCharType="end"/>
        </w:r>
      </w:hyperlink>
    </w:p>
    <w:p w14:paraId="4C5E9DD9" w14:textId="4628BDAA" w:rsidR="00C40C69" w:rsidRDefault="00964E16">
      <w:pPr>
        <w:pStyle w:val="TOC2"/>
        <w:tabs>
          <w:tab w:val="left" w:pos="1080"/>
        </w:tabs>
        <w:rPr>
          <w:rFonts w:asciiTheme="minorHAnsi" w:eastAsiaTheme="minorEastAsia" w:hAnsiTheme="minorHAnsi" w:cstheme="minorBidi"/>
          <w:noProof/>
          <w:sz w:val="22"/>
          <w:szCs w:val="22"/>
        </w:rPr>
      </w:pPr>
      <w:hyperlink w:anchor="_Toc295823949" w:history="1">
        <w:r w:rsidR="00C40C69" w:rsidRPr="00355BDA">
          <w:rPr>
            <w:rStyle w:val="Hyperlink"/>
            <w:noProof/>
          </w:rPr>
          <w:t>5b.</w:t>
        </w:r>
        <w:r w:rsidR="00C40C69">
          <w:rPr>
            <w:rFonts w:asciiTheme="minorHAnsi" w:eastAsiaTheme="minorEastAsia" w:hAnsiTheme="minorHAnsi" w:cstheme="minorBidi"/>
            <w:noProof/>
            <w:sz w:val="22"/>
            <w:szCs w:val="22"/>
          </w:rPr>
          <w:tab/>
        </w:r>
        <w:r w:rsidR="00C40C69" w:rsidRPr="00355BDA">
          <w:rPr>
            <w:rStyle w:val="Hyperlink"/>
            <w:noProof/>
          </w:rPr>
          <w:t>Collection Methodology and Management</w:t>
        </w:r>
        <w:r w:rsidR="00C40C69">
          <w:rPr>
            <w:noProof/>
            <w:webHidden/>
          </w:rPr>
          <w:tab/>
        </w:r>
        <w:r w:rsidR="00DF1028">
          <w:rPr>
            <w:noProof/>
            <w:webHidden/>
          </w:rPr>
          <w:fldChar w:fldCharType="begin"/>
        </w:r>
        <w:r w:rsidR="00C40C69">
          <w:rPr>
            <w:noProof/>
            <w:webHidden/>
          </w:rPr>
          <w:instrText xml:space="preserve"> PAGEREF _Toc295823949 \h </w:instrText>
        </w:r>
        <w:r w:rsidR="00DF1028">
          <w:rPr>
            <w:noProof/>
            <w:webHidden/>
          </w:rPr>
        </w:r>
        <w:r w:rsidR="00DF1028">
          <w:rPr>
            <w:noProof/>
            <w:webHidden/>
          </w:rPr>
          <w:fldChar w:fldCharType="separate"/>
        </w:r>
        <w:r w:rsidR="00B02D8E">
          <w:rPr>
            <w:noProof/>
            <w:webHidden/>
          </w:rPr>
          <w:t>17</w:t>
        </w:r>
        <w:r w:rsidR="00DF1028">
          <w:rPr>
            <w:noProof/>
            <w:webHidden/>
          </w:rPr>
          <w:fldChar w:fldCharType="end"/>
        </w:r>
      </w:hyperlink>
    </w:p>
    <w:p w14:paraId="64DA6EF0" w14:textId="53B3B917" w:rsidR="00C40C69" w:rsidRDefault="00964E16">
      <w:pPr>
        <w:pStyle w:val="TOC2"/>
        <w:tabs>
          <w:tab w:val="left" w:pos="1080"/>
        </w:tabs>
        <w:rPr>
          <w:rFonts w:asciiTheme="minorHAnsi" w:eastAsiaTheme="minorEastAsia" w:hAnsiTheme="minorHAnsi" w:cstheme="minorBidi"/>
          <w:noProof/>
          <w:sz w:val="22"/>
          <w:szCs w:val="22"/>
        </w:rPr>
      </w:pPr>
      <w:hyperlink w:anchor="_Toc295823950" w:history="1">
        <w:r w:rsidR="00C40C69" w:rsidRPr="00355BDA">
          <w:rPr>
            <w:rStyle w:val="Hyperlink"/>
            <w:noProof/>
          </w:rPr>
          <w:t>5c.</w:t>
        </w:r>
        <w:r w:rsidR="00C40C69">
          <w:rPr>
            <w:rFonts w:asciiTheme="minorHAnsi" w:eastAsiaTheme="minorEastAsia" w:hAnsiTheme="minorHAnsi" w:cstheme="minorBidi"/>
            <w:noProof/>
            <w:sz w:val="22"/>
            <w:szCs w:val="22"/>
          </w:rPr>
          <w:tab/>
        </w:r>
        <w:r w:rsidR="00C40C69" w:rsidRPr="00355BDA">
          <w:rPr>
            <w:rStyle w:val="Hyperlink"/>
            <w:noProof/>
          </w:rPr>
          <w:t>Small Entity Flexibility</w:t>
        </w:r>
        <w:r w:rsidR="00C40C69">
          <w:rPr>
            <w:noProof/>
            <w:webHidden/>
          </w:rPr>
          <w:tab/>
        </w:r>
        <w:r w:rsidR="00DF1028">
          <w:rPr>
            <w:noProof/>
            <w:webHidden/>
          </w:rPr>
          <w:fldChar w:fldCharType="begin"/>
        </w:r>
        <w:r w:rsidR="00C40C69">
          <w:rPr>
            <w:noProof/>
            <w:webHidden/>
          </w:rPr>
          <w:instrText xml:space="preserve"> PAGEREF _Toc295823950 \h </w:instrText>
        </w:r>
        <w:r w:rsidR="00DF1028">
          <w:rPr>
            <w:noProof/>
            <w:webHidden/>
          </w:rPr>
        </w:r>
        <w:r w:rsidR="00DF1028">
          <w:rPr>
            <w:noProof/>
            <w:webHidden/>
          </w:rPr>
          <w:fldChar w:fldCharType="separate"/>
        </w:r>
        <w:r w:rsidR="00B02D8E">
          <w:rPr>
            <w:noProof/>
            <w:webHidden/>
          </w:rPr>
          <w:t>17</w:t>
        </w:r>
        <w:r w:rsidR="00DF1028">
          <w:rPr>
            <w:noProof/>
            <w:webHidden/>
          </w:rPr>
          <w:fldChar w:fldCharType="end"/>
        </w:r>
      </w:hyperlink>
    </w:p>
    <w:p w14:paraId="2ADEE214" w14:textId="4CBF2CE4" w:rsidR="00C40C69" w:rsidRDefault="00964E16">
      <w:pPr>
        <w:pStyle w:val="TOC2"/>
        <w:tabs>
          <w:tab w:val="left" w:pos="1080"/>
        </w:tabs>
        <w:rPr>
          <w:rFonts w:asciiTheme="minorHAnsi" w:eastAsiaTheme="minorEastAsia" w:hAnsiTheme="minorHAnsi" w:cstheme="minorBidi"/>
          <w:noProof/>
          <w:sz w:val="22"/>
          <w:szCs w:val="22"/>
        </w:rPr>
      </w:pPr>
      <w:hyperlink w:anchor="_Toc295823951" w:history="1">
        <w:r w:rsidR="00C40C69" w:rsidRPr="00355BDA">
          <w:rPr>
            <w:rStyle w:val="Hyperlink"/>
            <w:noProof/>
          </w:rPr>
          <w:t>5d.</w:t>
        </w:r>
        <w:r w:rsidR="00C40C69">
          <w:rPr>
            <w:rFonts w:asciiTheme="minorHAnsi" w:eastAsiaTheme="minorEastAsia" w:hAnsiTheme="minorHAnsi" w:cstheme="minorBidi"/>
            <w:noProof/>
            <w:sz w:val="22"/>
            <w:szCs w:val="22"/>
          </w:rPr>
          <w:tab/>
        </w:r>
        <w:r w:rsidR="00C40C69" w:rsidRPr="00355BDA">
          <w:rPr>
            <w:rStyle w:val="Hyperlink"/>
            <w:noProof/>
          </w:rPr>
          <w:t>Collection Schedule</w:t>
        </w:r>
        <w:r w:rsidR="00C40C69">
          <w:rPr>
            <w:noProof/>
            <w:webHidden/>
          </w:rPr>
          <w:tab/>
        </w:r>
        <w:r w:rsidR="00DF1028">
          <w:rPr>
            <w:noProof/>
            <w:webHidden/>
          </w:rPr>
          <w:fldChar w:fldCharType="begin"/>
        </w:r>
        <w:r w:rsidR="00C40C69">
          <w:rPr>
            <w:noProof/>
            <w:webHidden/>
          </w:rPr>
          <w:instrText xml:space="preserve"> PAGEREF _Toc295823951 \h </w:instrText>
        </w:r>
        <w:r w:rsidR="00DF1028">
          <w:rPr>
            <w:noProof/>
            <w:webHidden/>
          </w:rPr>
        </w:r>
        <w:r w:rsidR="00DF1028">
          <w:rPr>
            <w:noProof/>
            <w:webHidden/>
          </w:rPr>
          <w:fldChar w:fldCharType="separate"/>
        </w:r>
        <w:r w:rsidR="00B02D8E">
          <w:rPr>
            <w:noProof/>
            <w:webHidden/>
          </w:rPr>
          <w:t>17</w:t>
        </w:r>
        <w:r w:rsidR="00DF1028">
          <w:rPr>
            <w:noProof/>
            <w:webHidden/>
          </w:rPr>
          <w:fldChar w:fldCharType="end"/>
        </w:r>
      </w:hyperlink>
    </w:p>
    <w:p w14:paraId="4393DA87" w14:textId="320633A9" w:rsidR="00C40C69" w:rsidRDefault="00964E16">
      <w:pPr>
        <w:pStyle w:val="TOC1"/>
        <w:tabs>
          <w:tab w:val="right" w:leader="dot" w:pos="9710"/>
        </w:tabs>
        <w:rPr>
          <w:rFonts w:asciiTheme="minorHAnsi" w:eastAsiaTheme="minorEastAsia" w:hAnsiTheme="minorHAnsi" w:cstheme="minorBidi"/>
          <w:noProof/>
          <w:sz w:val="22"/>
          <w:szCs w:val="22"/>
        </w:rPr>
      </w:pPr>
      <w:hyperlink w:anchor="_Toc295823952" w:history="1">
        <w:r w:rsidR="00C40C69" w:rsidRPr="00355BDA">
          <w:rPr>
            <w:rStyle w:val="Hyperlink"/>
            <w:noProof/>
          </w:rPr>
          <w:t>6.</w:t>
        </w:r>
        <w:r w:rsidR="00C40C69">
          <w:rPr>
            <w:rFonts w:asciiTheme="minorHAnsi" w:eastAsiaTheme="minorEastAsia" w:hAnsiTheme="minorHAnsi" w:cstheme="minorBidi"/>
            <w:noProof/>
            <w:sz w:val="22"/>
            <w:szCs w:val="22"/>
          </w:rPr>
          <w:tab/>
        </w:r>
        <w:r w:rsidR="00C40C69" w:rsidRPr="00355BDA">
          <w:rPr>
            <w:rStyle w:val="Hyperlink"/>
            <w:noProof/>
          </w:rPr>
          <w:t>ESTIMATING THE BURDEN AND COST OF THE COLLECTION</w:t>
        </w:r>
        <w:r w:rsidR="00C40C69">
          <w:rPr>
            <w:noProof/>
            <w:webHidden/>
          </w:rPr>
          <w:tab/>
        </w:r>
        <w:r w:rsidR="00DF1028">
          <w:rPr>
            <w:noProof/>
            <w:webHidden/>
          </w:rPr>
          <w:fldChar w:fldCharType="begin"/>
        </w:r>
        <w:r w:rsidR="00C40C69">
          <w:rPr>
            <w:noProof/>
            <w:webHidden/>
          </w:rPr>
          <w:instrText xml:space="preserve"> PAGEREF _Toc295823952 \h </w:instrText>
        </w:r>
        <w:r w:rsidR="00DF1028">
          <w:rPr>
            <w:noProof/>
            <w:webHidden/>
          </w:rPr>
        </w:r>
        <w:r w:rsidR="00DF1028">
          <w:rPr>
            <w:noProof/>
            <w:webHidden/>
          </w:rPr>
          <w:fldChar w:fldCharType="separate"/>
        </w:r>
        <w:r w:rsidR="00B02D8E">
          <w:rPr>
            <w:noProof/>
            <w:webHidden/>
          </w:rPr>
          <w:t>18</w:t>
        </w:r>
        <w:r w:rsidR="00DF1028">
          <w:rPr>
            <w:noProof/>
            <w:webHidden/>
          </w:rPr>
          <w:fldChar w:fldCharType="end"/>
        </w:r>
      </w:hyperlink>
    </w:p>
    <w:p w14:paraId="1A334EE7" w14:textId="09EAD630" w:rsidR="00C40C69" w:rsidRDefault="00964E16">
      <w:pPr>
        <w:pStyle w:val="TOC2"/>
        <w:tabs>
          <w:tab w:val="left" w:pos="1080"/>
        </w:tabs>
        <w:rPr>
          <w:rFonts w:asciiTheme="minorHAnsi" w:eastAsiaTheme="minorEastAsia" w:hAnsiTheme="minorHAnsi" w:cstheme="minorBidi"/>
          <w:noProof/>
          <w:sz w:val="22"/>
          <w:szCs w:val="22"/>
        </w:rPr>
      </w:pPr>
      <w:hyperlink w:anchor="_Toc295823953" w:history="1">
        <w:r w:rsidR="00C40C69" w:rsidRPr="00355BDA">
          <w:rPr>
            <w:rStyle w:val="Hyperlink"/>
            <w:noProof/>
          </w:rPr>
          <w:t>6a.</w:t>
        </w:r>
        <w:r w:rsidR="00C40C69">
          <w:rPr>
            <w:rFonts w:asciiTheme="minorHAnsi" w:eastAsiaTheme="minorEastAsia" w:hAnsiTheme="minorHAnsi" w:cstheme="minorBidi"/>
            <w:noProof/>
            <w:sz w:val="22"/>
            <w:szCs w:val="22"/>
          </w:rPr>
          <w:tab/>
        </w:r>
        <w:r w:rsidR="00C40C69" w:rsidRPr="00355BDA">
          <w:rPr>
            <w:rStyle w:val="Hyperlink"/>
            <w:noProof/>
          </w:rPr>
          <w:t>Estimating Respondent Burden</w:t>
        </w:r>
        <w:r w:rsidR="00C40C69">
          <w:rPr>
            <w:noProof/>
            <w:webHidden/>
          </w:rPr>
          <w:tab/>
        </w:r>
        <w:r w:rsidR="00DF1028">
          <w:rPr>
            <w:noProof/>
            <w:webHidden/>
          </w:rPr>
          <w:fldChar w:fldCharType="begin"/>
        </w:r>
        <w:r w:rsidR="00C40C69">
          <w:rPr>
            <w:noProof/>
            <w:webHidden/>
          </w:rPr>
          <w:instrText xml:space="preserve"> PAGEREF _Toc295823953 \h </w:instrText>
        </w:r>
        <w:r w:rsidR="00DF1028">
          <w:rPr>
            <w:noProof/>
            <w:webHidden/>
          </w:rPr>
        </w:r>
        <w:r w:rsidR="00DF1028">
          <w:rPr>
            <w:noProof/>
            <w:webHidden/>
          </w:rPr>
          <w:fldChar w:fldCharType="separate"/>
        </w:r>
        <w:r w:rsidR="00B02D8E">
          <w:rPr>
            <w:noProof/>
            <w:webHidden/>
          </w:rPr>
          <w:t>18</w:t>
        </w:r>
        <w:r w:rsidR="00DF1028">
          <w:rPr>
            <w:noProof/>
            <w:webHidden/>
          </w:rPr>
          <w:fldChar w:fldCharType="end"/>
        </w:r>
      </w:hyperlink>
    </w:p>
    <w:p w14:paraId="3D66AFF0" w14:textId="3A090C84" w:rsidR="00C40C69" w:rsidRDefault="00964E16">
      <w:pPr>
        <w:pStyle w:val="TOC5"/>
        <w:rPr>
          <w:rFonts w:asciiTheme="minorHAnsi" w:eastAsiaTheme="minorEastAsia" w:hAnsiTheme="minorHAnsi" w:cstheme="minorBidi"/>
          <w:noProof/>
          <w:sz w:val="22"/>
          <w:szCs w:val="22"/>
        </w:rPr>
      </w:pPr>
      <w:hyperlink w:anchor="_Toc295823954" w:history="1">
        <w:r w:rsidR="00C40C69" w:rsidRPr="00355BDA">
          <w:rPr>
            <w:rStyle w:val="Hyperlink"/>
            <w:b/>
            <w:noProof/>
          </w:rPr>
          <w:t>Exhibit 1 – Unit Burden Hours per Respondent Information Collection Activity</w:t>
        </w:r>
        <w:r w:rsidR="00C40C69">
          <w:rPr>
            <w:noProof/>
            <w:webHidden/>
          </w:rPr>
          <w:tab/>
        </w:r>
        <w:r w:rsidR="00DF1028">
          <w:rPr>
            <w:noProof/>
            <w:webHidden/>
          </w:rPr>
          <w:fldChar w:fldCharType="begin"/>
        </w:r>
        <w:r w:rsidR="00C40C69">
          <w:rPr>
            <w:noProof/>
            <w:webHidden/>
          </w:rPr>
          <w:instrText xml:space="preserve"> PAGEREF _Toc295823954 \h </w:instrText>
        </w:r>
        <w:r w:rsidR="00DF1028">
          <w:rPr>
            <w:noProof/>
            <w:webHidden/>
          </w:rPr>
        </w:r>
        <w:r w:rsidR="00DF1028">
          <w:rPr>
            <w:noProof/>
            <w:webHidden/>
          </w:rPr>
          <w:fldChar w:fldCharType="separate"/>
        </w:r>
        <w:r w:rsidR="00B02D8E">
          <w:rPr>
            <w:noProof/>
            <w:webHidden/>
          </w:rPr>
          <w:t>20</w:t>
        </w:r>
        <w:r w:rsidR="00DF1028">
          <w:rPr>
            <w:noProof/>
            <w:webHidden/>
          </w:rPr>
          <w:fldChar w:fldCharType="end"/>
        </w:r>
      </w:hyperlink>
    </w:p>
    <w:p w14:paraId="2778509F" w14:textId="7E5B6383" w:rsidR="00C40C69" w:rsidRDefault="00964E16">
      <w:pPr>
        <w:pStyle w:val="TOC5"/>
        <w:rPr>
          <w:rFonts w:asciiTheme="minorHAnsi" w:eastAsiaTheme="minorEastAsia" w:hAnsiTheme="minorHAnsi" w:cstheme="minorBidi"/>
          <w:noProof/>
          <w:sz w:val="22"/>
          <w:szCs w:val="22"/>
        </w:rPr>
      </w:pPr>
      <w:hyperlink w:anchor="_Toc295823955" w:history="1">
        <w:r w:rsidR="00C40C69" w:rsidRPr="00355BDA">
          <w:rPr>
            <w:rStyle w:val="Hyperlink"/>
            <w:b/>
            <w:noProof/>
          </w:rPr>
          <w:t>Exhibit 1 (With Forms) – Unit Burden Hours per Respondent Information Collection Activity</w:t>
        </w:r>
        <w:r w:rsidR="00C40C69">
          <w:rPr>
            <w:noProof/>
            <w:webHidden/>
          </w:rPr>
          <w:tab/>
        </w:r>
        <w:r w:rsidR="00DF1028">
          <w:rPr>
            <w:noProof/>
            <w:webHidden/>
          </w:rPr>
          <w:fldChar w:fldCharType="begin"/>
        </w:r>
        <w:r w:rsidR="00C40C69">
          <w:rPr>
            <w:noProof/>
            <w:webHidden/>
          </w:rPr>
          <w:instrText xml:space="preserve"> PAGEREF _Toc295823955 \h </w:instrText>
        </w:r>
        <w:r w:rsidR="00DF1028">
          <w:rPr>
            <w:noProof/>
            <w:webHidden/>
          </w:rPr>
        </w:r>
        <w:r w:rsidR="00DF1028">
          <w:rPr>
            <w:noProof/>
            <w:webHidden/>
          </w:rPr>
          <w:fldChar w:fldCharType="separate"/>
        </w:r>
        <w:r w:rsidR="00B02D8E">
          <w:rPr>
            <w:noProof/>
            <w:webHidden/>
          </w:rPr>
          <w:t>21</w:t>
        </w:r>
        <w:r w:rsidR="00DF1028">
          <w:rPr>
            <w:noProof/>
            <w:webHidden/>
          </w:rPr>
          <w:fldChar w:fldCharType="end"/>
        </w:r>
      </w:hyperlink>
    </w:p>
    <w:p w14:paraId="4DB9B3B6" w14:textId="59AC4AF1" w:rsidR="00C40C69" w:rsidRDefault="00964E16">
      <w:pPr>
        <w:pStyle w:val="TOC5"/>
        <w:rPr>
          <w:rFonts w:asciiTheme="minorHAnsi" w:eastAsiaTheme="minorEastAsia" w:hAnsiTheme="minorHAnsi" w:cstheme="minorBidi"/>
          <w:noProof/>
          <w:sz w:val="22"/>
          <w:szCs w:val="22"/>
        </w:rPr>
      </w:pPr>
      <w:hyperlink w:anchor="_Toc295823956" w:history="1">
        <w:r w:rsidR="00C40C69" w:rsidRPr="00355BDA">
          <w:rPr>
            <w:rStyle w:val="Hyperlink"/>
            <w:b/>
            <w:noProof/>
          </w:rPr>
          <w:t>Exhibit 2 – Burden Hours for a Typical Facility</w:t>
        </w:r>
        <w:r w:rsidR="00C40C69">
          <w:rPr>
            <w:noProof/>
            <w:webHidden/>
          </w:rPr>
          <w:tab/>
        </w:r>
        <w:r w:rsidR="00DF1028">
          <w:rPr>
            <w:noProof/>
            <w:webHidden/>
          </w:rPr>
          <w:fldChar w:fldCharType="begin"/>
        </w:r>
        <w:r w:rsidR="00C40C69">
          <w:rPr>
            <w:noProof/>
            <w:webHidden/>
          </w:rPr>
          <w:instrText xml:space="preserve"> PAGEREF _Toc295823956 \h </w:instrText>
        </w:r>
        <w:r w:rsidR="00DF1028">
          <w:rPr>
            <w:noProof/>
            <w:webHidden/>
          </w:rPr>
        </w:r>
        <w:r w:rsidR="00DF1028">
          <w:rPr>
            <w:noProof/>
            <w:webHidden/>
          </w:rPr>
          <w:fldChar w:fldCharType="separate"/>
        </w:r>
        <w:r w:rsidR="00B02D8E">
          <w:rPr>
            <w:noProof/>
            <w:webHidden/>
          </w:rPr>
          <w:t>27</w:t>
        </w:r>
        <w:r w:rsidR="00DF1028">
          <w:rPr>
            <w:noProof/>
            <w:webHidden/>
          </w:rPr>
          <w:fldChar w:fldCharType="end"/>
        </w:r>
      </w:hyperlink>
    </w:p>
    <w:p w14:paraId="68301FB0" w14:textId="131E2FFE" w:rsidR="00C40C69" w:rsidRDefault="00964E16">
      <w:pPr>
        <w:pStyle w:val="TOC5"/>
        <w:rPr>
          <w:rFonts w:asciiTheme="minorHAnsi" w:eastAsiaTheme="minorEastAsia" w:hAnsiTheme="minorHAnsi" w:cstheme="minorBidi"/>
          <w:noProof/>
          <w:sz w:val="22"/>
          <w:szCs w:val="22"/>
        </w:rPr>
      </w:pPr>
      <w:hyperlink w:anchor="_Toc295823957" w:history="1">
        <w:r w:rsidR="00C40C69" w:rsidRPr="00355BDA">
          <w:rPr>
            <w:rStyle w:val="Hyperlink"/>
            <w:b/>
            <w:noProof/>
          </w:rPr>
          <w:t>Exhibit 2 (With Forms) – Burden Hours for a Typical Facility</w:t>
        </w:r>
        <w:r w:rsidR="00C40C69">
          <w:rPr>
            <w:noProof/>
            <w:webHidden/>
          </w:rPr>
          <w:tab/>
        </w:r>
        <w:r w:rsidR="00DF1028">
          <w:rPr>
            <w:noProof/>
            <w:webHidden/>
          </w:rPr>
          <w:fldChar w:fldCharType="begin"/>
        </w:r>
        <w:r w:rsidR="00C40C69">
          <w:rPr>
            <w:noProof/>
            <w:webHidden/>
          </w:rPr>
          <w:instrText xml:space="preserve"> PAGEREF _Toc295823957 \h </w:instrText>
        </w:r>
        <w:r w:rsidR="00DF1028">
          <w:rPr>
            <w:noProof/>
            <w:webHidden/>
          </w:rPr>
        </w:r>
        <w:r w:rsidR="00DF1028">
          <w:rPr>
            <w:noProof/>
            <w:webHidden/>
          </w:rPr>
          <w:fldChar w:fldCharType="separate"/>
        </w:r>
        <w:r w:rsidR="00B02D8E">
          <w:rPr>
            <w:noProof/>
            <w:webHidden/>
          </w:rPr>
          <w:t>28</w:t>
        </w:r>
        <w:r w:rsidR="00DF1028">
          <w:rPr>
            <w:noProof/>
            <w:webHidden/>
          </w:rPr>
          <w:fldChar w:fldCharType="end"/>
        </w:r>
      </w:hyperlink>
    </w:p>
    <w:p w14:paraId="193C8339" w14:textId="6314A85C" w:rsidR="00C40C69" w:rsidRDefault="00964E16">
      <w:pPr>
        <w:pStyle w:val="TOC2"/>
        <w:tabs>
          <w:tab w:val="left" w:pos="1080"/>
        </w:tabs>
        <w:rPr>
          <w:rFonts w:asciiTheme="minorHAnsi" w:eastAsiaTheme="minorEastAsia" w:hAnsiTheme="minorHAnsi" w:cstheme="minorBidi"/>
          <w:noProof/>
          <w:sz w:val="22"/>
          <w:szCs w:val="22"/>
        </w:rPr>
      </w:pPr>
      <w:hyperlink w:anchor="_Toc295823958" w:history="1">
        <w:r w:rsidR="00C40C69" w:rsidRPr="00355BDA">
          <w:rPr>
            <w:rStyle w:val="Hyperlink"/>
            <w:noProof/>
          </w:rPr>
          <w:t>6b.</w:t>
        </w:r>
        <w:r w:rsidR="00C40C69">
          <w:rPr>
            <w:rFonts w:asciiTheme="minorHAnsi" w:eastAsiaTheme="minorEastAsia" w:hAnsiTheme="minorHAnsi" w:cstheme="minorBidi"/>
            <w:noProof/>
            <w:sz w:val="22"/>
            <w:szCs w:val="22"/>
          </w:rPr>
          <w:tab/>
        </w:r>
        <w:r w:rsidR="00C40C69" w:rsidRPr="00355BDA">
          <w:rPr>
            <w:rStyle w:val="Hyperlink"/>
            <w:noProof/>
          </w:rPr>
          <w:t>Estimating Respondent Costs</w:t>
        </w:r>
        <w:r w:rsidR="00C40C69">
          <w:rPr>
            <w:noProof/>
            <w:webHidden/>
          </w:rPr>
          <w:tab/>
        </w:r>
        <w:r w:rsidR="00DF1028">
          <w:rPr>
            <w:noProof/>
            <w:webHidden/>
          </w:rPr>
          <w:fldChar w:fldCharType="begin"/>
        </w:r>
        <w:r w:rsidR="00C40C69">
          <w:rPr>
            <w:noProof/>
            <w:webHidden/>
          </w:rPr>
          <w:instrText xml:space="preserve"> PAGEREF _Toc295823958 \h </w:instrText>
        </w:r>
        <w:r w:rsidR="00DF1028">
          <w:rPr>
            <w:noProof/>
            <w:webHidden/>
          </w:rPr>
        </w:r>
        <w:r w:rsidR="00DF1028">
          <w:rPr>
            <w:noProof/>
            <w:webHidden/>
          </w:rPr>
          <w:fldChar w:fldCharType="separate"/>
        </w:r>
        <w:r w:rsidR="00B02D8E">
          <w:rPr>
            <w:noProof/>
            <w:webHidden/>
          </w:rPr>
          <w:t>28</w:t>
        </w:r>
        <w:r w:rsidR="00DF1028">
          <w:rPr>
            <w:noProof/>
            <w:webHidden/>
          </w:rPr>
          <w:fldChar w:fldCharType="end"/>
        </w:r>
      </w:hyperlink>
    </w:p>
    <w:p w14:paraId="4182E4D8" w14:textId="4C0211D4" w:rsidR="00C40C69" w:rsidRDefault="00964E16">
      <w:pPr>
        <w:pStyle w:val="TOC3"/>
        <w:rPr>
          <w:rFonts w:asciiTheme="minorHAnsi" w:eastAsiaTheme="minorEastAsia" w:hAnsiTheme="minorHAnsi" w:cstheme="minorBidi"/>
          <w:noProof/>
          <w:sz w:val="22"/>
          <w:szCs w:val="22"/>
        </w:rPr>
      </w:pPr>
      <w:hyperlink w:anchor="_Toc295823959" w:history="1">
        <w:r w:rsidR="00C40C69" w:rsidRPr="00355BDA">
          <w:rPr>
            <w:rStyle w:val="Hyperlink"/>
            <w:noProof/>
          </w:rPr>
          <w:t>i.</w:t>
        </w:r>
        <w:r w:rsidR="00C40C69">
          <w:rPr>
            <w:rFonts w:asciiTheme="minorHAnsi" w:eastAsiaTheme="minorEastAsia" w:hAnsiTheme="minorHAnsi" w:cstheme="minorBidi"/>
            <w:noProof/>
            <w:sz w:val="22"/>
            <w:szCs w:val="22"/>
          </w:rPr>
          <w:tab/>
        </w:r>
        <w:r w:rsidR="00C40C69" w:rsidRPr="00355BDA">
          <w:rPr>
            <w:rStyle w:val="Hyperlink"/>
            <w:noProof/>
          </w:rPr>
          <w:t>Estimating Labor Costs</w:t>
        </w:r>
        <w:r w:rsidR="00C40C69">
          <w:rPr>
            <w:noProof/>
            <w:webHidden/>
          </w:rPr>
          <w:tab/>
        </w:r>
        <w:r w:rsidR="00DF1028">
          <w:rPr>
            <w:noProof/>
            <w:webHidden/>
          </w:rPr>
          <w:fldChar w:fldCharType="begin"/>
        </w:r>
        <w:r w:rsidR="00C40C69">
          <w:rPr>
            <w:noProof/>
            <w:webHidden/>
          </w:rPr>
          <w:instrText xml:space="preserve"> PAGEREF _Toc295823959 \h </w:instrText>
        </w:r>
        <w:r w:rsidR="00DF1028">
          <w:rPr>
            <w:noProof/>
            <w:webHidden/>
          </w:rPr>
        </w:r>
        <w:r w:rsidR="00DF1028">
          <w:rPr>
            <w:noProof/>
            <w:webHidden/>
          </w:rPr>
          <w:fldChar w:fldCharType="separate"/>
        </w:r>
        <w:r w:rsidR="00B02D8E">
          <w:rPr>
            <w:noProof/>
            <w:webHidden/>
          </w:rPr>
          <w:t>28</w:t>
        </w:r>
        <w:r w:rsidR="00DF1028">
          <w:rPr>
            <w:noProof/>
            <w:webHidden/>
          </w:rPr>
          <w:fldChar w:fldCharType="end"/>
        </w:r>
      </w:hyperlink>
    </w:p>
    <w:p w14:paraId="559202B7" w14:textId="7F172A4D" w:rsidR="00C40C69" w:rsidRDefault="00964E16">
      <w:pPr>
        <w:pStyle w:val="TOC5"/>
        <w:rPr>
          <w:rFonts w:asciiTheme="minorHAnsi" w:eastAsiaTheme="minorEastAsia" w:hAnsiTheme="minorHAnsi" w:cstheme="minorBidi"/>
          <w:noProof/>
          <w:sz w:val="22"/>
          <w:szCs w:val="22"/>
        </w:rPr>
      </w:pPr>
      <w:hyperlink w:anchor="_Toc295823960" w:history="1">
        <w:r w:rsidR="00C40C69" w:rsidRPr="00355BDA">
          <w:rPr>
            <w:rStyle w:val="Hyperlink"/>
            <w:b/>
            <w:noProof/>
          </w:rPr>
          <w:t>Exhibit 3 – Unit Labor Cost per Respondent Information Collection Activity</w:t>
        </w:r>
        <w:r w:rsidR="00C40C69">
          <w:rPr>
            <w:noProof/>
            <w:webHidden/>
          </w:rPr>
          <w:tab/>
        </w:r>
        <w:r w:rsidR="00DF1028">
          <w:rPr>
            <w:noProof/>
            <w:webHidden/>
          </w:rPr>
          <w:fldChar w:fldCharType="begin"/>
        </w:r>
        <w:r w:rsidR="00C40C69">
          <w:rPr>
            <w:noProof/>
            <w:webHidden/>
          </w:rPr>
          <w:instrText xml:space="preserve"> PAGEREF _Toc295823960 \h </w:instrText>
        </w:r>
        <w:r w:rsidR="00DF1028">
          <w:rPr>
            <w:noProof/>
            <w:webHidden/>
          </w:rPr>
        </w:r>
        <w:r w:rsidR="00DF1028">
          <w:rPr>
            <w:noProof/>
            <w:webHidden/>
          </w:rPr>
          <w:fldChar w:fldCharType="separate"/>
        </w:r>
        <w:r w:rsidR="00B02D8E">
          <w:rPr>
            <w:noProof/>
            <w:webHidden/>
          </w:rPr>
          <w:t>30</w:t>
        </w:r>
        <w:r w:rsidR="00DF1028">
          <w:rPr>
            <w:noProof/>
            <w:webHidden/>
          </w:rPr>
          <w:fldChar w:fldCharType="end"/>
        </w:r>
      </w:hyperlink>
    </w:p>
    <w:p w14:paraId="5D7F14EC" w14:textId="5155448A" w:rsidR="00C40C69" w:rsidRDefault="00964E16">
      <w:pPr>
        <w:pStyle w:val="TOC5"/>
        <w:rPr>
          <w:rFonts w:asciiTheme="minorHAnsi" w:eastAsiaTheme="minorEastAsia" w:hAnsiTheme="minorHAnsi" w:cstheme="minorBidi"/>
          <w:noProof/>
          <w:sz w:val="22"/>
          <w:szCs w:val="22"/>
        </w:rPr>
      </w:pPr>
      <w:hyperlink w:anchor="_Toc295823961" w:history="1">
        <w:r w:rsidR="00C40C69" w:rsidRPr="00355BDA">
          <w:rPr>
            <w:rStyle w:val="Hyperlink"/>
            <w:b/>
            <w:noProof/>
          </w:rPr>
          <w:t>Exhibit 3 (With Forms) – Unit Labor Cost per Respondent Information Collection Activity</w:t>
        </w:r>
        <w:r w:rsidR="00C40C69">
          <w:rPr>
            <w:noProof/>
            <w:webHidden/>
          </w:rPr>
          <w:tab/>
        </w:r>
        <w:r w:rsidR="00DF1028">
          <w:rPr>
            <w:noProof/>
            <w:webHidden/>
          </w:rPr>
          <w:fldChar w:fldCharType="begin"/>
        </w:r>
        <w:r w:rsidR="00C40C69">
          <w:rPr>
            <w:noProof/>
            <w:webHidden/>
          </w:rPr>
          <w:instrText xml:space="preserve"> PAGEREF _Toc295823961 \h </w:instrText>
        </w:r>
        <w:r w:rsidR="00DF1028">
          <w:rPr>
            <w:noProof/>
            <w:webHidden/>
          </w:rPr>
        </w:r>
        <w:r w:rsidR="00DF1028">
          <w:rPr>
            <w:noProof/>
            <w:webHidden/>
          </w:rPr>
          <w:fldChar w:fldCharType="separate"/>
        </w:r>
        <w:r w:rsidR="00B02D8E">
          <w:rPr>
            <w:noProof/>
            <w:webHidden/>
          </w:rPr>
          <w:t>31</w:t>
        </w:r>
        <w:r w:rsidR="00DF1028">
          <w:rPr>
            <w:noProof/>
            <w:webHidden/>
          </w:rPr>
          <w:fldChar w:fldCharType="end"/>
        </w:r>
      </w:hyperlink>
    </w:p>
    <w:p w14:paraId="6F5297E5" w14:textId="7BA4B038" w:rsidR="00C40C69" w:rsidRDefault="00964E16">
      <w:pPr>
        <w:pStyle w:val="TOC5"/>
        <w:rPr>
          <w:rFonts w:asciiTheme="minorHAnsi" w:eastAsiaTheme="minorEastAsia" w:hAnsiTheme="minorHAnsi" w:cstheme="minorBidi"/>
          <w:noProof/>
          <w:sz w:val="22"/>
          <w:szCs w:val="22"/>
        </w:rPr>
      </w:pPr>
      <w:hyperlink w:anchor="_Toc295823962" w:history="1">
        <w:r w:rsidR="00C40C69" w:rsidRPr="00355BDA">
          <w:rPr>
            <w:rStyle w:val="Hyperlink"/>
            <w:b/>
            <w:noProof/>
          </w:rPr>
          <w:t>Exhibit 4 – Annual Labor Costs for a Typical Facility</w:t>
        </w:r>
        <w:r w:rsidR="00C40C69">
          <w:rPr>
            <w:noProof/>
            <w:webHidden/>
          </w:rPr>
          <w:tab/>
        </w:r>
        <w:r w:rsidR="00DF1028">
          <w:rPr>
            <w:noProof/>
            <w:webHidden/>
          </w:rPr>
          <w:fldChar w:fldCharType="begin"/>
        </w:r>
        <w:r w:rsidR="00C40C69">
          <w:rPr>
            <w:noProof/>
            <w:webHidden/>
          </w:rPr>
          <w:instrText xml:space="preserve"> PAGEREF _Toc295823962 \h </w:instrText>
        </w:r>
        <w:r w:rsidR="00DF1028">
          <w:rPr>
            <w:noProof/>
            <w:webHidden/>
          </w:rPr>
        </w:r>
        <w:r w:rsidR="00DF1028">
          <w:rPr>
            <w:noProof/>
            <w:webHidden/>
          </w:rPr>
          <w:fldChar w:fldCharType="separate"/>
        </w:r>
        <w:r w:rsidR="00B02D8E">
          <w:rPr>
            <w:noProof/>
            <w:webHidden/>
          </w:rPr>
          <w:t>32</w:t>
        </w:r>
        <w:r w:rsidR="00DF1028">
          <w:rPr>
            <w:noProof/>
            <w:webHidden/>
          </w:rPr>
          <w:fldChar w:fldCharType="end"/>
        </w:r>
      </w:hyperlink>
    </w:p>
    <w:p w14:paraId="4E9A1730" w14:textId="1A5920E3" w:rsidR="00C40C69" w:rsidRDefault="00964E16">
      <w:pPr>
        <w:pStyle w:val="TOC5"/>
        <w:rPr>
          <w:rFonts w:asciiTheme="minorHAnsi" w:eastAsiaTheme="minorEastAsia" w:hAnsiTheme="minorHAnsi" w:cstheme="minorBidi"/>
          <w:noProof/>
          <w:sz w:val="22"/>
          <w:szCs w:val="22"/>
        </w:rPr>
      </w:pPr>
      <w:hyperlink w:anchor="_Toc295823963" w:history="1">
        <w:r w:rsidR="00C40C69" w:rsidRPr="00355BDA">
          <w:rPr>
            <w:rStyle w:val="Hyperlink"/>
            <w:b/>
            <w:noProof/>
          </w:rPr>
          <w:t>Exhibit 4 (With Forms) – Annual Labor Costs for a Typical Facility</w:t>
        </w:r>
        <w:r w:rsidR="00C40C69">
          <w:rPr>
            <w:noProof/>
            <w:webHidden/>
          </w:rPr>
          <w:tab/>
        </w:r>
        <w:r w:rsidR="00DF1028">
          <w:rPr>
            <w:noProof/>
            <w:webHidden/>
          </w:rPr>
          <w:fldChar w:fldCharType="begin"/>
        </w:r>
        <w:r w:rsidR="00C40C69">
          <w:rPr>
            <w:noProof/>
            <w:webHidden/>
          </w:rPr>
          <w:instrText xml:space="preserve"> PAGEREF _Toc295823963 \h </w:instrText>
        </w:r>
        <w:r w:rsidR="00DF1028">
          <w:rPr>
            <w:noProof/>
            <w:webHidden/>
          </w:rPr>
        </w:r>
        <w:r w:rsidR="00DF1028">
          <w:rPr>
            <w:noProof/>
            <w:webHidden/>
          </w:rPr>
          <w:fldChar w:fldCharType="separate"/>
        </w:r>
        <w:r w:rsidR="00B02D8E">
          <w:rPr>
            <w:noProof/>
            <w:webHidden/>
          </w:rPr>
          <w:t>33</w:t>
        </w:r>
        <w:r w:rsidR="00DF1028">
          <w:rPr>
            <w:noProof/>
            <w:webHidden/>
          </w:rPr>
          <w:fldChar w:fldCharType="end"/>
        </w:r>
      </w:hyperlink>
    </w:p>
    <w:p w14:paraId="087874F7" w14:textId="46E20ABD" w:rsidR="00C40C69" w:rsidRDefault="00964E16">
      <w:pPr>
        <w:pStyle w:val="TOC3"/>
        <w:rPr>
          <w:rFonts w:asciiTheme="minorHAnsi" w:eastAsiaTheme="minorEastAsia" w:hAnsiTheme="minorHAnsi" w:cstheme="minorBidi"/>
          <w:noProof/>
          <w:sz w:val="22"/>
          <w:szCs w:val="22"/>
        </w:rPr>
      </w:pPr>
      <w:hyperlink w:anchor="_Toc295823964" w:history="1">
        <w:r w:rsidR="00C40C69" w:rsidRPr="00355BDA">
          <w:rPr>
            <w:rStyle w:val="Hyperlink"/>
            <w:noProof/>
          </w:rPr>
          <w:t>ii.</w:t>
        </w:r>
        <w:r w:rsidR="00C40C69">
          <w:rPr>
            <w:rFonts w:asciiTheme="minorHAnsi" w:eastAsiaTheme="minorEastAsia" w:hAnsiTheme="minorHAnsi" w:cstheme="minorBidi"/>
            <w:noProof/>
            <w:sz w:val="22"/>
            <w:szCs w:val="22"/>
          </w:rPr>
          <w:tab/>
        </w:r>
        <w:r w:rsidR="00C40C69" w:rsidRPr="00355BDA">
          <w:rPr>
            <w:rStyle w:val="Hyperlink"/>
            <w:noProof/>
          </w:rPr>
          <w:t>Estimating Capital and Operations and Maintenance Costs</w:t>
        </w:r>
        <w:r w:rsidR="00C40C69">
          <w:rPr>
            <w:noProof/>
            <w:webHidden/>
          </w:rPr>
          <w:tab/>
        </w:r>
        <w:r w:rsidR="00DF1028">
          <w:rPr>
            <w:noProof/>
            <w:webHidden/>
          </w:rPr>
          <w:fldChar w:fldCharType="begin"/>
        </w:r>
        <w:r w:rsidR="00C40C69">
          <w:rPr>
            <w:noProof/>
            <w:webHidden/>
          </w:rPr>
          <w:instrText xml:space="preserve"> PAGEREF _Toc295823964 \h </w:instrText>
        </w:r>
        <w:r w:rsidR="00DF1028">
          <w:rPr>
            <w:noProof/>
            <w:webHidden/>
          </w:rPr>
        </w:r>
        <w:r w:rsidR="00DF1028">
          <w:rPr>
            <w:noProof/>
            <w:webHidden/>
          </w:rPr>
          <w:fldChar w:fldCharType="separate"/>
        </w:r>
        <w:r w:rsidR="00B02D8E">
          <w:rPr>
            <w:noProof/>
            <w:webHidden/>
          </w:rPr>
          <w:t>33</w:t>
        </w:r>
        <w:r w:rsidR="00DF1028">
          <w:rPr>
            <w:noProof/>
            <w:webHidden/>
          </w:rPr>
          <w:fldChar w:fldCharType="end"/>
        </w:r>
      </w:hyperlink>
    </w:p>
    <w:p w14:paraId="102BEA1F" w14:textId="16DFFA80" w:rsidR="00C40C69" w:rsidRDefault="00964E16">
      <w:pPr>
        <w:pStyle w:val="TOC5"/>
        <w:rPr>
          <w:rFonts w:asciiTheme="minorHAnsi" w:eastAsiaTheme="minorEastAsia" w:hAnsiTheme="minorHAnsi" w:cstheme="minorBidi"/>
          <w:noProof/>
          <w:sz w:val="22"/>
          <w:szCs w:val="22"/>
        </w:rPr>
      </w:pPr>
      <w:hyperlink w:anchor="_Toc295823965" w:history="1">
        <w:r w:rsidR="00C40C69" w:rsidRPr="00355BDA">
          <w:rPr>
            <w:rStyle w:val="Hyperlink"/>
            <w:b/>
            <w:noProof/>
          </w:rPr>
          <w:t xml:space="preserve">Exhibit 5 – Unit Operating and Maintenance Costs per Respondent Information </w:t>
        </w:r>
        <w:r w:rsidR="00C40C69" w:rsidRPr="00355BDA">
          <w:rPr>
            <w:rStyle w:val="Hyperlink"/>
            <w:b/>
            <w:noProof/>
          </w:rPr>
          <w:lastRenderedPageBreak/>
          <w:t>Collection Activity</w:t>
        </w:r>
        <w:r w:rsidR="00C40C69">
          <w:rPr>
            <w:noProof/>
            <w:webHidden/>
          </w:rPr>
          <w:tab/>
        </w:r>
        <w:r w:rsidR="00DF1028">
          <w:rPr>
            <w:noProof/>
            <w:webHidden/>
          </w:rPr>
          <w:fldChar w:fldCharType="begin"/>
        </w:r>
        <w:r w:rsidR="00C40C69">
          <w:rPr>
            <w:noProof/>
            <w:webHidden/>
          </w:rPr>
          <w:instrText xml:space="preserve"> PAGEREF _Toc295823965 \h </w:instrText>
        </w:r>
        <w:r w:rsidR="00DF1028">
          <w:rPr>
            <w:noProof/>
            <w:webHidden/>
          </w:rPr>
        </w:r>
        <w:r w:rsidR="00DF1028">
          <w:rPr>
            <w:noProof/>
            <w:webHidden/>
          </w:rPr>
          <w:fldChar w:fldCharType="separate"/>
        </w:r>
        <w:r w:rsidR="00B02D8E">
          <w:rPr>
            <w:noProof/>
            <w:webHidden/>
          </w:rPr>
          <w:t>34</w:t>
        </w:r>
        <w:r w:rsidR="00DF1028">
          <w:rPr>
            <w:noProof/>
            <w:webHidden/>
          </w:rPr>
          <w:fldChar w:fldCharType="end"/>
        </w:r>
      </w:hyperlink>
    </w:p>
    <w:p w14:paraId="7FC15830" w14:textId="089A4F7F" w:rsidR="00C40C69" w:rsidRDefault="00964E16">
      <w:pPr>
        <w:pStyle w:val="TOC5"/>
        <w:rPr>
          <w:rFonts w:asciiTheme="minorHAnsi" w:eastAsiaTheme="minorEastAsia" w:hAnsiTheme="minorHAnsi" w:cstheme="minorBidi"/>
          <w:noProof/>
          <w:sz w:val="22"/>
          <w:szCs w:val="22"/>
        </w:rPr>
      </w:pPr>
      <w:hyperlink w:anchor="_Toc295823966" w:history="1">
        <w:r w:rsidR="00283CF1" w:rsidRPr="00355BDA">
          <w:rPr>
            <w:rStyle w:val="Hyperlink"/>
            <w:b/>
            <w:noProof/>
          </w:rPr>
          <w:t>Exhibit 5 (With Forms) – Unit Operating and Maintenance Costs per Respondent Information Collection Activity</w:t>
        </w:r>
        <w:r w:rsidR="00283CF1">
          <w:rPr>
            <w:noProof/>
            <w:webHidden/>
          </w:rPr>
          <w:tab/>
        </w:r>
        <w:r w:rsidR="00283CF1">
          <w:rPr>
            <w:noProof/>
            <w:webHidden/>
          </w:rPr>
          <w:fldChar w:fldCharType="begin"/>
        </w:r>
        <w:r w:rsidR="00283CF1">
          <w:rPr>
            <w:noProof/>
            <w:webHidden/>
          </w:rPr>
          <w:instrText xml:space="preserve"> PAGEREF _Toc295823966 \h </w:instrText>
        </w:r>
        <w:r w:rsidR="00283CF1">
          <w:rPr>
            <w:noProof/>
            <w:webHidden/>
          </w:rPr>
        </w:r>
        <w:r w:rsidR="00283CF1">
          <w:rPr>
            <w:noProof/>
            <w:webHidden/>
          </w:rPr>
          <w:fldChar w:fldCharType="separate"/>
        </w:r>
        <w:r w:rsidR="00B02D8E">
          <w:rPr>
            <w:noProof/>
            <w:webHidden/>
          </w:rPr>
          <w:t>35</w:t>
        </w:r>
        <w:r w:rsidR="00283CF1">
          <w:rPr>
            <w:noProof/>
            <w:webHidden/>
          </w:rPr>
          <w:fldChar w:fldCharType="end"/>
        </w:r>
      </w:hyperlink>
    </w:p>
    <w:p w14:paraId="37611ABB" w14:textId="49D70F7C" w:rsidR="00C40C69" w:rsidRDefault="00964E16">
      <w:pPr>
        <w:pStyle w:val="TOC5"/>
        <w:rPr>
          <w:rFonts w:asciiTheme="minorHAnsi" w:eastAsiaTheme="minorEastAsia" w:hAnsiTheme="minorHAnsi" w:cstheme="minorBidi"/>
          <w:noProof/>
          <w:sz w:val="22"/>
          <w:szCs w:val="22"/>
        </w:rPr>
      </w:pPr>
      <w:hyperlink w:anchor="_Toc295823967" w:history="1">
        <w:r w:rsidR="00C40C69" w:rsidRPr="00355BDA">
          <w:rPr>
            <w:rStyle w:val="Hyperlink"/>
            <w:b/>
            <w:noProof/>
          </w:rPr>
          <w:t>Exhibit 6 – Operating and Maintenance Costs for a Typical Facility</w:t>
        </w:r>
        <w:r w:rsidR="00C40C69">
          <w:rPr>
            <w:noProof/>
            <w:webHidden/>
          </w:rPr>
          <w:tab/>
        </w:r>
        <w:r w:rsidR="00DF1028">
          <w:rPr>
            <w:noProof/>
            <w:webHidden/>
          </w:rPr>
          <w:fldChar w:fldCharType="begin"/>
        </w:r>
        <w:r w:rsidR="00C40C69">
          <w:rPr>
            <w:noProof/>
            <w:webHidden/>
          </w:rPr>
          <w:instrText xml:space="preserve"> PAGEREF _Toc295823967 \h </w:instrText>
        </w:r>
        <w:r w:rsidR="00DF1028">
          <w:rPr>
            <w:noProof/>
            <w:webHidden/>
          </w:rPr>
        </w:r>
        <w:r w:rsidR="00DF1028">
          <w:rPr>
            <w:noProof/>
            <w:webHidden/>
          </w:rPr>
          <w:fldChar w:fldCharType="separate"/>
        </w:r>
        <w:r w:rsidR="00B02D8E">
          <w:rPr>
            <w:noProof/>
            <w:webHidden/>
          </w:rPr>
          <w:t>36</w:t>
        </w:r>
        <w:r w:rsidR="00DF1028">
          <w:rPr>
            <w:noProof/>
            <w:webHidden/>
          </w:rPr>
          <w:fldChar w:fldCharType="end"/>
        </w:r>
      </w:hyperlink>
    </w:p>
    <w:p w14:paraId="234B43FD" w14:textId="0EBF2B74" w:rsidR="00C40C69" w:rsidRDefault="00964E16">
      <w:pPr>
        <w:pStyle w:val="TOC5"/>
        <w:rPr>
          <w:rFonts w:asciiTheme="minorHAnsi" w:eastAsiaTheme="minorEastAsia" w:hAnsiTheme="minorHAnsi" w:cstheme="minorBidi"/>
          <w:noProof/>
          <w:sz w:val="22"/>
          <w:szCs w:val="22"/>
        </w:rPr>
      </w:pPr>
      <w:hyperlink w:anchor="_Toc295823968" w:history="1">
        <w:r w:rsidR="00283CF1" w:rsidRPr="00355BDA">
          <w:rPr>
            <w:rStyle w:val="Hyperlink"/>
            <w:b/>
            <w:noProof/>
          </w:rPr>
          <w:t>Exhibit 6 (With Forms) – Operating and Maintenance Costs for a Typical Facility</w:t>
        </w:r>
        <w:r w:rsidR="00283CF1">
          <w:rPr>
            <w:noProof/>
            <w:webHidden/>
          </w:rPr>
          <w:tab/>
        </w:r>
        <w:r w:rsidR="00283CF1">
          <w:rPr>
            <w:noProof/>
            <w:webHidden/>
          </w:rPr>
          <w:fldChar w:fldCharType="begin"/>
        </w:r>
        <w:r w:rsidR="00283CF1">
          <w:rPr>
            <w:noProof/>
            <w:webHidden/>
          </w:rPr>
          <w:instrText xml:space="preserve"> PAGEREF _Toc295823968 \h </w:instrText>
        </w:r>
        <w:r w:rsidR="00283CF1">
          <w:rPr>
            <w:noProof/>
            <w:webHidden/>
          </w:rPr>
        </w:r>
        <w:r w:rsidR="00283CF1">
          <w:rPr>
            <w:noProof/>
            <w:webHidden/>
          </w:rPr>
          <w:fldChar w:fldCharType="separate"/>
        </w:r>
        <w:r w:rsidR="00B02D8E">
          <w:rPr>
            <w:noProof/>
            <w:webHidden/>
          </w:rPr>
          <w:t>37</w:t>
        </w:r>
        <w:r w:rsidR="00283CF1">
          <w:rPr>
            <w:noProof/>
            <w:webHidden/>
          </w:rPr>
          <w:fldChar w:fldCharType="end"/>
        </w:r>
      </w:hyperlink>
    </w:p>
    <w:p w14:paraId="119288F3" w14:textId="24DB80B1" w:rsidR="00283CF1" w:rsidRDefault="00964E16" w:rsidP="00283CF1">
      <w:pPr>
        <w:pStyle w:val="TOC5"/>
        <w:rPr>
          <w:rFonts w:asciiTheme="minorHAnsi" w:eastAsiaTheme="minorEastAsia" w:hAnsiTheme="minorHAnsi" w:cstheme="minorBidi"/>
          <w:noProof/>
          <w:sz w:val="22"/>
          <w:szCs w:val="22"/>
        </w:rPr>
      </w:pPr>
      <w:hyperlink w:anchor="_Toc295823969" w:history="1">
        <w:r w:rsidR="00283CF1">
          <w:rPr>
            <w:rStyle w:val="Hyperlink"/>
            <w:b/>
            <w:noProof/>
          </w:rPr>
          <w:t>Exhibit 7</w:t>
        </w:r>
        <w:r w:rsidR="00283CF1" w:rsidRPr="00355BDA">
          <w:rPr>
            <w:rStyle w:val="Hyperlink"/>
            <w:b/>
            <w:noProof/>
          </w:rPr>
          <w:t xml:space="preserve"> – </w:t>
        </w:r>
        <w:r w:rsidR="00283CF1" w:rsidRPr="00283CF1">
          <w:rPr>
            <w:rStyle w:val="Hyperlink"/>
            <w:b/>
            <w:noProof/>
          </w:rPr>
          <w:t>Unit Labor and Operating and Maintenance Costs per Respondent Information Collection Activity</w:t>
        </w:r>
        <w:r w:rsidR="00283CF1">
          <w:rPr>
            <w:noProof/>
            <w:webHidden/>
          </w:rPr>
          <w:tab/>
          <w:t>38</w:t>
        </w:r>
      </w:hyperlink>
    </w:p>
    <w:p w14:paraId="550174E2" w14:textId="4BAC024D" w:rsidR="00C41407" w:rsidRPr="00283CF1" w:rsidRDefault="00964E16" w:rsidP="00283CF1">
      <w:pPr>
        <w:pStyle w:val="TOC5"/>
        <w:rPr>
          <w:rFonts w:asciiTheme="minorHAnsi" w:eastAsiaTheme="minorEastAsia" w:hAnsiTheme="minorHAnsi" w:cstheme="minorBidi"/>
          <w:noProof/>
          <w:sz w:val="22"/>
          <w:szCs w:val="22"/>
        </w:rPr>
      </w:pPr>
      <w:hyperlink w:anchor="_Toc295823969" w:history="1">
        <w:r w:rsidR="00283CF1">
          <w:rPr>
            <w:rStyle w:val="Hyperlink"/>
            <w:b/>
            <w:noProof/>
          </w:rPr>
          <w:t>Exhibit 7 (With Forms)</w:t>
        </w:r>
        <w:r w:rsidR="00283CF1" w:rsidRPr="00355BDA">
          <w:rPr>
            <w:rStyle w:val="Hyperlink"/>
            <w:b/>
            <w:noProof/>
          </w:rPr>
          <w:t xml:space="preserve"> – </w:t>
        </w:r>
        <w:r w:rsidR="00283CF1" w:rsidRPr="00283CF1">
          <w:rPr>
            <w:rStyle w:val="Hyperlink"/>
            <w:b/>
            <w:noProof/>
          </w:rPr>
          <w:t>Unit Labor and Operating and Maintenance Costs per Respondent Information Collection Activity</w:t>
        </w:r>
        <w:r w:rsidR="00283CF1">
          <w:rPr>
            <w:noProof/>
            <w:webHidden/>
          </w:rPr>
          <w:tab/>
          <w:t>39</w:t>
        </w:r>
      </w:hyperlink>
    </w:p>
    <w:p w14:paraId="197C0266" w14:textId="391616EA" w:rsidR="00C40C69" w:rsidRDefault="00964E16">
      <w:pPr>
        <w:pStyle w:val="TOC5"/>
        <w:rPr>
          <w:rFonts w:asciiTheme="minorHAnsi" w:eastAsiaTheme="minorEastAsia" w:hAnsiTheme="minorHAnsi" w:cstheme="minorBidi"/>
          <w:noProof/>
          <w:sz w:val="22"/>
          <w:szCs w:val="22"/>
        </w:rPr>
      </w:pPr>
      <w:hyperlink w:anchor="_Toc295823969" w:history="1">
        <w:r w:rsidR="00C40C69" w:rsidRPr="00355BDA">
          <w:rPr>
            <w:rStyle w:val="Hyperlink"/>
            <w:b/>
            <w:noProof/>
          </w:rPr>
          <w:t>Exhibit 8 – Labor and Operating and Maintenance Costs for a Typical Facility</w:t>
        </w:r>
        <w:r w:rsidR="00C40C69">
          <w:rPr>
            <w:noProof/>
            <w:webHidden/>
          </w:rPr>
          <w:tab/>
        </w:r>
        <w:r w:rsidR="00DF1028">
          <w:rPr>
            <w:noProof/>
            <w:webHidden/>
          </w:rPr>
          <w:fldChar w:fldCharType="begin"/>
        </w:r>
        <w:r w:rsidR="00C40C69">
          <w:rPr>
            <w:noProof/>
            <w:webHidden/>
          </w:rPr>
          <w:instrText xml:space="preserve"> PAGEREF _Toc295823969 \h </w:instrText>
        </w:r>
        <w:r w:rsidR="00DF1028">
          <w:rPr>
            <w:noProof/>
            <w:webHidden/>
          </w:rPr>
        </w:r>
        <w:r w:rsidR="00DF1028">
          <w:rPr>
            <w:noProof/>
            <w:webHidden/>
          </w:rPr>
          <w:fldChar w:fldCharType="separate"/>
        </w:r>
        <w:r w:rsidR="00B02D8E">
          <w:rPr>
            <w:noProof/>
            <w:webHidden/>
          </w:rPr>
          <w:t>40</w:t>
        </w:r>
        <w:r w:rsidR="00DF1028">
          <w:rPr>
            <w:noProof/>
            <w:webHidden/>
          </w:rPr>
          <w:fldChar w:fldCharType="end"/>
        </w:r>
      </w:hyperlink>
    </w:p>
    <w:p w14:paraId="4574D374" w14:textId="2245A5C0" w:rsidR="00C40C69" w:rsidRDefault="00964E16">
      <w:pPr>
        <w:pStyle w:val="TOC5"/>
        <w:rPr>
          <w:rFonts w:asciiTheme="minorHAnsi" w:eastAsiaTheme="minorEastAsia" w:hAnsiTheme="minorHAnsi" w:cstheme="minorBidi"/>
          <w:noProof/>
          <w:sz w:val="22"/>
          <w:szCs w:val="22"/>
        </w:rPr>
      </w:pPr>
      <w:hyperlink w:anchor="_Toc295823970" w:history="1">
        <w:r w:rsidR="00C40C69" w:rsidRPr="00355BDA">
          <w:rPr>
            <w:rStyle w:val="Hyperlink"/>
            <w:b/>
            <w:noProof/>
          </w:rPr>
          <w:t xml:space="preserve">Exhibit 8 </w:t>
        </w:r>
        <w:r w:rsidR="00283CF1" w:rsidRPr="00283CF1">
          <w:rPr>
            <w:rStyle w:val="Hyperlink"/>
            <w:b/>
            <w:noProof/>
          </w:rPr>
          <w:t xml:space="preserve">– </w:t>
        </w:r>
        <w:r w:rsidR="00C40C69" w:rsidRPr="00355BDA">
          <w:rPr>
            <w:rStyle w:val="Hyperlink"/>
            <w:b/>
            <w:noProof/>
          </w:rPr>
          <w:t>(With Forms) – Labor and Operating and Maintenance Costs for a Typical Facility</w:t>
        </w:r>
        <w:r w:rsidR="00C40C69">
          <w:rPr>
            <w:noProof/>
            <w:webHidden/>
          </w:rPr>
          <w:tab/>
        </w:r>
        <w:r w:rsidR="00DF1028">
          <w:rPr>
            <w:noProof/>
            <w:webHidden/>
          </w:rPr>
          <w:fldChar w:fldCharType="begin"/>
        </w:r>
        <w:r w:rsidR="00C40C69">
          <w:rPr>
            <w:noProof/>
            <w:webHidden/>
          </w:rPr>
          <w:instrText xml:space="preserve"> PAGEREF _Toc295823970 \h </w:instrText>
        </w:r>
        <w:r w:rsidR="00DF1028">
          <w:rPr>
            <w:noProof/>
            <w:webHidden/>
          </w:rPr>
        </w:r>
        <w:r w:rsidR="00DF1028">
          <w:rPr>
            <w:noProof/>
            <w:webHidden/>
          </w:rPr>
          <w:fldChar w:fldCharType="separate"/>
        </w:r>
        <w:r w:rsidR="00B02D8E">
          <w:rPr>
            <w:noProof/>
            <w:webHidden/>
          </w:rPr>
          <w:t>41</w:t>
        </w:r>
        <w:r w:rsidR="00DF1028">
          <w:rPr>
            <w:noProof/>
            <w:webHidden/>
          </w:rPr>
          <w:fldChar w:fldCharType="end"/>
        </w:r>
      </w:hyperlink>
    </w:p>
    <w:p w14:paraId="2DE0DF29" w14:textId="0FA1C47D" w:rsidR="00C40C69" w:rsidRDefault="00964E16">
      <w:pPr>
        <w:pStyle w:val="TOC2"/>
        <w:tabs>
          <w:tab w:val="left" w:pos="1080"/>
        </w:tabs>
        <w:rPr>
          <w:rFonts w:asciiTheme="minorHAnsi" w:eastAsiaTheme="minorEastAsia" w:hAnsiTheme="minorHAnsi" w:cstheme="minorBidi"/>
          <w:noProof/>
          <w:sz w:val="22"/>
          <w:szCs w:val="22"/>
        </w:rPr>
      </w:pPr>
      <w:hyperlink w:anchor="_Toc295823971" w:history="1">
        <w:r w:rsidR="00C40C69" w:rsidRPr="00355BDA">
          <w:rPr>
            <w:rStyle w:val="Hyperlink"/>
            <w:noProof/>
          </w:rPr>
          <w:t>6c.</w:t>
        </w:r>
        <w:r w:rsidR="00C40C69">
          <w:rPr>
            <w:rFonts w:asciiTheme="minorHAnsi" w:eastAsiaTheme="minorEastAsia" w:hAnsiTheme="minorHAnsi" w:cstheme="minorBidi"/>
            <w:noProof/>
            <w:sz w:val="22"/>
            <w:szCs w:val="22"/>
          </w:rPr>
          <w:tab/>
        </w:r>
        <w:r w:rsidR="00C40C69" w:rsidRPr="00355BDA">
          <w:rPr>
            <w:rStyle w:val="Hyperlink"/>
            <w:noProof/>
          </w:rPr>
          <w:t>Estimating Agency Burden and Cost</w:t>
        </w:r>
        <w:r w:rsidR="00C40C69">
          <w:rPr>
            <w:noProof/>
            <w:webHidden/>
          </w:rPr>
          <w:tab/>
        </w:r>
        <w:r w:rsidR="00DF1028">
          <w:rPr>
            <w:noProof/>
            <w:webHidden/>
          </w:rPr>
          <w:fldChar w:fldCharType="begin"/>
        </w:r>
        <w:r w:rsidR="00C40C69">
          <w:rPr>
            <w:noProof/>
            <w:webHidden/>
          </w:rPr>
          <w:instrText xml:space="preserve"> PAGEREF _Toc295823971 \h </w:instrText>
        </w:r>
        <w:r w:rsidR="00DF1028">
          <w:rPr>
            <w:noProof/>
            <w:webHidden/>
          </w:rPr>
        </w:r>
        <w:r w:rsidR="00DF1028">
          <w:rPr>
            <w:noProof/>
            <w:webHidden/>
          </w:rPr>
          <w:fldChar w:fldCharType="separate"/>
        </w:r>
        <w:r w:rsidR="00B02D8E">
          <w:rPr>
            <w:noProof/>
            <w:webHidden/>
          </w:rPr>
          <w:t>41</w:t>
        </w:r>
        <w:r w:rsidR="00DF1028">
          <w:rPr>
            <w:noProof/>
            <w:webHidden/>
          </w:rPr>
          <w:fldChar w:fldCharType="end"/>
        </w:r>
      </w:hyperlink>
    </w:p>
    <w:p w14:paraId="26DDEF74" w14:textId="0E573F24" w:rsidR="00C40C69" w:rsidRDefault="00964E16">
      <w:pPr>
        <w:pStyle w:val="TOC5"/>
        <w:rPr>
          <w:rFonts w:asciiTheme="minorHAnsi" w:eastAsiaTheme="minorEastAsia" w:hAnsiTheme="minorHAnsi" w:cstheme="minorBidi"/>
          <w:noProof/>
          <w:sz w:val="22"/>
          <w:szCs w:val="22"/>
        </w:rPr>
      </w:pPr>
      <w:hyperlink w:anchor="_Toc295823972" w:history="1">
        <w:r w:rsidR="00C40C69" w:rsidRPr="00355BDA">
          <w:rPr>
            <w:rStyle w:val="Hyperlink"/>
            <w:b/>
            <w:noProof/>
          </w:rPr>
          <w:t>Exhibit 9 – Unit Burden Hours and Costs Incurred by the Government per Information Collection Activity</w:t>
        </w:r>
        <w:r w:rsidR="00C40C69">
          <w:rPr>
            <w:noProof/>
            <w:webHidden/>
          </w:rPr>
          <w:tab/>
        </w:r>
        <w:r w:rsidR="00DF1028">
          <w:rPr>
            <w:noProof/>
            <w:webHidden/>
          </w:rPr>
          <w:fldChar w:fldCharType="begin"/>
        </w:r>
        <w:r w:rsidR="00C40C69">
          <w:rPr>
            <w:noProof/>
            <w:webHidden/>
          </w:rPr>
          <w:instrText xml:space="preserve"> PAGEREF _Toc295823972 \h </w:instrText>
        </w:r>
        <w:r w:rsidR="00DF1028">
          <w:rPr>
            <w:noProof/>
            <w:webHidden/>
          </w:rPr>
        </w:r>
        <w:r w:rsidR="00DF1028">
          <w:rPr>
            <w:noProof/>
            <w:webHidden/>
          </w:rPr>
          <w:fldChar w:fldCharType="separate"/>
        </w:r>
        <w:r w:rsidR="00B02D8E">
          <w:rPr>
            <w:noProof/>
            <w:webHidden/>
          </w:rPr>
          <w:t>42</w:t>
        </w:r>
        <w:r w:rsidR="00DF1028">
          <w:rPr>
            <w:noProof/>
            <w:webHidden/>
          </w:rPr>
          <w:fldChar w:fldCharType="end"/>
        </w:r>
      </w:hyperlink>
    </w:p>
    <w:p w14:paraId="2B37FA87" w14:textId="4FDD6A83" w:rsidR="00C40C69" w:rsidRDefault="00964E16">
      <w:pPr>
        <w:pStyle w:val="TOC5"/>
        <w:rPr>
          <w:rFonts w:asciiTheme="minorHAnsi" w:eastAsiaTheme="minorEastAsia" w:hAnsiTheme="minorHAnsi" w:cstheme="minorBidi"/>
          <w:noProof/>
          <w:sz w:val="22"/>
          <w:szCs w:val="22"/>
        </w:rPr>
      </w:pPr>
      <w:hyperlink w:anchor="_Toc295823973" w:history="1">
        <w:r w:rsidR="00C40C69" w:rsidRPr="00355BDA">
          <w:rPr>
            <w:rStyle w:val="Hyperlink"/>
            <w:b/>
            <w:noProof/>
          </w:rPr>
          <w:t>Exhibit 9 (With Forms) – Unit Burden Hours and Costs Incurred by the Government per Information Collection Activity</w:t>
        </w:r>
        <w:r w:rsidR="00C40C69">
          <w:rPr>
            <w:noProof/>
            <w:webHidden/>
          </w:rPr>
          <w:tab/>
        </w:r>
        <w:r w:rsidR="00DF1028">
          <w:rPr>
            <w:noProof/>
            <w:webHidden/>
          </w:rPr>
          <w:fldChar w:fldCharType="begin"/>
        </w:r>
        <w:r w:rsidR="00C40C69">
          <w:rPr>
            <w:noProof/>
            <w:webHidden/>
          </w:rPr>
          <w:instrText xml:space="preserve"> PAGEREF _Toc295823973 \h </w:instrText>
        </w:r>
        <w:r w:rsidR="00DF1028">
          <w:rPr>
            <w:noProof/>
            <w:webHidden/>
          </w:rPr>
        </w:r>
        <w:r w:rsidR="00DF1028">
          <w:rPr>
            <w:noProof/>
            <w:webHidden/>
          </w:rPr>
          <w:fldChar w:fldCharType="separate"/>
        </w:r>
        <w:r w:rsidR="00B02D8E">
          <w:rPr>
            <w:noProof/>
            <w:webHidden/>
          </w:rPr>
          <w:t>43</w:t>
        </w:r>
        <w:r w:rsidR="00DF1028">
          <w:rPr>
            <w:noProof/>
            <w:webHidden/>
          </w:rPr>
          <w:fldChar w:fldCharType="end"/>
        </w:r>
      </w:hyperlink>
    </w:p>
    <w:p w14:paraId="1D92C82A" w14:textId="0BE42403" w:rsidR="00C40C69" w:rsidRDefault="00964E16">
      <w:pPr>
        <w:pStyle w:val="TOC2"/>
        <w:tabs>
          <w:tab w:val="left" w:pos="1080"/>
        </w:tabs>
        <w:rPr>
          <w:rFonts w:asciiTheme="minorHAnsi" w:eastAsiaTheme="minorEastAsia" w:hAnsiTheme="minorHAnsi" w:cstheme="minorBidi"/>
          <w:noProof/>
          <w:sz w:val="22"/>
          <w:szCs w:val="22"/>
        </w:rPr>
      </w:pPr>
      <w:hyperlink w:anchor="_Toc295823974" w:history="1">
        <w:r w:rsidR="00C40C69" w:rsidRPr="00355BDA">
          <w:rPr>
            <w:rStyle w:val="Hyperlink"/>
            <w:noProof/>
          </w:rPr>
          <w:t>6d.</w:t>
        </w:r>
        <w:r w:rsidR="00C40C69">
          <w:rPr>
            <w:rFonts w:asciiTheme="minorHAnsi" w:eastAsiaTheme="minorEastAsia" w:hAnsiTheme="minorHAnsi" w:cstheme="minorBidi"/>
            <w:noProof/>
            <w:sz w:val="22"/>
            <w:szCs w:val="22"/>
          </w:rPr>
          <w:tab/>
        </w:r>
        <w:r w:rsidR="00C40C69" w:rsidRPr="00355BDA">
          <w:rPr>
            <w:rStyle w:val="Hyperlink"/>
            <w:noProof/>
          </w:rPr>
          <w:t>Estimating the Respondent Universe and Total Burden and Cost</w:t>
        </w:r>
        <w:r w:rsidR="00C40C69">
          <w:rPr>
            <w:noProof/>
            <w:webHidden/>
          </w:rPr>
          <w:tab/>
        </w:r>
        <w:r w:rsidR="00DF1028">
          <w:rPr>
            <w:noProof/>
            <w:webHidden/>
          </w:rPr>
          <w:fldChar w:fldCharType="begin"/>
        </w:r>
        <w:r w:rsidR="00C40C69">
          <w:rPr>
            <w:noProof/>
            <w:webHidden/>
          </w:rPr>
          <w:instrText xml:space="preserve"> PAGEREF _Toc295823974 \h </w:instrText>
        </w:r>
        <w:r w:rsidR="00DF1028">
          <w:rPr>
            <w:noProof/>
            <w:webHidden/>
          </w:rPr>
        </w:r>
        <w:r w:rsidR="00DF1028">
          <w:rPr>
            <w:noProof/>
            <w:webHidden/>
          </w:rPr>
          <w:fldChar w:fldCharType="separate"/>
        </w:r>
        <w:r w:rsidR="00B02D8E">
          <w:rPr>
            <w:noProof/>
            <w:webHidden/>
          </w:rPr>
          <w:t>46</w:t>
        </w:r>
        <w:r w:rsidR="00DF1028">
          <w:rPr>
            <w:noProof/>
            <w:webHidden/>
          </w:rPr>
          <w:fldChar w:fldCharType="end"/>
        </w:r>
      </w:hyperlink>
    </w:p>
    <w:p w14:paraId="2315B2CD" w14:textId="2BFA4096" w:rsidR="00C40C69" w:rsidRDefault="00964E16">
      <w:pPr>
        <w:pStyle w:val="TOC5"/>
        <w:rPr>
          <w:rFonts w:asciiTheme="minorHAnsi" w:eastAsiaTheme="minorEastAsia" w:hAnsiTheme="minorHAnsi" w:cstheme="minorBidi"/>
          <w:noProof/>
          <w:sz w:val="22"/>
          <w:szCs w:val="22"/>
        </w:rPr>
      </w:pPr>
      <w:hyperlink w:anchor="_Toc295823975" w:history="1">
        <w:r w:rsidR="00500D55" w:rsidRPr="00355BDA">
          <w:rPr>
            <w:rStyle w:val="Hyperlink"/>
            <w:b/>
            <w:noProof/>
          </w:rPr>
          <w:t>Exhibit 10 – Number of Facilities and Hazardous Substance Releases Already Affected by the CRRR</w:t>
        </w:r>
        <w:r w:rsidR="00500D55">
          <w:rPr>
            <w:noProof/>
            <w:webHidden/>
          </w:rPr>
          <w:tab/>
          <w:t>47</w:t>
        </w:r>
      </w:hyperlink>
    </w:p>
    <w:p w14:paraId="12791726" w14:textId="0643FBB1" w:rsidR="00C40C69" w:rsidRDefault="00964E16">
      <w:pPr>
        <w:pStyle w:val="TOC5"/>
        <w:rPr>
          <w:rFonts w:asciiTheme="minorHAnsi" w:eastAsiaTheme="minorEastAsia" w:hAnsiTheme="minorHAnsi" w:cstheme="minorBidi"/>
          <w:noProof/>
          <w:sz w:val="22"/>
          <w:szCs w:val="22"/>
        </w:rPr>
      </w:pPr>
      <w:hyperlink w:anchor="_Toc295823976" w:history="1">
        <w:r w:rsidR="00C40C69" w:rsidRPr="00355BDA">
          <w:rPr>
            <w:rStyle w:val="Hyperlink"/>
            <w:b/>
            <w:noProof/>
          </w:rPr>
          <w:t>Exhibit 11 – Number of Facilities and Hazardous Substance Releases That Will Be Affected by the CRRR in the Next Three Years</w:t>
        </w:r>
        <w:r w:rsidR="00C40C69">
          <w:rPr>
            <w:noProof/>
            <w:webHidden/>
          </w:rPr>
          <w:tab/>
        </w:r>
        <w:r w:rsidR="00DF1028">
          <w:rPr>
            <w:noProof/>
            <w:webHidden/>
          </w:rPr>
          <w:fldChar w:fldCharType="begin"/>
        </w:r>
        <w:r w:rsidR="00C40C69">
          <w:rPr>
            <w:noProof/>
            <w:webHidden/>
          </w:rPr>
          <w:instrText xml:space="preserve"> PAGEREF _Toc295823976 \h </w:instrText>
        </w:r>
        <w:r w:rsidR="00DF1028">
          <w:rPr>
            <w:noProof/>
            <w:webHidden/>
          </w:rPr>
        </w:r>
        <w:r w:rsidR="00DF1028">
          <w:rPr>
            <w:noProof/>
            <w:webHidden/>
          </w:rPr>
          <w:fldChar w:fldCharType="separate"/>
        </w:r>
        <w:r w:rsidR="00B02D8E">
          <w:rPr>
            <w:noProof/>
            <w:webHidden/>
          </w:rPr>
          <w:t>47</w:t>
        </w:r>
        <w:r w:rsidR="00DF1028">
          <w:rPr>
            <w:noProof/>
            <w:webHidden/>
          </w:rPr>
          <w:fldChar w:fldCharType="end"/>
        </w:r>
      </w:hyperlink>
    </w:p>
    <w:p w14:paraId="4A79DAE1" w14:textId="2CB49EC6" w:rsidR="00C40C69" w:rsidRDefault="00964E16">
      <w:pPr>
        <w:pStyle w:val="TOC2"/>
        <w:tabs>
          <w:tab w:val="left" w:pos="1080"/>
        </w:tabs>
        <w:rPr>
          <w:rFonts w:asciiTheme="minorHAnsi" w:eastAsiaTheme="minorEastAsia" w:hAnsiTheme="minorHAnsi" w:cstheme="minorBidi"/>
          <w:noProof/>
          <w:sz w:val="22"/>
          <w:szCs w:val="22"/>
        </w:rPr>
      </w:pPr>
      <w:hyperlink w:anchor="_Toc295823977" w:history="1">
        <w:r w:rsidR="00C40C69" w:rsidRPr="00355BDA">
          <w:rPr>
            <w:rStyle w:val="Hyperlink"/>
            <w:noProof/>
          </w:rPr>
          <w:t>6e.</w:t>
        </w:r>
        <w:r w:rsidR="00C40C69">
          <w:rPr>
            <w:rFonts w:asciiTheme="minorHAnsi" w:eastAsiaTheme="minorEastAsia" w:hAnsiTheme="minorHAnsi" w:cstheme="minorBidi"/>
            <w:noProof/>
            <w:sz w:val="22"/>
            <w:szCs w:val="22"/>
          </w:rPr>
          <w:tab/>
        </w:r>
        <w:r w:rsidR="00C40C69" w:rsidRPr="00355BDA">
          <w:rPr>
            <w:rStyle w:val="Hyperlink"/>
            <w:noProof/>
          </w:rPr>
          <w:t>Bottom Line Burden Hours and Cost Tables</w:t>
        </w:r>
        <w:r w:rsidR="00C40C69">
          <w:rPr>
            <w:noProof/>
            <w:webHidden/>
          </w:rPr>
          <w:tab/>
        </w:r>
        <w:r w:rsidR="00DF1028">
          <w:rPr>
            <w:noProof/>
            <w:webHidden/>
          </w:rPr>
          <w:fldChar w:fldCharType="begin"/>
        </w:r>
        <w:r w:rsidR="00C40C69">
          <w:rPr>
            <w:noProof/>
            <w:webHidden/>
          </w:rPr>
          <w:instrText xml:space="preserve"> PAGEREF _Toc295823977 \h </w:instrText>
        </w:r>
        <w:r w:rsidR="00DF1028">
          <w:rPr>
            <w:noProof/>
            <w:webHidden/>
          </w:rPr>
        </w:r>
        <w:r w:rsidR="00DF1028">
          <w:rPr>
            <w:noProof/>
            <w:webHidden/>
          </w:rPr>
          <w:fldChar w:fldCharType="separate"/>
        </w:r>
        <w:r w:rsidR="00B02D8E">
          <w:rPr>
            <w:noProof/>
            <w:webHidden/>
          </w:rPr>
          <w:t>47</w:t>
        </w:r>
        <w:r w:rsidR="00DF1028">
          <w:rPr>
            <w:noProof/>
            <w:webHidden/>
          </w:rPr>
          <w:fldChar w:fldCharType="end"/>
        </w:r>
      </w:hyperlink>
    </w:p>
    <w:p w14:paraId="3FCECDEB" w14:textId="18E8C6A1" w:rsidR="00C40C69" w:rsidRDefault="00964E16">
      <w:pPr>
        <w:pStyle w:val="TOC3"/>
        <w:rPr>
          <w:rFonts w:asciiTheme="minorHAnsi" w:eastAsiaTheme="minorEastAsia" w:hAnsiTheme="minorHAnsi" w:cstheme="minorBidi"/>
          <w:noProof/>
          <w:sz w:val="22"/>
          <w:szCs w:val="22"/>
        </w:rPr>
      </w:pPr>
      <w:hyperlink w:anchor="_Toc295823978" w:history="1">
        <w:r w:rsidR="00500D55" w:rsidRPr="00355BDA">
          <w:rPr>
            <w:rStyle w:val="Hyperlink"/>
            <w:noProof/>
          </w:rPr>
          <w:t>i.</w:t>
        </w:r>
        <w:r w:rsidR="00500D55">
          <w:rPr>
            <w:rFonts w:asciiTheme="minorHAnsi" w:eastAsiaTheme="minorEastAsia" w:hAnsiTheme="minorHAnsi" w:cstheme="minorBidi"/>
            <w:noProof/>
            <w:sz w:val="22"/>
            <w:szCs w:val="22"/>
          </w:rPr>
          <w:tab/>
        </w:r>
        <w:r w:rsidR="00500D55" w:rsidRPr="00355BDA">
          <w:rPr>
            <w:rStyle w:val="Hyperlink"/>
            <w:noProof/>
          </w:rPr>
          <w:t>Respondent Tally</w:t>
        </w:r>
        <w:r w:rsidR="00500D55">
          <w:rPr>
            <w:noProof/>
            <w:webHidden/>
          </w:rPr>
          <w:tab/>
          <w:t>47</w:t>
        </w:r>
      </w:hyperlink>
    </w:p>
    <w:p w14:paraId="7BBE8496" w14:textId="2410FBA3" w:rsidR="00C40C69" w:rsidRDefault="00964E16">
      <w:pPr>
        <w:pStyle w:val="TOC5"/>
        <w:rPr>
          <w:rFonts w:asciiTheme="minorHAnsi" w:eastAsiaTheme="minorEastAsia" w:hAnsiTheme="minorHAnsi" w:cstheme="minorBidi"/>
          <w:noProof/>
          <w:sz w:val="22"/>
          <w:szCs w:val="22"/>
        </w:rPr>
      </w:pPr>
      <w:hyperlink w:anchor="_Toc295823979" w:history="1">
        <w:r w:rsidR="00500D55" w:rsidRPr="00355BDA">
          <w:rPr>
            <w:rStyle w:val="Hyperlink"/>
            <w:b/>
            <w:noProof/>
          </w:rPr>
          <w:t>Exhibit 12 – Annual Burden Hours and Costs Incurred by Industry</w:t>
        </w:r>
        <w:r w:rsidR="00500D55">
          <w:rPr>
            <w:noProof/>
            <w:webHidden/>
          </w:rPr>
          <w:tab/>
          <w:t>49</w:t>
        </w:r>
      </w:hyperlink>
    </w:p>
    <w:p w14:paraId="56F174FD" w14:textId="4A9F6CA7" w:rsidR="00C40C69" w:rsidRDefault="00964E16">
      <w:pPr>
        <w:pStyle w:val="TOC5"/>
        <w:rPr>
          <w:rFonts w:asciiTheme="minorHAnsi" w:eastAsiaTheme="minorEastAsia" w:hAnsiTheme="minorHAnsi" w:cstheme="minorBidi"/>
          <w:noProof/>
          <w:sz w:val="22"/>
          <w:szCs w:val="22"/>
        </w:rPr>
      </w:pPr>
      <w:hyperlink w:anchor="_Toc295823980" w:history="1">
        <w:r w:rsidR="00500D55" w:rsidRPr="00355BDA">
          <w:rPr>
            <w:rStyle w:val="Hyperlink"/>
            <w:b/>
            <w:noProof/>
          </w:rPr>
          <w:t>Exhibit 12 (With Forms) – Annual Burden Hours and Costs Incurred by Industry</w:t>
        </w:r>
        <w:r w:rsidR="00500D55">
          <w:rPr>
            <w:noProof/>
            <w:webHidden/>
          </w:rPr>
          <w:tab/>
          <w:t>50</w:t>
        </w:r>
      </w:hyperlink>
    </w:p>
    <w:p w14:paraId="0821E98D" w14:textId="1DFEB42C" w:rsidR="00C40C69" w:rsidRDefault="00964E16">
      <w:pPr>
        <w:pStyle w:val="TOC3"/>
        <w:rPr>
          <w:rFonts w:asciiTheme="minorHAnsi" w:eastAsiaTheme="minorEastAsia" w:hAnsiTheme="minorHAnsi" w:cstheme="minorBidi"/>
          <w:noProof/>
          <w:sz w:val="22"/>
          <w:szCs w:val="22"/>
        </w:rPr>
      </w:pPr>
      <w:hyperlink w:anchor="_Toc295823981" w:history="1">
        <w:r w:rsidR="00500D55" w:rsidRPr="00355BDA">
          <w:rPr>
            <w:rStyle w:val="Hyperlink"/>
            <w:noProof/>
          </w:rPr>
          <w:t>ii.</w:t>
        </w:r>
        <w:r w:rsidR="00500D55">
          <w:rPr>
            <w:rFonts w:asciiTheme="minorHAnsi" w:eastAsiaTheme="minorEastAsia" w:hAnsiTheme="minorHAnsi" w:cstheme="minorBidi"/>
            <w:noProof/>
            <w:sz w:val="22"/>
            <w:szCs w:val="22"/>
          </w:rPr>
          <w:tab/>
        </w:r>
        <w:r w:rsidR="00500D55" w:rsidRPr="00355BDA">
          <w:rPr>
            <w:rStyle w:val="Hyperlink"/>
            <w:noProof/>
          </w:rPr>
          <w:t>The Agency Tally</w:t>
        </w:r>
        <w:r w:rsidR="00500D55">
          <w:rPr>
            <w:noProof/>
            <w:webHidden/>
          </w:rPr>
          <w:tab/>
        </w:r>
        <w:r w:rsidR="00500D55">
          <w:rPr>
            <w:noProof/>
            <w:webHidden/>
          </w:rPr>
          <w:fldChar w:fldCharType="begin"/>
        </w:r>
        <w:r w:rsidR="00500D55">
          <w:rPr>
            <w:noProof/>
            <w:webHidden/>
          </w:rPr>
          <w:instrText xml:space="preserve"> PAGEREF _Toc295823981 \h </w:instrText>
        </w:r>
        <w:r w:rsidR="00500D55">
          <w:rPr>
            <w:noProof/>
            <w:webHidden/>
          </w:rPr>
        </w:r>
        <w:r w:rsidR="00500D55">
          <w:rPr>
            <w:noProof/>
            <w:webHidden/>
          </w:rPr>
          <w:fldChar w:fldCharType="separate"/>
        </w:r>
        <w:r w:rsidR="00B02D8E">
          <w:rPr>
            <w:noProof/>
            <w:webHidden/>
          </w:rPr>
          <w:t>51</w:t>
        </w:r>
        <w:r w:rsidR="00500D55">
          <w:rPr>
            <w:noProof/>
            <w:webHidden/>
          </w:rPr>
          <w:fldChar w:fldCharType="end"/>
        </w:r>
      </w:hyperlink>
    </w:p>
    <w:p w14:paraId="18097F52" w14:textId="3B1F9CB1" w:rsidR="00C40C69" w:rsidRDefault="00964E16">
      <w:pPr>
        <w:pStyle w:val="TOC5"/>
        <w:rPr>
          <w:rFonts w:asciiTheme="minorHAnsi" w:eastAsiaTheme="minorEastAsia" w:hAnsiTheme="minorHAnsi" w:cstheme="minorBidi"/>
          <w:noProof/>
          <w:sz w:val="22"/>
          <w:szCs w:val="22"/>
        </w:rPr>
      </w:pPr>
      <w:hyperlink w:anchor="_Toc295823982" w:history="1">
        <w:r w:rsidR="00500D55" w:rsidRPr="00355BDA">
          <w:rPr>
            <w:rStyle w:val="Hyperlink"/>
            <w:b/>
            <w:noProof/>
          </w:rPr>
          <w:t>Exhibit 13 – Annual Burden Hours and Costs Incurred by Government</w:t>
        </w:r>
        <w:r w:rsidR="00500D55">
          <w:rPr>
            <w:noProof/>
            <w:webHidden/>
          </w:rPr>
          <w:tab/>
          <w:t>52</w:t>
        </w:r>
      </w:hyperlink>
    </w:p>
    <w:p w14:paraId="3F663000" w14:textId="5DBE64D1" w:rsidR="00C40C69" w:rsidRDefault="00964E16">
      <w:pPr>
        <w:pStyle w:val="TOC5"/>
        <w:rPr>
          <w:rFonts w:asciiTheme="minorHAnsi" w:eastAsiaTheme="minorEastAsia" w:hAnsiTheme="minorHAnsi" w:cstheme="minorBidi"/>
          <w:noProof/>
          <w:sz w:val="22"/>
          <w:szCs w:val="22"/>
        </w:rPr>
      </w:pPr>
      <w:hyperlink w:anchor="_Toc295823983" w:history="1">
        <w:r w:rsidR="00500D55" w:rsidRPr="00355BDA">
          <w:rPr>
            <w:rStyle w:val="Hyperlink"/>
            <w:b/>
            <w:noProof/>
          </w:rPr>
          <w:t>Exhibit 13 (With Forms) – Annual Burden Hours and Costs Incurred by Government</w:t>
        </w:r>
        <w:r w:rsidR="00500D55">
          <w:rPr>
            <w:noProof/>
            <w:webHidden/>
          </w:rPr>
          <w:tab/>
          <w:t>53</w:t>
        </w:r>
      </w:hyperlink>
    </w:p>
    <w:p w14:paraId="4E4C4737" w14:textId="6352BEDF" w:rsidR="00C40C69" w:rsidRDefault="00964E16">
      <w:pPr>
        <w:pStyle w:val="TOC3"/>
        <w:rPr>
          <w:rFonts w:asciiTheme="minorHAnsi" w:eastAsiaTheme="minorEastAsia" w:hAnsiTheme="minorHAnsi" w:cstheme="minorBidi"/>
          <w:noProof/>
          <w:sz w:val="22"/>
          <w:szCs w:val="22"/>
        </w:rPr>
      </w:pPr>
      <w:hyperlink w:anchor="_Toc295823984" w:history="1">
        <w:r w:rsidR="00500D55" w:rsidRPr="00355BDA">
          <w:rPr>
            <w:rStyle w:val="Hyperlink"/>
            <w:noProof/>
          </w:rPr>
          <w:t>iii.</w:t>
        </w:r>
        <w:r w:rsidR="00500D55">
          <w:rPr>
            <w:rFonts w:asciiTheme="minorHAnsi" w:eastAsiaTheme="minorEastAsia" w:hAnsiTheme="minorHAnsi" w:cstheme="minorBidi"/>
            <w:noProof/>
            <w:sz w:val="22"/>
            <w:szCs w:val="22"/>
          </w:rPr>
          <w:tab/>
        </w:r>
        <w:r w:rsidR="00500D55" w:rsidRPr="00355BDA">
          <w:rPr>
            <w:rStyle w:val="Hyperlink"/>
            <w:noProof/>
          </w:rPr>
          <w:t>Variations in the Annual Bottom Line</w:t>
        </w:r>
        <w:r w:rsidR="00500D55">
          <w:rPr>
            <w:noProof/>
            <w:webHidden/>
          </w:rPr>
          <w:tab/>
          <w:t>53</w:t>
        </w:r>
      </w:hyperlink>
    </w:p>
    <w:p w14:paraId="5F54F34D" w14:textId="77F1B68D" w:rsidR="00C40C69" w:rsidRDefault="00964E16">
      <w:pPr>
        <w:pStyle w:val="TOC5"/>
        <w:rPr>
          <w:rFonts w:asciiTheme="minorHAnsi" w:eastAsiaTheme="minorEastAsia" w:hAnsiTheme="minorHAnsi" w:cstheme="minorBidi"/>
          <w:noProof/>
          <w:sz w:val="22"/>
          <w:szCs w:val="22"/>
        </w:rPr>
      </w:pPr>
      <w:hyperlink w:anchor="_Toc295823985" w:history="1">
        <w:r w:rsidR="00F02544" w:rsidRPr="00355BDA">
          <w:rPr>
            <w:rStyle w:val="Hyperlink"/>
            <w:b/>
            <w:noProof/>
          </w:rPr>
          <w:t>Exhibit 14 – Summary of Burden Hours and Costs Incurred by Industry</w:t>
        </w:r>
        <w:r w:rsidR="00F02544">
          <w:rPr>
            <w:noProof/>
            <w:webHidden/>
          </w:rPr>
          <w:tab/>
          <w:t>54</w:t>
        </w:r>
      </w:hyperlink>
    </w:p>
    <w:p w14:paraId="5906C782" w14:textId="5DD56662" w:rsidR="00C40C69" w:rsidRDefault="00964E16">
      <w:pPr>
        <w:pStyle w:val="TOC5"/>
        <w:rPr>
          <w:rFonts w:asciiTheme="minorHAnsi" w:eastAsiaTheme="minorEastAsia" w:hAnsiTheme="minorHAnsi" w:cstheme="minorBidi"/>
          <w:noProof/>
          <w:sz w:val="22"/>
          <w:szCs w:val="22"/>
        </w:rPr>
      </w:pPr>
      <w:hyperlink w:anchor="_Toc295823986" w:history="1">
        <w:r w:rsidR="00F02544" w:rsidRPr="00355BDA">
          <w:rPr>
            <w:rStyle w:val="Hyperlink"/>
            <w:b/>
            <w:noProof/>
          </w:rPr>
          <w:t>Exhibit 14 (With Forms) – Summary of Burden Hours and Costs Incurred by Industry</w:t>
        </w:r>
        <w:r w:rsidR="00F02544">
          <w:rPr>
            <w:noProof/>
            <w:webHidden/>
          </w:rPr>
          <w:tab/>
          <w:t>54</w:t>
        </w:r>
      </w:hyperlink>
    </w:p>
    <w:p w14:paraId="7420ADB3" w14:textId="4D7C0929" w:rsidR="00C40C69" w:rsidRDefault="00964E16">
      <w:pPr>
        <w:pStyle w:val="TOC5"/>
        <w:rPr>
          <w:rFonts w:asciiTheme="minorHAnsi" w:eastAsiaTheme="minorEastAsia" w:hAnsiTheme="minorHAnsi" w:cstheme="minorBidi"/>
          <w:noProof/>
          <w:sz w:val="22"/>
          <w:szCs w:val="22"/>
        </w:rPr>
      </w:pPr>
      <w:hyperlink w:anchor="_Toc295823987" w:history="1">
        <w:r w:rsidR="00F02544" w:rsidRPr="00355BDA">
          <w:rPr>
            <w:rStyle w:val="Hyperlink"/>
            <w:b/>
            <w:noProof/>
          </w:rPr>
          <w:t>Exhibit 15 – Summary of Burden Hours and Costs Incurred by Government</w:t>
        </w:r>
        <w:r w:rsidR="00F02544">
          <w:rPr>
            <w:noProof/>
            <w:webHidden/>
          </w:rPr>
          <w:tab/>
          <w:t>55</w:t>
        </w:r>
      </w:hyperlink>
    </w:p>
    <w:p w14:paraId="24B4A650" w14:textId="4C9585E2" w:rsidR="00C40C69" w:rsidRDefault="00964E16">
      <w:pPr>
        <w:pStyle w:val="TOC5"/>
        <w:rPr>
          <w:rFonts w:asciiTheme="minorHAnsi" w:eastAsiaTheme="minorEastAsia" w:hAnsiTheme="minorHAnsi" w:cstheme="minorBidi"/>
          <w:noProof/>
          <w:sz w:val="22"/>
          <w:szCs w:val="22"/>
        </w:rPr>
      </w:pPr>
      <w:hyperlink w:anchor="_Toc295823988" w:history="1">
        <w:r w:rsidR="00F02544" w:rsidRPr="00355BDA">
          <w:rPr>
            <w:rStyle w:val="Hyperlink"/>
            <w:b/>
            <w:noProof/>
          </w:rPr>
          <w:t>Exhibit 15 (With Forms) – Summary of Burden Hours and Costs Incurred by Government</w:t>
        </w:r>
        <w:r w:rsidR="00F02544">
          <w:rPr>
            <w:noProof/>
            <w:webHidden/>
          </w:rPr>
          <w:tab/>
          <w:t>55</w:t>
        </w:r>
      </w:hyperlink>
    </w:p>
    <w:p w14:paraId="415D0F53" w14:textId="2EF0F7DA" w:rsidR="00C40C69" w:rsidRDefault="00964E16">
      <w:pPr>
        <w:pStyle w:val="TOC2"/>
        <w:tabs>
          <w:tab w:val="left" w:pos="1080"/>
        </w:tabs>
        <w:rPr>
          <w:rFonts w:asciiTheme="minorHAnsi" w:eastAsiaTheme="minorEastAsia" w:hAnsiTheme="minorHAnsi" w:cstheme="minorBidi"/>
          <w:noProof/>
          <w:sz w:val="22"/>
          <w:szCs w:val="22"/>
        </w:rPr>
      </w:pPr>
      <w:hyperlink w:anchor="_Toc295823989" w:history="1">
        <w:r w:rsidR="00F02544" w:rsidRPr="00355BDA">
          <w:rPr>
            <w:rStyle w:val="Hyperlink"/>
            <w:noProof/>
          </w:rPr>
          <w:t>6f.</w:t>
        </w:r>
        <w:r w:rsidR="00F02544">
          <w:rPr>
            <w:rFonts w:asciiTheme="minorHAnsi" w:eastAsiaTheme="minorEastAsia" w:hAnsiTheme="minorHAnsi" w:cstheme="minorBidi"/>
            <w:noProof/>
            <w:sz w:val="22"/>
            <w:szCs w:val="22"/>
          </w:rPr>
          <w:tab/>
        </w:r>
        <w:r w:rsidR="00F02544" w:rsidRPr="00355BDA">
          <w:rPr>
            <w:rStyle w:val="Hyperlink"/>
            <w:noProof/>
          </w:rPr>
          <w:t>Reasons for Change in Burden</w:t>
        </w:r>
        <w:r w:rsidR="00F02544">
          <w:rPr>
            <w:noProof/>
            <w:webHidden/>
          </w:rPr>
          <w:tab/>
          <w:t>55</w:t>
        </w:r>
      </w:hyperlink>
    </w:p>
    <w:p w14:paraId="2A21A8D6" w14:textId="584441F1" w:rsidR="00C40C69" w:rsidRDefault="00964E16">
      <w:pPr>
        <w:pStyle w:val="TOC2"/>
        <w:tabs>
          <w:tab w:val="left" w:pos="1080"/>
        </w:tabs>
        <w:rPr>
          <w:noProof/>
        </w:rPr>
      </w:pPr>
      <w:hyperlink w:anchor="_Toc295823990" w:history="1">
        <w:r w:rsidR="00F02544" w:rsidRPr="00355BDA">
          <w:rPr>
            <w:rStyle w:val="Hyperlink"/>
            <w:noProof/>
          </w:rPr>
          <w:t>6g.</w:t>
        </w:r>
        <w:r w:rsidR="00F02544">
          <w:rPr>
            <w:rFonts w:asciiTheme="minorHAnsi" w:eastAsiaTheme="minorEastAsia" w:hAnsiTheme="minorHAnsi" w:cstheme="minorBidi"/>
            <w:noProof/>
            <w:sz w:val="22"/>
            <w:szCs w:val="22"/>
          </w:rPr>
          <w:tab/>
        </w:r>
        <w:r w:rsidR="00F02544" w:rsidRPr="00355BDA">
          <w:rPr>
            <w:rStyle w:val="Hyperlink"/>
            <w:noProof/>
          </w:rPr>
          <w:t>Burden Statement</w:t>
        </w:r>
        <w:r w:rsidR="00F02544">
          <w:rPr>
            <w:noProof/>
            <w:webHidden/>
          </w:rPr>
          <w:tab/>
          <w:t>56</w:t>
        </w:r>
      </w:hyperlink>
    </w:p>
    <w:p w14:paraId="6856F0BB" w14:textId="4331AFB0" w:rsidR="00C40C69" w:rsidRPr="00F82FD8" w:rsidRDefault="001F1794" w:rsidP="00F82FD8">
      <w:pPr>
        <w:rPr>
          <w:rFonts w:eastAsiaTheme="minorEastAsia"/>
          <w:b/>
        </w:rPr>
      </w:pPr>
      <w:r w:rsidRPr="001F1794">
        <w:rPr>
          <w:rFonts w:eastAsiaTheme="minorEastAsia"/>
          <w:b/>
        </w:rPr>
        <w:t>APPENDIX A --</w:t>
      </w:r>
      <w:r w:rsidR="00754FE0">
        <w:rPr>
          <w:rFonts w:eastAsiaTheme="minorEastAsia"/>
          <w:b/>
        </w:rPr>
        <w:t>Phone-L</w:t>
      </w:r>
      <w:r w:rsidR="000F472E">
        <w:rPr>
          <w:rFonts w:eastAsiaTheme="minorEastAsia"/>
          <w:b/>
        </w:rPr>
        <w:t>og Summarie</w:t>
      </w:r>
      <w:r w:rsidR="000F472E" w:rsidRPr="000F472E">
        <w:rPr>
          <w:rFonts w:eastAsiaTheme="minorEastAsia"/>
          <w:b/>
        </w:rPr>
        <w:t>s</w:t>
      </w:r>
      <w:r w:rsidR="00754FE0">
        <w:rPr>
          <w:rFonts w:eastAsiaTheme="minorEastAsia"/>
        </w:rPr>
        <w:t>…………</w:t>
      </w:r>
      <w:r w:rsidR="000F472E" w:rsidRPr="000F472E">
        <w:rPr>
          <w:rFonts w:eastAsiaTheme="minorEastAsia"/>
        </w:rPr>
        <w:t>……………………………………………</w:t>
      </w:r>
      <w:r w:rsidR="00754FE0">
        <w:rPr>
          <w:rFonts w:eastAsiaTheme="minorEastAsia"/>
        </w:rPr>
        <w:t>…..</w:t>
      </w:r>
      <w:r w:rsidR="006857A1">
        <w:rPr>
          <w:rFonts w:eastAsiaTheme="minorEastAsia"/>
        </w:rPr>
        <w:t>58</w:t>
      </w:r>
      <w:r w:rsidR="000F472E" w:rsidRPr="000F472E">
        <w:rPr>
          <w:rFonts w:eastAsiaTheme="minorEastAsia"/>
        </w:rPr>
        <w:t xml:space="preserve"> </w:t>
      </w:r>
    </w:p>
    <w:p w14:paraId="6A5E31B6" w14:textId="77777777" w:rsidR="0046707F" w:rsidRDefault="00DF1028" w:rsidP="0046707F">
      <w:pPr>
        <w:pStyle w:val="Heading1"/>
        <w:numPr>
          <w:ilvl w:val="0"/>
          <w:numId w:val="0"/>
        </w:numPr>
        <w:rPr>
          <w:rFonts w:cs="Times New Roman"/>
          <w:kern w:val="0"/>
          <w:szCs w:val="24"/>
        </w:rPr>
        <w:sectPr w:rsidR="0046707F" w:rsidSect="0082631E">
          <w:footerReference w:type="default" r:id="rId11"/>
          <w:pgSz w:w="12240" w:h="15840"/>
          <w:pgMar w:top="1397" w:right="1440" w:bottom="1339" w:left="1080" w:header="835" w:footer="1195" w:gutter="0"/>
          <w:cols w:space="720"/>
          <w:noEndnote/>
          <w:docGrid w:linePitch="326"/>
        </w:sectPr>
      </w:pPr>
      <w:r>
        <w:rPr>
          <w:rFonts w:cs="Times New Roman"/>
          <w:kern w:val="0"/>
          <w:szCs w:val="24"/>
        </w:rPr>
        <w:fldChar w:fldCharType="end"/>
      </w:r>
    </w:p>
    <w:p w14:paraId="3AA61604" w14:textId="77777777" w:rsidR="00B51A0B" w:rsidRDefault="00B51A0B" w:rsidP="009D30AC">
      <w:pPr>
        <w:pStyle w:val="Heading1"/>
        <w:ind w:left="0" w:firstLine="0"/>
      </w:pPr>
      <w:bookmarkStart w:id="1" w:name="_Toc295823928"/>
      <w:r>
        <w:t>IDENTIFICATION OF THE INFORMATION COLLECTION</w:t>
      </w:r>
      <w:bookmarkEnd w:id="1"/>
    </w:p>
    <w:p w14:paraId="10A77DCF" w14:textId="77777777" w:rsidR="00B51A0B" w:rsidRDefault="00E205C3" w:rsidP="00E205C3">
      <w:pPr>
        <w:pStyle w:val="Heading2"/>
      </w:pPr>
      <w:bookmarkStart w:id="2" w:name="_Toc295823929"/>
      <w:r>
        <w:t>Title of the Information Collection</w:t>
      </w:r>
      <w:bookmarkEnd w:id="2"/>
    </w:p>
    <w:p w14:paraId="04922653" w14:textId="77777777" w:rsidR="00B62D96" w:rsidRDefault="00B62D96" w:rsidP="00B62D96"/>
    <w:p w14:paraId="6E741AAF" w14:textId="745FD4C0" w:rsidR="00F235F1" w:rsidRDefault="00B62D96" w:rsidP="00E40194">
      <w:pPr>
        <w:ind w:firstLine="720"/>
      </w:pPr>
      <w:r w:rsidRPr="00B62D96">
        <w:t>Continuous Release Reporting Regulations (CRRR) under the Comprehensive Environmental Response, Compensation, and Liability Act o</w:t>
      </w:r>
      <w:r w:rsidR="00E40194">
        <w:t>f 1980 (CERCLA)</w:t>
      </w:r>
      <w:r w:rsidR="00A231E7">
        <w:t xml:space="preserve"> and the Emergency Planning and Community Right to Know Act </w:t>
      </w:r>
      <w:r w:rsidR="00F70BD4">
        <w:t xml:space="preserve">of 1986 </w:t>
      </w:r>
      <w:r w:rsidR="00A231E7">
        <w:t>(EPCRA)</w:t>
      </w:r>
      <w:r w:rsidR="00ED3754">
        <w:t>. OMB Control No. 2050-0086,</w:t>
      </w:r>
      <w:r w:rsidR="00E40194">
        <w:t xml:space="preserve"> EPA </w:t>
      </w:r>
      <w:r w:rsidR="00CF46B7">
        <w:t xml:space="preserve">ICR </w:t>
      </w:r>
      <w:r w:rsidR="00E40194" w:rsidRPr="00E4140E">
        <w:t>No. 14</w:t>
      </w:r>
      <w:r w:rsidR="00E8634C" w:rsidRPr="00E4140E">
        <w:t>45.1</w:t>
      </w:r>
      <w:r w:rsidR="00854D5F">
        <w:t>4</w:t>
      </w:r>
      <w:r w:rsidRPr="00E4140E">
        <w:t>.</w:t>
      </w:r>
      <w:r w:rsidR="003A6406">
        <w:t xml:space="preserve"> </w:t>
      </w:r>
    </w:p>
    <w:p w14:paraId="0BE96165" w14:textId="77777777" w:rsidR="00143E34" w:rsidRPr="00E4140E" w:rsidRDefault="00143E34" w:rsidP="00E40194">
      <w:pPr>
        <w:ind w:firstLine="720"/>
      </w:pPr>
    </w:p>
    <w:p w14:paraId="058E5BEE" w14:textId="6AD7EC8E" w:rsidR="00E205C3" w:rsidRDefault="00F235F1" w:rsidP="00A65A0E">
      <w:pPr>
        <w:ind w:firstLine="720"/>
      </w:pPr>
      <w:bookmarkStart w:id="3" w:name="_Toc295823930"/>
      <w:r>
        <w:t xml:space="preserve">1b.  </w:t>
      </w:r>
      <w:r w:rsidR="00E205C3">
        <w:t>Short Characterization/Abstract</w:t>
      </w:r>
      <w:bookmarkEnd w:id="3"/>
      <w:r w:rsidR="00B62D96">
        <w:t xml:space="preserve"> </w:t>
      </w:r>
    </w:p>
    <w:p w14:paraId="416978A0" w14:textId="77777777" w:rsidR="00B62D96" w:rsidRDefault="00B62D96" w:rsidP="00B62D96"/>
    <w:p w14:paraId="68637D5F" w14:textId="7F7992F5" w:rsidR="00F70BD4" w:rsidRDefault="00B62D96" w:rsidP="00F70BD4">
      <w:pPr>
        <w:ind w:firstLine="720"/>
      </w:pPr>
      <w:r w:rsidRPr="001F3A52">
        <w:t>This information collection request (ICR) addresses the reporting and record keeping activities required to comply with EPA</w:t>
      </w:r>
      <w:r>
        <w:t>’</w:t>
      </w:r>
      <w:r w:rsidRPr="001F3A52">
        <w:t>s continuous release reporting regulation (CRRR</w:t>
      </w:r>
      <w:r w:rsidR="00F70BD4">
        <w:t>)</w:t>
      </w:r>
      <w:r w:rsidR="00143E34">
        <w:t xml:space="preserve"> </w:t>
      </w:r>
      <w:r w:rsidRPr="001F3A52">
        <w:t>implementing section 103(f)(2) of the Comprehensive Environmental Response, Compensation, and Liability Act of 1980 (CERCLA)</w:t>
      </w:r>
      <w:r w:rsidR="00CF46B7">
        <w:t>.</w:t>
      </w:r>
      <w:r w:rsidRPr="001F3A52">
        <w:t xml:space="preserve">  </w:t>
      </w:r>
    </w:p>
    <w:p w14:paraId="384856B4" w14:textId="77777777" w:rsidR="00F70BD4" w:rsidRPr="00E4140E" w:rsidRDefault="00F70BD4" w:rsidP="00F70BD4">
      <w:pPr>
        <w:ind w:firstLine="720"/>
      </w:pPr>
    </w:p>
    <w:p w14:paraId="064570B0" w14:textId="667A29B9" w:rsidR="00B62D96" w:rsidRPr="001F3A52" w:rsidRDefault="00B62D96" w:rsidP="00B62D96">
      <w:pPr>
        <w:ind w:firstLine="720"/>
      </w:pPr>
      <w:r w:rsidRPr="001F3A52">
        <w:t>The CRRR clarifies the types of releases that qualify for reporting under CERCLA section 103(f)(2) and establishes the reporting requirements applicable to qualifying releases.</w:t>
      </w:r>
      <w:r w:rsidR="003C4648">
        <w:t xml:space="preserve">  Responsibility for information collection activities of the CRRR reside in the Office of Emergency Management (OEM) in the Office of </w:t>
      </w:r>
      <w:r w:rsidR="002E1879">
        <w:t>Land</w:t>
      </w:r>
      <w:r w:rsidR="003C4648">
        <w:t xml:space="preserve"> and Emergency </w:t>
      </w:r>
      <w:r w:rsidR="002E1879">
        <w:t>Management</w:t>
      </w:r>
      <w:r w:rsidR="003C4648">
        <w:t xml:space="preserve"> (</w:t>
      </w:r>
      <w:r w:rsidR="002E1879">
        <w:t>OLEM</w:t>
      </w:r>
      <w:r w:rsidR="003C4648">
        <w:t>).</w:t>
      </w:r>
      <w:r w:rsidRPr="001F3A52">
        <w:t xml:space="preserve">  This ICR renews the collection activity previously approved under OMB No. 2050-0086 and applies to the </w:t>
      </w:r>
      <w:r w:rsidRPr="0004089B">
        <w:t xml:space="preserve">period </w:t>
      </w:r>
      <w:r w:rsidR="00FE3D19">
        <w:t>December</w:t>
      </w:r>
      <w:r w:rsidR="004B0A88" w:rsidRPr="0004089B">
        <w:t xml:space="preserve"> 1, 201</w:t>
      </w:r>
      <w:r w:rsidR="00FE3D19">
        <w:t>8</w:t>
      </w:r>
      <w:r w:rsidR="00C44599" w:rsidRPr="0004089B">
        <w:t xml:space="preserve"> through </w:t>
      </w:r>
      <w:r w:rsidR="00FE3D19">
        <w:t>November</w:t>
      </w:r>
      <w:r w:rsidR="00C44599" w:rsidRPr="0004089B">
        <w:t xml:space="preserve"> </w:t>
      </w:r>
      <w:r w:rsidR="00D72663" w:rsidRPr="0004089B">
        <w:t>30, 20</w:t>
      </w:r>
      <w:r w:rsidR="00FE3D19">
        <w:t>21</w:t>
      </w:r>
      <w:r w:rsidRPr="0004089B">
        <w:t>.</w:t>
      </w:r>
      <w:r w:rsidR="004E2FF4" w:rsidRPr="0004089B">
        <w:rPr>
          <w:rStyle w:val="FootnoteReference"/>
          <w:vertAlign w:val="superscript"/>
        </w:rPr>
        <w:footnoteReference w:id="1"/>
      </w:r>
      <w:r w:rsidRPr="0004089B">
        <w:rPr>
          <w:vertAlign w:val="superscript"/>
        </w:rPr>
        <w:t xml:space="preserve"> </w:t>
      </w:r>
      <w:r w:rsidRPr="0004089B">
        <w:t xml:space="preserve"> Estimates </w:t>
      </w:r>
      <w:r w:rsidRPr="001F3A52">
        <w:t>of the burden placed on industry and the government to comply with the release notification requirements are presented on an annual basis.</w:t>
      </w:r>
    </w:p>
    <w:p w14:paraId="3100CC42" w14:textId="77777777" w:rsidR="003C4648" w:rsidRDefault="003C4648" w:rsidP="00B62D96"/>
    <w:p w14:paraId="06A8BBEC" w14:textId="77777777" w:rsidR="00BC6C17" w:rsidRPr="00E4140E" w:rsidRDefault="00BC6C17" w:rsidP="00BC6C17">
      <w:pPr>
        <w:ind w:firstLine="720"/>
        <w:rPr>
          <w:color w:val="92D050"/>
        </w:rPr>
      </w:pPr>
      <w:r w:rsidRPr="00E4140E">
        <w:rPr>
          <w:color w:val="92D050"/>
        </w:rPr>
        <w:t>The analysis also includes estimates for the burden and cost impacts of using continuous release reporting forms on both the industry and government in order to comply with the release notification requirements.  Information pertaining to the use of continuous release reporting forms appears in “green” type.</w:t>
      </w:r>
    </w:p>
    <w:p w14:paraId="123E0C34" w14:textId="77777777" w:rsidR="00BC6C17" w:rsidRPr="001F3A52" w:rsidRDefault="00BC6C17" w:rsidP="00B62D96"/>
    <w:p w14:paraId="286C9B6A" w14:textId="160C31D1" w:rsidR="00F70BD4" w:rsidRDefault="00B62D96" w:rsidP="00B62D96">
      <w:pPr>
        <w:ind w:firstLine="720"/>
      </w:pPr>
      <w:r w:rsidRPr="001F3A52">
        <w:t xml:space="preserve">CERCLA section 103(a) requires persons in charge of a facility or vessel to immediately notify the National Response Center (NRC) of any hazardous substance release that equals or exceeds its reportable quantity (RQ) and is not federally permitted.  Notification under CERCLA is intended to ensure that Federal authorities receive prompt notification of hazardous substance releases for which a timely response may be necessary to protect public health or welfare or the environment from any adverse effects that may be associated with the release.  </w:t>
      </w:r>
    </w:p>
    <w:p w14:paraId="6CDFDD6A" w14:textId="30DB3043" w:rsidR="00F70BD4" w:rsidRDefault="00F70BD4" w:rsidP="00B62D96">
      <w:pPr>
        <w:ind w:firstLine="720"/>
      </w:pPr>
    </w:p>
    <w:p w14:paraId="63D74172" w14:textId="1AD87EEC" w:rsidR="00F70BD4" w:rsidRDefault="00F70BD4" w:rsidP="00B62D96">
      <w:pPr>
        <w:ind w:firstLine="720"/>
      </w:pPr>
      <w:r>
        <w:t>In addition to the reporting requirements under CERCLA section 103, section 304 of the Emergency Planning and Community Right-to-Know Act of 1986 (EPCRA) requires owner or operator of certain facilities to immediately notify the State Emergency Response Commission (SERC) and the Local Emer</w:t>
      </w:r>
      <w:r w:rsidR="00C45B7B">
        <w:t>g</w:t>
      </w:r>
      <w:r>
        <w:t xml:space="preserve">ency Planning Committee (LEPC) for the area(s) likely affected by the release </w:t>
      </w:r>
      <w:r w:rsidR="00C45B7B">
        <w:t xml:space="preserve">when there is a release of an extremely hazardous substance (EHS) or CERCLA hazardous substance in an amount equal to or </w:t>
      </w:r>
      <w:r w:rsidR="001E06AB">
        <w:t xml:space="preserve">greater than the </w:t>
      </w:r>
      <w:r w:rsidR="00143E34">
        <w:t>Reportable Quantity (</w:t>
      </w:r>
      <w:r w:rsidR="001E06AB">
        <w:t>RQ</w:t>
      </w:r>
      <w:r w:rsidR="00143E34">
        <w:t>)</w:t>
      </w:r>
      <w:r w:rsidR="001E06AB">
        <w:t xml:space="preserve"> for that substance with</w:t>
      </w:r>
      <w:r w:rsidR="00143E34">
        <w:t>in</w:t>
      </w:r>
      <w:r w:rsidR="001E06AB">
        <w:t xml:space="preserve"> a 24-hour period.  </w:t>
      </w:r>
    </w:p>
    <w:p w14:paraId="5B3826C2" w14:textId="4D7B8C51" w:rsidR="001E06AB" w:rsidRDefault="001E06AB" w:rsidP="00B62D96">
      <w:pPr>
        <w:ind w:firstLine="720"/>
      </w:pPr>
    </w:p>
    <w:p w14:paraId="17C2D30C" w14:textId="4C09C041" w:rsidR="001E06AB" w:rsidRDefault="001E06AB" w:rsidP="00B62D96">
      <w:pPr>
        <w:ind w:firstLine="720"/>
      </w:pPr>
      <w:r>
        <w:t xml:space="preserve">The list of CERCLA hazardous substances and EPCRA EHSs and their applicable reportable quantities are codified in 40 CFR 302.4 and Appendices A and B of 40 CFR part 355.  </w:t>
      </w:r>
    </w:p>
    <w:p w14:paraId="2D215701" w14:textId="02CC9FB5" w:rsidR="00CF46B7" w:rsidRDefault="00CF46B7" w:rsidP="00B62D96">
      <w:pPr>
        <w:ind w:firstLine="720"/>
      </w:pPr>
    </w:p>
    <w:p w14:paraId="7F179A0C" w14:textId="62B75287" w:rsidR="00CF46B7" w:rsidRDefault="00CF46B7" w:rsidP="00B62D96">
      <w:pPr>
        <w:ind w:firstLine="720"/>
      </w:pPr>
      <w:r>
        <w:t>The information collection for immediate notification under CERCLA section 103(a) and EPCRA section 304 are in OMB Control No. 2050-0046 and 2050-0092</w:t>
      </w:r>
      <w:r w:rsidR="00BC061C">
        <w:t>, respectively</w:t>
      </w:r>
      <w:r>
        <w:t xml:space="preserve">.  </w:t>
      </w:r>
    </w:p>
    <w:p w14:paraId="7926F695" w14:textId="77777777" w:rsidR="00F70BD4" w:rsidRDefault="00F70BD4" w:rsidP="00B62D96">
      <w:pPr>
        <w:ind w:firstLine="720"/>
      </w:pPr>
    </w:p>
    <w:p w14:paraId="7166D498" w14:textId="36F892DD" w:rsidR="00B62D96" w:rsidRPr="001F3A52" w:rsidRDefault="00B62D96" w:rsidP="00B62D96">
      <w:pPr>
        <w:ind w:firstLine="720"/>
      </w:pPr>
      <w:r w:rsidRPr="001F3A52">
        <w:t xml:space="preserve">Section 103(f)(2) of CERCLA provides relief from the per-occurrence notification requirements of section 103(a) for hazardous substance releases that are </w:t>
      </w:r>
      <w:r>
        <w:t>“</w:t>
      </w:r>
      <w:r w:rsidRPr="001F3A52">
        <w:t>continuous,</w:t>
      </w:r>
      <w:r>
        <w:t>”</w:t>
      </w:r>
      <w:r w:rsidRPr="001F3A52">
        <w:t xml:space="preserve"> and </w:t>
      </w:r>
      <w:r>
        <w:t>“</w:t>
      </w:r>
      <w:r w:rsidRPr="001F3A52">
        <w:t>stable in quantity and rate,</w:t>
      </w:r>
      <w:r>
        <w:t>”</w:t>
      </w:r>
      <w:r w:rsidRPr="001F3A52">
        <w:t xml:space="preserve"> provided that such releases are reported </w:t>
      </w:r>
      <w:r>
        <w:t>“</w:t>
      </w:r>
      <w:r w:rsidRPr="001F3A52">
        <w:t>annually, or at such time as there is any statistically significant increase</w:t>
      </w:r>
      <w:r>
        <w:t>”</w:t>
      </w:r>
      <w:r w:rsidRPr="001F3A52">
        <w:t xml:space="preserve"> in the quantity of the release.  Section 103(f)(2) contemplates that, in the case of certain </w:t>
      </w:r>
      <w:r>
        <w:t>“</w:t>
      </w:r>
      <w:r w:rsidRPr="001F3A52">
        <w:t>continuous</w:t>
      </w:r>
      <w:r>
        <w:t>”</w:t>
      </w:r>
      <w:r w:rsidRPr="001F3A52">
        <w:t xml:space="preserve"> and </w:t>
      </w:r>
      <w:r>
        <w:t>“</w:t>
      </w:r>
      <w:r w:rsidRPr="001F3A52">
        <w:t>stable</w:t>
      </w:r>
      <w:r>
        <w:t>”</w:t>
      </w:r>
      <w:r w:rsidRPr="001F3A52">
        <w:t xml:space="preserve"> releases, the notification objectives of CERCLA can be achieved with less frequent reporting.  The regulated community is expected to:</w:t>
      </w:r>
    </w:p>
    <w:p w14:paraId="10F6C3C8" w14:textId="77777777" w:rsidR="00B62D96" w:rsidRPr="001F3A52" w:rsidRDefault="00B62D96" w:rsidP="00B62D96">
      <w:pPr>
        <w:ind w:left="720"/>
      </w:pPr>
    </w:p>
    <w:p w14:paraId="65C18D2C" w14:textId="77777777" w:rsidR="00B62D96" w:rsidRPr="001F3A52" w:rsidRDefault="00B62D96" w:rsidP="00B6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Gather necessary release data, such as the time, quantity, and source of the release;</w:t>
      </w:r>
    </w:p>
    <w:p w14:paraId="4D51AFB1" w14:textId="77777777" w:rsidR="00B62D96" w:rsidRPr="001F3A52" w:rsidRDefault="00B62D96" w:rsidP="00B62D96"/>
    <w:p w14:paraId="51CE09EB" w14:textId="77777777" w:rsidR="00B62D96" w:rsidRPr="001F3A52" w:rsidRDefault="00B62D96" w:rsidP="00B6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Notify the facility manager of the release;</w:t>
      </w:r>
    </w:p>
    <w:p w14:paraId="685F566F" w14:textId="77777777" w:rsidR="00B62D96" w:rsidRPr="001F3A52" w:rsidRDefault="00B62D96" w:rsidP="00B62D96"/>
    <w:p w14:paraId="2C83C6E7" w14:textId="77777777" w:rsidR="00B62D96" w:rsidRPr="001F3A52" w:rsidRDefault="00B62D96" w:rsidP="00B6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Consult with the environmental compliance expert regarding the release;</w:t>
      </w:r>
    </w:p>
    <w:p w14:paraId="567258F1" w14:textId="77777777" w:rsidR="00B62D96" w:rsidRPr="001F3A52" w:rsidRDefault="00B62D96" w:rsidP="00B62D96"/>
    <w:p w14:paraId="7BCB0B43" w14:textId="77777777" w:rsidR="00B62D96" w:rsidRPr="001F3A52" w:rsidRDefault="00B62D96" w:rsidP="00B6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 xml:space="preserve">Make an initial report of the release to the NRC; </w:t>
      </w:r>
    </w:p>
    <w:p w14:paraId="377BF0E4" w14:textId="77777777" w:rsidR="00B62D96" w:rsidRPr="001F3A52" w:rsidRDefault="00B62D96" w:rsidP="00B62D96"/>
    <w:p w14:paraId="28D535DE" w14:textId="77777777" w:rsidR="00B62D96" w:rsidRPr="001F3A52" w:rsidRDefault="00B62D96" w:rsidP="00B6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Submit an initial written notification to the appropriate EPA Regional Office for the geographical area where the releasing facility or vessel is located;</w:t>
      </w:r>
    </w:p>
    <w:p w14:paraId="168053BA" w14:textId="77777777" w:rsidR="00B62D96" w:rsidRPr="001F3A52" w:rsidRDefault="00B62D96" w:rsidP="00B62D96"/>
    <w:p w14:paraId="5418C463" w14:textId="77777777" w:rsidR="00B62D96" w:rsidRPr="001F3A52" w:rsidRDefault="00B62D96" w:rsidP="00B6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Provide follow-up notification within 30 days of the first anniversary date of the initial written notification;</w:t>
      </w:r>
    </w:p>
    <w:p w14:paraId="5532DE2F" w14:textId="77777777" w:rsidR="00B62D96" w:rsidRPr="001F3A52" w:rsidRDefault="00B62D96" w:rsidP="00B62D96"/>
    <w:p w14:paraId="1B829136" w14:textId="77777777" w:rsidR="00B62D96" w:rsidRPr="001F3A52" w:rsidRDefault="00B62D96" w:rsidP="00B6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Make notifications to the NRC if there is a change in the release, including a statistically significant increase in a release;</w:t>
      </w:r>
    </w:p>
    <w:p w14:paraId="7B0979D0" w14:textId="77777777" w:rsidR="00B62D96" w:rsidRPr="001F3A52" w:rsidRDefault="00B62D96" w:rsidP="00B62D96"/>
    <w:p w14:paraId="35931F6B" w14:textId="77777777" w:rsidR="00B62D96" w:rsidRPr="001F3A52" w:rsidRDefault="00B62D96" w:rsidP="00B6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 xml:space="preserve">Make an annual evaluation of releases to determine if changes have </w:t>
      </w:r>
      <w:r w:rsidR="003C4648" w:rsidRPr="001F3A52">
        <w:t>occurred</w:t>
      </w:r>
      <w:r w:rsidRPr="001F3A52">
        <w:t xml:space="preserve"> in the information submitted in the initial written notification, the </w:t>
      </w:r>
      <w:r w:rsidR="003C4648" w:rsidRPr="001F3A52">
        <w:t>follow</w:t>
      </w:r>
      <w:r w:rsidR="003C4648">
        <w:t>-</w:t>
      </w:r>
      <w:r w:rsidR="003C4648" w:rsidRPr="001F3A52">
        <w:t>up</w:t>
      </w:r>
      <w:r w:rsidRPr="001F3A52">
        <w:t xml:space="preserve"> notification and/or in a previous change notification - if there are no changes, submittal of a report is not required.</w:t>
      </w:r>
    </w:p>
    <w:p w14:paraId="68291347" w14:textId="77777777" w:rsidR="00B62D96" w:rsidRPr="001F3A52" w:rsidRDefault="00B62D96" w:rsidP="00B62D96"/>
    <w:p w14:paraId="0AD5689B" w14:textId="7B2597FD" w:rsidR="00B62D96" w:rsidRDefault="00B62D96" w:rsidP="00B62D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w:t>
      </w:r>
      <w:r w:rsidRPr="001F3A52">
        <w:tab/>
        <w:t xml:space="preserve">Keep all supporting documents, materials, and other information on file for a period of one year to substantiate the reported normal range of releases, the basis for stating that the release is continuous and stable in quantity and rate, and the other information in the initial written report, the </w:t>
      </w:r>
      <w:r w:rsidR="003C4648" w:rsidRPr="001F3A52">
        <w:t>follow-up</w:t>
      </w:r>
      <w:r w:rsidRPr="001F3A52">
        <w:t xml:space="preserve"> report, and the annual evaluations. </w:t>
      </w:r>
    </w:p>
    <w:p w14:paraId="6C44C09D" w14:textId="0427652F" w:rsidR="00BF4A65" w:rsidRDefault="00BF4A65" w:rsidP="00BF4A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A5D92F9" w14:textId="388248B5" w:rsidR="00EE2FB1" w:rsidRDefault="00EE2F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Reporting under EPCRA section 304 is closely tied to reporting under CERCLA section 103.  </w:t>
      </w:r>
      <w:r w:rsidR="00410C2F">
        <w:t>Under the provisions of EPCRA section 304, a</w:t>
      </w:r>
      <w:r w:rsidR="00BB1BD8">
        <w:t>ll releases of CERCLA hazardous substances that must be reported under CERCLA section 103(a)</w:t>
      </w:r>
      <w:r w:rsidR="00AE4228">
        <w:t>,</w:t>
      </w:r>
      <w:r w:rsidR="002F2A58">
        <w:t xml:space="preserve"> as well as EPCRA EHSs</w:t>
      </w:r>
      <w:r w:rsidR="00AE4228">
        <w:t>,</w:t>
      </w:r>
      <w:r w:rsidR="00BB1BD8">
        <w:t xml:space="preserve"> must also be reported to </w:t>
      </w:r>
      <w:r w:rsidR="004E693D">
        <w:t>State Emergency Response Commissions (</w:t>
      </w:r>
      <w:r w:rsidR="00BB1BD8">
        <w:t>SERCs</w:t>
      </w:r>
      <w:r w:rsidR="004E693D">
        <w:t>)</w:t>
      </w:r>
      <w:r w:rsidR="00BB1BD8">
        <w:t xml:space="preserve"> and </w:t>
      </w:r>
      <w:r w:rsidR="004E693D">
        <w:t>Local Emergency Planning Committees (</w:t>
      </w:r>
      <w:r w:rsidR="00BB1BD8">
        <w:t>LEPCs</w:t>
      </w:r>
      <w:r w:rsidR="004E693D">
        <w:t>)</w:t>
      </w:r>
      <w:r w:rsidR="00BB1BD8">
        <w:t xml:space="preserve"> if the releases have a potenti</w:t>
      </w:r>
      <w:r w:rsidR="00C20860">
        <w:t>al</w:t>
      </w:r>
      <w:r w:rsidR="00BB1BD8">
        <w:t xml:space="preserve"> for off-site exposure.  </w:t>
      </w:r>
      <w:r w:rsidR="00174704">
        <w:t xml:space="preserve">Releases of other EHSs, that are not CERCLA hazardous substances </w:t>
      </w:r>
      <w:r w:rsidR="00BA0EA2">
        <w:t xml:space="preserve">must be reported to SERCs and LEPCs if they occur in a manner that would require notification under CERCLA section 103(a).  Similarly, releases exempt from reporting under CERCLA section 103(a), such as federally permitted releases, or releases subject to reduced reporting requirements under CERCLA section 103(f)(2), are not subject to immediate notification under EPCRA section 304.  </w:t>
      </w:r>
    </w:p>
    <w:p w14:paraId="4BD8A8A8" w14:textId="19D85639" w:rsidR="00CF46B7" w:rsidRDefault="00CF46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4FFB895" w14:textId="77777777" w:rsidR="002F2A58" w:rsidRDefault="00CF46B7" w:rsidP="00CF46B7">
      <w:pPr>
        <w:ind w:firstLine="720"/>
      </w:pPr>
      <w:r>
        <w:t xml:space="preserve">The previous ICR inadvertently omitted collection activities and the burden and cost analysis under EPCRA, and are now being accounted for in this </w:t>
      </w:r>
      <w:r w:rsidR="002F2A58">
        <w:t xml:space="preserve">ICR </w:t>
      </w:r>
      <w:r>
        <w:t xml:space="preserve">renewal.  </w:t>
      </w:r>
    </w:p>
    <w:p w14:paraId="71D1E486" w14:textId="77777777" w:rsidR="002F2A58" w:rsidRDefault="002F2A58" w:rsidP="00CF46B7">
      <w:pPr>
        <w:ind w:firstLine="720"/>
      </w:pPr>
    </w:p>
    <w:p w14:paraId="3B37E193" w14:textId="77777777" w:rsidR="009F2EDC" w:rsidRDefault="00CF46B7" w:rsidP="009F2EDC">
      <w:r>
        <w:t xml:space="preserve">The </w:t>
      </w:r>
      <w:r w:rsidR="002F2A58">
        <w:t>continuous release reporting regulations (</w:t>
      </w:r>
      <w:r>
        <w:t>CRRR</w:t>
      </w:r>
      <w:r w:rsidR="002F2A58">
        <w:t>)</w:t>
      </w:r>
      <w:r>
        <w:t xml:space="preserve"> is codified in 40 CFR 302.8 and 355.32 for CERCLA and EPCRA, respectively. </w:t>
      </w:r>
      <w:r w:rsidR="009F2EDC">
        <w:t xml:space="preserve"> This ICR includes reporting and recordkeeping under CERCLA and EPCRA continuous release reporting requirements.  </w:t>
      </w:r>
    </w:p>
    <w:p w14:paraId="381AC5AC" w14:textId="77777777" w:rsidR="00B62D96" w:rsidRPr="001F3A52" w:rsidRDefault="00B62D96" w:rsidP="00BF4A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61E1645" w14:textId="77777777" w:rsidR="00B62D96" w:rsidRPr="001F3A52" w:rsidRDefault="00B62D96" w:rsidP="00B62D96">
      <w:pPr>
        <w:ind w:firstLine="720"/>
      </w:pPr>
      <w:r w:rsidRPr="001F3A52">
        <w:t xml:space="preserve">The continuous release final rule has been in effect since September 24, 1990.  This ICR utilizes historical data on the number of continuous release reports submitted to the Federal government to estimate the number of burden hours attributable to the CRRR.  The statistics on the number of continuous release reports submitted to the Federal government are available through the </w:t>
      </w:r>
      <w:smartTag w:uri="urn:schemas-microsoft-com:office:smarttags" w:element="place">
        <w:smartTag w:uri="urn:schemas-microsoft-com:office:smarttags" w:element="PlaceName">
          <w:r w:rsidRPr="001F3A52">
            <w:t>National</w:t>
          </w:r>
        </w:smartTag>
        <w:r w:rsidRPr="001F3A52">
          <w:t xml:space="preserve"> </w:t>
        </w:r>
        <w:smartTag w:uri="urn:schemas-microsoft-com:office:smarttags" w:element="PlaceName">
          <w:r w:rsidRPr="001F3A52">
            <w:t>Response</w:t>
          </w:r>
        </w:smartTag>
        <w:r w:rsidRPr="001F3A52">
          <w:t xml:space="preserve"> </w:t>
        </w:r>
        <w:smartTag w:uri="urn:schemas-microsoft-com:office:smarttags" w:element="PlaceType">
          <w:r w:rsidRPr="001F3A52">
            <w:t>Center</w:t>
          </w:r>
        </w:smartTag>
      </w:smartTag>
      <w:r>
        <w:t>’</w:t>
      </w:r>
      <w:r w:rsidRPr="001F3A52">
        <w:t>s incident data base.</w:t>
      </w:r>
      <w:r w:rsidRPr="001F3A52">
        <w:rPr>
          <w:rStyle w:val="FootnoteReference"/>
          <w:vertAlign w:val="superscript"/>
        </w:rPr>
        <w:footnoteReference w:id="2"/>
      </w:r>
    </w:p>
    <w:p w14:paraId="7B495D82" w14:textId="77777777" w:rsidR="00B62D96" w:rsidRPr="001F3A52" w:rsidRDefault="00B62D96" w:rsidP="00B62D96"/>
    <w:p w14:paraId="48953B96" w14:textId="2DB74B52" w:rsidR="00B62D96" w:rsidRPr="0004089B" w:rsidRDefault="00B62D96" w:rsidP="00F41C62">
      <w:pPr>
        <w:ind w:firstLine="720"/>
      </w:pPr>
      <w:r w:rsidRPr="0004089B">
        <w:t>In the first year of the three-year period covered by this ICR, it is estimated th</w:t>
      </w:r>
      <w:r w:rsidR="00ED0FA7" w:rsidRPr="0004089B">
        <w:t>at</w:t>
      </w:r>
      <w:r w:rsidR="00E40194" w:rsidRPr="0004089B">
        <w:t xml:space="preserve"> </w:t>
      </w:r>
      <w:r w:rsidR="004B2D58" w:rsidRPr="0004089B">
        <w:t>4,</w:t>
      </w:r>
      <w:r w:rsidR="007E3EBB">
        <w:t>185</w:t>
      </w:r>
      <w:r w:rsidR="007E3EBB" w:rsidRPr="0004089B">
        <w:t xml:space="preserve"> </w:t>
      </w:r>
      <w:r w:rsidRPr="0004089B">
        <w:t xml:space="preserve">facilities will be affected by the CRRR.  Of the </w:t>
      </w:r>
      <w:r w:rsidR="004B2D58" w:rsidRPr="0004089B">
        <w:t>4,</w:t>
      </w:r>
      <w:r w:rsidR="00B44CEC">
        <w:t>185</w:t>
      </w:r>
      <w:r w:rsidR="004B2D58" w:rsidRPr="0004089B">
        <w:t xml:space="preserve"> </w:t>
      </w:r>
      <w:r w:rsidRPr="0004089B">
        <w:t>facilities affected in the first year, it is assumed that</w:t>
      </w:r>
      <w:r w:rsidR="00A74502" w:rsidRPr="0004089B">
        <w:t xml:space="preserve"> </w:t>
      </w:r>
      <w:r w:rsidR="007E3EBB">
        <w:t>7</w:t>
      </w:r>
      <w:r w:rsidR="00E40194" w:rsidRPr="0004089B">
        <w:t xml:space="preserve"> </w:t>
      </w:r>
      <w:r w:rsidRPr="0004089B">
        <w:t xml:space="preserve">will be reporting continuous releases for the first time and the remaining </w:t>
      </w:r>
      <w:r w:rsidR="00A74502" w:rsidRPr="0004089B">
        <w:t>4,</w:t>
      </w:r>
      <w:r w:rsidR="00B44CEC">
        <w:t>178</w:t>
      </w:r>
      <w:r w:rsidRPr="0004089B">
        <w:t xml:space="preserve"> will be meeting information collection requirements for ongoing releases.  In the second and third years, it is estimated that </w:t>
      </w:r>
      <w:r w:rsidR="00A74502" w:rsidRPr="0004089B">
        <w:t>7</w:t>
      </w:r>
      <w:r w:rsidR="00E40194" w:rsidRPr="0004089B">
        <w:t xml:space="preserve"> </w:t>
      </w:r>
      <w:r w:rsidRPr="0004089B">
        <w:t xml:space="preserve">and </w:t>
      </w:r>
      <w:r w:rsidR="007E3EBB">
        <w:t>8</w:t>
      </w:r>
      <w:r w:rsidRPr="0004089B">
        <w:t xml:space="preserve"> additional facilities, respectively, will generate reportable continuous releases.  When calculating the burdens and costs in this ICR it has been assumed that the typical facility participates in information collection activities for each release.  For example, the typical facility will provide an initial telephone notification and written report for each of its continuous releases.  In fact, it is likely that many facility operators will consolidate collection activities for releases at their facilities (e.g., provide one telephone notification for several releases).  Assuming eight releases per facility per year, and thus 8 information collection activities per facility per year, the total number of continuous release information collection activities in the first year of the three-year period covered by this ICR is estimated to be </w:t>
      </w:r>
      <w:r w:rsidR="0066269A">
        <w:t>33,600</w:t>
      </w:r>
      <w:r w:rsidRPr="0004089B">
        <w:t xml:space="preserve"> (</w:t>
      </w:r>
      <w:r w:rsidR="00D20995" w:rsidRPr="0004089B">
        <w:t>5</w:t>
      </w:r>
      <w:r w:rsidR="00292947">
        <w:t>5</w:t>
      </w:r>
      <w:r w:rsidR="00DA4ED6" w:rsidRPr="0004089B">
        <w:t xml:space="preserve"> </w:t>
      </w:r>
      <w:r w:rsidRPr="0004089B">
        <w:t xml:space="preserve">initial notification activities and </w:t>
      </w:r>
      <w:r w:rsidR="00D20995" w:rsidRPr="0004089B">
        <w:t>3</w:t>
      </w:r>
      <w:r w:rsidR="00B44CEC">
        <w:t>3,545</w:t>
      </w:r>
      <w:r w:rsidRPr="0004089B">
        <w:t xml:space="preserve"> ongoing notification activities).  In the second and third years of the period covered by this ICR, it is estimated that </w:t>
      </w:r>
      <w:r w:rsidR="002159C9" w:rsidRPr="0004089B">
        <w:t>5</w:t>
      </w:r>
      <w:r w:rsidR="00005B15">
        <w:t>9</w:t>
      </w:r>
      <w:r w:rsidR="00676598" w:rsidRPr="0004089B">
        <w:t xml:space="preserve"> and </w:t>
      </w:r>
      <w:r w:rsidR="002159C9" w:rsidRPr="0004089B">
        <w:t>6</w:t>
      </w:r>
      <w:r w:rsidR="00005B15">
        <w:t>3</w:t>
      </w:r>
      <w:r w:rsidR="00DA4ED6" w:rsidRPr="0004089B">
        <w:t xml:space="preserve"> i</w:t>
      </w:r>
      <w:r w:rsidRPr="0004089B">
        <w:t xml:space="preserve">nformation collection activities, respectively, will take place.  The total estimated burden to respondents is </w:t>
      </w:r>
      <w:r w:rsidR="00851C82" w:rsidRPr="0004089B">
        <w:t>approximately</w:t>
      </w:r>
      <w:r w:rsidR="002159C9" w:rsidRPr="0004089B">
        <w:t xml:space="preserve"> </w:t>
      </w:r>
      <w:r w:rsidR="007B6235">
        <w:t>3</w:t>
      </w:r>
      <w:r w:rsidR="00B44CEC">
        <w:t>33,774</w:t>
      </w:r>
      <w:r w:rsidR="00676598" w:rsidRPr="0004089B">
        <w:t>,</w:t>
      </w:r>
      <w:r w:rsidR="00DA4ED6" w:rsidRPr="0004089B">
        <w:t xml:space="preserve"> </w:t>
      </w:r>
      <w:r w:rsidR="002159C9" w:rsidRPr="0004089B">
        <w:t>3</w:t>
      </w:r>
      <w:r w:rsidR="00B44CEC">
        <w:t>34,455</w:t>
      </w:r>
      <w:r w:rsidR="00676598" w:rsidRPr="0004089B">
        <w:t xml:space="preserve">, and </w:t>
      </w:r>
      <w:r w:rsidR="00B44CEC">
        <w:t>335,187</w:t>
      </w:r>
      <w:r w:rsidR="00005B15">
        <w:t xml:space="preserve"> </w:t>
      </w:r>
      <w:r w:rsidRPr="0004089B">
        <w:t>hours in years 1</w:t>
      </w:r>
      <w:r w:rsidR="003C4648" w:rsidRPr="0004089B">
        <w:t>, 2</w:t>
      </w:r>
      <w:r w:rsidRPr="0004089B">
        <w:t>, and 3, respectively.  For the regulated community, the estimated information collection activity costs (including labor and O&amp;M costs) are</w:t>
      </w:r>
      <w:r w:rsidR="002159C9" w:rsidRPr="0004089B">
        <w:t xml:space="preserve"> $</w:t>
      </w:r>
      <w:r w:rsidR="005F38CE">
        <w:t>19,7</w:t>
      </w:r>
      <w:r w:rsidR="0069184F">
        <w:t>56,584</w:t>
      </w:r>
      <w:r w:rsidR="00676598" w:rsidRPr="0004089B">
        <w:t xml:space="preserve">, </w:t>
      </w:r>
      <w:r w:rsidR="002159C9" w:rsidRPr="0004089B">
        <w:t>$</w:t>
      </w:r>
      <w:r w:rsidR="0069184F">
        <w:t>19,796,854</w:t>
      </w:r>
      <w:r w:rsidR="00676598" w:rsidRPr="0004089B">
        <w:t xml:space="preserve">, and </w:t>
      </w:r>
      <w:r w:rsidR="002159C9" w:rsidRPr="0004089B">
        <w:t>$</w:t>
      </w:r>
      <w:r w:rsidR="0069184F">
        <w:t>19,840,260</w:t>
      </w:r>
      <w:r w:rsidR="00EB3F30" w:rsidRPr="0004089B">
        <w:t xml:space="preserve"> </w:t>
      </w:r>
      <w:r w:rsidR="00676598" w:rsidRPr="0004089B">
        <w:t>in years 1, 2, and 3, respectively</w:t>
      </w:r>
      <w:r w:rsidRPr="0004089B">
        <w:t xml:space="preserve">.  The total estimated burden to the </w:t>
      </w:r>
      <w:r w:rsidR="008D295F">
        <w:t xml:space="preserve">Federal, state, and local </w:t>
      </w:r>
      <w:r w:rsidRPr="0004089B">
        <w:t>government is approximately</w:t>
      </w:r>
      <w:r w:rsidR="00186ECA" w:rsidRPr="0004089B">
        <w:t xml:space="preserve"> </w:t>
      </w:r>
      <w:r w:rsidR="0036102C">
        <w:t>41,177</w:t>
      </w:r>
      <w:r w:rsidR="00970C49" w:rsidRPr="0004089B">
        <w:t xml:space="preserve">, </w:t>
      </w:r>
      <w:r w:rsidR="0036102C">
        <w:t>41,266</w:t>
      </w:r>
      <w:r w:rsidR="00970C49" w:rsidRPr="0004089B">
        <w:t xml:space="preserve">, and </w:t>
      </w:r>
      <w:r w:rsidR="0036102C">
        <w:t>41,376</w:t>
      </w:r>
      <w:r w:rsidR="00970C49" w:rsidRPr="0004089B">
        <w:t xml:space="preserve"> hours in years 1, 2, and 3,</w:t>
      </w:r>
      <w:r w:rsidRPr="0004089B">
        <w:t xml:space="preserve"> respectively.  The estimated total cost to the </w:t>
      </w:r>
      <w:r w:rsidR="008D295F">
        <w:t xml:space="preserve">Federal, state, and local </w:t>
      </w:r>
      <w:r w:rsidRPr="0004089B">
        <w:t>government is</w:t>
      </w:r>
      <w:r w:rsidR="00BD1126" w:rsidRPr="0004089B">
        <w:t xml:space="preserve"> $</w:t>
      </w:r>
      <w:r w:rsidR="00ED515D">
        <w:t>2,024</w:t>
      </w:r>
      <w:r w:rsidR="00BD1126" w:rsidRPr="0004089B">
        <w:t>,</w:t>
      </w:r>
      <w:r w:rsidR="00ED515D">
        <w:t>222</w:t>
      </w:r>
      <w:r w:rsidR="00970C49" w:rsidRPr="0004089B">
        <w:t xml:space="preserve"> </w:t>
      </w:r>
      <w:r w:rsidR="00BD1126" w:rsidRPr="0004089B">
        <w:t>$</w:t>
      </w:r>
      <w:r w:rsidR="00ED515D">
        <w:t>2,0</w:t>
      </w:r>
      <w:r w:rsidR="006E4618">
        <w:t>28,</w:t>
      </w:r>
      <w:r w:rsidR="00ED515D">
        <w:t>598</w:t>
      </w:r>
      <w:r w:rsidR="00970C49" w:rsidRPr="0004089B">
        <w:t>, and</w:t>
      </w:r>
      <w:r w:rsidR="00BD1126" w:rsidRPr="0004089B">
        <w:t xml:space="preserve"> $</w:t>
      </w:r>
      <w:r w:rsidR="00ED515D">
        <w:t>2,034,010</w:t>
      </w:r>
      <w:r w:rsidR="00970C49" w:rsidRPr="0004089B">
        <w:t>, in years 1, 2, and 3</w:t>
      </w:r>
      <w:r w:rsidRPr="0004089B">
        <w:t>, respectively.</w:t>
      </w:r>
      <w:r w:rsidRPr="0004089B">
        <w:tab/>
      </w:r>
    </w:p>
    <w:p w14:paraId="201BD0F8" w14:textId="77777777" w:rsidR="00FE07A2" w:rsidRDefault="00FE07A2" w:rsidP="00C47F14">
      <w:pPr>
        <w:ind w:firstLine="720"/>
      </w:pPr>
    </w:p>
    <w:p w14:paraId="662C8E03" w14:textId="0616A7EF" w:rsidR="00BB74C9" w:rsidRPr="00E4140E" w:rsidRDefault="00DD2EE7" w:rsidP="00F41C62">
      <w:pPr>
        <w:ind w:firstLine="720"/>
        <w:rPr>
          <w:color w:val="92D050"/>
        </w:rPr>
      </w:pPr>
      <w:r w:rsidRPr="00E4140E">
        <w:rPr>
          <w:color w:val="92D050"/>
        </w:rPr>
        <w:t xml:space="preserve">We estimate that the use of continuous release reporting forms will reduce overall burden to respondents by </w:t>
      </w:r>
      <w:r w:rsidR="008A5BB9" w:rsidRPr="00E4140E">
        <w:rPr>
          <w:color w:val="92D050"/>
        </w:rPr>
        <w:t>approximately</w:t>
      </w:r>
      <w:r w:rsidR="00DA4ED6" w:rsidRPr="00E4140E">
        <w:rPr>
          <w:color w:val="92D050"/>
        </w:rPr>
        <w:t xml:space="preserve"> </w:t>
      </w:r>
      <w:r w:rsidR="00685431" w:rsidRPr="00E4140E">
        <w:rPr>
          <w:color w:val="92D050"/>
        </w:rPr>
        <w:t>5</w:t>
      </w:r>
      <w:r w:rsidR="007A63DE">
        <w:rPr>
          <w:color w:val="92D050"/>
        </w:rPr>
        <w:t>5</w:t>
      </w:r>
      <w:r w:rsidR="00BB74C9" w:rsidRPr="00E4140E">
        <w:rPr>
          <w:color w:val="92D050"/>
        </w:rPr>
        <w:t>,</w:t>
      </w:r>
      <w:r w:rsidR="00685431" w:rsidRPr="00E4140E">
        <w:rPr>
          <w:color w:val="92D050"/>
        </w:rPr>
        <w:t xml:space="preserve"> 5</w:t>
      </w:r>
      <w:r w:rsidR="007A63DE">
        <w:rPr>
          <w:color w:val="92D050"/>
        </w:rPr>
        <w:t>9</w:t>
      </w:r>
      <w:r w:rsidR="00685431" w:rsidRPr="00E4140E">
        <w:rPr>
          <w:color w:val="92D050"/>
        </w:rPr>
        <w:t>,</w:t>
      </w:r>
      <w:r w:rsidR="00BB74C9" w:rsidRPr="00E4140E">
        <w:rPr>
          <w:color w:val="92D050"/>
        </w:rPr>
        <w:t xml:space="preserve"> and </w:t>
      </w:r>
      <w:r w:rsidR="00685431" w:rsidRPr="00E4140E">
        <w:rPr>
          <w:color w:val="92D050"/>
        </w:rPr>
        <w:t>6</w:t>
      </w:r>
      <w:r w:rsidR="007A63DE">
        <w:rPr>
          <w:color w:val="92D050"/>
        </w:rPr>
        <w:t>3</w:t>
      </w:r>
      <w:r w:rsidR="00DA4ED6" w:rsidRPr="00E4140E">
        <w:rPr>
          <w:color w:val="92D050"/>
        </w:rPr>
        <w:t xml:space="preserve"> </w:t>
      </w:r>
      <w:r w:rsidR="00BB74C9" w:rsidRPr="00E4140E">
        <w:rPr>
          <w:color w:val="92D050"/>
        </w:rPr>
        <w:t>hours in years 1, 2, and 3, respectively.</w:t>
      </w:r>
      <w:r w:rsidR="008813A3" w:rsidRPr="00E4140E">
        <w:rPr>
          <w:rStyle w:val="FootnoteReference"/>
          <w:color w:val="92D050"/>
          <w:vertAlign w:val="superscript"/>
        </w:rPr>
        <w:footnoteReference w:id="3"/>
      </w:r>
      <w:r w:rsidR="00BB74C9" w:rsidRPr="00E4140E">
        <w:rPr>
          <w:color w:val="92D050"/>
        </w:rPr>
        <w:t xml:space="preserve">  For the regulated community, the </w:t>
      </w:r>
      <w:r w:rsidR="008A5BB9" w:rsidRPr="00E4140E">
        <w:rPr>
          <w:color w:val="92D050"/>
        </w:rPr>
        <w:t xml:space="preserve">we estimate that the </w:t>
      </w:r>
      <w:r w:rsidR="00BB74C9" w:rsidRPr="00E4140E">
        <w:rPr>
          <w:color w:val="92D050"/>
        </w:rPr>
        <w:t xml:space="preserve">information collection activity costs (including labor and O&amp;M costs) </w:t>
      </w:r>
      <w:r w:rsidR="008A5BB9" w:rsidRPr="00E4140E">
        <w:rPr>
          <w:color w:val="92D050"/>
        </w:rPr>
        <w:t>will be reduced by</w:t>
      </w:r>
      <w:r w:rsidR="00DA4ED6" w:rsidRPr="00E4140E">
        <w:rPr>
          <w:color w:val="92D050"/>
        </w:rPr>
        <w:t xml:space="preserve"> </w:t>
      </w:r>
      <w:r w:rsidR="00F84B54" w:rsidRPr="00E4140E">
        <w:rPr>
          <w:color w:val="92D050"/>
        </w:rPr>
        <w:t>$</w:t>
      </w:r>
      <w:r w:rsidR="009E5C2F">
        <w:rPr>
          <w:color w:val="92D050"/>
        </w:rPr>
        <w:t>3,063</w:t>
      </w:r>
      <w:r w:rsidR="00BB74C9" w:rsidRPr="00E4140E">
        <w:rPr>
          <w:color w:val="92D050"/>
        </w:rPr>
        <w:t xml:space="preserve">, </w:t>
      </w:r>
      <w:r w:rsidR="00F84B54" w:rsidRPr="00E4140E">
        <w:rPr>
          <w:color w:val="92D050"/>
        </w:rPr>
        <w:t>$</w:t>
      </w:r>
      <w:r w:rsidR="006F00AB">
        <w:rPr>
          <w:color w:val="92D050"/>
        </w:rPr>
        <w:t>3,293</w:t>
      </w:r>
      <w:r w:rsidR="00BB74C9" w:rsidRPr="00E4140E">
        <w:rPr>
          <w:color w:val="92D050"/>
        </w:rPr>
        <w:t xml:space="preserve">, and </w:t>
      </w:r>
      <w:r w:rsidR="00F84B54" w:rsidRPr="00E4140E">
        <w:rPr>
          <w:color w:val="92D050"/>
        </w:rPr>
        <w:t>$</w:t>
      </w:r>
      <w:r w:rsidR="00D004D0">
        <w:rPr>
          <w:color w:val="92D050"/>
        </w:rPr>
        <w:t>3</w:t>
      </w:r>
      <w:r w:rsidR="006F00AB">
        <w:rPr>
          <w:color w:val="92D050"/>
        </w:rPr>
        <w:t>,540</w:t>
      </w:r>
      <w:r w:rsidR="008A5BB9" w:rsidRPr="00E4140E">
        <w:rPr>
          <w:color w:val="92D050"/>
        </w:rPr>
        <w:t xml:space="preserve"> </w:t>
      </w:r>
      <w:r w:rsidR="00BB74C9" w:rsidRPr="00E4140E">
        <w:rPr>
          <w:color w:val="92D050"/>
        </w:rPr>
        <w:t xml:space="preserve">in years 1, 2, and 3, respectively.  The estimated burden </w:t>
      </w:r>
      <w:r w:rsidR="008A5BB9" w:rsidRPr="00E4140E">
        <w:rPr>
          <w:color w:val="92D050"/>
        </w:rPr>
        <w:t xml:space="preserve">reduction </w:t>
      </w:r>
      <w:r w:rsidR="00BB74C9" w:rsidRPr="00E4140E">
        <w:rPr>
          <w:color w:val="92D050"/>
        </w:rPr>
        <w:t xml:space="preserve">to the government is </w:t>
      </w:r>
      <w:r w:rsidR="004569C5" w:rsidRPr="00E4140E">
        <w:rPr>
          <w:color w:val="92D050"/>
        </w:rPr>
        <w:t>approximately</w:t>
      </w:r>
      <w:r w:rsidR="00EB3F30" w:rsidRPr="00E4140E">
        <w:rPr>
          <w:color w:val="92D050"/>
        </w:rPr>
        <w:t xml:space="preserve"> </w:t>
      </w:r>
      <w:r w:rsidR="006F00AB">
        <w:rPr>
          <w:color w:val="92D050"/>
        </w:rPr>
        <w:t>9,736</w:t>
      </w:r>
      <w:r w:rsidR="000B39B0" w:rsidRPr="00E4140E">
        <w:rPr>
          <w:color w:val="92D050"/>
        </w:rPr>
        <w:t>,</w:t>
      </w:r>
      <w:r w:rsidR="00546213" w:rsidRPr="00E4140E">
        <w:rPr>
          <w:color w:val="92D050"/>
        </w:rPr>
        <w:t xml:space="preserve"> </w:t>
      </w:r>
      <w:r w:rsidR="006F00AB">
        <w:rPr>
          <w:color w:val="92D050"/>
        </w:rPr>
        <w:t>9,757</w:t>
      </w:r>
      <w:r w:rsidR="00BB74C9" w:rsidRPr="00E4140E">
        <w:rPr>
          <w:color w:val="92D050"/>
        </w:rPr>
        <w:t xml:space="preserve">, and </w:t>
      </w:r>
      <w:r w:rsidR="006F00AB">
        <w:rPr>
          <w:color w:val="92D050"/>
        </w:rPr>
        <w:t>9,784</w:t>
      </w:r>
      <w:r w:rsidR="00DA4ED6" w:rsidRPr="00E4140E">
        <w:rPr>
          <w:color w:val="92D050"/>
        </w:rPr>
        <w:t xml:space="preserve"> </w:t>
      </w:r>
      <w:r w:rsidR="00BB74C9" w:rsidRPr="00E4140E">
        <w:rPr>
          <w:color w:val="92D050"/>
        </w:rPr>
        <w:t xml:space="preserve">hours in years 1, 2, and 3, respectively.  The estimated </w:t>
      </w:r>
      <w:r w:rsidR="004569C5" w:rsidRPr="00E4140E">
        <w:rPr>
          <w:color w:val="92D050"/>
        </w:rPr>
        <w:t xml:space="preserve">reduction in </w:t>
      </w:r>
      <w:r w:rsidR="00BB74C9" w:rsidRPr="00E4140E">
        <w:rPr>
          <w:color w:val="92D050"/>
        </w:rPr>
        <w:t xml:space="preserve">cost to the government </w:t>
      </w:r>
      <w:r w:rsidR="000B39B0" w:rsidRPr="00E4140E">
        <w:rPr>
          <w:color w:val="92D050"/>
        </w:rPr>
        <w:t>is</w:t>
      </w:r>
      <w:r w:rsidR="00EB3F30" w:rsidRPr="00E4140E">
        <w:rPr>
          <w:color w:val="92D050"/>
        </w:rPr>
        <w:t xml:space="preserve"> </w:t>
      </w:r>
      <w:r w:rsidR="00087467" w:rsidRPr="00E4140E">
        <w:rPr>
          <w:color w:val="92D050"/>
        </w:rPr>
        <w:t>$</w:t>
      </w:r>
      <w:r w:rsidR="006F00AB">
        <w:rPr>
          <w:color w:val="92D050"/>
        </w:rPr>
        <w:t>478,564</w:t>
      </w:r>
      <w:r w:rsidR="007A63DE">
        <w:rPr>
          <w:color w:val="92D050"/>
        </w:rPr>
        <w:t>,</w:t>
      </w:r>
      <w:r w:rsidR="00BB74C9" w:rsidRPr="00E4140E">
        <w:rPr>
          <w:color w:val="92D050"/>
        </w:rPr>
        <w:t xml:space="preserve"> </w:t>
      </w:r>
      <w:r w:rsidR="00087467" w:rsidRPr="00E4140E">
        <w:rPr>
          <w:color w:val="92D050"/>
        </w:rPr>
        <w:t>$</w:t>
      </w:r>
      <w:r w:rsidR="006F00AB">
        <w:rPr>
          <w:color w:val="92D050"/>
        </w:rPr>
        <w:t>479,577</w:t>
      </w:r>
      <w:r w:rsidR="00BB74C9" w:rsidRPr="00E4140E">
        <w:rPr>
          <w:color w:val="92D050"/>
        </w:rPr>
        <w:t>, and</w:t>
      </w:r>
      <w:r w:rsidR="00DA4ED6" w:rsidRPr="00E4140E">
        <w:rPr>
          <w:color w:val="92D050"/>
        </w:rPr>
        <w:t xml:space="preserve"> </w:t>
      </w:r>
      <w:r w:rsidR="00087467" w:rsidRPr="00E4140E">
        <w:rPr>
          <w:color w:val="92D050"/>
        </w:rPr>
        <w:t>$</w:t>
      </w:r>
      <w:r w:rsidR="006F00AB">
        <w:rPr>
          <w:color w:val="92D050"/>
        </w:rPr>
        <w:t>480,903</w:t>
      </w:r>
      <w:r w:rsidR="00BB74C9" w:rsidRPr="00E4140E">
        <w:rPr>
          <w:color w:val="92D050"/>
        </w:rPr>
        <w:t>, in years 1, 2, and 3, respectively.</w:t>
      </w:r>
      <w:r w:rsidR="00BB74C9" w:rsidRPr="00E4140E">
        <w:rPr>
          <w:color w:val="92D050"/>
        </w:rPr>
        <w:tab/>
      </w:r>
    </w:p>
    <w:p w14:paraId="5650F3B6" w14:textId="77777777" w:rsidR="006401EE" w:rsidRDefault="006401EE" w:rsidP="00BB74C9">
      <w:pPr>
        <w:ind w:firstLine="720"/>
        <w:rPr>
          <w:color w:val="33CC33"/>
        </w:rPr>
      </w:pPr>
    </w:p>
    <w:p w14:paraId="7AA27929" w14:textId="77777777" w:rsidR="00913C33" w:rsidRDefault="00913C33" w:rsidP="00913C33">
      <w:pPr>
        <w:pStyle w:val="Heading1"/>
      </w:pPr>
      <w:bookmarkStart w:id="4" w:name="_Toc188347086"/>
      <w:bookmarkStart w:id="5" w:name="_Toc295823931"/>
      <w:bookmarkStart w:id="6" w:name="_Hlk513540054"/>
      <w:r>
        <w:t>NEED FOR AND USE OF THE COLLECTION</w:t>
      </w:r>
      <w:bookmarkEnd w:id="4"/>
      <w:bookmarkEnd w:id="5"/>
    </w:p>
    <w:p w14:paraId="460F1740" w14:textId="77777777" w:rsidR="00913C33" w:rsidRDefault="00913C33" w:rsidP="00913C33">
      <w:pPr>
        <w:pStyle w:val="Heading2"/>
      </w:pPr>
      <w:bookmarkStart w:id="7" w:name="_Toc188347087"/>
      <w:bookmarkStart w:id="8" w:name="_Toc295823932"/>
      <w:r>
        <w:t>Need and Authority for the Collection</w:t>
      </w:r>
      <w:bookmarkEnd w:id="7"/>
      <w:bookmarkEnd w:id="8"/>
    </w:p>
    <w:p w14:paraId="4BFBC7BE" w14:textId="77777777" w:rsidR="00913C33" w:rsidRDefault="00913C33" w:rsidP="00913C33"/>
    <w:p w14:paraId="0D392E6F" w14:textId="639C72D4" w:rsidR="00F477C4" w:rsidRDefault="00913C33" w:rsidP="00913C33">
      <w:pPr>
        <w:ind w:firstLine="720"/>
      </w:pPr>
      <w:r w:rsidRPr="001F3A52">
        <w:t>The information collection required in the CRRR (40 CFR 302.8) is authorized under CERCLA section 103(f)(2) and section 104(e)</w:t>
      </w:r>
      <w:r w:rsidR="00D9492B">
        <w:t>.</w:t>
      </w:r>
      <w:r w:rsidRPr="001F3A52">
        <w:t xml:space="preserve"> </w:t>
      </w:r>
      <w:r w:rsidR="00F477C4">
        <w:t xml:space="preserve"> </w:t>
      </w:r>
      <w:r w:rsidRPr="001F3A52">
        <w:t xml:space="preserve">CERCLA section 103(f)(2) provides relief from the </w:t>
      </w:r>
      <w:r w:rsidR="00F477C4">
        <w:t xml:space="preserve">immediate </w:t>
      </w:r>
      <w:r w:rsidRPr="001F3A52">
        <w:t>notification requirements of CERCLA section 103(a)</w:t>
      </w:r>
      <w:r w:rsidR="003A6406">
        <w:t xml:space="preserve"> </w:t>
      </w:r>
      <w:r w:rsidRPr="001F3A52">
        <w:t xml:space="preserve">for hazardous substance releases that are </w:t>
      </w:r>
      <w:r>
        <w:t>“</w:t>
      </w:r>
      <w:r w:rsidRPr="001F3A52">
        <w:t>continuous,</w:t>
      </w:r>
      <w:r>
        <w:t>”</w:t>
      </w:r>
      <w:r w:rsidRPr="001F3A52">
        <w:t xml:space="preserve"> </w:t>
      </w:r>
      <w:r>
        <w:t>“</w:t>
      </w:r>
      <w:r w:rsidRPr="001F3A52">
        <w:t>stable in quantity and rate,</w:t>
      </w:r>
      <w:r>
        <w:t>”</w:t>
      </w:r>
      <w:r w:rsidRPr="001F3A52">
        <w:t xml:space="preserve"> and for which notification has been given under CERCLA section 103(a) </w:t>
      </w:r>
      <w:r>
        <w:t>“</w:t>
      </w:r>
      <w:r w:rsidRPr="001F3A52">
        <w:t>for a period sufficient to establish the continuity, quantity, and regularity</w:t>
      </w:r>
      <w:r>
        <w:t>”</w:t>
      </w:r>
      <w:r w:rsidRPr="001F3A52">
        <w:t xml:space="preserve"> of the release.  Further, CERCLA section 103(f)(2) requires that notification of releases qualified as continuous under the CRRR must be provided </w:t>
      </w:r>
      <w:r>
        <w:t>“</w:t>
      </w:r>
      <w:r w:rsidRPr="001F3A52">
        <w:t>annually, or at such time as there is any statistically significant increase</w:t>
      </w:r>
      <w:r>
        <w:t>”</w:t>
      </w:r>
      <w:r w:rsidRPr="001F3A52">
        <w:t xml:space="preserve"> in the quantity of the release.  The specific information provided in the required notifications is authorized under CERCLA section 104(e).  CERCLA section 104(e)</w:t>
      </w:r>
      <w:r w:rsidR="003A6406">
        <w:t xml:space="preserve"> </w:t>
      </w:r>
      <w:r w:rsidRPr="001F3A52">
        <w:t xml:space="preserve">authorizes the collection of information, entry, and inspection and sampling activities for the purposes of determining the need for a response, or choosing or taking any response action under CERCLA.  </w:t>
      </w:r>
    </w:p>
    <w:p w14:paraId="38969AA9" w14:textId="24B48B59" w:rsidR="00F235F1" w:rsidRDefault="00F235F1" w:rsidP="00913C33">
      <w:pPr>
        <w:ind w:firstLine="720"/>
      </w:pPr>
    </w:p>
    <w:p w14:paraId="3D528F07" w14:textId="7535D180" w:rsidR="00F235F1" w:rsidRDefault="00F235F1" w:rsidP="00913C33">
      <w:pPr>
        <w:ind w:firstLine="720"/>
      </w:pPr>
      <w:r>
        <w:t>As stated in section 1(b) of this document, reduced reporting provisions that apply to continuous releases under CERCLA section 103(f)(2) is also appli</w:t>
      </w:r>
      <w:r w:rsidR="000E0047">
        <w:t xml:space="preserve">cable </w:t>
      </w:r>
      <w:r>
        <w:t xml:space="preserve">to </w:t>
      </w:r>
      <w:r w:rsidR="00C5036B">
        <w:t xml:space="preserve">notification provided to the SERC and LEPC under </w:t>
      </w:r>
      <w:r w:rsidR="00436A81">
        <w:t>EPCRA section 304</w:t>
      </w:r>
      <w:r w:rsidR="00C5036B">
        <w:t xml:space="preserve"> for continuous releases</w:t>
      </w:r>
      <w:r w:rsidR="00436A81">
        <w:t xml:space="preserve">.  In other words, releases that meet the definition of continuous releases may be reported as such under EPCRA section 304 to the SERC and LEPC, rather than making immediate notification to these entities.  </w:t>
      </w:r>
    </w:p>
    <w:bookmarkEnd w:id="6"/>
    <w:p w14:paraId="664012A5" w14:textId="77777777" w:rsidR="00F477C4" w:rsidRDefault="00F477C4" w:rsidP="00913C33">
      <w:pPr>
        <w:ind w:firstLine="720"/>
      </w:pPr>
    </w:p>
    <w:p w14:paraId="152AA788" w14:textId="6A1982EA" w:rsidR="00913C33" w:rsidRPr="006E2CC6" w:rsidRDefault="00913C33" w:rsidP="00913C33">
      <w:pPr>
        <w:ind w:firstLine="720"/>
      </w:pPr>
      <w:r w:rsidRPr="001F3A52">
        <w:t>In addition, CERCLA section 103(f)(2) establishes a notification system that documents information provided in the respondent notifications.  The information collection and management requirements of the CRRR are necessary to determine if a response action is needed to control or mitigate any potential adverse effects associated with a reported hazardous substance release.</w:t>
      </w:r>
    </w:p>
    <w:p w14:paraId="2069C847" w14:textId="77777777" w:rsidR="00913C33" w:rsidRPr="009D30AC" w:rsidRDefault="00913C33" w:rsidP="00913C33">
      <w:pPr>
        <w:pStyle w:val="Heading2"/>
      </w:pPr>
      <w:bookmarkStart w:id="9" w:name="_Toc188347088"/>
      <w:bookmarkStart w:id="10" w:name="_Toc295823933"/>
      <w:r>
        <w:t>Practical Utility and Users of the Data</w:t>
      </w:r>
      <w:bookmarkEnd w:id="9"/>
      <w:bookmarkEnd w:id="10"/>
    </w:p>
    <w:p w14:paraId="1535044B" w14:textId="77777777" w:rsidR="00913C33" w:rsidRPr="00E205C3" w:rsidRDefault="00913C33" w:rsidP="00913C33">
      <w:pPr>
        <w:ind w:firstLine="720"/>
      </w:pPr>
    </w:p>
    <w:p w14:paraId="2DF26313" w14:textId="77777777" w:rsidR="00913C33" w:rsidRDefault="00913C33" w:rsidP="00913C33">
      <w:pPr>
        <w:ind w:firstLine="720"/>
      </w:pPr>
      <w:r w:rsidRPr="001F3A52">
        <w:t>The information collected under the CRRR is used to evaluate the acute and chronic effects of the continuous release to determine if a response action is necessary to prevent or mitigate any adverse effects.  Any hazardous substance release that equals or exceeds its RQ warrants a timely evaluation of its source, emission rate, and chemical form, the proximity of sensitive populations or ecosystems, and the ambient conditions, to ensure the protection of public health and welfare and the environment.  Agency responses to continuous hazardous substance release notifications may take a number of forms ranging from requests for more detailed information (to allow for a more detailed risk assessment), to the imposition of more stringent emissions limitations, to removal and/or remedial actions.  Finally, the release notification information is used by State and local government emergency planners to conduct State and local emergency response planning.</w:t>
      </w:r>
      <w:r>
        <w:t xml:space="preserve"> </w:t>
      </w:r>
    </w:p>
    <w:p w14:paraId="46CFA1B9" w14:textId="77777777" w:rsidR="00913C33" w:rsidRDefault="00913C33" w:rsidP="00913C33">
      <w:pPr>
        <w:ind w:firstLine="720"/>
      </w:pPr>
    </w:p>
    <w:p w14:paraId="267C1D89" w14:textId="184BE45C" w:rsidR="00913C33" w:rsidRDefault="00AE7E1F" w:rsidP="00913C33">
      <w:pPr>
        <w:pStyle w:val="Heading1"/>
      </w:pPr>
      <w:bookmarkStart w:id="11" w:name="_Toc188347089"/>
      <w:bookmarkStart w:id="12" w:name="_Toc295823934"/>
      <w:r>
        <w:t>NON- DUPLICATION</w:t>
      </w:r>
      <w:r w:rsidR="00913C33">
        <w:t>, CONSULTATIONS, AND OTHER COLLECTION CRITERIA</w:t>
      </w:r>
      <w:bookmarkEnd w:id="11"/>
      <w:bookmarkEnd w:id="12"/>
    </w:p>
    <w:p w14:paraId="0285D6C2" w14:textId="1349200B" w:rsidR="00913C33" w:rsidRDefault="00AE7E1F" w:rsidP="00913C33">
      <w:pPr>
        <w:pStyle w:val="Heading2"/>
      </w:pPr>
      <w:r>
        <w:t>Non- Duplication</w:t>
      </w:r>
    </w:p>
    <w:p w14:paraId="638C769D" w14:textId="77777777" w:rsidR="00913C33" w:rsidRDefault="00913C33" w:rsidP="00913C33"/>
    <w:p w14:paraId="1EAF5056" w14:textId="3FED9300" w:rsidR="00913C33" w:rsidRPr="001F3A52" w:rsidRDefault="00913C33" w:rsidP="00913C33">
      <w:pPr>
        <w:ind w:firstLine="720"/>
      </w:pPr>
      <w:r w:rsidRPr="001F3A52">
        <w:t xml:space="preserve">The hazardous substance release information requested under the CRRR in the initial written and follow-up reports is the minimum information necessary to properly evaluate a hazardous substance release.  EPA analyzed possible areas of overlap with other regulations, concluding that there are limited areas of overlap with reporting requirements under other statutes and provisions.  In particular, some facilities may need to provide similar hazardous substance release information to satisfy reporting requirements for the Toxic Release Inventory (TRI) report under </w:t>
      </w:r>
      <w:r w:rsidR="00436A81">
        <w:t>EPCRA</w:t>
      </w:r>
      <w:r w:rsidRPr="001F3A52">
        <w:t xml:space="preserve"> section 313.  The level of duplication, however, is limited because of differences in the list of chemicals, and the </w:t>
      </w:r>
      <w:r w:rsidR="00043C94">
        <w:t>NAICS/</w:t>
      </w:r>
      <w:r w:rsidRPr="001F3A52">
        <w:t xml:space="preserve">SIC and facility sizes affected by </w:t>
      </w:r>
      <w:r w:rsidR="00043C94">
        <w:t>EPCRA</w:t>
      </w:r>
      <w:r w:rsidRPr="001F3A52">
        <w:t xml:space="preserve"> section 313.  </w:t>
      </w:r>
      <w:r w:rsidR="00043C94">
        <w:t>EPCRA</w:t>
      </w:r>
      <w:r w:rsidRPr="001F3A52">
        <w:t xml:space="preserve"> section 313 requirements only apply to facilities in certain </w:t>
      </w:r>
      <w:r w:rsidR="00043C94">
        <w:t>NAICS/</w:t>
      </w:r>
      <w:r w:rsidRPr="001F3A52">
        <w:t xml:space="preserve">SIC categories whose inventory quantities exceed 10,000 pounds; CERCLA section 103 affects facilities in all </w:t>
      </w:r>
      <w:r w:rsidR="00043C94">
        <w:t>NAICS/</w:t>
      </w:r>
      <w:r w:rsidRPr="001F3A52">
        <w:t xml:space="preserve">SIC codes regardless of inventory amounts.  In addition, the </w:t>
      </w:r>
      <w:r w:rsidR="00043C94">
        <w:t>EPCRA</w:t>
      </w:r>
      <w:r w:rsidRPr="001F3A52">
        <w:t xml:space="preserve"> section 313 list of toxic chemicals includes only about one-fourth of the listed CERCLA hazardous substances.  Further, the </w:t>
      </w:r>
      <w:r w:rsidR="00043C94">
        <w:t>EPCRA</w:t>
      </w:r>
      <w:r w:rsidRPr="001F3A52">
        <w:t xml:space="preserve"> section 313 list includes some substances that are not on the CERCLA list at all. </w:t>
      </w:r>
    </w:p>
    <w:p w14:paraId="46A9C1EB" w14:textId="77777777" w:rsidR="00913C33" w:rsidRPr="001F3A52" w:rsidRDefault="00913C33" w:rsidP="00913C33"/>
    <w:p w14:paraId="79812391" w14:textId="19B8D668" w:rsidR="00913C33" w:rsidRPr="001F3A52" w:rsidRDefault="00913C33" w:rsidP="00913C33">
      <w:pPr>
        <w:ind w:firstLine="720"/>
      </w:pPr>
      <w:r w:rsidRPr="001F3A52">
        <w:t xml:space="preserve">To minimize any duplication in reporting, EPA allows facilities that are subject to the reporting requirements of both regulations to submit the </w:t>
      </w:r>
      <w:r w:rsidR="00043C94">
        <w:t>EPCRA</w:t>
      </w:r>
      <w:r w:rsidRPr="001F3A52">
        <w:t xml:space="preserve"> section 313 report (otherwise known as the TRI report) as a substitute for the written reports required under the CRRR, provided that certain additional continuous release information is included as an addendum to the TRI report.  If the TRI report is submitted in lieu of the continuous release written report, based on each source release, the following continuous release information must also be included in the TRI report: (1) the upper and lower bounds (normal range) of the release over a 24-hour period of each hazardous substance; (2) the frequency of the release from each release source; (3) a signed statement describing the basis for asserting that the release is continuous and stable in quantity and rate; (4) the population density within a one-mile radius; and (5) the identity and location of any sensitive populations and ecosystems within a one-mile radius.  These additions will provide EPA with information that is not available from the TRI report, but is required to properly evaluate the need for a government response.</w:t>
      </w:r>
    </w:p>
    <w:p w14:paraId="6A3E71A7" w14:textId="77777777" w:rsidR="00913C33" w:rsidRPr="001F3A52" w:rsidRDefault="00913C33" w:rsidP="00913C33"/>
    <w:p w14:paraId="789AF6CC" w14:textId="3C765155" w:rsidR="00913C33" w:rsidRDefault="00913C33" w:rsidP="00913C33">
      <w:pPr>
        <w:ind w:firstLine="720"/>
      </w:pPr>
      <w:r w:rsidRPr="001F3A52">
        <w:t>Additionally, continuous release reporting eliminates frequent and repetitive reporting under CERCLA section 103(a)</w:t>
      </w:r>
      <w:r w:rsidR="00D30F2A">
        <w:t xml:space="preserve"> and EPCRA Section 304</w:t>
      </w:r>
      <w:r w:rsidR="00043C94">
        <w:t xml:space="preserve"> (immediate notification)</w:t>
      </w:r>
      <w:r w:rsidRPr="001F3A52">
        <w:t xml:space="preserve">.  If a facility with continuous releases were to report on a per-occurrence basis under </w:t>
      </w:r>
      <w:r w:rsidR="008159CB">
        <w:t xml:space="preserve">CERCLA </w:t>
      </w:r>
      <w:r w:rsidRPr="001F3A52">
        <w:t>section 103(a)</w:t>
      </w:r>
      <w:r w:rsidR="00D30F2A">
        <w:t xml:space="preserve"> and EPCRA Section 304</w:t>
      </w:r>
      <w:r w:rsidRPr="001F3A52">
        <w:t>, the facility could be notifying the NRC</w:t>
      </w:r>
      <w:r w:rsidR="00043C94">
        <w:t>, SERC</w:t>
      </w:r>
      <w:r w:rsidR="00F41C62">
        <w:t>,</w:t>
      </w:r>
      <w:r w:rsidR="00043C94">
        <w:t xml:space="preserve"> and LEPC</w:t>
      </w:r>
      <w:r w:rsidRPr="001F3A52">
        <w:t xml:space="preserve"> daily.  Respondents with continuous releases may be unnecessarily reporting under CERCLA section 103(a)</w:t>
      </w:r>
      <w:r w:rsidR="00D30F2A">
        <w:t xml:space="preserve"> and EPCRA Section 304</w:t>
      </w:r>
      <w:r w:rsidRPr="001F3A52">
        <w:t xml:space="preserve"> because they: (1) may not be familiar with the reduced reporting option under section 103(f)(2), or (2) may not realize that there is a reduced burden associated with a one-time initial telephone notification and submission of an initial written report and one follow-up report under the CRRR.  </w:t>
      </w:r>
      <w:bookmarkStart w:id="13" w:name="a3_a__reference_to_outreach_activities_i"/>
      <w:bookmarkEnd w:id="13"/>
      <w:r w:rsidRPr="001F3A52">
        <w:t>EPA</w:t>
      </w:r>
      <w:r>
        <w:t>’</w:t>
      </w:r>
      <w:r w:rsidRPr="001F3A52">
        <w:t>s outreach efforts to increase industry awareness are described in Section 5(b).  As respondents become more aware of the CRRR and the ability to simplify and reduce expenses associated with continuous release reporting, it is possible that some reports could be redirected from CERCLA section 103(a)</w:t>
      </w:r>
      <w:r>
        <w:t xml:space="preserve"> </w:t>
      </w:r>
      <w:r w:rsidRPr="001F3A52">
        <w:t>(ERNS) to CERCLA section 103(f)(2) (CR-ERNS).</w:t>
      </w:r>
    </w:p>
    <w:p w14:paraId="6BFAD5DC" w14:textId="77777777" w:rsidR="00913C33" w:rsidRDefault="00913C33" w:rsidP="00913C33">
      <w:pPr>
        <w:pStyle w:val="Heading2"/>
      </w:pPr>
      <w:bookmarkStart w:id="14" w:name="_Toc188347091"/>
      <w:bookmarkStart w:id="15" w:name="_Toc295823936"/>
      <w:r>
        <w:t>Public Notice Required Prior to ICR Submission to OMB</w:t>
      </w:r>
      <w:bookmarkEnd w:id="14"/>
      <w:bookmarkEnd w:id="15"/>
    </w:p>
    <w:p w14:paraId="10EB4C8A" w14:textId="77777777" w:rsidR="00913C33" w:rsidRDefault="00913C33" w:rsidP="00913C33"/>
    <w:p w14:paraId="2DE4081A" w14:textId="71956C5C" w:rsidR="00E9333C" w:rsidRPr="008B3606" w:rsidRDefault="00E9333C" w:rsidP="00E9333C">
      <w:pPr>
        <w:ind w:firstLine="720"/>
      </w:pPr>
      <w:r w:rsidRPr="001F3A52">
        <w:t xml:space="preserve">In compliance with the Paperwork Reduction Act (PRA) (44 U.S.C. 3501 </w:t>
      </w:r>
      <w:r w:rsidRPr="001F3A52">
        <w:rPr>
          <w:u w:val="single"/>
        </w:rPr>
        <w:t>et seq</w:t>
      </w:r>
      <w:r w:rsidRPr="001F3A52">
        <w:t xml:space="preserve">.), EPA has notified the public through the </w:t>
      </w:r>
      <w:r w:rsidRPr="001F3A52">
        <w:rPr>
          <w:u w:val="single"/>
        </w:rPr>
        <w:t>Federal Register</w:t>
      </w:r>
      <w:r w:rsidRPr="001F3A52">
        <w:t xml:space="preserve"> notice on the renewal of this ICR</w:t>
      </w:r>
      <w:r w:rsidR="00955886">
        <w:t xml:space="preserve"> (83 FR 24795, May 30, 2018)</w:t>
      </w:r>
      <w:r w:rsidRPr="001F3A52">
        <w:t xml:space="preserve">.  </w:t>
      </w:r>
      <w:r w:rsidR="00955886">
        <w:t xml:space="preserve">EPA received five comments which were outside the scope of this ICR.  </w:t>
      </w:r>
    </w:p>
    <w:p w14:paraId="2017893E" w14:textId="77777777" w:rsidR="00913C33" w:rsidRDefault="00913C33" w:rsidP="00913C33">
      <w:pPr>
        <w:pStyle w:val="Heading2"/>
      </w:pPr>
      <w:bookmarkStart w:id="16" w:name="_Toc188347092"/>
      <w:bookmarkStart w:id="17" w:name="_Toc295823937"/>
      <w:r>
        <w:t>Consultations</w:t>
      </w:r>
      <w:bookmarkEnd w:id="16"/>
      <w:bookmarkEnd w:id="17"/>
    </w:p>
    <w:p w14:paraId="41F8C10D" w14:textId="77777777" w:rsidR="00913C33" w:rsidRDefault="00913C33" w:rsidP="00913C33"/>
    <w:p w14:paraId="7F12EC08" w14:textId="40B82AF0" w:rsidR="00913C33" w:rsidRPr="001F3A52" w:rsidRDefault="00913C33" w:rsidP="00913C33">
      <w:pPr>
        <w:ind w:firstLine="720"/>
      </w:pPr>
      <w:r w:rsidRPr="001F3A52">
        <w:t xml:space="preserve">EPA consulted with </w:t>
      </w:r>
      <w:r w:rsidR="00EB2412">
        <w:t>other f</w:t>
      </w:r>
      <w:r w:rsidRPr="001F3A52">
        <w:t xml:space="preserve">ederal and State government agencies in the development of the information collection activities described in this ICR. To develop the CRRR, EPA formed a Workgroup to address the comments received on the Notice of Proposed Rulemaking (NPRM) published on April 19, 1988 (53 </w:t>
      </w:r>
      <w:r w:rsidRPr="001F3A52">
        <w:rPr>
          <w:u w:val="single"/>
        </w:rPr>
        <w:t>FR</w:t>
      </w:r>
      <w:r w:rsidR="00EB2412">
        <w:t xml:space="preserve"> 12868). </w:t>
      </w:r>
      <w:r w:rsidRPr="001F3A52">
        <w:t>The Workgroup consisted of representatives from vari</w:t>
      </w:r>
      <w:r w:rsidR="00EB2412">
        <w:t>ous EPA program offices, the 10 EPA Regions, and the NRC.</w:t>
      </w:r>
      <w:r w:rsidRPr="001F3A52">
        <w:t xml:space="preserve"> EPA Regional offices were responsible for the imp</w:t>
      </w:r>
      <w:r w:rsidR="00EB2412">
        <w:t xml:space="preserve">lementation of the final rule. </w:t>
      </w:r>
      <w:r w:rsidRPr="001F3A52">
        <w:t>Participation by these parties in the Workgroup was sufficient to address and r</w:t>
      </w:r>
      <w:r w:rsidR="00EB2412">
        <w:t xml:space="preserve">esolve all outstanding issues. </w:t>
      </w:r>
      <w:r w:rsidRPr="001F3A52">
        <w:t xml:space="preserve">The comments received on the NPRM are addressed in the Response to Comments Document and in the preamble to the final rule.  </w:t>
      </w:r>
    </w:p>
    <w:p w14:paraId="13F5E6B8" w14:textId="77777777" w:rsidR="00913C33" w:rsidRPr="001F3A52" w:rsidRDefault="00913C33" w:rsidP="00913C33"/>
    <w:p w14:paraId="55DD5B8E" w14:textId="68B4D93D" w:rsidR="00F82FD8" w:rsidRPr="00F82FD8" w:rsidRDefault="00913C33" w:rsidP="002F4927">
      <w:pPr>
        <w:ind w:firstLine="720"/>
      </w:pPr>
      <w:r w:rsidRPr="001F3A52">
        <w:t>EPA sponsored several workshops throughout the country for industry and Federal, State, and local government officials on the release notification requirements under CERCLA and SARA Title III</w:t>
      </w:r>
      <w:r w:rsidR="00F41C62">
        <w:t xml:space="preserve"> (EPCRA)</w:t>
      </w:r>
      <w:r w:rsidRPr="001F3A52">
        <w:t>, including th</w:t>
      </w:r>
      <w:r w:rsidR="00EB2412">
        <w:t xml:space="preserve">e requirements under the CRRR. </w:t>
      </w:r>
      <w:r w:rsidRPr="001F3A52">
        <w:t xml:space="preserve">The </w:t>
      </w:r>
      <w:r w:rsidR="00EB2412">
        <w:t xml:space="preserve">purpose was to </w:t>
      </w:r>
      <w:r w:rsidRPr="001F3A52">
        <w:t>educate the regulated community as well as those Federal and State agencies require</w:t>
      </w:r>
      <w:r w:rsidR="00EB2412">
        <w:t>d to implement the regulations.</w:t>
      </w:r>
      <w:r w:rsidRPr="001F3A52">
        <w:t xml:space="preserve"> In addition, the workshops provided an opportunity for the public to comment on the </w:t>
      </w:r>
      <w:r w:rsidRPr="00DD5D9C">
        <w:t>imp</w:t>
      </w:r>
      <w:r w:rsidR="00EB2412">
        <w:t xml:space="preserve">lementation of the regulation. </w:t>
      </w:r>
      <w:r w:rsidRPr="00DD5D9C">
        <w:t xml:space="preserve">No workshops were conducted or planned during the period covered by </w:t>
      </w:r>
      <w:r w:rsidR="00A71FCF" w:rsidRPr="00DD5D9C">
        <w:t>ICR 1445.</w:t>
      </w:r>
      <w:r w:rsidR="004D4D33" w:rsidRPr="00DD5D9C">
        <w:t>1</w:t>
      </w:r>
      <w:r w:rsidR="00AA4B61">
        <w:t>3</w:t>
      </w:r>
      <w:r w:rsidR="009E55C5" w:rsidRPr="00DD5D9C">
        <w:t>.</w:t>
      </w:r>
      <w:r w:rsidR="009C19D4" w:rsidRPr="00DD5D9C">
        <w:t xml:space="preserve"> </w:t>
      </w:r>
      <w:r w:rsidR="00F82FD8" w:rsidRPr="00F82FD8">
        <w:t>EPA revised the CRR form and instructions and we will replace the existing version on our website after OMB approval.  Facilities may continue to use the form t</w:t>
      </w:r>
      <w:r w:rsidR="00F82FD8">
        <w:t>hat is currently on our website</w:t>
      </w:r>
      <w:r w:rsidR="00F06F32">
        <w:t xml:space="preserve"> at</w:t>
      </w:r>
      <w:r w:rsidR="009C19D4" w:rsidRPr="00DD5D9C">
        <w:t xml:space="preserve"> </w:t>
      </w:r>
      <w:hyperlink r:id="rId12" w:history="1">
        <w:r w:rsidR="00CB6A13" w:rsidRPr="002779F6">
          <w:rPr>
            <w:rStyle w:val="Hyperlink"/>
          </w:rPr>
          <w:t>https://www.epa.gov/epcra/reporting-requirements-continuous-releases-hazardous-substances-guide-facilities-compliance</w:t>
        </w:r>
      </w:hyperlink>
      <w:r w:rsidR="0035097D">
        <w:t>.</w:t>
      </w:r>
    </w:p>
    <w:p w14:paraId="43E91460" w14:textId="77777777" w:rsidR="00F82FD8" w:rsidRDefault="00F82FD8" w:rsidP="00F82FD8"/>
    <w:p w14:paraId="42DE4C2D" w14:textId="093DA6EE" w:rsidR="001F1794" w:rsidRDefault="001F1794" w:rsidP="00F06F32">
      <w:pPr>
        <w:ind w:firstLine="720"/>
      </w:pPr>
      <w:r w:rsidRPr="002A64BE">
        <w:t>For this renewal, se</w:t>
      </w:r>
      <w:r w:rsidR="004D60D3">
        <w:t>ven company representatives</w:t>
      </w:r>
      <w:r w:rsidRPr="002A64BE">
        <w:t xml:space="preserve"> responsible for making notifications to the NRC and submitting written follow-up reports were consulted regarding the </w:t>
      </w:r>
      <w:r>
        <w:t xml:space="preserve">process and </w:t>
      </w:r>
      <w:r w:rsidRPr="002A64BE">
        <w:t>burden this collection imposes.  Brief summaries of those consultations are contained in Appendix A to this renewal supporting statement.</w:t>
      </w:r>
      <w:r w:rsidRPr="00891079">
        <w:t xml:space="preserve"> </w:t>
      </w:r>
    </w:p>
    <w:p w14:paraId="468D81F9" w14:textId="77777777" w:rsidR="00913C33" w:rsidRDefault="00913C33" w:rsidP="00913C33">
      <w:pPr>
        <w:pStyle w:val="Heading2"/>
      </w:pPr>
      <w:bookmarkStart w:id="18" w:name="_Toc188347093"/>
      <w:bookmarkStart w:id="19" w:name="_Toc295823938"/>
      <w:r>
        <w:t>Effects of Less Frequent Collection</w:t>
      </w:r>
      <w:bookmarkEnd w:id="18"/>
      <w:bookmarkEnd w:id="19"/>
    </w:p>
    <w:p w14:paraId="3DC01A54" w14:textId="77777777" w:rsidR="00913C33" w:rsidRDefault="00913C33" w:rsidP="00913C33"/>
    <w:p w14:paraId="0DBEDF70" w14:textId="77777777" w:rsidR="00913C33" w:rsidRPr="001F3A52" w:rsidRDefault="00913C33" w:rsidP="00913C33">
      <w:pPr>
        <w:ind w:firstLine="720"/>
      </w:pPr>
      <w:r w:rsidRPr="001F3A52">
        <w:t>The frequency of information collection established in the CRRR is the minimum level necessary for proper evaluation of continuous releases.  If the information collected under the CRRR, such as the source, frequency, and composition of the release, the environmental media affected, and the identity and location of any sensitive populations or ecosystems, were collected less frequently than stipulated under the CRRR, the Federal government</w:t>
      </w:r>
      <w:r>
        <w:t>’</w:t>
      </w:r>
      <w:r w:rsidRPr="001F3A52">
        <w:t>s ability to properly evaluate the threat posed by the release and the need for a response action would be jeopardized.</w:t>
      </w:r>
    </w:p>
    <w:p w14:paraId="6E8E73C6" w14:textId="77777777" w:rsidR="00913C33" w:rsidRDefault="00913C33" w:rsidP="00913C33">
      <w:pPr>
        <w:pStyle w:val="Heading2"/>
      </w:pPr>
      <w:bookmarkStart w:id="20" w:name="_Toc188347094"/>
      <w:bookmarkStart w:id="21" w:name="_Toc295823939"/>
      <w:r>
        <w:t>General Guidelines</w:t>
      </w:r>
      <w:bookmarkEnd w:id="20"/>
      <w:bookmarkEnd w:id="21"/>
    </w:p>
    <w:p w14:paraId="69FC5396" w14:textId="77777777" w:rsidR="00913C33" w:rsidRPr="00802E2A" w:rsidRDefault="00913C33" w:rsidP="00913C33"/>
    <w:p w14:paraId="101F879F" w14:textId="22DD426E" w:rsidR="00913C33" w:rsidRPr="001F3A52" w:rsidRDefault="00913C33" w:rsidP="00913C33">
      <w:pPr>
        <w:ind w:firstLine="720"/>
      </w:pPr>
      <w:r w:rsidRPr="001F3A52">
        <w:t>The regulations imposed by CERCLA section 103(f)(2)</w:t>
      </w:r>
      <w:r w:rsidR="00D30F2A">
        <w:t xml:space="preserve"> </w:t>
      </w:r>
      <w:r w:rsidRPr="001F3A52">
        <w:t>adhere fully to OMB</w:t>
      </w:r>
      <w:r>
        <w:t>’</w:t>
      </w:r>
      <w:r w:rsidRPr="001F3A52">
        <w:t>s general guidelines concerning the collection of information and the control of paperwork burdens on the public.</w:t>
      </w:r>
      <w:r w:rsidR="008159CB">
        <w:t xml:space="preserve">  The </w:t>
      </w:r>
      <w:r w:rsidR="00944A4F">
        <w:t xml:space="preserve">continuous release reporting </w:t>
      </w:r>
      <w:r w:rsidR="008159CB">
        <w:t xml:space="preserve">regulations </w:t>
      </w:r>
      <w:r w:rsidR="00944A4F">
        <w:t xml:space="preserve">(CRRR) under CERCLA and EPCRA </w:t>
      </w:r>
      <w:r w:rsidR="008159CB">
        <w:t>are codified in 40 CFR 302.8 and 355.32</w:t>
      </w:r>
      <w:r w:rsidR="00944A4F">
        <w:t>, respectively</w:t>
      </w:r>
      <w:r w:rsidR="008159CB">
        <w:t xml:space="preserve">.  </w:t>
      </w:r>
    </w:p>
    <w:p w14:paraId="24A2A858" w14:textId="77777777" w:rsidR="00913C33" w:rsidRDefault="00913C33" w:rsidP="00913C33">
      <w:pPr>
        <w:pStyle w:val="Heading2"/>
      </w:pPr>
      <w:bookmarkStart w:id="22" w:name="_Toc188347095"/>
      <w:bookmarkStart w:id="23" w:name="_Toc295823940"/>
      <w:r>
        <w:t>Confidentiality</w:t>
      </w:r>
      <w:bookmarkEnd w:id="22"/>
      <w:bookmarkEnd w:id="23"/>
    </w:p>
    <w:p w14:paraId="0F20F9AF" w14:textId="77777777" w:rsidR="00913C33" w:rsidRDefault="00913C33" w:rsidP="00913C33"/>
    <w:p w14:paraId="7F176D83" w14:textId="77777777" w:rsidR="00913C33" w:rsidRPr="001F3A52" w:rsidRDefault="00913C33" w:rsidP="00913C33">
      <w:pPr>
        <w:ind w:firstLine="720"/>
      </w:pPr>
      <w:r w:rsidRPr="001F3A52">
        <w:t>The regulations implementing CRRR do not require the submittal of any proprietary, trade secret, or other confidential information.</w:t>
      </w:r>
    </w:p>
    <w:p w14:paraId="40D12A9C" w14:textId="77777777" w:rsidR="00913C33" w:rsidRDefault="00913C33" w:rsidP="00913C33">
      <w:pPr>
        <w:pStyle w:val="Heading2"/>
      </w:pPr>
      <w:bookmarkStart w:id="24" w:name="_Toc188347096"/>
      <w:bookmarkStart w:id="25" w:name="_Toc295823941"/>
      <w:r>
        <w:t>Sensitive Questions</w:t>
      </w:r>
      <w:bookmarkEnd w:id="24"/>
      <w:bookmarkEnd w:id="25"/>
    </w:p>
    <w:p w14:paraId="335C6B6E" w14:textId="77777777" w:rsidR="00913C33" w:rsidRDefault="00913C33" w:rsidP="00913C33"/>
    <w:p w14:paraId="7B921CBF" w14:textId="77777777" w:rsidR="00913C33" w:rsidRDefault="00913C33" w:rsidP="00913C33">
      <w:pPr>
        <w:ind w:firstLine="720"/>
      </w:pPr>
      <w:r w:rsidRPr="001F3A52">
        <w:t>The regulations implementing CRRR do not require the submission of any sensitive business information.  In addition, the information collection requested under these regulations is in compliance with the Privacy Act of 1974 and OMB Circular A-108.</w:t>
      </w:r>
    </w:p>
    <w:p w14:paraId="2F65B7A9" w14:textId="77777777" w:rsidR="00913C33" w:rsidRDefault="00913C33" w:rsidP="00913C33">
      <w:pPr>
        <w:pStyle w:val="Heading1"/>
        <w:ind w:left="0" w:firstLine="0"/>
        <w:rPr>
          <w:bCs w:val="0"/>
        </w:rPr>
      </w:pPr>
      <w:bookmarkStart w:id="26" w:name="_Toc188347097"/>
      <w:bookmarkStart w:id="27" w:name="_Toc295823942"/>
      <w:r>
        <w:rPr>
          <w:bCs w:val="0"/>
        </w:rPr>
        <w:t>THE RESPONDENTS AND THE INFORMATION REQUESTED</w:t>
      </w:r>
      <w:bookmarkEnd w:id="26"/>
      <w:bookmarkEnd w:id="27"/>
    </w:p>
    <w:p w14:paraId="6C439400" w14:textId="77777777" w:rsidR="00913C33" w:rsidRDefault="00913C33" w:rsidP="00913C33">
      <w:pPr>
        <w:pStyle w:val="Heading2"/>
      </w:pPr>
      <w:bookmarkStart w:id="28" w:name="_Toc188347098"/>
      <w:bookmarkStart w:id="29" w:name="_Toc295823943"/>
      <w:r>
        <w:t>Respondents and SIC Codes</w:t>
      </w:r>
      <w:bookmarkEnd w:id="28"/>
      <w:bookmarkEnd w:id="29"/>
    </w:p>
    <w:p w14:paraId="7791BA62" w14:textId="77777777" w:rsidR="00913C33" w:rsidRDefault="00913C33" w:rsidP="00913C33"/>
    <w:p w14:paraId="2CA84181" w14:textId="77777777" w:rsidR="00913C33" w:rsidRPr="001F3A52" w:rsidRDefault="00913C33" w:rsidP="00913C33">
      <w:pPr>
        <w:keepLines/>
        <w:ind w:firstLine="720"/>
      </w:pPr>
      <w:r w:rsidRPr="001F3A52">
        <w:t>This section is not applicable.  The usage and release of hazardous substances are pervasive throughout industry.  EPA expects a number of different industrial categories to report hazardous substance releases under the provisions of the CRRR.  No one industry sector or group of sectors is disproportionately affected by the information collection burden.</w:t>
      </w:r>
    </w:p>
    <w:p w14:paraId="4DE5CE19" w14:textId="77777777" w:rsidR="00913C33" w:rsidRDefault="00913C33" w:rsidP="00913C33">
      <w:pPr>
        <w:pStyle w:val="Heading2"/>
      </w:pPr>
      <w:bookmarkStart w:id="30" w:name="_Toc188347099"/>
      <w:bookmarkStart w:id="31" w:name="_Toc295823944"/>
      <w:r>
        <w:t>Information Requested</w:t>
      </w:r>
      <w:bookmarkEnd w:id="30"/>
      <w:bookmarkEnd w:id="31"/>
    </w:p>
    <w:p w14:paraId="042085EE" w14:textId="77777777" w:rsidR="00913C33" w:rsidRDefault="00913C33" w:rsidP="00913C33">
      <w:pPr>
        <w:pStyle w:val="Heading3"/>
        <w:tabs>
          <w:tab w:val="clear" w:pos="1800"/>
          <w:tab w:val="num" w:pos="1080"/>
        </w:tabs>
      </w:pPr>
      <w:bookmarkStart w:id="32" w:name="_Toc188347100"/>
      <w:bookmarkStart w:id="33" w:name="_Toc295823945"/>
      <w:r>
        <w:t>Data items, including record keeping requirements</w:t>
      </w:r>
      <w:bookmarkEnd w:id="32"/>
      <w:bookmarkEnd w:id="33"/>
    </w:p>
    <w:p w14:paraId="6EBE9DB3" w14:textId="77777777" w:rsidR="00913C33" w:rsidRDefault="00913C33" w:rsidP="00913C33"/>
    <w:p w14:paraId="21B4DC9B" w14:textId="27478DE7" w:rsidR="00913C33" w:rsidRPr="001F3A52" w:rsidRDefault="00913C33" w:rsidP="00913C33">
      <w:pPr>
        <w:ind w:firstLine="720"/>
      </w:pPr>
      <w:r w:rsidRPr="001F3A52">
        <w:t>To ensure that government authorities receive timely and sufficient information to evaluate potentially dangerous hazardous substance releases reported under CERCLA section 103</w:t>
      </w:r>
      <w:r w:rsidR="006F089A">
        <w:t xml:space="preserve"> and EPCRA Section 304</w:t>
      </w:r>
      <w:r w:rsidRPr="001F3A52">
        <w:t>, the CRRR requires seven types of information collection activities:</w:t>
      </w:r>
    </w:p>
    <w:p w14:paraId="327FF476" w14:textId="77777777" w:rsidR="00913C33" w:rsidRPr="001F3A52" w:rsidRDefault="00913C33" w:rsidP="00913C33"/>
    <w:p w14:paraId="71D217A6" w14:textId="266A44EC" w:rsidR="00913C33"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An initial telephone call to the NRC</w:t>
      </w:r>
      <w:r w:rsidR="00270D49">
        <w:t xml:space="preserve">, </w:t>
      </w:r>
      <w:r w:rsidR="006F089A">
        <w:t>the SERC</w:t>
      </w:r>
      <w:r w:rsidR="00270D49">
        <w:t>,</w:t>
      </w:r>
      <w:r w:rsidR="006F089A">
        <w:t xml:space="preserve"> and </w:t>
      </w:r>
      <w:r w:rsidR="004C2E21">
        <w:t xml:space="preserve">the </w:t>
      </w:r>
      <w:r w:rsidR="006F089A">
        <w:t>L</w:t>
      </w:r>
      <w:r w:rsidR="00270D49">
        <w:t>EPC</w:t>
      </w:r>
      <w:r w:rsidRPr="001F3A52">
        <w:t>;</w:t>
      </w:r>
    </w:p>
    <w:p w14:paraId="55E2D35F" w14:textId="77777777" w:rsidR="00D22983" w:rsidRPr="001F3A52" w:rsidRDefault="00D22983" w:rsidP="00D2298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1440"/>
      </w:pPr>
    </w:p>
    <w:p w14:paraId="23E231C5" w14:textId="05BFCF2C" w:rsidR="00913C33"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An initial written report to the EPA Region</w:t>
      </w:r>
      <w:r w:rsidR="00781879">
        <w:t>,</w:t>
      </w:r>
      <w:r w:rsidR="006F089A">
        <w:t xml:space="preserve"> the SERC</w:t>
      </w:r>
      <w:r w:rsidR="00270D49">
        <w:t>,</w:t>
      </w:r>
      <w:r w:rsidR="006F089A">
        <w:t xml:space="preserve"> and </w:t>
      </w:r>
      <w:r w:rsidR="004C2E21">
        <w:t xml:space="preserve">the </w:t>
      </w:r>
      <w:r w:rsidR="006F089A">
        <w:t>LEPC</w:t>
      </w:r>
      <w:r w:rsidRPr="001F3A52">
        <w:t>;</w:t>
      </w:r>
    </w:p>
    <w:p w14:paraId="2A7B844E" w14:textId="77777777" w:rsidR="00D22983" w:rsidRPr="001F3A52" w:rsidRDefault="00D22983" w:rsidP="00D2298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1440"/>
      </w:pPr>
    </w:p>
    <w:p w14:paraId="379C0CC9" w14:textId="57101C97" w:rsidR="00913C33"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 xml:space="preserve">A one-time follow-up written report </w:t>
      </w:r>
      <w:r w:rsidR="00781879">
        <w:t xml:space="preserve">(“first anniversary report”) </w:t>
      </w:r>
      <w:r w:rsidRPr="001F3A52">
        <w:t>to the EPA Region on or before the first-year anniversary of the submission of an initial written report</w:t>
      </w:r>
      <w:r w:rsidR="00781879">
        <w:t>.  (Note: First anniversary report is not required under EPCRA section 304</w:t>
      </w:r>
      <w:r w:rsidR="00C4347B">
        <w:t xml:space="preserve"> continuous release reporting requirements (40 CFR 355.32)</w:t>
      </w:r>
      <w:r w:rsidR="00781879">
        <w:t>.)</w:t>
      </w:r>
      <w:r w:rsidRPr="001F3A52">
        <w:t>;</w:t>
      </w:r>
    </w:p>
    <w:p w14:paraId="2AA3DBB4" w14:textId="77777777" w:rsidR="00D22983" w:rsidRPr="001F3A52" w:rsidRDefault="00D22983" w:rsidP="00D2298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1440"/>
      </w:pPr>
    </w:p>
    <w:p w14:paraId="78A35A07" w14:textId="7C138169" w:rsidR="00913C33"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An annual evaluation of a release beginning the year after the submission of the one-time follow-up written report;</w:t>
      </w:r>
    </w:p>
    <w:p w14:paraId="1358906F" w14:textId="77777777" w:rsidR="00D22983" w:rsidRPr="001F3A52" w:rsidRDefault="00D22983" w:rsidP="00D2298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1440"/>
      </w:pPr>
    </w:p>
    <w:p w14:paraId="2DC1A4AC" w14:textId="51F2991D" w:rsidR="00913C33"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Notification to the NRC and EPA Region</w:t>
      </w:r>
      <w:r w:rsidR="00944A4F">
        <w:t xml:space="preserve">, </w:t>
      </w:r>
      <w:r w:rsidR="006F089A">
        <w:t>the SERC and</w:t>
      </w:r>
      <w:r w:rsidR="004C2E21">
        <w:t xml:space="preserve"> the</w:t>
      </w:r>
      <w:r w:rsidR="006F089A">
        <w:t xml:space="preserve"> LEPC, </w:t>
      </w:r>
      <w:r w:rsidRPr="001F3A52">
        <w:t>of a change in the sources, composition, or frequency of a release;</w:t>
      </w:r>
    </w:p>
    <w:p w14:paraId="62E8E0FF" w14:textId="77777777" w:rsidR="00D22983" w:rsidRPr="001F3A52" w:rsidRDefault="00D22983" w:rsidP="00D2298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1440"/>
      </w:pPr>
    </w:p>
    <w:p w14:paraId="78D72423" w14:textId="4290474D" w:rsidR="00913C33"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Notification to the EPA Region</w:t>
      </w:r>
      <w:r w:rsidR="006F089A">
        <w:t xml:space="preserve"> </w:t>
      </w:r>
      <w:r w:rsidRPr="001F3A52">
        <w:t>of a change in other information previously submitted; and</w:t>
      </w:r>
    </w:p>
    <w:p w14:paraId="468F5AD2" w14:textId="77777777" w:rsidR="00D22983" w:rsidRPr="001F3A52" w:rsidRDefault="00D22983" w:rsidP="00D2298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1440"/>
      </w:pPr>
    </w:p>
    <w:p w14:paraId="709241C2" w14:textId="0D481B3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Immediate notification to the NRC</w:t>
      </w:r>
      <w:r w:rsidR="00781879">
        <w:t>,</w:t>
      </w:r>
      <w:r w:rsidRPr="001F3A52">
        <w:t xml:space="preserve"> </w:t>
      </w:r>
      <w:r w:rsidR="006F089A">
        <w:t>the SERC</w:t>
      </w:r>
      <w:r w:rsidR="00270D49">
        <w:t>,</w:t>
      </w:r>
      <w:r w:rsidR="006F089A">
        <w:t xml:space="preserve"> and</w:t>
      </w:r>
      <w:r w:rsidR="004C2E21">
        <w:t xml:space="preserve"> the</w:t>
      </w:r>
      <w:r w:rsidR="006F089A">
        <w:t xml:space="preserve"> LEPC </w:t>
      </w:r>
      <w:r w:rsidRPr="001F3A52">
        <w:t>of any statistically significant increase (SSI) in the quantity of a release.</w:t>
      </w:r>
    </w:p>
    <w:p w14:paraId="35F190CF" w14:textId="18088724" w:rsidR="00913C33" w:rsidRDefault="00913C33" w:rsidP="00913C33"/>
    <w:p w14:paraId="282671AF" w14:textId="77777777" w:rsidR="000641E5" w:rsidRDefault="000641E5" w:rsidP="00270D49">
      <w:pPr>
        <w:ind w:firstLine="720"/>
      </w:pPr>
      <w:r>
        <w:t>Continuous Release Reporting regulations (CRRR) under CERCLA section 103 and EPCRA</w:t>
      </w:r>
    </w:p>
    <w:p w14:paraId="1A352953" w14:textId="01E51E2D" w:rsidR="000641E5" w:rsidRDefault="000641E5" w:rsidP="00944A4F">
      <w:r>
        <w:t xml:space="preserve">section 304 are codified in 40 CFR </w:t>
      </w:r>
      <w:r w:rsidR="00B02D8E">
        <w:t>302.8 and 355.32, respectively.</w:t>
      </w:r>
      <w:r>
        <w:t xml:space="preserve"> </w:t>
      </w:r>
      <w:r w:rsidR="00944A4F">
        <w:t xml:space="preserve">(Note: The regulations in 40 CFR 355.32 do not require facilities to submit “first anniversary report” to the SERC and the LEPC.  </w:t>
      </w:r>
    </w:p>
    <w:p w14:paraId="6D90BFF5" w14:textId="77777777" w:rsidR="000641E5" w:rsidRPr="001F3A52" w:rsidRDefault="000641E5" w:rsidP="00270D49">
      <w:pPr>
        <w:ind w:left="720"/>
      </w:pPr>
    </w:p>
    <w:p w14:paraId="0F4D2D3E" w14:textId="77777777" w:rsidR="00913C33" w:rsidRPr="001F3A52" w:rsidRDefault="00913C33" w:rsidP="00913C33">
      <w:pPr>
        <w:ind w:firstLine="720"/>
      </w:pPr>
      <w:r w:rsidRPr="001F3A52">
        <w:t>The time required by a facility to complete the seven information collection activities varies and is largely contingent on the nature of the reported releases and the facility</w:t>
      </w:r>
      <w:r>
        <w:t>’</w:t>
      </w:r>
      <w:r w:rsidRPr="001F3A52">
        <w:t xml:space="preserve">s information collection procedures.  However, EPA estimated the average amount of time that is needed to perform these seven information collection activities and the average unit burden hours. The estimates are presented in section 6(a).  The unit burden hours used in this ICR are based upon estimates from the CRRR economic analysis.  </w:t>
      </w:r>
      <w:r w:rsidRPr="00591DAF">
        <w:t xml:space="preserve">The CRRR Economic Impact is available in rulemaking </w:t>
      </w:r>
      <w:r>
        <w:t xml:space="preserve">Superfund </w:t>
      </w:r>
      <w:r w:rsidRPr="00591DAF">
        <w:t>Docket Number 103(f)CR - 4-8.</w:t>
      </w:r>
    </w:p>
    <w:p w14:paraId="1ECD6769" w14:textId="77777777" w:rsidR="00913C33" w:rsidRPr="001F3A52" w:rsidRDefault="00913C33" w:rsidP="00913C33"/>
    <w:p w14:paraId="4904F059" w14:textId="77777777" w:rsidR="00913C33" w:rsidRPr="001F3A52" w:rsidRDefault="00913C33" w:rsidP="00913C33">
      <w:pPr>
        <w:ind w:firstLine="720"/>
      </w:pPr>
      <w:r w:rsidRPr="001F3A52">
        <w:t>Reporting continuous releases represents a reduction in burden for facilities that would otherwise report releases on a per-occurrence basis.  EPA believes that the notification system developed under the CRRR represents the minimum level of reporting necessary for the Federal On-Scene Coordinator (OSC) to evaluate whether a response action is needed to prevent or mitigate any hazards to public health and welfare and the environment.  The following paragraphs briefly describe the purpose and timing of each information collection activity and list the data items that comprise each notification.</w:t>
      </w:r>
    </w:p>
    <w:p w14:paraId="5D8571ED" w14:textId="77777777" w:rsidR="00913C33" w:rsidRPr="001F3A52" w:rsidRDefault="00913C33" w:rsidP="00913C33"/>
    <w:p w14:paraId="63708B01" w14:textId="6509F0CD" w:rsidR="00913C33" w:rsidRPr="001F3A52" w:rsidRDefault="00913C33" w:rsidP="00913C33">
      <w:pPr>
        <w:ind w:firstLine="720"/>
      </w:pPr>
      <w:r w:rsidRPr="001F3A52">
        <w:rPr>
          <w:b/>
          <w:bCs/>
        </w:rPr>
        <w:t>Initial Telephone Notification to the NRC</w:t>
      </w:r>
      <w:r w:rsidRPr="001F3A52">
        <w:t xml:space="preserve"> </w:t>
      </w:r>
      <w:r>
        <w:t>–</w:t>
      </w:r>
      <w:r w:rsidRPr="001F3A52">
        <w:t xml:space="preserve"> The initial telephone call to the NRC</w:t>
      </w:r>
      <w:r w:rsidR="00BB7B8D">
        <w:t>,</w:t>
      </w:r>
      <w:r w:rsidR="006F089A">
        <w:t xml:space="preserve"> the SERC</w:t>
      </w:r>
      <w:r w:rsidR="00C44E4A">
        <w:t>,</w:t>
      </w:r>
      <w:r w:rsidR="006F089A">
        <w:t xml:space="preserve"> and </w:t>
      </w:r>
      <w:r w:rsidR="004C2E21">
        <w:t xml:space="preserve">the </w:t>
      </w:r>
      <w:r w:rsidR="006F089A">
        <w:t>LEPC</w:t>
      </w:r>
      <w:r w:rsidR="008F1D68">
        <w:t xml:space="preserve"> </w:t>
      </w:r>
      <w:r w:rsidRPr="001F3A52">
        <w:t>serves to notify government authorities of the facility</w:t>
      </w:r>
      <w:r>
        <w:t>’</w:t>
      </w:r>
      <w:r w:rsidRPr="001F3A52">
        <w:t>s intent to report a hazardous substance release under CERCLA section 103(f)(2)</w:t>
      </w:r>
      <w:r w:rsidR="006F089A">
        <w:t xml:space="preserve"> and EPCRA Section 304</w:t>
      </w:r>
      <w:r w:rsidRPr="001F3A52">
        <w:t>.  All such releases must be released in a continuous and stable manner.  The initial telephone call, in conjunction with the initial written report, fulfills the statutory requirement that the release be reported under CERCLA section 103(a)</w:t>
      </w:r>
      <w:r w:rsidR="006F089A">
        <w:t xml:space="preserve"> and EPCRA Section 304</w:t>
      </w:r>
      <w:r w:rsidRPr="001F3A52">
        <w:t xml:space="preserve"> for a period sufficient to establish the continuity, quantity, and regularity of the release.  The information provided in the initial telephone notification must include:</w:t>
      </w:r>
    </w:p>
    <w:p w14:paraId="6A62FB5F" w14:textId="5C1C886E" w:rsidR="00D22983" w:rsidRDefault="00913C33" w:rsidP="005D1F59">
      <w:pPr>
        <w:pStyle w:val="Level1"/>
        <w:numPr>
          <w:ilvl w:val="0"/>
          <w:numId w:val="38"/>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name and location of the facility; and</w:t>
      </w:r>
    </w:p>
    <w:p w14:paraId="4DAACA76" w14:textId="77777777" w:rsidR="00D22983" w:rsidRPr="001F3A52" w:rsidRDefault="00D22983" w:rsidP="00D2298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p>
    <w:p w14:paraId="0250E927" w14:textId="7B79B53F"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 xml:space="preserve">The name(s) and identity(ies) of the hazardous substance(s) </w:t>
      </w:r>
      <w:r w:rsidR="001E5863">
        <w:t xml:space="preserve">and/or EHSs </w:t>
      </w:r>
      <w:r w:rsidRPr="001F3A52">
        <w:t>being released.</w:t>
      </w:r>
    </w:p>
    <w:p w14:paraId="750D1E6F" w14:textId="3C221459" w:rsidR="00913C33" w:rsidRDefault="00913C33" w:rsidP="00913C33"/>
    <w:p w14:paraId="02737F1D" w14:textId="45EEF734" w:rsidR="004150C1" w:rsidRDefault="004150C1" w:rsidP="00913C33">
      <w:r>
        <w:t>Note:  Substances on the CERCLA H</w:t>
      </w:r>
      <w:r w:rsidR="00C44E4A">
        <w:t xml:space="preserve">azardous </w:t>
      </w:r>
      <w:r>
        <w:t>S</w:t>
      </w:r>
      <w:r w:rsidR="00C44E4A">
        <w:t>ubstance</w:t>
      </w:r>
      <w:r>
        <w:t>s</w:t>
      </w:r>
      <w:r w:rsidR="00C44E4A">
        <w:t xml:space="preserve"> (HSs)</w:t>
      </w:r>
      <w:r>
        <w:t xml:space="preserve"> </w:t>
      </w:r>
      <w:r w:rsidR="00C44E4A">
        <w:t xml:space="preserve">list </w:t>
      </w:r>
      <w:r>
        <w:t xml:space="preserve">(40 CFR 302.4) are only reported to the NRC.  However, the SERC and the LEPC </w:t>
      </w:r>
      <w:r w:rsidR="00C44E4A">
        <w:t xml:space="preserve">are to </w:t>
      </w:r>
      <w:r>
        <w:t xml:space="preserve">receive notification of CERCLA HSs and EPCRA EHSs. </w:t>
      </w:r>
    </w:p>
    <w:p w14:paraId="7A200426" w14:textId="77777777" w:rsidR="004150C1" w:rsidRPr="001F3A52" w:rsidRDefault="004150C1" w:rsidP="00913C33"/>
    <w:p w14:paraId="13557B0B" w14:textId="6BF8B27B" w:rsidR="00913C33" w:rsidRPr="001F3A52" w:rsidRDefault="00913C33" w:rsidP="00913C33">
      <w:pPr>
        <w:ind w:firstLine="720"/>
      </w:pPr>
      <w:r w:rsidRPr="001F3A52">
        <w:rPr>
          <w:b/>
          <w:bCs/>
        </w:rPr>
        <w:t>Initial Written Report and the Follow-up Written Report</w:t>
      </w:r>
      <w:r w:rsidRPr="001F3A52">
        <w:t xml:space="preserve"> </w:t>
      </w:r>
      <w:r>
        <w:t>–</w:t>
      </w:r>
      <w:r w:rsidRPr="001F3A52">
        <w:t xml:space="preserve"> The initial written report and the follow-up written report, which are sent to the EPA Region</w:t>
      </w:r>
      <w:r w:rsidR="001E5863">
        <w:t>,</w:t>
      </w:r>
      <w:r w:rsidR="00E66813">
        <w:t xml:space="preserve"> the SERC and </w:t>
      </w:r>
      <w:r w:rsidR="004C2E21">
        <w:t xml:space="preserve">the </w:t>
      </w:r>
      <w:r w:rsidR="00E66813">
        <w:t xml:space="preserve">LEPC, </w:t>
      </w:r>
      <w:r w:rsidRPr="001F3A52">
        <w:t xml:space="preserve">provide a full description of the release. </w:t>
      </w:r>
      <w:r w:rsidR="001E5863">
        <w:t>(Note:  The follow-up written report</w:t>
      </w:r>
      <w:r w:rsidR="004150C1">
        <w:t>,</w:t>
      </w:r>
      <w:r w:rsidR="001E5863">
        <w:t xml:space="preserve"> </w:t>
      </w:r>
      <w:r w:rsidR="004150C1">
        <w:t xml:space="preserve">“first anniversary report”, </w:t>
      </w:r>
      <w:r w:rsidR="001E5863">
        <w:t xml:space="preserve">is not required to be submitted to the SERC and the LEPC.) </w:t>
      </w:r>
      <w:r w:rsidRPr="001F3A52">
        <w:t xml:space="preserve"> </w:t>
      </w:r>
      <w:r w:rsidR="001E5863">
        <w:t xml:space="preserve"> </w:t>
      </w:r>
      <w:r w:rsidRPr="001F3A52">
        <w:t>The initial written report and follow-up written report serve as the basis for a comprehensive evaluation of the hazards posed by the release.  Based on this comprehensive evaluation, government authorities determine if a response action is necessary to prevent or mitigate any adverse effects.  The initial written report must be submitted within 30 days of the initial telephone call.  This 30-day period does not necessarily provide enough time to collect all relevant and appropriate data, but does allow for an initial evaluation of the release.  The follow-up written report</w:t>
      </w:r>
      <w:r w:rsidR="001E5863">
        <w:t xml:space="preserve"> (“first anniversary report”)</w:t>
      </w:r>
      <w:r w:rsidRPr="001F3A52">
        <w:t>, due one year after submission of the initial written report, serves to verify the information provided on the initial written report (NOTE: there cannot be any form of change in source, composition, or frequency of release without going through the process again).  The follow-up written report helps ensure that the information used to evaluate the hazards posed by the release is current and provides accurate information.</w:t>
      </w:r>
    </w:p>
    <w:p w14:paraId="515E22FF" w14:textId="77777777" w:rsidR="00913C33" w:rsidRPr="001F3A52" w:rsidRDefault="00913C33" w:rsidP="00913C33"/>
    <w:p w14:paraId="23716DD9" w14:textId="77777777" w:rsidR="00913C33" w:rsidRPr="001F3A52" w:rsidRDefault="00913C33" w:rsidP="00913C33">
      <w:pPr>
        <w:ind w:firstLine="720"/>
      </w:pPr>
      <w:r w:rsidRPr="001F3A52">
        <w:t>The data elements requested in the initial written and follow-up report are identical and consist of:</w:t>
      </w:r>
    </w:p>
    <w:p w14:paraId="518FF62C" w14:textId="77777777" w:rsidR="00913C33" w:rsidRPr="001F3A52" w:rsidRDefault="00913C33" w:rsidP="00913C33"/>
    <w:p w14:paraId="1AE3D5BF" w14:textId="7777777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name of the facility or vessel; the location, including the longitude and latitude; the case number assigned by the National Response Center or Environmental Protection Agency; the Dun and Bradstreet number of the facility (if available); the port of registration of the vessel (if applicable); and the name and telephone number of the person in charge of the facility or vessel. [40 CFR 302.8(e)(1)(i)]</w:t>
      </w:r>
    </w:p>
    <w:p w14:paraId="318BB91C" w14:textId="77777777" w:rsidR="00913C33" w:rsidRPr="001F3A52" w:rsidRDefault="00913C33" w:rsidP="00913C33"/>
    <w:p w14:paraId="58492DE7" w14:textId="7777777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A signed statement that the hazardous substance release described is continuous and stable in quantity and rate under the definitions of 40 CFR 302.8(b) and that all reported information is accurate and current to the best knowledge of the person in charge. [40 CFR 302.8(e)(1)(iv)(H)]</w:t>
      </w:r>
    </w:p>
    <w:p w14:paraId="0A72E2BE" w14:textId="77777777" w:rsidR="00913C33" w:rsidRPr="001F3A52" w:rsidRDefault="00913C33" w:rsidP="00913C33"/>
    <w:p w14:paraId="7471551B" w14:textId="7777777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population density within a one-mile radius of the facility or vessel, described in terms of the following ranges: 0-50 persons, 51-100 persons, 101-500 persons, 501-1,000 persons, and more than 1,000 persons. [40 CFR 302.8(e)(1)(ii)]</w:t>
      </w:r>
    </w:p>
    <w:p w14:paraId="3ADAF4F4" w14:textId="77777777" w:rsidR="00913C33" w:rsidRPr="001F3A52" w:rsidRDefault="00913C33" w:rsidP="00913C33"/>
    <w:p w14:paraId="7CF41020" w14:textId="7777777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identity and location of sensitive populations and ecosystems within a one-mile radius of the facility or vessel (e.g., elementary schools, hospitals, retirement communities, or wetlands). [40 CFR 302.8(e)(1)(iii)]</w:t>
      </w:r>
    </w:p>
    <w:p w14:paraId="3A1B9383" w14:textId="77777777" w:rsidR="00913C33" w:rsidRPr="001F3A52" w:rsidRDefault="00913C33" w:rsidP="00913C33"/>
    <w:p w14:paraId="4EF6D40B" w14:textId="77777777" w:rsidR="00913C33" w:rsidRPr="001F3A52" w:rsidRDefault="00913C33" w:rsidP="00913C33">
      <w:pPr>
        <w:ind w:firstLine="720"/>
      </w:pPr>
      <w:r w:rsidRPr="001F3A52">
        <w:t>In addition, facilities must provide the following substance-specific information for each continuous release:</w:t>
      </w:r>
    </w:p>
    <w:p w14:paraId="6E318076" w14:textId="77777777" w:rsidR="00913C33" w:rsidRPr="001F3A52" w:rsidRDefault="00913C33" w:rsidP="00913C33"/>
    <w:p w14:paraId="7C1A203B" w14:textId="7777777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sources of the release, including specific source information (e.g., valves, pump seals, storage tank vents, stacks). [40 CFR 302.8(e)(1)(iv)(C)]</w:t>
      </w:r>
    </w:p>
    <w:p w14:paraId="115370E5" w14:textId="77777777" w:rsidR="00913C33" w:rsidRPr="001F3A52" w:rsidRDefault="00913C33" w:rsidP="00913C33"/>
    <w:p w14:paraId="491EC59A" w14:textId="40178E3F"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 xml:space="preserve">The environmental </w:t>
      </w:r>
      <w:r w:rsidR="00C24711" w:rsidRPr="001F3A52">
        <w:t>medium (</w:t>
      </w:r>
      <w:r w:rsidRPr="001F3A52">
        <w:t xml:space="preserve">a) affected by the release: if air, provide stack height or surface area affected; if surface water, the name of the surface water body; if a stream, the stream order or average flow rate and designated use; if a lake, the surface area and average depth; if on or </w:t>
      </w:r>
      <w:r w:rsidR="001708C2" w:rsidRPr="001F3A52">
        <w:t>underground</w:t>
      </w:r>
      <w:r w:rsidRPr="001F3A52">
        <w:t>, the location of public water supply wells within two miles. [40 CFR 302.8(e)(1)(iv)(G)(1-4)]</w:t>
      </w:r>
    </w:p>
    <w:p w14:paraId="3C8F7891" w14:textId="77777777" w:rsidR="00913C33" w:rsidRPr="001F3A52" w:rsidRDefault="00913C33" w:rsidP="00913C33"/>
    <w:p w14:paraId="6711216C" w14:textId="7777777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frequency of the release and the fraction of the release from each release source and the period over which it occurs. [40 CFR 302.8(e)(1)(iv)(D)]</w:t>
      </w:r>
    </w:p>
    <w:p w14:paraId="173C28C5" w14:textId="77777777" w:rsidR="00913C33" w:rsidRPr="001F3A52" w:rsidRDefault="00913C33" w:rsidP="00913C33"/>
    <w:p w14:paraId="79F4BCB1" w14:textId="7777777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A brief statement describing the basis for stating that the release is continuous and stable in quantity and rate. [40 CFR 302.8(e)(1)(iv)(E)]</w:t>
      </w:r>
    </w:p>
    <w:p w14:paraId="3CF7DC2B" w14:textId="77777777" w:rsidR="00913C33" w:rsidRPr="001F3A52" w:rsidRDefault="00913C33" w:rsidP="00913C33"/>
    <w:p w14:paraId="0BC63FDB" w14:textId="7777777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name and identity of the hazardous substance; and the Chemical Abstracts Service Registry Number for the substance.  If the release is a mixture, the hazardous substance components of the mixture and their approximate concentrations and quantities, by weight. [40 CFR 302.8(e)(1)(iv)(A)]</w:t>
      </w:r>
    </w:p>
    <w:p w14:paraId="4F8C6D0E" w14:textId="77777777" w:rsidR="00913C33" w:rsidRPr="001F3A52" w:rsidRDefault="00913C33" w:rsidP="00913C33"/>
    <w:p w14:paraId="59408A46" w14:textId="77777777" w:rsidR="00913C33" w:rsidRPr="001F3A52"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The upper and lower bounds of the normal range of the release over the previous year. [40 CFR 302.8(e)(1)(iv)(B)]</w:t>
      </w:r>
    </w:p>
    <w:p w14:paraId="1C05979E" w14:textId="77777777" w:rsidR="00913C33" w:rsidRPr="001F3A52" w:rsidRDefault="00913C33" w:rsidP="00913C33"/>
    <w:p w14:paraId="1D96495D" w14:textId="4BE1D31D" w:rsidR="00913C33" w:rsidRDefault="00913C33" w:rsidP="00913C33">
      <w:pPr>
        <w:pStyle w:val="Level1"/>
        <w:numPr>
          <w:ilvl w:val="0"/>
          <w:numId w:val="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1F3A52">
        <w:t>An estimate of the total annual amount of the hazardous substance released in the previous year (in pounds or kilograms). [40 CFR 302.8(e)(1)(iv)(F)]</w:t>
      </w:r>
    </w:p>
    <w:p w14:paraId="6B3F0591" w14:textId="77777777" w:rsidR="003B4665" w:rsidRDefault="003B4665" w:rsidP="003B4665">
      <w:pPr>
        <w:pStyle w:val="ListParagraph"/>
      </w:pPr>
    </w:p>
    <w:p w14:paraId="5C3AD680" w14:textId="77446D4C" w:rsidR="003B4665" w:rsidRDefault="0072793B" w:rsidP="009678E1">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s>
        <w:ind w:left="720"/>
      </w:pPr>
      <w:r>
        <w:t xml:space="preserve">The regulations in 40 CFR 355.32 provides requirements for continuous release reporting under EPCRA section 304, which cross-reference the regulations in 40 CFR 302.8.  </w:t>
      </w:r>
    </w:p>
    <w:p w14:paraId="5843CD62" w14:textId="77777777" w:rsidR="003B4665" w:rsidRDefault="003B4665" w:rsidP="003B4665">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s>
        <w:ind w:left="1440"/>
      </w:pPr>
    </w:p>
    <w:p w14:paraId="3C2AFD1F" w14:textId="77777777" w:rsidR="003B4665" w:rsidRDefault="003B4665" w:rsidP="003B4665">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s>
        <w:ind w:left="1440"/>
      </w:pPr>
      <w:r>
        <w:t>(a) Initial notifications as specified in 40 CFR 302.8 (d) and (e).</w:t>
      </w:r>
    </w:p>
    <w:p w14:paraId="583D63E7" w14:textId="77777777" w:rsidR="003B4665" w:rsidRDefault="003B4665" w:rsidP="003B4665">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s>
        <w:ind w:left="1440"/>
      </w:pPr>
    </w:p>
    <w:p w14:paraId="462E865C" w14:textId="77777777" w:rsidR="003B4665" w:rsidRDefault="003B4665" w:rsidP="003B4665">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s>
        <w:ind w:left="1440"/>
      </w:pPr>
      <w:r>
        <w:t>(b) Notification of a “statistically significant increase,” defined in 40 CFR 302.8(b) as any increase above the upper bound of the reported normal range.</w:t>
      </w:r>
    </w:p>
    <w:p w14:paraId="01E5516A" w14:textId="77777777" w:rsidR="003B4665" w:rsidRDefault="003B4665" w:rsidP="003B4665">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s>
        <w:ind w:left="1440"/>
      </w:pPr>
    </w:p>
    <w:p w14:paraId="557108C1" w14:textId="77777777" w:rsidR="003B4665" w:rsidRDefault="003B4665" w:rsidP="003B4665">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s>
        <w:ind w:left="1440"/>
      </w:pPr>
      <w:r>
        <w:t>(c) Notification of a “new release” as specified in 40 CFR 302.8(g)(1).</w:t>
      </w:r>
    </w:p>
    <w:p w14:paraId="6C69A543" w14:textId="77777777" w:rsidR="003B4665" w:rsidRDefault="003B4665" w:rsidP="003B4665">
      <w:pPr>
        <w:pStyle w:val="Level1"/>
        <w:numPr>
          <w:ilvl w:val="0"/>
          <w:numId w:val="0"/>
        </w:numPr>
        <w:tabs>
          <w:tab w:val="left" w:pos="720"/>
          <w:tab w:val="left" w:pos="2160"/>
          <w:tab w:val="left" w:pos="2880"/>
          <w:tab w:val="left" w:pos="3600"/>
          <w:tab w:val="left" w:pos="4320"/>
          <w:tab w:val="left" w:pos="5040"/>
          <w:tab w:val="left" w:pos="5760"/>
          <w:tab w:val="left" w:pos="6480"/>
          <w:tab w:val="left" w:pos="7200"/>
          <w:tab w:val="left" w:pos="7920"/>
        </w:tabs>
        <w:ind w:left="1440"/>
      </w:pPr>
    </w:p>
    <w:p w14:paraId="316CD6D4" w14:textId="2BF5E152" w:rsidR="003B4665" w:rsidRPr="001F3A52" w:rsidRDefault="003B4665" w:rsidP="003B4665">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1440"/>
      </w:pPr>
      <w:r>
        <w:t>(d) Notification of a change in the normal range of the release as specified under 40 CFR 302.8(g)(2).</w:t>
      </w:r>
    </w:p>
    <w:p w14:paraId="29893AC5" w14:textId="77777777" w:rsidR="00913C33" w:rsidRPr="001F3A52" w:rsidRDefault="00913C33" w:rsidP="00913C33"/>
    <w:p w14:paraId="10A06412" w14:textId="4FFCD07C" w:rsidR="00913C33" w:rsidRPr="001F3A52" w:rsidRDefault="00913C33" w:rsidP="00913C33">
      <w:pPr>
        <w:ind w:firstLine="720"/>
      </w:pPr>
      <w:r w:rsidRPr="001F3A52">
        <w:rPr>
          <w:b/>
          <w:bCs/>
        </w:rPr>
        <w:t>Annual Evaluation of a Release</w:t>
      </w:r>
      <w:r w:rsidRPr="001F3A52">
        <w:t xml:space="preserve"> </w:t>
      </w:r>
      <w:r>
        <w:t>–</w:t>
      </w:r>
      <w:r w:rsidRPr="001F3A52">
        <w:t xml:space="preserve"> Although a reporting facility is no longer required to submit a written report on its continuous releases after submitting a one-time written follow-up report </w:t>
      </w:r>
      <w:r w:rsidR="00644D9A">
        <w:t xml:space="preserve">to the EPA Region </w:t>
      </w:r>
      <w:r w:rsidRPr="001F3A52">
        <w:t>verifying the information provided on the initial written report remained the same, the reporting facility must conduct and document an annual assessment of its continuous releases beginning the year after the submission of the follow-up written report</w:t>
      </w:r>
      <w:r w:rsidR="003E5FC9">
        <w:t xml:space="preserve"> (“first anniversary report”)</w:t>
      </w:r>
      <w:r w:rsidRPr="001F3A52">
        <w:t>.  The purpose of the annual evaluation is to identify any changes that may have occurred in the release situation over the preceding year.  The annual evaluation of a continuous release helps ensure that the information used to evaluate the hazards posed by the release is current and accurate information.</w:t>
      </w:r>
    </w:p>
    <w:p w14:paraId="742BCB78" w14:textId="77777777" w:rsidR="00913C33" w:rsidRPr="001F3A52" w:rsidRDefault="00913C33" w:rsidP="00913C33"/>
    <w:p w14:paraId="4F29BEFE" w14:textId="7E277BA0" w:rsidR="00913C33" w:rsidRPr="001F3A52" w:rsidRDefault="00913C33" w:rsidP="00913C33">
      <w:pPr>
        <w:ind w:firstLine="720"/>
      </w:pPr>
      <w:r w:rsidRPr="001F3A52">
        <w:rPr>
          <w:b/>
          <w:bCs/>
        </w:rPr>
        <w:t>Change in the Source, Composition, or Frequency of a Release Report</w:t>
      </w:r>
      <w:r w:rsidRPr="001F3A52">
        <w:t xml:space="preserve"> </w:t>
      </w:r>
      <w:r>
        <w:t>–</w:t>
      </w:r>
      <w:r w:rsidRPr="001F3A52">
        <w:t xml:space="preserve"> If there is a change in the source, composition, or frequency of a release, the release must be reported and treated as a new continuous release.  An initial telephone notification and written report must be provided as described above.  The person in charge also must submit a follow-up report within one year of the change report.  </w:t>
      </w:r>
    </w:p>
    <w:p w14:paraId="0F90EE9E" w14:textId="77777777" w:rsidR="00913C33" w:rsidRPr="001F3A52" w:rsidRDefault="00913C33" w:rsidP="00913C33"/>
    <w:p w14:paraId="461EDCCB" w14:textId="1EB8BD77" w:rsidR="00913C33" w:rsidRPr="001F3A52" w:rsidRDefault="00913C33" w:rsidP="00913C33">
      <w:pPr>
        <w:ind w:firstLine="720"/>
      </w:pPr>
      <w:r w:rsidRPr="001F3A52">
        <w:rPr>
          <w:b/>
          <w:bCs/>
        </w:rPr>
        <w:t>Other Changes in Information</w:t>
      </w:r>
      <w:r w:rsidRPr="001F3A52">
        <w:t xml:space="preserve"> </w:t>
      </w:r>
      <w:r>
        <w:t>–</w:t>
      </w:r>
      <w:r w:rsidRPr="001F3A52">
        <w:t xml:space="preserve"> Facilities experiencing a change in a continuous release that invalidates information previously submitted on the continuous release must notify the appropriate EPA Region</w:t>
      </w:r>
      <w:r w:rsidR="004A1FD9">
        <w:t>,</w:t>
      </w:r>
      <w:r w:rsidR="00BD6414">
        <w:t xml:space="preserve"> </w:t>
      </w:r>
      <w:r w:rsidRPr="001F3A52">
        <w:t>by letter within 30 days of the change.  The letter regarding the change in the release should explicitly identify the new (or changed) information and include an explanation for the change.  For example, a facility must notify EPA if any schools, hospitals, retirement homes, or other developments housing sensitive populations are open within one mile of the facility.</w:t>
      </w:r>
    </w:p>
    <w:p w14:paraId="290936D5" w14:textId="77777777" w:rsidR="00913C33" w:rsidRPr="001F3A52" w:rsidRDefault="00913C33" w:rsidP="00913C33"/>
    <w:p w14:paraId="6189501C" w14:textId="2BC7DC7E" w:rsidR="00913C33" w:rsidRPr="001F3A52" w:rsidRDefault="00913C33" w:rsidP="00913C33">
      <w:pPr>
        <w:ind w:firstLine="720"/>
      </w:pPr>
      <w:r w:rsidRPr="001F3A52">
        <w:rPr>
          <w:b/>
          <w:bCs/>
        </w:rPr>
        <w:t>Statistically Significant Increase Report</w:t>
      </w:r>
      <w:r w:rsidRPr="001F3A52">
        <w:t xml:space="preserve"> </w:t>
      </w:r>
      <w:r>
        <w:t>–</w:t>
      </w:r>
      <w:r w:rsidRPr="001F3A52">
        <w:t xml:space="preserve"> The CRRR defines a SSI as a release of a hazardous substance that exceeds the upper bound of the normal range of the release as established by the facility.  The normal range of a release is defined by the range of release weights (in pounds or kilograms) recorded during the preceding year under normal operating conditions (that is, conditions that prevail during the period establishing the predictability and regularity of the release).  Therefore, a SSI does </w:t>
      </w:r>
      <w:r w:rsidRPr="001F3A52">
        <w:rPr>
          <w:u w:val="single"/>
        </w:rPr>
        <w:t>not</w:t>
      </w:r>
      <w:r w:rsidRPr="001F3A52">
        <w:t xml:space="preserve"> include releases within the reported normal range of release.  An SSI release is considered an episodic release because it is a release above the RQ.  Thus, SSIs must be immediately reported to the NRC</w:t>
      </w:r>
      <w:r w:rsidR="00B6182B">
        <w:t>,</w:t>
      </w:r>
      <w:r w:rsidR="00BD6414">
        <w:t xml:space="preserve"> the SERC</w:t>
      </w:r>
      <w:r w:rsidR="004D4DC9">
        <w:t>,</w:t>
      </w:r>
      <w:r w:rsidR="00BD6414">
        <w:t xml:space="preserve"> and</w:t>
      </w:r>
      <w:r w:rsidR="004C2E21">
        <w:t xml:space="preserve"> the</w:t>
      </w:r>
      <w:r w:rsidR="00BD6414">
        <w:t xml:space="preserve"> LEPC, </w:t>
      </w:r>
      <w:r w:rsidRPr="001F3A52">
        <w:t>by telephone pursuant to the notification requirements of CERCLA section 103(a)</w:t>
      </w:r>
      <w:r w:rsidR="00BD6414">
        <w:t xml:space="preserve"> and EPCRA Section 304</w:t>
      </w:r>
      <w:r w:rsidRPr="001F3A52">
        <w:t xml:space="preserve">.  The information </w:t>
      </w:r>
      <w:r w:rsidR="00B6182B">
        <w:t>reported to</w:t>
      </w:r>
      <w:r w:rsidRPr="001F3A52">
        <w:t xml:space="preserve"> the NRC in a SSI report includes the same information supplied when reporting any other episodic release (e.g., quantity of the release, source of the release, and a description of any response actions taken).</w:t>
      </w:r>
      <w:r w:rsidR="00B6182B">
        <w:t xml:space="preserve">  Information provided to the SERC and the LEPC for any </w:t>
      </w:r>
      <w:r w:rsidR="0072793B">
        <w:t xml:space="preserve">type of </w:t>
      </w:r>
      <w:r w:rsidR="00B6182B">
        <w:t>release (including SSI described here) is codified in 40 CFR 355.40.</w:t>
      </w:r>
    </w:p>
    <w:p w14:paraId="6BD32DFE" w14:textId="77777777" w:rsidR="00913C33" w:rsidRPr="001F3A52" w:rsidRDefault="00913C33" w:rsidP="00913C33"/>
    <w:p w14:paraId="1F9851BA" w14:textId="0A80DFE9" w:rsidR="00913C33" w:rsidRPr="001F3A52" w:rsidRDefault="00913C33" w:rsidP="00913C33">
      <w:pPr>
        <w:ind w:firstLine="720"/>
      </w:pPr>
      <w:r w:rsidRPr="001F3A52">
        <w:t>The person in charge of a facility with a SSI may modify the previously established normal range as an alternative to reporting multiple SSIs.  To modify the normal range of the release over a 24-hour period under normal operating procedures, the person in charge of the facility must report at least one SSI to the NRC</w:t>
      </w:r>
      <w:r w:rsidR="00B6182B">
        <w:t>,</w:t>
      </w:r>
      <w:r w:rsidR="00BD6414">
        <w:t xml:space="preserve"> the SERC</w:t>
      </w:r>
      <w:r w:rsidR="00CF098A">
        <w:t>,</w:t>
      </w:r>
      <w:r w:rsidR="00BD6414">
        <w:t xml:space="preserve"> and </w:t>
      </w:r>
      <w:r w:rsidR="004C2E21">
        <w:t xml:space="preserve">the </w:t>
      </w:r>
      <w:r w:rsidR="00BD6414">
        <w:t>LEPC</w:t>
      </w:r>
      <w:r w:rsidRPr="001F3A52">
        <w:t xml:space="preserve"> as an episodic release (to facilitate immediate evaluation), and then must submit a written change report of the release information to the appropriate EPA Region</w:t>
      </w:r>
      <w:r w:rsidR="00B6182B">
        <w:t>,</w:t>
      </w:r>
      <w:r w:rsidR="00BD6414">
        <w:t xml:space="preserve"> the SERC</w:t>
      </w:r>
      <w:r w:rsidR="00CF098A">
        <w:t>,</w:t>
      </w:r>
      <w:r w:rsidR="00BD6414">
        <w:t xml:space="preserve"> and</w:t>
      </w:r>
      <w:r w:rsidR="004C2E21">
        <w:t xml:space="preserve"> the</w:t>
      </w:r>
      <w:r w:rsidR="00BD6414">
        <w:t xml:space="preserve"> LEPC</w:t>
      </w:r>
      <w:r w:rsidRPr="001F3A52">
        <w:t xml:space="preserve"> describing the new normal range and reasons for the change; thus</w:t>
      </w:r>
      <w:r w:rsidR="0051320F">
        <w:t>,</w:t>
      </w:r>
      <w:r w:rsidRPr="001F3A52">
        <w:t xml:space="preserve"> treating the SSI as a new release.  Thus, for example, if a facility doubles its production level thereby doubling its release level, the facility may want to double its reported normal range of the continuous release, rather than reporting multiple SSIs.  The person in charge also must submit a follow-up report </w:t>
      </w:r>
      <w:r w:rsidR="00CD7E60">
        <w:t xml:space="preserve">“first anniversary report” </w:t>
      </w:r>
      <w:r w:rsidRPr="001F3A52">
        <w:t>within one year of the submission of the change report</w:t>
      </w:r>
      <w:r>
        <w:t>.</w:t>
      </w:r>
      <w:r w:rsidR="00CD7E60">
        <w:t xml:space="preserve">  </w:t>
      </w:r>
      <w:r w:rsidR="00060474">
        <w:t xml:space="preserve">Note:  </w:t>
      </w:r>
      <w:r w:rsidR="00CD7E60">
        <w:t xml:space="preserve">The “first anniversary report” is not required </w:t>
      </w:r>
      <w:r w:rsidR="00060474">
        <w:t>as per</w:t>
      </w:r>
      <w:r w:rsidR="00CD7E60">
        <w:t xml:space="preserve"> </w:t>
      </w:r>
      <w:r w:rsidR="00060474">
        <w:t xml:space="preserve">continuous release reporting regulations under </w:t>
      </w:r>
      <w:r w:rsidR="00CD7E60">
        <w:t xml:space="preserve">EPCRA section 304.  </w:t>
      </w:r>
    </w:p>
    <w:p w14:paraId="31840824" w14:textId="77777777" w:rsidR="00913C33" w:rsidRPr="001F3A52" w:rsidRDefault="00913C33" w:rsidP="00913C33"/>
    <w:p w14:paraId="31391011" w14:textId="06933163" w:rsidR="00913C33" w:rsidRDefault="00913C33" w:rsidP="00913C33">
      <w:pPr>
        <w:ind w:firstLine="720"/>
      </w:pPr>
      <w:r w:rsidRPr="001F3A52">
        <w:rPr>
          <w:b/>
          <w:bCs/>
        </w:rPr>
        <w:t>Record keeping</w:t>
      </w:r>
      <w:r w:rsidRPr="001F3A52">
        <w:t xml:space="preserve"> </w:t>
      </w:r>
      <w:r>
        <w:t>–</w:t>
      </w:r>
      <w:r w:rsidRPr="001F3A52">
        <w:t xml:space="preserve"> Facilities may maintain a log or some other record of each hazardous substance release reported </w:t>
      </w:r>
      <w:r w:rsidR="00CD7E60">
        <w:t xml:space="preserve">as continuous </w:t>
      </w:r>
      <w:r w:rsidRPr="001F3A52">
        <w:t>under CERCLA section 103(f)(2).  The information documented in the record can be used to demonstrate compliance with the provisions of the CRRR, including the requirement to demonstrate the continuity and stability of the release and the requirement to conduct an annual evaluation of the release.  Additionally, facilities may find it useful to document daily release quantities for use in substantiating and modifying the normal range of the release.</w:t>
      </w:r>
    </w:p>
    <w:p w14:paraId="752A1E7C" w14:textId="77777777" w:rsidR="00913C33" w:rsidRDefault="00805571" w:rsidP="00913C33">
      <w:pPr>
        <w:pStyle w:val="Heading3"/>
        <w:tabs>
          <w:tab w:val="clear" w:pos="1800"/>
          <w:tab w:val="num" w:pos="1080"/>
        </w:tabs>
      </w:pPr>
      <w:bookmarkStart w:id="34" w:name="_Toc188347101"/>
      <w:bookmarkStart w:id="35" w:name="_Toc295823946"/>
      <w:r>
        <w:t>R</w:t>
      </w:r>
      <w:r w:rsidR="00913C33">
        <w:t>espondent Activities</w:t>
      </w:r>
      <w:bookmarkEnd w:id="34"/>
      <w:bookmarkEnd w:id="35"/>
    </w:p>
    <w:p w14:paraId="6BE071BB" w14:textId="77777777" w:rsidR="00913C33" w:rsidRDefault="00913C33" w:rsidP="00913C33"/>
    <w:p w14:paraId="1C780859" w14:textId="77777777" w:rsidR="00913C33" w:rsidRPr="00803195" w:rsidRDefault="00913C33" w:rsidP="00913C33">
      <w:pPr>
        <w:ind w:firstLine="720"/>
      </w:pPr>
      <w:r w:rsidRPr="00803195">
        <w:t>To comply with the provisions of the CRRR, the regulated community performs the following information collection activities:</w:t>
      </w:r>
    </w:p>
    <w:p w14:paraId="43E50A16" w14:textId="77777777" w:rsidR="00913C33" w:rsidRPr="00803195" w:rsidRDefault="00913C33" w:rsidP="00913C33"/>
    <w:p w14:paraId="44C0B9F8" w14:textId="56B807CB" w:rsidR="00913C33" w:rsidRDefault="00913C33" w:rsidP="00913C33">
      <w:pPr>
        <w:pStyle w:val="Level1"/>
      </w:pPr>
      <w:r w:rsidRPr="00803195">
        <w:t>Provides an initial telephone call to the NRC</w:t>
      </w:r>
      <w:r w:rsidR="00060474">
        <w:t>,</w:t>
      </w:r>
      <w:r w:rsidR="00BD6414">
        <w:t xml:space="preserve"> the SERC</w:t>
      </w:r>
      <w:r w:rsidR="00BE0424">
        <w:t>,</w:t>
      </w:r>
      <w:r w:rsidR="00BD6414">
        <w:t xml:space="preserve"> and </w:t>
      </w:r>
      <w:r w:rsidR="004C2E21">
        <w:t xml:space="preserve">the </w:t>
      </w:r>
      <w:r w:rsidR="00BD6414">
        <w:t>LEPC</w:t>
      </w:r>
      <w:r w:rsidRPr="00803195">
        <w:t>;</w:t>
      </w:r>
    </w:p>
    <w:p w14:paraId="6D0FCA70" w14:textId="77777777" w:rsidR="00BE0424" w:rsidRPr="00803195" w:rsidRDefault="00BE0424" w:rsidP="00BE0424">
      <w:pPr>
        <w:pStyle w:val="Level1"/>
        <w:numPr>
          <w:ilvl w:val="0"/>
          <w:numId w:val="0"/>
        </w:numPr>
        <w:ind w:left="1440"/>
      </w:pPr>
    </w:p>
    <w:p w14:paraId="30AB3FFA" w14:textId="56ED6DAB" w:rsidR="00913C33" w:rsidRDefault="00913C33" w:rsidP="00913C33">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803195">
        <w:t>Provides an initial written report to the EPA Region</w:t>
      </w:r>
      <w:r w:rsidR="00060474">
        <w:t>,</w:t>
      </w:r>
      <w:r w:rsidR="00BD6414">
        <w:t xml:space="preserve"> the SERC</w:t>
      </w:r>
      <w:r w:rsidR="00BE0424">
        <w:t>,</w:t>
      </w:r>
      <w:r w:rsidR="00BD6414">
        <w:t xml:space="preserve"> and </w:t>
      </w:r>
      <w:r w:rsidR="002D5E4D">
        <w:t xml:space="preserve">the </w:t>
      </w:r>
      <w:r w:rsidR="00BD6414">
        <w:t>LEPC</w:t>
      </w:r>
      <w:r w:rsidRPr="00803195">
        <w:t>;</w:t>
      </w:r>
    </w:p>
    <w:p w14:paraId="6D950F96" w14:textId="77777777" w:rsidR="00BE0424" w:rsidRPr="00803195" w:rsidRDefault="00BE0424" w:rsidP="00BE0424">
      <w:pPr>
        <w:pStyle w:val="Level1"/>
        <w:numPr>
          <w:ilvl w:val="0"/>
          <w:numId w:val="0"/>
        </w:numPr>
        <w:tabs>
          <w:tab w:val="clear" w:pos="-1440"/>
          <w:tab w:val="left" w:pos="720"/>
          <w:tab w:val="left" w:pos="2880"/>
          <w:tab w:val="left" w:pos="3600"/>
          <w:tab w:val="left" w:pos="4320"/>
          <w:tab w:val="left" w:pos="5040"/>
          <w:tab w:val="left" w:pos="5760"/>
          <w:tab w:val="left" w:pos="6480"/>
          <w:tab w:val="left" w:pos="7200"/>
          <w:tab w:val="left" w:pos="7920"/>
        </w:tabs>
        <w:ind w:left="1440"/>
      </w:pPr>
    </w:p>
    <w:p w14:paraId="34C22E57" w14:textId="25738794" w:rsidR="00913C33" w:rsidRDefault="00913C33" w:rsidP="00913C33">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803195">
        <w:t xml:space="preserve">Prepares a one-time follow-up written report </w:t>
      </w:r>
      <w:r w:rsidR="00060474">
        <w:t xml:space="preserve">(“first anniversary report”) </w:t>
      </w:r>
      <w:r w:rsidRPr="00803195">
        <w:t>for the EPA Region</w:t>
      </w:r>
      <w:r w:rsidR="00BD6414">
        <w:t xml:space="preserve"> </w:t>
      </w:r>
      <w:r w:rsidRPr="00803195">
        <w:t>on or before the first-year anniversary of the submission of an initial written report;</w:t>
      </w:r>
    </w:p>
    <w:p w14:paraId="5C2500B2" w14:textId="77777777" w:rsidR="00BE0424" w:rsidRPr="00803195" w:rsidRDefault="00BE0424" w:rsidP="00BE0424">
      <w:pPr>
        <w:pStyle w:val="Level1"/>
        <w:numPr>
          <w:ilvl w:val="0"/>
          <w:numId w:val="0"/>
        </w:numPr>
        <w:tabs>
          <w:tab w:val="clear" w:pos="-1440"/>
          <w:tab w:val="left" w:pos="720"/>
          <w:tab w:val="left" w:pos="2880"/>
          <w:tab w:val="left" w:pos="3600"/>
          <w:tab w:val="left" w:pos="4320"/>
          <w:tab w:val="left" w:pos="5040"/>
          <w:tab w:val="left" w:pos="5760"/>
          <w:tab w:val="left" w:pos="6480"/>
          <w:tab w:val="left" w:pos="7200"/>
          <w:tab w:val="left" w:pos="7920"/>
        </w:tabs>
        <w:ind w:left="1440"/>
      </w:pPr>
    </w:p>
    <w:p w14:paraId="18789540" w14:textId="11F03433" w:rsidR="00913C33" w:rsidRDefault="00913C33" w:rsidP="00913C33">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803195">
        <w:t>Conducts an annual evaluation of a release beginning the year after the submission of the one-time follow-up written report;</w:t>
      </w:r>
    </w:p>
    <w:p w14:paraId="470F5122" w14:textId="77777777" w:rsidR="00BE0424" w:rsidRPr="00803195" w:rsidRDefault="00BE0424" w:rsidP="00BE0424">
      <w:pPr>
        <w:pStyle w:val="Level1"/>
        <w:numPr>
          <w:ilvl w:val="0"/>
          <w:numId w:val="0"/>
        </w:numPr>
        <w:tabs>
          <w:tab w:val="clear" w:pos="-1440"/>
          <w:tab w:val="left" w:pos="720"/>
          <w:tab w:val="left" w:pos="2880"/>
          <w:tab w:val="left" w:pos="3600"/>
          <w:tab w:val="left" w:pos="4320"/>
          <w:tab w:val="left" w:pos="5040"/>
          <w:tab w:val="left" w:pos="5760"/>
          <w:tab w:val="left" w:pos="6480"/>
          <w:tab w:val="left" w:pos="7200"/>
          <w:tab w:val="left" w:pos="7920"/>
        </w:tabs>
        <w:ind w:left="1440"/>
      </w:pPr>
    </w:p>
    <w:p w14:paraId="65028354" w14:textId="4A34630E" w:rsidR="00913C33" w:rsidRDefault="00913C33" w:rsidP="00913C33">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803195">
        <w:t>Prepares change in the sources, composition, or frequency of a release reports</w:t>
      </w:r>
      <w:r w:rsidR="00842201">
        <w:t xml:space="preserve"> to the EPA Region, the SERC</w:t>
      </w:r>
      <w:r w:rsidR="00BE0424">
        <w:t>,</w:t>
      </w:r>
      <w:r w:rsidR="00842201">
        <w:t xml:space="preserve"> and the LEPC</w:t>
      </w:r>
      <w:r w:rsidRPr="00803195">
        <w:t>;</w:t>
      </w:r>
    </w:p>
    <w:p w14:paraId="56C8F264" w14:textId="77777777" w:rsidR="00BE0424" w:rsidRPr="00803195" w:rsidRDefault="00BE0424" w:rsidP="00BE0424">
      <w:pPr>
        <w:pStyle w:val="Level1"/>
        <w:numPr>
          <w:ilvl w:val="0"/>
          <w:numId w:val="0"/>
        </w:numPr>
        <w:tabs>
          <w:tab w:val="clear" w:pos="-1440"/>
          <w:tab w:val="left" w:pos="720"/>
          <w:tab w:val="left" w:pos="2880"/>
          <w:tab w:val="left" w:pos="3600"/>
          <w:tab w:val="left" w:pos="4320"/>
          <w:tab w:val="left" w:pos="5040"/>
          <w:tab w:val="left" w:pos="5760"/>
          <w:tab w:val="left" w:pos="6480"/>
          <w:tab w:val="left" w:pos="7200"/>
          <w:tab w:val="left" w:pos="7920"/>
        </w:tabs>
        <w:ind w:left="1440"/>
      </w:pPr>
    </w:p>
    <w:p w14:paraId="2C750782" w14:textId="50472DFA" w:rsidR="00913C33" w:rsidRDefault="00913C33" w:rsidP="00913C33">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803195">
        <w:t>Prepares change in other information reports</w:t>
      </w:r>
      <w:r w:rsidR="00842201">
        <w:t xml:space="preserve"> to the EPA Region</w:t>
      </w:r>
      <w:r w:rsidRPr="00803195">
        <w:t>;</w:t>
      </w:r>
    </w:p>
    <w:p w14:paraId="55BBBD37" w14:textId="77777777" w:rsidR="00BE0424" w:rsidRPr="00803195" w:rsidRDefault="00BE0424" w:rsidP="00BE0424">
      <w:pPr>
        <w:pStyle w:val="Level1"/>
        <w:numPr>
          <w:ilvl w:val="0"/>
          <w:numId w:val="0"/>
        </w:numPr>
        <w:tabs>
          <w:tab w:val="clear" w:pos="-1440"/>
          <w:tab w:val="left" w:pos="720"/>
          <w:tab w:val="left" w:pos="2880"/>
          <w:tab w:val="left" w:pos="3600"/>
          <w:tab w:val="left" w:pos="4320"/>
          <w:tab w:val="left" w:pos="5040"/>
          <w:tab w:val="left" w:pos="5760"/>
          <w:tab w:val="left" w:pos="6480"/>
          <w:tab w:val="left" w:pos="7200"/>
          <w:tab w:val="left" w:pos="7920"/>
        </w:tabs>
        <w:ind w:left="1440"/>
      </w:pPr>
    </w:p>
    <w:p w14:paraId="20ADBF79" w14:textId="13E95C57" w:rsidR="00913C33" w:rsidRDefault="00913C33" w:rsidP="00913C33">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803195">
        <w:t>Provides immediate notifications of SSIs</w:t>
      </w:r>
      <w:r w:rsidR="00842201">
        <w:t xml:space="preserve"> to the NRC, the SERC</w:t>
      </w:r>
      <w:r w:rsidR="00BE0424">
        <w:t>,</w:t>
      </w:r>
      <w:r w:rsidR="00842201">
        <w:t xml:space="preserve"> and the LEPC</w:t>
      </w:r>
      <w:r w:rsidRPr="00803195">
        <w:t xml:space="preserve">; and </w:t>
      </w:r>
    </w:p>
    <w:p w14:paraId="7A88240F" w14:textId="77777777" w:rsidR="00BE0424" w:rsidRPr="00803195" w:rsidRDefault="00BE0424" w:rsidP="00BE0424">
      <w:pPr>
        <w:pStyle w:val="Level1"/>
        <w:numPr>
          <w:ilvl w:val="0"/>
          <w:numId w:val="0"/>
        </w:numPr>
        <w:tabs>
          <w:tab w:val="clear" w:pos="-1440"/>
          <w:tab w:val="left" w:pos="720"/>
          <w:tab w:val="left" w:pos="2880"/>
          <w:tab w:val="left" w:pos="3600"/>
          <w:tab w:val="left" w:pos="4320"/>
          <w:tab w:val="left" w:pos="5040"/>
          <w:tab w:val="left" w:pos="5760"/>
          <w:tab w:val="left" w:pos="6480"/>
          <w:tab w:val="left" w:pos="7200"/>
          <w:tab w:val="left" w:pos="7920"/>
        </w:tabs>
        <w:ind w:left="1440"/>
      </w:pPr>
    </w:p>
    <w:p w14:paraId="4497561B" w14:textId="77777777" w:rsidR="00913C33" w:rsidRPr="00803195" w:rsidRDefault="00913C33" w:rsidP="00913C33">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803195">
        <w:t>Maintains a log or other formal record to document compliance with the CRRR.</w:t>
      </w:r>
    </w:p>
    <w:p w14:paraId="7CCF18C8" w14:textId="77777777" w:rsidR="00913C33" w:rsidRPr="00803195" w:rsidRDefault="00913C33" w:rsidP="00913C33"/>
    <w:p w14:paraId="2FF69BBB" w14:textId="77777777" w:rsidR="00913C33" w:rsidRPr="00803195" w:rsidRDefault="00913C33" w:rsidP="00913C33">
      <w:pPr>
        <w:ind w:firstLine="720"/>
      </w:pPr>
      <w:r w:rsidRPr="00803195">
        <w:t>Each of these notification and record keeping activities is listed and described in detail in section 4(b)(i), above.  In addition to these activities, persons in charge of a facility may be required to perform supplemental collection activities in response to the Federal government’s evaluation of the facility’s continuous release reports.  In situations where EPA’s evaluation of release reports engenders concern over potential adverse effects, EPA may require the person in charge of the facility in question to submit the additional information or clarify and refine information previously submitted.  EPA may use this additional information to better assess the risks associated with the release.  Finally, in response to a release report or additional information, EPA may conduct a site inspection.  Industry personnel accompany EPA personnel during the site inspection to address any questions, concerns, or information requests that may arise.  Thus, the following other activities are included within the information collection activities performed by the regulated community:</w:t>
      </w:r>
    </w:p>
    <w:p w14:paraId="22C11E24" w14:textId="77777777" w:rsidR="00913C33" w:rsidRPr="00803195" w:rsidRDefault="00913C33" w:rsidP="00913C33"/>
    <w:p w14:paraId="65AE104F" w14:textId="193BCC53" w:rsidR="00913C33" w:rsidRDefault="00913C33" w:rsidP="00913C33">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803195">
        <w:t>Provision of additional information; and</w:t>
      </w:r>
    </w:p>
    <w:p w14:paraId="261A40FB" w14:textId="77777777" w:rsidR="007F473A" w:rsidRPr="00803195" w:rsidRDefault="007F473A" w:rsidP="007F473A">
      <w:pPr>
        <w:pStyle w:val="Level1"/>
        <w:numPr>
          <w:ilvl w:val="0"/>
          <w:numId w:val="0"/>
        </w:numPr>
        <w:tabs>
          <w:tab w:val="clear" w:pos="-1440"/>
          <w:tab w:val="left" w:pos="720"/>
          <w:tab w:val="left" w:pos="2880"/>
          <w:tab w:val="left" w:pos="3600"/>
          <w:tab w:val="left" w:pos="4320"/>
          <w:tab w:val="left" w:pos="5040"/>
          <w:tab w:val="left" w:pos="5760"/>
          <w:tab w:val="left" w:pos="6480"/>
          <w:tab w:val="left" w:pos="7200"/>
          <w:tab w:val="left" w:pos="7920"/>
        </w:tabs>
        <w:ind w:left="1440"/>
      </w:pPr>
    </w:p>
    <w:p w14:paraId="61B4A09B" w14:textId="77777777" w:rsidR="00913C33" w:rsidRPr="00803195" w:rsidRDefault="00913C33" w:rsidP="00913C33">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803195">
        <w:t>Site inspection.</w:t>
      </w:r>
    </w:p>
    <w:p w14:paraId="69824873" w14:textId="77777777" w:rsidR="00913C33" w:rsidRPr="00803195" w:rsidRDefault="00913C33" w:rsidP="00913C33"/>
    <w:p w14:paraId="4622646E" w14:textId="77777777" w:rsidR="00913C33" w:rsidRDefault="00913C33" w:rsidP="00913C33">
      <w:pPr>
        <w:ind w:firstLine="720"/>
      </w:pPr>
      <w:r w:rsidRPr="00803195">
        <w:t>Estimates of the burden hours incurred by industry as a result of reporting continuous releases were developed based on estimates of the time expended in providing a specific report (e.g., the initial telephone call, the initial written report, the follow-up written report) as opposed to developing estimates for each work element (e.g., gathering information, reviewing report formats, completing reports) involved in completing all of the required activities.  The burden estimates for each information collection and record keeping activity performed by the regulated community under the CRRR are presented in Section 6(a) of this ICR.</w:t>
      </w:r>
    </w:p>
    <w:p w14:paraId="3073A515" w14:textId="77777777" w:rsidR="00913C33" w:rsidRDefault="00913C33" w:rsidP="00913C33">
      <w:pPr>
        <w:pStyle w:val="Heading1"/>
      </w:pPr>
      <w:bookmarkStart w:id="36" w:name="_Toc188347102"/>
      <w:bookmarkStart w:id="37" w:name="_Toc295823947"/>
      <w:r>
        <w:t>THE INFORMATION COLLECTED – AGENCY ACTIVITIES, COLLECTION METHODOLOGY, AND INFORMATION MANAGEMENT</w:t>
      </w:r>
      <w:bookmarkEnd w:id="36"/>
      <w:bookmarkEnd w:id="37"/>
    </w:p>
    <w:p w14:paraId="5F90D74A" w14:textId="118C1E8A" w:rsidR="00913C33" w:rsidRDefault="00913C33" w:rsidP="00913C33">
      <w:pPr>
        <w:pStyle w:val="Heading2"/>
      </w:pPr>
      <w:bookmarkStart w:id="38" w:name="_Toc188347103"/>
      <w:bookmarkStart w:id="39" w:name="_Toc295823948"/>
      <w:r>
        <w:t>Agency Activities</w:t>
      </w:r>
      <w:bookmarkEnd w:id="38"/>
      <w:bookmarkEnd w:id="39"/>
      <w:r w:rsidR="00471F17">
        <w:t xml:space="preserve"> </w:t>
      </w:r>
    </w:p>
    <w:p w14:paraId="52A028B8" w14:textId="77777777" w:rsidR="00913C33" w:rsidRPr="00C47F14" w:rsidRDefault="00913C33" w:rsidP="00913C33"/>
    <w:p w14:paraId="6546F7D4" w14:textId="5A6D3DD0" w:rsidR="00913C33" w:rsidRPr="00C47F14" w:rsidRDefault="00913C33" w:rsidP="00913C33">
      <w:pPr>
        <w:ind w:firstLine="720"/>
      </w:pPr>
      <w:r w:rsidRPr="00C47F14">
        <w:t>Each of the notification reports submitted by industry is processed and evaluated by Federal authorities</w:t>
      </w:r>
      <w:r w:rsidR="00AB35FB">
        <w:t>, the</w:t>
      </w:r>
      <w:r w:rsidR="00EF30BF">
        <w:t xml:space="preserve"> SERC</w:t>
      </w:r>
      <w:r w:rsidR="00ED40F2">
        <w:t>,</w:t>
      </w:r>
      <w:r w:rsidR="00EF30BF">
        <w:t xml:space="preserve"> and LEPC personnel</w:t>
      </w:r>
      <w:r w:rsidR="00AB35FB">
        <w:t>.</w:t>
      </w:r>
      <w:r w:rsidRPr="00C47F14">
        <w:t xml:space="preserve">  For some continuous releases evaluated under the CRRR, EPA may request additional (supplemental) information or clarification of information previously submitted by a facility.  EPA may use this information to conduct a more in-depth risk assessment of the release.  In some extreme cases, the in-depth risk assessment may not allay EPA’s concerns and EPA may decide to conduct a site inspection to review the circumstances associated with the release first-hand.  Additionally, site inspections may be conducted periodically as a compliance and enforcement measure.  Thus, the Agency performs the following other activities as a result of continuous releases reported under CERCLA section 103(f)(2):</w:t>
      </w:r>
    </w:p>
    <w:p w14:paraId="6E9E69D0" w14:textId="77777777" w:rsidR="00913C33" w:rsidRPr="00C47F14" w:rsidRDefault="00913C33" w:rsidP="00913C33"/>
    <w:p w14:paraId="4E4E3CAF" w14:textId="77777777" w:rsidR="00913C33" w:rsidRPr="00C47F14" w:rsidRDefault="00913C33" w:rsidP="00913C33">
      <w:pPr>
        <w:ind w:left="1440" w:hanging="720"/>
      </w:pPr>
      <w:r w:rsidRPr="00C47F14">
        <w:t>•</w:t>
      </w:r>
      <w:r w:rsidRPr="00C47F14">
        <w:tab/>
        <w:t xml:space="preserve">Request additional information; and </w:t>
      </w:r>
    </w:p>
    <w:p w14:paraId="2A7AE39C" w14:textId="77777777" w:rsidR="00913C33" w:rsidRPr="00C47F14" w:rsidRDefault="00913C33" w:rsidP="00913C33">
      <w:pPr>
        <w:ind w:left="1440" w:hanging="720"/>
      </w:pPr>
      <w:r w:rsidRPr="00C47F14">
        <w:t>•</w:t>
      </w:r>
      <w:r w:rsidRPr="00C47F14">
        <w:tab/>
        <w:t>Conduct site inspections.</w:t>
      </w:r>
    </w:p>
    <w:p w14:paraId="477AAFF0" w14:textId="77777777" w:rsidR="00913C33" w:rsidRPr="00C47F14" w:rsidRDefault="00913C33" w:rsidP="00913C33"/>
    <w:p w14:paraId="7E2DF406" w14:textId="43F5DC65" w:rsidR="00913C33" w:rsidRDefault="00913C33" w:rsidP="00913C33">
      <w:pPr>
        <w:ind w:firstLine="720"/>
      </w:pPr>
      <w:r w:rsidRPr="00C47F14">
        <w:t>Estimates of the burden hours incurred by the Federal government</w:t>
      </w:r>
      <w:r w:rsidR="006000F0">
        <w:t xml:space="preserve"> (NRC and EPA Region), the</w:t>
      </w:r>
      <w:r w:rsidR="00EF30BF">
        <w:t xml:space="preserve"> SERC and </w:t>
      </w:r>
      <w:r w:rsidR="004C2E21">
        <w:t xml:space="preserve">the </w:t>
      </w:r>
      <w:r w:rsidR="00EF30BF">
        <w:t xml:space="preserve">LEPC personnel </w:t>
      </w:r>
      <w:r w:rsidRPr="00C47F14">
        <w:t>are developed based on estimates of the time expended in processing the notification reports required under the CRRR (e.g., the initial written report, SSI notification) or completing another activity (e.g., additional information, site inspection) as opposed to developing estimates for each work element (e.g., reviewing data, entering data, filing, evaluating a release, storing evaluation results) involved in completing all of the required activities.  The burden estimates developed for each of the processing, evaluating, and other activities performed by the Federal government are presented in Section 6(c) of this ICR.</w:t>
      </w:r>
    </w:p>
    <w:p w14:paraId="43F776E7" w14:textId="77777777" w:rsidR="00913C33" w:rsidRDefault="00913C33" w:rsidP="00913C33">
      <w:pPr>
        <w:pStyle w:val="Heading2"/>
      </w:pPr>
      <w:bookmarkStart w:id="40" w:name="_Toc188347104"/>
      <w:bookmarkStart w:id="41" w:name="_Toc295823949"/>
      <w:r>
        <w:t>Collection Methodology and Management</w:t>
      </w:r>
      <w:bookmarkEnd w:id="40"/>
      <w:bookmarkEnd w:id="41"/>
    </w:p>
    <w:p w14:paraId="079944FA" w14:textId="77777777" w:rsidR="00913C33" w:rsidRDefault="00913C33" w:rsidP="00913C33"/>
    <w:p w14:paraId="1DF7E21F" w14:textId="77777777" w:rsidR="00913C33" w:rsidRDefault="00913C33" w:rsidP="00913C33">
      <w:pPr>
        <w:ind w:firstLine="720"/>
      </w:pPr>
      <w:r w:rsidRPr="00463173">
        <w:t>To facilitate collection and storage of information on continuous releases, EPA developed CR-ERNS.  CR-ERNS is an information management system that serves as the depository for continuous release information received by the EPA Regions.  CR-ERNS is designed to assist EPA Regional personnel in managing continuous release information and establishing priorities with respect to the review and evaluation of continuous release reports.  The reports submitted to the EPA Regions include the initial written report, the follow-up report, and changes in release reports.  Additionally, the NRC immediately notifies the appropriate EPA Region of any SSI reports.</w:t>
      </w:r>
    </w:p>
    <w:p w14:paraId="49AA74AF" w14:textId="77777777" w:rsidR="00913C33" w:rsidRDefault="00913C33" w:rsidP="00913C33">
      <w:pPr>
        <w:pStyle w:val="Heading2"/>
      </w:pPr>
      <w:bookmarkStart w:id="42" w:name="_Toc188347105"/>
      <w:bookmarkStart w:id="43" w:name="_Toc295823950"/>
      <w:r>
        <w:t>Small Entity Flexibility</w:t>
      </w:r>
      <w:bookmarkEnd w:id="42"/>
      <w:bookmarkEnd w:id="43"/>
    </w:p>
    <w:p w14:paraId="2B4B4AF9" w14:textId="77777777" w:rsidR="00913C33" w:rsidRDefault="00913C33" w:rsidP="00913C33"/>
    <w:p w14:paraId="0287ED6E" w14:textId="574A42E1" w:rsidR="00913C33" w:rsidRPr="00463173" w:rsidRDefault="00913C33" w:rsidP="00913C33">
      <w:pPr>
        <w:ind w:firstLine="720"/>
      </w:pPr>
      <w:r w:rsidRPr="00463173">
        <w:t>The notification requirements under section 103(a) of CERCLA</w:t>
      </w:r>
      <w:r w:rsidR="00EF30BF">
        <w:t xml:space="preserve"> and section 304 of EPCRA</w:t>
      </w:r>
      <w:r w:rsidRPr="00463173">
        <w:t xml:space="preserve"> and the reporting relief available under section 103(f)(2) apply equally to all firms regardless of size.  There are no special information collection or record keeping requirements on small businesses.  EPA believes that the notification system developed under the CRRR represents the minimum level of reporting necessary for the Federal OSC to evaluate whether a response action is needed to prevent or mitigate any hazards to public health and welfare and the environment.  A reduction in the reporting requirements facing small businesses is not possible without jeopardizing the quality of the information needed to evaluate the threat posed by the release and the need for a Federal response.</w:t>
      </w:r>
    </w:p>
    <w:p w14:paraId="33AC4691" w14:textId="77777777" w:rsidR="00913C33" w:rsidRDefault="00913C33" w:rsidP="00913C33">
      <w:pPr>
        <w:pStyle w:val="Heading2"/>
      </w:pPr>
      <w:bookmarkStart w:id="44" w:name="_Toc188347106"/>
      <w:bookmarkStart w:id="45" w:name="_Toc295823951"/>
      <w:r>
        <w:t>Collection Schedule</w:t>
      </w:r>
      <w:bookmarkEnd w:id="44"/>
      <w:bookmarkEnd w:id="45"/>
    </w:p>
    <w:p w14:paraId="731BE598" w14:textId="77777777" w:rsidR="00913C33" w:rsidRDefault="00913C33" w:rsidP="00913C33"/>
    <w:p w14:paraId="1043DC8D" w14:textId="5C9DD2EC" w:rsidR="00913C33" w:rsidRPr="00463173" w:rsidRDefault="00913C33" w:rsidP="00913C33">
      <w:pPr>
        <w:ind w:firstLine="720"/>
      </w:pPr>
      <w:r w:rsidRPr="00463173">
        <w:t>The facility must provide an initial telephone call to the NRC</w:t>
      </w:r>
      <w:r w:rsidR="00153F61">
        <w:t>,</w:t>
      </w:r>
      <w:r w:rsidR="0080001E">
        <w:t xml:space="preserve"> the SERC</w:t>
      </w:r>
      <w:r w:rsidR="000D66DC">
        <w:t>,</w:t>
      </w:r>
      <w:r w:rsidR="0080001E">
        <w:t xml:space="preserve"> and </w:t>
      </w:r>
      <w:r w:rsidR="004C2E21">
        <w:t xml:space="preserve">the </w:t>
      </w:r>
      <w:r w:rsidR="0080001E">
        <w:t xml:space="preserve">LEPC </w:t>
      </w:r>
      <w:r w:rsidRPr="00463173">
        <w:t xml:space="preserve">as soon as the person in charge has knowledge of a hazardous substance release that equals or exceeds its RQ.  The caller must decide whether to report the release under CERCLA section 103(a) </w:t>
      </w:r>
      <w:r w:rsidR="00CE1976">
        <w:t>and EPCRA s</w:t>
      </w:r>
      <w:r w:rsidR="0080001E">
        <w:t>ection 304</w:t>
      </w:r>
      <w:r w:rsidR="0080001E" w:rsidRPr="00463173">
        <w:t xml:space="preserve"> </w:t>
      </w:r>
      <w:r w:rsidRPr="00463173">
        <w:t>(i.e., as an episodic release) or CERCLA section 103(f)(2)</w:t>
      </w:r>
      <w:r w:rsidR="0080001E" w:rsidRPr="00463173">
        <w:t xml:space="preserve"> </w:t>
      </w:r>
      <w:r w:rsidRPr="00463173">
        <w:t xml:space="preserve">(i.e., as a continuous release).  The reporting and record keeping activities associated with reporting an episodic release under CERCLA section 103(a) </w:t>
      </w:r>
      <w:r w:rsidR="00AA4FEA">
        <w:t xml:space="preserve">and EPCRA section 304 </w:t>
      </w:r>
      <w:r w:rsidRPr="00463173">
        <w:t xml:space="preserve">are presented in </w:t>
      </w:r>
      <w:r w:rsidR="00AA4FEA">
        <w:t>OMB Control numbers 2050-0046 and 2050-0092</w:t>
      </w:r>
      <w:r w:rsidR="007C5232">
        <w:t>, respectively</w:t>
      </w:r>
      <w:r w:rsidRPr="00463173">
        <w:t xml:space="preserve">.  If the caller reports a continuous release, the initial written report required by CERCLA section 103(f)(2) </w:t>
      </w:r>
      <w:r w:rsidR="00C56654">
        <w:t>(codified in 40 CFR 302.8 and 355.32)</w:t>
      </w:r>
      <w:r w:rsidR="00106093">
        <w:t xml:space="preserve"> </w:t>
      </w:r>
      <w:r w:rsidRPr="00463173">
        <w:t xml:space="preserve">must be provided within 30 days of the initial telephone call.  In the second year of reporting, the facility must submit a written follow-up report to the EPA Region within 30 days of the anniversary date of submission of the initial written report.  This report is sometimes called the First Anniversary Report.  </w:t>
      </w:r>
      <w:r w:rsidR="00C56654">
        <w:t xml:space="preserve">(Note:  Facilities are not required to submit the “first anniversary report” to the SERC and the LEPC).  </w:t>
      </w:r>
      <w:r w:rsidRPr="00463173">
        <w:t>Thereafter, the reporting facility is responsible for reevaluating the release annually, but no reports are required unless there is a change in the sources or composition of a release, a change in release information previously submitted, or an SSI in the release.</w:t>
      </w:r>
    </w:p>
    <w:p w14:paraId="1670C918" w14:textId="77777777" w:rsidR="00913C33" w:rsidRPr="00463173" w:rsidRDefault="00913C33" w:rsidP="00913C33"/>
    <w:p w14:paraId="7FDF5636" w14:textId="41DA0B14" w:rsidR="00BB74C9" w:rsidRPr="00913C33" w:rsidRDefault="00913C33" w:rsidP="00913C33">
      <w:pPr>
        <w:ind w:firstLine="720"/>
      </w:pPr>
      <w:r w:rsidRPr="00463173">
        <w:t>SSIs in a release are considered to be episodic releases and must be reported as soon as the person in charge is aware that an SSI has occurred.  If there is a change in the information submitted in the initial written or follow-up report, other than a change in sources, composition, or frequency of the release, the person in charge must submit a letter detailing the change to the EPA Region within 30 days of determining that a change has occurred.</w:t>
      </w:r>
      <w:r w:rsidR="00C56654">
        <w:t xml:space="preserve">  See section 4</w:t>
      </w:r>
      <w:r w:rsidR="00B37033">
        <w:t>(b)</w:t>
      </w:r>
      <w:r w:rsidR="00C56654">
        <w:t xml:space="preserve"> of this </w:t>
      </w:r>
      <w:r w:rsidR="00B37033">
        <w:t>ICR</w:t>
      </w:r>
      <w:r w:rsidR="00C56654">
        <w:t xml:space="preserve"> for details on various reports and notifications required by facilities under continuous release reporting regulations.  </w:t>
      </w:r>
    </w:p>
    <w:p w14:paraId="35FB542C" w14:textId="77777777" w:rsidR="00FE07A2" w:rsidRDefault="00FE07A2" w:rsidP="00913C33">
      <w:pPr>
        <w:pStyle w:val="Heading1"/>
      </w:pPr>
      <w:bookmarkStart w:id="46" w:name="_Toc295823952"/>
      <w:r>
        <w:t>ESTIMATING THE BURDEN AND COST OF THE COLLECTION</w:t>
      </w:r>
      <w:bookmarkEnd w:id="46"/>
    </w:p>
    <w:p w14:paraId="05D8EDE3" w14:textId="77777777" w:rsidR="00FE07A2" w:rsidRDefault="00FE07A2" w:rsidP="00FE07A2">
      <w:pPr>
        <w:pStyle w:val="Heading2"/>
      </w:pPr>
      <w:bookmarkStart w:id="47" w:name="_Toc295823953"/>
      <w:r>
        <w:t>Estimating Respondent Burden</w:t>
      </w:r>
      <w:bookmarkEnd w:id="47"/>
    </w:p>
    <w:p w14:paraId="6E2ABF08" w14:textId="77777777" w:rsidR="00FE07A2" w:rsidRDefault="00FE07A2" w:rsidP="00FE07A2"/>
    <w:p w14:paraId="78EF7E21" w14:textId="0687EC6C" w:rsidR="00FE07A2" w:rsidRPr="00463173" w:rsidRDefault="00FE07A2" w:rsidP="00FE07A2">
      <w:pPr>
        <w:ind w:firstLine="720"/>
      </w:pPr>
      <w:r w:rsidRPr="00463173">
        <w:t>To report a continuous release, the regulated community performs the following activities (outlined in Section 4(b) of this ICR): (1) provides an initial telephone notification to the NRC</w:t>
      </w:r>
      <w:r w:rsidR="00B37033">
        <w:t xml:space="preserve">, </w:t>
      </w:r>
      <w:r w:rsidR="007C1944">
        <w:t>the SERC</w:t>
      </w:r>
      <w:r w:rsidR="00CE1976">
        <w:t>,</w:t>
      </w:r>
      <w:r w:rsidR="007C1944">
        <w:t xml:space="preserve"> and </w:t>
      </w:r>
      <w:r w:rsidR="004C2E21">
        <w:t xml:space="preserve">the </w:t>
      </w:r>
      <w:r w:rsidR="007C1944">
        <w:t>LEPC</w:t>
      </w:r>
      <w:r w:rsidRPr="00463173">
        <w:t>; (2) prepares an initial written report for the EPA Region</w:t>
      </w:r>
      <w:r w:rsidR="00B37033">
        <w:t>,</w:t>
      </w:r>
      <w:r w:rsidR="00405728">
        <w:t xml:space="preserve"> the SERC</w:t>
      </w:r>
      <w:r w:rsidR="00CE1976">
        <w:t>,</w:t>
      </w:r>
      <w:r w:rsidR="00405728">
        <w:t xml:space="preserve"> and</w:t>
      </w:r>
      <w:r w:rsidR="004C2E21">
        <w:t xml:space="preserve"> the</w:t>
      </w:r>
      <w:r w:rsidR="00405728">
        <w:t xml:space="preserve"> LEPC</w:t>
      </w:r>
      <w:r w:rsidRPr="00463173">
        <w:t xml:space="preserve">; (3) prepares follow-up written report </w:t>
      </w:r>
      <w:r w:rsidR="009A4A18">
        <w:t xml:space="preserve">(“first anniversary report”) </w:t>
      </w:r>
      <w:r w:rsidRPr="00463173">
        <w:t xml:space="preserve">for the EPA Region on the first-year anniversary of the submission of the initial written report; (4) conducts an annual evaluation of the release beginning the year after the submission of the one-time follow-up written report; (5) reports a change in the sources, composition, or frequency of the release; (6) reports a change in other information; (7) reports SSIs in the release; (8) complies with other activities; and (9) keeps records on the release, including documentation of the annual evaluation.  Activities (5), (6), (7), and (8) are </w:t>
      </w:r>
      <w:r w:rsidRPr="00463173">
        <w:rPr>
          <w:u w:val="single"/>
        </w:rPr>
        <w:t>conditional</w:t>
      </w:r>
      <w:r w:rsidRPr="00463173">
        <w:t xml:space="preserve"> activities and are necessary for only a small fraction of all the continuous releases reported each year.  For example, SSIs are defined in the CRRR as hazardous substance releases whose quantity exceeds the upper bound of the normal range, where the normal range includes all releases of the hazardous substance reported or occurring during the previous year.  Thus, only a small fraction of facilities experience SSIs in their continuous releases in a given year.</w:t>
      </w:r>
    </w:p>
    <w:p w14:paraId="16C6AB4E" w14:textId="77777777" w:rsidR="00FE07A2" w:rsidRPr="00463173" w:rsidRDefault="00FE07A2" w:rsidP="00FE07A2"/>
    <w:p w14:paraId="5EA697CA" w14:textId="77777777" w:rsidR="00FE07A2" w:rsidRPr="00463173" w:rsidRDefault="00FE07A2" w:rsidP="00FE07A2">
      <w:pPr>
        <w:ind w:firstLine="720"/>
      </w:pPr>
      <w:r w:rsidRPr="00463173">
        <w:t>When calculating the burden and costs in this ICR it is assumed that the typical facility participates in all the necessary information collection activities for each release.  For example, the typical facility will provide an initial telephone notification and written report for each of its continuous releases.  In fact, it is likely that many facility operators will consolidate collection activities for releases at their facility (e.g., provide one telephone notification for several releases).</w:t>
      </w:r>
    </w:p>
    <w:p w14:paraId="381A1306" w14:textId="77777777" w:rsidR="00FE07A2" w:rsidRPr="00463173" w:rsidRDefault="00FE07A2" w:rsidP="00FE07A2"/>
    <w:p w14:paraId="5B58A392" w14:textId="422D8CE9" w:rsidR="00FE07A2" w:rsidRDefault="00FE07A2" w:rsidP="00FE07A2">
      <w:pPr>
        <w:ind w:firstLine="720"/>
      </w:pPr>
      <w:r w:rsidRPr="00463173">
        <w:t>The estimated burden hours for each of the activities listed in the paragraph above are presented in Exhibit 1.  The burden estimates are taken from the CRRR economic impact analysis and are based on CERCLA reporting experience, SARA</w:t>
      </w:r>
      <w:r w:rsidR="00CE1976">
        <w:t xml:space="preserve"> (EPCRA)</w:t>
      </w:r>
      <w:r w:rsidRPr="00463173">
        <w:t xml:space="preserve"> section 313 reporting experience, and professional judgment.  A description of the basis for each burden estimate, as well as the percentage of continuous releases for which the burden is expected to be incurred, is provided in the remainder of this section.</w:t>
      </w:r>
    </w:p>
    <w:p w14:paraId="7288026F" w14:textId="77777777" w:rsidR="006D4F8E" w:rsidRDefault="006D4F8E" w:rsidP="00FE07A2">
      <w:pPr>
        <w:ind w:firstLine="720"/>
      </w:pPr>
    </w:p>
    <w:p w14:paraId="66D259D4" w14:textId="5E8334D3" w:rsidR="006C6C55" w:rsidRDefault="006C6C55" w:rsidP="003E04F6">
      <w:pPr>
        <w:keepNext/>
        <w:ind w:firstLine="720"/>
        <w:jc w:val="center"/>
        <w:outlineLvl w:val="4"/>
        <w:rPr>
          <w:b/>
        </w:rPr>
      </w:pPr>
      <w:bookmarkStart w:id="48" w:name="_Toc295823954"/>
      <w:r>
        <w:rPr>
          <w:b/>
        </w:rPr>
        <w:t>Exhibit 1 – Unit Burden Hours per Respondent Information Collection Activity</w:t>
      </w:r>
      <w:bookmarkEnd w:id="48"/>
    </w:p>
    <w:p w14:paraId="6A8E72F8" w14:textId="3DBA0E8A" w:rsidR="0099500F" w:rsidRPr="006C6C55" w:rsidRDefault="00D22983" w:rsidP="003E04F6">
      <w:pPr>
        <w:keepNext/>
        <w:ind w:firstLine="720"/>
        <w:jc w:val="center"/>
        <w:outlineLvl w:val="4"/>
        <w:rPr>
          <w:b/>
        </w:rPr>
      </w:pPr>
      <w:r w:rsidRPr="00D22983">
        <w:rPr>
          <w:noProof/>
        </w:rPr>
        <w:drawing>
          <wp:inline distT="0" distB="0" distL="0" distR="0" wp14:anchorId="507427B6" wp14:editId="402099D3">
            <wp:extent cx="5943600" cy="6858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6858000"/>
                    </a:xfrm>
                    <a:prstGeom prst="rect">
                      <a:avLst/>
                    </a:prstGeom>
                    <a:noFill/>
                    <a:ln>
                      <a:noFill/>
                    </a:ln>
                  </pic:spPr>
                </pic:pic>
              </a:graphicData>
            </a:graphic>
          </wp:inline>
        </w:drawing>
      </w:r>
    </w:p>
    <w:p w14:paraId="2ECCFD72" w14:textId="51323F0E" w:rsidR="004829F6" w:rsidRDefault="00755C88" w:rsidP="003E04F6">
      <w:pPr>
        <w:keepNext/>
        <w:jc w:val="center"/>
      </w:pPr>
      <w:r>
        <w:t xml:space="preserve"> </w:t>
      </w:r>
    </w:p>
    <w:p w14:paraId="55D9C462" w14:textId="79BB7A5C" w:rsidR="00E1063D" w:rsidRDefault="004829F6" w:rsidP="00E1063D">
      <w:pPr>
        <w:ind w:firstLine="720"/>
        <w:rPr>
          <w:color w:val="92D050"/>
        </w:rPr>
      </w:pPr>
      <w:r w:rsidRPr="00E4140E">
        <w:rPr>
          <w:color w:val="92D050"/>
        </w:rPr>
        <w:t xml:space="preserve">The estimated burden hours for each of the activities listed in the paragraph above are presented in Exhibit 1 (With Forms).  The burden estimates are taken from the CRRR economic impact analysis and are based on CERCLA reporting experience, SARA section 313 reporting experience, and professional judgment.  A description of the basis for each burden estimate (including where there might be some savings due to the use of the continuous release reporting forms), as well as the percentage of continuous releases for which the burden is expected to be incurred, is provided in the remainder of this section. </w:t>
      </w:r>
      <w:bookmarkStart w:id="49" w:name="_Toc295823955"/>
    </w:p>
    <w:p w14:paraId="28522105" w14:textId="2782DF33" w:rsidR="00E1063D" w:rsidRDefault="00E1063D" w:rsidP="00E1063D">
      <w:pPr>
        <w:ind w:firstLine="720"/>
        <w:rPr>
          <w:color w:val="92D050"/>
        </w:rPr>
      </w:pPr>
    </w:p>
    <w:p w14:paraId="62B95F1F" w14:textId="5F65C53D" w:rsidR="00E1063D" w:rsidRDefault="00E1063D" w:rsidP="00E1063D">
      <w:pPr>
        <w:ind w:firstLine="720"/>
        <w:rPr>
          <w:color w:val="92D050"/>
        </w:rPr>
      </w:pPr>
    </w:p>
    <w:p w14:paraId="5E4CA70D" w14:textId="12235602" w:rsidR="00E1063D" w:rsidRDefault="00E1063D" w:rsidP="00E1063D">
      <w:pPr>
        <w:ind w:firstLine="720"/>
        <w:rPr>
          <w:color w:val="92D050"/>
        </w:rPr>
      </w:pPr>
    </w:p>
    <w:p w14:paraId="70A748EA" w14:textId="44A02F40" w:rsidR="00E1063D" w:rsidRDefault="00E1063D" w:rsidP="00E1063D">
      <w:pPr>
        <w:ind w:firstLine="720"/>
        <w:rPr>
          <w:color w:val="92D050"/>
        </w:rPr>
      </w:pPr>
    </w:p>
    <w:p w14:paraId="50418DE7" w14:textId="035397FA" w:rsidR="00E1063D" w:rsidRDefault="00E1063D" w:rsidP="00E1063D">
      <w:pPr>
        <w:ind w:firstLine="720"/>
        <w:rPr>
          <w:color w:val="92D050"/>
        </w:rPr>
      </w:pPr>
    </w:p>
    <w:p w14:paraId="38FA0C31" w14:textId="3509EC07" w:rsidR="00E1063D" w:rsidRDefault="00E1063D" w:rsidP="00E1063D">
      <w:pPr>
        <w:ind w:firstLine="720"/>
        <w:rPr>
          <w:color w:val="92D050"/>
        </w:rPr>
      </w:pPr>
    </w:p>
    <w:p w14:paraId="58B0A24E" w14:textId="4E3E1B4F" w:rsidR="00E1063D" w:rsidRDefault="00E1063D" w:rsidP="00E1063D">
      <w:pPr>
        <w:ind w:firstLine="720"/>
        <w:rPr>
          <w:color w:val="92D050"/>
        </w:rPr>
      </w:pPr>
    </w:p>
    <w:p w14:paraId="3FAA72E0" w14:textId="179D8AD0" w:rsidR="00E1063D" w:rsidRDefault="00E1063D" w:rsidP="00E1063D">
      <w:pPr>
        <w:ind w:firstLine="720"/>
        <w:rPr>
          <w:color w:val="92D050"/>
        </w:rPr>
      </w:pPr>
    </w:p>
    <w:p w14:paraId="11E2FA4C" w14:textId="5C89AEA5" w:rsidR="00E1063D" w:rsidRDefault="00E1063D" w:rsidP="00E1063D">
      <w:pPr>
        <w:ind w:firstLine="720"/>
        <w:rPr>
          <w:color w:val="92D050"/>
        </w:rPr>
      </w:pPr>
    </w:p>
    <w:p w14:paraId="28FDD95E" w14:textId="1777F80E" w:rsidR="00E1063D" w:rsidRDefault="00E1063D" w:rsidP="00E1063D">
      <w:pPr>
        <w:ind w:firstLine="720"/>
        <w:rPr>
          <w:color w:val="92D050"/>
        </w:rPr>
      </w:pPr>
    </w:p>
    <w:p w14:paraId="7073E289" w14:textId="35AAFE01" w:rsidR="00E1063D" w:rsidRDefault="00E1063D" w:rsidP="00E1063D">
      <w:pPr>
        <w:ind w:firstLine="720"/>
        <w:rPr>
          <w:color w:val="92D050"/>
        </w:rPr>
      </w:pPr>
    </w:p>
    <w:p w14:paraId="7BDF3770" w14:textId="3F74416D" w:rsidR="00E1063D" w:rsidRDefault="00E1063D" w:rsidP="00E1063D">
      <w:pPr>
        <w:ind w:firstLine="720"/>
        <w:rPr>
          <w:color w:val="92D050"/>
        </w:rPr>
      </w:pPr>
    </w:p>
    <w:p w14:paraId="69FED9B2" w14:textId="78783D41" w:rsidR="00E1063D" w:rsidRDefault="00E1063D" w:rsidP="00E1063D">
      <w:pPr>
        <w:ind w:firstLine="720"/>
        <w:rPr>
          <w:color w:val="92D050"/>
        </w:rPr>
      </w:pPr>
    </w:p>
    <w:p w14:paraId="37D2D595" w14:textId="4FE900C1" w:rsidR="00E1063D" w:rsidRDefault="00E1063D" w:rsidP="00E1063D">
      <w:pPr>
        <w:ind w:firstLine="720"/>
        <w:rPr>
          <w:color w:val="92D050"/>
        </w:rPr>
      </w:pPr>
    </w:p>
    <w:p w14:paraId="38CECEB8" w14:textId="2391A2AA" w:rsidR="00E1063D" w:rsidRDefault="00E1063D" w:rsidP="00E1063D">
      <w:pPr>
        <w:ind w:firstLine="720"/>
        <w:rPr>
          <w:color w:val="92D050"/>
        </w:rPr>
      </w:pPr>
    </w:p>
    <w:p w14:paraId="251A28F4" w14:textId="6FF31EF2" w:rsidR="00E1063D" w:rsidRDefault="00E1063D" w:rsidP="00E1063D">
      <w:pPr>
        <w:ind w:firstLine="720"/>
        <w:rPr>
          <w:color w:val="92D050"/>
        </w:rPr>
      </w:pPr>
    </w:p>
    <w:p w14:paraId="5CF715E2" w14:textId="261DC705" w:rsidR="00E1063D" w:rsidRDefault="00E1063D" w:rsidP="00E1063D">
      <w:pPr>
        <w:ind w:firstLine="720"/>
        <w:rPr>
          <w:color w:val="92D050"/>
        </w:rPr>
      </w:pPr>
    </w:p>
    <w:p w14:paraId="5F68CBC7" w14:textId="34C77344" w:rsidR="00E1063D" w:rsidRDefault="00E1063D" w:rsidP="00E1063D">
      <w:pPr>
        <w:ind w:firstLine="720"/>
        <w:rPr>
          <w:color w:val="92D050"/>
        </w:rPr>
      </w:pPr>
    </w:p>
    <w:p w14:paraId="629DD36A" w14:textId="1CD3C751" w:rsidR="00E1063D" w:rsidRDefault="00E1063D" w:rsidP="00E1063D">
      <w:pPr>
        <w:ind w:firstLine="720"/>
        <w:rPr>
          <w:color w:val="92D050"/>
        </w:rPr>
      </w:pPr>
    </w:p>
    <w:p w14:paraId="039225A7" w14:textId="3CF4CBFE" w:rsidR="00E1063D" w:rsidRDefault="00E1063D" w:rsidP="00E1063D">
      <w:pPr>
        <w:ind w:firstLine="720"/>
        <w:rPr>
          <w:color w:val="92D050"/>
        </w:rPr>
      </w:pPr>
    </w:p>
    <w:p w14:paraId="1642AD76" w14:textId="1B9E226C" w:rsidR="00E1063D" w:rsidRDefault="00E1063D" w:rsidP="00E1063D">
      <w:pPr>
        <w:ind w:firstLine="720"/>
        <w:rPr>
          <w:color w:val="92D050"/>
        </w:rPr>
      </w:pPr>
    </w:p>
    <w:p w14:paraId="1C9B4601" w14:textId="04F8B2BF" w:rsidR="00E1063D" w:rsidRDefault="00E1063D" w:rsidP="00E1063D">
      <w:pPr>
        <w:ind w:firstLine="720"/>
        <w:rPr>
          <w:color w:val="92D050"/>
        </w:rPr>
      </w:pPr>
    </w:p>
    <w:p w14:paraId="53EDEF13" w14:textId="4B07A545" w:rsidR="00E1063D" w:rsidRDefault="00E1063D" w:rsidP="00E1063D">
      <w:pPr>
        <w:ind w:firstLine="720"/>
        <w:rPr>
          <w:color w:val="92D050"/>
        </w:rPr>
      </w:pPr>
    </w:p>
    <w:p w14:paraId="7F5C365B" w14:textId="6E03799F" w:rsidR="00E1063D" w:rsidRDefault="00E1063D" w:rsidP="00E1063D">
      <w:pPr>
        <w:ind w:firstLine="720"/>
        <w:rPr>
          <w:color w:val="92D050"/>
        </w:rPr>
      </w:pPr>
    </w:p>
    <w:p w14:paraId="165DAD8B" w14:textId="7DA3228B" w:rsidR="00E1063D" w:rsidRDefault="00E1063D" w:rsidP="00E1063D">
      <w:pPr>
        <w:ind w:firstLine="720"/>
        <w:rPr>
          <w:color w:val="92D050"/>
        </w:rPr>
      </w:pPr>
    </w:p>
    <w:p w14:paraId="767130F1" w14:textId="6EDBAA03" w:rsidR="00E1063D" w:rsidRDefault="00E1063D" w:rsidP="00E1063D">
      <w:pPr>
        <w:ind w:firstLine="720"/>
        <w:rPr>
          <w:color w:val="92D050"/>
        </w:rPr>
      </w:pPr>
    </w:p>
    <w:p w14:paraId="7C162567" w14:textId="1169DBE2" w:rsidR="00E1063D" w:rsidRDefault="00E1063D" w:rsidP="00E1063D">
      <w:pPr>
        <w:ind w:firstLine="720"/>
        <w:rPr>
          <w:color w:val="92D050"/>
        </w:rPr>
      </w:pPr>
    </w:p>
    <w:p w14:paraId="25251D95" w14:textId="1C5F6582" w:rsidR="00E1063D" w:rsidRDefault="00E1063D" w:rsidP="00E1063D">
      <w:pPr>
        <w:ind w:firstLine="720"/>
        <w:rPr>
          <w:color w:val="92D050"/>
        </w:rPr>
      </w:pPr>
    </w:p>
    <w:p w14:paraId="12C5EACB" w14:textId="5FE8354B" w:rsidR="00E1063D" w:rsidRDefault="00E1063D" w:rsidP="00E1063D">
      <w:pPr>
        <w:ind w:firstLine="720"/>
        <w:rPr>
          <w:color w:val="92D050"/>
        </w:rPr>
      </w:pPr>
    </w:p>
    <w:p w14:paraId="6A51644C" w14:textId="1E0D05F9" w:rsidR="00E1063D" w:rsidRDefault="00E1063D" w:rsidP="00E1063D">
      <w:pPr>
        <w:ind w:firstLine="720"/>
        <w:rPr>
          <w:color w:val="92D050"/>
        </w:rPr>
      </w:pPr>
    </w:p>
    <w:p w14:paraId="74AAE20B" w14:textId="464BF94D" w:rsidR="00E1063D" w:rsidRDefault="00E1063D" w:rsidP="00E1063D">
      <w:pPr>
        <w:ind w:firstLine="720"/>
        <w:rPr>
          <w:color w:val="92D050"/>
        </w:rPr>
      </w:pPr>
    </w:p>
    <w:p w14:paraId="6BA7C840" w14:textId="78ECD185" w:rsidR="00E1063D" w:rsidRDefault="00E1063D" w:rsidP="00E1063D">
      <w:pPr>
        <w:ind w:firstLine="720"/>
        <w:rPr>
          <w:color w:val="92D050"/>
        </w:rPr>
      </w:pPr>
    </w:p>
    <w:p w14:paraId="302ED72D" w14:textId="453DE063" w:rsidR="00E1063D" w:rsidRDefault="00E1063D" w:rsidP="00E1063D">
      <w:pPr>
        <w:ind w:firstLine="720"/>
        <w:rPr>
          <w:color w:val="92D050"/>
        </w:rPr>
      </w:pPr>
    </w:p>
    <w:p w14:paraId="71D60529" w14:textId="1583426B" w:rsidR="00E1063D" w:rsidRDefault="00E1063D" w:rsidP="00E1063D">
      <w:pPr>
        <w:ind w:firstLine="720"/>
        <w:rPr>
          <w:color w:val="92D050"/>
        </w:rPr>
      </w:pPr>
    </w:p>
    <w:p w14:paraId="6797D165" w14:textId="720A395A" w:rsidR="00E1063D" w:rsidRDefault="00E1063D" w:rsidP="00E1063D">
      <w:pPr>
        <w:ind w:firstLine="720"/>
        <w:rPr>
          <w:color w:val="92D050"/>
        </w:rPr>
      </w:pPr>
    </w:p>
    <w:p w14:paraId="0D4723AA" w14:textId="1367AA7D" w:rsidR="00E1063D" w:rsidRDefault="00E1063D" w:rsidP="00E1063D">
      <w:pPr>
        <w:ind w:firstLine="720"/>
        <w:rPr>
          <w:color w:val="92D050"/>
        </w:rPr>
      </w:pPr>
    </w:p>
    <w:p w14:paraId="0B043A8E" w14:textId="77777777" w:rsidR="00E1063D" w:rsidRDefault="00E1063D" w:rsidP="00E1063D">
      <w:pPr>
        <w:ind w:firstLine="720"/>
        <w:rPr>
          <w:color w:val="92D050"/>
        </w:rPr>
      </w:pPr>
    </w:p>
    <w:p w14:paraId="3CDAD6A7" w14:textId="7E4D9E90" w:rsidR="0099500F" w:rsidRPr="00A02F6C" w:rsidRDefault="00A02F6C" w:rsidP="00E1063D">
      <w:pPr>
        <w:ind w:firstLine="720"/>
        <w:rPr>
          <w:b/>
        </w:rPr>
      </w:pPr>
      <w:r w:rsidRPr="00E1063D">
        <w:rPr>
          <w:b/>
          <w:sz w:val="22"/>
          <w:szCs w:val="22"/>
        </w:rPr>
        <w:t>Exhibit 1 (With Forms) – Unit Burden Hours per Respondent Information Collection Activity</w:t>
      </w:r>
      <w:bookmarkEnd w:id="49"/>
      <w:r w:rsidR="00D22983" w:rsidRPr="00D22983">
        <w:rPr>
          <w:noProof/>
        </w:rPr>
        <w:drawing>
          <wp:inline distT="0" distB="0" distL="0" distR="0" wp14:anchorId="3A1FE3F7" wp14:editId="5D13E738">
            <wp:extent cx="5943600" cy="6286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6286500"/>
                    </a:xfrm>
                    <a:prstGeom prst="rect">
                      <a:avLst/>
                    </a:prstGeom>
                    <a:noFill/>
                    <a:ln>
                      <a:noFill/>
                    </a:ln>
                  </pic:spPr>
                </pic:pic>
              </a:graphicData>
            </a:graphic>
          </wp:inline>
        </w:drawing>
      </w:r>
    </w:p>
    <w:p w14:paraId="465A30D5" w14:textId="79AA4798" w:rsidR="004829F6" w:rsidRPr="00463173" w:rsidRDefault="004829F6" w:rsidP="00A02F6C">
      <w:pPr>
        <w:keepNext/>
        <w:jc w:val="center"/>
      </w:pPr>
    </w:p>
    <w:p w14:paraId="3801C1D7" w14:textId="77777777" w:rsidR="0099500F" w:rsidRDefault="0099500F" w:rsidP="00FB4F61">
      <w:pPr>
        <w:ind w:firstLine="720"/>
        <w:rPr>
          <w:b/>
          <w:bCs/>
        </w:rPr>
      </w:pPr>
    </w:p>
    <w:p w14:paraId="0D1030BA" w14:textId="0593738F" w:rsidR="005D16AB" w:rsidRDefault="00FE07A2" w:rsidP="00FB4F61">
      <w:pPr>
        <w:ind w:firstLine="720"/>
      </w:pPr>
      <w:r w:rsidRPr="00463173">
        <w:rPr>
          <w:b/>
          <w:bCs/>
        </w:rPr>
        <w:t>Providing an Initial Telephone Notification to the NRC</w:t>
      </w:r>
      <w:r w:rsidR="00B07700">
        <w:rPr>
          <w:b/>
          <w:bCs/>
        </w:rPr>
        <w:t>,</w:t>
      </w:r>
      <w:r w:rsidR="0099500F">
        <w:rPr>
          <w:b/>
          <w:bCs/>
        </w:rPr>
        <w:t xml:space="preserve"> the SERC and</w:t>
      </w:r>
      <w:r w:rsidR="004C2E21">
        <w:rPr>
          <w:b/>
          <w:bCs/>
        </w:rPr>
        <w:t xml:space="preserve"> the</w:t>
      </w:r>
      <w:r w:rsidR="0099500F">
        <w:rPr>
          <w:b/>
          <w:bCs/>
        </w:rPr>
        <w:t xml:space="preserve"> LEPC</w:t>
      </w:r>
      <w:r w:rsidRPr="00463173">
        <w:t xml:space="preserve"> – In providing the initial telephone notification, facilities incur a one-time, first-year burden of notifying the NRC</w:t>
      </w:r>
      <w:r w:rsidR="00B07700">
        <w:t>,</w:t>
      </w:r>
      <w:r w:rsidR="00405728">
        <w:t xml:space="preserve"> the SERC</w:t>
      </w:r>
      <w:r w:rsidR="008F3529">
        <w:t>,</w:t>
      </w:r>
      <w:r w:rsidR="00405728">
        <w:t xml:space="preserve"> and </w:t>
      </w:r>
      <w:r w:rsidR="004C2E21">
        <w:t xml:space="preserve">the </w:t>
      </w:r>
      <w:r w:rsidR="00405728">
        <w:t xml:space="preserve">LEPC </w:t>
      </w:r>
      <w:r w:rsidRPr="00463173">
        <w:t xml:space="preserve">that a hazardous substance release is reported under </w:t>
      </w:r>
      <w:r w:rsidR="00B07700">
        <w:t>continuous release (</w:t>
      </w:r>
      <w:r w:rsidRPr="00463173">
        <w:t>CERCLA section 103(f)(2)</w:t>
      </w:r>
      <w:r w:rsidR="00B07700">
        <w:t>).</w:t>
      </w:r>
      <w:r w:rsidRPr="00463173">
        <w:t xml:space="preserve">  Providing the required information by telephone to the NRC</w:t>
      </w:r>
      <w:r w:rsidR="00B07700">
        <w:t>,</w:t>
      </w:r>
      <w:r w:rsidR="00405728">
        <w:t xml:space="preserve"> the SERC</w:t>
      </w:r>
      <w:r w:rsidR="00500B14">
        <w:t>,</w:t>
      </w:r>
      <w:r w:rsidR="00405728">
        <w:t xml:space="preserve"> and </w:t>
      </w:r>
      <w:r w:rsidR="004C2E21">
        <w:t xml:space="preserve">the </w:t>
      </w:r>
      <w:r w:rsidR="00405728">
        <w:t>LEPC</w:t>
      </w:r>
      <w:r w:rsidRPr="00463173">
        <w:t xml:space="preserve"> is estimated to require 15 minutes</w:t>
      </w:r>
      <w:r w:rsidR="00405728">
        <w:t xml:space="preserve"> each</w:t>
      </w:r>
      <w:r w:rsidRPr="00463173">
        <w:t xml:space="preserve"> (0.25 hours</w:t>
      </w:r>
      <w:r w:rsidR="00405728">
        <w:t xml:space="preserve"> or 0.75 hours total</w:t>
      </w:r>
      <w:r w:rsidRPr="00463173">
        <w:t xml:space="preserve">) of management time.  Prior to the telephone call, however, the facility must determine if the release is continuous and stable in quantity and rate as defined in the CRRR.  This determination is estimated to require 45 minutes (0.75 hours) of management time and </w:t>
      </w:r>
      <w:r w:rsidR="00B07700">
        <w:t>2.0</w:t>
      </w:r>
      <w:r w:rsidRPr="00463173">
        <w:t xml:space="preserve"> hours of technical time.  </w:t>
      </w:r>
      <w:r w:rsidR="00B07700">
        <w:t>A total of 1.50 hours</w:t>
      </w:r>
      <w:r w:rsidRPr="00463173">
        <w:t xml:space="preserve"> of management time and </w:t>
      </w:r>
      <w:r w:rsidR="00B07700">
        <w:t>2.0</w:t>
      </w:r>
      <w:r w:rsidRPr="00463173">
        <w:t xml:space="preserve"> hours of technical time should be sufficient to determine if a release is continuous because facilities likely to be affected by the CRRR should be familiar with the reporting requirements of CERCLA section 103</w:t>
      </w:r>
      <w:r w:rsidR="00405728">
        <w:t xml:space="preserve"> and EPCRA Section 304</w:t>
      </w:r>
      <w:r w:rsidRPr="00463173">
        <w:t xml:space="preserve">.  In total, the burden associated with the initial telephone call is </w:t>
      </w:r>
      <w:r w:rsidRPr="00463173">
        <w:rPr>
          <w:i/>
          <w:iCs/>
        </w:rPr>
        <w:t>three</w:t>
      </w:r>
      <w:r w:rsidR="00405728">
        <w:rPr>
          <w:i/>
          <w:iCs/>
        </w:rPr>
        <w:t xml:space="preserve"> and a half</w:t>
      </w:r>
      <w:r w:rsidRPr="00463173">
        <w:rPr>
          <w:i/>
          <w:iCs/>
        </w:rPr>
        <w:t xml:space="preserve"> hours</w:t>
      </w:r>
      <w:r w:rsidRPr="00463173">
        <w:t>.</w:t>
      </w:r>
      <w:r w:rsidR="00FB4F61">
        <w:t xml:space="preserve">  </w:t>
      </w:r>
    </w:p>
    <w:p w14:paraId="4129FEC7" w14:textId="77777777" w:rsidR="005D16AB" w:rsidRDefault="005D16AB" w:rsidP="00FB4F61">
      <w:pPr>
        <w:ind w:firstLine="720"/>
      </w:pPr>
    </w:p>
    <w:p w14:paraId="031FDC68" w14:textId="6A8F61F2" w:rsidR="00FE07A2" w:rsidRPr="00832E31" w:rsidRDefault="00FB4F61" w:rsidP="00FB4F61">
      <w:pPr>
        <w:ind w:firstLine="720"/>
        <w:rPr>
          <w:color w:val="92D050"/>
        </w:rPr>
      </w:pPr>
      <w:r w:rsidRPr="00E4140E">
        <w:rPr>
          <w:color w:val="92D050"/>
        </w:rPr>
        <w:t>We do not expect that use of the</w:t>
      </w:r>
      <w:r w:rsidR="0017595A" w:rsidRPr="00E4140E">
        <w:rPr>
          <w:color w:val="92D050"/>
        </w:rPr>
        <w:t xml:space="preserve"> continuous release reporting</w:t>
      </w:r>
      <w:r w:rsidRPr="00E4140E">
        <w:rPr>
          <w:color w:val="92D050"/>
        </w:rPr>
        <w:t xml:space="preserve"> forms will reduce the total burden associated with the initial tel</w:t>
      </w:r>
      <w:r w:rsidR="005D16AB" w:rsidRPr="00E4140E">
        <w:rPr>
          <w:color w:val="92D050"/>
        </w:rPr>
        <w:t xml:space="preserve">ephone notification to the </w:t>
      </w:r>
      <w:r w:rsidR="005D16AB" w:rsidRPr="00832E31">
        <w:rPr>
          <w:color w:val="92D050"/>
        </w:rPr>
        <w:t>NRC</w:t>
      </w:r>
      <w:r w:rsidR="00B07700" w:rsidRPr="00832E31">
        <w:rPr>
          <w:color w:val="92D050"/>
        </w:rPr>
        <w:t>,</w:t>
      </w:r>
      <w:r w:rsidR="00405728" w:rsidRPr="00832E31">
        <w:rPr>
          <w:color w:val="92D050"/>
        </w:rPr>
        <w:t xml:space="preserve"> the SERC</w:t>
      </w:r>
      <w:r w:rsidR="00832E31" w:rsidRPr="00832E31">
        <w:rPr>
          <w:color w:val="92D050"/>
        </w:rPr>
        <w:t>,</w:t>
      </w:r>
      <w:r w:rsidR="00405728" w:rsidRPr="00832E31">
        <w:rPr>
          <w:color w:val="92D050"/>
        </w:rPr>
        <w:t xml:space="preserve"> and </w:t>
      </w:r>
      <w:r w:rsidR="004C2E21" w:rsidRPr="00832E31">
        <w:rPr>
          <w:color w:val="92D050"/>
        </w:rPr>
        <w:t xml:space="preserve">the </w:t>
      </w:r>
      <w:r w:rsidR="00405728" w:rsidRPr="00832E31">
        <w:rPr>
          <w:color w:val="92D050"/>
        </w:rPr>
        <w:t>LEPC</w:t>
      </w:r>
      <w:r w:rsidR="005D16AB" w:rsidRPr="00832E31">
        <w:rPr>
          <w:color w:val="92D050"/>
        </w:rPr>
        <w:t>.</w:t>
      </w:r>
    </w:p>
    <w:p w14:paraId="78573986" w14:textId="77777777" w:rsidR="00FE07A2" w:rsidRPr="00E4140E" w:rsidRDefault="00FE07A2" w:rsidP="00FE07A2">
      <w:pPr>
        <w:rPr>
          <w:color w:val="92D050"/>
        </w:rPr>
      </w:pPr>
    </w:p>
    <w:p w14:paraId="4546CF47" w14:textId="084DFC56" w:rsidR="005D16AB" w:rsidRDefault="00FE07A2" w:rsidP="00FE07A2">
      <w:pPr>
        <w:ind w:firstLine="720"/>
      </w:pPr>
      <w:r w:rsidRPr="00463173">
        <w:rPr>
          <w:b/>
          <w:bCs/>
        </w:rPr>
        <w:t>Preparing an Initial Written Report</w:t>
      </w:r>
      <w:r w:rsidRPr="00463173">
        <w:t xml:space="preserve"> – The burden associated with providing the initial written report is also a one-time, first-year cost.  Much of the information required for the initial written report (e.g., facility identification, hazardous substance identification, frequency and source of the release) is readily available to the facility.  Information such as the composition of the release and the environmental media affected, however, may require more extensive consideration and analysis.  In addition, some time is needed to organize and format the required information into a report suitable for submission to the government.  It is assumed that many facilities will use EPA’s prepared report format to minimize report organization and formatting efforts.  Preparation of the initial written report that uses EPA’s prepared report format is estimated to require </w:t>
      </w:r>
      <w:r w:rsidR="000B0F03">
        <w:t>3.0</w:t>
      </w:r>
      <w:r w:rsidRPr="00463173">
        <w:t xml:space="preserve"> hours of managerial time, </w:t>
      </w:r>
      <w:r w:rsidR="000B0F03">
        <w:t>3.0</w:t>
      </w:r>
      <w:r w:rsidRPr="00463173">
        <w:t xml:space="preserve"> hours of technical time, and </w:t>
      </w:r>
      <w:r w:rsidR="00BB2C32">
        <w:t>1.0</w:t>
      </w:r>
      <w:r w:rsidRPr="00463173">
        <w:t xml:space="preserve"> hour of clerical time.  To account for the burden experienced by the facilities that do not use EPA’s prepared report format, EPA has increased the technical burden to </w:t>
      </w:r>
      <w:r w:rsidR="00BB2C32">
        <w:t>4.0</w:t>
      </w:r>
      <w:r w:rsidRPr="00463173">
        <w:t xml:space="preserve"> hours.  The costs of photocopying and mailing this report and all other reports to the appropriate EPA Region</w:t>
      </w:r>
      <w:r w:rsidR="00BB2C32">
        <w:t>,</w:t>
      </w:r>
      <w:r w:rsidR="00405728">
        <w:t xml:space="preserve"> the SERC</w:t>
      </w:r>
      <w:r w:rsidR="00832E31">
        <w:t>,</w:t>
      </w:r>
      <w:r w:rsidR="00405728">
        <w:t xml:space="preserve"> and</w:t>
      </w:r>
      <w:r w:rsidR="004C2E21">
        <w:t xml:space="preserve"> the</w:t>
      </w:r>
      <w:r w:rsidR="00405728">
        <w:t xml:space="preserve"> LEPC</w:t>
      </w:r>
      <w:r w:rsidRPr="00463173">
        <w:t xml:space="preserve"> are computed in Section 6(b).  Preparation of the initial written report is estimated to require </w:t>
      </w:r>
      <w:r w:rsidR="00BB2C32">
        <w:t>3.0</w:t>
      </w:r>
      <w:r w:rsidRPr="00463173">
        <w:t xml:space="preserve"> hours of managerial time (including </w:t>
      </w:r>
      <w:r w:rsidR="00BB2C32">
        <w:t xml:space="preserve">1.0 </w:t>
      </w:r>
      <w:r w:rsidRPr="00463173">
        <w:t xml:space="preserve">hour of legal review), </w:t>
      </w:r>
      <w:r w:rsidR="00BB2C32">
        <w:t>4.0</w:t>
      </w:r>
      <w:r w:rsidRPr="00463173">
        <w:t xml:space="preserve"> hours of technical time, and </w:t>
      </w:r>
      <w:r w:rsidR="00BB2C32">
        <w:t>1.0</w:t>
      </w:r>
      <w:r w:rsidRPr="00463173">
        <w:t xml:space="preserve"> hour of clerical time.  Thus, the total burden associated with the initial written report is </w:t>
      </w:r>
      <w:r w:rsidR="00BB2C32">
        <w:rPr>
          <w:i/>
          <w:iCs/>
        </w:rPr>
        <w:t>8.0</w:t>
      </w:r>
      <w:r w:rsidRPr="00463173">
        <w:rPr>
          <w:i/>
          <w:iCs/>
        </w:rPr>
        <w:t xml:space="preserve"> hours</w:t>
      </w:r>
      <w:r w:rsidRPr="00463173">
        <w:t>.</w:t>
      </w:r>
      <w:r w:rsidR="006D4F8E">
        <w:t xml:space="preserve">  </w:t>
      </w:r>
    </w:p>
    <w:p w14:paraId="488AC277" w14:textId="77777777" w:rsidR="005D16AB" w:rsidRDefault="005D16AB" w:rsidP="00FE07A2">
      <w:pPr>
        <w:ind w:firstLine="720"/>
      </w:pPr>
    </w:p>
    <w:p w14:paraId="0E5329BF" w14:textId="1ED16915" w:rsidR="00FE07A2" w:rsidRPr="00E4140E" w:rsidRDefault="0017595A" w:rsidP="00FE07A2">
      <w:pPr>
        <w:ind w:firstLine="720"/>
        <w:rPr>
          <w:color w:val="92D050"/>
        </w:rPr>
      </w:pPr>
      <w:r w:rsidRPr="00E4140E">
        <w:rPr>
          <w:color w:val="92D050"/>
        </w:rPr>
        <w:t>Estimated s</w:t>
      </w:r>
      <w:r w:rsidR="006D4F8E" w:rsidRPr="00E4140E">
        <w:rPr>
          <w:color w:val="92D050"/>
        </w:rPr>
        <w:t xml:space="preserve">avings for use of </w:t>
      </w:r>
      <w:r w:rsidRPr="00E4140E">
        <w:rPr>
          <w:color w:val="92D050"/>
        </w:rPr>
        <w:t>c</w:t>
      </w:r>
      <w:r w:rsidR="006D4F8E" w:rsidRPr="00E4140E">
        <w:rPr>
          <w:color w:val="92D050"/>
        </w:rPr>
        <w:t xml:space="preserve">ontinuous </w:t>
      </w:r>
      <w:r w:rsidRPr="00E4140E">
        <w:rPr>
          <w:color w:val="92D050"/>
        </w:rPr>
        <w:t>r</w:t>
      </w:r>
      <w:r w:rsidR="006D4F8E" w:rsidRPr="00E4140E">
        <w:rPr>
          <w:color w:val="92D050"/>
        </w:rPr>
        <w:t xml:space="preserve">elease </w:t>
      </w:r>
      <w:r w:rsidRPr="00E4140E">
        <w:rPr>
          <w:color w:val="92D050"/>
        </w:rPr>
        <w:t>r</w:t>
      </w:r>
      <w:r w:rsidR="006D4F8E" w:rsidRPr="00E4140E">
        <w:rPr>
          <w:color w:val="92D050"/>
        </w:rPr>
        <w:t xml:space="preserve">eporting </w:t>
      </w:r>
      <w:r w:rsidRPr="00E4140E">
        <w:rPr>
          <w:color w:val="92D050"/>
        </w:rPr>
        <w:t>f</w:t>
      </w:r>
      <w:r w:rsidR="006D4F8E" w:rsidRPr="00E4140E">
        <w:rPr>
          <w:color w:val="92D050"/>
        </w:rPr>
        <w:t xml:space="preserve">orms is found in the reduction of technical time from </w:t>
      </w:r>
      <w:r w:rsidR="00BB2C32">
        <w:rPr>
          <w:color w:val="92D050"/>
        </w:rPr>
        <w:t>4.0</w:t>
      </w:r>
      <w:r w:rsidR="006D4F8E" w:rsidRPr="00E4140E">
        <w:rPr>
          <w:color w:val="92D050"/>
        </w:rPr>
        <w:t xml:space="preserve"> hours to </w:t>
      </w:r>
      <w:r w:rsidR="00BB2C32">
        <w:rPr>
          <w:color w:val="92D050"/>
        </w:rPr>
        <w:t>3.0</w:t>
      </w:r>
      <w:r w:rsidR="006D4F8E" w:rsidRPr="00E4140E">
        <w:rPr>
          <w:color w:val="92D050"/>
        </w:rPr>
        <w:t xml:space="preserve"> hours, thus the total burden associated with the initial written report is </w:t>
      </w:r>
      <w:r w:rsidR="00BB2C32">
        <w:rPr>
          <w:i/>
          <w:color w:val="92D050"/>
        </w:rPr>
        <w:t>7.0</w:t>
      </w:r>
      <w:r w:rsidR="006D4F8E" w:rsidRPr="00E4140E">
        <w:rPr>
          <w:i/>
          <w:color w:val="92D050"/>
        </w:rPr>
        <w:t xml:space="preserve"> hours</w:t>
      </w:r>
      <w:r w:rsidR="006D4F8E" w:rsidRPr="00E4140E">
        <w:rPr>
          <w:color w:val="92D050"/>
        </w:rPr>
        <w:t>.</w:t>
      </w:r>
    </w:p>
    <w:p w14:paraId="2775480C" w14:textId="77777777" w:rsidR="00FE07A2" w:rsidRPr="00463173" w:rsidRDefault="00FE07A2" w:rsidP="00FE07A2"/>
    <w:p w14:paraId="5959CF05" w14:textId="19F4D79B" w:rsidR="005D16AB" w:rsidRDefault="00FE07A2" w:rsidP="00FE07A2">
      <w:pPr>
        <w:ind w:firstLine="720"/>
      </w:pPr>
      <w:r w:rsidRPr="00BE1CF5">
        <w:rPr>
          <w:b/>
          <w:bCs/>
        </w:rPr>
        <w:t>Preparing a Follow-up Written Report</w:t>
      </w:r>
      <w:r w:rsidRPr="00BE1CF5">
        <w:t xml:space="preserve"> </w:t>
      </w:r>
      <w:r w:rsidR="00BB2C32">
        <w:t xml:space="preserve">(“First Anniversary Report”) </w:t>
      </w:r>
      <w:r w:rsidRPr="00BE1CF5">
        <w:t>– Within one year of submitting the initial written report, facilities must submit a one-time follow-up written report to the appropriate EPA Region</w:t>
      </w:r>
      <w:r w:rsidR="00BB2C32">
        <w:t xml:space="preserve">.  (Note:  Facilities are not required to submit “first anniversary report” to the </w:t>
      </w:r>
      <w:r w:rsidR="00405728">
        <w:t>SERC</w:t>
      </w:r>
      <w:r w:rsidR="00832E31">
        <w:t>,</w:t>
      </w:r>
      <w:r w:rsidR="00405728">
        <w:t xml:space="preserve"> and</w:t>
      </w:r>
      <w:r w:rsidR="004C2E21">
        <w:t xml:space="preserve"> the</w:t>
      </w:r>
      <w:r w:rsidR="00405728">
        <w:t xml:space="preserve"> LEPC)</w:t>
      </w:r>
      <w:r w:rsidRPr="00BE1CF5">
        <w:t xml:space="preserve">.  The follow-up report requires the same information as the initial written report but serves to confirm, update, and refine the information provided in the initial report based on release data from the previous operating year.  Because some of the technical information gathered for preparation of the initial written report, such as the source of the release and specific information describing the environmental media </w:t>
      </w:r>
      <w:r w:rsidR="00BE1CF5" w:rsidRPr="00BE1CF5">
        <w:t>affected</w:t>
      </w:r>
      <w:r w:rsidRPr="00BE1CF5">
        <w:t xml:space="preserve"> remains unchanged, preparation of the follow-up report requires less technical time than preparation of the initial written report.  EPA estimates that preparation of the follow-up report requires </w:t>
      </w:r>
      <w:r w:rsidR="00BB2C32">
        <w:t xml:space="preserve">3.0 </w:t>
      </w:r>
      <w:r w:rsidRPr="00BE1CF5">
        <w:t xml:space="preserve">hours of managerial time, </w:t>
      </w:r>
      <w:r w:rsidR="00BB2C32">
        <w:t>1.0</w:t>
      </w:r>
      <w:r w:rsidRPr="00BE1CF5">
        <w:t xml:space="preserve"> hour of technical time, and </w:t>
      </w:r>
      <w:r w:rsidR="00BB2C32">
        <w:t>1.0</w:t>
      </w:r>
      <w:r w:rsidRPr="00BE1CF5">
        <w:t xml:space="preserve"> hour of clerical time.  In total, the burden associated with the follow-up written report is </w:t>
      </w:r>
      <w:r w:rsidR="00BB2C32">
        <w:rPr>
          <w:i/>
          <w:iCs/>
        </w:rPr>
        <w:t>5.0</w:t>
      </w:r>
      <w:r w:rsidRPr="00BE1CF5">
        <w:rPr>
          <w:i/>
          <w:iCs/>
        </w:rPr>
        <w:t xml:space="preserve"> hours</w:t>
      </w:r>
      <w:r w:rsidRPr="00BE1CF5">
        <w:t>.  The burden associated with the follow-up written report is incurred in the second year of reporting.</w:t>
      </w:r>
      <w:r w:rsidR="00FB4F61">
        <w:t xml:space="preserve">  </w:t>
      </w:r>
    </w:p>
    <w:p w14:paraId="6567EAC6" w14:textId="77777777" w:rsidR="005D16AB" w:rsidRDefault="005D16AB" w:rsidP="00FE07A2">
      <w:pPr>
        <w:ind w:firstLine="720"/>
      </w:pPr>
    </w:p>
    <w:p w14:paraId="5EA6A6B6" w14:textId="77777777" w:rsidR="00FE07A2" w:rsidRPr="00E4140E" w:rsidRDefault="00FB4F61" w:rsidP="00FE07A2">
      <w:pPr>
        <w:ind w:firstLine="720"/>
        <w:rPr>
          <w:color w:val="92D050"/>
        </w:rPr>
      </w:pPr>
      <w:r w:rsidRPr="00E4140E">
        <w:rPr>
          <w:color w:val="92D050"/>
        </w:rPr>
        <w:t xml:space="preserve">We do not expect that use of the </w:t>
      </w:r>
      <w:r w:rsidR="0017595A" w:rsidRPr="00E4140E">
        <w:rPr>
          <w:color w:val="92D050"/>
        </w:rPr>
        <w:t xml:space="preserve">continuous release reporting </w:t>
      </w:r>
      <w:r w:rsidRPr="00E4140E">
        <w:rPr>
          <w:color w:val="92D050"/>
        </w:rPr>
        <w:t>forms will reduce the total burden associated with the follow-up written report.</w:t>
      </w:r>
    </w:p>
    <w:p w14:paraId="3A568CD4" w14:textId="77777777" w:rsidR="00FE07A2" w:rsidRPr="00E4140E" w:rsidRDefault="00FE07A2" w:rsidP="00FE07A2">
      <w:pPr>
        <w:rPr>
          <w:color w:val="00B050"/>
        </w:rPr>
      </w:pPr>
    </w:p>
    <w:p w14:paraId="25656C65" w14:textId="69ABBDA8" w:rsidR="005D16AB" w:rsidRDefault="00FE07A2" w:rsidP="00FE07A2">
      <w:pPr>
        <w:ind w:firstLine="720"/>
      </w:pPr>
      <w:r w:rsidRPr="00BE1CF5">
        <w:rPr>
          <w:b/>
          <w:bCs/>
        </w:rPr>
        <w:t>Conducting an Annual Evaluation of the Release</w:t>
      </w:r>
      <w:r w:rsidRPr="00BE1CF5">
        <w:t xml:space="preserve"> – Although the written follow-up report is prepared and submitted only once, facilities are required to conduct and document an annual evaluation of each hazardous substance release reported under </w:t>
      </w:r>
      <w:r w:rsidR="00022748">
        <w:t xml:space="preserve">CERCLA </w:t>
      </w:r>
      <w:r w:rsidRPr="00BE1CF5">
        <w:t>section 103(f)(2)</w:t>
      </w:r>
      <w:r w:rsidR="00832E31">
        <w:t xml:space="preserve"> </w:t>
      </w:r>
      <w:r w:rsidRPr="00BE1CF5">
        <w:t>beginning the year after submitting the follow-up written report.  This annual evaluation is comparable to the review and information collection necessary for preparation of the follow-up report.  The burden associated with the annual evaluation, therefore, is assumed to be the same as the burden of preparing the written follow-up report (</w:t>
      </w:r>
      <w:r w:rsidR="00BB2C32">
        <w:rPr>
          <w:i/>
          <w:iCs/>
        </w:rPr>
        <w:t>5.0</w:t>
      </w:r>
      <w:r w:rsidRPr="00BE1CF5">
        <w:rPr>
          <w:i/>
          <w:iCs/>
        </w:rPr>
        <w:t xml:space="preserve"> hours</w:t>
      </w:r>
      <w:r w:rsidRPr="00BE1CF5">
        <w:t>).  The burden associated with the annual evaluation is incurred in the third and all subsequent years.</w:t>
      </w:r>
      <w:r w:rsidR="00FB4F61">
        <w:t xml:space="preserve">  </w:t>
      </w:r>
    </w:p>
    <w:p w14:paraId="3EFC2E31" w14:textId="77777777" w:rsidR="005D16AB" w:rsidRDefault="005D16AB" w:rsidP="00FE07A2">
      <w:pPr>
        <w:ind w:firstLine="720"/>
      </w:pPr>
    </w:p>
    <w:p w14:paraId="6B84DCEC" w14:textId="77777777" w:rsidR="00FE07A2" w:rsidRPr="00E4140E" w:rsidRDefault="00FB4F61" w:rsidP="00FE07A2">
      <w:pPr>
        <w:ind w:firstLine="720"/>
        <w:rPr>
          <w:color w:val="92D050"/>
        </w:rPr>
      </w:pPr>
      <w:r w:rsidRPr="00E4140E">
        <w:rPr>
          <w:color w:val="92D050"/>
        </w:rPr>
        <w:t xml:space="preserve">We do not expect that use of the </w:t>
      </w:r>
      <w:r w:rsidR="0017595A" w:rsidRPr="00E4140E">
        <w:rPr>
          <w:color w:val="92D050"/>
        </w:rPr>
        <w:t xml:space="preserve">continuous release reporting </w:t>
      </w:r>
      <w:r w:rsidRPr="00E4140E">
        <w:rPr>
          <w:color w:val="92D050"/>
        </w:rPr>
        <w:t>forms will reduce the total burden associated with the annual evaluation of the release.</w:t>
      </w:r>
    </w:p>
    <w:p w14:paraId="631C42BE" w14:textId="77777777" w:rsidR="00FE07A2" w:rsidRPr="00E4140E" w:rsidRDefault="00FE07A2" w:rsidP="00FE07A2">
      <w:pPr>
        <w:rPr>
          <w:color w:val="92D050"/>
        </w:rPr>
      </w:pPr>
    </w:p>
    <w:p w14:paraId="4E395A59" w14:textId="77777777" w:rsidR="00FE07A2" w:rsidRPr="00BE1CF5" w:rsidRDefault="00FE07A2" w:rsidP="00FE07A2">
      <w:pPr>
        <w:ind w:firstLine="720"/>
      </w:pPr>
      <w:r w:rsidRPr="00BE1CF5">
        <w:rPr>
          <w:b/>
          <w:bCs/>
        </w:rPr>
        <w:t>Reporting a Change in the Sources, Composition, or Frequency of the Release</w:t>
      </w:r>
      <w:r w:rsidRPr="00BE1CF5">
        <w:t xml:space="preserve"> – When a facility experiences a change in the sources, composition, or frequency of a release, the release is considered a new release because the associated hazard may have changed significantly.  Changes in the sources, composition, or frequency of a release are expected to result only from significant changes in the production process, such as the installation of new equipment or a change in the chemical nature of the process.  While such significant changes are expected over the long-term, the likelihood of such a change occurring in a particular year is small.  EPA estimates that the number of already reported continuous releases that experience a change in sources, composition, or frequency is equal to 5 percent of the total number of hazardous substance releases being reported under the CRRR in any given year.</w:t>
      </w:r>
    </w:p>
    <w:p w14:paraId="094BF4AF" w14:textId="77777777" w:rsidR="00FE07A2" w:rsidRPr="00BE1CF5" w:rsidRDefault="00FE07A2" w:rsidP="00FE07A2"/>
    <w:p w14:paraId="41F683B7" w14:textId="38661D50" w:rsidR="005D16AB" w:rsidRDefault="00FE07A2" w:rsidP="00FE07A2">
      <w:r w:rsidRPr="00BE1CF5">
        <w:t xml:space="preserve">          Facilities experiencing a change in the sources, composition, or frequency of a continuous release must complete the initial notification process for the release (i.e., an initial telephone call to the NRC</w:t>
      </w:r>
      <w:r w:rsidR="0043421D">
        <w:t>,</w:t>
      </w:r>
      <w:r w:rsidR="00022748">
        <w:t xml:space="preserve"> the SERC</w:t>
      </w:r>
      <w:r w:rsidR="00832E31">
        <w:t>,</w:t>
      </w:r>
      <w:r w:rsidR="00022748">
        <w:t xml:space="preserve"> and</w:t>
      </w:r>
      <w:r w:rsidR="004C2E21">
        <w:t xml:space="preserve"> the</w:t>
      </w:r>
      <w:r w:rsidR="00022748">
        <w:t xml:space="preserve"> LEPC</w:t>
      </w:r>
      <w:r w:rsidRPr="00BE1CF5">
        <w:t xml:space="preserve"> and an initial written report </w:t>
      </w:r>
      <w:r w:rsidR="0043421D">
        <w:t>to the EPA Region, the SERC</w:t>
      </w:r>
      <w:r w:rsidR="00832E31">
        <w:t>,</w:t>
      </w:r>
      <w:r w:rsidR="0043421D">
        <w:t xml:space="preserve"> and the LEPC </w:t>
      </w:r>
      <w:r w:rsidRPr="00BE1CF5">
        <w:t xml:space="preserve">and follow-up report to the EPA Region.  For facilities experiencing a change in the sources, composition, or frequency of a continuous release, much of the information from the previous initial written report (e.g., facility identifiers, the media affected) should not have changed.  It is assumed that the technical time required </w:t>
      </w:r>
      <w:r w:rsidR="00BE1CF5" w:rsidRPr="00BE1CF5">
        <w:t>evaluating the release, determining</w:t>
      </w:r>
      <w:r w:rsidRPr="00BE1CF5">
        <w:t xml:space="preserve"> whether it is stable in quantity and rate, and accurately document the composition of the release and the environmental media affected would take </w:t>
      </w:r>
      <w:r w:rsidR="0043421D">
        <w:t>4.0</w:t>
      </w:r>
      <w:r w:rsidRPr="00BE1CF5">
        <w:t xml:space="preserve"> hours.  The number of management and clerical hours required to report a new continuous release are assumed to be </w:t>
      </w:r>
      <w:r w:rsidR="0043421D">
        <w:t>4.0</w:t>
      </w:r>
      <w:r w:rsidRPr="00BE1CF5">
        <w:t xml:space="preserve"> hours and </w:t>
      </w:r>
      <w:r w:rsidR="0043421D">
        <w:t>1.0</w:t>
      </w:r>
      <w:r w:rsidRPr="00BE1CF5">
        <w:t xml:space="preserve"> hour respectively.  Thus, the total burden associated with reporting a change in the sources, composition, or frequency of a continuous release is </w:t>
      </w:r>
      <w:r w:rsidR="0043421D">
        <w:rPr>
          <w:i/>
          <w:iCs/>
        </w:rPr>
        <w:t>9.0</w:t>
      </w:r>
      <w:r w:rsidRPr="00BE1CF5">
        <w:rPr>
          <w:i/>
          <w:iCs/>
        </w:rPr>
        <w:t xml:space="preserve"> hours</w:t>
      </w:r>
      <w:r w:rsidRPr="00BE1CF5">
        <w:t>.</w:t>
      </w:r>
      <w:r w:rsidR="007D6A37">
        <w:t xml:space="preserve">  </w:t>
      </w:r>
    </w:p>
    <w:p w14:paraId="2927C86B" w14:textId="77777777" w:rsidR="005D16AB" w:rsidRDefault="005D16AB" w:rsidP="00FE07A2"/>
    <w:p w14:paraId="7640688A" w14:textId="77777777" w:rsidR="00FE07A2" w:rsidRPr="00E4140E" w:rsidRDefault="007D6A37" w:rsidP="005D16AB">
      <w:pPr>
        <w:ind w:firstLine="720"/>
        <w:rPr>
          <w:color w:val="92D050"/>
        </w:rPr>
      </w:pPr>
      <w:r w:rsidRPr="00E4140E">
        <w:rPr>
          <w:color w:val="92D050"/>
        </w:rPr>
        <w:t xml:space="preserve">We do not expect that use of the </w:t>
      </w:r>
      <w:r w:rsidR="0017595A" w:rsidRPr="00E4140E">
        <w:rPr>
          <w:color w:val="92D050"/>
        </w:rPr>
        <w:t xml:space="preserve">continuous release reporting </w:t>
      </w:r>
      <w:r w:rsidRPr="00E4140E">
        <w:rPr>
          <w:color w:val="92D050"/>
        </w:rPr>
        <w:t>forms will reduce the total burden associated with reporting a change in the sources, composition, or frequency of a total continuous release.</w:t>
      </w:r>
    </w:p>
    <w:p w14:paraId="1FF774C4" w14:textId="77777777" w:rsidR="00FE07A2" w:rsidRPr="00E4140E" w:rsidRDefault="00FE07A2" w:rsidP="00FE07A2">
      <w:pPr>
        <w:rPr>
          <w:color w:val="00B050"/>
        </w:rPr>
      </w:pPr>
    </w:p>
    <w:p w14:paraId="734735C7" w14:textId="3E668DBB" w:rsidR="005D16AB" w:rsidRDefault="00FE07A2" w:rsidP="007D6A37">
      <w:r w:rsidRPr="00BE1CF5">
        <w:rPr>
          <w:b/>
          <w:bCs/>
        </w:rPr>
        <w:t xml:space="preserve">Reporting Other Changes in Information – </w:t>
      </w:r>
      <w:r w:rsidRPr="00BE1CF5">
        <w:t>For changes other than a change in the sources, composition, or frequency of a release, the person in charge must notify the EPA Region</w:t>
      </w:r>
      <w:r w:rsidR="00022748">
        <w:t xml:space="preserve"> </w:t>
      </w:r>
      <w:r w:rsidRPr="00BE1CF5">
        <w:t xml:space="preserve"> by letter that the information previously submitted in support of a continuous release notification is no longer valid.  For example, the population density in the vicinity of the facility would be reported by submitting a letter detailing the change and its cause.  Such changes in information previously submitted are likely to occur over an extended period of time, but are much less likely to occur every year.  EPA estimates that, on an annual basis, approximately 10 percent of the releases reported under </w:t>
      </w:r>
      <w:r w:rsidR="0043421D">
        <w:t>CRRR</w:t>
      </w:r>
      <w:r w:rsidRPr="00BE1CF5">
        <w:t xml:space="preserve"> will experience a change that requires submission of a letter to the EPA Region.  Gathering and reporting the change in the release by a letter to the EPA Region is estimated to require </w:t>
      </w:r>
      <w:r w:rsidR="0043421D">
        <w:t>1.0</w:t>
      </w:r>
      <w:r w:rsidRPr="00BE1CF5">
        <w:t xml:space="preserve"> hour of managerial time, </w:t>
      </w:r>
      <w:r w:rsidR="0043421D">
        <w:t>1.0</w:t>
      </w:r>
      <w:r w:rsidRPr="00BE1CF5">
        <w:t xml:space="preserve"> hour of technical time, and </w:t>
      </w:r>
      <w:r w:rsidR="0043421D">
        <w:t>0.5</w:t>
      </w:r>
      <w:r w:rsidRPr="00BE1CF5">
        <w:t xml:space="preserve"> hour</w:t>
      </w:r>
      <w:r w:rsidR="0043421D">
        <w:t>s</w:t>
      </w:r>
      <w:r w:rsidRPr="00BE1CF5">
        <w:t xml:space="preserve"> of clerical time for a total burden of </w:t>
      </w:r>
      <w:r w:rsidRPr="00BE1CF5">
        <w:rPr>
          <w:i/>
          <w:iCs/>
        </w:rPr>
        <w:t>2</w:t>
      </w:r>
      <w:r w:rsidR="0043421D">
        <w:rPr>
          <w:i/>
          <w:iCs/>
        </w:rPr>
        <w:t>.5</w:t>
      </w:r>
      <w:r w:rsidRPr="00BE1CF5">
        <w:rPr>
          <w:i/>
          <w:iCs/>
        </w:rPr>
        <w:t xml:space="preserve"> hours</w:t>
      </w:r>
      <w:r w:rsidRPr="00BE1CF5">
        <w:t>.</w:t>
      </w:r>
      <w:r w:rsidR="007D6A37">
        <w:t xml:space="preserve">  </w:t>
      </w:r>
    </w:p>
    <w:p w14:paraId="0DE70470" w14:textId="77777777" w:rsidR="005D16AB" w:rsidRDefault="005D16AB" w:rsidP="007D6A37"/>
    <w:p w14:paraId="72A1FAF3" w14:textId="77777777" w:rsidR="007D6A37" w:rsidRPr="00E4140E" w:rsidRDefault="007D6A37" w:rsidP="005D16AB">
      <w:pPr>
        <w:ind w:firstLine="720"/>
        <w:rPr>
          <w:color w:val="92D050"/>
        </w:rPr>
      </w:pPr>
      <w:r w:rsidRPr="00E4140E">
        <w:rPr>
          <w:color w:val="92D050"/>
        </w:rPr>
        <w:t xml:space="preserve">We do not expect that use of the </w:t>
      </w:r>
      <w:r w:rsidR="0017595A" w:rsidRPr="00E4140E">
        <w:rPr>
          <w:color w:val="92D050"/>
        </w:rPr>
        <w:t xml:space="preserve">continuous release reporting </w:t>
      </w:r>
      <w:r w:rsidRPr="00E4140E">
        <w:rPr>
          <w:color w:val="92D050"/>
        </w:rPr>
        <w:t>forms will reduce the total burden associated with reporting other changes in information.</w:t>
      </w:r>
    </w:p>
    <w:p w14:paraId="4B253A4E" w14:textId="77777777" w:rsidR="00FE07A2" w:rsidRPr="00E4140E" w:rsidRDefault="00FE07A2" w:rsidP="00FE07A2">
      <w:pPr>
        <w:ind w:firstLine="720"/>
        <w:rPr>
          <w:color w:val="92D050"/>
        </w:rPr>
      </w:pPr>
    </w:p>
    <w:p w14:paraId="6E3AB041" w14:textId="77777777" w:rsidR="00FE07A2" w:rsidRPr="00BE1CF5" w:rsidRDefault="00FE07A2" w:rsidP="00FE07A2"/>
    <w:p w14:paraId="5C88995C" w14:textId="694B7576" w:rsidR="00FE07A2" w:rsidRPr="00BE1CF5" w:rsidRDefault="00FE07A2" w:rsidP="00FE07A2">
      <w:pPr>
        <w:ind w:firstLine="720"/>
      </w:pPr>
      <w:r w:rsidRPr="00BE1CF5">
        <w:rPr>
          <w:b/>
          <w:bCs/>
        </w:rPr>
        <w:t xml:space="preserve">Reporting a Statistically Significant Increase in the Release </w:t>
      </w:r>
      <w:r w:rsidRPr="00BE1CF5">
        <w:t xml:space="preserve">– As soon as the person in charge of a facility has knowledge that the quantity of a continuous release being reported under </w:t>
      </w:r>
      <w:r w:rsidR="0043421D">
        <w:t>continuous release (</w:t>
      </w:r>
      <w:r w:rsidRPr="00BE1CF5">
        <w:t>CERCLA section 103(f)(2)</w:t>
      </w:r>
      <w:r w:rsidR="0043421D">
        <w:t>)</w:t>
      </w:r>
      <w:r w:rsidRPr="00BE1CF5">
        <w:t xml:space="preserve"> exceeds the upper bound of its previously established normal range of release weights, the person in charge must notify the NRC</w:t>
      </w:r>
      <w:r w:rsidR="0043421D">
        <w:t>,</w:t>
      </w:r>
      <w:r w:rsidR="00481585">
        <w:t xml:space="preserve"> the SERC, and the LEPC</w:t>
      </w:r>
      <w:r w:rsidRPr="00BE1CF5">
        <w:t>.  SSIs are episodic release events because the release has not been previously reported or evaluated.  To avoid underestimating the burden, this ICR includes the burden for reporting an SSI, even though the burden may be captured in the ICR fo</w:t>
      </w:r>
      <w:r w:rsidR="00970C49">
        <w:t xml:space="preserve">r episodic releases </w:t>
      </w:r>
      <w:r w:rsidR="0043421D">
        <w:t>(OMB Control No. 2050-0046 and 2050-0092)</w:t>
      </w:r>
      <w:r w:rsidRPr="00BE1CF5">
        <w:t>.  The estimated burden of reporting an SSI is based on interviews with chemical industry personnel and the burden associated with reporting similar episodic releases under CERCLA section 103(a)</w:t>
      </w:r>
      <w:r w:rsidR="00022748">
        <w:t xml:space="preserve"> and EPCRA section 304</w:t>
      </w:r>
      <w:r w:rsidRPr="00BE1CF5">
        <w:t xml:space="preserve">.  EPA estimates that reporting of an SSI requires </w:t>
      </w:r>
      <w:r w:rsidR="0043421D">
        <w:t>1.</w:t>
      </w:r>
      <w:r w:rsidR="00481585">
        <w:t>5</w:t>
      </w:r>
      <w:r w:rsidRPr="00BE1CF5">
        <w:t xml:space="preserve"> hour</w:t>
      </w:r>
      <w:r w:rsidR="00481585">
        <w:t>s</w:t>
      </w:r>
      <w:r w:rsidRPr="00BE1CF5">
        <w:t xml:space="preserve"> of managerial time and </w:t>
      </w:r>
      <w:r w:rsidR="0043421D">
        <w:t>1.0</w:t>
      </w:r>
      <w:r w:rsidRPr="00BE1CF5">
        <w:t xml:space="preserve"> hour of technical time for a total burden of </w:t>
      </w:r>
      <w:r w:rsidR="0043421D">
        <w:rPr>
          <w:i/>
          <w:iCs/>
        </w:rPr>
        <w:t>2.</w:t>
      </w:r>
      <w:r w:rsidR="00481585">
        <w:rPr>
          <w:i/>
          <w:iCs/>
        </w:rPr>
        <w:t>5</w:t>
      </w:r>
      <w:r w:rsidRPr="00BE1CF5">
        <w:rPr>
          <w:i/>
          <w:iCs/>
        </w:rPr>
        <w:t xml:space="preserve"> hours</w:t>
      </w:r>
      <w:r w:rsidRPr="00BE1CF5">
        <w:t>.  The technical time consists of determining if the release is reportable, briefing management, and collecting the information required for NRC</w:t>
      </w:r>
      <w:r w:rsidR="00E34689">
        <w:t xml:space="preserve">, </w:t>
      </w:r>
      <w:r w:rsidR="004C2E21">
        <w:t xml:space="preserve">the </w:t>
      </w:r>
      <w:r w:rsidR="00022748">
        <w:t>SERC</w:t>
      </w:r>
      <w:r w:rsidR="00832E31">
        <w:t>,</w:t>
      </w:r>
      <w:r w:rsidR="00022748">
        <w:t xml:space="preserve"> and</w:t>
      </w:r>
      <w:r w:rsidR="004C2E21">
        <w:t xml:space="preserve"> the</w:t>
      </w:r>
      <w:r w:rsidR="00022748">
        <w:t xml:space="preserve"> LEPC</w:t>
      </w:r>
      <w:r w:rsidRPr="00BE1CF5">
        <w:t xml:space="preserve"> reporting.  The managerial time includes alerting appropriate personnel and transmitting the information required in the telephone call</w:t>
      </w:r>
      <w:r w:rsidR="001271C9">
        <w:t>s</w:t>
      </w:r>
      <w:r w:rsidRPr="00BE1CF5">
        <w:t>.</w:t>
      </w:r>
    </w:p>
    <w:p w14:paraId="7F70400D" w14:textId="77777777" w:rsidR="00FE07A2" w:rsidRPr="00BE1CF5" w:rsidRDefault="00FE07A2" w:rsidP="00FE07A2"/>
    <w:p w14:paraId="10562691" w14:textId="77777777" w:rsidR="00FE07A2" w:rsidRDefault="00FE07A2" w:rsidP="00FE07A2">
      <w:pPr>
        <w:ind w:firstLine="720"/>
      </w:pPr>
      <w:r w:rsidRPr="00BE1CF5">
        <w:t>Because SSIs are defined as releases that exceed the normal range, and the normal range is defined to include all release quantities recorded during the previous operating year, EPA estimates that no more than 5 percent of the hazardous substance releases reported under the CRRR will experience an SSI in a given year.</w:t>
      </w:r>
    </w:p>
    <w:p w14:paraId="54123542" w14:textId="77777777" w:rsidR="007D6A37" w:rsidRDefault="007D6A37" w:rsidP="00FE07A2">
      <w:pPr>
        <w:ind w:firstLine="720"/>
      </w:pPr>
    </w:p>
    <w:p w14:paraId="599201BD" w14:textId="77777777" w:rsidR="007D6A37" w:rsidRPr="00E4140E" w:rsidRDefault="007D6A37" w:rsidP="007D6A37">
      <w:pPr>
        <w:ind w:firstLine="720"/>
        <w:rPr>
          <w:color w:val="92D050"/>
        </w:rPr>
      </w:pPr>
      <w:r w:rsidRPr="00E4140E">
        <w:rPr>
          <w:color w:val="92D050"/>
        </w:rPr>
        <w:t xml:space="preserve">We do not expect that use of the </w:t>
      </w:r>
      <w:r w:rsidR="0017595A" w:rsidRPr="00E4140E">
        <w:rPr>
          <w:color w:val="92D050"/>
        </w:rPr>
        <w:t xml:space="preserve">continuous release reporting </w:t>
      </w:r>
      <w:r w:rsidRPr="00E4140E">
        <w:rPr>
          <w:color w:val="92D050"/>
        </w:rPr>
        <w:t>forms will reduce the total burden associated with reporting a statistically significant increase in the release.</w:t>
      </w:r>
    </w:p>
    <w:p w14:paraId="5159848E" w14:textId="77777777" w:rsidR="00FE07A2" w:rsidRPr="00BE1CF5" w:rsidRDefault="00FE07A2" w:rsidP="00FE07A2"/>
    <w:p w14:paraId="723F0DB4" w14:textId="77777777" w:rsidR="00FE07A2" w:rsidRPr="00BE1CF5" w:rsidRDefault="00FE07A2" w:rsidP="00FE07A2">
      <w:pPr>
        <w:ind w:firstLine="720"/>
      </w:pPr>
      <w:r w:rsidRPr="00BE1CF5">
        <w:rPr>
          <w:b/>
          <w:bCs/>
        </w:rPr>
        <w:t>Other Activities</w:t>
      </w:r>
      <w:r w:rsidRPr="00BE1CF5">
        <w:t xml:space="preserve"> – In response to the government’s processing and evaluating the initial and follow-up reports, persons in charge of facilities may be required to: (1) provide additional information or clarify information previously submitted; and (2) accompany EPA personnel during a site inspection.</w:t>
      </w:r>
    </w:p>
    <w:p w14:paraId="77FDB596" w14:textId="77777777" w:rsidR="00FE07A2" w:rsidRPr="00BE1CF5" w:rsidRDefault="00FE07A2" w:rsidP="00FE07A2"/>
    <w:p w14:paraId="5B2C3DCB" w14:textId="7A7A12D1" w:rsidR="00FE07A2" w:rsidRPr="00BE1CF5" w:rsidRDefault="00FE07A2" w:rsidP="00FE07A2">
      <w:pPr>
        <w:ind w:firstLine="720"/>
      </w:pPr>
      <w:r w:rsidRPr="00BE1CF5">
        <w:t>(1)</w:t>
      </w:r>
      <w:r w:rsidRPr="00BE1CF5">
        <w:tab/>
      </w:r>
      <w:r w:rsidRPr="00BE1CF5">
        <w:rPr>
          <w:b/>
          <w:bCs/>
        </w:rPr>
        <w:t>Providing Additional Information</w:t>
      </w:r>
      <w:r w:rsidRPr="00BE1CF5">
        <w:t xml:space="preserve"> – For some percentage of the continuous releases reported under the CRRR, the information provided in the initial and/or follow-up reports will be incomplete, incorrect, or worrisome, prompting EPA to request additional information regarding the nature and extent of the release.  For example, EPA may seek additional information concerning release activity in order to better assess the risk posed by the release.  EPA estimates that approximately 30 percent of the initial/follow-up reports could require submission of additional information or some level of interaction with EPA in the first and second years of reporting.  Beginning in the third year of reporting, requests for additional information and further clarification of release information are assumed to be necessary only for newly reported releases.  However, this analysis conservatively assumes that the percentage of reportable releases for which additional information is necessary will remain at 30 percent for all years of reporting.  For each hazardous substance report that requires additional communication with EPA, industry is estimated to expend </w:t>
      </w:r>
      <w:r w:rsidR="00A80DD0">
        <w:rPr>
          <w:i/>
          <w:iCs/>
        </w:rPr>
        <w:t>4.0</w:t>
      </w:r>
      <w:r w:rsidRPr="00BE1CF5">
        <w:rPr>
          <w:i/>
          <w:iCs/>
        </w:rPr>
        <w:t xml:space="preserve"> hours</w:t>
      </w:r>
      <w:r w:rsidRPr="00BE1CF5">
        <w:t xml:space="preserve"> of managerial time.</w:t>
      </w:r>
    </w:p>
    <w:p w14:paraId="4B4B69CA" w14:textId="77777777" w:rsidR="00FE07A2" w:rsidRDefault="00FE07A2" w:rsidP="00FE07A2"/>
    <w:p w14:paraId="27264A71" w14:textId="77777777" w:rsidR="007D6A37" w:rsidRPr="00E4140E" w:rsidRDefault="007D6A37" w:rsidP="007D6A37">
      <w:pPr>
        <w:ind w:firstLine="720"/>
        <w:rPr>
          <w:color w:val="92D050"/>
        </w:rPr>
      </w:pPr>
      <w:bookmarkStart w:id="50" w:name="OLE_LINK1"/>
      <w:bookmarkStart w:id="51" w:name="OLE_LINK2"/>
      <w:r w:rsidRPr="00E4140E">
        <w:rPr>
          <w:color w:val="92D050"/>
        </w:rPr>
        <w:t xml:space="preserve">We do not expect that use of the </w:t>
      </w:r>
      <w:r w:rsidR="0017595A" w:rsidRPr="00E4140E">
        <w:rPr>
          <w:color w:val="92D050"/>
        </w:rPr>
        <w:t xml:space="preserve">continuous release reporting </w:t>
      </w:r>
      <w:r w:rsidRPr="00E4140E">
        <w:rPr>
          <w:color w:val="92D050"/>
        </w:rPr>
        <w:t>forms will reduce the total burden associated with reporting other activities.</w:t>
      </w:r>
      <w:bookmarkEnd w:id="50"/>
      <w:bookmarkEnd w:id="51"/>
    </w:p>
    <w:p w14:paraId="0302A5A6" w14:textId="77777777" w:rsidR="007D6A37" w:rsidRPr="00E4140E" w:rsidRDefault="007D6A37" w:rsidP="00FE07A2">
      <w:pPr>
        <w:rPr>
          <w:color w:val="92D050"/>
        </w:rPr>
      </w:pPr>
    </w:p>
    <w:p w14:paraId="1799878E" w14:textId="2D4E26D4" w:rsidR="00FE07A2" w:rsidRPr="00BE1CF5" w:rsidRDefault="00FE07A2" w:rsidP="00FE07A2">
      <w:pPr>
        <w:ind w:firstLine="720"/>
      </w:pPr>
      <w:r w:rsidRPr="00BE1CF5">
        <w:t>(2)</w:t>
      </w:r>
      <w:r w:rsidRPr="00BE1CF5">
        <w:tab/>
      </w:r>
      <w:r w:rsidRPr="00BE1CF5">
        <w:rPr>
          <w:b/>
          <w:bCs/>
        </w:rPr>
        <w:t xml:space="preserve">Facilitating a Site Inspection </w:t>
      </w:r>
      <w:r w:rsidR="00BE1CF5" w:rsidRPr="00BE1CF5">
        <w:t>– In</w:t>
      </w:r>
      <w:r w:rsidRPr="00BE1CF5">
        <w:t xml:space="preserve"> extreme cases, the preliminary risk assessment of a release will indicate the need for a site inspection, allowing EPA to directly assess and evaluate the circumstances of a release and the population and environment potentially affected by the release.  In addition, site inspections are conducted periodically as a compliance and enforcement measure.  Site inspections are estimated to be necessary for no more </w:t>
      </w:r>
      <w:r w:rsidR="00C24711" w:rsidRPr="00BE1CF5">
        <w:t>than</w:t>
      </w:r>
      <w:r w:rsidRPr="00BE1CF5">
        <w:t xml:space="preserve"> one percent of the reported continuous releases.  EPA estimates that facility participation in a site inspection requires four hours of managerial time and four hours of technical time for a total burden of </w:t>
      </w:r>
      <w:r w:rsidR="00A80DD0">
        <w:rPr>
          <w:i/>
          <w:iCs/>
        </w:rPr>
        <w:t>8.0</w:t>
      </w:r>
      <w:r w:rsidRPr="00BE1CF5">
        <w:rPr>
          <w:i/>
          <w:iCs/>
        </w:rPr>
        <w:t xml:space="preserve"> hours</w:t>
      </w:r>
      <w:r w:rsidRPr="00BE1CF5">
        <w:t>.</w:t>
      </w:r>
    </w:p>
    <w:p w14:paraId="77F2198B" w14:textId="77777777" w:rsidR="00FE07A2" w:rsidRDefault="00FE07A2" w:rsidP="00FE07A2"/>
    <w:p w14:paraId="1DCADADD" w14:textId="77777777" w:rsidR="00631383" w:rsidRPr="00E4140E" w:rsidRDefault="00631383" w:rsidP="00631383">
      <w:pPr>
        <w:ind w:firstLine="720"/>
        <w:rPr>
          <w:color w:val="92D050"/>
        </w:rPr>
      </w:pPr>
      <w:r w:rsidRPr="00E4140E">
        <w:rPr>
          <w:color w:val="92D050"/>
        </w:rPr>
        <w:t xml:space="preserve">We do not expect that use of the </w:t>
      </w:r>
      <w:r w:rsidR="0017595A" w:rsidRPr="00E4140E">
        <w:rPr>
          <w:color w:val="92D050"/>
        </w:rPr>
        <w:t xml:space="preserve">continuous release reporting </w:t>
      </w:r>
      <w:r w:rsidRPr="00E4140E">
        <w:rPr>
          <w:color w:val="92D050"/>
        </w:rPr>
        <w:t>forms will reduce the total burden associated with facilitating a site inspection.</w:t>
      </w:r>
    </w:p>
    <w:p w14:paraId="0A3B2362" w14:textId="77777777" w:rsidR="00631383" w:rsidRPr="00E4140E" w:rsidRDefault="00631383" w:rsidP="00631383">
      <w:pPr>
        <w:ind w:firstLine="720"/>
        <w:rPr>
          <w:color w:val="92D050"/>
        </w:rPr>
      </w:pPr>
    </w:p>
    <w:p w14:paraId="19C92AF0" w14:textId="3033D45E" w:rsidR="00FE07A2" w:rsidRDefault="00FE07A2" w:rsidP="00FE07A2">
      <w:pPr>
        <w:ind w:firstLine="720"/>
      </w:pPr>
      <w:r w:rsidRPr="00BE1CF5">
        <w:rPr>
          <w:b/>
          <w:bCs/>
        </w:rPr>
        <w:t>Record keeping</w:t>
      </w:r>
      <w:r w:rsidRPr="00BE1CF5">
        <w:t xml:space="preserve"> – EPA assumes many facilities maintain a log or some other record of each hazardous substance release reported under the CRRR.  Facilities may find it useful to collect and record the following information for use in demonstrating compliance with the provisions of CERCLA section 103(f)(2): (1) estimates of daily release quantities to demonstrate the continuity and stability of the release, and to establish and modify the normal range of the release; (2) documentation of the methodology and calculations used in estimating required information; and (3) documentation of the annual assessment required each year subsequent to submission of the follow-up written report.  Much of the time necessary to gather these records has already been attributed to the preparation of the initial and follow-up reports, however, it is estimated that an additional </w:t>
      </w:r>
      <w:r w:rsidR="00A80DD0">
        <w:rPr>
          <w:i/>
          <w:iCs/>
        </w:rPr>
        <w:t>4.0</w:t>
      </w:r>
      <w:r w:rsidRPr="00BE1CF5">
        <w:rPr>
          <w:i/>
          <w:iCs/>
        </w:rPr>
        <w:t xml:space="preserve"> hours</w:t>
      </w:r>
      <w:r w:rsidRPr="00BE1CF5">
        <w:t xml:space="preserve"> of technical time is necessary for keeping records on each hazardous substance release reported under the CRRR.</w:t>
      </w:r>
    </w:p>
    <w:p w14:paraId="558105D7" w14:textId="77777777" w:rsidR="00631383" w:rsidRDefault="00631383" w:rsidP="00FE07A2">
      <w:pPr>
        <w:ind w:firstLine="720"/>
      </w:pPr>
    </w:p>
    <w:p w14:paraId="51C9DBFA" w14:textId="77777777" w:rsidR="00631383" w:rsidRPr="00E4140E" w:rsidRDefault="00631383" w:rsidP="00FE07A2">
      <w:pPr>
        <w:ind w:firstLine="720"/>
        <w:rPr>
          <w:color w:val="92D050"/>
        </w:rPr>
      </w:pPr>
      <w:r w:rsidRPr="00E4140E">
        <w:rPr>
          <w:color w:val="92D050"/>
        </w:rPr>
        <w:t xml:space="preserve">We do not expect that use of the </w:t>
      </w:r>
      <w:r w:rsidR="0017595A" w:rsidRPr="00E4140E">
        <w:rPr>
          <w:color w:val="92D050"/>
        </w:rPr>
        <w:t xml:space="preserve">continuous release reporting </w:t>
      </w:r>
      <w:r w:rsidRPr="00E4140E">
        <w:rPr>
          <w:color w:val="92D050"/>
        </w:rPr>
        <w:t>forms will reduce the total burden associated with record keeping.</w:t>
      </w:r>
    </w:p>
    <w:p w14:paraId="4808DB9D" w14:textId="77777777" w:rsidR="00ED50E0" w:rsidRDefault="00ED50E0" w:rsidP="00ED50E0">
      <w:pPr>
        <w:keepNext/>
        <w:keepLines/>
      </w:pPr>
    </w:p>
    <w:p w14:paraId="16DDEF0E" w14:textId="77777777" w:rsidR="00B54712" w:rsidRDefault="00B54712" w:rsidP="00B54712">
      <w:pPr>
        <w:ind w:firstLine="720"/>
      </w:pPr>
      <w:r w:rsidRPr="001F3A52">
        <w:t xml:space="preserve">The estimated annual burden hours incurred by a </w:t>
      </w:r>
      <w:r>
        <w:t>“</w:t>
      </w:r>
      <w:r w:rsidRPr="001F3A52">
        <w:t>typical</w:t>
      </w:r>
      <w:r>
        <w:t>”</w:t>
      </w:r>
      <w:r w:rsidRPr="001F3A52">
        <w:t xml:space="preserve"> facility are presented in Exhibit 2.  A typical respondent is assumed to report eight continuous hazardous substance releases in year one and to experience a change in one release in the second and third years of reporting (e.g., the frequency of the release increases from three to five times a week, causing a modification in the estimated annual release amount).  No other </w:t>
      </w:r>
      <w:r w:rsidRPr="00B54712">
        <w:t>conditional</w:t>
      </w:r>
      <w:r w:rsidRPr="001F3A52">
        <w:t xml:space="preserve"> activities (e.g., SSI reporting and facilitating a site inspection) are assumed to be required of the typical respondent; the inclusion of burden estimates associated with any additional conditional activities may result in a significant overestimation of the burden incurred by a typical facility. </w:t>
      </w:r>
    </w:p>
    <w:p w14:paraId="5B289778" w14:textId="421982A3" w:rsidR="00F53A07" w:rsidRDefault="00F53A07" w:rsidP="00B54712">
      <w:pPr>
        <w:ind w:firstLine="720"/>
      </w:pPr>
    </w:p>
    <w:p w14:paraId="67B56C85" w14:textId="77777777" w:rsidR="0035097D" w:rsidRDefault="0035097D" w:rsidP="00B54712">
      <w:pPr>
        <w:ind w:firstLine="720"/>
      </w:pPr>
    </w:p>
    <w:p w14:paraId="3F47B6F4" w14:textId="19516E01" w:rsidR="00A02F6C" w:rsidRDefault="00A02F6C" w:rsidP="00A02F6C">
      <w:pPr>
        <w:keepNext/>
        <w:ind w:firstLine="720"/>
        <w:jc w:val="center"/>
        <w:outlineLvl w:val="4"/>
        <w:rPr>
          <w:b/>
        </w:rPr>
      </w:pPr>
      <w:bookmarkStart w:id="52" w:name="_Toc295823956"/>
      <w:r>
        <w:rPr>
          <w:b/>
        </w:rPr>
        <w:t>Exhibit 2 – Burden Hours for a Typical Facility</w:t>
      </w:r>
      <w:bookmarkEnd w:id="52"/>
    </w:p>
    <w:p w14:paraId="63F5CA25" w14:textId="24962155" w:rsidR="0099500F" w:rsidRPr="00A02F6C" w:rsidRDefault="00D22983" w:rsidP="00A02F6C">
      <w:pPr>
        <w:keepNext/>
        <w:ind w:firstLine="720"/>
        <w:jc w:val="center"/>
        <w:outlineLvl w:val="4"/>
        <w:rPr>
          <w:b/>
        </w:rPr>
      </w:pPr>
      <w:r w:rsidRPr="00D22983">
        <w:rPr>
          <w:noProof/>
        </w:rPr>
        <w:drawing>
          <wp:inline distT="0" distB="0" distL="0" distR="0" wp14:anchorId="124F907D" wp14:editId="0C6BF4AC">
            <wp:extent cx="5962650" cy="439102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2650" cy="4391025"/>
                    </a:xfrm>
                    <a:prstGeom prst="rect">
                      <a:avLst/>
                    </a:prstGeom>
                    <a:noFill/>
                    <a:ln>
                      <a:noFill/>
                    </a:ln>
                  </pic:spPr>
                </pic:pic>
              </a:graphicData>
            </a:graphic>
          </wp:inline>
        </w:drawing>
      </w:r>
    </w:p>
    <w:tbl>
      <w:tblPr>
        <w:tblW w:w="9460" w:type="dxa"/>
        <w:tblInd w:w="85" w:type="dxa"/>
        <w:tblLook w:val="04A0" w:firstRow="1" w:lastRow="0" w:firstColumn="1" w:lastColumn="0" w:noHBand="0" w:noVBand="1"/>
      </w:tblPr>
      <w:tblGrid>
        <w:gridCol w:w="9460"/>
      </w:tblGrid>
      <w:tr w:rsidR="00E34A8F" w:rsidRPr="00E34A8F" w14:paraId="3CBA77BF" w14:textId="77777777" w:rsidTr="00E34A8F">
        <w:trPr>
          <w:trHeight w:val="1080"/>
        </w:trPr>
        <w:tc>
          <w:tcPr>
            <w:tcW w:w="9460" w:type="dxa"/>
            <w:tcBorders>
              <w:top w:val="double" w:sz="6" w:space="0" w:color="000000"/>
              <w:left w:val="nil"/>
              <w:bottom w:val="nil"/>
              <w:right w:val="nil"/>
            </w:tcBorders>
            <w:shd w:val="clear" w:color="auto" w:fill="auto"/>
            <w:vAlign w:val="bottom"/>
            <w:hideMark/>
          </w:tcPr>
          <w:p w14:paraId="73FEFDA2" w14:textId="77777777" w:rsidR="00E4140E" w:rsidRDefault="00E34A8F" w:rsidP="00E34A8F">
            <w:pPr>
              <w:widowControl/>
              <w:adjustRightInd/>
              <w:rPr>
                <w:sz w:val="20"/>
                <w:szCs w:val="20"/>
              </w:rPr>
            </w:pPr>
            <w:r w:rsidRPr="00E34A8F">
              <w:rPr>
                <w:sz w:val="20"/>
                <w:szCs w:val="20"/>
              </w:rPr>
              <w:t xml:space="preserve"> </w:t>
            </w:r>
          </w:p>
          <w:p w14:paraId="0EF54FB1" w14:textId="185522DF" w:rsidR="00E34A8F" w:rsidRDefault="00E34A8F" w:rsidP="00E34A8F">
            <w:pPr>
              <w:widowControl/>
              <w:adjustRightInd/>
              <w:rPr>
                <w:sz w:val="20"/>
                <w:szCs w:val="20"/>
              </w:rPr>
            </w:pPr>
            <w:r w:rsidRPr="00E34A8F">
              <w:rPr>
                <w:sz w:val="20"/>
                <w:szCs w:val="20"/>
              </w:rPr>
              <w:t>A “typical” respondent is assumed to report eight continuous hazardous substance releases in year one and to experience a change in one release in the second and third years (e.g., the frequency of the release per week changes each year, causing a modification in the estimated annual release amount).  No other conditional activities are assumed to be required of the typical respondent.</w:t>
            </w:r>
          </w:p>
          <w:p w14:paraId="2C9073E2" w14:textId="77777777" w:rsidR="00E4140E" w:rsidRPr="00E34A8F" w:rsidRDefault="00E4140E" w:rsidP="00E34A8F">
            <w:pPr>
              <w:widowControl/>
              <w:adjustRightInd/>
              <w:rPr>
                <w:sz w:val="20"/>
                <w:szCs w:val="20"/>
              </w:rPr>
            </w:pPr>
          </w:p>
        </w:tc>
      </w:tr>
    </w:tbl>
    <w:p w14:paraId="5890C1A3" w14:textId="77777777" w:rsidR="00C82484" w:rsidRDefault="00C82484" w:rsidP="00513A4B">
      <w:pPr>
        <w:rPr>
          <w:sz w:val="18"/>
          <w:szCs w:val="18"/>
        </w:rPr>
      </w:pPr>
      <w:r w:rsidRPr="001F3A52">
        <w:rPr>
          <w:sz w:val="18"/>
          <w:szCs w:val="18"/>
        </w:rPr>
        <w:t>NA = Not Applicable</w:t>
      </w:r>
    </w:p>
    <w:p w14:paraId="44616F98" w14:textId="77777777" w:rsidR="00513A4B" w:rsidRDefault="00513A4B" w:rsidP="00513A4B">
      <w:pPr>
        <w:rPr>
          <w:sz w:val="18"/>
          <w:szCs w:val="18"/>
        </w:rPr>
      </w:pPr>
    </w:p>
    <w:p w14:paraId="6902EAD7" w14:textId="77777777" w:rsidR="00513A4B" w:rsidRPr="00E4140E" w:rsidRDefault="00513A4B" w:rsidP="00513A4B">
      <w:pPr>
        <w:rPr>
          <w:color w:val="92D050"/>
        </w:rPr>
      </w:pPr>
      <w:r w:rsidRPr="00E4140E">
        <w:rPr>
          <w:color w:val="92D050"/>
        </w:rPr>
        <w:t>The estimated annual burden hours incurred by a “typical” facility are presented in Exhibit 2 (With Forms).  A typical respondent is assumed to report eight continuous hazardous substance releases in year one and to experience a change in one release in the second and third years of reporting (e.g., the frequency of the release increases from three to five times a week, causing a modification in the estimated annual release amount).  No other conditional activities (e.g., SSI reporting and facilitating a site inspection) are assumed to be required of the typical respondent; the inclusion of burden estimates associated with any additional conditional activities may result in a significant overestimation of the burden incurred by a typical facility.</w:t>
      </w:r>
    </w:p>
    <w:p w14:paraId="703BBAB6" w14:textId="77777777" w:rsidR="00E34A8F" w:rsidRDefault="00E34A8F" w:rsidP="00513A4B">
      <w:pPr>
        <w:jc w:val="center"/>
        <w:rPr>
          <w:color w:val="99CC00"/>
        </w:rPr>
      </w:pPr>
    </w:p>
    <w:p w14:paraId="3E76BE18" w14:textId="47A8B38A" w:rsidR="00A02F6C" w:rsidRDefault="00A02F6C" w:rsidP="00A02F6C">
      <w:pPr>
        <w:keepNext/>
        <w:jc w:val="center"/>
        <w:outlineLvl w:val="4"/>
        <w:rPr>
          <w:b/>
          <w:color w:val="92D050"/>
        </w:rPr>
      </w:pPr>
      <w:bookmarkStart w:id="53" w:name="_Toc295823957"/>
      <w:r w:rsidRPr="00E4140E">
        <w:rPr>
          <w:b/>
          <w:color w:val="92D050"/>
        </w:rPr>
        <w:t>Exhibit 2 (With Forms) – Burden Hours for a Typical Facility</w:t>
      </w:r>
      <w:bookmarkEnd w:id="53"/>
    </w:p>
    <w:p w14:paraId="2DFC8382" w14:textId="1E88764B" w:rsidR="0099500F" w:rsidRPr="00E4140E" w:rsidRDefault="00D22983" w:rsidP="00A02F6C">
      <w:pPr>
        <w:keepNext/>
        <w:jc w:val="center"/>
        <w:outlineLvl w:val="4"/>
        <w:rPr>
          <w:b/>
          <w:color w:val="92D050"/>
        </w:rPr>
      </w:pPr>
      <w:r w:rsidRPr="00D22983">
        <w:rPr>
          <w:noProof/>
        </w:rPr>
        <w:drawing>
          <wp:inline distT="0" distB="0" distL="0" distR="0" wp14:anchorId="113F4581" wp14:editId="62FCFD26">
            <wp:extent cx="5962650" cy="43910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2650" cy="4391025"/>
                    </a:xfrm>
                    <a:prstGeom prst="rect">
                      <a:avLst/>
                    </a:prstGeom>
                    <a:noFill/>
                    <a:ln>
                      <a:noFill/>
                    </a:ln>
                  </pic:spPr>
                </pic:pic>
              </a:graphicData>
            </a:graphic>
          </wp:inline>
        </w:drawing>
      </w:r>
    </w:p>
    <w:tbl>
      <w:tblPr>
        <w:tblW w:w="10067" w:type="dxa"/>
        <w:tblInd w:w="-30" w:type="dxa"/>
        <w:tblLook w:val="04A0" w:firstRow="1" w:lastRow="0" w:firstColumn="1" w:lastColumn="0" w:noHBand="0" w:noVBand="1"/>
      </w:tblPr>
      <w:tblGrid>
        <w:gridCol w:w="254"/>
        <w:gridCol w:w="9813"/>
      </w:tblGrid>
      <w:tr w:rsidR="0078171D" w:rsidRPr="00E34A8F" w14:paraId="2DDBC85F" w14:textId="77777777" w:rsidTr="00E4140E">
        <w:trPr>
          <w:trHeight w:val="1079"/>
        </w:trPr>
        <w:tc>
          <w:tcPr>
            <w:tcW w:w="254" w:type="dxa"/>
            <w:tcBorders>
              <w:top w:val="double" w:sz="6" w:space="0" w:color="000000"/>
              <w:left w:val="nil"/>
              <w:bottom w:val="nil"/>
              <w:right w:val="nil"/>
            </w:tcBorders>
          </w:tcPr>
          <w:p w14:paraId="6D21BDEC" w14:textId="77777777" w:rsidR="0078171D" w:rsidRPr="00E34A8F" w:rsidRDefault="0078171D" w:rsidP="00E34A8F">
            <w:pPr>
              <w:widowControl/>
              <w:adjustRightInd/>
              <w:rPr>
                <w:sz w:val="20"/>
                <w:szCs w:val="20"/>
              </w:rPr>
            </w:pPr>
          </w:p>
        </w:tc>
        <w:tc>
          <w:tcPr>
            <w:tcW w:w="9813" w:type="dxa"/>
            <w:tcBorders>
              <w:top w:val="double" w:sz="6" w:space="0" w:color="000000"/>
              <w:left w:val="nil"/>
              <w:bottom w:val="nil"/>
              <w:right w:val="nil"/>
            </w:tcBorders>
            <w:shd w:val="clear" w:color="auto" w:fill="auto"/>
            <w:vAlign w:val="bottom"/>
            <w:hideMark/>
          </w:tcPr>
          <w:p w14:paraId="53D85904" w14:textId="34FCDE46" w:rsidR="0078171D" w:rsidRPr="00E34A8F" w:rsidRDefault="0078171D" w:rsidP="00E34A8F">
            <w:pPr>
              <w:widowControl/>
              <w:adjustRightInd/>
              <w:rPr>
                <w:sz w:val="20"/>
                <w:szCs w:val="20"/>
              </w:rPr>
            </w:pPr>
            <w:r w:rsidRPr="00E34A8F">
              <w:rPr>
                <w:sz w:val="20"/>
                <w:szCs w:val="20"/>
              </w:rPr>
              <w:t>A “typical” respondent is assumed to report eight continuous hazardous substance releases in year one and to experience a change in one release in the second and third years (e.g., the frequency of the release per week changes each year, causing a modification in the estimated annual release amount).  No other conditional activities are assumed to be required of the typical respondent.</w:t>
            </w:r>
          </w:p>
        </w:tc>
      </w:tr>
    </w:tbl>
    <w:p w14:paraId="33D95E21" w14:textId="77777777" w:rsidR="00E4140E" w:rsidRDefault="00E4140E" w:rsidP="00513A4B">
      <w:pPr>
        <w:rPr>
          <w:sz w:val="20"/>
          <w:szCs w:val="20"/>
        </w:rPr>
      </w:pPr>
    </w:p>
    <w:p w14:paraId="63A2A240" w14:textId="77777777" w:rsidR="00513A4B" w:rsidRPr="00513A4B" w:rsidRDefault="00513A4B" w:rsidP="00513A4B">
      <w:pPr>
        <w:rPr>
          <w:color w:val="99CC00"/>
        </w:rPr>
      </w:pPr>
      <w:r w:rsidRPr="008813A3">
        <w:rPr>
          <w:sz w:val="20"/>
          <w:szCs w:val="20"/>
        </w:rPr>
        <w:t>N/A – Not Applicable</w:t>
      </w:r>
    </w:p>
    <w:p w14:paraId="713764DD" w14:textId="77777777" w:rsidR="00105F09" w:rsidRDefault="004E5182" w:rsidP="004E5182">
      <w:pPr>
        <w:pStyle w:val="Heading2"/>
      </w:pPr>
      <w:bookmarkStart w:id="54" w:name="_Toc295823958"/>
      <w:r>
        <w:t>Estimating Respondent Costs</w:t>
      </w:r>
      <w:bookmarkEnd w:id="54"/>
    </w:p>
    <w:p w14:paraId="75255689" w14:textId="77777777" w:rsidR="004E5182" w:rsidRDefault="004E5182" w:rsidP="00255258">
      <w:pPr>
        <w:pStyle w:val="Heading3"/>
        <w:tabs>
          <w:tab w:val="clear" w:pos="1800"/>
          <w:tab w:val="num" w:pos="1080"/>
        </w:tabs>
      </w:pPr>
      <w:bookmarkStart w:id="55" w:name="_Toc295823959"/>
      <w:r>
        <w:t>Estimating Labor Costs</w:t>
      </w:r>
      <w:bookmarkEnd w:id="55"/>
    </w:p>
    <w:p w14:paraId="3475C779" w14:textId="77777777" w:rsidR="004E5182" w:rsidRDefault="004E5182" w:rsidP="004E5182">
      <w:pPr>
        <w:ind w:firstLine="720"/>
      </w:pPr>
    </w:p>
    <w:p w14:paraId="2572309F" w14:textId="0C2B08DD" w:rsidR="004E5182" w:rsidRPr="00EF7BE5" w:rsidRDefault="004E5182" w:rsidP="00E34A8F">
      <w:pPr>
        <w:rPr>
          <w:color w:val="000000" w:themeColor="text1"/>
        </w:rPr>
      </w:pPr>
      <w:r w:rsidRPr="00EF7BE5">
        <w:rPr>
          <w:color w:val="000000" w:themeColor="text1"/>
        </w:rPr>
        <w:t>The estimated cost to complete various continuous release reports required under the CRRR is a function of the time expended by industry personnel (i.e., the burden estimates presented in section 6(a)), and the hourly wage rates for the appropriate categories of labor.  The hourly wage rates used fo</w:t>
      </w:r>
      <w:r w:rsidR="003D21DB" w:rsidRPr="00EF7BE5">
        <w:rPr>
          <w:color w:val="000000" w:themeColor="text1"/>
        </w:rPr>
        <w:t xml:space="preserve">r industry in this ICR are from </w:t>
      </w:r>
      <w:r w:rsidR="00044DB3">
        <w:rPr>
          <w:color w:val="000000" w:themeColor="text1"/>
        </w:rPr>
        <w:t>March</w:t>
      </w:r>
      <w:r w:rsidR="00044DB3" w:rsidRPr="00EF7BE5">
        <w:rPr>
          <w:color w:val="000000" w:themeColor="text1"/>
        </w:rPr>
        <w:t xml:space="preserve"> </w:t>
      </w:r>
      <w:r w:rsidRPr="00EF7BE5">
        <w:rPr>
          <w:color w:val="000000" w:themeColor="text1"/>
        </w:rPr>
        <w:t>20</w:t>
      </w:r>
      <w:r w:rsidR="00E34A8F" w:rsidRPr="00EF7BE5">
        <w:rPr>
          <w:color w:val="000000" w:themeColor="text1"/>
        </w:rPr>
        <w:t>1</w:t>
      </w:r>
      <w:r w:rsidR="00044DB3">
        <w:rPr>
          <w:color w:val="000000" w:themeColor="text1"/>
        </w:rPr>
        <w:t>8</w:t>
      </w:r>
      <w:r w:rsidRPr="00EF7BE5">
        <w:rPr>
          <w:color w:val="000000" w:themeColor="text1"/>
        </w:rPr>
        <w:t xml:space="preserve"> and were obtained from the Bureau of Labor Statistics.</w:t>
      </w:r>
      <w:r w:rsidRPr="00EF7BE5">
        <w:rPr>
          <w:rStyle w:val="FootnoteReference"/>
          <w:color w:val="000000" w:themeColor="text1"/>
          <w:vertAlign w:val="superscript"/>
        </w:rPr>
        <w:footnoteReference w:id="4"/>
      </w:r>
      <w:r w:rsidRPr="00EF7BE5">
        <w:rPr>
          <w:color w:val="000000" w:themeColor="text1"/>
        </w:rPr>
        <w:t xml:space="preserve">  For purposes of this analysis, EPA estimates an average hourly respondent labor cost of </w:t>
      </w:r>
      <w:r w:rsidR="003D21DB" w:rsidRPr="00EF7BE5">
        <w:rPr>
          <w:color w:val="000000" w:themeColor="text1"/>
        </w:rPr>
        <w:t>$6</w:t>
      </w:r>
      <w:r w:rsidR="0035097D">
        <w:rPr>
          <w:color w:val="000000" w:themeColor="text1"/>
        </w:rPr>
        <w:t>8.92</w:t>
      </w:r>
      <w:r w:rsidR="00E34A8F" w:rsidRPr="00EF7BE5">
        <w:rPr>
          <w:color w:val="000000" w:themeColor="text1"/>
        </w:rPr>
        <w:t xml:space="preserve"> </w:t>
      </w:r>
      <w:r w:rsidRPr="00EF7BE5">
        <w:rPr>
          <w:color w:val="000000" w:themeColor="text1"/>
        </w:rPr>
        <w:t xml:space="preserve">for managerial staff, </w:t>
      </w:r>
      <w:r w:rsidR="003D21DB" w:rsidRPr="00EF7BE5">
        <w:rPr>
          <w:color w:val="000000" w:themeColor="text1"/>
        </w:rPr>
        <w:t>$</w:t>
      </w:r>
      <w:r w:rsidR="0035097D">
        <w:rPr>
          <w:color w:val="000000" w:themeColor="text1"/>
        </w:rPr>
        <w:t>55.87</w:t>
      </w:r>
      <w:r w:rsidR="00E34A8F" w:rsidRPr="00EF7BE5">
        <w:rPr>
          <w:color w:val="000000" w:themeColor="text1"/>
        </w:rPr>
        <w:t xml:space="preserve"> </w:t>
      </w:r>
      <w:r w:rsidRPr="00EF7BE5">
        <w:rPr>
          <w:color w:val="000000" w:themeColor="text1"/>
        </w:rPr>
        <w:t xml:space="preserve">for technical staff, and </w:t>
      </w:r>
      <w:r w:rsidR="003D21DB" w:rsidRPr="00EF7BE5">
        <w:rPr>
          <w:color w:val="000000" w:themeColor="text1"/>
        </w:rPr>
        <w:t>$</w:t>
      </w:r>
      <w:r w:rsidR="0035097D">
        <w:rPr>
          <w:color w:val="000000" w:themeColor="text1"/>
        </w:rPr>
        <w:t>26.68</w:t>
      </w:r>
      <w:r w:rsidRPr="00EF7BE5">
        <w:rPr>
          <w:color w:val="000000" w:themeColor="text1"/>
        </w:rPr>
        <w:t xml:space="preserve"> for clerical staff.</w:t>
      </w:r>
    </w:p>
    <w:p w14:paraId="28BFF810" w14:textId="77777777" w:rsidR="004E5182" w:rsidRPr="001F3A52" w:rsidRDefault="004E5182" w:rsidP="004E5182"/>
    <w:p w14:paraId="679C4F68" w14:textId="0BDC2539" w:rsidR="004E5182" w:rsidRPr="001F3A52" w:rsidRDefault="004E5182" w:rsidP="004E5182">
      <w:pPr>
        <w:ind w:firstLine="720"/>
      </w:pPr>
      <w:r w:rsidRPr="00653D7F">
        <w:rPr>
          <w:color w:val="000000" w:themeColor="text1"/>
        </w:rPr>
        <w:t xml:space="preserve">These rates reflect </w:t>
      </w:r>
      <w:r w:rsidR="00591DAF" w:rsidRPr="00653D7F">
        <w:rPr>
          <w:color w:val="000000" w:themeColor="text1"/>
        </w:rPr>
        <w:t xml:space="preserve">the </w:t>
      </w:r>
      <w:r w:rsidRPr="00653D7F">
        <w:rPr>
          <w:color w:val="000000" w:themeColor="text1"/>
        </w:rPr>
        <w:t>employer cost</w:t>
      </w:r>
      <w:r w:rsidR="00591DAF" w:rsidRPr="00653D7F">
        <w:rPr>
          <w:color w:val="000000" w:themeColor="text1"/>
        </w:rPr>
        <w:t>s</w:t>
      </w:r>
      <w:r w:rsidRPr="00653D7F">
        <w:rPr>
          <w:color w:val="000000" w:themeColor="text1"/>
        </w:rPr>
        <w:t xml:space="preserve"> for employee compensation in the United States </w:t>
      </w:r>
      <w:r w:rsidR="00064F31" w:rsidRPr="00653D7F">
        <w:rPr>
          <w:color w:val="000000" w:themeColor="text1"/>
        </w:rPr>
        <w:t xml:space="preserve">as of </w:t>
      </w:r>
      <w:r w:rsidR="007943E7">
        <w:rPr>
          <w:color w:val="000000" w:themeColor="text1"/>
        </w:rPr>
        <w:t>March</w:t>
      </w:r>
      <w:r w:rsidR="007943E7" w:rsidRPr="00653D7F">
        <w:rPr>
          <w:color w:val="000000" w:themeColor="text1"/>
        </w:rPr>
        <w:t xml:space="preserve"> </w:t>
      </w:r>
      <w:r w:rsidR="00064F31" w:rsidRPr="00653D7F">
        <w:rPr>
          <w:color w:val="000000" w:themeColor="text1"/>
        </w:rPr>
        <w:t>20</w:t>
      </w:r>
      <w:r w:rsidR="00E34A8F" w:rsidRPr="00653D7F">
        <w:rPr>
          <w:color w:val="000000" w:themeColor="text1"/>
        </w:rPr>
        <w:t>1</w:t>
      </w:r>
      <w:r w:rsidR="007943E7">
        <w:rPr>
          <w:color w:val="000000" w:themeColor="text1"/>
        </w:rPr>
        <w:t>8</w:t>
      </w:r>
      <w:r w:rsidRPr="00653D7F">
        <w:rPr>
          <w:color w:val="000000" w:themeColor="text1"/>
        </w:rPr>
        <w:t xml:space="preserve"> and include both employer costs for legally required benefits (e.g., social security, worker’s compensation, and unemployment insurance), other important fringe benefit categories (e.g., insurance, paid leave, retirement, and savings), and overhead and general and administrative </w:t>
      </w:r>
      <w:r w:rsidRPr="001F3A52">
        <w:t>costs.  Costs associated with the burden hours presented in Section 6(a) of this ICR are shown in Exhibit 3.</w:t>
      </w:r>
      <w:r w:rsidRPr="001F3A52">
        <w:tab/>
      </w:r>
    </w:p>
    <w:p w14:paraId="729F4190" w14:textId="77777777" w:rsidR="004E5182" w:rsidRPr="001F3A52" w:rsidRDefault="004E5182" w:rsidP="004E5182"/>
    <w:p w14:paraId="62A32A05" w14:textId="77777777" w:rsidR="00513A4B" w:rsidRDefault="004E5182" w:rsidP="00802272">
      <w:pPr>
        <w:ind w:firstLine="720"/>
      </w:pPr>
      <w:r w:rsidRPr="001F3A52">
        <w:t xml:space="preserve">Exhibit 3 presents the unit costs to industry of performing the notification, record keeping, and other activities that may be required in reporting a continuous release.  The unit cost of each collection activity is calculated by multiplying the annual burden hour estimates in Exhibit 2 by the hourly wage rate for the appropriate labor category (listed above).  </w:t>
      </w:r>
    </w:p>
    <w:p w14:paraId="288FF3A2" w14:textId="77777777" w:rsidR="00513A4B" w:rsidRDefault="00513A4B" w:rsidP="005411DD"/>
    <w:p w14:paraId="35826452" w14:textId="6A71C263" w:rsidR="000F2845" w:rsidRDefault="000F2845" w:rsidP="000F2845">
      <w:pPr>
        <w:keepNext/>
        <w:jc w:val="center"/>
        <w:outlineLvl w:val="4"/>
        <w:rPr>
          <w:b/>
        </w:rPr>
      </w:pPr>
      <w:bookmarkStart w:id="56" w:name="_Toc295823960"/>
      <w:r w:rsidRPr="005411DD">
        <w:rPr>
          <w:b/>
        </w:rPr>
        <w:t>Exhibit 3 – Unit Labor Cost per Respondent Information Collection Activity</w:t>
      </w:r>
      <w:bookmarkEnd w:id="56"/>
    </w:p>
    <w:p w14:paraId="293B357F" w14:textId="2BF6EE67" w:rsidR="00573CA5" w:rsidRDefault="00D22983" w:rsidP="000F2845">
      <w:pPr>
        <w:keepNext/>
        <w:jc w:val="center"/>
        <w:outlineLvl w:val="4"/>
        <w:rPr>
          <w:b/>
        </w:rPr>
      </w:pPr>
      <w:r w:rsidRPr="00D22983">
        <w:rPr>
          <w:noProof/>
        </w:rPr>
        <w:drawing>
          <wp:inline distT="0" distB="0" distL="0" distR="0" wp14:anchorId="2E2B5ED6" wp14:editId="5C4DB3C8">
            <wp:extent cx="4981575" cy="45053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1575" cy="4505325"/>
                    </a:xfrm>
                    <a:prstGeom prst="rect">
                      <a:avLst/>
                    </a:prstGeom>
                    <a:noFill/>
                    <a:ln>
                      <a:noFill/>
                    </a:ln>
                  </pic:spPr>
                </pic:pic>
              </a:graphicData>
            </a:graphic>
          </wp:inline>
        </w:drawing>
      </w:r>
    </w:p>
    <w:p w14:paraId="09341E4D" w14:textId="737BE877" w:rsidR="0035097D" w:rsidRPr="005411DD" w:rsidRDefault="0035097D" w:rsidP="000F2845">
      <w:pPr>
        <w:keepNext/>
        <w:jc w:val="center"/>
        <w:outlineLvl w:val="4"/>
        <w:rPr>
          <w:b/>
        </w:rPr>
      </w:pPr>
    </w:p>
    <w:p w14:paraId="664F68CA" w14:textId="1C60FEBB" w:rsidR="005411DD" w:rsidRPr="005411DD" w:rsidRDefault="005411DD" w:rsidP="000F2845">
      <w:pPr>
        <w:keepNext/>
        <w:jc w:val="center"/>
        <w:outlineLvl w:val="4"/>
        <w:rPr>
          <w:b/>
        </w:rPr>
      </w:pPr>
    </w:p>
    <w:p w14:paraId="0F7406C5" w14:textId="77777777" w:rsidR="00513A4B" w:rsidRDefault="00513A4B" w:rsidP="00513A4B">
      <w:pPr>
        <w:ind w:firstLine="720"/>
        <w:jc w:val="center"/>
      </w:pPr>
    </w:p>
    <w:p w14:paraId="713470EE" w14:textId="77777777" w:rsidR="00513A4B" w:rsidRPr="00E4140E" w:rsidRDefault="00513A4B" w:rsidP="00802272">
      <w:pPr>
        <w:ind w:firstLine="720"/>
        <w:rPr>
          <w:color w:val="92D050"/>
        </w:rPr>
      </w:pPr>
      <w:r w:rsidRPr="00E4140E">
        <w:rPr>
          <w:color w:val="92D050"/>
        </w:rPr>
        <w:t>Exhibit 3 (With Forms) presents the unit costs to industry of performing the notification, record keeping, and other activities that may be required in reporting a continuous release.  The unit cost of each collection activity is calculated by multiplying the annual burden hour estimates in Exhibit 2 (With Forms) by the hourly wage rate for the appropriate labor category (listed above).</w:t>
      </w:r>
    </w:p>
    <w:p w14:paraId="03DD519A" w14:textId="77777777" w:rsidR="00513A4B" w:rsidRPr="00E4140E" w:rsidRDefault="00513A4B" w:rsidP="000F2845">
      <w:pPr>
        <w:rPr>
          <w:color w:val="92D050"/>
        </w:rPr>
      </w:pPr>
    </w:p>
    <w:p w14:paraId="4FAFA780" w14:textId="369CF7C2" w:rsidR="00573CA5" w:rsidRDefault="000F2845" w:rsidP="00573CA5">
      <w:pPr>
        <w:keepNext/>
        <w:jc w:val="center"/>
        <w:outlineLvl w:val="4"/>
        <w:rPr>
          <w:b/>
          <w:color w:val="92D050"/>
        </w:rPr>
      </w:pPr>
      <w:bookmarkStart w:id="57" w:name="_Toc295823961"/>
      <w:r w:rsidRPr="00E4140E">
        <w:rPr>
          <w:b/>
          <w:color w:val="92D050"/>
        </w:rPr>
        <w:t>Exhibit 3 (With Forms) – Unit Labor Cost per Respondent Information Collection Activity</w:t>
      </w:r>
      <w:bookmarkEnd w:id="57"/>
    </w:p>
    <w:p w14:paraId="3ED99722" w14:textId="2D4369AF" w:rsidR="00573CA5" w:rsidRDefault="00D22983" w:rsidP="00573CA5">
      <w:pPr>
        <w:keepNext/>
        <w:jc w:val="center"/>
        <w:outlineLvl w:val="4"/>
        <w:rPr>
          <w:b/>
          <w:color w:val="92D050"/>
        </w:rPr>
      </w:pPr>
      <w:r w:rsidRPr="00D22983">
        <w:rPr>
          <w:noProof/>
        </w:rPr>
        <w:drawing>
          <wp:inline distT="0" distB="0" distL="0" distR="0" wp14:anchorId="7A496F3B" wp14:editId="0F683EF1">
            <wp:extent cx="4981575" cy="450532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81575" cy="4505325"/>
                    </a:xfrm>
                    <a:prstGeom prst="rect">
                      <a:avLst/>
                    </a:prstGeom>
                    <a:noFill/>
                    <a:ln>
                      <a:noFill/>
                    </a:ln>
                  </pic:spPr>
                </pic:pic>
              </a:graphicData>
            </a:graphic>
          </wp:inline>
        </w:drawing>
      </w:r>
    </w:p>
    <w:p w14:paraId="6FB074E0" w14:textId="35BA70FB" w:rsidR="002D1B45" w:rsidRPr="00E4140E" w:rsidRDefault="002D1B45" w:rsidP="000F2845">
      <w:pPr>
        <w:keepNext/>
        <w:jc w:val="center"/>
        <w:outlineLvl w:val="4"/>
        <w:rPr>
          <w:b/>
          <w:color w:val="92D050"/>
        </w:rPr>
      </w:pPr>
    </w:p>
    <w:p w14:paraId="2223F153" w14:textId="1D163F6D" w:rsidR="00513A4B" w:rsidRDefault="00513A4B" w:rsidP="00BF767F">
      <w:pPr>
        <w:jc w:val="center"/>
        <w:rPr>
          <w:color w:val="99CC00"/>
        </w:rPr>
      </w:pPr>
    </w:p>
    <w:p w14:paraId="57EDBC2A" w14:textId="77777777" w:rsidR="00513A4B" w:rsidRPr="00513A4B" w:rsidRDefault="00513A4B" w:rsidP="00513A4B">
      <w:pPr>
        <w:ind w:firstLine="720"/>
        <w:jc w:val="center"/>
        <w:rPr>
          <w:color w:val="99CC00"/>
        </w:rPr>
      </w:pPr>
    </w:p>
    <w:p w14:paraId="56588E3E" w14:textId="77777777" w:rsidR="005D7CA5" w:rsidRDefault="004E5182" w:rsidP="00802272">
      <w:pPr>
        <w:ind w:firstLine="720"/>
      </w:pPr>
      <w:r w:rsidRPr="001F3A52">
        <w:t>Exhibit 4 presents the annual labor cost estimated to be incurred by a typical facility.  (The reporting pattern assumed for a typical facility is discussed in Section 6(a) above.)</w:t>
      </w:r>
    </w:p>
    <w:p w14:paraId="1E55CB73" w14:textId="77777777" w:rsidR="00B41B73" w:rsidRDefault="00B41B73" w:rsidP="00802272">
      <w:pPr>
        <w:ind w:firstLine="720"/>
      </w:pPr>
    </w:p>
    <w:p w14:paraId="5C6AB5F8" w14:textId="42B1861D" w:rsidR="005D7CA5" w:rsidRDefault="00B41B73" w:rsidP="00B41B73">
      <w:pPr>
        <w:keepNext/>
        <w:jc w:val="center"/>
        <w:outlineLvl w:val="4"/>
        <w:rPr>
          <w:b/>
        </w:rPr>
      </w:pPr>
      <w:bookmarkStart w:id="58" w:name="_Toc295823962"/>
      <w:r w:rsidRPr="00FE78A6">
        <w:rPr>
          <w:b/>
        </w:rPr>
        <w:t>Exhibit 4 – Annual Labor Costs for a Typical Facility</w:t>
      </w:r>
      <w:bookmarkEnd w:id="58"/>
    </w:p>
    <w:p w14:paraId="2F72D2BD" w14:textId="192C0BE6" w:rsidR="00381DBB" w:rsidRDefault="00D22983" w:rsidP="00B41B73">
      <w:pPr>
        <w:keepNext/>
        <w:jc w:val="center"/>
        <w:outlineLvl w:val="4"/>
        <w:rPr>
          <w:b/>
        </w:rPr>
      </w:pPr>
      <w:r w:rsidRPr="00D22983">
        <w:rPr>
          <w:noProof/>
        </w:rPr>
        <w:drawing>
          <wp:inline distT="0" distB="0" distL="0" distR="0" wp14:anchorId="3F6EBDD6" wp14:editId="0027FD46">
            <wp:extent cx="6010275" cy="35528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10275" cy="3552825"/>
                    </a:xfrm>
                    <a:prstGeom prst="rect">
                      <a:avLst/>
                    </a:prstGeom>
                    <a:noFill/>
                    <a:ln>
                      <a:noFill/>
                    </a:ln>
                  </pic:spPr>
                </pic:pic>
              </a:graphicData>
            </a:graphic>
          </wp:inline>
        </w:drawing>
      </w:r>
    </w:p>
    <w:p w14:paraId="7F24DFBC" w14:textId="45090916" w:rsidR="002D1B45" w:rsidRPr="00FE78A6" w:rsidRDefault="002D1B45" w:rsidP="00B41B73">
      <w:pPr>
        <w:keepNext/>
        <w:jc w:val="center"/>
        <w:outlineLvl w:val="4"/>
        <w:rPr>
          <w:b/>
        </w:rPr>
      </w:pPr>
    </w:p>
    <w:tbl>
      <w:tblPr>
        <w:tblW w:w="9460" w:type="dxa"/>
        <w:tblInd w:w="108" w:type="dxa"/>
        <w:tblLook w:val="04A0" w:firstRow="1" w:lastRow="0" w:firstColumn="1" w:lastColumn="0" w:noHBand="0" w:noVBand="1"/>
      </w:tblPr>
      <w:tblGrid>
        <w:gridCol w:w="9460"/>
      </w:tblGrid>
      <w:tr w:rsidR="00E34A8F" w:rsidRPr="00E34A8F" w14:paraId="46492842" w14:textId="77777777" w:rsidTr="003C7877">
        <w:trPr>
          <w:trHeight w:val="1095"/>
        </w:trPr>
        <w:tc>
          <w:tcPr>
            <w:tcW w:w="9460" w:type="dxa"/>
            <w:tcBorders>
              <w:top w:val="double" w:sz="6" w:space="0" w:color="000000"/>
              <w:left w:val="nil"/>
              <w:bottom w:val="nil"/>
              <w:right w:val="nil"/>
            </w:tcBorders>
            <w:shd w:val="clear" w:color="auto" w:fill="auto"/>
            <w:vAlign w:val="center"/>
            <w:hideMark/>
          </w:tcPr>
          <w:p w14:paraId="4E163DAE" w14:textId="77777777" w:rsidR="00E34A8F" w:rsidRPr="00E34A8F" w:rsidRDefault="00E34A8F" w:rsidP="00E34A8F">
            <w:pPr>
              <w:widowControl/>
              <w:adjustRightInd/>
              <w:rPr>
                <w:sz w:val="20"/>
                <w:szCs w:val="20"/>
              </w:rPr>
            </w:pPr>
            <w:r w:rsidRPr="00E34A8F">
              <w:rPr>
                <w:sz w:val="20"/>
                <w:szCs w:val="20"/>
              </w:rPr>
              <w:t xml:space="preserve"> A “typical” respondent is assumed to report </w:t>
            </w:r>
            <w:r w:rsidRPr="00E34A8F">
              <w:rPr>
                <w:b/>
                <w:bCs/>
                <w:sz w:val="20"/>
                <w:szCs w:val="20"/>
              </w:rPr>
              <w:t>eight</w:t>
            </w:r>
            <w:r w:rsidRPr="00E34A8F">
              <w:rPr>
                <w:sz w:val="20"/>
                <w:szCs w:val="20"/>
              </w:rPr>
              <w:t xml:space="preserve"> continuous hazardous substance releases in year one and to experience a change in </w:t>
            </w:r>
            <w:r w:rsidRPr="00E34A8F">
              <w:rPr>
                <w:b/>
                <w:bCs/>
                <w:sz w:val="20"/>
                <w:szCs w:val="20"/>
              </w:rPr>
              <w:t>one release in the second and third years</w:t>
            </w:r>
            <w:r w:rsidRPr="00E34A8F">
              <w:rPr>
                <w:sz w:val="20"/>
                <w:szCs w:val="20"/>
              </w:rPr>
              <w:t xml:space="preserve"> (e.g., the frequency of the release per week changes each year, causing a modification in the estimated annual release amount).  No other </w:t>
            </w:r>
            <w:r w:rsidRPr="00E34A8F">
              <w:rPr>
                <w:sz w:val="20"/>
                <w:szCs w:val="20"/>
                <w:u w:val="single"/>
              </w:rPr>
              <w:t>conditional</w:t>
            </w:r>
            <w:r w:rsidRPr="00E34A8F">
              <w:rPr>
                <w:sz w:val="20"/>
                <w:szCs w:val="20"/>
              </w:rPr>
              <w:t xml:space="preserve"> activities are assumed to be required of the typical respondent.</w:t>
            </w:r>
          </w:p>
        </w:tc>
      </w:tr>
    </w:tbl>
    <w:p w14:paraId="7F9A42F7" w14:textId="7A1A86AB" w:rsidR="00513A4B" w:rsidRDefault="00837C7B" w:rsidP="00837C7B">
      <w:pPr>
        <w:keepNext/>
        <w:keepLines/>
        <w:rPr>
          <w:bCs/>
          <w:sz w:val="20"/>
          <w:szCs w:val="20"/>
        </w:rPr>
      </w:pPr>
      <w:r>
        <w:rPr>
          <w:bCs/>
          <w:sz w:val="20"/>
          <w:szCs w:val="20"/>
        </w:rPr>
        <w:t xml:space="preserve">    </w:t>
      </w:r>
      <w:r w:rsidR="00513A4B">
        <w:rPr>
          <w:bCs/>
          <w:sz w:val="20"/>
          <w:szCs w:val="20"/>
        </w:rPr>
        <w:t>N/A = Not Applicable</w:t>
      </w:r>
    </w:p>
    <w:p w14:paraId="5C07F983" w14:textId="77777777" w:rsidR="00513A4B" w:rsidRPr="00513A4B" w:rsidRDefault="00513A4B" w:rsidP="00513A4B">
      <w:pPr>
        <w:keepNext/>
        <w:keepLines/>
        <w:rPr>
          <w:bCs/>
          <w:sz w:val="20"/>
          <w:szCs w:val="20"/>
        </w:rPr>
      </w:pPr>
    </w:p>
    <w:p w14:paraId="38FBF321" w14:textId="77777777" w:rsidR="00513A4B" w:rsidRPr="00E4140E" w:rsidRDefault="00513A4B" w:rsidP="00513A4B">
      <w:pPr>
        <w:ind w:firstLine="720"/>
        <w:rPr>
          <w:color w:val="92D050"/>
        </w:rPr>
      </w:pPr>
      <w:r w:rsidRPr="00E4140E">
        <w:rPr>
          <w:color w:val="92D050"/>
        </w:rPr>
        <w:t>Exhibit 4 (With Forms) presents the annual labor cost estimated to be incurred by a typical facility using the continuous release reporting forms (The reporting pattern assumed for a typical facility is discussed in Section 6(a) above.)</w:t>
      </w:r>
    </w:p>
    <w:p w14:paraId="34AAF8FA" w14:textId="77777777" w:rsidR="00B41B73" w:rsidRPr="00E4140E" w:rsidRDefault="00B41B73" w:rsidP="00513A4B">
      <w:pPr>
        <w:ind w:firstLine="720"/>
        <w:rPr>
          <w:color w:val="92D050"/>
        </w:rPr>
      </w:pPr>
    </w:p>
    <w:p w14:paraId="1E1E6D4F" w14:textId="6103A79F" w:rsidR="00B41B73" w:rsidRDefault="00B41B73" w:rsidP="00B41B73">
      <w:pPr>
        <w:keepNext/>
        <w:jc w:val="center"/>
        <w:outlineLvl w:val="4"/>
        <w:rPr>
          <w:b/>
          <w:color w:val="92D050"/>
        </w:rPr>
      </w:pPr>
      <w:bookmarkStart w:id="59" w:name="_Toc295823963"/>
      <w:r w:rsidRPr="00E4140E">
        <w:rPr>
          <w:b/>
          <w:color w:val="92D050"/>
        </w:rPr>
        <w:t>Exhibit 4 (With Forms) – Annual Labor Costs for a Typical Facility</w:t>
      </w:r>
      <w:bookmarkEnd w:id="59"/>
    </w:p>
    <w:p w14:paraId="644277B2" w14:textId="41D05D14" w:rsidR="000130C6" w:rsidRDefault="00D22983" w:rsidP="00B41B73">
      <w:pPr>
        <w:keepNext/>
        <w:jc w:val="center"/>
        <w:outlineLvl w:val="4"/>
        <w:rPr>
          <w:b/>
          <w:color w:val="92D050"/>
        </w:rPr>
      </w:pPr>
      <w:r w:rsidRPr="00D22983">
        <w:rPr>
          <w:noProof/>
        </w:rPr>
        <w:drawing>
          <wp:inline distT="0" distB="0" distL="0" distR="0" wp14:anchorId="4E9D31B8" wp14:editId="06889BDF">
            <wp:extent cx="6010275" cy="35242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10275" cy="3524250"/>
                    </a:xfrm>
                    <a:prstGeom prst="rect">
                      <a:avLst/>
                    </a:prstGeom>
                    <a:noFill/>
                    <a:ln>
                      <a:noFill/>
                    </a:ln>
                  </pic:spPr>
                </pic:pic>
              </a:graphicData>
            </a:graphic>
          </wp:inline>
        </w:drawing>
      </w:r>
    </w:p>
    <w:p w14:paraId="57B9D261" w14:textId="22D888F1" w:rsidR="002D1B45" w:rsidRPr="00E4140E" w:rsidRDefault="002D1B45" w:rsidP="00B41B73">
      <w:pPr>
        <w:keepNext/>
        <w:jc w:val="center"/>
        <w:outlineLvl w:val="4"/>
        <w:rPr>
          <w:b/>
          <w:color w:val="92D050"/>
        </w:rPr>
      </w:pPr>
    </w:p>
    <w:tbl>
      <w:tblPr>
        <w:tblW w:w="9460" w:type="dxa"/>
        <w:tblInd w:w="108" w:type="dxa"/>
        <w:tblLook w:val="04A0" w:firstRow="1" w:lastRow="0" w:firstColumn="1" w:lastColumn="0" w:noHBand="0" w:noVBand="1"/>
      </w:tblPr>
      <w:tblGrid>
        <w:gridCol w:w="9460"/>
      </w:tblGrid>
      <w:tr w:rsidR="00E34A8F" w:rsidRPr="00E34A8F" w14:paraId="492D3C07" w14:textId="77777777" w:rsidTr="003C7877">
        <w:trPr>
          <w:trHeight w:val="1020"/>
        </w:trPr>
        <w:tc>
          <w:tcPr>
            <w:tcW w:w="9460" w:type="dxa"/>
            <w:tcBorders>
              <w:top w:val="double" w:sz="6" w:space="0" w:color="000000"/>
              <w:left w:val="nil"/>
              <w:bottom w:val="nil"/>
              <w:right w:val="nil"/>
            </w:tcBorders>
            <w:shd w:val="clear" w:color="auto" w:fill="auto"/>
            <w:vAlign w:val="center"/>
            <w:hideMark/>
          </w:tcPr>
          <w:p w14:paraId="61DF28CD" w14:textId="77777777" w:rsidR="00E34A8F" w:rsidRPr="00E34A8F" w:rsidRDefault="00E34A8F" w:rsidP="00E34A8F">
            <w:pPr>
              <w:widowControl/>
              <w:adjustRightInd/>
              <w:rPr>
                <w:sz w:val="20"/>
                <w:szCs w:val="20"/>
              </w:rPr>
            </w:pPr>
            <w:r w:rsidRPr="00E34A8F">
              <w:rPr>
                <w:sz w:val="20"/>
                <w:szCs w:val="20"/>
              </w:rPr>
              <w:t xml:space="preserve"> A “typical” respondent is assumed to report </w:t>
            </w:r>
            <w:r w:rsidRPr="00E34A8F">
              <w:rPr>
                <w:b/>
                <w:bCs/>
                <w:sz w:val="20"/>
                <w:szCs w:val="20"/>
              </w:rPr>
              <w:t>eight</w:t>
            </w:r>
            <w:r w:rsidRPr="00E34A8F">
              <w:rPr>
                <w:sz w:val="20"/>
                <w:szCs w:val="20"/>
              </w:rPr>
              <w:t xml:space="preserve"> continuous hazardous substance releases in year one and to experience a change in </w:t>
            </w:r>
            <w:r w:rsidRPr="00E34A8F">
              <w:rPr>
                <w:b/>
                <w:bCs/>
                <w:sz w:val="20"/>
                <w:szCs w:val="20"/>
              </w:rPr>
              <w:t>one release in the second and third years</w:t>
            </w:r>
            <w:r w:rsidRPr="00E34A8F">
              <w:rPr>
                <w:sz w:val="20"/>
                <w:szCs w:val="20"/>
              </w:rPr>
              <w:t xml:space="preserve"> (e.g., the frequency of the release per week changes each year, causing a modification in the estimated annual release amount).  No other </w:t>
            </w:r>
            <w:r w:rsidRPr="00E34A8F">
              <w:rPr>
                <w:sz w:val="20"/>
                <w:szCs w:val="20"/>
                <w:u w:val="single"/>
              </w:rPr>
              <w:t>conditional</w:t>
            </w:r>
            <w:r w:rsidRPr="00E34A8F">
              <w:rPr>
                <w:sz w:val="20"/>
                <w:szCs w:val="20"/>
              </w:rPr>
              <w:t xml:space="preserve"> activities are assumed to be required of the typical respondent.</w:t>
            </w:r>
          </w:p>
        </w:tc>
      </w:tr>
    </w:tbl>
    <w:p w14:paraId="6764C689" w14:textId="3C4F384A" w:rsidR="00513A4B" w:rsidRPr="00513A4B" w:rsidRDefault="00837C7B" w:rsidP="00837C7B">
      <w:pPr>
        <w:keepNext/>
        <w:keepLines/>
        <w:rPr>
          <w:bCs/>
          <w:sz w:val="20"/>
          <w:szCs w:val="20"/>
        </w:rPr>
      </w:pPr>
      <w:r>
        <w:rPr>
          <w:bCs/>
          <w:sz w:val="20"/>
          <w:szCs w:val="20"/>
        </w:rPr>
        <w:t xml:space="preserve">    </w:t>
      </w:r>
      <w:r w:rsidR="00513A4B">
        <w:rPr>
          <w:bCs/>
          <w:sz w:val="20"/>
          <w:szCs w:val="20"/>
        </w:rPr>
        <w:t>N/A = Not Applicable</w:t>
      </w:r>
    </w:p>
    <w:p w14:paraId="2021687D" w14:textId="77777777" w:rsidR="008B3606" w:rsidRDefault="00255258" w:rsidP="00255258">
      <w:pPr>
        <w:pStyle w:val="Heading3"/>
        <w:tabs>
          <w:tab w:val="clear" w:pos="1800"/>
          <w:tab w:val="num" w:pos="1080"/>
        </w:tabs>
      </w:pPr>
      <w:bookmarkStart w:id="60" w:name="_Toc295823964"/>
      <w:r>
        <w:t>Estimating Capital and Operations and Maintenance Costs</w:t>
      </w:r>
      <w:bookmarkEnd w:id="60"/>
    </w:p>
    <w:p w14:paraId="3CB23A68" w14:textId="77777777" w:rsidR="00255258" w:rsidRDefault="00255258" w:rsidP="00255258"/>
    <w:p w14:paraId="1C778E10" w14:textId="77777777" w:rsidR="00351226" w:rsidRPr="001F3A52" w:rsidRDefault="00351226" w:rsidP="00351226">
      <w:pPr>
        <w:ind w:firstLine="720"/>
      </w:pPr>
      <w:r w:rsidRPr="001F3A52">
        <w:t>Capital costs usually include any produced physical good needed to provide the needed information, such as machinery, computers, and other equipment.  EPA does not anticipate that respondents will incur capital costs in carrying out the information collection requirements of the CRRR.</w:t>
      </w:r>
    </w:p>
    <w:p w14:paraId="3191ACF7" w14:textId="77777777" w:rsidR="00351226" w:rsidRPr="001F3A52" w:rsidRDefault="00351226" w:rsidP="00351226"/>
    <w:p w14:paraId="2F4FFD5E" w14:textId="15A84773" w:rsidR="004E674D" w:rsidRDefault="00351226" w:rsidP="000C7360">
      <w:pPr>
        <w:rPr>
          <w:color w:val="000000" w:themeColor="text1"/>
        </w:rPr>
      </w:pPr>
      <w:r w:rsidRPr="001F3A52">
        <w:t>Operating and Maintenance (O&amp;M) costs are those costs associated with a paperwork requirement incurred continually over the life of the ICR.  They</w:t>
      </w:r>
      <w:r w:rsidRPr="001F3A52">
        <w:rPr>
          <w:b/>
          <w:bCs/>
        </w:rPr>
        <w:t xml:space="preserve"> </w:t>
      </w:r>
      <w:r w:rsidRPr="001F3A52">
        <w:t xml:space="preserve">are defined by the PRA as </w:t>
      </w:r>
      <w:r>
        <w:t>“</w:t>
      </w:r>
      <w:r w:rsidRPr="001F3A52">
        <w:t>the recurring dollar amount of cost associated with O&amp;M or purchasing services.</w:t>
      </w:r>
      <w:r>
        <w:t>”</w:t>
      </w:r>
      <w:r w:rsidRPr="001F3A52">
        <w:t xml:space="preserve">  The O&amp;M costs that are incurred by industries are shown in Exhibit 5.  For this ICR, O&amp;M costs cover photocopying of report templates to be filled out for each release source (</w:t>
      </w:r>
      <w:r w:rsidR="002D1B45">
        <w:t>30</w:t>
      </w:r>
      <w:r w:rsidRPr="001F3A52">
        <w:t xml:space="preserve"> cents per page) and postage and an envelope for reports sent to </w:t>
      </w:r>
      <w:r w:rsidR="00146086">
        <w:t>EPA Region,</w:t>
      </w:r>
      <w:r w:rsidR="000130C6">
        <w:t xml:space="preserve"> the SERC and</w:t>
      </w:r>
      <w:r w:rsidR="002D5E4D">
        <w:t xml:space="preserve"> the</w:t>
      </w:r>
      <w:r w:rsidR="000130C6">
        <w:t xml:space="preserve"> LEPC</w:t>
      </w:r>
      <w:r w:rsidRPr="001F3A52">
        <w:t xml:space="preserve">.  There are no O&amp;M costs associated with providing the initial telephone notification to the </w:t>
      </w:r>
      <w:r w:rsidR="00146086">
        <w:t>NRC,</w:t>
      </w:r>
      <w:r w:rsidR="000130C6">
        <w:t xml:space="preserve"> the SERC</w:t>
      </w:r>
      <w:r w:rsidR="00832E31">
        <w:t>,</w:t>
      </w:r>
      <w:r w:rsidR="000130C6">
        <w:t xml:space="preserve"> </w:t>
      </w:r>
      <w:r w:rsidR="00146086">
        <w:t>or</w:t>
      </w:r>
      <w:r w:rsidR="002D5E4D">
        <w:t xml:space="preserve"> the</w:t>
      </w:r>
      <w:r w:rsidR="000130C6">
        <w:t xml:space="preserve"> LEPC</w:t>
      </w:r>
      <w:r w:rsidRPr="001F3A52">
        <w:t xml:space="preserve"> or reporting an SSI under the CRRR.  Each written report, the initial written report, the follow-up written report, changes in sources, composition, or frequency of release report, and other changes in information report, are assumed to require five </w:t>
      </w:r>
      <w:r w:rsidR="005D16AB">
        <w:t xml:space="preserve">(5) </w:t>
      </w:r>
      <w:r w:rsidRPr="001F3A52">
        <w:t>pages.  Requests for additional information by the Agency will vary considerably in scope and length, depending on the nature of the request, however, it is estimated that it will take industry approximately 10 pages to complete the Agency</w:t>
      </w:r>
      <w:r>
        <w:t>’</w:t>
      </w:r>
      <w:r w:rsidRPr="001F3A52">
        <w:t xml:space="preserve">s request.  </w:t>
      </w:r>
      <w:r w:rsidRPr="00970C49">
        <w:t xml:space="preserve">The postage and mailing costs are assumed to be equal for all documents, and are </w:t>
      </w:r>
      <w:r w:rsidRPr="00653D7F">
        <w:rPr>
          <w:color w:val="000000" w:themeColor="text1"/>
        </w:rPr>
        <w:t xml:space="preserve">calculated as </w:t>
      </w:r>
      <w:r w:rsidR="00A427FE" w:rsidRPr="00653D7F">
        <w:rPr>
          <w:color w:val="000000" w:themeColor="text1"/>
        </w:rPr>
        <w:t>$</w:t>
      </w:r>
      <w:r w:rsidR="002D1B45">
        <w:rPr>
          <w:color w:val="000000" w:themeColor="text1"/>
        </w:rPr>
        <w:t>7.12</w:t>
      </w:r>
      <w:r w:rsidRPr="00653D7F">
        <w:rPr>
          <w:color w:val="000000" w:themeColor="text1"/>
        </w:rPr>
        <w:t xml:space="preserve"> postage and </w:t>
      </w:r>
      <w:r w:rsidR="00C32FD1" w:rsidRPr="00653D7F">
        <w:rPr>
          <w:color w:val="000000" w:themeColor="text1"/>
        </w:rPr>
        <w:t>$0.3</w:t>
      </w:r>
      <w:r w:rsidR="002D1B45">
        <w:rPr>
          <w:color w:val="000000" w:themeColor="text1"/>
        </w:rPr>
        <w:t>5</w:t>
      </w:r>
      <w:r w:rsidRPr="00653D7F">
        <w:rPr>
          <w:color w:val="000000" w:themeColor="text1"/>
        </w:rPr>
        <w:t xml:space="preserve"> per envelope, totaling </w:t>
      </w:r>
      <w:r w:rsidR="00A427FE" w:rsidRPr="00653D7F">
        <w:rPr>
          <w:color w:val="000000" w:themeColor="text1"/>
        </w:rPr>
        <w:t>$7.</w:t>
      </w:r>
      <w:r w:rsidR="002D1B45">
        <w:rPr>
          <w:color w:val="000000" w:themeColor="text1"/>
        </w:rPr>
        <w:t>47</w:t>
      </w:r>
      <w:r w:rsidRPr="00653D7F">
        <w:rPr>
          <w:color w:val="000000" w:themeColor="text1"/>
        </w:rPr>
        <w:t xml:space="preserve"> per report.</w:t>
      </w:r>
      <w:r w:rsidR="00970C49" w:rsidRPr="00653D7F">
        <w:rPr>
          <w:rStyle w:val="FootnoteReference"/>
          <w:color w:val="000000" w:themeColor="text1"/>
          <w:sz w:val="20"/>
          <w:vertAlign w:val="superscript"/>
        </w:rPr>
        <w:footnoteReference w:id="5"/>
      </w:r>
      <w:r w:rsidRPr="00653D7F">
        <w:rPr>
          <w:color w:val="000000" w:themeColor="text1"/>
        </w:rPr>
        <w:t xml:space="preserve"> </w:t>
      </w:r>
    </w:p>
    <w:p w14:paraId="73C9B8C0" w14:textId="77777777" w:rsidR="0091648B" w:rsidRDefault="0091648B" w:rsidP="000C7360"/>
    <w:p w14:paraId="2AB7C1C3" w14:textId="6C3F39B1" w:rsidR="00B41B73" w:rsidRDefault="00B41B73" w:rsidP="00B41B73">
      <w:pPr>
        <w:keepNext/>
        <w:jc w:val="center"/>
        <w:outlineLvl w:val="4"/>
        <w:rPr>
          <w:b/>
        </w:rPr>
      </w:pPr>
      <w:bookmarkStart w:id="61" w:name="_Toc295823965"/>
      <w:r>
        <w:rPr>
          <w:b/>
        </w:rPr>
        <w:t>Exhibit 5 – Unit Operating and Maintenance Costs per Respondent Information Collection Activity</w:t>
      </w:r>
      <w:bookmarkEnd w:id="61"/>
    </w:p>
    <w:p w14:paraId="50951B49" w14:textId="5D03EA03" w:rsidR="00952A04" w:rsidRDefault="00952A04" w:rsidP="00B41B73">
      <w:pPr>
        <w:keepNext/>
        <w:jc w:val="center"/>
        <w:outlineLvl w:val="4"/>
        <w:rPr>
          <w:b/>
        </w:rPr>
      </w:pPr>
      <w:r w:rsidRPr="00952A04">
        <w:rPr>
          <w:noProof/>
        </w:rPr>
        <w:drawing>
          <wp:inline distT="0" distB="0" distL="0" distR="0" wp14:anchorId="6DAC62F3" wp14:editId="53CF913E">
            <wp:extent cx="5505450" cy="401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05450" cy="4019550"/>
                    </a:xfrm>
                    <a:prstGeom prst="rect">
                      <a:avLst/>
                    </a:prstGeom>
                    <a:noFill/>
                    <a:ln>
                      <a:noFill/>
                    </a:ln>
                  </pic:spPr>
                </pic:pic>
              </a:graphicData>
            </a:graphic>
          </wp:inline>
        </w:drawing>
      </w:r>
    </w:p>
    <w:p w14:paraId="615993CC" w14:textId="73F0CAAD" w:rsidR="000D62CB" w:rsidRDefault="000D62CB" w:rsidP="00B41B73">
      <w:pPr>
        <w:keepNext/>
        <w:jc w:val="center"/>
        <w:outlineLvl w:val="4"/>
        <w:rPr>
          <w:b/>
        </w:rPr>
      </w:pPr>
    </w:p>
    <w:p w14:paraId="2EF81F5B" w14:textId="4075511F" w:rsidR="005E262D" w:rsidRDefault="005E262D" w:rsidP="00B41B73">
      <w:pPr>
        <w:keepNext/>
        <w:jc w:val="center"/>
        <w:outlineLvl w:val="4"/>
        <w:rPr>
          <w:b/>
        </w:rPr>
      </w:pPr>
    </w:p>
    <w:p w14:paraId="66911BAC" w14:textId="11239C8F" w:rsidR="00513A4B" w:rsidRPr="00F514E3" w:rsidRDefault="00513A4B" w:rsidP="003C7877">
      <w:pPr>
        <w:keepNext/>
        <w:outlineLvl w:val="4"/>
        <w:rPr>
          <w:b/>
        </w:rPr>
      </w:pPr>
    </w:p>
    <w:p w14:paraId="67DF7A69" w14:textId="77777777" w:rsidR="00805571" w:rsidRDefault="00805571" w:rsidP="00351226">
      <w:pPr>
        <w:ind w:firstLine="720"/>
        <w:rPr>
          <w:color w:val="33CC33"/>
        </w:rPr>
      </w:pPr>
    </w:p>
    <w:p w14:paraId="036801B0" w14:textId="77777777" w:rsidR="005D16AB" w:rsidRPr="00E4140E" w:rsidRDefault="001D26B6" w:rsidP="00351226">
      <w:pPr>
        <w:ind w:firstLine="720"/>
        <w:rPr>
          <w:color w:val="92D050"/>
        </w:rPr>
      </w:pPr>
      <w:r w:rsidRPr="00E4140E">
        <w:rPr>
          <w:color w:val="92D050"/>
        </w:rPr>
        <w:t xml:space="preserve">Exhibit 5 (With Forms) shows the O&amp;M costs that are incurred by industries that are using the continuous release reporting forms. </w:t>
      </w:r>
      <w:r w:rsidR="005D16AB" w:rsidRPr="00E4140E">
        <w:rPr>
          <w:color w:val="92D050"/>
        </w:rPr>
        <w:t>We are not making changes to the assumption that each written report, the initial written report, and other changes in information report will require five pages; however, this assumption will be reviewed during the next renewal.</w:t>
      </w:r>
      <w:r w:rsidRPr="00E4140E">
        <w:rPr>
          <w:color w:val="92D050"/>
        </w:rPr>
        <w:t xml:space="preserve">  </w:t>
      </w:r>
      <w:r w:rsidR="008813A3" w:rsidRPr="00E4140E">
        <w:rPr>
          <w:color w:val="92D050"/>
        </w:rPr>
        <w:t>There is no difference realized in O&amp;M unit costs when the continuous release reporting forms are used.</w:t>
      </w:r>
    </w:p>
    <w:p w14:paraId="1A754EBA" w14:textId="77777777" w:rsidR="00F514E3" w:rsidRDefault="00F514E3" w:rsidP="00B7435D">
      <w:pPr>
        <w:rPr>
          <w:color w:val="33CC33"/>
        </w:rPr>
      </w:pPr>
    </w:p>
    <w:p w14:paraId="654734CB" w14:textId="77777777" w:rsidR="00AE7E1F" w:rsidRDefault="00AE7E1F" w:rsidP="00AE7E1F">
      <w:pPr>
        <w:keepNext/>
        <w:outlineLvl w:val="4"/>
        <w:rPr>
          <w:b/>
          <w:color w:val="92D050"/>
        </w:rPr>
      </w:pPr>
      <w:bookmarkStart w:id="62" w:name="_Toc295823966"/>
    </w:p>
    <w:p w14:paraId="2159F9FB" w14:textId="6975EC84" w:rsidR="001D26B6" w:rsidRDefault="00B41B73" w:rsidP="00B41B73">
      <w:pPr>
        <w:keepNext/>
        <w:jc w:val="center"/>
        <w:outlineLvl w:val="4"/>
        <w:rPr>
          <w:b/>
          <w:color w:val="92D050"/>
        </w:rPr>
      </w:pPr>
      <w:r w:rsidRPr="00E4140E">
        <w:rPr>
          <w:b/>
          <w:color w:val="92D050"/>
        </w:rPr>
        <w:t>Exhibit 5 (With Forms) – Unit Operating and Maintenance Costs per Respondent Information Collection Activity</w:t>
      </w:r>
      <w:bookmarkEnd w:id="62"/>
    </w:p>
    <w:p w14:paraId="6BFF85CD" w14:textId="53B215D8" w:rsidR="00952A04" w:rsidRDefault="00952A04" w:rsidP="00B41B73">
      <w:pPr>
        <w:keepNext/>
        <w:jc w:val="center"/>
        <w:outlineLvl w:val="4"/>
        <w:rPr>
          <w:b/>
          <w:color w:val="92D050"/>
        </w:rPr>
      </w:pPr>
      <w:r w:rsidRPr="00952A04">
        <w:rPr>
          <w:noProof/>
        </w:rPr>
        <w:drawing>
          <wp:inline distT="0" distB="0" distL="0" distR="0" wp14:anchorId="4730B4EA" wp14:editId="3946297B">
            <wp:extent cx="5505450" cy="401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05450" cy="4019550"/>
                    </a:xfrm>
                    <a:prstGeom prst="rect">
                      <a:avLst/>
                    </a:prstGeom>
                    <a:noFill/>
                    <a:ln>
                      <a:noFill/>
                    </a:ln>
                  </pic:spPr>
                </pic:pic>
              </a:graphicData>
            </a:graphic>
          </wp:inline>
        </w:drawing>
      </w:r>
    </w:p>
    <w:p w14:paraId="61823B00" w14:textId="72914C7E" w:rsidR="00B7435D" w:rsidRDefault="00B7435D" w:rsidP="00B41B73">
      <w:pPr>
        <w:keepNext/>
        <w:jc w:val="center"/>
        <w:outlineLvl w:val="4"/>
        <w:rPr>
          <w:b/>
          <w:color w:val="92D050"/>
        </w:rPr>
      </w:pPr>
    </w:p>
    <w:p w14:paraId="4429EBC5" w14:textId="756D7584" w:rsidR="005E262D" w:rsidRPr="00E4140E" w:rsidRDefault="005E262D" w:rsidP="00B41B73">
      <w:pPr>
        <w:keepNext/>
        <w:jc w:val="center"/>
        <w:outlineLvl w:val="4"/>
        <w:rPr>
          <w:b/>
          <w:color w:val="92D050"/>
        </w:rPr>
      </w:pPr>
    </w:p>
    <w:p w14:paraId="13D7E5CE" w14:textId="3AC549FD" w:rsidR="001D26B6" w:rsidRDefault="001D26B6" w:rsidP="00B41B73">
      <w:pPr>
        <w:keepNext/>
        <w:jc w:val="center"/>
      </w:pPr>
    </w:p>
    <w:p w14:paraId="5C97DE96" w14:textId="77777777" w:rsidR="00BF767F" w:rsidRDefault="00BF767F" w:rsidP="00351226">
      <w:pPr>
        <w:ind w:firstLine="720"/>
      </w:pPr>
    </w:p>
    <w:p w14:paraId="679C7A69" w14:textId="77777777" w:rsidR="00E1063D" w:rsidRDefault="00E1063D" w:rsidP="00351226">
      <w:pPr>
        <w:ind w:firstLine="720"/>
      </w:pPr>
    </w:p>
    <w:p w14:paraId="31046D3E" w14:textId="77777777" w:rsidR="00E1063D" w:rsidRDefault="00E1063D" w:rsidP="00351226">
      <w:pPr>
        <w:ind w:firstLine="720"/>
      </w:pPr>
    </w:p>
    <w:p w14:paraId="298198EE" w14:textId="77777777" w:rsidR="00E1063D" w:rsidRDefault="00E1063D" w:rsidP="00351226">
      <w:pPr>
        <w:ind w:firstLine="720"/>
      </w:pPr>
    </w:p>
    <w:p w14:paraId="0B97985D" w14:textId="77777777" w:rsidR="00E1063D" w:rsidRDefault="00E1063D" w:rsidP="00351226">
      <w:pPr>
        <w:ind w:firstLine="720"/>
      </w:pPr>
    </w:p>
    <w:p w14:paraId="49AC4CD3" w14:textId="77777777" w:rsidR="00E1063D" w:rsidRDefault="00E1063D" w:rsidP="00351226">
      <w:pPr>
        <w:ind w:firstLine="720"/>
      </w:pPr>
    </w:p>
    <w:p w14:paraId="0362F4A6" w14:textId="77777777" w:rsidR="00E1063D" w:rsidRDefault="00E1063D" w:rsidP="00351226">
      <w:pPr>
        <w:ind w:firstLine="720"/>
      </w:pPr>
    </w:p>
    <w:p w14:paraId="120DEF26" w14:textId="77777777" w:rsidR="00E1063D" w:rsidRDefault="00E1063D" w:rsidP="00351226">
      <w:pPr>
        <w:ind w:firstLine="720"/>
      </w:pPr>
    </w:p>
    <w:p w14:paraId="6C2FB900" w14:textId="77777777" w:rsidR="00E1063D" w:rsidRDefault="00E1063D" w:rsidP="00351226">
      <w:pPr>
        <w:ind w:firstLine="720"/>
      </w:pPr>
    </w:p>
    <w:p w14:paraId="0E8DF06D" w14:textId="77777777" w:rsidR="00E1063D" w:rsidRDefault="00E1063D" w:rsidP="00351226">
      <w:pPr>
        <w:ind w:firstLine="720"/>
      </w:pPr>
    </w:p>
    <w:p w14:paraId="2EF09D79" w14:textId="77777777" w:rsidR="00E1063D" w:rsidRDefault="00E1063D" w:rsidP="00351226">
      <w:pPr>
        <w:ind w:firstLine="720"/>
      </w:pPr>
    </w:p>
    <w:p w14:paraId="21EDD0BF" w14:textId="77777777" w:rsidR="00E1063D" w:rsidRDefault="00E1063D" w:rsidP="00351226">
      <w:pPr>
        <w:ind w:firstLine="720"/>
      </w:pPr>
    </w:p>
    <w:p w14:paraId="4942F6A9" w14:textId="7ED73A8B" w:rsidR="00351226" w:rsidRDefault="00351226" w:rsidP="00351226">
      <w:pPr>
        <w:ind w:firstLine="720"/>
      </w:pPr>
      <w:r w:rsidRPr="001F3A52">
        <w:t>In Exhibit 6, O&amp;M costs for a typical facility are presented.</w:t>
      </w:r>
    </w:p>
    <w:p w14:paraId="28FD86E4" w14:textId="77777777" w:rsidR="001D26B6" w:rsidRDefault="001D26B6" w:rsidP="00351226">
      <w:pPr>
        <w:ind w:firstLine="720"/>
      </w:pPr>
    </w:p>
    <w:p w14:paraId="212C95F9" w14:textId="3B868813" w:rsidR="00B41B73" w:rsidRDefault="00B41B73" w:rsidP="00B41B73">
      <w:pPr>
        <w:keepNext/>
        <w:jc w:val="center"/>
        <w:outlineLvl w:val="4"/>
        <w:rPr>
          <w:b/>
        </w:rPr>
      </w:pPr>
      <w:bookmarkStart w:id="63" w:name="_Toc295823967"/>
      <w:r>
        <w:rPr>
          <w:b/>
        </w:rPr>
        <w:t>Exhibit 6 – Operating and Maintenance Costs for a Typical Facility</w:t>
      </w:r>
      <w:bookmarkEnd w:id="63"/>
    </w:p>
    <w:p w14:paraId="331F0FCE" w14:textId="63710444" w:rsidR="004B76F6" w:rsidRDefault="004362FD" w:rsidP="00B41B73">
      <w:pPr>
        <w:keepNext/>
        <w:jc w:val="center"/>
        <w:outlineLvl w:val="4"/>
        <w:rPr>
          <w:b/>
        </w:rPr>
      </w:pPr>
      <w:r w:rsidRPr="004362FD">
        <w:rPr>
          <w:noProof/>
        </w:rPr>
        <w:drawing>
          <wp:inline distT="0" distB="0" distL="0" distR="0" wp14:anchorId="714A3A2A" wp14:editId="747263F1">
            <wp:extent cx="6029325" cy="312420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29325" cy="3124200"/>
                    </a:xfrm>
                    <a:prstGeom prst="rect">
                      <a:avLst/>
                    </a:prstGeom>
                    <a:noFill/>
                    <a:ln>
                      <a:noFill/>
                    </a:ln>
                  </pic:spPr>
                </pic:pic>
              </a:graphicData>
            </a:graphic>
          </wp:inline>
        </w:drawing>
      </w:r>
    </w:p>
    <w:p w14:paraId="6C03DE17" w14:textId="090B41F6" w:rsidR="006079B9" w:rsidRPr="00B41B73" w:rsidRDefault="006079B9" w:rsidP="003C7877">
      <w:pPr>
        <w:keepNext/>
        <w:outlineLvl w:val="4"/>
        <w:rPr>
          <w:b/>
        </w:rPr>
      </w:pPr>
    </w:p>
    <w:tbl>
      <w:tblPr>
        <w:tblW w:w="9480" w:type="dxa"/>
        <w:tblInd w:w="108" w:type="dxa"/>
        <w:tblLook w:val="04A0" w:firstRow="1" w:lastRow="0" w:firstColumn="1" w:lastColumn="0" w:noHBand="0" w:noVBand="1"/>
      </w:tblPr>
      <w:tblGrid>
        <w:gridCol w:w="9480"/>
      </w:tblGrid>
      <w:tr w:rsidR="005371BE" w:rsidRPr="005371BE" w14:paraId="0D7DE8F6" w14:textId="77777777" w:rsidTr="003C7877">
        <w:trPr>
          <w:trHeight w:val="1005"/>
        </w:trPr>
        <w:tc>
          <w:tcPr>
            <w:tcW w:w="9480" w:type="dxa"/>
            <w:tcBorders>
              <w:top w:val="nil"/>
              <w:left w:val="nil"/>
              <w:bottom w:val="nil"/>
              <w:right w:val="nil"/>
            </w:tcBorders>
            <w:shd w:val="clear" w:color="auto" w:fill="auto"/>
            <w:vAlign w:val="bottom"/>
            <w:hideMark/>
          </w:tcPr>
          <w:p w14:paraId="1270D3E6" w14:textId="77777777" w:rsidR="005371BE" w:rsidRPr="005371BE" w:rsidRDefault="005371BE" w:rsidP="005371BE">
            <w:pPr>
              <w:widowControl/>
              <w:adjustRightInd/>
              <w:rPr>
                <w:sz w:val="20"/>
                <w:szCs w:val="20"/>
              </w:rPr>
            </w:pPr>
            <w:r w:rsidRPr="005371BE">
              <w:rPr>
                <w:sz w:val="20"/>
                <w:szCs w:val="20"/>
              </w:rPr>
              <w:t xml:space="preserve"> A “typical” respondent is assumed to report </w:t>
            </w:r>
            <w:r w:rsidRPr="005371BE">
              <w:rPr>
                <w:b/>
                <w:bCs/>
                <w:sz w:val="20"/>
                <w:szCs w:val="20"/>
              </w:rPr>
              <w:t>eight</w:t>
            </w:r>
            <w:r w:rsidRPr="005371BE">
              <w:rPr>
                <w:sz w:val="20"/>
                <w:szCs w:val="20"/>
              </w:rPr>
              <w:t xml:space="preserve"> continuous hazardous substance releases in year one and to experience a change in </w:t>
            </w:r>
            <w:r w:rsidRPr="005371BE">
              <w:rPr>
                <w:b/>
                <w:bCs/>
                <w:sz w:val="20"/>
                <w:szCs w:val="20"/>
              </w:rPr>
              <w:t>one release in the second and third years</w:t>
            </w:r>
            <w:r w:rsidRPr="005371BE">
              <w:rPr>
                <w:sz w:val="20"/>
                <w:szCs w:val="20"/>
              </w:rPr>
              <w:t xml:space="preserve"> (e.g., the frequency of the release per week changes each year, causing a modification in the estimated annual release amount).  No other </w:t>
            </w:r>
            <w:r w:rsidRPr="005371BE">
              <w:rPr>
                <w:sz w:val="20"/>
                <w:szCs w:val="20"/>
                <w:u w:val="single"/>
              </w:rPr>
              <w:t>conditional</w:t>
            </w:r>
            <w:r w:rsidRPr="005371BE">
              <w:rPr>
                <w:sz w:val="20"/>
                <w:szCs w:val="20"/>
              </w:rPr>
              <w:t xml:space="preserve"> activities are assumed to be required of the typical respondent.</w:t>
            </w:r>
          </w:p>
        </w:tc>
      </w:tr>
    </w:tbl>
    <w:p w14:paraId="325EE701" w14:textId="462F37F0" w:rsidR="00351226" w:rsidRPr="001F3A52" w:rsidRDefault="00837C7B" w:rsidP="001D26B6">
      <w:pPr>
        <w:keepLines/>
      </w:pPr>
      <w:r>
        <w:rPr>
          <w:sz w:val="18"/>
          <w:szCs w:val="18"/>
        </w:rPr>
        <w:t xml:space="preserve">    </w:t>
      </w:r>
      <w:r w:rsidR="00351226" w:rsidRPr="001F3A52">
        <w:rPr>
          <w:sz w:val="18"/>
          <w:szCs w:val="18"/>
        </w:rPr>
        <w:t>NA = Not Applicable</w:t>
      </w:r>
    </w:p>
    <w:p w14:paraId="7DD0EFB2" w14:textId="77777777" w:rsidR="00351226" w:rsidRDefault="00351226" w:rsidP="00351226"/>
    <w:p w14:paraId="538873CD" w14:textId="77777777" w:rsidR="001D26B6" w:rsidRPr="00E4140E" w:rsidRDefault="001D26B6" w:rsidP="001D26B6">
      <w:pPr>
        <w:ind w:firstLine="720"/>
        <w:rPr>
          <w:color w:val="92D050"/>
        </w:rPr>
      </w:pPr>
      <w:r w:rsidRPr="00E4140E">
        <w:rPr>
          <w:color w:val="92D050"/>
        </w:rPr>
        <w:t>In Exhibit 6 (With Forms), O&amp;M costs for a typical facility that will use continuous release reporting forms are presented.</w:t>
      </w:r>
      <w:r w:rsidR="008813A3" w:rsidRPr="00E4140E">
        <w:rPr>
          <w:color w:val="92D050"/>
        </w:rPr>
        <w:t xml:space="preserve">  There is no difference in O&amp;M unit costs for a typical facility.</w:t>
      </w:r>
    </w:p>
    <w:p w14:paraId="34CF6E4B" w14:textId="66BA7B07" w:rsidR="00B41B73" w:rsidRDefault="00B41B73" w:rsidP="001D26B6">
      <w:pPr>
        <w:ind w:firstLine="720"/>
        <w:rPr>
          <w:color w:val="92D050"/>
        </w:rPr>
      </w:pPr>
    </w:p>
    <w:p w14:paraId="1B0EBBE6" w14:textId="482C486E" w:rsidR="00591434" w:rsidRDefault="00591434" w:rsidP="001D26B6">
      <w:pPr>
        <w:ind w:firstLine="720"/>
        <w:rPr>
          <w:color w:val="92D050"/>
        </w:rPr>
      </w:pPr>
    </w:p>
    <w:p w14:paraId="65E37BC6" w14:textId="11785A37" w:rsidR="00591434" w:rsidRDefault="00591434" w:rsidP="001D26B6">
      <w:pPr>
        <w:ind w:firstLine="720"/>
        <w:rPr>
          <w:color w:val="92D050"/>
        </w:rPr>
      </w:pPr>
    </w:p>
    <w:p w14:paraId="5129B67D" w14:textId="3B890724" w:rsidR="00591434" w:rsidRDefault="00591434" w:rsidP="001D26B6">
      <w:pPr>
        <w:ind w:firstLine="720"/>
        <w:rPr>
          <w:color w:val="92D050"/>
        </w:rPr>
      </w:pPr>
    </w:p>
    <w:p w14:paraId="12E3B0D2" w14:textId="687EF3E4" w:rsidR="00591434" w:rsidRDefault="00591434" w:rsidP="001D26B6">
      <w:pPr>
        <w:ind w:firstLine="720"/>
        <w:rPr>
          <w:color w:val="92D050"/>
        </w:rPr>
      </w:pPr>
    </w:p>
    <w:p w14:paraId="695F5E66" w14:textId="1726423B" w:rsidR="00591434" w:rsidRDefault="00591434" w:rsidP="001D26B6">
      <w:pPr>
        <w:ind w:firstLine="720"/>
        <w:rPr>
          <w:color w:val="92D050"/>
        </w:rPr>
      </w:pPr>
    </w:p>
    <w:p w14:paraId="31C78330" w14:textId="74E99D75" w:rsidR="00591434" w:rsidRDefault="00591434" w:rsidP="001D26B6">
      <w:pPr>
        <w:ind w:firstLine="720"/>
        <w:rPr>
          <w:color w:val="92D050"/>
        </w:rPr>
      </w:pPr>
    </w:p>
    <w:p w14:paraId="414A9082" w14:textId="69E6701E" w:rsidR="00591434" w:rsidRDefault="00591434" w:rsidP="001D26B6">
      <w:pPr>
        <w:ind w:firstLine="720"/>
        <w:rPr>
          <w:color w:val="92D050"/>
        </w:rPr>
      </w:pPr>
    </w:p>
    <w:p w14:paraId="486831BA" w14:textId="2B261178" w:rsidR="00591434" w:rsidRDefault="00591434" w:rsidP="001D26B6">
      <w:pPr>
        <w:ind w:firstLine="720"/>
        <w:rPr>
          <w:color w:val="92D050"/>
        </w:rPr>
      </w:pPr>
    </w:p>
    <w:p w14:paraId="6E78EC40" w14:textId="2E65CD34" w:rsidR="00591434" w:rsidRDefault="00591434" w:rsidP="001D26B6">
      <w:pPr>
        <w:ind w:firstLine="720"/>
        <w:rPr>
          <w:color w:val="92D050"/>
        </w:rPr>
      </w:pPr>
    </w:p>
    <w:p w14:paraId="127E0070" w14:textId="66DC1842" w:rsidR="00591434" w:rsidRDefault="00591434" w:rsidP="001D26B6">
      <w:pPr>
        <w:ind w:firstLine="720"/>
        <w:rPr>
          <w:color w:val="92D050"/>
        </w:rPr>
      </w:pPr>
    </w:p>
    <w:p w14:paraId="249B7A50" w14:textId="6DBC5C98" w:rsidR="00591434" w:rsidRDefault="00591434" w:rsidP="001D26B6">
      <w:pPr>
        <w:ind w:firstLine="720"/>
        <w:rPr>
          <w:color w:val="92D050"/>
        </w:rPr>
      </w:pPr>
    </w:p>
    <w:p w14:paraId="6E3923AF" w14:textId="026BB979" w:rsidR="00591434" w:rsidRDefault="00591434" w:rsidP="001D26B6">
      <w:pPr>
        <w:ind w:firstLine="720"/>
        <w:rPr>
          <w:color w:val="92D050"/>
        </w:rPr>
      </w:pPr>
    </w:p>
    <w:p w14:paraId="79B6FC91" w14:textId="6497662A" w:rsidR="00591434" w:rsidRDefault="00591434" w:rsidP="001D26B6">
      <w:pPr>
        <w:ind w:firstLine="720"/>
        <w:rPr>
          <w:color w:val="92D050"/>
        </w:rPr>
      </w:pPr>
    </w:p>
    <w:p w14:paraId="69A6D382" w14:textId="7D4EFB26" w:rsidR="00591434" w:rsidRDefault="00591434" w:rsidP="001D26B6">
      <w:pPr>
        <w:ind w:firstLine="720"/>
        <w:rPr>
          <w:color w:val="92D050"/>
        </w:rPr>
      </w:pPr>
    </w:p>
    <w:p w14:paraId="5A05D162" w14:textId="77777777" w:rsidR="00591434" w:rsidRPr="00E4140E" w:rsidRDefault="00591434" w:rsidP="001D26B6">
      <w:pPr>
        <w:ind w:firstLine="720"/>
        <w:rPr>
          <w:color w:val="92D050"/>
        </w:rPr>
      </w:pPr>
    </w:p>
    <w:p w14:paraId="14C6FF87" w14:textId="6187A3C1" w:rsidR="00B41B73" w:rsidRDefault="00B41B73" w:rsidP="009F5E0D">
      <w:pPr>
        <w:jc w:val="center"/>
        <w:outlineLvl w:val="4"/>
        <w:rPr>
          <w:b/>
          <w:color w:val="92D050"/>
        </w:rPr>
      </w:pPr>
      <w:bookmarkStart w:id="64" w:name="_Toc295823968"/>
      <w:r w:rsidRPr="00E4140E">
        <w:rPr>
          <w:b/>
          <w:color w:val="92D050"/>
        </w:rPr>
        <w:t>Exhibit 6 (With Forms) – Operating and Maintenance Costs for a Typical Facility</w:t>
      </w:r>
      <w:bookmarkEnd w:id="64"/>
    </w:p>
    <w:p w14:paraId="2BA208DE" w14:textId="67D49FE8" w:rsidR="001F1E44" w:rsidRDefault="004362FD" w:rsidP="009F5E0D">
      <w:pPr>
        <w:jc w:val="center"/>
        <w:outlineLvl w:val="4"/>
        <w:rPr>
          <w:b/>
          <w:color w:val="92D050"/>
        </w:rPr>
      </w:pPr>
      <w:r w:rsidRPr="004362FD">
        <w:rPr>
          <w:noProof/>
        </w:rPr>
        <w:drawing>
          <wp:inline distT="0" distB="0" distL="0" distR="0" wp14:anchorId="292F8EFF" wp14:editId="6550CCFB">
            <wp:extent cx="6029325" cy="30099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29325" cy="3009900"/>
                    </a:xfrm>
                    <a:prstGeom prst="rect">
                      <a:avLst/>
                    </a:prstGeom>
                    <a:noFill/>
                    <a:ln>
                      <a:noFill/>
                    </a:ln>
                  </pic:spPr>
                </pic:pic>
              </a:graphicData>
            </a:graphic>
          </wp:inline>
        </w:drawing>
      </w:r>
    </w:p>
    <w:p w14:paraId="76EE6266" w14:textId="553A6916" w:rsidR="006079B9" w:rsidRPr="00E4140E" w:rsidRDefault="006079B9" w:rsidP="009F5E0D">
      <w:pPr>
        <w:jc w:val="center"/>
        <w:outlineLvl w:val="4"/>
        <w:rPr>
          <w:b/>
          <w:color w:val="92D050"/>
        </w:rPr>
      </w:pPr>
    </w:p>
    <w:tbl>
      <w:tblPr>
        <w:tblW w:w="9480" w:type="dxa"/>
        <w:tblInd w:w="108" w:type="dxa"/>
        <w:tblLook w:val="04A0" w:firstRow="1" w:lastRow="0" w:firstColumn="1" w:lastColumn="0" w:noHBand="0" w:noVBand="1"/>
      </w:tblPr>
      <w:tblGrid>
        <w:gridCol w:w="9480"/>
      </w:tblGrid>
      <w:tr w:rsidR="005371BE" w:rsidRPr="005371BE" w14:paraId="5C27D7A4" w14:textId="77777777" w:rsidTr="003C7877">
        <w:trPr>
          <w:trHeight w:val="1050"/>
        </w:trPr>
        <w:tc>
          <w:tcPr>
            <w:tcW w:w="9480" w:type="dxa"/>
            <w:tcBorders>
              <w:top w:val="nil"/>
              <w:left w:val="nil"/>
              <w:bottom w:val="nil"/>
              <w:right w:val="nil"/>
            </w:tcBorders>
            <w:shd w:val="clear" w:color="auto" w:fill="auto"/>
            <w:vAlign w:val="bottom"/>
            <w:hideMark/>
          </w:tcPr>
          <w:p w14:paraId="0C0FFB49" w14:textId="77777777" w:rsidR="005371BE" w:rsidRPr="005371BE" w:rsidRDefault="005371BE" w:rsidP="005371BE">
            <w:pPr>
              <w:widowControl/>
              <w:adjustRightInd/>
              <w:rPr>
                <w:sz w:val="20"/>
                <w:szCs w:val="20"/>
              </w:rPr>
            </w:pPr>
            <w:r w:rsidRPr="005371BE">
              <w:rPr>
                <w:sz w:val="20"/>
                <w:szCs w:val="20"/>
              </w:rPr>
              <w:t xml:space="preserve"> A “typical” respondent is assumed to report </w:t>
            </w:r>
            <w:r w:rsidRPr="005371BE">
              <w:rPr>
                <w:b/>
                <w:bCs/>
                <w:sz w:val="20"/>
                <w:szCs w:val="20"/>
              </w:rPr>
              <w:t>eight</w:t>
            </w:r>
            <w:r w:rsidRPr="005371BE">
              <w:rPr>
                <w:sz w:val="20"/>
                <w:szCs w:val="20"/>
              </w:rPr>
              <w:t xml:space="preserve"> continuous hazardous substance releases in year one and to experience a change in </w:t>
            </w:r>
            <w:r w:rsidRPr="005371BE">
              <w:rPr>
                <w:b/>
                <w:bCs/>
                <w:sz w:val="20"/>
                <w:szCs w:val="20"/>
              </w:rPr>
              <w:t>one release in the second and third years</w:t>
            </w:r>
            <w:r w:rsidRPr="005371BE">
              <w:rPr>
                <w:sz w:val="20"/>
                <w:szCs w:val="20"/>
              </w:rPr>
              <w:t xml:space="preserve"> (e.g., the frequency of the release per week changes each year, causing a modification in the estimated annual release amount).  No other </w:t>
            </w:r>
            <w:r w:rsidRPr="005371BE">
              <w:rPr>
                <w:sz w:val="20"/>
                <w:szCs w:val="20"/>
                <w:u w:val="single"/>
              </w:rPr>
              <w:t>conditional</w:t>
            </w:r>
            <w:r w:rsidRPr="005371BE">
              <w:rPr>
                <w:sz w:val="20"/>
                <w:szCs w:val="20"/>
              </w:rPr>
              <w:t xml:space="preserve"> activities are assumed to be required of the typical respondent.</w:t>
            </w:r>
          </w:p>
        </w:tc>
      </w:tr>
    </w:tbl>
    <w:p w14:paraId="7F888A49" w14:textId="77777777" w:rsidR="009F5E0D" w:rsidRPr="00B41B73" w:rsidRDefault="009F5E0D" w:rsidP="00B41B73">
      <w:pPr>
        <w:jc w:val="center"/>
        <w:rPr>
          <w:b/>
          <w:color w:val="99CC00"/>
        </w:rPr>
      </w:pPr>
    </w:p>
    <w:p w14:paraId="7FE8597B" w14:textId="77777777" w:rsidR="005F1213" w:rsidRPr="001F3A52" w:rsidRDefault="005F1213" w:rsidP="00351226"/>
    <w:p w14:paraId="6873FF3A" w14:textId="77777777" w:rsidR="00351226" w:rsidRDefault="00351226" w:rsidP="00351226">
      <w:pPr>
        <w:ind w:firstLine="720"/>
      </w:pPr>
      <w:r w:rsidRPr="001F3A52">
        <w:t>Annual labor and O&amp;M costs incurred by the regulated community are summarized in Exhibit 7.</w:t>
      </w:r>
    </w:p>
    <w:p w14:paraId="451332A1" w14:textId="5CDC2256" w:rsidR="009F5E0D" w:rsidRDefault="009F5E0D" w:rsidP="00351226">
      <w:pPr>
        <w:ind w:firstLine="720"/>
      </w:pPr>
    </w:p>
    <w:p w14:paraId="041E30DC" w14:textId="5A529A45" w:rsidR="003C7877" w:rsidRDefault="003C7877" w:rsidP="00351226">
      <w:pPr>
        <w:ind w:firstLine="720"/>
      </w:pPr>
    </w:p>
    <w:p w14:paraId="2DF52E72" w14:textId="77777777" w:rsidR="003C7877" w:rsidRDefault="003C7877" w:rsidP="00351226">
      <w:pPr>
        <w:ind w:firstLine="720"/>
      </w:pPr>
    </w:p>
    <w:p w14:paraId="7AB70539" w14:textId="77777777" w:rsidR="00952A04" w:rsidRDefault="00952A04" w:rsidP="009F5E0D">
      <w:pPr>
        <w:jc w:val="center"/>
        <w:rPr>
          <w:b/>
        </w:rPr>
      </w:pPr>
    </w:p>
    <w:p w14:paraId="2A810C3C" w14:textId="77777777" w:rsidR="00952A04" w:rsidRDefault="00952A04" w:rsidP="009F5E0D">
      <w:pPr>
        <w:jc w:val="center"/>
        <w:rPr>
          <w:b/>
        </w:rPr>
      </w:pPr>
    </w:p>
    <w:p w14:paraId="0A4C6AAD" w14:textId="77777777" w:rsidR="00952A04" w:rsidRDefault="00952A04" w:rsidP="009F5E0D">
      <w:pPr>
        <w:jc w:val="center"/>
        <w:rPr>
          <w:b/>
        </w:rPr>
      </w:pPr>
    </w:p>
    <w:p w14:paraId="7724B714" w14:textId="77777777" w:rsidR="00952A04" w:rsidRDefault="00952A04" w:rsidP="009F5E0D">
      <w:pPr>
        <w:jc w:val="center"/>
        <w:rPr>
          <w:b/>
        </w:rPr>
      </w:pPr>
    </w:p>
    <w:p w14:paraId="765E4C05" w14:textId="77777777" w:rsidR="00952A04" w:rsidRDefault="00952A04" w:rsidP="009F5E0D">
      <w:pPr>
        <w:jc w:val="center"/>
        <w:rPr>
          <w:b/>
        </w:rPr>
      </w:pPr>
    </w:p>
    <w:p w14:paraId="3EB7753E" w14:textId="77777777" w:rsidR="00952A04" w:rsidRDefault="00952A04" w:rsidP="009F5E0D">
      <w:pPr>
        <w:jc w:val="center"/>
        <w:rPr>
          <w:b/>
        </w:rPr>
      </w:pPr>
    </w:p>
    <w:p w14:paraId="794E6DE4" w14:textId="77777777" w:rsidR="00952A04" w:rsidRDefault="00952A04" w:rsidP="009F5E0D">
      <w:pPr>
        <w:jc w:val="center"/>
        <w:rPr>
          <w:b/>
        </w:rPr>
      </w:pPr>
    </w:p>
    <w:p w14:paraId="56B935BD" w14:textId="77777777" w:rsidR="00952A04" w:rsidRDefault="00952A04" w:rsidP="009F5E0D">
      <w:pPr>
        <w:jc w:val="center"/>
        <w:rPr>
          <w:b/>
        </w:rPr>
      </w:pPr>
    </w:p>
    <w:p w14:paraId="565DD6F5" w14:textId="77777777" w:rsidR="00952A04" w:rsidRDefault="00952A04" w:rsidP="009F5E0D">
      <w:pPr>
        <w:jc w:val="center"/>
        <w:rPr>
          <w:b/>
        </w:rPr>
      </w:pPr>
    </w:p>
    <w:p w14:paraId="5B913AD9" w14:textId="77777777" w:rsidR="00952A04" w:rsidRDefault="00952A04" w:rsidP="009F5E0D">
      <w:pPr>
        <w:jc w:val="center"/>
        <w:rPr>
          <w:b/>
        </w:rPr>
      </w:pPr>
    </w:p>
    <w:p w14:paraId="0C8A2D2C" w14:textId="003C274F" w:rsidR="00351226" w:rsidRDefault="009F5E0D" w:rsidP="009F5E0D">
      <w:pPr>
        <w:jc w:val="center"/>
        <w:rPr>
          <w:b/>
        </w:rPr>
      </w:pPr>
      <w:r>
        <w:rPr>
          <w:b/>
        </w:rPr>
        <w:t>Exhibit 7 – Unit Labor and Operating and Maintenance Costs per Respondent Information Collection Activity</w:t>
      </w:r>
    </w:p>
    <w:p w14:paraId="7CEB7CA8" w14:textId="6CBA889C" w:rsidR="009676C3" w:rsidRDefault="004362FD" w:rsidP="009F5E0D">
      <w:pPr>
        <w:jc w:val="center"/>
        <w:rPr>
          <w:b/>
        </w:rPr>
      </w:pPr>
      <w:r w:rsidRPr="004362FD">
        <w:rPr>
          <w:noProof/>
        </w:rPr>
        <w:drawing>
          <wp:inline distT="0" distB="0" distL="0" distR="0" wp14:anchorId="7B59ECC0" wp14:editId="2CEBCA3E">
            <wp:extent cx="5762625" cy="33718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2625" cy="3371850"/>
                    </a:xfrm>
                    <a:prstGeom prst="rect">
                      <a:avLst/>
                    </a:prstGeom>
                    <a:noFill/>
                    <a:ln>
                      <a:noFill/>
                    </a:ln>
                  </pic:spPr>
                </pic:pic>
              </a:graphicData>
            </a:graphic>
          </wp:inline>
        </w:drawing>
      </w:r>
    </w:p>
    <w:p w14:paraId="02C88757" w14:textId="5F33B060" w:rsidR="006079B9" w:rsidRDefault="006079B9" w:rsidP="009F5E0D">
      <w:pPr>
        <w:jc w:val="center"/>
      </w:pPr>
    </w:p>
    <w:p w14:paraId="2BF3ACEE" w14:textId="03021E88" w:rsidR="001D26B6" w:rsidRPr="001F3A52" w:rsidRDefault="001D26B6" w:rsidP="001D26B6">
      <w:pPr>
        <w:jc w:val="center"/>
      </w:pPr>
    </w:p>
    <w:p w14:paraId="3E3DE5ED" w14:textId="77777777" w:rsidR="00351226" w:rsidRPr="001F3A52" w:rsidRDefault="00351226" w:rsidP="00351226">
      <w:bookmarkStart w:id="65" w:name="Exhibit_7"/>
      <w:bookmarkEnd w:id="65"/>
    </w:p>
    <w:p w14:paraId="67AA892A" w14:textId="77777777" w:rsidR="001D26B6" w:rsidRPr="00E4140E" w:rsidRDefault="001D26B6" w:rsidP="001D26B6">
      <w:pPr>
        <w:ind w:firstLine="720"/>
        <w:rPr>
          <w:color w:val="92D050"/>
        </w:rPr>
      </w:pPr>
      <w:r w:rsidRPr="00E4140E">
        <w:rPr>
          <w:color w:val="92D050"/>
        </w:rPr>
        <w:t>Annual labor and O&amp;M costs incurred by the regulated community that will use continuous release reporting forms are summarized in Exhibit 7 (With Forms).</w:t>
      </w:r>
    </w:p>
    <w:p w14:paraId="145D08D2" w14:textId="77777777" w:rsidR="009F5E0D" w:rsidRPr="00E4140E" w:rsidRDefault="009F5E0D" w:rsidP="001D26B6">
      <w:pPr>
        <w:ind w:firstLine="720"/>
        <w:rPr>
          <w:color w:val="92D050"/>
        </w:rPr>
      </w:pPr>
    </w:p>
    <w:p w14:paraId="635865D5" w14:textId="77777777" w:rsidR="00952A04" w:rsidRDefault="00952A04" w:rsidP="009F5E0D">
      <w:pPr>
        <w:jc w:val="center"/>
        <w:rPr>
          <w:b/>
          <w:color w:val="92D050"/>
        </w:rPr>
      </w:pPr>
    </w:p>
    <w:p w14:paraId="04473DFD" w14:textId="77777777" w:rsidR="00952A04" w:rsidRDefault="00952A04" w:rsidP="009F5E0D">
      <w:pPr>
        <w:jc w:val="center"/>
        <w:rPr>
          <w:b/>
          <w:color w:val="92D050"/>
        </w:rPr>
      </w:pPr>
    </w:p>
    <w:p w14:paraId="34D399A9" w14:textId="77777777" w:rsidR="00952A04" w:rsidRDefault="00952A04" w:rsidP="009F5E0D">
      <w:pPr>
        <w:jc w:val="center"/>
        <w:rPr>
          <w:b/>
          <w:color w:val="92D050"/>
        </w:rPr>
      </w:pPr>
    </w:p>
    <w:p w14:paraId="2257124D" w14:textId="77777777" w:rsidR="00952A04" w:rsidRDefault="00952A04" w:rsidP="009F5E0D">
      <w:pPr>
        <w:jc w:val="center"/>
        <w:rPr>
          <w:b/>
          <w:color w:val="92D050"/>
        </w:rPr>
      </w:pPr>
    </w:p>
    <w:p w14:paraId="10A61E36" w14:textId="77777777" w:rsidR="00952A04" w:rsidRDefault="00952A04" w:rsidP="009F5E0D">
      <w:pPr>
        <w:jc w:val="center"/>
        <w:rPr>
          <w:b/>
          <w:color w:val="92D050"/>
        </w:rPr>
      </w:pPr>
    </w:p>
    <w:p w14:paraId="67CC5147" w14:textId="77777777" w:rsidR="00952A04" w:rsidRDefault="00952A04" w:rsidP="009F5E0D">
      <w:pPr>
        <w:jc w:val="center"/>
        <w:rPr>
          <w:b/>
          <w:color w:val="92D050"/>
        </w:rPr>
      </w:pPr>
    </w:p>
    <w:p w14:paraId="0CE2E55A" w14:textId="77777777" w:rsidR="00952A04" w:rsidRDefault="00952A04" w:rsidP="009F5E0D">
      <w:pPr>
        <w:jc w:val="center"/>
        <w:rPr>
          <w:b/>
          <w:color w:val="92D050"/>
        </w:rPr>
      </w:pPr>
    </w:p>
    <w:p w14:paraId="0AE44D2B" w14:textId="77777777" w:rsidR="00952A04" w:rsidRDefault="00952A04" w:rsidP="009F5E0D">
      <w:pPr>
        <w:jc w:val="center"/>
        <w:rPr>
          <w:b/>
          <w:color w:val="92D050"/>
        </w:rPr>
      </w:pPr>
    </w:p>
    <w:p w14:paraId="1B83B138" w14:textId="77777777" w:rsidR="00952A04" w:rsidRDefault="00952A04" w:rsidP="009F5E0D">
      <w:pPr>
        <w:jc w:val="center"/>
        <w:rPr>
          <w:b/>
          <w:color w:val="92D050"/>
        </w:rPr>
      </w:pPr>
    </w:p>
    <w:p w14:paraId="6A89CB3B" w14:textId="77777777" w:rsidR="00952A04" w:rsidRDefault="00952A04" w:rsidP="009F5E0D">
      <w:pPr>
        <w:jc w:val="center"/>
        <w:rPr>
          <w:b/>
          <w:color w:val="92D050"/>
        </w:rPr>
      </w:pPr>
    </w:p>
    <w:p w14:paraId="591732DF" w14:textId="77777777" w:rsidR="00952A04" w:rsidRDefault="00952A04" w:rsidP="009F5E0D">
      <w:pPr>
        <w:jc w:val="center"/>
        <w:rPr>
          <w:b/>
          <w:color w:val="92D050"/>
        </w:rPr>
      </w:pPr>
    </w:p>
    <w:p w14:paraId="687F8E0D" w14:textId="77777777" w:rsidR="00952A04" w:rsidRDefault="00952A04" w:rsidP="009F5E0D">
      <w:pPr>
        <w:jc w:val="center"/>
        <w:rPr>
          <w:b/>
          <w:color w:val="92D050"/>
        </w:rPr>
      </w:pPr>
    </w:p>
    <w:p w14:paraId="475B1D8A" w14:textId="77777777" w:rsidR="00952A04" w:rsidRDefault="00952A04" w:rsidP="009F5E0D">
      <w:pPr>
        <w:jc w:val="center"/>
        <w:rPr>
          <w:b/>
          <w:color w:val="92D050"/>
        </w:rPr>
      </w:pPr>
    </w:p>
    <w:p w14:paraId="5ED7C120" w14:textId="77777777" w:rsidR="00952A04" w:rsidRDefault="00952A04" w:rsidP="009F5E0D">
      <w:pPr>
        <w:jc w:val="center"/>
        <w:rPr>
          <w:b/>
          <w:color w:val="92D050"/>
        </w:rPr>
      </w:pPr>
    </w:p>
    <w:p w14:paraId="3EC409FB" w14:textId="77777777" w:rsidR="00952A04" w:rsidRDefault="00952A04" w:rsidP="009F5E0D">
      <w:pPr>
        <w:jc w:val="center"/>
        <w:rPr>
          <w:b/>
          <w:color w:val="92D050"/>
        </w:rPr>
      </w:pPr>
    </w:p>
    <w:p w14:paraId="55222F05" w14:textId="6C07DB26" w:rsidR="00952A04" w:rsidRDefault="00952A04" w:rsidP="002E5124">
      <w:pPr>
        <w:rPr>
          <w:b/>
          <w:color w:val="92D050"/>
        </w:rPr>
      </w:pPr>
    </w:p>
    <w:p w14:paraId="50281DBB" w14:textId="43ACBED8" w:rsidR="00351226" w:rsidRDefault="009F5E0D" w:rsidP="009F5E0D">
      <w:pPr>
        <w:jc w:val="center"/>
        <w:rPr>
          <w:b/>
          <w:color w:val="92D050"/>
        </w:rPr>
      </w:pPr>
      <w:r w:rsidRPr="00E4140E">
        <w:rPr>
          <w:b/>
          <w:color w:val="92D050"/>
        </w:rPr>
        <w:t xml:space="preserve">Exhibit </w:t>
      </w:r>
      <w:r w:rsidR="00AA00E6" w:rsidRPr="00E4140E">
        <w:rPr>
          <w:b/>
          <w:color w:val="92D050"/>
        </w:rPr>
        <w:t xml:space="preserve">7 </w:t>
      </w:r>
      <w:r w:rsidRPr="00E4140E">
        <w:rPr>
          <w:b/>
          <w:color w:val="92D050"/>
        </w:rPr>
        <w:t>(With Forms) – Unit Labor and Operating and Maintenance Costs per Respondent Information Collection Activity</w:t>
      </w:r>
    </w:p>
    <w:p w14:paraId="2BCBCCF3" w14:textId="36E65568" w:rsidR="00E16161" w:rsidRDefault="004362FD" w:rsidP="009F5E0D">
      <w:pPr>
        <w:jc w:val="center"/>
        <w:rPr>
          <w:b/>
          <w:color w:val="92D050"/>
        </w:rPr>
      </w:pPr>
      <w:r w:rsidRPr="004362FD">
        <w:rPr>
          <w:noProof/>
        </w:rPr>
        <w:drawing>
          <wp:inline distT="0" distB="0" distL="0" distR="0" wp14:anchorId="6038F332" wp14:editId="22FBF4AD">
            <wp:extent cx="5762625" cy="3200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625" cy="3200400"/>
                    </a:xfrm>
                    <a:prstGeom prst="rect">
                      <a:avLst/>
                    </a:prstGeom>
                    <a:noFill/>
                    <a:ln>
                      <a:noFill/>
                    </a:ln>
                  </pic:spPr>
                </pic:pic>
              </a:graphicData>
            </a:graphic>
          </wp:inline>
        </w:drawing>
      </w:r>
    </w:p>
    <w:p w14:paraId="551F4BC1" w14:textId="30018D81" w:rsidR="006079B9" w:rsidRPr="00E4140E" w:rsidRDefault="006079B9" w:rsidP="009F5E0D">
      <w:pPr>
        <w:jc w:val="center"/>
        <w:rPr>
          <w:color w:val="92D050"/>
        </w:rPr>
      </w:pPr>
    </w:p>
    <w:p w14:paraId="39B4C939" w14:textId="77777777" w:rsidR="00046522" w:rsidRPr="001F3A52" w:rsidRDefault="00046522" w:rsidP="00351226"/>
    <w:p w14:paraId="67986965" w14:textId="77777777" w:rsidR="00351226" w:rsidRDefault="00351226" w:rsidP="00BF767F">
      <w:pPr>
        <w:ind w:firstLine="720"/>
      </w:pPr>
      <w:r w:rsidRPr="00970C49">
        <w:t>In Exhibit 8</w:t>
      </w:r>
      <w:r w:rsidRPr="00970C49">
        <w:rPr>
          <w:rStyle w:val="FootnoteReference"/>
          <w:vertAlign w:val="superscript"/>
        </w:rPr>
        <w:footnoteReference w:id="6"/>
      </w:r>
      <w:r w:rsidRPr="00970C49">
        <w:t>, annual labor and O&amp;M costs for a typical facility are presented.</w:t>
      </w:r>
    </w:p>
    <w:p w14:paraId="5D1031CA" w14:textId="77777777" w:rsidR="00842DCC" w:rsidRDefault="00842DCC" w:rsidP="00842DCC"/>
    <w:p w14:paraId="5152F403" w14:textId="0EA64327" w:rsidR="00624695" w:rsidRDefault="00624695" w:rsidP="00624695">
      <w:pPr>
        <w:keepNext/>
        <w:jc w:val="center"/>
        <w:outlineLvl w:val="4"/>
        <w:rPr>
          <w:b/>
        </w:rPr>
      </w:pPr>
      <w:bookmarkStart w:id="66" w:name="_Toc295823969"/>
      <w:r>
        <w:rPr>
          <w:b/>
        </w:rPr>
        <w:t>Exhibit 8 – Labor and Operating and Maintenance Costs for a Typical Facility</w:t>
      </w:r>
      <w:bookmarkEnd w:id="66"/>
    </w:p>
    <w:p w14:paraId="1B6ADCA7" w14:textId="40115ED7" w:rsidR="00E16161" w:rsidRDefault="004362FD" w:rsidP="00624695">
      <w:pPr>
        <w:keepNext/>
        <w:jc w:val="center"/>
        <w:outlineLvl w:val="4"/>
        <w:rPr>
          <w:b/>
        </w:rPr>
      </w:pPr>
      <w:r w:rsidRPr="004362FD">
        <w:rPr>
          <w:noProof/>
        </w:rPr>
        <w:drawing>
          <wp:inline distT="0" distB="0" distL="0" distR="0" wp14:anchorId="2ECD1155" wp14:editId="49C5B083">
            <wp:extent cx="5895975" cy="39909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895975" cy="3990975"/>
                    </a:xfrm>
                    <a:prstGeom prst="rect">
                      <a:avLst/>
                    </a:prstGeom>
                    <a:noFill/>
                    <a:ln>
                      <a:noFill/>
                    </a:ln>
                  </pic:spPr>
                </pic:pic>
              </a:graphicData>
            </a:graphic>
          </wp:inline>
        </w:drawing>
      </w:r>
    </w:p>
    <w:p w14:paraId="21F335C2" w14:textId="1A84E325" w:rsidR="00DA0FE0" w:rsidRPr="00624695" w:rsidRDefault="00DA0FE0" w:rsidP="00624695">
      <w:pPr>
        <w:keepNext/>
        <w:jc w:val="center"/>
        <w:outlineLvl w:val="4"/>
        <w:rPr>
          <w:b/>
        </w:rPr>
      </w:pPr>
    </w:p>
    <w:tbl>
      <w:tblPr>
        <w:tblW w:w="9260" w:type="dxa"/>
        <w:tblInd w:w="85" w:type="dxa"/>
        <w:tblLook w:val="04A0" w:firstRow="1" w:lastRow="0" w:firstColumn="1" w:lastColumn="0" w:noHBand="0" w:noVBand="1"/>
      </w:tblPr>
      <w:tblGrid>
        <w:gridCol w:w="9260"/>
      </w:tblGrid>
      <w:tr w:rsidR="005371BE" w:rsidRPr="005371BE" w14:paraId="7A824741" w14:textId="77777777" w:rsidTr="00BD0507">
        <w:trPr>
          <w:trHeight w:val="1185"/>
        </w:trPr>
        <w:tc>
          <w:tcPr>
            <w:tcW w:w="9260" w:type="dxa"/>
            <w:tcBorders>
              <w:top w:val="double" w:sz="6" w:space="0" w:color="000000"/>
              <w:left w:val="nil"/>
              <w:bottom w:val="nil"/>
              <w:right w:val="nil"/>
            </w:tcBorders>
            <w:shd w:val="clear" w:color="auto" w:fill="auto"/>
            <w:vAlign w:val="center"/>
            <w:hideMark/>
          </w:tcPr>
          <w:p w14:paraId="07845374" w14:textId="77777777" w:rsidR="005371BE" w:rsidRPr="005371BE" w:rsidRDefault="005371BE" w:rsidP="005371BE">
            <w:pPr>
              <w:widowControl/>
              <w:adjustRightInd/>
              <w:rPr>
                <w:sz w:val="20"/>
                <w:szCs w:val="20"/>
              </w:rPr>
            </w:pPr>
            <w:r w:rsidRPr="005371BE">
              <w:rPr>
                <w:sz w:val="20"/>
                <w:szCs w:val="20"/>
              </w:rPr>
              <w:t xml:space="preserve"> A “typical” respondent is assumed to report </w:t>
            </w:r>
            <w:r w:rsidRPr="005371BE">
              <w:rPr>
                <w:b/>
                <w:bCs/>
                <w:sz w:val="20"/>
                <w:szCs w:val="20"/>
              </w:rPr>
              <w:t>eight</w:t>
            </w:r>
            <w:r w:rsidRPr="005371BE">
              <w:rPr>
                <w:sz w:val="20"/>
                <w:szCs w:val="20"/>
              </w:rPr>
              <w:t xml:space="preserve"> continuous hazardous substance releases in year one and to experience a change in </w:t>
            </w:r>
            <w:r w:rsidRPr="005371BE">
              <w:rPr>
                <w:b/>
                <w:bCs/>
                <w:sz w:val="20"/>
                <w:szCs w:val="20"/>
              </w:rPr>
              <w:t>one release in the second and third years</w:t>
            </w:r>
            <w:r w:rsidRPr="005371BE">
              <w:rPr>
                <w:sz w:val="20"/>
                <w:szCs w:val="20"/>
              </w:rPr>
              <w:t xml:space="preserve"> (e.g., the frequency of the release per week changes each year, causing a modification in the estimated annual release amount).  No other </w:t>
            </w:r>
            <w:r w:rsidRPr="005371BE">
              <w:rPr>
                <w:sz w:val="20"/>
                <w:szCs w:val="20"/>
                <w:u w:val="single"/>
              </w:rPr>
              <w:t>conditional</w:t>
            </w:r>
            <w:r w:rsidRPr="005371BE">
              <w:rPr>
                <w:sz w:val="20"/>
                <w:szCs w:val="20"/>
              </w:rPr>
              <w:t xml:space="preserve"> activities are assumed to be required of the typical respondent.</w:t>
            </w:r>
          </w:p>
        </w:tc>
      </w:tr>
    </w:tbl>
    <w:p w14:paraId="72F478B4" w14:textId="1C81CFDA" w:rsidR="001D26B6" w:rsidRDefault="00837C7B" w:rsidP="001D26B6">
      <w:pPr>
        <w:keepLines/>
        <w:rPr>
          <w:sz w:val="18"/>
          <w:szCs w:val="18"/>
        </w:rPr>
      </w:pPr>
      <w:r>
        <w:rPr>
          <w:sz w:val="18"/>
          <w:szCs w:val="18"/>
        </w:rPr>
        <w:t xml:space="preserve">    </w:t>
      </w:r>
      <w:r w:rsidR="001D26B6" w:rsidRPr="001F3A52">
        <w:rPr>
          <w:sz w:val="18"/>
          <w:szCs w:val="18"/>
        </w:rPr>
        <w:t>NA = Not Applicable</w:t>
      </w:r>
    </w:p>
    <w:p w14:paraId="27C78768" w14:textId="77777777" w:rsidR="001D26B6" w:rsidRDefault="001D26B6" w:rsidP="001D26B6">
      <w:pPr>
        <w:jc w:val="center"/>
        <w:rPr>
          <w:highlight w:val="yellow"/>
        </w:rPr>
      </w:pPr>
    </w:p>
    <w:p w14:paraId="7893E117" w14:textId="77777777" w:rsidR="005F1213" w:rsidRDefault="005F1213" w:rsidP="001D26B6">
      <w:pPr>
        <w:jc w:val="center"/>
        <w:rPr>
          <w:highlight w:val="yellow"/>
        </w:rPr>
      </w:pPr>
    </w:p>
    <w:p w14:paraId="2CA2578E" w14:textId="77777777" w:rsidR="001D26B6" w:rsidRPr="00E4140E" w:rsidRDefault="001D26B6" w:rsidP="00BF767F">
      <w:pPr>
        <w:ind w:firstLine="720"/>
        <w:rPr>
          <w:color w:val="92D050"/>
        </w:rPr>
      </w:pPr>
      <w:r w:rsidRPr="00E4140E">
        <w:rPr>
          <w:color w:val="92D050"/>
        </w:rPr>
        <w:t>In Exhibit 8 (With Forms)</w:t>
      </w:r>
      <w:r w:rsidRPr="00E4140E">
        <w:rPr>
          <w:rStyle w:val="FootnoteReference"/>
          <w:color w:val="92D050"/>
          <w:vertAlign w:val="superscript"/>
        </w:rPr>
        <w:footnoteReference w:id="7"/>
      </w:r>
      <w:r w:rsidRPr="00E4140E">
        <w:rPr>
          <w:color w:val="92D050"/>
        </w:rPr>
        <w:t>, annual labor and O&amp;M costs for a typical facility are presented.</w:t>
      </w:r>
    </w:p>
    <w:p w14:paraId="6B05B3F5" w14:textId="77777777" w:rsidR="00624695" w:rsidRDefault="00624695" w:rsidP="00BF767F">
      <w:pPr>
        <w:ind w:firstLine="720"/>
        <w:rPr>
          <w:color w:val="92D050"/>
        </w:rPr>
      </w:pPr>
    </w:p>
    <w:p w14:paraId="54D5A1E2" w14:textId="71014753" w:rsidR="005371BE" w:rsidRDefault="00624695" w:rsidP="005371BE">
      <w:pPr>
        <w:keepNext/>
        <w:jc w:val="center"/>
        <w:outlineLvl w:val="4"/>
        <w:rPr>
          <w:b/>
          <w:color w:val="92D050"/>
        </w:rPr>
      </w:pPr>
      <w:bookmarkStart w:id="67" w:name="_Toc295823970"/>
      <w:r w:rsidRPr="00E4140E">
        <w:rPr>
          <w:b/>
          <w:color w:val="92D050"/>
        </w:rPr>
        <w:t>Exhibit 8 (With Forms) – Labor and Operating and Maintenance Costs for a Typical Facility</w:t>
      </w:r>
      <w:bookmarkEnd w:id="67"/>
    </w:p>
    <w:p w14:paraId="591A227A" w14:textId="300ED268" w:rsidR="00E16161" w:rsidRDefault="004362FD" w:rsidP="005371BE">
      <w:pPr>
        <w:keepNext/>
        <w:jc w:val="center"/>
        <w:outlineLvl w:val="4"/>
        <w:rPr>
          <w:b/>
          <w:color w:val="92D050"/>
        </w:rPr>
      </w:pPr>
      <w:r w:rsidRPr="004362FD">
        <w:rPr>
          <w:noProof/>
        </w:rPr>
        <w:drawing>
          <wp:inline distT="0" distB="0" distL="0" distR="0" wp14:anchorId="7CE58596" wp14:editId="2D123F30">
            <wp:extent cx="5895975" cy="39909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95975" cy="3990975"/>
                    </a:xfrm>
                    <a:prstGeom prst="rect">
                      <a:avLst/>
                    </a:prstGeom>
                    <a:noFill/>
                    <a:ln>
                      <a:noFill/>
                    </a:ln>
                  </pic:spPr>
                </pic:pic>
              </a:graphicData>
            </a:graphic>
          </wp:inline>
        </w:drawing>
      </w:r>
    </w:p>
    <w:p w14:paraId="67B008F7" w14:textId="2BD07040" w:rsidR="00DA0FE0" w:rsidRPr="00E4140E" w:rsidRDefault="00DA0FE0" w:rsidP="005371BE">
      <w:pPr>
        <w:keepNext/>
        <w:jc w:val="center"/>
        <w:outlineLvl w:val="4"/>
        <w:rPr>
          <w:b/>
          <w:color w:val="92D050"/>
        </w:rPr>
      </w:pPr>
    </w:p>
    <w:tbl>
      <w:tblPr>
        <w:tblW w:w="9260" w:type="dxa"/>
        <w:tblInd w:w="85" w:type="dxa"/>
        <w:tblLook w:val="04A0" w:firstRow="1" w:lastRow="0" w:firstColumn="1" w:lastColumn="0" w:noHBand="0" w:noVBand="1"/>
      </w:tblPr>
      <w:tblGrid>
        <w:gridCol w:w="9260"/>
      </w:tblGrid>
      <w:tr w:rsidR="005371BE" w:rsidRPr="005371BE" w14:paraId="46E79BC1" w14:textId="77777777" w:rsidTr="00BD0507">
        <w:trPr>
          <w:trHeight w:val="1035"/>
        </w:trPr>
        <w:tc>
          <w:tcPr>
            <w:tcW w:w="9260" w:type="dxa"/>
            <w:tcBorders>
              <w:top w:val="double" w:sz="6" w:space="0" w:color="000000"/>
              <w:left w:val="nil"/>
              <w:bottom w:val="nil"/>
              <w:right w:val="nil"/>
            </w:tcBorders>
            <w:shd w:val="clear" w:color="auto" w:fill="auto"/>
            <w:vAlign w:val="center"/>
            <w:hideMark/>
          </w:tcPr>
          <w:p w14:paraId="100C6767" w14:textId="77777777" w:rsidR="005371BE" w:rsidRPr="005371BE" w:rsidRDefault="005371BE" w:rsidP="005371BE">
            <w:pPr>
              <w:widowControl/>
              <w:adjustRightInd/>
              <w:rPr>
                <w:sz w:val="20"/>
                <w:szCs w:val="20"/>
              </w:rPr>
            </w:pPr>
            <w:r w:rsidRPr="005371BE">
              <w:rPr>
                <w:sz w:val="20"/>
                <w:szCs w:val="20"/>
              </w:rPr>
              <w:t xml:space="preserve">A “typical” respondent is assumed to report </w:t>
            </w:r>
            <w:r w:rsidRPr="005371BE">
              <w:rPr>
                <w:b/>
                <w:bCs/>
                <w:sz w:val="20"/>
                <w:szCs w:val="20"/>
              </w:rPr>
              <w:t>eight</w:t>
            </w:r>
            <w:r w:rsidRPr="005371BE">
              <w:rPr>
                <w:sz w:val="20"/>
                <w:szCs w:val="20"/>
              </w:rPr>
              <w:t xml:space="preserve"> continuous hazardous substance releases in year one and to experience a change in </w:t>
            </w:r>
            <w:r w:rsidRPr="005371BE">
              <w:rPr>
                <w:b/>
                <w:bCs/>
                <w:sz w:val="20"/>
                <w:szCs w:val="20"/>
              </w:rPr>
              <w:t>one release in the second and third years</w:t>
            </w:r>
            <w:r w:rsidRPr="005371BE">
              <w:rPr>
                <w:sz w:val="20"/>
                <w:szCs w:val="20"/>
              </w:rPr>
              <w:t xml:space="preserve"> (e.g., the frequency of the release per week changes each year, causing a modification in the estimated annual release amount).  No other </w:t>
            </w:r>
            <w:r w:rsidRPr="005371BE">
              <w:rPr>
                <w:sz w:val="20"/>
                <w:szCs w:val="20"/>
                <w:u w:val="single"/>
              </w:rPr>
              <w:t>conditional</w:t>
            </w:r>
            <w:r w:rsidRPr="005371BE">
              <w:rPr>
                <w:sz w:val="20"/>
                <w:szCs w:val="20"/>
              </w:rPr>
              <w:t xml:space="preserve"> activities are assumed to be required of the typical respondent.</w:t>
            </w:r>
          </w:p>
        </w:tc>
      </w:tr>
    </w:tbl>
    <w:p w14:paraId="3E4F23F0" w14:textId="3B0F939F" w:rsidR="00046522" w:rsidRPr="001D26B6" w:rsidRDefault="00837C7B" w:rsidP="001D26B6">
      <w:pPr>
        <w:rPr>
          <w:color w:val="99CC00"/>
          <w:sz w:val="20"/>
          <w:szCs w:val="20"/>
        </w:rPr>
      </w:pPr>
      <w:r>
        <w:rPr>
          <w:sz w:val="20"/>
          <w:szCs w:val="20"/>
        </w:rPr>
        <w:t xml:space="preserve">   </w:t>
      </w:r>
      <w:r w:rsidR="001D26B6" w:rsidRPr="008813A3">
        <w:rPr>
          <w:sz w:val="20"/>
          <w:szCs w:val="20"/>
        </w:rPr>
        <w:t>N/A = Not Applicable</w:t>
      </w:r>
    </w:p>
    <w:p w14:paraId="7D228C72" w14:textId="77777777" w:rsidR="00727BA0" w:rsidRDefault="00727BA0" w:rsidP="00727BA0">
      <w:pPr>
        <w:pStyle w:val="Heading2"/>
      </w:pPr>
      <w:bookmarkStart w:id="68" w:name="Exhibit_8"/>
      <w:bookmarkStart w:id="69" w:name="_Toc295823971"/>
      <w:bookmarkEnd w:id="68"/>
      <w:r>
        <w:t>Estimating Agency Burden and Cost</w:t>
      </w:r>
      <w:bookmarkEnd w:id="69"/>
    </w:p>
    <w:p w14:paraId="3172DE96" w14:textId="77777777" w:rsidR="00727BA0" w:rsidRDefault="00727BA0" w:rsidP="00727BA0"/>
    <w:p w14:paraId="767DB791" w14:textId="6CCA244A" w:rsidR="00727BA0" w:rsidRPr="001F3A52" w:rsidRDefault="00727BA0" w:rsidP="00E03B89">
      <w:pPr>
        <w:ind w:firstLine="720"/>
      </w:pPr>
      <w:r w:rsidRPr="001F3A52">
        <w:t xml:space="preserve">To comply with the provisions of the CRRR, Federal government </w:t>
      </w:r>
      <w:r w:rsidR="00372E7A">
        <w:t xml:space="preserve">(NRC and EPA Region) </w:t>
      </w:r>
      <w:r w:rsidR="00E16161">
        <w:t xml:space="preserve">and SERC and LEPC </w:t>
      </w:r>
      <w:r w:rsidRPr="001F3A52">
        <w:t>authorities perform the following activities (see also Section 5(a) of this ICR):  (1) process initial telephone notification</w:t>
      </w:r>
      <w:r w:rsidR="00372E7A">
        <w:t xml:space="preserve"> (NRC, SERC</w:t>
      </w:r>
      <w:r w:rsidR="00832E31">
        <w:t>,</w:t>
      </w:r>
      <w:r w:rsidR="00372E7A">
        <w:t xml:space="preserve"> and L</w:t>
      </w:r>
      <w:r w:rsidR="00832E31">
        <w:t>EP</w:t>
      </w:r>
      <w:r w:rsidR="00372E7A">
        <w:t>C)</w:t>
      </w:r>
      <w:r w:rsidRPr="001F3A52">
        <w:t>; (2) process initial written report</w:t>
      </w:r>
      <w:r w:rsidR="00372E7A">
        <w:t xml:space="preserve"> (EPA Region, SERC, </w:t>
      </w:r>
      <w:r w:rsidR="00832E31">
        <w:t xml:space="preserve">and </w:t>
      </w:r>
      <w:r w:rsidR="00372E7A">
        <w:t>LEPC)</w:t>
      </w:r>
      <w:r w:rsidRPr="001F3A52">
        <w:t>; (3) process follow-up written report</w:t>
      </w:r>
      <w:r w:rsidR="00372E7A">
        <w:t xml:space="preserve"> (EPA Region only)</w:t>
      </w:r>
      <w:r w:rsidRPr="001F3A52">
        <w:t>; (4) process change in the sources, composition or frequency of release reports</w:t>
      </w:r>
      <w:r w:rsidR="00372E7A">
        <w:t xml:space="preserve"> (EPA Region, SERC, </w:t>
      </w:r>
      <w:r w:rsidR="00832E31">
        <w:t xml:space="preserve">and </w:t>
      </w:r>
      <w:r w:rsidR="00372E7A">
        <w:t>LEPC)</w:t>
      </w:r>
      <w:r w:rsidRPr="001F3A52">
        <w:t>; (5) process other changes in information; (6) process SSI reports</w:t>
      </w:r>
      <w:r w:rsidR="00372E7A">
        <w:t xml:space="preserve"> (NRC, SERC, </w:t>
      </w:r>
      <w:r w:rsidR="00832E31">
        <w:t xml:space="preserve">and </w:t>
      </w:r>
      <w:r w:rsidR="00372E7A">
        <w:t>LEPC)</w:t>
      </w:r>
      <w:r w:rsidRPr="001F3A52">
        <w:t>; and (7) conduct other necessary activities (obtain additional information, conduct site inspection)</w:t>
      </w:r>
      <w:r w:rsidR="00372E7A">
        <w:t xml:space="preserve"> (EPA Region)</w:t>
      </w:r>
      <w:r w:rsidRPr="001F3A52">
        <w:t>.  The estimated burden to the Federal government</w:t>
      </w:r>
      <w:r w:rsidR="00372E7A">
        <w:t>, the SERC and the LEPC</w:t>
      </w:r>
      <w:r w:rsidRPr="001F3A52">
        <w:t xml:space="preserve"> </w:t>
      </w:r>
    </w:p>
    <w:p w14:paraId="4FF83A13" w14:textId="460D23E5" w:rsidR="00727BA0" w:rsidRDefault="00727BA0" w:rsidP="00305A08">
      <w:r w:rsidRPr="001F3A52">
        <w:t xml:space="preserve">Exhibit 9 presents the estimated burden-hours and unit cost associated </w:t>
      </w:r>
      <w:r w:rsidR="00372E7A">
        <w:t xml:space="preserve">for each of the activities described above for the </w:t>
      </w:r>
      <w:r w:rsidRPr="001F3A52">
        <w:t>Federal government</w:t>
      </w:r>
      <w:r w:rsidR="00E03B89">
        <w:t xml:space="preserve"> </w:t>
      </w:r>
      <w:r w:rsidR="00372E7A">
        <w:t>(NRC and EPA Region)</w:t>
      </w:r>
      <w:r w:rsidR="00E16161">
        <w:t>, SERC and LEPC</w:t>
      </w:r>
      <w:r w:rsidR="00372E7A">
        <w:t>, which includes</w:t>
      </w:r>
      <w:r w:rsidRPr="001F3A52">
        <w:t xml:space="preserve"> processing and evaluation of the various continuous release reports, as well as the burden and cost associated with any other government initiated activities that may involve the </w:t>
      </w:r>
      <w:r w:rsidRPr="002F082A">
        <w:rPr>
          <w:color w:val="000000" w:themeColor="text1"/>
        </w:rPr>
        <w:t xml:space="preserve">collection of information.  The unit cost estimates presented in Exhibit 9 are derived by multiplying the applicable burden estimates by the average hourly wage rate for government employees.  </w:t>
      </w:r>
      <w:r w:rsidR="00557C81" w:rsidRPr="002F082A">
        <w:rPr>
          <w:color w:val="000000" w:themeColor="text1"/>
        </w:rPr>
        <w:t>Based on the 20</w:t>
      </w:r>
      <w:r w:rsidR="002F6FEE" w:rsidRPr="002F082A">
        <w:rPr>
          <w:color w:val="000000" w:themeColor="text1"/>
        </w:rPr>
        <w:t>1</w:t>
      </w:r>
      <w:r w:rsidR="00DA0FE0">
        <w:rPr>
          <w:color w:val="000000" w:themeColor="text1"/>
        </w:rPr>
        <w:t>8</w:t>
      </w:r>
      <w:r w:rsidRPr="002F082A">
        <w:rPr>
          <w:color w:val="000000" w:themeColor="text1"/>
        </w:rPr>
        <w:t xml:space="preserve"> GS pay schedule, EPA estimates an average hourly labor cost of </w:t>
      </w:r>
      <w:r w:rsidR="002F6FEE" w:rsidRPr="002F082A">
        <w:rPr>
          <w:color w:val="000000" w:themeColor="text1"/>
        </w:rPr>
        <w:t>$</w:t>
      </w:r>
      <w:r w:rsidR="00DA0FE0">
        <w:rPr>
          <w:color w:val="000000" w:themeColor="text1"/>
        </w:rPr>
        <w:t>48.75</w:t>
      </w:r>
      <w:r w:rsidRPr="002F082A">
        <w:rPr>
          <w:color w:val="000000" w:themeColor="text1"/>
        </w:rPr>
        <w:t xml:space="preserve"> for the average </w:t>
      </w:r>
      <w:r w:rsidRPr="00557C81">
        <w:t>Federal government employee.</w:t>
      </w:r>
      <w:r w:rsidRPr="00557C81">
        <w:rPr>
          <w:rStyle w:val="FootnoteReference"/>
          <w:vertAlign w:val="superscript"/>
        </w:rPr>
        <w:footnoteReference w:id="8"/>
      </w:r>
      <w:r w:rsidRPr="00557C81">
        <w:t xml:space="preserve">  A full description of the basis for each government burden</w:t>
      </w:r>
      <w:r w:rsidRPr="001F3A52">
        <w:t xml:space="preserve"> estimate is provided in the remainder of this section.</w:t>
      </w:r>
      <w:r w:rsidR="000B00BA">
        <w:t xml:space="preserve"> In addition, </w:t>
      </w:r>
      <w:r w:rsidR="00261E98">
        <w:t xml:space="preserve">according to the BLS, </w:t>
      </w:r>
      <w:r w:rsidR="000B00BA">
        <w:t>the average hourly labor cost for SERCs and LEPCs is $50.26.</w:t>
      </w:r>
      <w:r w:rsidR="00261E98" w:rsidRPr="00261E98">
        <w:rPr>
          <w:vertAlign w:val="superscript"/>
        </w:rPr>
        <w:t xml:space="preserve"> </w:t>
      </w:r>
      <w:r w:rsidR="00261E98">
        <w:rPr>
          <w:vertAlign w:val="superscript"/>
        </w:rPr>
        <w:t>9</w:t>
      </w:r>
    </w:p>
    <w:p w14:paraId="00D8C33F" w14:textId="77777777" w:rsidR="00624695" w:rsidRDefault="00624695" w:rsidP="00727BA0">
      <w:pPr>
        <w:ind w:firstLine="720"/>
      </w:pPr>
    </w:p>
    <w:p w14:paraId="16C70149" w14:textId="2D658C25" w:rsidR="00802272" w:rsidRDefault="00624695" w:rsidP="00624695">
      <w:pPr>
        <w:keepNext/>
        <w:jc w:val="center"/>
        <w:outlineLvl w:val="4"/>
        <w:rPr>
          <w:b/>
        </w:rPr>
      </w:pPr>
      <w:bookmarkStart w:id="70" w:name="_Toc295823972"/>
      <w:r>
        <w:rPr>
          <w:b/>
        </w:rPr>
        <w:t>Exhibit 9 – Unit Burden Hours and Costs Incurred by the Government per Information Collection Activity</w:t>
      </w:r>
      <w:bookmarkEnd w:id="70"/>
    </w:p>
    <w:p w14:paraId="2BBE2722" w14:textId="45FC3A36" w:rsidR="009C74DB" w:rsidRDefault="004362FD" w:rsidP="00624695">
      <w:pPr>
        <w:keepNext/>
        <w:jc w:val="center"/>
        <w:outlineLvl w:val="4"/>
      </w:pPr>
      <w:r w:rsidRPr="004362FD">
        <w:rPr>
          <w:noProof/>
        </w:rPr>
        <w:drawing>
          <wp:inline distT="0" distB="0" distL="0" distR="0" wp14:anchorId="3069CF6D" wp14:editId="6AB53D44">
            <wp:extent cx="4733925" cy="36671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33925" cy="3667125"/>
                    </a:xfrm>
                    <a:prstGeom prst="rect">
                      <a:avLst/>
                    </a:prstGeom>
                    <a:noFill/>
                    <a:ln>
                      <a:noFill/>
                    </a:ln>
                  </pic:spPr>
                </pic:pic>
              </a:graphicData>
            </a:graphic>
          </wp:inline>
        </w:drawing>
      </w:r>
    </w:p>
    <w:p w14:paraId="6B89063D" w14:textId="67915CB8" w:rsidR="002E0F3E" w:rsidRDefault="002E0F3E" w:rsidP="002E0F3E">
      <w:pPr>
        <w:ind w:firstLine="720"/>
        <w:jc w:val="center"/>
      </w:pPr>
    </w:p>
    <w:p w14:paraId="02C14AC3" w14:textId="77777777" w:rsidR="00C57958" w:rsidRDefault="00C57958" w:rsidP="002E0F3E">
      <w:pPr>
        <w:ind w:firstLine="720"/>
        <w:jc w:val="center"/>
      </w:pPr>
    </w:p>
    <w:p w14:paraId="4C5DC89F" w14:textId="7E1EE867" w:rsidR="00802272" w:rsidRPr="008B56B7" w:rsidRDefault="00802272" w:rsidP="00727BA0">
      <w:pPr>
        <w:ind w:firstLine="720"/>
        <w:rPr>
          <w:color w:val="92D050"/>
        </w:rPr>
      </w:pPr>
      <w:r w:rsidRPr="008B56B7">
        <w:rPr>
          <w:color w:val="92D050"/>
        </w:rPr>
        <w:t>We believe that submission of continuous release reporting forms will increase efficiencies in processing reports by the Federal government</w:t>
      </w:r>
      <w:r w:rsidR="00575AF8">
        <w:rPr>
          <w:color w:val="92D050"/>
        </w:rPr>
        <w:t xml:space="preserve"> as well as SERCs and LEPCs</w:t>
      </w:r>
      <w:r w:rsidRPr="008B56B7">
        <w:rPr>
          <w:color w:val="92D050"/>
        </w:rPr>
        <w:t xml:space="preserve">.  For the purposes of this analysis, we are assuming that processing forms will save </w:t>
      </w:r>
      <w:r w:rsidR="005D16AB" w:rsidRPr="008B56B7">
        <w:rPr>
          <w:color w:val="92D050"/>
        </w:rPr>
        <w:t>approximately</w:t>
      </w:r>
      <w:r w:rsidRPr="008B56B7">
        <w:rPr>
          <w:color w:val="92D050"/>
        </w:rPr>
        <w:t xml:space="preserve"> 1/3</w:t>
      </w:r>
      <w:r w:rsidRPr="008B56B7">
        <w:rPr>
          <w:color w:val="92D050"/>
          <w:vertAlign w:val="superscript"/>
        </w:rPr>
        <w:t>rd</w:t>
      </w:r>
      <w:r w:rsidRPr="008B56B7">
        <w:rPr>
          <w:color w:val="92D050"/>
        </w:rPr>
        <w:t xml:space="preserve"> of estimated average times</w:t>
      </w:r>
      <w:r w:rsidR="0017595A" w:rsidRPr="008B56B7">
        <w:rPr>
          <w:color w:val="92D050"/>
        </w:rPr>
        <w:t xml:space="preserve"> for each activity that requires processing a report</w:t>
      </w:r>
      <w:r w:rsidRPr="008B56B7">
        <w:rPr>
          <w:color w:val="92D050"/>
        </w:rPr>
        <w:t xml:space="preserve">.  This assumption </w:t>
      </w:r>
      <w:r w:rsidR="005D16AB" w:rsidRPr="008B56B7">
        <w:rPr>
          <w:color w:val="92D050"/>
        </w:rPr>
        <w:t xml:space="preserve">will be reviewed during </w:t>
      </w:r>
      <w:r w:rsidRPr="008B56B7">
        <w:rPr>
          <w:color w:val="92D050"/>
        </w:rPr>
        <w:t>the next renewal.</w:t>
      </w:r>
      <w:r w:rsidR="002E0F3E" w:rsidRPr="008B56B7">
        <w:rPr>
          <w:color w:val="92D050"/>
        </w:rPr>
        <w:t xml:space="preserve">  Exhibit 9 (With Forms) presents the estimated burden-hours and unit cost associated with the Federal government’s</w:t>
      </w:r>
      <w:r w:rsidR="00575AF8">
        <w:rPr>
          <w:color w:val="92D050"/>
        </w:rPr>
        <w:t>, SERCs, and LEPCs</w:t>
      </w:r>
      <w:r w:rsidR="002E0F3E" w:rsidRPr="008B56B7">
        <w:rPr>
          <w:color w:val="92D050"/>
        </w:rPr>
        <w:t xml:space="preserve"> processing and evaluation of the various continuous release reports, as well as the burden and cost associated with any other government initiated activities that may involve the collection of information when continuous release reporting forms are submitted by industries.</w:t>
      </w:r>
    </w:p>
    <w:p w14:paraId="44E654EE" w14:textId="77777777" w:rsidR="00624695" w:rsidRPr="008B56B7" w:rsidRDefault="00624695" w:rsidP="00727BA0">
      <w:pPr>
        <w:ind w:firstLine="720"/>
        <w:rPr>
          <w:color w:val="92D050"/>
        </w:rPr>
      </w:pPr>
    </w:p>
    <w:p w14:paraId="5354FEC9" w14:textId="14206B42" w:rsidR="00624695" w:rsidRDefault="000003F0" w:rsidP="000003F0">
      <w:pPr>
        <w:keepNext/>
        <w:jc w:val="center"/>
        <w:outlineLvl w:val="4"/>
        <w:rPr>
          <w:b/>
          <w:color w:val="92D050"/>
        </w:rPr>
      </w:pPr>
      <w:bookmarkStart w:id="71" w:name="_Toc295823973"/>
      <w:r w:rsidRPr="008B56B7">
        <w:rPr>
          <w:b/>
          <w:color w:val="92D050"/>
        </w:rPr>
        <w:t>Exhibit 9 (With Forms) – Unit Burden Hours and Costs Incurred by the Government per Information Collection Activity</w:t>
      </w:r>
      <w:bookmarkEnd w:id="71"/>
    </w:p>
    <w:p w14:paraId="3ABF727B" w14:textId="4D0817A3" w:rsidR="00575AF8" w:rsidRDefault="004362FD" w:rsidP="000003F0">
      <w:pPr>
        <w:keepNext/>
        <w:jc w:val="center"/>
        <w:outlineLvl w:val="4"/>
        <w:rPr>
          <w:b/>
          <w:color w:val="92D050"/>
        </w:rPr>
      </w:pPr>
      <w:r w:rsidRPr="004362FD">
        <w:rPr>
          <w:noProof/>
        </w:rPr>
        <w:drawing>
          <wp:inline distT="0" distB="0" distL="0" distR="0" wp14:anchorId="43FB65A2" wp14:editId="253A6A2D">
            <wp:extent cx="4733925" cy="36671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733925" cy="3667125"/>
                    </a:xfrm>
                    <a:prstGeom prst="rect">
                      <a:avLst/>
                    </a:prstGeom>
                    <a:noFill/>
                    <a:ln>
                      <a:noFill/>
                    </a:ln>
                  </pic:spPr>
                </pic:pic>
              </a:graphicData>
            </a:graphic>
          </wp:inline>
        </w:drawing>
      </w:r>
    </w:p>
    <w:p w14:paraId="6904D821" w14:textId="282B7C49" w:rsidR="00866B40" w:rsidRPr="008B56B7" w:rsidRDefault="00866B40" w:rsidP="000003F0">
      <w:pPr>
        <w:keepNext/>
        <w:jc w:val="center"/>
        <w:outlineLvl w:val="4"/>
        <w:rPr>
          <w:b/>
          <w:color w:val="92D050"/>
        </w:rPr>
      </w:pPr>
    </w:p>
    <w:p w14:paraId="7EBF3411" w14:textId="0F9731BF" w:rsidR="002E0F3E" w:rsidRPr="00802272" w:rsidRDefault="002E0F3E" w:rsidP="006357E3">
      <w:pPr>
        <w:rPr>
          <w:color w:val="33CC33"/>
        </w:rPr>
      </w:pPr>
    </w:p>
    <w:p w14:paraId="083D6238" w14:textId="77777777" w:rsidR="00727BA0" w:rsidRPr="001F3A52" w:rsidRDefault="00727BA0" w:rsidP="00727BA0"/>
    <w:p w14:paraId="35EDC381" w14:textId="50C40EC4" w:rsidR="00727BA0" w:rsidRPr="008B56B7" w:rsidRDefault="00727BA0" w:rsidP="00D075DF">
      <w:pPr>
        <w:rPr>
          <w:color w:val="000000" w:themeColor="text1"/>
        </w:rPr>
      </w:pPr>
      <w:r w:rsidRPr="001F3A52">
        <w:rPr>
          <w:b/>
          <w:bCs/>
        </w:rPr>
        <w:t xml:space="preserve"> Process Initial Telephone Notification</w:t>
      </w:r>
      <w:r w:rsidRPr="001F3A52">
        <w:t xml:space="preserve"> </w:t>
      </w:r>
      <w:r>
        <w:t>–</w:t>
      </w:r>
      <w:r w:rsidRPr="001F3A52">
        <w:t xml:space="preserve"> EPA estimates that the NRC</w:t>
      </w:r>
      <w:r w:rsidR="00121DEC">
        <w:t>, the SERC, and the LEPC</w:t>
      </w:r>
      <w:r w:rsidRPr="001F3A52">
        <w:t xml:space="preserve"> requires </w:t>
      </w:r>
      <w:r w:rsidRPr="001F3A52">
        <w:rPr>
          <w:i/>
          <w:iCs/>
        </w:rPr>
        <w:t>30 minutes (0.5 hours</w:t>
      </w:r>
      <w:r w:rsidR="00121DEC">
        <w:rPr>
          <w:i/>
          <w:iCs/>
        </w:rPr>
        <w:t xml:space="preserve"> each</w:t>
      </w:r>
      <w:r w:rsidRPr="001F3A52">
        <w:rPr>
          <w:i/>
          <w:iCs/>
        </w:rPr>
        <w:t>)</w:t>
      </w:r>
      <w:r w:rsidRPr="001F3A52">
        <w:t xml:space="preserve"> to process the information provided in the initial telephone call.  The </w:t>
      </w:r>
      <w:r w:rsidR="000C7360" w:rsidRPr="001F3A52">
        <w:t>first-year</w:t>
      </w:r>
      <w:r w:rsidRPr="001F3A52">
        <w:t xml:space="preserve"> unit cost associated with </w:t>
      </w:r>
      <w:r w:rsidRPr="001F3A52">
        <w:rPr>
          <w:i/>
          <w:iCs/>
        </w:rPr>
        <w:t xml:space="preserve">processing the initial </w:t>
      </w:r>
      <w:r w:rsidRPr="008B56B7">
        <w:rPr>
          <w:i/>
          <w:iCs/>
          <w:color w:val="000000" w:themeColor="text1"/>
        </w:rPr>
        <w:t xml:space="preserve">telephone call is </w:t>
      </w:r>
      <w:r w:rsidR="00964CFF" w:rsidRPr="008B56B7">
        <w:rPr>
          <w:color w:val="000000" w:themeColor="text1"/>
        </w:rPr>
        <w:t>$</w:t>
      </w:r>
      <w:r w:rsidR="00121DEC">
        <w:rPr>
          <w:color w:val="000000" w:themeColor="text1"/>
        </w:rPr>
        <w:t>74.64</w:t>
      </w:r>
      <w:r w:rsidRPr="008B56B7">
        <w:rPr>
          <w:color w:val="000000" w:themeColor="text1"/>
        </w:rPr>
        <w:t>.</w:t>
      </w:r>
    </w:p>
    <w:p w14:paraId="7D71F870" w14:textId="77777777" w:rsidR="00727BA0" w:rsidRPr="008B56B7" w:rsidRDefault="00727BA0" w:rsidP="00727BA0">
      <w:pPr>
        <w:rPr>
          <w:color w:val="00B050"/>
        </w:rPr>
      </w:pPr>
    </w:p>
    <w:p w14:paraId="1854D2F5" w14:textId="77777777" w:rsidR="0017595A" w:rsidRPr="008B56B7" w:rsidRDefault="0017595A" w:rsidP="00727BA0">
      <w:pPr>
        <w:rPr>
          <w:color w:val="92D050"/>
        </w:rPr>
      </w:pPr>
      <w:r w:rsidRPr="008B56B7">
        <w:rPr>
          <w:color w:val="00B050"/>
        </w:rPr>
        <w:tab/>
      </w:r>
      <w:r w:rsidRPr="008B56B7">
        <w:rPr>
          <w:color w:val="92D050"/>
        </w:rPr>
        <w:t>We do not expect that the use of the continuous release reporting forms will reduce the burden associated with processing the initial telephone call.</w:t>
      </w:r>
    </w:p>
    <w:p w14:paraId="092DB4A2" w14:textId="77777777" w:rsidR="0017595A" w:rsidRPr="008B56B7" w:rsidRDefault="0017595A" w:rsidP="00727BA0">
      <w:pPr>
        <w:rPr>
          <w:color w:val="92D050"/>
        </w:rPr>
      </w:pPr>
    </w:p>
    <w:p w14:paraId="39776419" w14:textId="23BD238A" w:rsidR="00727BA0" w:rsidRPr="008B56B7" w:rsidRDefault="00727BA0" w:rsidP="00D075DF">
      <w:pPr>
        <w:rPr>
          <w:color w:val="000000" w:themeColor="text1"/>
        </w:rPr>
      </w:pPr>
      <w:r w:rsidRPr="001F3A52">
        <w:rPr>
          <w:b/>
          <w:bCs/>
        </w:rPr>
        <w:t xml:space="preserve">Process Initial Written Report </w:t>
      </w:r>
      <w:r>
        <w:t>–</w:t>
      </w:r>
      <w:r w:rsidRPr="001F3A52">
        <w:t xml:space="preserve"> Government authorities </w:t>
      </w:r>
      <w:r w:rsidR="00274E55">
        <w:t xml:space="preserve">(EPA Region, SERC, LEPC) </w:t>
      </w:r>
      <w:r w:rsidRPr="001F3A52">
        <w:t xml:space="preserve">review initial </w:t>
      </w:r>
      <w:r w:rsidR="002C08FE" w:rsidRPr="001F3A52">
        <w:t>written reports</w:t>
      </w:r>
      <w:r w:rsidRPr="001F3A52">
        <w:t xml:space="preserve"> to become familiar with the nature and extent of the release, to determine if the release qualifies for reduced reporting under CERCLA section 103(f)(2) and to assess the hazards to public health and welfare and the environment.  EPA estimates that the preliminary evaluation of the release requires on average, </w:t>
      </w:r>
      <w:r w:rsidR="002C08FE">
        <w:rPr>
          <w:i/>
          <w:iCs/>
        </w:rPr>
        <w:t>4.5</w:t>
      </w:r>
      <w:r w:rsidR="00274E55">
        <w:rPr>
          <w:i/>
          <w:iCs/>
        </w:rPr>
        <w:t xml:space="preserve"> hours</w:t>
      </w:r>
      <w:r w:rsidRPr="001F3A52">
        <w:t xml:space="preserve"> </w:t>
      </w:r>
      <w:r w:rsidR="002C08FE">
        <w:t xml:space="preserve">(1.5 hours for each entity) </w:t>
      </w:r>
      <w:r w:rsidRPr="001F3A52">
        <w:t>of government time</w:t>
      </w:r>
      <w:r w:rsidR="00121DEC">
        <w:t xml:space="preserve"> (federal, state, and local)</w:t>
      </w:r>
      <w:r w:rsidRPr="001F3A52">
        <w:t xml:space="preserve">.  The costs of processing and evaluating the initial written report are incurred in the first year of reporting.  Therefore, the </w:t>
      </w:r>
      <w:r w:rsidRPr="001F3A52">
        <w:rPr>
          <w:i/>
          <w:iCs/>
        </w:rPr>
        <w:t xml:space="preserve">unit cost for processing and evaluating the initial written </w:t>
      </w:r>
      <w:r w:rsidRPr="008B56B7">
        <w:rPr>
          <w:i/>
          <w:iCs/>
          <w:color w:val="000000" w:themeColor="text1"/>
        </w:rPr>
        <w:t xml:space="preserve">report is </w:t>
      </w:r>
      <w:r w:rsidR="00964CFF" w:rsidRPr="008B56B7">
        <w:rPr>
          <w:color w:val="000000" w:themeColor="text1"/>
        </w:rPr>
        <w:t>$</w:t>
      </w:r>
      <w:r w:rsidR="00121DEC">
        <w:rPr>
          <w:color w:val="000000" w:themeColor="text1"/>
        </w:rPr>
        <w:t>223.91</w:t>
      </w:r>
      <w:r w:rsidRPr="008B56B7">
        <w:rPr>
          <w:color w:val="000000" w:themeColor="text1"/>
        </w:rPr>
        <w:t>.</w:t>
      </w:r>
    </w:p>
    <w:p w14:paraId="3447E43B" w14:textId="77777777" w:rsidR="00802272" w:rsidRDefault="00802272" w:rsidP="00727BA0">
      <w:pPr>
        <w:ind w:firstLine="720"/>
      </w:pPr>
    </w:p>
    <w:p w14:paraId="450B7A68" w14:textId="0D58C22C" w:rsidR="00802272" w:rsidRPr="005A4251" w:rsidRDefault="00BC018C" w:rsidP="00D075DF">
      <w:pPr>
        <w:rPr>
          <w:color w:val="92D050"/>
        </w:rPr>
      </w:pPr>
      <w:r w:rsidRPr="008B56B7">
        <w:rPr>
          <w:color w:val="92D050"/>
        </w:rPr>
        <w:t xml:space="preserve">We estimate that the </w:t>
      </w:r>
      <w:r w:rsidRPr="002664AA">
        <w:rPr>
          <w:color w:val="92D050"/>
        </w:rPr>
        <w:t xml:space="preserve">preliminary evaluation of the release will require on average, </w:t>
      </w:r>
      <w:r w:rsidR="002C08FE" w:rsidRPr="002664AA">
        <w:rPr>
          <w:color w:val="92D050"/>
        </w:rPr>
        <w:t>3 total hours (</w:t>
      </w:r>
      <w:r w:rsidRPr="002664AA">
        <w:rPr>
          <w:i/>
          <w:color w:val="92D050"/>
        </w:rPr>
        <w:t>one hour</w:t>
      </w:r>
      <w:r w:rsidR="002664AA" w:rsidRPr="002664AA">
        <w:rPr>
          <w:i/>
          <w:color w:val="92D050"/>
        </w:rPr>
        <w:t xml:space="preserve"> per entity)</w:t>
      </w:r>
      <w:r w:rsidRPr="002664AA">
        <w:rPr>
          <w:color w:val="92D050"/>
        </w:rPr>
        <w:t xml:space="preserve"> of government time</w:t>
      </w:r>
      <w:r w:rsidR="00121DEC" w:rsidRPr="002664AA">
        <w:rPr>
          <w:color w:val="92D050"/>
        </w:rPr>
        <w:t xml:space="preserve"> (federal, state, and local)</w:t>
      </w:r>
      <w:r w:rsidRPr="002664AA">
        <w:rPr>
          <w:color w:val="92D050"/>
        </w:rPr>
        <w:t xml:space="preserve"> to process </w:t>
      </w:r>
      <w:r w:rsidRPr="008B56B7">
        <w:rPr>
          <w:color w:val="92D050"/>
        </w:rPr>
        <w:t>continuous release forms.  Thus</w:t>
      </w:r>
      <w:r w:rsidR="00121DEC">
        <w:rPr>
          <w:color w:val="92D050"/>
        </w:rPr>
        <w:t>,</w:t>
      </w:r>
      <w:r w:rsidRPr="008B56B7">
        <w:rPr>
          <w:color w:val="92D050"/>
        </w:rPr>
        <w:t xml:space="preserve"> the</w:t>
      </w:r>
      <w:r w:rsidRPr="008B56B7">
        <w:rPr>
          <w:i/>
          <w:color w:val="92D050"/>
        </w:rPr>
        <w:t xml:space="preserve"> unit cost for processing and evaluating the initial written report forms is </w:t>
      </w:r>
      <w:r w:rsidR="00964CFF" w:rsidRPr="008B56B7">
        <w:rPr>
          <w:color w:val="92D050"/>
        </w:rPr>
        <w:t>$</w:t>
      </w:r>
      <w:r w:rsidR="00121DEC">
        <w:rPr>
          <w:color w:val="92D050"/>
        </w:rPr>
        <w:t>149.27</w:t>
      </w:r>
      <w:r w:rsidRPr="008B56B7">
        <w:rPr>
          <w:i/>
          <w:color w:val="92D050"/>
        </w:rPr>
        <w:t>.</w:t>
      </w:r>
    </w:p>
    <w:p w14:paraId="6463D2DA" w14:textId="77777777" w:rsidR="00727BA0" w:rsidRPr="008B56B7" w:rsidRDefault="00727BA0" w:rsidP="00727BA0">
      <w:pPr>
        <w:rPr>
          <w:color w:val="00B050"/>
        </w:rPr>
      </w:pPr>
    </w:p>
    <w:p w14:paraId="649CE4B0" w14:textId="4FD3BF07" w:rsidR="00727BA0" w:rsidRPr="001358B0" w:rsidRDefault="00727BA0" w:rsidP="00D075DF">
      <w:r w:rsidRPr="001F3A52">
        <w:rPr>
          <w:b/>
          <w:bCs/>
        </w:rPr>
        <w:t>Process Follow-up Written Report</w:t>
      </w:r>
      <w:r w:rsidRPr="001F3A52">
        <w:t xml:space="preserve"> </w:t>
      </w:r>
      <w:r w:rsidR="00274E55">
        <w:t xml:space="preserve">(“First Anniversary Report”) </w:t>
      </w:r>
      <w:r w:rsidRPr="001F3A52">
        <w:t>-- Within one year of submitting the initial written report, facilities must submit a written follow-up report to update and confirm previously submitted information.  The follow-up report provides EPA</w:t>
      </w:r>
      <w:r w:rsidR="003A18B6">
        <w:t xml:space="preserve"> </w:t>
      </w:r>
      <w:r w:rsidRPr="001F3A52">
        <w:t>with a more accurate baseline against which to evaluate both the threat posed by the release and the impact that SSIs in the</w:t>
      </w:r>
      <w:r w:rsidR="00FC39C8">
        <w:t xml:space="preserve"> </w:t>
      </w:r>
      <w:r w:rsidRPr="001F3A52">
        <w:t>release may have on public health and welfare and the environment.  The activities necessary to re</w:t>
      </w:r>
      <w:r w:rsidRPr="001F3A52">
        <w:softHyphen/>
        <w:t xml:space="preserve">evaluate the continuous release with the newly submitted follow-up report are assumed to be identical to those required to process and evaluate the initial written report, </w:t>
      </w:r>
      <w:r w:rsidR="00274E55">
        <w:rPr>
          <w:i/>
          <w:iCs/>
        </w:rPr>
        <w:t>1.</w:t>
      </w:r>
      <w:r w:rsidR="00F7288D">
        <w:rPr>
          <w:i/>
          <w:iCs/>
        </w:rPr>
        <w:t>5</w:t>
      </w:r>
      <w:r w:rsidR="00274E55">
        <w:rPr>
          <w:i/>
          <w:iCs/>
        </w:rPr>
        <w:t xml:space="preserve"> hour</w:t>
      </w:r>
      <w:r w:rsidR="00F7288D">
        <w:rPr>
          <w:i/>
          <w:iCs/>
        </w:rPr>
        <w:t xml:space="preserve">s, but are incurred by the </w:t>
      </w:r>
      <w:r w:rsidR="00274E55">
        <w:rPr>
          <w:i/>
          <w:iCs/>
        </w:rPr>
        <w:t>EPA Region</w:t>
      </w:r>
      <w:r w:rsidR="00F7288D">
        <w:rPr>
          <w:i/>
          <w:iCs/>
        </w:rPr>
        <w:t xml:space="preserve"> only</w:t>
      </w:r>
      <w:r w:rsidRPr="001F3A52">
        <w:t>.  The costs associated with the follow-up written report</w:t>
      </w:r>
      <w:r w:rsidR="00F7288D">
        <w:t xml:space="preserve"> </w:t>
      </w:r>
      <w:r w:rsidRPr="001F3A52">
        <w:t xml:space="preserve">are incurred in the second year of reporting.  Therefore, the </w:t>
      </w:r>
      <w:r w:rsidRPr="001F3A52">
        <w:rPr>
          <w:i/>
          <w:iCs/>
        </w:rPr>
        <w:t xml:space="preserve">unit cost for processing and evaluating the follow-up written </w:t>
      </w:r>
      <w:r w:rsidRPr="001358B0">
        <w:rPr>
          <w:i/>
          <w:iCs/>
        </w:rPr>
        <w:t xml:space="preserve">report is </w:t>
      </w:r>
      <w:r w:rsidR="00222C07" w:rsidRPr="008B56B7">
        <w:t>$</w:t>
      </w:r>
      <w:r w:rsidR="00F7288D">
        <w:t>73.13</w:t>
      </w:r>
      <w:r w:rsidRPr="001358B0">
        <w:t>.</w:t>
      </w:r>
    </w:p>
    <w:p w14:paraId="71FE1890" w14:textId="77777777" w:rsidR="00783FAF" w:rsidRPr="001F3A52" w:rsidRDefault="00783FAF" w:rsidP="00FC39C8">
      <w:pPr>
        <w:ind w:firstLine="720"/>
      </w:pPr>
    </w:p>
    <w:p w14:paraId="3C014A58" w14:textId="48626454" w:rsidR="00783FAF" w:rsidRPr="005A4251" w:rsidRDefault="00783FAF" w:rsidP="00D075DF">
      <w:pPr>
        <w:rPr>
          <w:color w:val="92D050"/>
        </w:rPr>
      </w:pPr>
      <w:r w:rsidRPr="008B56B7">
        <w:rPr>
          <w:color w:val="92D050"/>
        </w:rPr>
        <w:t xml:space="preserve">We estimate that the activities necessary to reevaluate the continuous release with the newly submitted follow-up report of the release will require on average, </w:t>
      </w:r>
      <w:r w:rsidRPr="008B56B7">
        <w:rPr>
          <w:i/>
          <w:color w:val="92D050"/>
        </w:rPr>
        <w:t>one hour</w:t>
      </w:r>
      <w:r w:rsidRPr="008B56B7">
        <w:rPr>
          <w:color w:val="92D050"/>
        </w:rPr>
        <w:t xml:space="preserve"> of government</w:t>
      </w:r>
      <w:r w:rsidR="00F7288D">
        <w:rPr>
          <w:color w:val="92D050"/>
        </w:rPr>
        <w:t xml:space="preserve"> time at the EPA Region </w:t>
      </w:r>
      <w:r w:rsidRPr="008B56B7">
        <w:rPr>
          <w:color w:val="92D050"/>
        </w:rPr>
        <w:t>to process continuous release forms.  Thus</w:t>
      </w:r>
      <w:r w:rsidR="00356110">
        <w:rPr>
          <w:color w:val="92D050"/>
        </w:rPr>
        <w:t>,</w:t>
      </w:r>
      <w:r w:rsidRPr="008B56B7">
        <w:rPr>
          <w:color w:val="92D050"/>
        </w:rPr>
        <w:t xml:space="preserve"> the</w:t>
      </w:r>
      <w:r w:rsidRPr="008B56B7">
        <w:rPr>
          <w:i/>
          <w:color w:val="92D050"/>
        </w:rPr>
        <w:t xml:space="preserve"> unit cost for processing and evaluating the follow-up written report forms is </w:t>
      </w:r>
      <w:r w:rsidR="00222C07" w:rsidRPr="008B56B7">
        <w:rPr>
          <w:color w:val="92D050"/>
        </w:rPr>
        <w:t>$</w:t>
      </w:r>
      <w:r w:rsidR="00F7288D">
        <w:rPr>
          <w:color w:val="92D050"/>
        </w:rPr>
        <w:t>48.7</w:t>
      </w:r>
      <w:r w:rsidR="006370E1">
        <w:rPr>
          <w:color w:val="92D050"/>
        </w:rPr>
        <w:t>5</w:t>
      </w:r>
      <w:r w:rsidRPr="008B56B7">
        <w:rPr>
          <w:i/>
          <w:color w:val="92D050"/>
        </w:rPr>
        <w:t>.</w:t>
      </w:r>
    </w:p>
    <w:p w14:paraId="188DD987" w14:textId="77777777" w:rsidR="00727BA0" w:rsidRPr="001F3A52" w:rsidRDefault="00727BA0" w:rsidP="00727BA0"/>
    <w:p w14:paraId="14DED56E" w14:textId="2708724C" w:rsidR="00727BA0" w:rsidRPr="001F3A52" w:rsidRDefault="00727BA0" w:rsidP="00D075DF">
      <w:r w:rsidRPr="001F3A52">
        <w:rPr>
          <w:b/>
          <w:bCs/>
        </w:rPr>
        <w:t>Process a Change in the Sources, Composition, or Frequency of a Release Report</w:t>
      </w:r>
      <w:r w:rsidRPr="001F3A52">
        <w:t xml:space="preserve"> </w:t>
      </w:r>
      <w:r>
        <w:t>–</w:t>
      </w:r>
      <w:r w:rsidRPr="001F3A52">
        <w:t xml:space="preserve"> After initial notification reports have been submitted for a release and reporting under </w:t>
      </w:r>
      <w:r w:rsidR="00D657CD">
        <w:t xml:space="preserve">CERCLA </w:t>
      </w:r>
      <w:r w:rsidRPr="001F3A52">
        <w:t>section 103(f)(2) has commenced, EPA</w:t>
      </w:r>
      <w:r w:rsidR="00274E55">
        <w:t xml:space="preserve"> Region, SERC</w:t>
      </w:r>
      <w:r w:rsidR="003A18B6">
        <w:t>,</w:t>
      </w:r>
      <w:r w:rsidR="00274E55">
        <w:t xml:space="preserve"> and the LEPC</w:t>
      </w:r>
      <w:r w:rsidRPr="001F3A52">
        <w:t xml:space="preserve"> must be notified of any changes in release information previously submitted.  Any change in the sources, composition, or frequency of a hazardous substance release constitutes a new release.  Thus, any facility experiencing a change in the sources, composition, or frequency of a continuous release must complete the initial notification process for the new release.  Government activities</w:t>
      </w:r>
      <w:r w:rsidR="00D657CD">
        <w:t xml:space="preserve"> (federal, state, and local)</w:t>
      </w:r>
      <w:r w:rsidRPr="001F3A52">
        <w:t xml:space="preserve"> associated with new release reports consist of the processing and evaluation of the initial telephone and initial written reports, </w:t>
      </w:r>
      <w:r w:rsidR="00274E55">
        <w:rPr>
          <w:i/>
          <w:iCs/>
        </w:rPr>
        <w:t>6</w:t>
      </w:r>
      <w:r w:rsidRPr="001F3A52">
        <w:rPr>
          <w:i/>
          <w:iCs/>
        </w:rPr>
        <w:t xml:space="preserve"> hours</w:t>
      </w:r>
      <w:r w:rsidRPr="001F3A52">
        <w:t xml:space="preserve">.  The applicable unit cost </w:t>
      </w:r>
      <w:r w:rsidRPr="0078171D">
        <w:t xml:space="preserve">is </w:t>
      </w:r>
      <w:r w:rsidR="008A0582" w:rsidRPr="008B56B7">
        <w:t>$</w:t>
      </w:r>
      <w:r w:rsidR="00D657CD">
        <w:t>298.54</w:t>
      </w:r>
      <w:r w:rsidRPr="008B56B7">
        <w:rPr>
          <w:i/>
          <w:iCs/>
        </w:rPr>
        <w:t xml:space="preserve"> </w:t>
      </w:r>
      <w:r w:rsidRPr="0078171D">
        <w:rPr>
          <w:i/>
          <w:iCs/>
        </w:rPr>
        <w:t xml:space="preserve">per new continuous </w:t>
      </w:r>
      <w:r w:rsidRPr="001F3A52">
        <w:rPr>
          <w:i/>
          <w:iCs/>
        </w:rPr>
        <w:t>release report</w:t>
      </w:r>
      <w:r w:rsidRPr="001F3A52">
        <w:t>.</w:t>
      </w:r>
    </w:p>
    <w:p w14:paraId="43AE9814" w14:textId="77777777" w:rsidR="00727BA0" w:rsidRDefault="00727BA0" w:rsidP="00727BA0"/>
    <w:p w14:paraId="1C0D1D2C" w14:textId="0290C1A4" w:rsidR="00783FAF" w:rsidRPr="005A4251" w:rsidRDefault="00783FAF" w:rsidP="00727BA0">
      <w:pPr>
        <w:rPr>
          <w:color w:val="92D050"/>
        </w:rPr>
      </w:pPr>
      <w:r>
        <w:tab/>
      </w:r>
      <w:r w:rsidRPr="008B56B7">
        <w:rPr>
          <w:color w:val="92D050"/>
        </w:rPr>
        <w:t>We estimate that the government</w:t>
      </w:r>
      <w:r w:rsidR="00D657CD">
        <w:rPr>
          <w:color w:val="92D050"/>
        </w:rPr>
        <w:t xml:space="preserve"> (federal, state, and local)</w:t>
      </w:r>
      <w:r w:rsidRPr="008B56B7">
        <w:rPr>
          <w:color w:val="92D050"/>
        </w:rPr>
        <w:t xml:space="preserve"> activities associated with new release reports to process a change in the sources, composition, or frequency of a release report will be reduced to </w:t>
      </w:r>
      <w:r w:rsidR="00C76544">
        <w:rPr>
          <w:i/>
          <w:color w:val="92D050"/>
        </w:rPr>
        <w:t>4.5</w:t>
      </w:r>
      <w:r w:rsidRPr="008B56B7">
        <w:rPr>
          <w:i/>
          <w:color w:val="92D050"/>
        </w:rPr>
        <w:t xml:space="preserve"> hours</w:t>
      </w:r>
      <w:r w:rsidRPr="008B56B7">
        <w:rPr>
          <w:color w:val="92D050"/>
        </w:rPr>
        <w:t xml:space="preserve">.  The applicable unit cost is </w:t>
      </w:r>
      <w:r w:rsidR="008A0582" w:rsidRPr="008B56B7">
        <w:rPr>
          <w:color w:val="92D050"/>
        </w:rPr>
        <w:t>$</w:t>
      </w:r>
      <w:r w:rsidR="00D657CD">
        <w:rPr>
          <w:color w:val="92D050"/>
        </w:rPr>
        <w:t>223.91</w:t>
      </w:r>
      <w:r w:rsidRPr="008B56B7">
        <w:rPr>
          <w:i/>
          <w:color w:val="92D050"/>
        </w:rPr>
        <w:t xml:space="preserve"> per new continuous release report</w:t>
      </w:r>
      <w:r w:rsidRPr="008B56B7">
        <w:rPr>
          <w:color w:val="92D050"/>
        </w:rPr>
        <w:t xml:space="preserve"> using the continuous release reporting forms.</w:t>
      </w:r>
    </w:p>
    <w:p w14:paraId="3E24D5A9" w14:textId="77777777" w:rsidR="00783FAF" w:rsidRPr="00783FAF" w:rsidRDefault="00783FAF" w:rsidP="00727BA0">
      <w:pPr>
        <w:rPr>
          <w:color w:val="33CC33"/>
        </w:rPr>
      </w:pPr>
    </w:p>
    <w:p w14:paraId="26258279" w14:textId="4E2E5206" w:rsidR="00727BA0" w:rsidRDefault="00727BA0" w:rsidP="00D075DF">
      <w:r w:rsidRPr="001F3A52">
        <w:rPr>
          <w:b/>
          <w:bCs/>
        </w:rPr>
        <w:t xml:space="preserve">Process Other Changes in Information </w:t>
      </w:r>
      <w:r>
        <w:t>–</w:t>
      </w:r>
      <w:r w:rsidRPr="001F3A52">
        <w:t xml:space="preserve"> For changes in a release other than a change in the sources, composition, or frequency, the person in charge must notify the EPA Region by submitting a letter presenting the updated information and explaining the reasons for the change.  EPA estimates that processing a letter of changed information requires approximately </w:t>
      </w:r>
      <w:r w:rsidRPr="001F3A52">
        <w:rPr>
          <w:i/>
          <w:iCs/>
        </w:rPr>
        <w:t>30 minutes (i.e., 0.50 hours)</w:t>
      </w:r>
      <w:r w:rsidRPr="001F3A52">
        <w:t xml:space="preserve"> of </w:t>
      </w:r>
      <w:r w:rsidR="00C76544">
        <w:t xml:space="preserve">Federal </w:t>
      </w:r>
      <w:r w:rsidRPr="001F3A52">
        <w:t>government</w:t>
      </w:r>
      <w:r w:rsidR="00847320">
        <w:t xml:space="preserve"> </w:t>
      </w:r>
      <w:r w:rsidRPr="001F3A52">
        <w:t xml:space="preserve">time.  This estimate consists of the time necessary </w:t>
      </w:r>
      <w:r w:rsidR="00C76544">
        <w:t xml:space="preserve">to </w:t>
      </w:r>
      <w:r w:rsidRPr="001F3A52">
        <w:t xml:space="preserve">evaluate the release in light of the changed information.  The shorter evaluation time is assumed because it is necessary to evaluate only the incremental change in the risk using previous assessments of the release (assumed to be on file) as a baseline.  The applicable </w:t>
      </w:r>
      <w:r w:rsidRPr="0078171D">
        <w:t xml:space="preserve">unit cost is </w:t>
      </w:r>
      <w:r w:rsidR="002B32C5" w:rsidRPr="008B56B7">
        <w:t>$</w:t>
      </w:r>
      <w:r w:rsidR="00AB4607">
        <w:t>24.38</w:t>
      </w:r>
      <w:r w:rsidR="003D5F6E">
        <w:t xml:space="preserve"> </w:t>
      </w:r>
      <w:r w:rsidRPr="0078171D">
        <w:rPr>
          <w:i/>
          <w:iCs/>
        </w:rPr>
        <w:t>per changes</w:t>
      </w:r>
      <w:r w:rsidRPr="0078171D">
        <w:t xml:space="preserve"> in a </w:t>
      </w:r>
      <w:r w:rsidRPr="001F3A52">
        <w:t>release report.</w:t>
      </w:r>
    </w:p>
    <w:p w14:paraId="080B19C7" w14:textId="77777777" w:rsidR="00E76491" w:rsidRPr="008B56B7" w:rsidRDefault="00E76491" w:rsidP="00727BA0">
      <w:pPr>
        <w:ind w:firstLine="720"/>
        <w:rPr>
          <w:color w:val="00B050"/>
        </w:rPr>
      </w:pPr>
    </w:p>
    <w:p w14:paraId="2CE89527" w14:textId="5E0B20C3" w:rsidR="00E76491" w:rsidRPr="005A4251" w:rsidRDefault="00E76491" w:rsidP="00D075DF">
      <w:pPr>
        <w:rPr>
          <w:color w:val="92D050"/>
        </w:rPr>
      </w:pPr>
      <w:r w:rsidRPr="008B56B7">
        <w:rPr>
          <w:color w:val="92D050"/>
        </w:rPr>
        <w:t>We estimate</w:t>
      </w:r>
      <w:r w:rsidR="00A621EA" w:rsidRPr="008B56B7">
        <w:rPr>
          <w:color w:val="92D050"/>
        </w:rPr>
        <w:t xml:space="preserve"> that the </w:t>
      </w:r>
      <w:r w:rsidR="00C76544">
        <w:rPr>
          <w:color w:val="92D050"/>
        </w:rPr>
        <w:t xml:space="preserve">Federal </w:t>
      </w:r>
      <w:r w:rsidR="00A621EA" w:rsidRPr="008B56B7">
        <w:rPr>
          <w:color w:val="92D050"/>
        </w:rPr>
        <w:t xml:space="preserve">government activities associated with processing other changes in information will be reduced to </w:t>
      </w:r>
      <w:r w:rsidR="00A621EA" w:rsidRPr="008B56B7">
        <w:rPr>
          <w:i/>
          <w:color w:val="92D050"/>
        </w:rPr>
        <w:t>fifteen minutes</w:t>
      </w:r>
      <w:r w:rsidR="002C4D02">
        <w:rPr>
          <w:i/>
          <w:color w:val="92D050"/>
        </w:rPr>
        <w:t xml:space="preserve"> (0.25 hours)</w:t>
      </w:r>
      <w:r w:rsidR="00A621EA" w:rsidRPr="008B56B7">
        <w:rPr>
          <w:color w:val="92D050"/>
        </w:rPr>
        <w:t xml:space="preserve">.  The applicable unit cost is </w:t>
      </w:r>
      <w:r w:rsidR="002B32C5" w:rsidRPr="008B56B7">
        <w:rPr>
          <w:color w:val="92D050"/>
        </w:rPr>
        <w:t>$</w:t>
      </w:r>
      <w:r w:rsidR="00AB4607">
        <w:rPr>
          <w:color w:val="92D050"/>
        </w:rPr>
        <w:t>12.19</w:t>
      </w:r>
      <w:r w:rsidR="00A621EA" w:rsidRPr="008B56B7">
        <w:rPr>
          <w:i/>
          <w:color w:val="92D050"/>
        </w:rPr>
        <w:t xml:space="preserve"> per report </w:t>
      </w:r>
      <w:r w:rsidR="00A621EA" w:rsidRPr="008B56B7">
        <w:rPr>
          <w:color w:val="92D050"/>
        </w:rPr>
        <w:t>of changed information.</w:t>
      </w:r>
    </w:p>
    <w:p w14:paraId="71AEB2EF" w14:textId="77777777" w:rsidR="00727BA0" w:rsidRPr="008B56B7" w:rsidRDefault="00727BA0" w:rsidP="00727BA0">
      <w:pPr>
        <w:rPr>
          <w:color w:val="92D050"/>
        </w:rPr>
      </w:pPr>
    </w:p>
    <w:p w14:paraId="56137CC0" w14:textId="10CBA943" w:rsidR="00727BA0" w:rsidRDefault="00727BA0" w:rsidP="00D075DF">
      <w:r w:rsidRPr="001F3A52">
        <w:rPr>
          <w:b/>
          <w:bCs/>
        </w:rPr>
        <w:t>Process an SSI (Statistically Significant Increase) Report</w:t>
      </w:r>
      <w:r w:rsidRPr="001F3A52">
        <w:t xml:space="preserve"> </w:t>
      </w:r>
      <w:r>
        <w:t>–</w:t>
      </w:r>
      <w:r w:rsidRPr="001F3A52">
        <w:rPr>
          <w:b/>
          <w:bCs/>
        </w:rPr>
        <w:t xml:space="preserve"> </w:t>
      </w:r>
      <w:r w:rsidRPr="001F3A52">
        <w:t>SSIs are episodic releases and must be reported immediately to the NRC</w:t>
      </w:r>
      <w:r w:rsidR="00847320">
        <w:t>, the SERC, and the LEPC</w:t>
      </w:r>
      <w:r w:rsidRPr="001F3A52">
        <w:t xml:space="preserve">.  Release quantities in excess of the normal range have not been previously reported and evaluated and, thus, warrant immediate reporting.  Upon receiving notification of an SSI, the NRC will record the SSI information in the NRC data base (15 minutes) and notify the appropriate EPA Region of the SSI report (15 minutes).  Upon notification from the NRC (15 minutes), EPA will evaluate the potential hazard posed by the release in light of the SSI (30 minutes).  </w:t>
      </w:r>
      <w:r w:rsidR="00512E6D">
        <w:t xml:space="preserve">The SERCs and the LEPCs are also taking 1.25 hours each to process this information. </w:t>
      </w:r>
      <w:r w:rsidRPr="001F3A52">
        <w:t>Thus, the Federal</w:t>
      </w:r>
      <w:r w:rsidR="00847320">
        <w:t>, state, and local</w:t>
      </w:r>
      <w:r w:rsidRPr="001F3A52">
        <w:t xml:space="preserve"> government</w:t>
      </w:r>
      <w:r w:rsidR="00847320">
        <w:t>s</w:t>
      </w:r>
      <w:r w:rsidRPr="001F3A52">
        <w:t xml:space="preserve"> </w:t>
      </w:r>
      <w:r w:rsidR="00847320">
        <w:t>are</w:t>
      </w:r>
      <w:r w:rsidRPr="001F3A52">
        <w:t xml:space="preserve"> estimated to require </w:t>
      </w:r>
      <w:r w:rsidR="00512E6D">
        <w:rPr>
          <w:i/>
          <w:iCs/>
        </w:rPr>
        <w:t>three</w:t>
      </w:r>
      <w:r w:rsidRPr="001F3A52">
        <w:rPr>
          <w:i/>
          <w:iCs/>
        </w:rPr>
        <w:t xml:space="preserve"> hour</w:t>
      </w:r>
      <w:r w:rsidR="00512E6D">
        <w:rPr>
          <w:i/>
          <w:iCs/>
        </w:rPr>
        <w:t>s</w:t>
      </w:r>
      <w:r w:rsidRPr="001F3A52">
        <w:rPr>
          <w:i/>
          <w:iCs/>
        </w:rPr>
        <w:t xml:space="preserve"> and </w:t>
      </w:r>
      <w:r w:rsidR="00512E6D">
        <w:rPr>
          <w:i/>
          <w:iCs/>
        </w:rPr>
        <w:t>forty-five</w:t>
      </w:r>
      <w:r w:rsidRPr="001F3A52">
        <w:rPr>
          <w:i/>
          <w:iCs/>
        </w:rPr>
        <w:t xml:space="preserve"> minutes (</w:t>
      </w:r>
      <w:r w:rsidR="00512E6D">
        <w:rPr>
          <w:i/>
          <w:iCs/>
        </w:rPr>
        <w:t>3.75</w:t>
      </w:r>
      <w:r w:rsidRPr="001F3A52">
        <w:rPr>
          <w:i/>
          <w:iCs/>
        </w:rPr>
        <w:t xml:space="preserve"> hours)</w:t>
      </w:r>
      <w:r w:rsidRPr="001F3A52">
        <w:t xml:space="preserve"> of government time to process and evaluate each SSI reported under the CRRR.  The applicable cost </w:t>
      </w:r>
      <w:r w:rsidRPr="0078171D">
        <w:t xml:space="preserve">is </w:t>
      </w:r>
      <w:r w:rsidR="00490E36" w:rsidRPr="008B56B7">
        <w:t>$</w:t>
      </w:r>
      <w:r w:rsidR="00847320">
        <w:t>186.59</w:t>
      </w:r>
      <w:r w:rsidRPr="008B56B7">
        <w:rPr>
          <w:i/>
          <w:iCs/>
        </w:rPr>
        <w:t xml:space="preserve"> </w:t>
      </w:r>
      <w:r w:rsidRPr="0078171D">
        <w:rPr>
          <w:i/>
          <w:iCs/>
        </w:rPr>
        <w:t>per SSI Report</w:t>
      </w:r>
      <w:r w:rsidRPr="001F3A52">
        <w:t>.</w:t>
      </w:r>
    </w:p>
    <w:p w14:paraId="44A5AA64" w14:textId="77777777" w:rsidR="00A621EA" w:rsidRDefault="00A621EA" w:rsidP="00727BA0">
      <w:pPr>
        <w:ind w:firstLine="720"/>
      </w:pPr>
    </w:p>
    <w:p w14:paraId="22869399" w14:textId="7C17A6F8" w:rsidR="00A621EA" w:rsidRPr="0078171D" w:rsidRDefault="00A621EA" w:rsidP="00D075DF">
      <w:pPr>
        <w:rPr>
          <w:color w:val="92D050"/>
        </w:rPr>
      </w:pPr>
      <w:r w:rsidRPr="008B56B7">
        <w:rPr>
          <w:color w:val="92D050"/>
        </w:rPr>
        <w:t>We estimate that EPA’s</w:t>
      </w:r>
      <w:r w:rsidR="00847320">
        <w:rPr>
          <w:color w:val="92D050"/>
        </w:rPr>
        <w:t xml:space="preserve">, the SERCs, and the LEPC’s </w:t>
      </w:r>
      <w:r w:rsidRPr="008B56B7">
        <w:rPr>
          <w:color w:val="92D050"/>
        </w:rPr>
        <w:t xml:space="preserve">activities associated with processing an SSI report will be reduced </w:t>
      </w:r>
      <w:r w:rsidR="003D5F6E">
        <w:rPr>
          <w:color w:val="92D050"/>
        </w:rPr>
        <w:t>by</w:t>
      </w:r>
      <w:r w:rsidRPr="008B56B7">
        <w:rPr>
          <w:color w:val="92D050"/>
        </w:rPr>
        <w:t xml:space="preserve"> </w:t>
      </w:r>
      <w:r w:rsidRPr="008B56B7">
        <w:rPr>
          <w:i/>
          <w:color w:val="92D050"/>
        </w:rPr>
        <w:t>fifteen minutes</w:t>
      </w:r>
      <w:r w:rsidR="003D5F6E">
        <w:rPr>
          <w:i/>
          <w:color w:val="92D050"/>
        </w:rPr>
        <w:t xml:space="preserve"> each</w:t>
      </w:r>
      <w:r w:rsidRPr="008B56B7">
        <w:rPr>
          <w:color w:val="92D050"/>
        </w:rPr>
        <w:t>.  This will reduce the overall government’s</w:t>
      </w:r>
      <w:r w:rsidR="00847320">
        <w:rPr>
          <w:color w:val="92D050"/>
        </w:rPr>
        <w:t xml:space="preserve"> (Federal, state, and local)</w:t>
      </w:r>
      <w:r w:rsidRPr="008B56B7">
        <w:rPr>
          <w:color w:val="92D050"/>
        </w:rPr>
        <w:t xml:space="preserve"> time to process and evaluate each SSI reported under the CRRR to </w:t>
      </w:r>
      <w:r w:rsidR="003D5F6E">
        <w:rPr>
          <w:i/>
          <w:color w:val="92D050"/>
        </w:rPr>
        <w:t>three</w:t>
      </w:r>
      <w:r w:rsidR="003D5F6E" w:rsidRPr="008B56B7">
        <w:rPr>
          <w:i/>
          <w:color w:val="92D050"/>
        </w:rPr>
        <w:t xml:space="preserve"> hours</w:t>
      </w:r>
      <w:r w:rsidRPr="008B56B7">
        <w:rPr>
          <w:color w:val="92D050"/>
        </w:rPr>
        <w:t xml:space="preserve">.  The applicable unit cost is </w:t>
      </w:r>
      <w:r w:rsidR="00490E36" w:rsidRPr="008B56B7">
        <w:rPr>
          <w:color w:val="92D050"/>
        </w:rPr>
        <w:t>$</w:t>
      </w:r>
      <w:r w:rsidR="00847320">
        <w:rPr>
          <w:color w:val="92D050"/>
        </w:rPr>
        <w:t>149.27</w:t>
      </w:r>
      <w:r w:rsidRPr="008B56B7">
        <w:rPr>
          <w:i/>
          <w:color w:val="92D050"/>
        </w:rPr>
        <w:t xml:space="preserve"> per SSI Report</w:t>
      </w:r>
      <w:r w:rsidRPr="008B56B7">
        <w:rPr>
          <w:color w:val="92D050"/>
        </w:rPr>
        <w:t>.</w:t>
      </w:r>
    </w:p>
    <w:p w14:paraId="1FD9232F" w14:textId="77777777" w:rsidR="00727BA0" w:rsidRPr="008B56B7" w:rsidRDefault="00727BA0" w:rsidP="00727BA0">
      <w:pPr>
        <w:rPr>
          <w:color w:val="92D050"/>
        </w:rPr>
      </w:pPr>
    </w:p>
    <w:p w14:paraId="68278A4E" w14:textId="00A65465" w:rsidR="00727BA0" w:rsidRPr="008B56B7" w:rsidRDefault="00727BA0" w:rsidP="00D075DF">
      <w:pPr>
        <w:rPr>
          <w:color w:val="000000" w:themeColor="text1"/>
        </w:rPr>
      </w:pPr>
      <w:r w:rsidRPr="001F3A52">
        <w:rPr>
          <w:b/>
          <w:bCs/>
        </w:rPr>
        <w:t>Other Activities</w:t>
      </w:r>
      <w:r w:rsidRPr="001F3A52">
        <w:t xml:space="preserve"> </w:t>
      </w:r>
      <w:r>
        <w:t>–</w:t>
      </w:r>
      <w:r w:rsidRPr="001F3A52">
        <w:t xml:space="preserve"> For some percentage of continuous releases, the information provided in the initial and/or follow-up reports will be incomplete, incorrect, or worrisome, prompting EPA to request </w:t>
      </w:r>
      <w:r w:rsidRPr="001F3A52">
        <w:rPr>
          <w:i/>
          <w:iCs/>
        </w:rPr>
        <w:t>additional information</w:t>
      </w:r>
      <w:r w:rsidRPr="001F3A52">
        <w:t xml:space="preserve"> concerning the release and its associated hazard.  For example, additional information may be necessary to confirm the continuity and stability of the release or to better assess the risk posed by the release.  EPA estimates that the process of requesting and reviewing additional </w:t>
      </w:r>
      <w:r w:rsidRPr="008B56B7">
        <w:rPr>
          <w:color w:val="000000" w:themeColor="text1"/>
        </w:rPr>
        <w:t>information concerning a continuous release requires</w:t>
      </w:r>
      <w:r w:rsidRPr="008B56B7">
        <w:rPr>
          <w:i/>
          <w:iCs/>
          <w:color w:val="000000" w:themeColor="text1"/>
        </w:rPr>
        <w:t xml:space="preserve"> 2.0 hours</w:t>
      </w:r>
      <w:r w:rsidRPr="008B56B7">
        <w:rPr>
          <w:color w:val="000000" w:themeColor="text1"/>
        </w:rPr>
        <w:t xml:space="preserve"> of </w:t>
      </w:r>
      <w:r w:rsidR="002C4D02">
        <w:rPr>
          <w:color w:val="000000" w:themeColor="text1"/>
        </w:rPr>
        <w:t xml:space="preserve">Federal </w:t>
      </w:r>
      <w:r w:rsidRPr="008B56B7">
        <w:rPr>
          <w:color w:val="000000" w:themeColor="text1"/>
        </w:rPr>
        <w:t xml:space="preserve">government time.  The applicable unit cost is </w:t>
      </w:r>
      <w:r w:rsidR="007F4373" w:rsidRPr="008B56B7">
        <w:rPr>
          <w:color w:val="000000" w:themeColor="text1"/>
        </w:rPr>
        <w:t>$</w:t>
      </w:r>
      <w:r w:rsidR="003D5F6E">
        <w:rPr>
          <w:color w:val="000000" w:themeColor="text1"/>
        </w:rPr>
        <w:t>97</w:t>
      </w:r>
      <w:r w:rsidR="00CF0496">
        <w:rPr>
          <w:color w:val="000000" w:themeColor="text1"/>
        </w:rPr>
        <w:t>.5</w:t>
      </w:r>
      <w:r w:rsidR="003D5F6E">
        <w:rPr>
          <w:color w:val="000000" w:themeColor="text1"/>
        </w:rPr>
        <w:t>0</w:t>
      </w:r>
      <w:r w:rsidRPr="008B56B7">
        <w:rPr>
          <w:i/>
          <w:iCs/>
          <w:color w:val="000000" w:themeColor="text1"/>
        </w:rPr>
        <w:t xml:space="preserve"> per request and review</w:t>
      </w:r>
      <w:r w:rsidRPr="008B56B7">
        <w:rPr>
          <w:color w:val="000000" w:themeColor="text1"/>
        </w:rPr>
        <w:t xml:space="preserve"> of additional information.</w:t>
      </w:r>
      <w:r w:rsidR="002C4D02">
        <w:rPr>
          <w:color w:val="000000" w:themeColor="text1"/>
        </w:rPr>
        <w:t xml:space="preserve">  </w:t>
      </w:r>
      <w:r w:rsidR="002C4D02">
        <w:t>(Note:  We assume that state and local agencies may accompany EPA Region for inspections.  Therefore</w:t>
      </w:r>
      <w:r w:rsidR="0018034F">
        <w:t>,</w:t>
      </w:r>
      <w:r w:rsidR="002C4D02">
        <w:t xml:space="preserve"> we did not account any additional burden for state and local agencies for </w:t>
      </w:r>
      <w:r w:rsidR="0018034F">
        <w:t>requiring any additional information or site inspection</w:t>
      </w:r>
      <w:r w:rsidR="002C4D02">
        <w:t xml:space="preserve">).   </w:t>
      </w:r>
    </w:p>
    <w:p w14:paraId="4FF1B012" w14:textId="77777777" w:rsidR="00727BA0" w:rsidRDefault="00727BA0" w:rsidP="00727BA0"/>
    <w:p w14:paraId="05FC854C" w14:textId="529E9DC3" w:rsidR="003F572F" w:rsidRPr="00A1795E" w:rsidRDefault="003F572F" w:rsidP="00727BA0">
      <w:pPr>
        <w:rPr>
          <w:color w:val="92D050"/>
        </w:rPr>
      </w:pPr>
      <w:r>
        <w:tab/>
      </w:r>
      <w:r w:rsidRPr="008B56B7">
        <w:rPr>
          <w:color w:val="92D050"/>
        </w:rPr>
        <w:t xml:space="preserve">We estimate that the government activities associated with reviewing additional information concerning a continuous release will be reduced to </w:t>
      </w:r>
      <w:r w:rsidRPr="008B56B7">
        <w:rPr>
          <w:i/>
          <w:color w:val="92D050"/>
        </w:rPr>
        <w:t xml:space="preserve">one and </w:t>
      </w:r>
      <w:r w:rsidR="003D5F6E" w:rsidRPr="008B56B7">
        <w:rPr>
          <w:i/>
          <w:color w:val="92D050"/>
        </w:rPr>
        <w:t>one-half</w:t>
      </w:r>
      <w:r w:rsidRPr="008B56B7">
        <w:rPr>
          <w:i/>
          <w:color w:val="92D050"/>
        </w:rPr>
        <w:t xml:space="preserve"> hours</w:t>
      </w:r>
      <w:r w:rsidRPr="008B56B7">
        <w:rPr>
          <w:color w:val="92D050"/>
        </w:rPr>
        <w:t xml:space="preserve"> of </w:t>
      </w:r>
      <w:r w:rsidR="002C4D02">
        <w:rPr>
          <w:color w:val="92D050"/>
        </w:rPr>
        <w:t xml:space="preserve">Federal </w:t>
      </w:r>
      <w:r w:rsidRPr="008B56B7">
        <w:rPr>
          <w:color w:val="92D050"/>
        </w:rPr>
        <w:t>government</w:t>
      </w:r>
      <w:r w:rsidR="00CF0496">
        <w:rPr>
          <w:color w:val="92D050"/>
        </w:rPr>
        <w:t xml:space="preserve"> </w:t>
      </w:r>
      <w:r w:rsidRPr="008B56B7">
        <w:rPr>
          <w:color w:val="92D050"/>
        </w:rPr>
        <w:t xml:space="preserve">time.  The applicable unit cost is </w:t>
      </w:r>
      <w:r w:rsidR="00EF512A" w:rsidRPr="008B56B7">
        <w:rPr>
          <w:color w:val="92D050"/>
        </w:rPr>
        <w:t>$</w:t>
      </w:r>
      <w:r w:rsidR="003D5F6E">
        <w:rPr>
          <w:color w:val="92D050"/>
        </w:rPr>
        <w:t>73.13</w:t>
      </w:r>
      <w:r w:rsidRPr="008B56B7">
        <w:rPr>
          <w:i/>
          <w:color w:val="92D050"/>
        </w:rPr>
        <w:t xml:space="preserve"> per request and review</w:t>
      </w:r>
      <w:r w:rsidRPr="008B56B7">
        <w:rPr>
          <w:color w:val="92D050"/>
        </w:rPr>
        <w:t xml:space="preserve"> of additional information.</w:t>
      </w:r>
    </w:p>
    <w:p w14:paraId="43927785" w14:textId="77777777" w:rsidR="003F572F" w:rsidRPr="003F572F" w:rsidRDefault="003F572F" w:rsidP="00727BA0">
      <w:pPr>
        <w:rPr>
          <w:color w:val="33CC33"/>
        </w:rPr>
      </w:pPr>
    </w:p>
    <w:p w14:paraId="65000B05" w14:textId="3474441F" w:rsidR="00727BA0" w:rsidRPr="008B56B7" w:rsidRDefault="00727BA0" w:rsidP="00844DC3">
      <w:pPr>
        <w:rPr>
          <w:color w:val="000000" w:themeColor="text1"/>
        </w:rPr>
      </w:pPr>
      <w:r w:rsidRPr="001F3A52">
        <w:t xml:space="preserve">In extreme cases, the preliminary risk assessment of a release will suggest the need for a </w:t>
      </w:r>
      <w:r w:rsidRPr="001F3A52">
        <w:rPr>
          <w:i/>
          <w:iCs/>
        </w:rPr>
        <w:t>site inspection</w:t>
      </w:r>
      <w:r w:rsidRPr="001F3A52">
        <w:t xml:space="preserve">, allowing EPA to directly </w:t>
      </w:r>
      <w:r w:rsidR="00D075DF" w:rsidRPr="001F3A52">
        <w:t>a</w:t>
      </w:r>
      <w:r w:rsidR="00D075DF">
        <w:t>ss</w:t>
      </w:r>
      <w:r w:rsidR="00D075DF" w:rsidRPr="001F3A52">
        <w:t>e</w:t>
      </w:r>
      <w:r w:rsidR="00D075DF">
        <w:t>s</w:t>
      </w:r>
      <w:r w:rsidR="00D075DF" w:rsidRPr="001F3A52">
        <w:t>s</w:t>
      </w:r>
      <w:r w:rsidRPr="001F3A52">
        <w:t xml:space="preserve"> and evaluate the circumstances of a release and the population and environment potentially affected by the release.  In addition, site inspections are </w:t>
      </w:r>
      <w:r w:rsidRPr="008B56B7">
        <w:rPr>
          <w:color w:val="000000" w:themeColor="text1"/>
        </w:rPr>
        <w:t xml:space="preserve">conducted periodically as a compliance and enforcement measure.  EPA estimates that site inspections will require </w:t>
      </w:r>
      <w:r w:rsidR="0018034F">
        <w:rPr>
          <w:i/>
          <w:iCs/>
          <w:color w:val="000000" w:themeColor="text1"/>
        </w:rPr>
        <w:t xml:space="preserve">8.0 </w:t>
      </w:r>
      <w:r w:rsidRPr="008B56B7">
        <w:rPr>
          <w:i/>
          <w:iCs/>
          <w:color w:val="000000" w:themeColor="text1"/>
        </w:rPr>
        <w:t>hours</w:t>
      </w:r>
      <w:r w:rsidRPr="008B56B7">
        <w:rPr>
          <w:color w:val="000000" w:themeColor="text1"/>
        </w:rPr>
        <w:t xml:space="preserve"> of government time, including one hour allocated for the EPA Region to communicate its concerns and findings to the appropriate SERC and LEPC, and will </w:t>
      </w:r>
      <w:r w:rsidRPr="008B56B7">
        <w:rPr>
          <w:i/>
          <w:iCs/>
          <w:color w:val="000000" w:themeColor="text1"/>
        </w:rPr>
        <w:t>cost</w:t>
      </w:r>
      <w:r w:rsidR="00844DC3" w:rsidRPr="008B56B7">
        <w:rPr>
          <w:i/>
          <w:iCs/>
          <w:color w:val="000000" w:themeColor="text1"/>
        </w:rPr>
        <w:t xml:space="preserve"> </w:t>
      </w:r>
      <w:r w:rsidR="00C53973" w:rsidRPr="008B56B7">
        <w:rPr>
          <w:color w:val="000000" w:themeColor="text1"/>
        </w:rPr>
        <w:t>$</w:t>
      </w:r>
      <w:r w:rsidR="00232E48">
        <w:rPr>
          <w:color w:val="000000" w:themeColor="text1"/>
        </w:rPr>
        <w:t>390.02</w:t>
      </w:r>
      <w:r w:rsidRPr="008B56B7">
        <w:rPr>
          <w:color w:val="000000" w:themeColor="text1"/>
        </w:rPr>
        <w:t>.</w:t>
      </w:r>
      <w:r w:rsidR="0018034F">
        <w:rPr>
          <w:color w:val="000000" w:themeColor="text1"/>
        </w:rPr>
        <w:t xml:space="preserve">  </w:t>
      </w:r>
      <w:r w:rsidR="0018034F">
        <w:t>(Note:  We assume that state and local agencies may accompany EPA Region for inspections.  Therefore</w:t>
      </w:r>
      <w:r w:rsidR="001B00D4">
        <w:t>,</w:t>
      </w:r>
      <w:r w:rsidR="0018034F">
        <w:t xml:space="preserve"> we did not account any additional burden for state and local agencies for this activity).   </w:t>
      </w:r>
    </w:p>
    <w:p w14:paraId="4DB3B9A0" w14:textId="77777777" w:rsidR="003F572F" w:rsidRDefault="003F572F" w:rsidP="00727BA0">
      <w:pPr>
        <w:ind w:firstLine="720"/>
      </w:pPr>
    </w:p>
    <w:p w14:paraId="02E4FDCE" w14:textId="77777777" w:rsidR="003F572F" w:rsidRPr="008B56B7" w:rsidRDefault="00083AD6" w:rsidP="00727BA0">
      <w:pPr>
        <w:ind w:firstLine="720"/>
        <w:rPr>
          <w:color w:val="92D050"/>
        </w:rPr>
      </w:pPr>
      <w:r w:rsidRPr="008B56B7">
        <w:rPr>
          <w:color w:val="92D050"/>
        </w:rPr>
        <w:t>We do not believe that submission of continuous release reporting forms will change the estimate for government time for site inspections.</w:t>
      </w:r>
    </w:p>
    <w:p w14:paraId="25E970AC" w14:textId="77777777" w:rsidR="00C874E7" w:rsidRDefault="00C874E7" w:rsidP="00C874E7">
      <w:pPr>
        <w:pStyle w:val="Heading2"/>
      </w:pPr>
      <w:bookmarkStart w:id="72" w:name="_Toc295823974"/>
      <w:r>
        <w:t>Estimating the Respondent Universe and Total Burden and Cost</w:t>
      </w:r>
      <w:bookmarkEnd w:id="72"/>
    </w:p>
    <w:p w14:paraId="0794501B" w14:textId="77777777" w:rsidR="00C874E7" w:rsidRDefault="00C874E7" w:rsidP="00C874E7"/>
    <w:p w14:paraId="7D8EDAFB" w14:textId="340C25E5" w:rsidR="004A68CE" w:rsidRDefault="00C874E7" w:rsidP="006475D3">
      <w:pPr>
        <w:ind w:firstLine="720"/>
      </w:pPr>
      <w:r w:rsidRPr="001F3A52">
        <w:t xml:space="preserve">The estimates presented in this ICR regarding the number of facilities and hazardous substance releases affected by the CRRR were computed using the number of CR-ERNS notifications made by the NRC to each respective </w:t>
      </w:r>
      <w:r w:rsidRPr="001C7658">
        <w:t xml:space="preserve">region </w:t>
      </w:r>
      <w:r w:rsidRPr="00E4140E">
        <w:t xml:space="preserve">over the years </w:t>
      </w:r>
      <w:r w:rsidR="00A07317" w:rsidRPr="008B56B7">
        <w:t>201</w:t>
      </w:r>
      <w:r w:rsidR="00380EB5">
        <w:t>5</w:t>
      </w:r>
      <w:r w:rsidR="00A07317" w:rsidRPr="008B56B7">
        <w:t>, 201</w:t>
      </w:r>
      <w:r w:rsidR="00380EB5">
        <w:t>6</w:t>
      </w:r>
      <w:r w:rsidR="00A07317" w:rsidRPr="008B56B7">
        <w:t xml:space="preserve">, </w:t>
      </w:r>
      <w:r w:rsidR="00A07317" w:rsidRPr="001C7658">
        <w:t>and</w:t>
      </w:r>
      <w:r w:rsidR="00A07317" w:rsidRPr="008B56B7">
        <w:t xml:space="preserve"> 201</w:t>
      </w:r>
      <w:r w:rsidR="00380EB5">
        <w:t>7</w:t>
      </w:r>
      <w:r w:rsidRPr="008B56B7">
        <w:t xml:space="preserve"> </w:t>
      </w:r>
      <w:r w:rsidRPr="001C7658">
        <w:t xml:space="preserve">as </w:t>
      </w:r>
      <w:r w:rsidRPr="00557C81">
        <w:t xml:space="preserve">reported by the NRC.  </w:t>
      </w:r>
      <w:r w:rsidR="0021587F">
        <w:t xml:space="preserve">It should be noted that in 2017, the </w:t>
      </w:r>
      <w:r w:rsidR="004D2015">
        <w:t xml:space="preserve">actual </w:t>
      </w:r>
      <w:r w:rsidR="0021587F">
        <w:t xml:space="preserve">number of calls to the NRC for continuous release reports went up due to the </w:t>
      </w:r>
      <w:r w:rsidR="006475D3">
        <w:t xml:space="preserve">fact that in December 18, 2008, EPA published a final rule that exempted most farms from certain release reporting requirements in CERCLA and EPCRA. Specifically, the rule exempted farms releasing hazardous substances from animal waste to the air above threshold levels from reporting under CERCLA. For EPCRA reporting, the rule exempted reporting of such releases if the farm had fewer animals than a large concentrated animal feeding operation (CAFO). In short, all farms were relieved from reporting hazardous substance air releases from animal waste under CERCLA, and only large CAFOs were subject to EPCRA reporting.    Several citizen groups challenged the validity of the final rule in the U.S. Court of Appeals for the District of Columbia Circuit. On April 11, 2017, the Court struck down the final rule, eliminating the regulatory reporting exemptions for farms. The Court </w:t>
      </w:r>
      <w:r w:rsidR="00B54EAF">
        <w:t xml:space="preserve">issued its mandate on </w:t>
      </w:r>
      <w:r w:rsidR="006475D3">
        <w:t>May 1, 2018</w:t>
      </w:r>
      <w:r w:rsidR="00900CA0">
        <w:t xml:space="preserve"> </w:t>
      </w:r>
      <w:r w:rsidR="00EA112C">
        <w:t>. H</w:t>
      </w:r>
      <w:r w:rsidR="006475D3">
        <w:t xml:space="preserve">owever, </w:t>
      </w:r>
      <w:r w:rsidR="00031BEB" w:rsidRPr="00031BEB">
        <w:t>due to legislative changes in the “Fair Agricultural Reporting Method Act” or “FARM Act” in March 2018, “air emissions from animal waste at a farm” are exempt from reporting under CERCLA.</w:t>
      </w:r>
      <w:r w:rsidR="006475D3" w:rsidRPr="006475D3">
        <w:t xml:space="preserve"> These types of releases also do not need to be reported under EPCRA.</w:t>
      </w:r>
      <w:r w:rsidR="00031BEB" w:rsidRPr="00031BEB">
        <w:t xml:space="preserve"> </w:t>
      </w:r>
      <w:r w:rsidR="004A68CE">
        <w:t xml:space="preserve"> Prior to the legislative changes and court mandate, NRC received initial notifications from many farms after </w:t>
      </w:r>
      <w:r w:rsidR="001B00D4">
        <w:t xml:space="preserve">the </w:t>
      </w:r>
      <w:r w:rsidR="004A68CE">
        <w:t>April 11, 2017</w:t>
      </w:r>
      <w:r w:rsidR="001B00D4">
        <w:t>,</w:t>
      </w:r>
      <w:r w:rsidR="004A68CE">
        <w:t xml:space="preserve"> court vacatur, which raised the number of reports that NRC received in 2017.  </w:t>
      </w:r>
    </w:p>
    <w:p w14:paraId="0DBC9FA8" w14:textId="77777777" w:rsidR="004A68CE" w:rsidRDefault="004A68CE" w:rsidP="006475D3">
      <w:pPr>
        <w:ind w:firstLine="720"/>
      </w:pPr>
    </w:p>
    <w:p w14:paraId="5FD1C937" w14:textId="63C167EB" w:rsidR="00C874E7" w:rsidRDefault="00C874E7" w:rsidP="006475D3">
      <w:pPr>
        <w:ind w:firstLine="720"/>
      </w:pPr>
      <w:r w:rsidRPr="00557C81">
        <w:t>The number of reports to be filed i</w:t>
      </w:r>
      <w:r w:rsidRPr="001F3A52">
        <w:t>n the next three years is computed from the total number of reports already filed and reflects the number of annual reports in recent years</w:t>
      </w:r>
      <w:r w:rsidR="003056DB">
        <w:t>, excluding the calls</w:t>
      </w:r>
      <w:r w:rsidR="00BA7BB8">
        <w:t xml:space="preserve"> from 2017</w:t>
      </w:r>
      <w:r w:rsidR="003056DB">
        <w:t xml:space="preserve"> related to </w:t>
      </w:r>
      <w:r w:rsidR="00BA7BB8">
        <w:t>releases from farms mentioned above</w:t>
      </w:r>
      <w:r w:rsidRPr="001F3A52">
        <w:t>.  EPA has estimated that each affected facility has 8 continuous releases above the releases</w:t>
      </w:r>
      <w:r>
        <w:t>’</w:t>
      </w:r>
      <w:r w:rsidRPr="001F3A52">
        <w:t xml:space="preserve"> RQs.  Exhibit 10 summarizes the estimated number of facilities and hazardous substance releases already affected by the CRRR.  The change report adjustment reflects 10% of the total number of facilities and reports for all regions.  </w:t>
      </w:r>
      <w:r w:rsidR="008813A3">
        <w:t>The same number of facilities is assumed for use of continuous release reporting forms.</w:t>
      </w:r>
    </w:p>
    <w:p w14:paraId="49B77095" w14:textId="77777777" w:rsidR="005F1213" w:rsidRDefault="005F1213" w:rsidP="00EA112C">
      <w:pPr>
        <w:outlineLvl w:val="4"/>
        <w:rPr>
          <w:b/>
        </w:rPr>
      </w:pPr>
      <w:bookmarkStart w:id="73" w:name="_Toc295823975"/>
    </w:p>
    <w:p w14:paraId="1D66E671" w14:textId="7047B8D0" w:rsidR="005F1213" w:rsidRDefault="005F1213" w:rsidP="00EA112C">
      <w:pPr>
        <w:outlineLvl w:val="4"/>
        <w:rPr>
          <w:b/>
        </w:rPr>
      </w:pPr>
    </w:p>
    <w:p w14:paraId="0A89FA07" w14:textId="0C7FA015" w:rsidR="00BA7BB8" w:rsidRDefault="00BA7BB8" w:rsidP="00EA112C">
      <w:pPr>
        <w:outlineLvl w:val="4"/>
        <w:rPr>
          <w:b/>
        </w:rPr>
      </w:pPr>
    </w:p>
    <w:p w14:paraId="0F0603D4" w14:textId="2D4ED194" w:rsidR="00BA7BB8" w:rsidRDefault="00BA7BB8" w:rsidP="00EA112C">
      <w:pPr>
        <w:outlineLvl w:val="4"/>
        <w:rPr>
          <w:b/>
        </w:rPr>
      </w:pPr>
    </w:p>
    <w:p w14:paraId="6DDDB772" w14:textId="5DDCC022" w:rsidR="00952A04" w:rsidRDefault="00952A04" w:rsidP="00EA112C">
      <w:pPr>
        <w:outlineLvl w:val="4"/>
        <w:rPr>
          <w:b/>
        </w:rPr>
      </w:pPr>
    </w:p>
    <w:p w14:paraId="27C8B10C" w14:textId="732AB745" w:rsidR="000003F0" w:rsidRDefault="000003F0" w:rsidP="000003F0">
      <w:pPr>
        <w:jc w:val="center"/>
        <w:outlineLvl w:val="4"/>
        <w:rPr>
          <w:b/>
        </w:rPr>
      </w:pPr>
      <w:r>
        <w:rPr>
          <w:b/>
        </w:rPr>
        <w:t xml:space="preserve">Exhibit 10 – Number of Facilities and Hazardous Substance Releases </w:t>
      </w:r>
      <w:r w:rsidRPr="001B00D4">
        <w:rPr>
          <w:b/>
          <w:u w:val="single"/>
        </w:rPr>
        <w:t>Already</w:t>
      </w:r>
      <w:r>
        <w:rPr>
          <w:b/>
        </w:rPr>
        <w:t xml:space="preserve"> Affected by the CRRR</w:t>
      </w:r>
      <w:bookmarkEnd w:id="73"/>
    </w:p>
    <w:p w14:paraId="48C5B605" w14:textId="17E3FFEE" w:rsidR="00F11D87" w:rsidRPr="000003F0" w:rsidRDefault="00862322" w:rsidP="000003F0">
      <w:pPr>
        <w:jc w:val="center"/>
        <w:outlineLvl w:val="4"/>
        <w:rPr>
          <w:b/>
        </w:rPr>
      </w:pPr>
      <w:r w:rsidRPr="00862322">
        <w:rPr>
          <w:noProof/>
        </w:rPr>
        <w:drawing>
          <wp:inline distT="0" distB="0" distL="0" distR="0" wp14:anchorId="24787731" wp14:editId="645E7CBB">
            <wp:extent cx="5810250" cy="26003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10250" cy="2600325"/>
                    </a:xfrm>
                    <a:prstGeom prst="rect">
                      <a:avLst/>
                    </a:prstGeom>
                    <a:noFill/>
                    <a:ln>
                      <a:noFill/>
                    </a:ln>
                  </pic:spPr>
                </pic:pic>
              </a:graphicData>
            </a:graphic>
          </wp:inline>
        </w:drawing>
      </w:r>
    </w:p>
    <w:p w14:paraId="593CEF9A" w14:textId="787DC413" w:rsidR="00C874E7" w:rsidRDefault="00C874E7" w:rsidP="00BF767F">
      <w:pPr>
        <w:jc w:val="center"/>
      </w:pPr>
      <w:bookmarkStart w:id="74" w:name="Exhibit_10"/>
      <w:bookmarkEnd w:id="74"/>
    </w:p>
    <w:p w14:paraId="11C0C369" w14:textId="77777777" w:rsidR="006645AA" w:rsidRDefault="006645AA" w:rsidP="00C874E7">
      <w:pPr>
        <w:keepNext/>
        <w:keepLines/>
        <w:ind w:firstLine="720"/>
      </w:pPr>
    </w:p>
    <w:p w14:paraId="2B154C2B" w14:textId="484A3E28" w:rsidR="00C874E7" w:rsidRDefault="00C874E7" w:rsidP="00C874E7">
      <w:pPr>
        <w:keepNext/>
        <w:keepLines/>
        <w:ind w:firstLine="720"/>
      </w:pPr>
      <w:r w:rsidRPr="001F3A52">
        <w:t xml:space="preserve">Exhibit 11 presents the estimate for the number of facilities and hazardous substance releases that will be affected by the CRRR in the next three years.  The estimate is based on an expected 7.5% average annual percent increase in facilities (see 6(f)) adjusted from the number of continuous release notifications reported by the NRC </w:t>
      </w:r>
      <w:r w:rsidRPr="001708C2">
        <w:t>for 20</w:t>
      </w:r>
      <w:r w:rsidR="009E55C5" w:rsidRPr="001708C2">
        <w:t>1</w:t>
      </w:r>
      <w:r w:rsidR="00F11D87">
        <w:t>5</w:t>
      </w:r>
      <w:r w:rsidRPr="00557C81">
        <w:t>.</w:t>
      </w:r>
      <w:r w:rsidR="008813A3">
        <w:t xml:space="preserve">  The same estimate is assumed for the use of continuous release reporting forms.</w:t>
      </w:r>
    </w:p>
    <w:p w14:paraId="6B17C9DC" w14:textId="77777777" w:rsidR="000003F0" w:rsidRDefault="000003F0" w:rsidP="00C874E7">
      <w:pPr>
        <w:keepNext/>
        <w:keepLines/>
        <w:ind w:firstLine="720"/>
      </w:pPr>
    </w:p>
    <w:p w14:paraId="57BC7C9B" w14:textId="77777777" w:rsidR="002F4927" w:rsidRDefault="002F4927" w:rsidP="000E75CD">
      <w:pPr>
        <w:keepNext/>
        <w:keepLines/>
        <w:jc w:val="center"/>
        <w:outlineLvl w:val="4"/>
        <w:rPr>
          <w:b/>
        </w:rPr>
      </w:pPr>
      <w:bookmarkStart w:id="75" w:name="_Toc295823976"/>
    </w:p>
    <w:p w14:paraId="6B787A55" w14:textId="77777777" w:rsidR="002F4927" w:rsidRDefault="002F4927" w:rsidP="000E75CD">
      <w:pPr>
        <w:keepNext/>
        <w:keepLines/>
        <w:jc w:val="center"/>
        <w:outlineLvl w:val="4"/>
        <w:rPr>
          <w:b/>
        </w:rPr>
      </w:pPr>
    </w:p>
    <w:p w14:paraId="1D74B890" w14:textId="77777777" w:rsidR="002F4927" w:rsidRDefault="002F4927" w:rsidP="000E75CD">
      <w:pPr>
        <w:keepNext/>
        <w:keepLines/>
        <w:jc w:val="center"/>
        <w:outlineLvl w:val="4"/>
        <w:rPr>
          <w:b/>
        </w:rPr>
      </w:pPr>
    </w:p>
    <w:p w14:paraId="0AA7FEA0" w14:textId="199C54FA" w:rsidR="00C874E7" w:rsidRDefault="000003F0" w:rsidP="000E75CD">
      <w:pPr>
        <w:keepNext/>
        <w:keepLines/>
        <w:jc w:val="center"/>
        <w:outlineLvl w:val="4"/>
        <w:rPr>
          <w:b/>
        </w:rPr>
      </w:pPr>
      <w:r>
        <w:rPr>
          <w:b/>
        </w:rPr>
        <w:t>Exhibit 11 – Number of Facilities and Hazardous Substance Releases That Will Be Affected by the CRRR in the Next Three Years</w:t>
      </w:r>
      <w:bookmarkEnd w:id="75"/>
    </w:p>
    <w:p w14:paraId="74D2E194" w14:textId="33D78AA1" w:rsidR="00F11D87" w:rsidRPr="001F3A52" w:rsidRDefault="00FD3E94" w:rsidP="000E75CD">
      <w:pPr>
        <w:keepNext/>
        <w:keepLines/>
        <w:jc w:val="center"/>
        <w:outlineLvl w:val="4"/>
      </w:pPr>
      <w:r w:rsidRPr="00FD3E94">
        <w:rPr>
          <w:noProof/>
        </w:rPr>
        <w:drawing>
          <wp:inline distT="0" distB="0" distL="0" distR="0" wp14:anchorId="3F91ECDB" wp14:editId="3B8D392F">
            <wp:extent cx="5848350" cy="1638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848350" cy="1638300"/>
                    </a:xfrm>
                    <a:prstGeom prst="rect">
                      <a:avLst/>
                    </a:prstGeom>
                    <a:noFill/>
                    <a:ln>
                      <a:noFill/>
                    </a:ln>
                  </pic:spPr>
                </pic:pic>
              </a:graphicData>
            </a:graphic>
          </wp:inline>
        </w:drawing>
      </w:r>
    </w:p>
    <w:p w14:paraId="69E003C8" w14:textId="3DB36169" w:rsidR="00C874E7" w:rsidRDefault="00C874E7" w:rsidP="00BF767F">
      <w:pPr>
        <w:jc w:val="center"/>
      </w:pPr>
    </w:p>
    <w:p w14:paraId="1AD2DB2C" w14:textId="77777777" w:rsidR="006E2CC6" w:rsidRDefault="0015157D" w:rsidP="005F1213">
      <w:pPr>
        <w:pStyle w:val="Heading2"/>
      </w:pPr>
      <w:bookmarkStart w:id="76" w:name="_Toc295823977"/>
      <w:r>
        <w:t>Bottom Line Burden Hours and Cost Tables</w:t>
      </w:r>
      <w:bookmarkEnd w:id="76"/>
    </w:p>
    <w:p w14:paraId="262EF968" w14:textId="77777777" w:rsidR="0015157D" w:rsidRDefault="0015157D" w:rsidP="0015157D">
      <w:pPr>
        <w:pStyle w:val="Heading3"/>
        <w:tabs>
          <w:tab w:val="clear" w:pos="1800"/>
          <w:tab w:val="num" w:pos="1080"/>
        </w:tabs>
      </w:pPr>
      <w:bookmarkStart w:id="77" w:name="_Toc295823978"/>
      <w:r>
        <w:t>Respondent Tally</w:t>
      </w:r>
      <w:bookmarkEnd w:id="77"/>
    </w:p>
    <w:p w14:paraId="7322DD20" w14:textId="77777777" w:rsidR="0015157D" w:rsidRDefault="0015157D" w:rsidP="0015157D"/>
    <w:p w14:paraId="1B8A065E" w14:textId="77777777" w:rsidR="0082631E" w:rsidRDefault="0015157D" w:rsidP="000B42CD">
      <w:pPr>
        <w:ind w:firstLine="720"/>
        <w:sectPr w:rsidR="0082631E" w:rsidSect="0082631E">
          <w:pgSz w:w="12240" w:h="15840"/>
          <w:pgMar w:top="1397" w:right="1440" w:bottom="1339" w:left="1080" w:header="835" w:footer="1195" w:gutter="0"/>
          <w:cols w:space="720"/>
          <w:noEndnote/>
          <w:docGrid w:linePitch="326"/>
        </w:sectPr>
      </w:pPr>
      <w:r w:rsidRPr="001F3A52">
        <w:t xml:space="preserve">The total estimated and annual burden hours and costs incurred by industry affected by the CRRR are presented in Exhibit 12.  The total and annual hours and costs incurred by industry are calculated over a three year period.  </w:t>
      </w:r>
    </w:p>
    <w:p w14:paraId="2E04D191" w14:textId="5F4F39CC" w:rsidR="00177883" w:rsidRDefault="000E75CD" w:rsidP="00A4433A">
      <w:pPr>
        <w:keepNext/>
        <w:jc w:val="center"/>
        <w:outlineLvl w:val="4"/>
        <w:rPr>
          <w:b/>
        </w:rPr>
      </w:pPr>
      <w:bookmarkStart w:id="78" w:name="_Toc295823979"/>
      <w:r w:rsidRPr="002F4927">
        <w:rPr>
          <w:b/>
          <w:sz w:val="22"/>
          <w:szCs w:val="22"/>
        </w:rPr>
        <w:t>Exhibit 12 – Annual Burden Hours and Costs Incurred by Industry</w:t>
      </w:r>
      <w:bookmarkEnd w:id="78"/>
      <w:r w:rsidR="00FD3E94" w:rsidRPr="00FD3E94">
        <w:rPr>
          <w:noProof/>
        </w:rPr>
        <w:drawing>
          <wp:inline distT="0" distB="0" distL="0" distR="0" wp14:anchorId="78A61B84" wp14:editId="462E5459">
            <wp:extent cx="7811809" cy="53219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823693" cy="5330031"/>
                    </a:xfrm>
                    <a:prstGeom prst="rect">
                      <a:avLst/>
                    </a:prstGeom>
                    <a:noFill/>
                    <a:ln>
                      <a:noFill/>
                    </a:ln>
                  </pic:spPr>
                </pic:pic>
              </a:graphicData>
            </a:graphic>
          </wp:inline>
        </w:drawing>
      </w:r>
    </w:p>
    <w:p w14:paraId="03CD62D9" w14:textId="59FD45D5" w:rsidR="0015157D" w:rsidRPr="000E75CD" w:rsidRDefault="000E75CD" w:rsidP="000E75CD">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bookmarkStart w:id="79" w:name="_Toc295823980"/>
      <w:r>
        <w:rPr>
          <w:b/>
          <w:color w:val="99CC00"/>
        </w:rPr>
        <w:t>Exhibit 12 (With Forms) – Annual Burden Hours and Costs Incurred by Industry</w:t>
      </w:r>
      <w:bookmarkEnd w:id="79"/>
    </w:p>
    <w:p w14:paraId="7955C125" w14:textId="340ED2B1" w:rsidR="00946B7B" w:rsidRDefault="00FD3E94" w:rsidP="000E7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D3E94">
        <w:rPr>
          <w:noProof/>
        </w:rPr>
        <w:drawing>
          <wp:inline distT="0" distB="0" distL="0" distR="0" wp14:anchorId="34F31742" wp14:editId="762A296F">
            <wp:extent cx="8321040" cy="4999473"/>
            <wp:effectExtent l="0" t="0" r="381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321040" cy="4999473"/>
                    </a:xfrm>
                    <a:prstGeom prst="rect">
                      <a:avLst/>
                    </a:prstGeom>
                    <a:noFill/>
                    <a:ln>
                      <a:noFill/>
                    </a:ln>
                  </pic:spPr>
                </pic:pic>
              </a:graphicData>
            </a:graphic>
          </wp:inline>
        </w:drawing>
      </w:r>
    </w:p>
    <w:p w14:paraId="69DFAFFC" w14:textId="2165F8E7" w:rsidR="00C57958" w:rsidRDefault="00C57958" w:rsidP="000E7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56F4704" w14:textId="63A5C508" w:rsidR="00C57958" w:rsidRDefault="00C57958" w:rsidP="000E75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R="00C57958" w:rsidSect="0082631E">
          <w:pgSz w:w="15840" w:h="12240" w:orient="landscape"/>
          <w:pgMar w:top="1080" w:right="1397" w:bottom="1440" w:left="1339" w:header="835" w:footer="1195" w:gutter="0"/>
          <w:cols w:space="720"/>
          <w:noEndnote/>
          <w:docGrid w:linePitch="326"/>
        </w:sectPr>
      </w:pPr>
    </w:p>
    <w:p w14:paraId="59043094" w14:textId="77777777" w:rsidR="000B42CD" w:rsidRDefault="000A7982" w:rsidP="00AF0691">
      <w:pPr>
        <w:pStyle w:val="Heading3"/>
        <w:tabs>
          <w:tab w:val="clear" w:pos="1800"/>
          <w:tab w:val="num" w:pos="1080"/>
        </w:tabs>
      </w:pPr>
      <w:r>
        <w:tab/>
      </w:r>
      <w:bookmarkStart w:id="80" w:name="_Toc295823981"/>
      <w:r w:rsidR="000B42CD">
        <w:t>The Agency Tally</w:t>
      </w:r>
      <w:bookmarkEnd w:id="80"/>
    </w:p>
    <w:p w14:paraId="10C88C96" w14:textId="77777777" w:rsidR="000B42CD" w:rsidRPr="000B42CD" w:rsidRDefault="000B42CD" w:rsidP="000B42CD"/>
    <w:p w14:paraId="78C622C4" w14:textId="77777777" w:rsidR="0015157D" w:rsidRDefault="000B42CD" w:rsidP="001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15157D" w:rsidRPr="001F3A52">
        <w:t>Exhibit 13 presents the total and annual estimated burden hours and costs incurred by government authorities as a result of the CRRR over a three year period.</w:t>
      </w:r>
    </w:p>
    <w:p w14:paraId="0F094144" w14:textId="77777777" w:rsidR="002F4927" w:rsidRDefault="002F4927"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rPr>
      </w:pPr>
      <w:bookmarkStart w:id="81" w:name="_Toc295823982"/>
    </w:p>
    <w:p w14:paraId="3BC1627A" w14:textId="1BB1CCC4" w:rsidR="0015157D" w:rsidRDefault="00084E48"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rPr>
      </w:pPr>
      <w:r>
        <w:rPr>
          <w:b/>
        </w:rPr>
        <w:t>Exhibit 13 – Annual Burden Hours and Costs Incurred by Government</w:t>
      </w:r>
      <w:bookmarkEnd w:id="81"/>
    </w:p>
    <w:p w14:paraId="2DF190DD" w14:textId="61DFA706" w:rsidR="00B83DEE" w:rsidRDefault="00B83DEE"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rPr>
      </w:pPr>
    </w:p>
    <w:p w14:paraId="66A2E872" w14:textId="6710CAD3" w:rsidR="00F11D87" w:rsidRPr="00084E48" w:rsidRDefault="00FD3E94"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rPr>
      </w:pPr>
      <w:r w:rsidRPr="00FD3E94">
        <w:rPr>
          <w:noProof/>
        </w:rPr>
        <w:drawing>
          <wp:inline distT="0" distB="0" distL="0" distR="0" wp14:anchorId="707EF3A5" wp14:editId="5BBD7D1F">
            <wp:extent cx="6336438" cy="5111549"/>
            <wp:effectExtent l="0" t="0" r="762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46642" cy="5119781"/>
                    </a:xfrm>
                    <a:prstGeom prst="rect">
                      <a:avLst/>
                    </a:prstGeom>
                    <a:noFill/>
                    <a:ln>
                      <a:noFill/>
                    </a:ln>
                  </pic:spPr>
                </pic:pic>
              </a:graphicData>
            </a:graphic>
          </wp:inline>
        </w:drawing>
      </w:r>
    </w:p>
    <w:p w14:paraId="6A6356B4" w14:textId="77777777" w:rsidR="00F02544" w:rsidRDefault="00F02544"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bookmarkStart w:id="82" w:name="_Toc295823983"/>
    </w:p>
    <w:p w14:paraId="6EBE687E" w14:textId="77777777" w:rsidR="00F02544" w:rsidRDefault="00F02544"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p w14:paraId="2A7C8A1E" w14:textId="77777777" w:rsidR="00F02544" w:rsidRDefault="00F02544"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p w14:paraId="13F94375" w14:textId="77777777" w:rsidR="00F02544" w:rsidRDefault="00F02544"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p w14:paraId="425EE36C" w14:textId="77777777" w:rsidR="00F02544" w:rsidRDefault="00F02544"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p w14:paraId="4FC7D61D" w14:textId="77777777" w:rsidR="00F02544" w:rsidRDefault="00F02544"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p w14:paraId="5357C491" w14:textId="77777777" w:rsidR="00F02544" w:rsidRDefault="00F02544"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p w14:paraId="7A1A21D4" w14:textId="342BE72D" w:rsidR="00946B7B" w:rsidRDefault="00084E48"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r>
        <w:rPr>
          <w:b/>
          <w:color w:val="99CC00"/>
        </w:rPr>
        <w:t>Exhibit 13 (With Forms) – Annual Burden Hours and Costs Incurred by Government</w:t>
      </w:r>
      <w:bookmarkEnd w:id="82"/>
    </w:p>
    <w:p w14:paraId="7BA97C95" w14:textId="493DBF64" w:rsidR="00DC0300" w:rsidRDefault="00FD3E94"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r w:rsidRPr="00FD3E94">
        <w:rPr>
          <w:noProof/>
        </w:rPr>
        <w:drawing>
          <wp:inline distT="0" distB="0" distL="0" distR="0" wp14:anchorId="74105EC6" wp14:editId="740FE34D">
            <wp:extent cx="6508981" cy="4895850"/>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515367" cy="4900654"/>
                    </a:xfrm>
                    <a:prstGeom prst="rect">
                      <a:avLst/>
                    </a:prstGeom>
                    <a:noFill/>
                    <a:ln>
                      <a:noFill/>
                    </a:ln>
                  </pic:spPr>
                </pic:pic>
              </a:graphicData>
            </a:graphic>
          </wp:inline>
        </w:drawing>
      </w:r>
    </w:p>
    <w:p w14:paraId="6B043579" w14:textId="7E469088" w:rsidR="00F11D87" w:rsidRPr="00084E48" w:rsidRDefault="00F11D87"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9CC00"/>
        </w:rPr>
      </w:pPr>
    </w:p>
    <w:p w14:paraId="5790CBF5" w14:textId="77777777" w:rsidR="00946B7B" w:rsidRDefault="00946B7B" w:rsidP="00084E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2EBEAF1" w14:textId="77777777" w:rsidR="000B42CD" w:rsidRDefault="000B42CD" w:rsidP="00AF0691">
      <w:pPr>
        <w:pStyle w:val="Heading3"/>
        <w:tabs>
          <w:tab w:val="clear" w:pos="1800"/>
          <w:tab w:val="num" w:pos="1080"/>
        </w:tabs>
      </w:pPr>
      <w:bookmarkStart w:id="83" w:name="_Toc295823984"/>
      <w:r>
        <w:t>Variations in the Annual Bottom Line</w:t>
      </w:r>
      <w:bookmarkEnd w:id="83"/>
      <w:r w:rsidR="0015157D">
        <w:tab/>
      </w:r>
    </w:p>
    <w:p w14:paraId="5FA114A9" w14:textId="77777777" w:rsidR="000B42CD" w:rsidRDefault="000B42CD" w:rsidP="00151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1A29400" w14:textId="3936BA25" w:rsidR="0015157D" w:rsidRPr="001C7658" w:rsidRDefault="000B42CD" w:rsidP="00AC43A9">
      <w:r>
        <w:tab/>
      </w:r>
      <w:r w:rsidR="0015157D" w:rsidRPr="001C7658">
        <w:t xml:space="preserve">Exhibit 14 summarizes the estimated burden hours and costs incurred by industry.  </w:t>
      </w:r>
      <w:bookmarkStart w:id="84" w:name="_Hlk513208126"/>
      <w:r w:rsidR="0015157D" w:rsidRPr="001C7658">
        <w:t xml:space="preserve">The bottom line burden to industry is approximately </w:t>
      </w:r>
      <w:r w:rsidR="00E628F1" w:rsidRPr="008B56B7">
        <w:t>3</w:t>
      </w:r>
      <w:r w:rsidR="004B310B">
        <w:t>33,774</w:t>
      </w:r>
      <w:r w:rsidR="00E41D72" w:rsidRPr="008B56B7">
        <w:t xml:space="preserve"> </w:t>
      </w:r>
      <w:r w:rsidR="0015157D" w:rsidRPr="001C7658">
        <w:t>hours for the first year and</w:t>
      </w:r>
      <w:r w:rsidR="00E41D72" w:rsidRPr="001C7658">
        <w:t xml:space="preserve"> </w:t>
      </w:r>
      <w:r w:rsidR="00E628F1" w:rsidRPr="008B56B7">
        <w:t>3</w:t>
      </w:r>
      <w:r w:rsidR="004B310B">
        <w:t>34,455</w:t>
      </w:r>
      <w:r w:rsidR="0015157D" w:rsidRPr="001C7658">
        <w:t xml:space="preserve">, and </w:t>
      </w:r>
      <w:r w:rsidR="00E628F1" w:rsidRPr="008B56B7">
        <w:t>3</w:t>
      </w:r>
      <w:r w:rsidR="004B310B">
        <w:t>35,187</w:t>
      </w:r>
      <w:r w:rsidR="00E41D72" w:rsidRPr="008B56B7">
        <w:t xml:space="preserve"> </w:t>
      </w:r>
      <w:r w:rsidR="0015157D" w:rsidRPr="001C7658">
        <w:t>hours for the second and third years, respectively.  The bottom line industry labor costs are approximately</w:t>
      </w:r>
      <w:r w:rsidR="00E41D72" w:rsidRPr="001C7658">
        <w:t xml:space="preserve"> </w:t>
      </w:r>
      <w:r w:rsidR="00E41D72" w:rsidRPr="008B56B7">
        <w:t>$</w:t>
      </w:r>
      <w:r w:rsidR="00EA2553">
        <w:t>19,</w:t>
      </w:r>
      <w:r w:rsidR="004E1142">
        <w:t>513,907</w:t>
      </w:r>
      <w:r w:rsidR="00557C81" w:rsidRPr="001C7658">
        <w:t xml:space="preserve"> </w:t>
      </w:r>
      <w:r w:rsidR="00E41D72" w:rsidRPr="008B56B7">
        <w:t>$</w:t>
      </w:r>
      <w:r w:rsidR="004E1142">
        <w:t>19,553,705</w:t>
      </w:r>
      <w:r w:rsidR="00557C81" w:rsidRPr="001C7658">
        <w:t xml:space="preserve">, and </w:t>
      </w:r>
      <w:r w:rsidR="00E41D72" w:rsidRPr="008B56B7">
        <w:t>$</w:t>
      </w:r>
      <w:r w:rsidR="00EA2553">
        <w:t>19</w:t>
      </w:r>
      <w:r w:rsidR="004E1142">
        <w:t>,596,487</w:t>
      </w:r>
      <w:r w:rsidR="00E41D72" w:rsidRPr="008B56B7">
        <w:t xml:space="preserve"> </w:t>
      </w:r>
      <w:r w:rsidR="0015157D" w:rsidRPr="001C7658">
        <w:t>for the first, second, and third years, respectively.  The bottom line industry O&amp;M cost</w:t>
      </w:r>
      <w:r w:rsidR="0015157D" w:rsidRPr="008B56B7">
        <w:t>s are approximately</w:t>
      </w:r>
      <w:r w:rsidR="00463312" w:rsidRPr="008B56B7">
        <w:t>$</w:t>
      </w:r>
      <w:r w:rsidR="004E1142">
        <w:t>242,677</w:t>
      </w:r>
      <w:r w:rsidR="00557C81" w:rsidRPr="001C7658">
        <w:t xml:space="preserve">, </w:t>
      </w:r>
      <w:r w:rsidR="00AC43A9" w:rsidRPr="008B56B7">
        <w:t>$</w:t>
      </w:r>
      <w:r w:rsidR="004E1142">
        <w:t>243,149</w:t>
      </w:r>
      <w:r w:rsidR="00557C81" w:rsidRPr="001C7658">
        <w:t xml:space="preserve">, and </w:t>
      </w:r>
      <w:r w:rsidR="00AC43A9" w:rsidRPr="008B56B7">
        <w:t>$</w:t>
      </w:r>
      <w:r w:rsidR="004E1142">
        <w:t>243,773</w:t>
      </w:r>
      <w:r w:rsidR="0015157D" w:rsidRPr="008B56B7">
        <w:t xml:space="preserve"> </w:t>
      </w:r>
      <w:r w:rsidR="0015157D" w:rsidRPr="001C7658">
        <w:t xml:space="preserve">for the first, second, and third years, respectively.   The average burden for industry over a </w:t>
      </w:r>
      <w:r w:rsidR="007713DE" w:rsidRPr="001C7658">
        <w:t>three-year</w:t>
      </w:r>
      <w:r w:rsidR="0015157D" w:rsidRPr="001C7658">
        <w:t xml:space="preserve"> period is</w:t>
      </w:r>
      <w:r w:rsidR="00E41D72" w:rsidRPr="001C7658">
        <w:t xml:space="preserve"> </w:t>
      </w:r>
      <w:r w:rsidR="004E1142">
        <w:t>334,472</w:t>
      </w:r>
      <w:r w:rsidR="009E55C5" w:rsidRPr="008B56B7">
        <w:t xml:space="preserve"> hours</w:t>
      </w:r>
      <w:r w:rsidR="009E55C5" w:rsidRPr="001C7658">
        <w:t xml:space="preserve"> at</w:t>
      </w:r>
      <w:r w:rsidR="00D62AD9" w:rsidRPr="001C7658">
        <w:t xml:space="preserve"> </w:t>
      </w:r>
      <w:r w:rsidR="0015157D" w:rsidRPr="001C7658">
        <w:t xml:space="preserve">an average labor cost of </w:t>
      </w:r>
      <w:r w:rsidR="00E41D72" w:rsidRPr="008B56B7">
        <w:t>$</w:t>
      </w:r>
      <w:r w:rsidR="004E1142">
        <w:t>19,554,699</w:t>
      </w:r>
      <w:r w:rsidR="00E41D72" w:rsidRPr="008B56B7">
        <w:t xml:space="preserve"> </w:t>
      </w:r>
      <w:r w:rsidR="0015157D" w:rsidRPr="001C7658">
        <w:t>and O&amp;M cost of</w:t>
      </w:r>
      <w:r w:rsidR="00E41D72" w:rsidRPr="001C7658">
        <w:t xml:space="preserve"> </w:t>
      </w:r>
      <w:r w:rsidR="00E41D72" w:rsidRPr="008B56B7">
        <w:t>$</w:t>
      </w:r>
      <w:r w:rsidR="004E1142">
        <w:t>243,200</w:t>
      </w:r>
      <w:r w:rsidR="00AC43A9" w:rsidRPr="001C7658">
        <w:t>.</w:t>
      </w:r>
      <w:bookmarkEnd w:id="84"/>
    </w:p>
    <w:p w14:paraId="1514A077" w14:textId="77777777" w:rsidR="0015157D" w:rsidRDefault="0015157D" w:rsidP="001515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35CAE40" w14:textId="754CBA32" w:rsidR="00084E48" w:rsidRDefault="00084E48"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rPr>
      </w:pPr>
      <w:bookmarkStart w:id="85" w:name="_Toc295823985"/>
      <w:r>
        <w:rPr>
          <w:b/>
        </w:rPr>
        <w:t>Exhibit 14 – Summary of Burden Hours and Costs Incurred by Industry</w:t>
      </w:r>
      <w:bookmarkEnd w:id="85"/>
    </w:p>
    <w:p w14:paraId="1B900967" w14:textId="2922A82E" w:rsidR="00EA2553" w:rsidRDefault="00EA2553"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rPr>
      </w:pPr>
    </w:p>
    <w:p w14:paraId="679B21AF" w14:textId="0BBCB66C" w:rsidR="00EB3A03" w:rsidRPr="00084E48" w:rsidRDefault="004E1142"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rPr>
      </w:pPr>
      <w:r w:rsidRPr="004E1142">
        <w:rPr>
          <w:noProof/>
        </w:rPr>
        <w:drawing>
          <wp:inline distT="0" distB="0" distL="0" distR="0" wp14:anchorId="138A5F82" wp14:editId="2C1367EA">
            <wp:extent cx="5486400" cy="2191026"/>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486400" cy="2191026"/>
                    </a:xfrm>
                    <a:prstGeom prst="rect">
                      <a:avLst/>
                    </a:prstGeom>
                    <a:noFill/>
                    <a:ln>
                      <a:noFill/>
                    </a:ln>
                  </pic:spPr>
                </pic:pic>
              </a:graphicData>
            </a:graphic>
          </wp:inline>
        </w:drawing>
      </w:r>
    </w:p>
    <w:p w14:paraId="2595AFDC" w14:textId="0F3C0C22" w:rsidR="00EE3E44" w:rsidRDefault="00EE3E44" w:rsidP="00EE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7A883FE5" w14:textId="77777777" w:rsidR="00D60D2B" w:rsidRDefault="00D60D2B" w:rsidP="00EE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4A791EEC" w14:textId="3A18B052" w:rsidR="00671A54" w:rsidRPr="00AC43A9" w:rsidRDefault="00B11073" w:rsidP="00AC43A9">
      <w:pPr>
        <w:rPr>
          <w:color w:val="99CC00"/>
        </w:rPr>
      </w:pPr>
      <w:r>
        <w:tab/>
      </w:r>
      <w:r w:rsidRPr="008B56B7">
        <w:rPr>
          <w:color w:val="92D050"/>
        </w:rPr>
        <w:t xml:space="preserve">Exhibit 14 </w:t>
      </w:r>
      <w:r w:rsidR="00084E48" w:rsidRPr="008B56B7">
        <w:rPr>
          <w:color w:val="92D050"/>
        </w:rPr>
        <w:t xml:space="preserve">(With Forms) </w:t>
      </w:r>
      <w:r w:rsidR="00671A54" w:rsidRPr="008B56B7">
        <w:rPr>
          <w:color w:val="92D050"/>
        </w:rPr>
        <w:t xml:space="preserve">summarizes the estimate burden hours and costs incurred by industry.  The revised bottom line burden to industry is approximately </w:t>
      </w:r>
      <w:r w:rsidR="00475FB5">
        <w:rPr>
          <w:color w:val="92D050"/>
        </w:rPr>
        <w:t>333,719</w:t>
      </w:r>
      <w:r w:rsidR="00E41D72" w:rsidRPr="008B56B7">
        <w:rPr>
          <w:color w:val="92D050"/>
        </w:rPr>
        <w:t xml:space="preserve"> </w:t>
      </w:r>
      <w:r w:rsidR="00671A54" w:rsidRPr="008B56B7">
        <w:rPr>
          <w:color w:val="92D050"/>
        </w:rPr>
        <w:t>hours for the first year and</w:t>
      </w:r>
      <w:r w:rsidR="00E41D72" w:rsidRPr="008B56B7">
        <w:rPr>
          <w:color w:val="92D050"/>
        </w:rPr>
        <w:t xml:space="preserve"> </w:t>
      </w:r>
      <w:r w:rsidR="00475FB5">
        <w:rPr>
          <w:color w:val="92D050"/>
        </w:rPr>
        <w:t>334,396</w:t>
      </w:r>
      <w:r w:rsidR="00671A54" w:rsidRPr="008B56B7">
        <w:rPr>
          <w:color w:val="92D050"/>
        </w:rPr>
        <w:t xml:space="preserve"> and </w:t>
      </w:r>
      <w:r w:rsidR="00475FB5">
        <w:rPr>
          <w:color w:val="92D050"/>
        </w:rPr>
        <w:t>335,124</w:t>
      </w:r>
      <w:r w:rsidR="00E41D72" w:rsidRPr="008B56B7">
        <w:rPr>
          <w:color w:val="92D050"/>
        </w:rPr>
        <w:t xml:space="preserve"> </w:t>
      </w:r>
      <w:r w:rsidR="00671A54" w:rsidRPr="008B56B7">
        <w:rPr>
          <w:color w:val="92D050"/>
        </w:rPr>
        <w:t>hours for the second and third years, respectively.  The revised bottom line industry labor costs are approximately</w:t>
      </w:r>
      <w:r w:rsidR="00E41D72" w:rsidRPr="008B56B7">
        <w:rPr>
          <w:color w:val="92D050"/>
        </w:rPr>
        <w:t xml:space="preserve"> </w:t>
      </w:r>
      <w:r w:rsidR="00ED167C" w:rsidRPr="008B56B7">
        <w:rPr>
          <w:color w:val="92D050"/>
        </w:rPr>
        <w:t>$</w:t>
      </w:r>
      <w:r w:rsidR="005A6606">
        <w:rPr>
          <w:color w:val="92D050"/>
        </w:rPr>
        <w:t>19,</w:t>
      </w:r>
      <w:r w:rsidR="00475FB5">
        <w:rPr>
          <w:color w:val="92D050"/>
        </w:rPr>
        <w:t>510,844</w:t>
      </w:r>
      <w:r w:rsidR="00671A54" w:rsidRPr="008B56B7">
        <w:rPr>
          <w:color w:val="92D050"/>
        </w:rPr>
        <w:t>,</w:t>
      </w:r>
      <w:r w:rsidR="00546213" w:rsidRPr="008B56B7">
        <w:rPr>
          <w:color w:val="92D050"/>
        </w:rPr>
        <w:t xml:space="preserve"> </w:t>
      </w:r>
      <w:r w:rsidR="00E41D72" w:rsidRPr="008B56B7">
        <w:rPr>
          <w:color w:val="92D050"/>
        </w:rPr>
        <w:t>$</w:t>
      </w:r>
      <w:r w:rsidR="00475FB5">
        <w:rPr>
          <w:color w:val="92D050"/>
        </w:rPr>
        <w:t>19,550,412</w:t>
      </w:r>
      <w:r w:rsidR="00671A54" w:rsidRPr="008B56B7">
        <w:rPr>
          <w:color w:val="92D050"/>
        </w:rPr>
        <w:t xml:space="preserve">, and </w:t>
      </w:r>
      <w:r w:rsidR="00E41D72" w:rsidRPr="008B56B7">
        <w:rPr>
          <w:color w:val="92D050"/>
        </w:rPr>
        <w:t>$</w:t>
      </w:r>
      <w:r w:rsidR="00475FB5">
        <w:rPr>
          <w:color w:val="92D050"/>
        </w:rPr>
        <w:t>19,592,947</w:t>
      </w:r>
      <w:r w:rsidR="00E41D72" w:rsidRPr="008B56B7">
        <w:rPr>
          <w:color w:val="92D050"/>
        </w:rPr>
        <w:t xml:space="preserve"> </w:t>
      </w:r>
      <w:r w:rsidR="00671A54" w:rsidRPr="008B56B7">
        <w:rPr>
          <w:color w:val="92D050"/>
        </w:rPr>
        <w:t>for the first, second, and third years, respectively.  The bottom line industry O&amp;M costs remain the same.   The revised average burden hour</w:t>
      </w:r>
      <w:r w:rsidR="007713DE">
        <w:rPr>
          <w:color w:val="92D050"/>
        </w:rPr>
        <w:t>s</w:t>
      </w:r>
      <w:r w:rsidR="00671A54" w:rsidRPr="008B56B7">
        <w:rPr>
          <w:color w:val="92D050"/>
        </w:rPr>
        <w:t xml:space="preserve"> for industry over a </w:t>
      </w:r>
      <w:r w:rsidR="009E7D03" w:rsidRPr="008B56B7">
        <w:rPr>
          <w:color w:val="92D050"/>
        </w:rPr>
        <w:t>three-year</w:t>
      </w:r>
      <w:r w:rsidR="00671A54" w:rsidRPr="008B56B7">
        <w:rPr>
          <w:color w:val="92D050"/>
        </w:rPr>
        <w:t xml:space="preserve"> period </w:t>
      </w:r>
      <w:r w:rsidR="009C4CB1" w:rsidRPr="00475FB5">
        <w:rPr>
          <w:color w:val="92D050"/>
        </w:rPr>
        <w:t>is</w:t>
      </w:r>
      <w:r w:rsidR="00E41D72" w:rsidRPr="00475FB5">
        <w:rPr>
          <w:color w:val="92D050"/>
        </w:rPr>
        <w:t xml:space="preserve"> </w:t>
      </w:r>
      <w:r w:rsidR="00475FB5" w:rsidRPr="00475FB5">
        <w:rPr>
          <w:color w:val="92D050"/>
        </w:rPr>
        <w:t>334,413</w:t>
      </w:r>
      <w:r w:rsidR="00671A54" w:rsidRPr="00475FB5">
        <w:rPr>
          <w:color w:val="92D050"/>
        </w:rPr>
        <w:t>,</w:t>
      </w:r>
      <w:r w:rsidR="00C90B8A" w:rsidRPr="00475FB5">
        <w:rPr>
          <w:color w:val="92D050"/>
        </w:rPr>
        <w:t xml:space="preserve"> a </w:t>
      </w:r>
      <w:r w:rsidR="00C90B8A" w:rsidRPr="008B56B7">
        <w:rPr>
          <w:color w:val="92D050"/>
        </w:rPr>
        <w:t>revised</w:t>
      </w:r>
      <w:r w:rsidR="00671A54" w:rsidRPr="008B56B7">
        <w:rPr>
          <w:color w:val="92D050"/>
        </w:rPr>
        <w:t xml:space="preserve"> average labor cost of</w:t>
      </w:r>
      <w:r w:rsidR="00AC43A9" w:rsidRPr="008B56B7">
        <w:rPr>
          <w:color w:val="92D050"/>
        </w:rPr>
        <w:t xml:space="preserve"> $</w:t>
      </w:r>
      <w:r w:rsidR="00475FB5">
        <w:rPr>
          <w:color w:val="92D050"/>
        </w:rPr>
        <w:t>19,551,401</w:t>
      </w:r>
      <w:r w:rsidR="00C90B8A" w:rsidRPr="008B56B7">
        <w:rPr>
          <w:color w:val="92D050"/>
        </w:rPr>
        <w:t xml:space="preserve">.  The </w:t>
      </w:r>
      <w:r w:rsidR="00671A54" w:rsidRPr="008B56B7">
        <w:rPr>
          <w:color w:val="92D050"/>
        </w:rPr>
        <w:t xml:space="preserve">O&amp;M </w:t>
      </w:r>
      <w:r w:rsidR="004725C6" w:rsidRPr="008B56B7">
        <w:rPr>
          <w:color w:val="92D050"/>
        </w:rPr>
        <w:t xml:space="preserve">average </w:t>
      </w:r>
      <w:r w:rsidR="00671A54" w:rsidRPr="00475FB5">
        <w:rPr>
          <w:color w:val="92D050"/>
        </w:rPr>
        <w:t xml:space="preserve">cost of </w:t>
      </w:r>
      <w:r w:rsidR="00AC43A9" w:rsidRPr="00475FB5">
        <w:rPr>
          <w:color w:val="92D050"/>
        </w:rPr>
        <w:t>$</w:t>
      </w:r>
      <w:r w:rsidR="00475FB5" w:rsidRPr="00475FB5">
        <w:rPr>
          <w:color w:val="92D050"/>
        </w:rPr>
        <w:t>243,200</w:t>
      </w:r>
      <w:r w:rsidR="00847376" w:rsidRPr="00475FB5">
        <w:rPr>
          <w:color w:val="92D050"/>
        </w:rPr>
        <w:t xml:space="preserve"> </w:t>
      </w:r>
      <w:r w:rsidR="00C90B8A" w:rsidRPr="00475FB5">
        <w:rPr>
          <w:color w:val="92D050"/>
        </w:rPr>
        <w:t xml:space="preserve">remains </w:t>
      </w:r>
      <w:r w:rsidR="00C90B8A" w:rsidRPr="008B56B7">
        <w:rPr>
          <w:color w:val="92D050"/>
        </w:rPr>
        <w:t>unchanged</w:t>
      </w:r>
      <w:r w:rsidR="00671A54" w:rsidRPr="008B56B7">
        <w:rPr>
          <w:color w:val="92D050"/>
        </w:rPr>
        <w:t>.</w:t>
      </w:r>
      <w:r w:rsidR="008256C6" w:rsidRPr="008B56B7">
        <w:rPr>
          <w:color w:val="92D050"/>
        </w:rPr>
        <w:t xml:space="preserve">  </w:t>
      </w:r>
    </w:p>
    <w:p w14:paraId="23A42764" w14:textId="77777777" w:rsidR="00084E48" w:rsidRDefault="00084E48" w:rsidP="00671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CC33"/>
        </w:rPr>
      </w:pPr>
    </w:p>
    <w:p w14:paraId="6B87F121" w14:textId="77777777" w:rsidR="004F00E2" w:rsidRDefault="004F00E2" w:rsidP="00671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CC33"/>
        </w:rPr>
      </w:pPr>
    </w:p>
    <w:p w14:paraId="593A7BF8" w14:textId="77777777" w:rsidR="004F00E2" w:rsidRDefault="004F00E2" w:rsidP="00671A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33CC33"/>
        </w:rPr>
      </w:pPr>
    </w:p>
    <w:p w14:paraId="7BDEAFD5" w14:textId="3B38E807" w:rsidR="00084E48" w:rsidRDefault="00084E48"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2D050"/>
        </w:rPr>
      </w:pPr>
      <w:bookmarkStart w:id="86" w:name="_Toc295823986"/>
      <w:r w:rsidRPr="008B56B7">
        <w:rPr>
          <w:b/>
          <w:color w:val="92D050"/>
        </w:rPr>
        <w:t>Exhibit 14 (With Forms) – Summary of Burden Hours and Costs Incurred by Industry</w:t>
      </w:r>
      <w:bookmarkEnd w:id="86"/>
    </w:p>
    <w:p w14:paraId="112A3906" w14:textId="24C9F53D" w:rsidR="000446A3" w:rsidRDefault="006B1F46"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2D050"/>
        </w:rPr>
      </w:pPr>
      <w:r w:rsidRPr="006B1F46">
        <w:rPr>
          <w:noProof/>
        </w:rPr>
        <w:drawing>
          <wp:inline distT="0" distB="0" distL="0" distR="0" wp14:anchorId="3CBD8E48" wp14:editId="2252D3D7">
            <wp:extent cx="5486400" cy="2199861"/>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86400" cy="2199861"/>
                    </a:xfrm>
                    <a:prstGeom prst="rect">
                      <a:avLst/>
                    </a:prstGeom>
                    <a:noFill/>
                    <a:ln>
                      <a:noFill/>
                    </a:ln>
                  </pic:spPr>
                </pic:pic>
              </a:graphicData>
            </a:graphic>
          </wp:inline>
        </w:drawing>
      </w:r>
    </w:p>
    <w:p w14:paraId="4DD201EB" w14:textId="4A09C256" w:rsidR="00847376" w:rsidRPr="008B56B7" w:rsidRDefault="00847376" w:rsidP="00084E4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b/>
          <w:color w:val="92D050"/>
        </w:rPr>
      </w:pPr>
    </w:p>
    <w:p w14:paraId="290C7465" w14:textId="2A2A9C23" w:rsidR="000163AA" w:rsidRPr="00B11073" w:rsidRDefault="000163AA" w:rsidP="000163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color w:val="33CC33"/>
        </w:rPr>
      </w:pPr>
    </w:p>
    <w:p w14:paraId="5DD9FD76" w14:textId="77777777" w:rsidR="003B462E" w:rsidRPr="003B462E" w:rsidRDefault="003B462E" w:rsidP="005F5FA9">
      <w:pPr>
        <w:tabs>
          <w:tab w:val="left" w:pos="720"/>
          <w:tab w:val="left" w:pos="1440"/>
          <w:tab w:val="left" w:pos="2160"/>
          <w:tab w:val="left" w:pos="2880"/>
          <w:tab w:val="left" w:pos="3600"/>
          <w:tab w:val="left" w:pos="4320"/>
          <w:tab w:val="left" w:pos="5040"/>
          <w:tab w:val="left" w:pos="5760"/>
          <w:tab w:val="left" w:pos="6480"/>
          <w:tab w:val="left" w:pos="7202"/>
        </w:tabs>
        <w:jc w:val="center"/>
        <w:rPr>
          <w:color w:val="FF0000"/>
        </w:rPr>
      </w:pPr>
    </w:p>
    <w:p w14:paraId="0EDD8F9B" w14:textId="48766A2D" w:rsidR="0015157D" w:rsidRPr="001C7658" w:rsidRDefault="000A7982" w:rsidP="00AC43A9">
      <w:r>
        <w:tab/>
      </w:r>
      <w:r w:rsidRPr="001C7658">
        <w:t xml:space="preserve">Exhibit 15 summarizes the estimated burden hours and costs incurred by </w:t>
      </w:r>
      <w:r w:rsidR="00E47747">
        <w:t xml:space="preserve">Federal, state, and local </w:t>
      </w:r>
      <w:r w:rsidRPr="001C7658">
        <w:t xml:space="preserve">government.  The bottom line burden to the government is approximately </w:t>
      </w:r>
      <w:r w:rsidR="0015339C">
        <w:t>41,177</w:t>
      </w:r>
      <w:r w:rsidR="003E5CA5">
        <w:t>,</w:t>
      </w:r>
      <w:r w:rsidR="00AC43A9" w:rsidRPr="008B56B7">
        <w:t xml:space="preserve"> </w:t>
      </w:r>
      <w:r w:rsidRPr="001C7658">
        <w:t>hours for the first year,</w:t>
      </w:r>
      <w:r w:rsidRPr="008B56B7">
        <w:t xml:space="preserve"> </w:t>
      </w:r>
      <w:r w:rsidR="0015339C">
        <w:t>41,266</w:t>
      </w:r>
      <w:r w:rsidR="00FC08CB" w:rsidRPr="008B56B7">
        <w:t xml:space="preserve"> </w:t>
      </w:r>
      <w:r w:rsidRPr="001C7658">
        <w:t xml:space="preserve">for the second, and </w:t>
      </w:r>
      <w:r w:rsidR="0015339C">
        <w:t>41,376</w:t>
      </w:r>
      <w:r w:rsidRPr="008B56B7">
        <w:t xml:space="preserve"> </w:t>
      </w:r>
      <w:r w:rsidRPr="001C7658">
        <w:t>for the third year.  The bottom line cost to the government is approximately</w:t>
      </w:r>
      <w:r w:rsidR="00A619E9" w:rsidRPr="001C7658">
        <w:t xml:space="preserve"> </w:t>
      </w:r>
      <w:r w:rsidR="00A619E9" w:rsidRPr="008B56B7">
        <w:t>$</w:t>
      </w:r>
      <w:r w:rsidR="0015339C">
        <w:t>2,024,222</w:t>
      </w:r>
      <w:r w:rsidRPr="001C7658">
        <w:t xml:space="preserve">, </w:t>
      </w:r>
      <w:r w:rsidR="008256C6" w:rsidRPr="008B56B7">
        <w:t>$</w:t>
      </w:r>
      <w:r w:rsidR="0015339C">
        <w:t>2,028,598</w:t>
      </w:r>
      <w:r w:rsidRPr="001C7658">
        <w:t>, and</w:t>
      </w:r>
      <w:r w:rsidR="008256C6" w:rsidRPr="001C7658">
        <w:t xml:space="preserve"> </w:t>
      </w:r>
      <w:r w:rsidR="008256C6" w:rsidRPr="008B56B7">
        <w:t>$</w:t>
      </w:r>
      <w:r w:rsidR="0077189F">
        <w:t>2,034,010</w:t>
      </w:r>
      <w:r w:rsidRPr="001C7658">
        <w:t xml:space="preserve">, respectively.  The average burden hour for the government over a </w:t>
      </w:r>
      <w:r w:rsidR="00E47747" w:rsidRPr="001C7658">
        <w:t>three-year</w:t>
      </w:r>
      <w:r w:rsidRPr="001C7658">
        <w:t xml:space="preserve"> period is </w:t>
      </w:r>
      <w:r w:rsidR="0077189F">
        <w:t>41,273</w:t>
      </w:r>
      <w:r w:rsidR="00A619E9" w:rsidRPr="008B56B7">
        <w:t xml:space="preserve"> </w:t>
      </w:r>
      <w:r w:rsidRPr="001C7658">
        <w:t xml:space="preserve">hours, at an average annual cost </w:t>
      </w:r>
      <w:r w:rsidR="0095573E" w:rsidRPr="001C7658">
        <w:t>of</w:t>
      </w:r>
      <w:r w:rsidR="00A619E9" w:rsidRPr="001C7658">
        <w:t xml:space="preserve"> </w:t>
      </w:r>
      <w:r w:rsidR="00A619E9" w:rsidRPr="008B56B7">
        <w:t>$</w:t>
      </w:r>
      <w:r w:rsidR="0077189F">
        <w:t>2,028,943</w:t>
      </w:r>
      <w:r w:rsidRPr="001C7658">
        <w:t>.</w:t>
      </w:r>
    </w:p>
    <w:p w14:paraId="64DAEAD3" w14:textId="77777777" w:rsidR="00084E48" w:rsidRDefault="00084E48" w:rsidP="0015157D">
      <w:pPr>
        <w:tabs>
          <w:tab w:val="left" w:pos="720"/>
          <w:tab w:val="left" w:pos="1440"/>
          <w:tab w:val="left" w:pos="2160"/>
          <w:tab w:val="left" w:pos="2880"/>
          <w:tab w:val="left" w:pos="3600"/>
          <w:tab w:val="left" w:pos="4320"/>
          <w:tab w:val="left" w:pos="5040"/>
          <w:tab w:val="left" w:pos="5760"/>
          <w:tab w:val="left" w:pos="6480"/>
          <w:tab w:val="left" w:pos="7202"/>
        </w:tabs>
      </w:pPr>
    </w:p>
    <w:p w14:paraId="3D6F7F5D" w14:textId="77777777" w:rsidR="00084E48" w:rsidRDefault="00084E48" w:rsidP="0015157D">
      <w:pPr>
        <w:tabs>
          <w:tab w:val="left" w:pos="720"/>
          <w:tab w:val="left" w:pos="1440"/>
          <w:tab w:val="left" w:pos="2160"/>
          <w:tab w:val="left" w:pos="2880"/>
          <w:tab w:val="left" w:pos="3600"/>
          <w:tab w:val="left" w:pos="4320"/>
          <w:tab w:val="left" w:pos="5040"/>
          <w:tab w:val="left" w:pos="5760"/>
          <w:tab w:val="left" w:pos="6480"/>
          <w:tab w:val="left" w:pos="7202"/>
        </w:tabs>
      </w:pPr>
    </w:p>
    <w:p w14:paraId="7975DD09" w14:textId="11FE77A5" w:rsidR="006549BA" w:rsidRDefault="00084E48" w:rsidP="00084E48">
      <w:pPr>
        <w:keepNext/>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b/>
        </w:rPr>
      </w:pPr>
      <w:bookmarkStart w:id="87" w:name="_Toc295823987"/>
      <w:r>
        <w:rPr>
          <w:b/>
        </w:rPr>
        <w:t>Exhibit 15 – Summary of Burden Hours and Costs Incurred by Government</w:t>
      </w:r>
      <w:bookmarkEnd w:id="87"/>
    </w:p>
    <w:p w14:paraId="6A40B18E" w14:textId="63E28340" w:rsidR="00CF1A15" w:rsidRDefault="0077189F" w:rsidP="00084E48">
      <w:pPr>
        <w:keepNext/>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b/>
        </w:rPr>
      </w:pPr>
      <w:r w:rsidRPr="0077189F">
        <w:rPr>
          <w:noProof/>
        </w:rPr>
        <w:drawing>
          <wp:inline distT="0" distB="0" distL="0" distR="0" wp14:anchorId="2837575C" wp14:editId="142348A9">
            <wp:extent cx="5486400" cy="636104"/>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86400" cy="636104"/>
                    </a:xfrm>
                    <a:prstGeom prst="rect">
                      <a:avLst/>
                    </a:prstGeom>
                    <a:noFill/>
                    <a:ln>
                      <a:noFill/>
                    </a:ln>
                  </pic:spPr>
                </pic:pic>
              </a:graphicData>
            </a:graphic>
          </wp:inline>
        </w:drawing>
      </w:r>
    </w:p>
    <w:p w14:paraId="3BD1C271" w14:textId="69F9EA51" w:rsidR="00667A1C" w:rsidRPr="00084E48" w:rsidRDefault="00667A1C" w:rsidP="00084E48">
      <w:pPr>
        <w:keepNext/>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b/>
        </w:rPr>
      </w:pPr>
    </w:p>
    <w:p w14:paraId="55476D64" w14:textId="77777777" w:rsidR="007F14E8" w:rsidRDefault="007F14E8" w:rsidP="0095573E">
      <w:pPr>
        <w:tabs>
          <w:tab w:val="left" w:pos="720"/>
          <w:tab w:val="left" w:pos="1440"/>
          <w:tab w:val="left" w:pos="2160"/>
          <w:tab w:val="left" w:pos="2880"/>
          <w:tab w:val="left" w:pos="3600"/>
          <w:tab w:val="left" w:pos="4320"/>
          <w:tab w:val="left" w:pos="5040"/>
          <w:tab w:val="left" w:pos="5760"/>
          <w:tab w:val="left" w:pos="6480"/>
          <w:tab w:val="left" w:pos="7202"/>
        </w:tabs>
        <w:jc w:val="center"/>
      </w:pPr>
    </w:p>
    <w:p w14:paraId="303C704B" w14:textId="7F32C9A3" w:rsidR="006549BA" w:rsidRPr="008B56B7" w:rsidRDefault="006549BA" w:rsidP="00465B2B">
      <w:pPr>
        <w:rPr>
          <w:color w:val="92D050"/>
        </w:rPr>
      </w:pPr>
      <w:r>
        <w:tab/>
      </w:r>
      <w:r w:rsidR="00B11073" w:rsidRPr="008B56B7">
        <w:rPr>
          <w:color w:val="92D050"/>
        </w:rPr>
        <w:t>Exhibit 15</w:t>
      </w:r>
      <w:r w:rsidR="0095573E" w:rsidRPr="008B56B7">
        <w:rPr>
          <w:color w:val="92D050"/>
        </w:rPr>
        <w:t xml:space="preserve"> (With Forms)</w:t>
      </w:r>
      <w:r w:rsidR="00B11073" w:rsidRPr="008B56B7">
        <w:rPr>
          <w:color w:val="92D050"/>
        </w:rPr>
        <w:t xml:space="preserve"> summarizes the estimated burden hours and costs incurred by government.  The revised bottom line burden to the government is approximately </w:t>
      </w:r>
      <w:r w:rsidR="0077189F">
        <w:rPr>
          <w:color w:val="92D050"/>
        </w:rPr>
        <w:t>31,441</w:t>
      </w:r>
      <w:r w:rsidR="00A619E9" w:rsidRPr="008B56B7">
        <w:rPr>
          <w:color w:val="92D050"/>
        </w:rPr>
        <w:t xml:space="preserve"> </w:t>
      </w:r>
      <w:r w:rsidR="00B11073" w:rsidRPr="008B56B7">
        <w:rPr>
          <w:color w:val="92D050"/>
        </w:rPr>
        <w:t xml:space="preserve">hours for the first year, </w:t>
      </w:r>
      <w:r w:rsidR="0077189F">
        <w:rPr>
          <w:color w:val="92D050"/>
        </w:rPr>
        <w:t>31,509</w:t>
      </w:r>
      <w:r w:rsidR="00656554" w:rsidRPr="008B56B7">
        <w:rPr>
          <w:color w:val="92D050"/>
        </w:rPr>
        <w:t xml:space="preserve"> </w:t>
      </w:r>
      <w:r w:rsidR="00B11073" w:rsidRPr="008B56B7">
        <w:rPr>
          <w:color w:val="92D050"/>
        </w:rPr>
        <w:t>for second, and</w:t>
      </w:r>
      <w:r w:rsidR="0077189F">
        <w:rPr>
          <w:color w:val="92D050"/>
        </w:rPr>
        <w:t xml:space="preserve"> 31,592</w:t>
      </w:r>
      <w:r w:rsidR="00656554" w:rsidRPr="008B56B7">
        <w:rPr>
          <w:color w:val="92D050"/>
        </w:rPr>
        <w:t xml:space="preserve"> </w:t>
      </w:r>
      <w:r w:rsidR="00B11073" w:rsidRPr="008B56B7">
        <w:rPr>
          <w:color w:val="92D050"/>
        </w:rPr>
        <w:t>for the third year.  The revised bottom line cost to the government is approximately</w:t>
      </w:r>
      <w:r w:rsidR="00A619E9" w:rsidRPr="008B56B7">
        <w:rPr>
          <w:color w:val="92D050"/>
        </w:rPr>
        <w:t xml:space="preserve"> $</w:t>
      </w:r>
      <w:r w:rsidR="0077189F">
        <w:rPr>
          <w:color w:val="92D050"/>
        </w:rPr>
        <w:t>1,545,658</w:t>
      </w:r>
      <w:r w:rsidR="00B11073" w:rsidRPr="008B56B7">
        <w:rPr>
          <w:color w:val="92D050"/>
        </w:rPr>
        <w:t xml:space="preserve">, </w:t>
      </w:r>
      <w:r w:rsidR="00465B2B" w:rsidRPr="008B56B7">
        <w:rPr>
          <w:color w:val="92D050"/>
        </w:rPr>
        <w:t>$</w:t>
      </w:r>
      <w:r w:rsidR="0077189F">
        <w:rPr>
          <w:color w:val="92D050"/>
        </w:rPr>
        <w:t>1,549,021</w:t>
      </w:r>
      <w:r w:rsidR="00B11073" w:rsidRPr="008B56B7">
        <w:rPr>
          <w:color w:val="92D050"/>
        </w:rPr>
        <w:t>, and</w:t>
      </w:r>
      <w:r w:rsidR="00465B2B" w:rsidRPr="008B56B7">
        <w:rPr>
          <w:color w:val="92D050"/>
        </w:rPr>
        <w:t xml:space="preserve"> $</w:t>
      </w:r>
      <w:r w:rsidR="0077189F">
        <w:rPr>
          <w:color w:val="92D050"/>
        </w:rPr>
        <w:t>1,553,107</w:t>
      </w:r>
      <w:r w:rsidR="00B11073" w:rsidRPr="008B56B7">
        <w:rPr>
          <w:color w:val="92D050"/>
        </w:rPr>
        <w:t xml:space="preserve">, respectively.  The revised average burden hour for the government over a </w:t>
      </w:r>
      <w:r w:rsidR="003B03CC" w:rsidRPr="008B56B7">
        <w:rPr>
          <w:color w:val="92D050"/>
        </w:rPr>
        <w:t>three-year</w:t>
      </w:r>
      <w:r w:rsidR="00B11073" w:rsidRPr="008B56B7">
        <w:rPr>
          <w:color w:val="92D050"/>
        </w:rPr>
        <w:t xml:space="preserve"> period is </w:t>
      </w:r>
      <w:r w:rsidR="003E5160">
        <w:rPr>
          <w:color w:val="92D050"/>
        </w:rPr>
        <w:t>31,514</w:t>
      </w:r>
      <w:r w:rsidR="00A619E9" w:rsidRPr="008B56B7">
        <w:rPr>
          <w:color w:val="92D050"/>
        </w:rPr>
        <w:t xml:space="preserve"> </w:t>
      </w:r>
      <w:r w:rsidR="00B11073" w:rsidRPr="008B56B7">
        <w:rPr>
          <w:color w:val="92D050"/>
        </w:rPr>
        <w:t>hours, at an average annual cost of</w:t>
      </w:r>
      <w:r w:rsidR="00A619E9" w:rsidRPr="008B56B7">
        <w:rPr>
          <w:color w:val="92D050"/>
        </w:rPr>
        <w:t xml:space="preserve"> $</w:t>
      </w:r>
      <w:r w:rsidR="003E5160">
        <w:rPr>
          <w:color w:val="92D050"/>
        </w:rPr>
        <w:t>1,549,262</w:t>
      </w:r>
      <w:r w:rsidR="00B11073" w:rsidRPr="008B56B7">
        <w:rPr>
          <w:color w:val="92D050"/>
        </w:rPr>
        <w:t>.</w:t>
      </w:r>
    </w:p>
    <w:p w14:paraId="19ACB45B" w14:textId="77777777" w:rsidR="00084E48" w:rsidRDefault="00084E48" w:rsidP="0015157D">
      <w:pPr>
        <w:tabs>
          <w:tab w:val="left" w:pos="720"/>
          <w:tab w:val="left" w:pos="1440"/>
          <w:tab w:val="left" w:pos="2160"/>
          <w:tab w:val="left" w:pos="2880"/>
          <w:tab w:val="left" w:pos="3600"/>
          <w:tab w:val="left" w:pos="4320"/>
          <w:tab w:val="left" w:pos="5040"/>
          <w:tab w:val="left" w:pos="5760"/>
          <w:tab w:val="left" w:pos="6480"/>
          <w:tab w:val="left" w:pos="7202"/>
        </w:tabs>
        <w:rPr>
          <w:color w:val="33CC33"/>
        </w:rPr>
      </w:pPr>
    </w:p>
    <w:p w14:paraId="118FC900" w14:textId="450E8D7E" w:rsidR="00084E48" w:rsidRDefault="00084E48" w:rsidP="00084E48">
      <w:pPr>
        <w:keepNext/>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b/>
          <w:color w:val="92D050"/>
        </w:rPr>
      </w:pPr>
      <w:bookmarkStart w:id="88" w:name="_Toc295823988"/>
      <w:r w:rsidRPr="008B56B7">
        <w:rPr>
          <w:b/>
          <w:color w:val="92D050"/>
        </w:rPr>
        <w:t>Exhibit 15 (With Forms) – Summary of Burden Hours and Costs Incurred by Government</w:t>
      </w:r>
      <w:bookmarkEnd w:id="88"/>
    </w:p>
    <w:p w14:paraId="5A56EA6C" w14:textId="20D2BE28" w:rsidR="003B03CC" w:rsidRDefault="003E5160" w:rsidP="00084E48">
      <w:pPr>
        <w:keepNext/>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b/>
          <w:color w:val="92D050"/>
        </w:rPr>
      </w:pPr>
      <w:r w:rsidRPr="003E5160">
        <w:rPr>
          <w:noProof/>
        </w:rPr>
        <w:drawing>
          <wp:inline distT="0" distB="0" distL="0" distR="0" wp14:anchorId="616130BE" wp14:editId="2FB3F3E6">
            <wp:extent cx="5486400" cy="530087"/>
            <wp:effectExtent l="0" t="0" r="0" b="381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486400" cy="530087"/>
                    </a:xfrm>
                    <a:prstGeom prst="rect">
                      <a:avLst/>
                    </a:prstGeom>
                    <a:noFill/>
                    <a:ln>
                      <a:noFill/>
                    </a:ln>
                  </pic:spPr>
                </pic:pic>
              </a:graphicData>
            </a:graphic>
          </wp:inline>
        </w:drawing>
      </w:r>
    </w:p>
    <w:p w14:paraId="122F9F0B" w14:textId="5C2F3B6B" w:rsidR="00667A1C" w:rsidRPr="008B56B7" w:rsidRDefault="00667A1C" w:rsidP="00084E48">
      <w:pPr>
        <w:keepNext/>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b/>
          <w:color w:val="92D050"/>
        </w:rPr>
      </w:pPr>
    </w:p>
    <w:p w14:paraId="541EB27B" w14:textId="179AB002" w:rsidR="0069651F" w:rsidRPr="004C0CA4" w:rsidRDefault="0069651F" w:rsidP="00BD0507">
      <w:pPr>
        <w:tabs>
          <w:tab w:val="left" w:pos="720"/>
          <w:tab w:val="left" w:pos="1440"/>
          <w:tab w:val="left" w:pos="2160"/>
          <w:tab w:val="left" w:pos="2880"/>
          <w:tab w:val="left" w:pos="3600"/>
          <w:tab w:val="left" w:pos="4320"/>
          <w:tab w:val="left" w:pos="5040"/>
          <w:tab w:val="left" w:pos="5760"/>
          <w:tab w:val="left" w:pos="6480"/>
          <w:tab w:val="left" w:pos="7202"/>
        </w:tabs>
      </w:pPr>
    </w:p>
    <w:p w14:paraId="38B1FC57" w14:textId="77777777" w:rsidR="000B42CD" w:rsidRDefault="000B42CD" w:rsidP="000B42CD">
      <w:pPr>
        <w:pStyle w:val="Heading2"/>
      </w:pPr>
      <w:bookmarkStart w:id="89" w:name="_Toc295823989"/>
      <w:r>
        <w:t>Reasons for Change in Burden</w:t>
      </w:r>
      <w:bookmarkEnd w:id="89"/>
    </w:p>
    <w:p w14:paraId="1F2A5F6A" w14:textId="77777777" w:rsidR="000B42CD" w:rsidRDefault="000B42CD" w:rsidP="000B42CD"/>
    <w:p w14:paraId="379B15C3" w14:textId="001A885B" w:rsidR="000B42CD" w:rsidRPr="008B56B7" w:rsidRDefault="000B42CD" w:rsidP="00465B2B">
      <w:r w:rsidRPr="001C7658">
        <w:t xml:space="preserve">This ICR </w:t>
      </w:r>
      <w:r w:rsidRPr="001C7658">
        <w:rPr>
          <w:b/>
          <w:bCs/>
        </w:rPr>
        <w:t>increases</w:t>
      </w:r>
      <w:r w:rsidRPr="001C7658">
        <w:t xml:space="preserve"> the burden incurred by industry, as a result of compliance with the CRRR, from</w:t>
      </w:r>
      <w:r w:rsidR="000B44A1">
        <w:t xml:space="preserve"> </w:t>
      </w:r>
      <w:r w:rsidR="00F94A85" w:rsidRPr="008B56B7">
        <w:t>3</w:t>
      </w:r>
      <w:r w:rsidR="00F70742">
        <w:t>15</w:t>
      </w:r>
      <w:r w:rsidR="00F94A85" w:rsidRPr="008B56B7">
        <w:t>,</w:t>
      </w:r>
      <w:r w:rsidR="00F70742">
        <w:t>966</w:t>
      </w:r>
      <w:r w:rsidR="00BF6078">
        <w:t xml:space="preserve"> to 33</w:t>
      </w:r>
      <w:r w:rsidR="00554C77">
        <w:t>4,472</w:t>
      </w:r>
      <w:r w:rsidR="00F94A85" w:rsidRPr="008B56B7">
        <w:t xml:space="preserve"> </w:t>
      </w:r>
      <w:r w:rsidRPr="001C7658">
        <w:t xml:space="preserve">estimated average burden hours.  This </w:t>
      </w:r>
      <w:r w:rsidRPr="001C7658">
        <w:rPr>
          <w:b/>
          <w:bCs/>
        </w:rPr>
        <w:t>increase</w:t>
      </w:r>
      <w:r w:rsidRPr="001C7658">
        <w:t xml:space="preserve"> in burden results primarily from use of data on the actual number of continuous release reports from several regions and applying a growth rate consistent with prior years </w:t>
      </w:r>
      <w:r w:rsidRPr="008B56B7">
        <w:t>reporting.  The average annual percent increase in facilities in the previous ICR was approximately 7.5%.  The same percent increase was assumed for this ICR.  The unit burden hours per respondent information collection activity (Exhibit 1) remains the same as the previous ICR.</w:t>
      </w:r>
      <w:r w:rsidR="004D3925">
        <w:t xml:space="preserve"> In addition, it takes into account reporting to the SERCs and LEPCs required by EPCRA section 304. </w:t>
      </w:r>
    </w:p>
    <w:p w14:paraId="539EB2C7" w14:textId="77777777" w:rsidR="000B42CD" w:rsidRDefault="000B42CD" w:rsidP="000B42CD">
      <w:pPr>
        <w:ind w:firstLine="720"/>
      </w:pPr>
    </w:p>
    <w:p w14:paraId="0A3D6D70" w14:textId="5327ED78" w:rsidR="00083AD6" w:rsidRPr="008B56B7" w:rsidRDefault="00083AD6" w:rsidP="00465B2B">
      <w:pPr>
        <w:rPr>
          <w:color w:val="92D050"/>
        </w:rPr>
      </w:pPr>
      <w:r w:rsidRPr="008B56B7">
        <w:rPr>
          <w:color w:val="92D050"/>
        </w:rPr>
        <w:t xml:space="preserve">We estimate that the use of the continuous release reporting forms will </w:t>
      </w:r>
      <w:r w:rsidRPr="008B56B7">
        <w:rPr>
          <w:b/>
          <w:color w:val="92D050"/>
        </w:rPr>
        <w:t>reduce</w:t>
      </w:r>
      <w:r w:rsidRPr="008B56B7">
        <w:rPr>
          <w:color w:val="92D050"/>
        </w:rPr>
        <w:t xml:space="preserve"> the estimated average burden hours</w:t>
      </w:r>
      <w:r w:rsidR="00623D1A" w:rsidRPr="008B56B7">
        <w:rPr>
          <w:color w:val="92D050"/>
        </w:rPr>
        <w:t xml:space="preserve"> for industry</w:t>
      </w:r>
      <w:r w:rsidRPr="008B56B7">
        <w:rPr>
          <w:color w:val="92D050"/>
        </w:rPr>
        <w:t xml:space="preserve"> from </w:t>
      </w:r>
      <w:r w:rsidR="009D48CF">
        <w:rPr>
          <w:color w:val="92D050"/>
        </w:rPr>
        <w:t>334,472</w:t>
      </w:r>
      <w:r w:rsidR="003B1989" w:rsidRPr="008B56B7">
        <w:rPr>
          <w:color w:val="92D050"/>
        </w:rPr>
        <w:t xml:space="preserve"> to </w:t>
      </w:r>
      <w:r w:rsidR="009D48CF">
        <w:rPr>
          <w:color w:val="92D050"/>
        </w:rPr>
        <w:t>334,413</w:t>
      </w:r>
      <w:r w:rsidR="003177CD" w:rsidRPr="008B56B7">
        <w:rPr>
          <w:color w:val="92D050"/>
        </w:rPr>
        <w:t xml:space="preserve">, an overall estimated savings of </w:t>
      </w:r>
      <w:r w:rsidR="003B1989" w:rsidRPr="008B56B7">
        <w:rPr>
          <w:color w:val="92D050"/>
        </w:rPr>
        <w:t>5</w:t>
      </w:r>
      <w:r w:rsidR="00150D93">
        <w:rPr>
          <w:color w:val="92D050"/>
        </w:rPr>
        <w:t>9</w:t>
      </w:r>
      <w:r w:rsidR="00465B2B" w:rsidRPr="008B56B7">
        <w:rPr>
          <w:color w:val="92D050"/>
        </w:rPr>
        <w:t xml:space="preserve"> </w:t>
      </w:r>
      <w:r w:rsidR="003177CD" w:rsidRPr="008B56B7">
        <w:rPr>
          <w:color w:val="92D050"/>
        </w:rPr>
        <w:t>hours.</w:t>
      </w:r>
    </w:p>
    <w:p w14:paraId="719C1FCD" w14:textId="77777777" w:rsidR="000B42CD" w:rsidRDefault="000B42CD" w:rsidP="00AF0691">
      <w:pPr>
        <w:pStyle w:val="Heading2"/>
      </w:pPr>
      <w:bookmarkStart w:id="90" w:name="_Toc295823990"/>
      <w:r>
        <w:t>Burden Statement</w:t>
      </w:r>
      <w:bookmarkEnd w:id="90"/>
    </w:p>
    <w:p w14:paraId="0D7CEB92" w14:textId="77777777" w:rsidR="000B42CD" w:rsidRDefault="000B42CD" w:rsidP="000B42CD"/>
    <w:p w14:paraId="0C65E954" w14:textId="1185F565" w:rsidR="000B42CD" w:rsidRPr="008B56B7" w:rsidRDefault="000B42CD" w:rsidP="006D44BD">
      <w:r w:rsidRPr="001C7658">
        <w:t>The reporting and record keeping burden for this collection of information is estim</w:t>
      </w:r>
      <w:r w:rsidR="00225E34" w:rsidRPr="001C7658">
        <w:t>ated to average approximately</w:t>
      </w:r>
      <w:r w:rsidR="000262DD" w:rsidRPr="001C7658">
        <w:t xml:space="preserve"> </w:t>
      </w:r>
      <w:r w:rsidR="000262DD" w:rsidRPr="008B56B7">
        <w:t>80</w:t>
      </w:r>
      <w:r w:rsidR="00021317" w:rsidRPr="001C7658">
        <w:rPr>
          <w:rStyle w:val="FootnoteReference"/>
          <w:sz w:val="20"/>
          <w:vertAlign w:val="superscript"/>
        </w:rPr>
        <w:footnoteReference w:id="9"/>
      </w:r>
      <w:r w:rsidRPr="001C7658">
        <w:t xml:space="preserve"> hours per affected facility (</w:t>
      </w:r>
      <w:r w:rsidR="009D48CF">
        <w:t>334,472</w:t>
      </w:r>
      <w:r w:rsidR="00035728" w:rsidRPr="001C7658">
        <w:t xml:space="preserve"> </w:t>
      </w:r>
      <w:r w:rsidRPr="001C7658">
        <w:t>total burden hours/</w:t>
      </w:r>
      <w:r w:rsidR="000262DD" w:rsidRPr="008B56B7">
        <w:t>4,</w:t>
      </w:r>
      <w:r w:rsidR="00AD1AF3">
        <w:t>192</w:t>
      </w:r>
      <w:r w:rsidRPr="008B56B7">
        <w:t xml:space="preserve"> </w:t>
      </w:r>
      <w:r w:rsidRPr="001C7658">
        <w:t>affected facilities), or</w:t>
      </w:r>
      <w:r w:rsidR="000262DD" w:rsidRPr="001C7658">
        <w:t xml:space="preserve"> </w:t>
      </w:r>
      <w:r w:rsidR="000262DD" w:rsidRPr="008B56B7">
        <w:t>10.1</w:t>
      </w:r>
      <w:r w:rsidR="00021317" w:rsidRPr="001C7658">
        <w:rPr>
          <w:rStyle w:val="FootnoteReference"/>
          <w:vertAlign w:val="superscript"/>
        </w:rPr>
        <w:footnoteReference w:id="10"/>
      </w:r>
      <w:r w:rsidRPr="001C7658">
        <w:rPr>
          <w:vertAlign w:val="superscript"/>
        </w:rPr>
        <w:t xml:space="preserve"> </w:t>
      </w:r>
      <w:r w:rsidRPr="001C7658">
        <w:t>hours per response (where we estimate 8 responses/facility - see note to Exhibit 6), including determining if the hazardous substance release qualifies for reporting under the CRRR, gathering and maintaining the req</w:t>
      </w:r>
      <w:r w:rsidRPr="008B56B7">
        <w:t xml:space="preserve">uired information, and completing and reviewing the written reports.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3CB4F237" w14:textId="77777777" w:rsidR="000B42CD" w:rsidRDefault="000B42CD" w:rsidP="000B42CD">
      <w:pPr>
        <w:ind w:firstLine="720"/>
      </w:pPr>
    </w:p>
    <w:p w14:paraId="04BCF263" w14:textId="558230DD" w:rsidR="008802F1" w:rsidRPr="00A92C69" w:rsidRDefault="008802F1" w:rsidP="006D44BD">
      <w:pPr>
        <w:rPr>
          <w:color w:val="99CC00"/>
        </w:rPr>
      </w:pPr>
      <w:r w:rsidRPr="008B56B7">
        <w:rPr>
          <w:color w:val="92D050"/>
        </w:rPr>
        <w:t xml:space="preserve">We estimate that the revised reporting and record keeping burden for this collection of information is estimated to average approximately </w:t>
      </w:r>
      <w:r w:rsidR="00E46612" w:rsidRPr="008B56B7">
        <w:rPr>
          <w:color w:val="92D050"/>
        </w:rPr>
        <w:t xml:space="preserve"> </w:t>
      </w:r>
      <w:r w:rsidR="006D44BD" w:rsidRPr="008B56B7">
        <w:rPr>
          <w:color w:val="92D050"/>
        </w:rPr>
        <w:t>8</w:t>
      </w:r>
      <w:r w:rsidR="003C0C19" w:rsidRPr="008B56B7">
        <w:rPr>
          <w:color w:val="92D050"/>
        </w:rPr>
        <w:t>0</w:t>
      </w:r>
      <w:r w:rsidR="00036520" w:rsidRPr="008B56B7">
        <w:rPr>
          <w:rStyle w:val="FootnoteReference"/>
          <w:color w:val="92D050"/>
          <w:vertAlign w:val="superscript"/>
        </w:rPr>
        <w:footnoteReference w:id="11"/>
      </w:r>
      <w:r w:rsidR="00E46612" w:rsidRPr="008B56B7">
        <w:rPr>
          <w:color w:val="92D050"/>
        </w:rPr>
        <w:t>per affected facility (</w:t>
      </w:r>
      <w:r w:rsidR="003C0C19" w:rsidRPr="008B56B7">
        <w:rPr>
          <w:color w:val="92D050"/>
        </w:rPr>
        <w:t>3</w:t>
      </w:r>
      <w:r w:rsidR="009D48CF">
        <w:rPr>
          <w:color w:val="92D050"/>
        </w:rPr>
        <w:t>34,413</w:t>
      </w:r>
      <w:r w:rsidR="006D44BD" w:rsidRPr="008B56B7">
        <w:rPr>
          <w:color w:val="92D050"/>
        </w:rPr>
        <w:t xml:space="preserve"> </w:t>
      </w:r>
      <w:r w:rsidR="00366DF2" w:rsidRPr="008B56B7">
        <w:rPr>
          <w:color w:val="92D050"/>
        </w:rPr>
        <w:t>revised total burden hours/</w:t>
      </w:r>
      <w:r w:rsidR="00A479D9" w:rsidRPr="008B56B7">
        <w:rPr>
          <w:color w:val="92D050"/>
        </w:rPr>
        <w:t>4,</w:t>
      </w:r>
      <w:r w:rsidR="00AD1AF3">
        <w:rPr>
          <w:color w:val="92D050"/>
        </w:rPr>
        <w:t>192</w:t>
      </w:r>
      <w:r w:rsidR="00366DF2" w:rsidRPr="008B56B7">
        <w:rPr>
          <w:color w:val="92D050"/>
        </w:rPr>
        <w:t xml:space="preserve"> affected facilities), or</w:t>
      </w:r>
      <w:r w:rsidR="00A479D9" w:rsidRPr="008B56B7">
        <w:rPr>
          <w:color w:val="92D050"/>
        </w:rPr>
        <w:t xml:space="preserve"> 10.1</w:t>
      </w:r>
      <w:r w:rsidR="00036520" w:rsidRPr="008B56B7">
        <w:rPr>
          <w:rStyle w:val="FootnoteReference"/>
          <w:color w:val="92D050"/>
          <w:vertAlign w:val="superscript"/>
        </w:rPr>
        <w:footnoteReference w:id="12"/>
      </w:r>
      <w:r w:rsidR="006549BA" w:rsidRPr="008B56B7">
        <w:rPr>
          <w:color w:val="92D050"/>
          <w:vertAlign w:val="superscript"/>
        </w:rPr>
        <w:t xml:space="preserve"> </w:t>
      </w:r>
      <w:r w:rsidR="006549BA" w:rsidRPr="008B56B7">
        <w:rPr>
          <w:color w:val="92D050"/>
        </w:rPr>
        <w:t>hours per response (where we estimate 8 response/facility – see note to Exhibit 6), including determining if the hazardous substance release qualifies for reporting under the CRRR, gathering and maintaining the required information, and completing and reviewing the written reports</w:t>
      </w:r>
      <w:r w:rsidR="006549BA" w:rsidRPr="00A92C69">
        <w:rPr>
          <w:color w:val="33CC33"/>
        </w:rPr>
        <w:t>.</w:t>
      </w:r>
    </w:p>
    <w:p w14:paraId="5FAB819A" w14:textId="77777777" w:rsidR="006549BA" w:rsidRPr="008802F1" w:rsidRDefault="006549BA" w:rsidP="000B42CD">
      <w:pPr>
        <w:ind w:firstLine="720"/>
        <w:rPr>
          <w:color w:val="33CC33"/>
        </w:rPr>
      </w:pPr>
    </w:p>
    <w:p w14:paraId="77BB9EB4" w14:textId="0D5ADD9D" w:rsidR="009E55C5" w:rsidRDefault="00676598" w:rsidP="009E55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r w:rsidRPr="001C7658">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E013B9">
        <w:t xml:space="preserve">No. </w:t>
      </w:r>
      <w:r w:rsidR="00E013B9" w:rsidRPr="00E013B9">
        <w:t>EPA-HQ-SFUND-20</w:t>
      </w:r>
      <w:r w:rsidR="00D039E5">
        <w:t>15</w:t>
      </w:r>
      <w:r w:rsidR="00E013B9" w:rsidRPr="00E013B9">
        <w:t>-0</w:t>
      </w:r>
      <w:r w:rsidR="00D039E5">
        <w:t>100</w:t>
      </w:r>
      <w:r w:rsidRPr="00E013B9">
        <w:t xml:space="preserve">, </w:t>
      </w:r>
      <w:r w:rsidR="009E55C5" w:rsidRPr="00E013B9">
        <w:t>which</w:t>
      </w:r>
      <w:r w:rsidR="009E55C5" w:rsidRPr="008B56B7">
        <w:t xml:space="preserve"> is </w:t>
      </w:r>
      <w:r w:rsidR="009E55C5">
        <w:rPr>
          <w:color w:val="0F0F0F"/>
        </w:rPr>
        <w:t xml:space="preserve">available for online viewing at </w:t>
      </w:r>
      <w:hyperlink r:id="rId41" w:history="1">
        <w:r w:rsidR="009E55C5" w:rsidRPr="00C968CF">
          <w:rPr>
            <w:rStyle w:val="Hyperlink"/>
          </w:rPr>
          <w:t>www.regulations.gov</w:t>
        </w:r>
      </w:hyperlink>
      <w:r w:rsidR="009E55C5">
        <w:rPr>
          <w:color w:val="0F0F0F"/>
        </w:rPr>
        <w:t xml:space="preserve">, or in person viewing at the </w:t>
      </w:r>
      <w:r w:rsidR="00837C7B" w:rsidRPr="005F1213">
        <w:t>Superfund (SFUND) docket</w:t>
      </w:r>
      <w:r w:rsidR="009E55C5" w:rsidRPr="005F1213">
        <w:t xml:space="preserve"> </w:t>
      </w:r>
      <w:r w:rsidR="009E55C5">
        <w:rPr>
          <w:color w:val="0F0F0F"/>
        </w:rPr>
        <w:t xml:space="preserve">in the EPA Docket Center (EPA/DC), EPA West, Room </w:t>
      </w:r>
      <w:r w:rsidR="00952A04">
        <w:rPr>
          <w:color w:val="0F0F0F"/>
        </w:rPr>
        <w:t>3334</w:t>
      </w:r>
      <w:r w:rsidR="009E55C5">
        <w:rPr>
          <w:color w:val="0F0F0F"/>
        </w:rPr>
        <w:t xml:space="preserve">, 1301 Constitution Avenue, NW, Washington, D.C.  The EPA Docket Center Public Reading Room is open from 8:30 a.m. to 4:30 p.m., Monday through Friday, excluding legal holidays.  The telephone number for the Reading Room is (202) 566-1744, and the telephone number for the superfund docket is (202) 566-0276.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009E55C5">
            <w:rPr>
              <w:color w:val="0F0F0F"/>
            </w:rPr>
            <w:t>725 17th Street, NW</w:t>
          </w:r>
        </w:smartTag>
        <w:r w:rsidR="009E55C5">
          <w:rPr>
            <w:color w:val="0F0F0F"/>
          </w:rPr>
          <w:t xml:space="preserve">, </w:t>
        </w:r>
        <w:smartTag w:uri="urn:schemas-microsoft-com:office:smarttags" w:element="City">
          <w:r w:rsidR="009E55C5">
            <w:rPr>
              <w:color w:val="0F0F0F"/>
            </w:rPr>
            <w:t>Washington</w:t>
          </w:r>
        </w:smartTag>
        <w:r w:rsidR="009E55C5">
          <w:rPr>
            <w:color w:val="0F0F0F"/>
          </w:rPr>
          <w:t xml:space="preserve">, </w:t>
        </w:r>
        <w:smartTag w:uri="urn:schemas-microsoft-com:office:smarttags" w:element="State">
          <w:r w:rsidR="009E55C5">
            <w:rPr>
              <w:color w:val="0F0F0F"/>
            </w:rPr>
            <w:t>D.C.</w:t>
          </w:r>
        </w:smartTag>
        <w:r w:rsidR="009E55C5">
          <w:rPr>
            <w:color w:val="0F0F0F"/>
          </w:rPr>
          <w:t xml:space="preserve"> </w:t>
        </w:r>
        <w:smartTag w:uri="urn:schemas-microsoft-com:office:smarttags" w:element="PostalCode">
          <w:r w:rsidR="009E55C5">
            <w:rPr>
              <w:color w:val="0F0F0F"/>
            </w:rPr>
            <w:t>20503</w:t>
          </w:r>
        </w:smartTag>
      </w:smartTag>
      <w:r w:rsidR="009E55C5">
        <w:rPr>
          <w:color w:val="0F0F0F"/>
        </w:rPr>
        <w:t xml:space="preserve">, Attention: Desk Officer for EPA.  Please include the EPA </w:t>
      </w:r>
      <w:r w:rsidR="009E55C5" w:rsidRPr="00E013B9">
        <w:rPr>
          <w:color w:val="0F0F0F"/>
        </w:rPr>
        <w:t>Docket ID</w:t>
      </w:r>
      <w:r w:rsidR="009E55C5" w:rsidRPr="00E013B9">
        <w:rPr>
          <w:rFonts w:ascii="Courier New" w:hAnsi="Courier New" w:cs="Courier New"/>
          <w:color w:val="0F0F0F"/>
        </w:rPr>
        <w:t xml:space="preserve"> </w:t>
      </w:r>
      <w:r w:rsidR="009E55C5" w:rsidRPr="00E013B9">
        <w:t xml:space="preserve">Number </w:t>
      </w:r>
      <w:r w:rsidR="00E013B9" w:rsidRPr="00E013B9">
        <w:t>EPA-HQ-SFUND-20</w:t>
      </w:r>
      <w:r w:rsidR="00D039E5">
        <w:t>15</w:t>
      </w:r>
      <w:r w:rsidR="00E013B9" w:rsidRPr="00E013B9">
        <w:t>-0</w:t>
      </w:r>
      <w:r w:rsidR="00D039E5">
        <w:t>100</w:t>
      </w:r>
      <w:r w:rsidR="009E55C5" w:rsidRPr="00E013B9">
        <w:t xml:space="preserve"> and OMB Control Number 2050-0086 in any correspondence.</w:t>
      </w:r>
    </w:p>
    <w:p w14:paraId="71F49857" w14:textId="42736F1B" w:rsidR="000F472E" w:rsidRDefault="000F472E">
      <w:pPr>
        <w:widowControl/>
        <w:adjustRightInd/>
      </w:pPr>
      <w:r>
        <w:br w:type="page"/>
      </w:r>
    </w:p>
    <w:p w14:paraId="165E042C" w14:textId="52A74311" w:rsidR="008A0BD2" w:rsidRPr="00764B1D" w:rsidRDefault="008A0BD2" w:rsidP="009F1147">
      <w:pPr>
        <w:pStyle w:val="Heading1"/>
        <w:numPr>
          <w:ilvl w:val="0"/>
          <w:numId w:val="0"/>
        </w:numPr>
        <w:ind w:left="360" w:hanging="360"/>
        <w:jc w:val="center"/>
        <w:rPr>
          <w:color w:val="000000" w:themeColor="text1"/>
        </w:rPr>
      </w:pPr>
      <w:bookmarkStart w:id="91" w:name="_Toc162862821"/>
      <w:bookmarkStart w:id="92" w:name="_Toc302552535"/>
      <w:r w:rsidRPr="009F1147">
        <w:rPr>
          <w:b/>
          <w:color w:val="000000" w:themeColor="text1"/>
        </w:rPr>
        <w:t>APPENDIX A</w:t>
      </w:r>
      <w:bookmarkEnd w:id="91"/>
      <w:bookmarkEnd w:id="92"/>
      <w:r w:rsidR="009F1147" w:rsidRPr="009F1147">
        <w:rPr>
          <w:b/>
          <w:color w:val="000000" w:themeColor="text1"/>
        </w:rPr>
        <w:t xml:space="preserve"> -</w:t>
      </w:r>
      <w:r w:rsidR="009F1147">
        <w:rPr>
          <w:b/>
          <w:color w:val="000000" w:themeColor="text1"/>
        </w:rPr>
        <w:t>-</w:t>
      </w:r>
      <w:r w:rsidR="009F1147" w:rsidRPr="009F1147">
        <w:rPr>
          <w:b/>
          <w:color w:val="000000" w:themeColor="text1"/>
        </w:rPr>
        <w:t xml:space="preserve"> </w:t>
      </w:r>
      <w:r w:rsidRPr="009F1147">
        <w:rPr>
          <w:b/>
          <w:color w:val="000000" w:themeColor="text1"/>
        </w:rPr>
        <w:t>Phone-Log Summaries</w:t>
      </w:r>
    </w:p>
    <w:p w14:paraId="2FD2CDC6" w14:textId="77777777" w:rsidR="008A0BD2" w:rsidRPr="00764B1D" w:rsidRDefault="008A0BD2" w:rsidP="008A0BD2">
      <w:pPr>
        <w:widowControl/>
        <w:adjustRightInd/>
        <w:rPr>
          <w:color w:val="000000" w:themeColor="text1"/>
        </w:rPr>
      </w:pPr>
    </w:p>
    <w:p w14:paraId="452CEAD6" w14:textId="18A3E7BD" w:rsidR="008A0BD2" w:rsidRDefault="008A0BD2" w:rsidP="008A0BD2">
      <w:pPr>
        <w:widowControl/>
        <w:adjustRightInd/>
        <w:rPr>
          <w:color w:val="000000" w:themeColor="text1"/>
        </w:rPr>
      </w:pPr>
      <w:r w:rsidRPr="00764B1D">
        <w:rPr>
          <w:color w:val="000000" w:themeColor="text1"/>
        </w:rPr>
        <w:t>The following calls</w:t>
      </w:r>
      <w:r>
        <w:rPr>
          <w:color w:val="000000" w:themeColor="text1"/>
        </w:rPr>
        <w:t xml:space="preserve"> were made on August 9 and August 10,</w:t>
      </w:r>
      <w:r w:rsidRPr="00BF1CC0">
        <w:rPr>
          <w:color w:val="000000" w:themeColor="text1"/>
        </w:rPr>
        <w:t xml:space="preserve"> 2018</w:t>
      </w:r>
      <w:r>
        <w:rPr>
          <w:color w:val="000000" w:themeColor="text1"/>
        </w:rPr>
        <w:t xml:space="preserve">. </w:t>
      </w:r>
      <w:r w:rsidRPr="00764B1D">
        <w:rPr>
          <w:color w:val="000000" w:themeColor="text1"/>
        </w:rPr>
        <w:t xml:space="preserve">The </w:t>
      </w:r>
      <w:r w:rsidR="00754FE0">
        <w:rPr>
          <w:color w:val="000000" w:themeColor="text1"/>
        </w:rPr>
        <w:t xml:space="preserve">seven </w:t>
      </w:r>
      <w:r w:rsidRPr="00764B1D">
        <w:rPr>
          <w:color w:val="000000" w:themeColor="text1"/>
        </w:rPr>
        <w:t>companies were selected from the universe of facilities for which a continuou</w:t>
      </w:r>
      <w:r>
        <w:rPr>
          <w:color w:val="000000" w:themeColor="text1"/>
        </w:rPr>
        <w:t>s release notification was made to the National Response Center in 2017.</w:t>
      </w:r>
      <w:r w:rsidRPr="00764B1D">
        <w:rPr>
          <w:color w:val="000000" w:themeColor="text1"/>
        </w:rPr>
        <w:t xml:space="preserve"> Persons responsible for making notifications </w:t>
      </w:r>
      <w:r>
        <w:rPr>
          <w:color w:val="000000" w:themeColor="text1"/>
        </w:rPr>
        <w:t xml:space="preserve">were queried about the internal processes and procedures in place to make and follow-up on a Continuous Release Report and on the estimated number of hours they spent on performing the activities described in the ICR. These estimates were mostly lower than the estimates EPA has used in its burden estimates. However, EPA is erring on the conservative side, and will continue to use its higher estimates when calculating the cost and burden estimates for the ICR. </w:t>
      </w:r>
    </w:p>
    <w:p w14:paraId="6739FFA3" w14:textId="77777777" w:rsidR="008A0BD2" w:rsidRPr="0045783B" w:rsidRDefault="008A0BD2" w:rsidP="008A0BD2">
      <w:pPr>
        <w:widowControl/>
        <w:adjustRightInd/>
        <w:rPr>
          <w:color w:val="000000" w:themeColor="text1"/>
          <w:highlight w:val="yellow"/>
        </w:rPr>
      </w:pPr>
    </w:p>
    <w:p w14:paraId="3710FFA2" w14:textId="77777777" w:rsidR="008A0BD2" w:rsidRPr="0045783B" w:rsidRDefault="008A0BD2" w:rsidP="008A0BD2">
      <w:pPr>
        <w:widowControl/>
        <w:adjustRightInd/>
        <w:rPr>
          <w:color w:val="000000" w:themeColor="text1"/>
          <w:highlight w:val="yellow"/>
        </w:rPr>
      </w:pPr>
      <w:r w:rsidRPr="0045783B">
        <w:rPr>
          <w:noProof/>
          <w:color w:val="000000" w:themeColor="text1"/>
          <w:highlight w:val="yellow"/>
        </w:rPr>
        <mc:AlternateContent>
          <mc:Choice Requires="wps">
            <w:drawing>
              <wp:anchor distT="0" distB="0" distL="114300" distR="114300" simplePos="0" relativeHeight="251659264" behindDoc="1" locked="1" layoutInCell="0" allowOverlap="1" wp14:anchorId="1ADA6FA5" wp14:editId="48F9CAE8">
                <wp:simplePos x="0" y="0"/>
                <wp:positionH relativeFrom="page">
                  <wp:posOffset>851535</wp:posOffset>
                </wp:positionH>
                <wp:positionV relativeFrom="paragraph">
                  <wp:posOffset>0</wp:posOffset>
                </wp:positionV>
                <wp:extent cx="6035675" cy="12065"/>
                <wp:effectExtent l="3810" t="0" r="0" b="127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6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C0EE56" id="Rectangle 6" o:spid="_x0000_s1026" style="position:absolute;margin-left:67.05pt;margin-top:0;width:475.2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" o:allowincell="f" fillcolor="black" stroked="f" strokeweight="0">
                <w10:wrap anchorx="page"/>
                <w10:anchorlock/>
              </v:rect>
            </w:pict>
          </mc:Fallback>
        </mc:AlternateContent>
      </w:r>
      <w:r w:rsidRPr="0045783B">
        <w:rPr>
          <w:noProof/>
          <w:color w:val="000000" w:themeColor="text1"/>
          <w:highlight w:val="yellow"/>
        </w:rPr>
        <mc:AlternateContent>
          <mc:Choice Requires="wps">
            <w:drawing>
              <wp:anchor distT="0" distB="0" distL="114300" distR="114300" simplePos="0" relativeHeight="251660288" behindDoc="1" locked="1" layoutInCell="0" allowOverlap="1" wp14:anchorId="31EA0870" wp14:editId="7A528893">
                <wp:simplePos x="0" y="0"/>
                <wp:positionH relativeFrom="page">
                  <wp:posOffset>851535</wp:posOffset>
                </wp:positionH>
                <wp:positionV relativeFrom="paragraph">
                  <wp:posOffset>0</wp:posOffset>
                </wp:positionV>
                <wp:extent cx="6035675" cy="12065"/>
                <wp:effectExtent l="3810" t="0" r="0" b="1270"/>
                <wp:wrapNone/>
                <wp:docPr id="37"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6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292EFB" id="Rectangle 39" o:spid="_x0000_s1026" style="position:absolute;margin-left:67.05pt;margin-top:0;width:475.25pt;height:.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" o:allowincell="f" fillcolor="black" stroked="f" strokeweight="0">
                <w10:wrap anchorx="page"/>
                <w10:anchorlock/>
              </v:rect>
            </w:pict>
          </mc:Fallback>
        </mc:AlternateContent>
      </w:r>
    </w:p>
    <w:p w14:paraId="222BC784" w14:textId="77777777" w:rsidR="008A0BD2" w:rsidRDefault="008A0BD2" w:rsidP="008A0BD2">
      <w:pPr>
        <w:widowControl/>
        <w:adjustRightInd/>
        <w:rPr>
          <w:color w:val="000000" w:themeColor="text1"/>
        </w:rPr>
      </w:pPr>
      <w:r>
        <w:rPr>
          <w:color w:val="000000" w:themeColor="text1"/>
        </w:rPr>
        <w:t>BP Cherry Point Refinery</w:t>
      </w:r>
    </w:p>
    <w:p w14:paraId="0491C862" w14:textId="77777777" w:rsidR="008A0BD2" w:rsidRDefault="008A0BD2" w:rsidP="008A0BD2">
      <w:pPr>
        <w:widowControl/>
        <w:adjustRightInd/>
        <w:rPr>
          <w:color w:val="000000" w:themeColor="text1"/>
        </w:rPr>
      </w:pPr>
      <w:r>
        <w:rPr>
          <w:color w:val="000000" w:themeColor="text1"/>
        </w:rPr>
        <w:t>Private Enterprise</w:t>
      </w:r>
    </w:p>
    <w:p w14:paraId="67C0F845" w14:textId="77777777" w:rsidR="008A0BD2" w:rsidRDefault="008A0BD2" w:rsidP="008A0BD2">
      <w:pPr>
        <w:widowControl/>
        <w:adjustRightInd/>
        <w:rPr>
          <w:color w:val="000000" w:themeColor="text1"/>
        </w:rPr>
      </w:pPr>
      <w:r>
        <w:rPr>
          <w:color w:val="000000" w:themeColor="text1"/>
        </w:rPr>
        <w:t xml:space="preserve">Blaine, WA </w:t>
      </w:r>
    </w:p>
    <w:p w14:paraId="71015065" w14:textId="77777777" w:rsidR="008A0BD2" w:rsidRPr="00FA7CE7" w:rsidRDefault="008A0BD2" w:rsidP="008A0BD2">
      <w:pPr>
        <w:widowControl/>
        <w:adjustRightInd/>
        <w:rPr>
          <w:color w:val="000000" w:themeColor="text1"/>
        </w:rPr>
      </w:pPr>
      <w:r w:rsidRPr="00FA7CE7">
        <w:rPr>
          <w:color w:val="000000" w:themeColor="text1"/>
        </w:rPr>
        <w:t>Incident Report #</w:t>
      </w:r>
      <w:r>
        <w:rPr>
          <w:color w:val="000000" w:themeColor="text1"/>
        </w:rPr>
        <w:t>1174525</w:t>
      </w:r>
    </w:p>
    <w:p w14:paraId="5A763105" w14:textId="77777777" w:rsidR="008A0BD2" w:rsidRPr="0045783B" w:rsidRDefault="008A0BD2" w:rsidP="008A0BD2">
      <w:pPr>
        <w:widowControl/>
        <w:adjustRightInd/>
        <w:rPr>
          <w:color w:val="000000" w:themeColor="text1"/>
          <w:highlight w:val="yellow"/>
        </w:rPr>
      </w:pPr>
    </w:p>
    <w:p w14:paraId="03437040" w14:textId="77777777" w:rsidR="008A0BD2" w:rsidRDefault="008A0BD2" w:rsidP="008A0BD2">
      <w:pPr>
        <w:widowControl/>
        <w:adjustRightInd/>
        <w:rPr>
          <w:color w:val="000000" w:themeColor="text1"/>
        </w:rPr>
      </w:pPr>
      <w:r w:rsidRPr="00627074">
        <w:rPr>
          <w:color w:val="000000" w:themeColor="text1"/>
        </w:rPr>
        <w:t xml:space="preserve">On March 31, 2017, BP Cherry Point Refinery called the NRC to report an annual update to its continuous release of combustion NOX into the atmosphere from a refinery due to normal operations. On August 9, 2018, the HQ EPA analyst spoke with the person responsible for reporting releases. The company representative indicated that they have internal procedures in place for determining and reporting a continuous release. They are aware and have submitted copies of the continuous release reports to the appropriate SERCs and LEPCs, and they do not have any questions regarding reporting continuous releases. </w:t>
      </w:r>
    </w:p>
    <w:p w14:paraId="4D35FC26" w14:textId="77777777" w:rsidR="008A0BD2" w:rsidRDefault="008A0BD2" w:rsidP="008A0BD2">
      <w:pPr>
        <w:widowControl/>
        <w:adjustRightInd/>
        <w:rPr>
          <w:color w:val="000000" w:themeColor="text1"/>
        </w:rPr>
      </w:pPr>
    </w:p>
    <w:p w14:paraId="2B1720CA" w14:textId="77777777" w:rsidR="008A0BD2" w:rsidRDefault="008A0BD2" w:rsidP="008A0BD2">
      <w:pPr>
        <w:widowControl/>
        <w:adjustRightInd/>
        <w:rPr>
          <w:color w:val="000000" w:themeColor="text1"/>
        </w:rPr>
      </w:pPr>
      <w:r>
        <w:rPr>
          <w:color w:val="000000" w:themeColor="text1"/>
        </w:rPr>
        <w:t xml:space="preserve">The company representative estimated that facility staff spent a total of approximately 40 to 50 hours over a two-week period on all the activities required under the Continuous Release Reporting requirements for its March 31, 2017 report. This estimate falls within the burden estimate EPA is using for the ICR. </w:t>
      </w:r>
    </w:p>
    <w:p w14:paraId="3151ADD7" w14:textId="77777777" w:rsidR="008A0BD2" w:rsidRPr="0045783B" w:rsidRDefault="008A0BD2" w:rsidP="008A0BD2">
      <w:pPr>
        <w:widowControl/>
        <w:adjustRightInd/>
        <w:rPr>
          <w:color w:val="000000" w:themeColor="text1"/>
          <w:highlight w:val="yellow"/>
        </w:rPr>
      </w:pPr>
    </w:p>
    <w:p w14:paraId="2586DD62" w14:textId="77777777" w:rsidR="008A0BD2" w:rsidRPr="0045783B" w:rsidRDefault="008A0BD2" w:rsidP="008A0BD2">
      <w:pPr>
        <w:widowControl/>
        <w:adjustRightInd/>
        <w:rPr>
          <w:color w:val="000000" w:themeColor="text1"/>
          <w:highlight w:val="yellow"/>
        </w:rPr>
      </w:pPr>
      <w:r w:rsidRPr="0045783B">
        <w:rPr>
          <w:noProof/>
          <w:color w:val="000000" w:themeColor="text1"/>
          <w:highlight w:val="yellow"/>
        </w:rPr>
        <mc:AlternateContent>
          <mc:Choice Requires="wps">
            <w:drawing>
              <wp:anchor distT="0" distB="0" distL="114300" distR="114300" simplePos="0" relativeHeight="251661312" behindDoc="1" locked="1" layoutInCell="0" allowOverlap="1" wp14:anchorId="4B4E7214" wp14:editId="1B7B3AB7">
                <wp:simplePos x="0" y="0"/>
                <wp:positionH relativeFrom="page">
                  <wp:posOffset>851535</wp:posOffset>
                </wp:positionH>
                <wp:positionV relativeFrom="paragraph">
                  <wp:posOffset>0</wp:posOffset>
                </wp:positionV>
                <wp:extent cx="6035675" cy="12065"/>
                <wp:effectExtent l="3810" t="0" r="0" b="0"/>
                <wp:wrapNone/>
                <wp:docPr id="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6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0DDD19" id="Rectangle 40" o:spid="_x0000_s1026" style="position:absolute;margin-left:67.05pt;margin-top:0;width:475.25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" o:allowincell="f" fillcolor="black" stroked="f" strokeweight="0">
                <w10:wrap anchorx="page"/>
                <w10:anchorlock/>
              </v:rect>
            </w:pict>
          </mc:Fallback>
        </mc:AlternateContent>
      </w:r>
    </w:p>
    <w:p w14:paraId="74FCD0AB" w14:textId="77777777" w:rsidR="008A0BD2" w:rsidRPr="00787E66" w:rsidRDefault="008A0BD2" w:rsidP="008A0BD2">
      <w:pPr>
        <w:widowControl/>
        <w:adjustRightInd/>
        <w:rPr>
          <w:color w:val="000000" w:themeColor="text1"/>
        </w:rPr>
      </w:pPr>
      <w:r>
        <w:rPr>
          <w:color w:val="000000" w:themeColor="text1"/>
        </w:rPr>
        <w:t xml:space="preserve">Blue Ridge Paper Products </w:t>
      </w:r>
    </w:p>
    <w:p w14:paraId="21DE2DA1" w14:textId="77777777" w:rsidR="008A0BD2" w:rsidRPr="00787E66" w:rsidRDefault="008A0BD2" w:rsidP="008A0BD2">
      <w:pPr>
        <w:widowControl/>
        <w:adjustRightInd/>
        <w:rPr>
          <w:color w:val="000000" w:themeColor="text1"/>
        </w:rPr>
      </w:pPr>
      <w:r w:rsidRPr="00787E66">
        <w:rPr>
          <w:color w:val="000000" w:themeColor="text1"/>
        </w:rPr>
        <w:t>Private Enterprise</w:t>
      </w:r>
    </w:p>
    <w:p w14:paraId="6389368E" w14:textId="77777777" w:rsidR="008A0BD2" w:rsidRPr="00787E66" w:rsidRDefault="008A0BD2" w:rsidP="008A0BD2">
      <w:pPr>
        <w:widowControl/>
        <w:adjustRightInd/>
        <w:rPr>
          <w:color w:val="000000" w:themeColor="text1"/>
        </w:rPr>
      </w:pPr>
      <w:r>
        <w:rPr>
          <w:color w:val="000000" w:themeColor="text1"/>
        </w:rPr>
        <w:t>Canton, NC</w:t>
      </w:r>
    </w:p>
    <w:p w14:paraId="21FEC0DA" w14:textId="77777777" w:rsidR="008A0BD2" w:rsidRPr="00787E66" w:rsidRDefault="008A0BD2" w:rsidP="008A0BD2">
      <w:pPr>
        <w:widowControl/>
        <w:adjustRightInd/>
        <w:rPr>
          <w:color w:val="000000" w:themeColor="text1"/>
        </w:rPr>
      </w:pPr>
      <w:r>
        <w:rPr>
          <w:color w:val="000000" w:themeColor="text1"/>
        </w:rPr>
        <w:t>Incident Report #1182623</w:t>
      </w:r>
    </w:p>
    <w:p w14:paraId="453927D0" w14:textId="77777777" w:rsidR="008A0BD2" w:rsidRPr="0045783B" w:rsidRDefault="008A0BD2" w:rsidP="008A0BD2">
      <w:pPr>
        <w:widowControl/>
        <w:adjustRightInd/>
        <w:rPr>
          <w:color w:val="000000" w:themeColor="text1"/>
          <w:highlight w:val="yellow"/>
        </w:rPr>
      </w:pPr>
    </w:p>
    <w:p w14:paraId="3CB92E61" w14:textId="77777777" w:rsidR="008A0BD2" w:rsidRDefault="008A0BD2" w:rsidP="008A0BD2">
      <w:pPr>
        <w:widowControl/>
        <w:adjustRightInd/>
        <w:rPr>
          <w:color w:val="000000" w:themeColor="text1"/>
        </w:rPr>
      </w:pPr>
      <w:r>
        <w:rPr>
          <w:color w:val="000000" w:themeColor="text1"/>
        </w:rPr>
        <w:t>On June 29, 2017, Blue Ridge Paper Products</w:t>
      </w:r>
      <w:r w:rsidRPr="007A7D4B">
        <w:rPr>
          <w:color w:val="000000" w:themeColor="text1"/>
        </w:rPr>
        <w:t xml:space="preserve"> called the NRC to report an initial continuous release</w:t>
      </w:r>
      <w:r>
        <w:rPr>
          <w:color w:val="000000" w:themeColor="text1"/>
        </w:rPr>
        <w:t xml:space="preserve"> to the atmosphere of hydrogen sulfide (265.95 lbs/day), methyl mercaptan (146.06 lbs/day), nitrogen oxide (6,562.08 lbs/day) beginning on June 29, 2017, with no scheduled end date. The caller also reported updated changes in source composition of 12 other substances; eight of those changes were to reduce the continuous release to below the RQ for that substance. </w:t>
      </w:r>
    </w:p>
    <w:p w14:paraId="27351495" w14:textId="77777777" w:rsidR="008A0BD2" w:rsidRDefault="008A0BD2" w:rsidP="008A0BD2">
      <w:pPr>
        <w:widowControl/>
        <w:adjustRightInd/>
        <w:rPr>
          <w:color w:val="000000" w:themeColor="text1"/>
        </w:rPr>
      </w:pPr>
    </w:p>
    <w:p w14:paraId="3A636DB3" w14:textId="77777777" w:rsidR="008A0BD2" w:rsidRDefault="008A0BD2" w:rsidP="008A0BD2">
      <w:pPr>
        <w:widowControl/>
        <w:adjustRightInd/>
        <w:rPr>
          <w:color w:val="000000" w:themeColor="text1"/>
        </w:rPr>
      </w:pPr>
      <w:r w:rsidRPr="00627074">
        <w:rPr>
          <w:color w:val="000000" w:themeColor="text1"/>
        </w:rPr>
        <w:t xml:space="preserve">On August 9, 2018, the HQ EPA analyst spoke with the person responsible for reporting releases. The company representative </w:t>
      </w:r>
      <w:r>
        <w:rPr>
          <w:color w:val="000000" w:themeColor="text1"/>
        </w:rPr>
        <w:t xml:space="preserve">indicated that the facility hired a consultant to model air releases of the substances, provide a script to the company representative for the notification call to the NRC, prepare the 30-day report and the follow-up one-year report. Some of the consultant’s time on this effort was also used by the facility to comply with other reporting requirements. </w:t>
      </w:r>
    </w:p>
    <w:p w14:paraId="13743024" w14:textId="77777777" w:rsidR="008A0BD2" w:rsidRDefault="008A0BD2" w:rsidP="008A0BD2">
      <w:pPr>
        <w:widowControl/>
        <w:adjustRightInd/>
        <w:rPr>
          <w:color w:val="000000" w:themeColor="text1"/>
        </w:rPr>
      </w:pPr>
    </w:p>
    <w:p w14:paraId="6B678CD3" w14:textId="77777777" w:rsidR="008A0BD2" w:rsidRDefault="008A0BD2" w:rsidP="008A0BD2">
      <w:pPr>
        <w:widowControl/>
        <w:adjustRightInd/>
        <w:rPr>
          <w:color w:val="000000" w:themeColor="text1"/>
        </w:rPr>
      </w:pPr>
      <w:r>
        <w:rPr>
          <w:color w:val="000000" w:themeColor="text1"/>
        </w:rPr>
        <w:t xml:space="preserve">With assistance from the consultant, the facility now has </w:t>
      </w:r>
      <w:r w:rsidRPr="00627074">
        <w:rPr>
          <w:color w:val="000000" w:themeColor="text1"/>
        </w:rPr>
        <w:t>internal procedures in place for determining and reporting a continuous release. They are aware</w:t>
      </w:r>
      <w:r>
        <w:rPr>
          <w:color w:val="000000" w:themeColor="text1"/>
        </w:rPr>
        <w:t xml:space="preserve"> of,</w:t>
      </w:r>
      <w:r w:rsidRPr="00627074">
        <w:rPr>
          <w:color w:val="000000" w:themeColor="text1"/>
        </w:rPr>
        <w:t xml:space="preserve"> and have submitted copies of the continuous release reports to the appropriate SERCs and LEPCs, and they do not have any questions regarding reporting continuous releases.</w:t>
      </w:r>
    </w:p>
    <w:p w14:paraId="7E9259E2" w14:textId="77777777" w:rsidR="008A0BD2" w:rsidRDefault="008A0BD2" w:rsidP="008A0BD2">
      <w:pPr>
        <w:widowControl/>
        <w:adjustRightInd/>
        <w:rPr>
          <w:color w:val="000000" w:themeColor="text1"/>
        </w:rPr>
      </w:pPr>
    </w:p>
    <w:p w14:paraId="4F8F2E35" w14:textId="77777777" w:rsidR="008A0BD2" w:rsidRPr="00D4623F" w:rsidRDefault="008A0BD2" w:rsidP="008A0BD2">
      <w:pPr>
        <w:widowControl/>
        <w:adjustRightInd/>
        <w:rPr>
          <w:color w:val="000000" w:themeColor="text1"/>
        </w:rPr>
      </w:pPr>
      <w:r>
        <w:rPr>
          <w:color w:val="000000" w:themeColor="text1"/>
        </w:rPr>
        <w:t xml:space="preserve">The representative estimated that he spent a total of 12 hours on the Continuous Release reporting activities. This estimate falls well within the burden estimate EPA is using for the ICR. </w:t>
      </w:r>
    </w:p>
    <w:p w14:paraId="42EC91E1" w14:textId="77777777" w:rsidR="008A0BD2" w:rsidRPr="007A7D4B" w:rsidRDefault="008A0BD2" w:rsidP="008A0BD2">
      <w:pPr>
        <w:widowControl/>
        <w:adjustRightInd/>
        <w:rPr>
          <w:color w:val="000000" w:themeColor="text1"/>
        </w:rPr>
      </w:pPr>
    </w:p>
    <w:p w14:paraId="08A52A6D" w14:textId="77777777" w:rsidR="008A0BD2" w:rsidRPr="0045783B" w:rsidRDefault="008A0BD2" w:rsidP="008A0BD2">
      <w:pPr>
        <w:widowControl/>
        <w:adjustRightInd/>
        <w:rPr>
          <w:color w:val="000000" w:themeColor="text1"/>
          <w:highlight w:val="yellow"/>
        </w:rPr>
      </w:pPr>
      <w:r w:rsidRPr="0045783B">
        <w:rPr>
          <w:noProof/>
          <w:color w:val="000000" w:themeColor="text1"/>
          <w:highlight w:val="yellow"/>
        </w:rPr>
        <mc:AlternateContent>
          <mc:Choice Requires="wps">
            <w:drawing>
              <wp:anchor distT="0" distB="0" distL="114300" distR="114300" simplePos="0" relativeHeight="251662336" behindDoc="1" locked="1" layoutInCell="0" allowOverlap="1" wp14:anchorId="618842F7" wp14:editId="437DD852">
                <wp:simplePos x="0" y="0"/>
                <wp:positionH relativeFrom="page">
                  <wp:posOffset>851535</wp:posOffset>
                </wp:positionH>
                <wp:positionV relativeFrom="paragraph">
                  <wp:posOffset>0</wp:posOffset>
                </wp:positionV>
                <wp:extent cx="6035675" cy="12065"/>
                <wp:effectExtent l="3810" t="1905" r="0" b="0"/>
                <wp:wrapNone/>
                <wp:docPr id="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6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6F9A1C" id="Rectangle 41" o:spid="_x0000_s1026" style="position:absolute;margin-left:67.05pt;margin-top:0;width:475.25pt;height:.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" o:allowincell="f" fillcolor="black" stroked="f" strokeweight="0">
                <w10:wrap anchorx="page"/>
                <w10:anchorlock/>
              </v:rect>
            </w:pict>
          </mc:Fallback>
        </mc:AlternateContent>
      </w:r>
    </w:p>
    <w:p w14:paraId="4359483A" w14:textId="77777777" w:rsidR="008A0BD2" w:rsidRPr="00D50EDA" w:rsidRDefault="008A0BD2" w:rsidP="008A0BD2">
      <w:pPr>
        <w:widowControl/>
        <w:adjustRightInd/>
        <w:rPr>
          <w:color w:val="000000" w:themeColor="text1"/>
        </w:rPr>
      </w:pPr>
      <w:r>
        <w:rPr>
          <w:color w:val="000000" w:themeColor="text1"/>
        </w:rPr>
        <w:t>International Paper</w:t>
      </w:r>
    </w:p>
    <w:p w14:paraId="5334AE7D" w14:textId="77777777" w:rsidR="008A0BD2" w:rsidRPr="00D50EDA" w:rsidRDefault="008A0BD2" w:rsidP="008A0BD2">
      <w:pPr>
        <w:widowControl/>
        <w:adjustRightInd/>
        <w:rPr>
          <w:color w:val="000000" w:themeColor="text1"/>
        </w:rPr>
      </w:pPr>
      <w:r w:rsidRPr="00D50EDA">
        <w:rPr>
          <w:color w:val="000000" w:themeColor="text1"/>
        </w:rPr>
        <w:t xml:space="preserve">Private Enterprise </w:t>
      </w:r>
    </w:p>
    <w:p w14:paraId="2716CDF3" w14:textId="77777777" w:rsidR="008A0BD2" w:rsidRPr="00D50EDA" w:rsidRDefault="008A0BD2" w:rsidP="008A0BD2">
      <w:pPr>
        <w:widowControl/>
        <w:adjustRightInd/>
        <w:rPr>
          <w:color w:val="000000" w:themeColor="text1"/>
        </w:rPr>
      </w:pPr>
      <w:r>
        <w:rPr>
          <w:color w:val="000000" w:themeColor="text1"/>
        </w:rPr>
        <w:t>New Bern, NC</w:t>
      </w:r>
    </w:p>
    <w:p w14:paraId="30E7A344" w14:textId="77777777" w:rsidR="008A0BD2" w:rsidRPr="00D50EDA" w:rsidRDefault="008A0BD2" w:rsidP="008A0BD2">
      <w:pPr>
        <w:widowControl/>
        <w:adjustRightInd/>
        <w:rPr>
          <w:color w:val="000000" w:themeColor="text1"/>
        </w:rPr>
      </w:pPr>
      <w:r>
        <w:rPr>
          <w:color w:val="000000" w:themeColor="text1"/>
        </w:rPr>
        <w:t>Incident Report #1185793</w:t>
      </w:r>
    </w:p>
    <w:p w14:paraId="416F4630" w14:textId="77777777" w:rsidR="008A0BD2" w:rsidRPr="0045783B" w:rsidRDefault="008A0BD2" w:rsidP="008A0BD2">
      <w:pPr>
        <w:widowControl/>
        <w:adjustRightInd/>
        <w:rPr>
          <w:color w:val="000000" w:themeColor="text1"/>
          <w:highlight w:val="yellow"/>
        </w:rPr>
      </w:pPr>
    </w:p>
    <w:p w14:paraId="64E47B26" w14:textId="77777777" w:rsidR="008A0BD2" w:rsidRDefault="008A0BD2" w:rsidP="008A0BD2">
      <w:pPr>
        <w:widowControl/>
        <w:adjustRightInd/>
        <w:rPr>
          <w:color w:val="000000" w:themeColor="text1"/>
        </w:rPr>
      </w:pPr>
      <w:r>
        <w:rPr>
          <w:color w:val="000000" w:themeColor="text1"/>
        </w:rPr>
        <w:t>On July 31, 2017</w:t>
      </w:r>
      <w:r w:rsidRPr="00387CF1">
        <w:rPr>
          <w:color w:val="000000" w:themeColor="text1"/>
        </w:rPr>
        <w:t xml:space="preserve">, </w:t>
      </w:r>
      <w:r>
        <w:rPr>
          <w:color w:val="000000" w:themeColor="text1"/>
        </w:rPr>
        <w:t>International Paper</w:t>
      </w:r>
      <w:r w:rsidRPr="00387CF1">
        <w:rPr>
          <w:color w:val="000000" w:themeColor="text1"/>
        </w:rPr>
        <w:t xml:space="preserve"> called the NRC to make a report of </w:t>
      </w:r>
      <w:r>
        <w:rPr>
          <w:color w:val="000000" w:themeColor="text1"/>
        </w:rPr>
        <w:t xml:space="preserve">change in source or composition of a continuous release from a boiler to the atmosphere. </w:t>
      </w:r>
    </w:p>
    <w:p w14:paraId="2C55473C" w14:textId="77777777" w:rsidR="008A0BD2" w:rsidRDefault="008A0BD2" w:rsidP="008A0BD2">
      <w:pPr>
        <w:widowControl/>
        <w:adjustRightInd/>
        <w:rPr>
          <w:color w:val="000000" w:themeColor="text1"/>
        </w:rPr>
      </w:pPr>
    </w:p>
    <w:p w14:paraId="5E9A87E3" w14:textId="77777777" w:rsidR="008A0BD2" w:rsidRDefault="008A0BD2" w:rsidP="008A0BD2">
      <w:pPr>
        <w:widowControl/>
        <w:adjustRightInd/>
        <w:rPr>
          <w:color w:val="000000" w:themeColor="text1"/>
        </w:rPr>
      </w:pPr>
      <w:r w:rsidRPr="00627074">
        <w:rPr>
          <w:color w:val="000000" w:themeColor="text1"/>
        </w:rPr>
        <w:t xml:space="preserve">On August 9, 2018, the HQ EPA analyst spoke with the person responsible for reporting releases. The company representative </w:t>
      </w:r>
      <w:r>
        <w:rPr>
          <w:color w:val="000000" w:themeColor="text1"/>
        </w:rPr>
        <w:t xml:space="preserve">indicated that the release was a venting of gases from a collection system directed to the boiler. At the time of the continuous release, the facility had been owned by International Paper for only a few months. The release was just at the limit of the RQ. </w:t>
      </w:r>
    </w:p>
    <w:p w14:paraId="695BE70E" w14:textId="77777777" w:rsidR="008A0BD2" w:rsidRDefault="008A0BD2" w:rsidP="008A0BD2">
      <w:pPr>
        <w:widowControl/>
        <w:adjustRightInd/>
        <w:rPr>
          <w:color w:val="000000" w:themeColor="text1"/>
        </w:rPr>
      </w:pPr>
    </w:p>
    <w:p w14:paraId="05BBEAE4" w14:textId="77777777" w:rsidR="008A0BD2" w:rsidRDefault="008A0BD2" w:rsidP="008A0BD2">
      <w:pPr>
        <w:widowControl/>
        <w:adjustRightInd/>
        <w:rPr>
          <w:color w:val="000000" w:themeColor="text1"/>
        </w:rPr>
      </w:pPr>
      <w:r>
        <w:rPr>
          <w:color w:val="000000" w:themeColor="text1"/>
        </w:rPr>
        <w:t xml:space="preserve">The facility </w:t>
      </w:r>
      <w:r w:rsidRPr="00387CF1">
        <w:rPr>
          <w:color w:val="000000" w:themeColor="text1"/>
        </w:rPr>
        <w:t>does have procedures in place for continuous release reporting. They are aware and have submitted copies of the continuous release reports to the appropriate SERCs and LEPCs, and they do not have any questions regarding reporting continuous releases</w:t>
      </w:r>
      <w:r>
        <w:rPr>
          <w:color w:val="000000" w:themeColor="text1"/>
        </w:rPr>
        <w:t>, although at the time of the release, the representative was not sure whom to call in addition to the LEPC.</w:t>
      </w:r>
    </w:p>
    <w:p w14:paraId="152EE866" w14:textId="77777777" w:rsidR="008A0BD2" w:rsidRDefault="008A0BD2" w:rsidP="008A0BD2">
      <w:pPr>
        <w:widowControl/>
        <w:adjustRightInd/>
        <w:rPr>
          <w:color w:val="000000" w:themeColor="text1"/>
        </w:rPr>
      </w:pPr>
    </w:p>
    <w:p w14:paraId="4396540A" w14:textId="77777777" w:rsidR="008A0BD2" w:rsidRDefault="008A0BD2" w:rsidP="008A0BD2">
      <w:pPr>
        <w:widowControl/>
        <w:adjustRightInd/>
        <w:rPr>
          <w:color w:val="000000" w:themeColor="text1"/>
        </w:rPr>
      </w:pPr>
      <w:r>
        <w:rPr>
          <w:color w:val="000000" w:themeColor="text1"/>
        </w:rPr>
        <w:t xml:space="preserve">The company representative estimated that facility staff spent a total of approximately 12 hours on all the activities required under the Continuous Release Reporting requirements for its July 31, 2017 report. This estimate falls well within the burden estimate EPA is using for the ICR. </w:t>
      </w:r>
    </w:p>
    <w:p w14:paraId="7922EC4E" w14:textId="77777777" w:rsidR="008A0BD2" w:rsidRDefault="008A0BD2" w:rsidP="008A0BD2">
      <w:pPr>
        <w:widowControl/>
        <w:adjustRightInd/>
        <w:rPr>
          <w:color w:val="000000" w:themeColor="text1"/>
        </w:rPr>
      </w:pPr>
    </w:p>
    <w:p w14:paraId="4BD06306" w14:textId="77777777" w:rsidR="008A0BD2" w:rsidRPr="00387CF1" w:rsidRDefault="008A0BD2" w:rsidP="008A0BD2">
      <w:pPr>
        <w:widowControl/>
        <w:adjustRightInd/>
        <w:rPr>
          <w:color w:val="000000" w:themeColor="text1"/>
        </w:rPr>
      </w:pPr>
    </w:p>
    <w:p w14:paraId="1473AC3B" w14:textId="77777777" w:rsidR="008A0BD2" w:rsidRPr="0045783B" w:rsidRDefault="008A0BD2" w:rsidP="008A0BD2">
      <w:pPr>
        <w:widowControl/>
        <w:adjustRightInd/>
        <w:rPr>
          <w:color w:val="000000" w:themeColor="text1"/>
          <w:highlight w:val="yellow"/>
        </w:rPr>
      </w:pPr>
      <w:r w:rsidRPr="0045783B">
        <w:rPr>
          <w:noProof/>
          <w:color w:val="000000" w:themeColor="text1"/>
          <w:highlight w:val="yellow"/>
        </w:rPr>
        <mc:AlternateContent>
          <mc:Choice Requires="wps">
            <w:drawing>
              <wp:anchor distT="0" distB="0" distL="114300" distR="114300" simplePos="0" relativeHeight="251663360" behindDoc="1" locked="1" layoutInCell="0" allowOverlap="1" wp14:anchorId="4DE08C6B" wp14:editId="3A77BB6A">
                <wp:simplePos x="0" y="0"/>
                <wp:positionH relativeFrom="page">
                  <wp:posOffset>851535</wp:posOffset>
                </wp:positionH>
                <wp:positionV relativeFrom="paragraph">
                  <wp:posOffset>0</wp:posOffset>
                </wp:positionV>
                <wp:extent cx="6035675" cy="12065"/>
                <wp:effectExtent l="3810" t="0" r="0" b="0"/>
                <wp:wrapNone/>
                <wp:docPr id="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5675"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7647FA" id="Rectangle 42" o:spid="_x0000_s1026" style="position:absolute;margin-left:67.05pt;margin-top:0;width:475.25pt;height:.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NGydAIAAPg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" o:allowincell="f" fillcolor="black" stroked="f" strokeweight="0">
                <w10:wrap anchorx="page"/>
                <w10:anchorlock/>
              </v:rect>
            </w:pict>
          </mc:Fallback>
        </mc:AlternateContent>
      </w:r>
    </w:p>
    <w:p w14:paraId="40CAD359" w14:textId="77777777" w:rsidR="009F1147" w:rsidRDefault="009F1147" w:rsidP="008A0BD2">
      <w:pPr>
        <w:widowControl/>
        <w:adjustRightInd/>
        <w:rPr>
          <w:color w:val="000000" w:themeColor="text1"/>
        </w:rPr>
      </w:pPr>
    </w:p>
    <w:p w14:paraId="05C0E180" w14:textId="715E114E" w:rsidR="008A0BD2" w:rsidRPr="00EF642B" w:rsidRDefault="008A0BD2" w:rsidP="008A0BD2">
      <w:pPr>
        <w:widowControl/>
        <w:adjustRightInd/>
        <w:rPr>
          <w:color w:val="000000" w:themeColor="text1"/>
        </w:rPr>
      </w:pPr>
      <w:r>
        <w:rPr>
          <w:color w:val="000000" w:themeColor="text1"/>
        </w:rPr>
        <w:t>Domtar Paper Company</w:t>
      </w:r>
    </w:p>
    <w:p w14:paraId="53978DE4" w14:textId="77777777" w:rsidR="008A0BD2" w:rsidRPr="00EF642B" w:rsidRDefault="008A0BD2" w:rsidP="008A0BD2">
      <w:pPr>
        <w:widowControl/>
        <w:adjustRightInd/>
        <w:rPr>
          <w:color w:val="000000" w:themeColor="text1"/>
        </w:rPr>
      </w:pPr>
      <w:r w:rsidRPr="00EF642B">
        <w:rPr>
          <w:color w:val="000000" w:themeColor="text1"/>
        </w:rPr>
        <w:t xml:space="preserve">Private Enterprise </w:t>
      </w:r>
    </w:p>
    <w:p w14:paraId="782B4BFA" w14:textId="77777777" w:rsidR="008A0BD2" w:rsidRPr="00EF642B" w:rsidRDefault="008A0BD2" w:rsidP="008A0BD2">
      <w:pPr>
        <w:widowControl/>
        <w:adjustRightInd/>
        <w:rPr>
          <w:color w:val="000000" w:themeColor="text1"/>
        </w:rPr>
      </w:pPr>
      <w:r>
        <w:rPr>
          <w:color w:val="000000" w:themeColor="text1"/>
        </w:rPr>
        <w:t>Hawesville, KY</w:t>
      </w:r>
    </w:p>
    <w:p w14:paraId="300EA218" w14:textId="77777777" w:rsidR="008A0BD2" w:rsidRPr="00EF642B" w:rsidRDefault="008A0BD2" w:rsidP="008A0BD2">
      <w:pPr>
        <w:widowControl/>
        <w:adjustRightInd/>
        <w:rPr>
          <w:color w:val="000000" w:themeColor="text1"/>
        </w:rPr>
      </w:pPr>
      <w:r>
        <w:rPr>
          <w:color w:val="000000" w:themeColor="text1"/>
        </w:rPr>
        <w:t>Incident Report #1186622</w:t>
      </w:r>
    </w:p>
    <w:p w14:paraId="3C6D3854" w14:textId="77777777" w:rsidR="008A0BD2" w:rsidRPr="0045783B" w:rsidRDefault="008A0BD2" w:rsidP="008A0BD2">
      <w:pPr>
        <w:widowControl/>
        <w:adjustRightInd/>
        <w:rPr>
          <w:color w:val="000000" w:themeColor="text1"/>
          <w:highlight w:val="yellow"/>
        </w:rPr>
      </w:pPr>
    </w:p>
    <w:p w14:paraId="4516BE8A" w14:textId="77777777" w:rsidR="008A0BD2" w:rsidRDefault="008A0BD2" w:rsidP="008A0BD2">
      <w:pPr>
        <w:widowControl/>
        <w:adjustRightInd/>
        <w:rPr>
          <w:color w:val="000000" w:themeColor="text1"/>
        </w:rPr>
      </w:pPr>
      <w:r w:rsidRPr="00EF642B">
        <w:rPr>
          <w:color w:val="000000" w:themeColor="text1"/>
        </w:rPr>
        <w:t>On</w:t>
      </w:r>
      <w:r>
        <w:rPr>
          <w:color w:val="000000" w:themeColor="text1"/>
        </w:rPr>
        <w:t xml:space="preserve"> August 8, 2017</w:t>
      </w:r>
      <w:r w:rsidRPr="00EF642B">
        <w:rPr>
          <w:color w:val="000000" w:themeColor="text1"/>
        </w:rPr>
        <w:t>,</w:t>
      </w:r>
      <w:r>
        <w:rPr>
          <w:color w:val="000000" w:themeColor="text1"/>
        </w:rPr>
        <w:t xml:space="preserve"> Domtar Paper Company</w:t>
      </w:r>
      <w:r w:rsidRPr="00EF642B">
        <w:rPr>
          <w:color w:val="000000" w:themeColor="text1"/>
        </w:rPr>
        <w:t xml:space="preserve"> called the NRC to make a report of a </w:t>
      </w:r>
      <w:r>
        <w:rPr>
          <w:color w:val="000000" w:themeColor="text1"/>
        </w:rPr>
        <w:t xml:space="preserve">statistically significant increase of acrolein into the air as part of their normal operating procedures. </w:t>
      </w:r>
    </w:p>
    <w:p w14:paraId="14988DAD" w14:textId="77777777" w:rsidR="008A0BD2" w:rsidRDefault="008A0BD2" w:rsidP="008A0BD2">
      <w:pPr>
        <w:widowControl/>
        <w:adjustRightInd/>
        <w:rPr>
          <w:color w:val="000000" w:themeColor="text1"/>
        </w:rPr>
      </w:pPr>
    </w:p>
    <w:p w14:paraId="3B7FDBA6" w14:textId="77777777" w:rsidR="008A0BD2" w:rsidRDefault="008A0BD2" w:rsidP="008A0BD2">
      <w:pPr>
        <w:widowControl/>
        <w:adjustRightInd/>
        <w:rPr>
          <w:color w:val="000000" w:themeColor="text1"/>
        </w:rPr>
      </w:pPr>
      <w:r w:rsidRPr="00627074">
        <w:rPr>
          <w:color w:val="000000" w:themeColor="text1"/>
        </w:rPr>
        <w:t xml:space="preserve">On August 9, 2018, the HQ EPA analyst spoke with the person responsible for reporting releases. The company representative </w:t>
      </w:r>
      <w:r>
        <w:rPr>
          <w:color w:val="000000" w:themeColor="text1"/>
        </w:rPr>
        <w:t xml:space="preserve">indicated that the release occurred as described in the NRC report. He also stated that he was aware of the reporting requirements for the release, and found the information on the CERCLA reporting sheets to be very helpful. </w:t>
      </w:r>
    </w:p>
    <w:p w14:paraId="331A32D1" w14:textId="77777777" w:rsidR="008A0BD2" w:rsidRDefault="008A0BD2" w:rsidP="008A0BD2">
      <w:pPr>
        <w:widowControl/>
        <w:adjustRightInd/>
        <w:rPr>
          <w:color w:val="000000" w:themeColor="text1"/>
        </w:rPr>
      </w:pPr>
    </w:p>
    <w:p w14:paraId="0F1C48A8" w14:textId="77777777" w:rsidR="008A0BD2" w:rsidRDefault="008A0BD2" w:rsidP="008A0BD2">
      <w:pPr>
        <w:widowControl/>
        <w:adjustRightInd/>
        <w:rPr>
          <w:color w:val="000000" w:themeColor="text1"/>
        </w:rPr>
      </w:pPr>
      <w:r>
        <w:rPr>
          <w:color w:val="000000" w:themeColor="text1"/>
        </w:rPr>
        <w:t xml:space="preserve">The company representative estimated that facility staff spent a total of approximately 10 hours on all the activities required under the Continuous Release Reporting requirements for its August 8, 2017 report. This estimate falls well within the burden estimate EPA is using for the ICR. </w:t>
      </w:r>
    </w:p>
    <w:p w14:paraId="4B1C0882" w14:textId="77777777" w:rsidR="008A0BD2" w:rsidRDefault="008A0BD2" w:rsidP="008A0BD2">
      <w:pPr>
        <w:widowControl/>
        <w:adjustRightInd/>
        <w:rPr>
          <w:color w:val="000000" w:themeColor="text1"/>
        </w:rPr>
      </w:pPr>
    </w:p>
    <w:p w14:paraId="0D7F34E7" w14:textId="77777777" w:rsidR="008A0BD2" w:rsidRPr="00CF23B6" w:rsidRDefault="00964E16" w:rsidP="008A0BD2">
      <w:pPr>
        <w:widowControl/>
        <w:adjustRightInd/>
        <w:rPr>
          <w:color w:val="000000" w:themeColor="text1"/>
        </w:rPr>
      </w:pPr>
      <w:r>
        <w:rPr>
          <w:color w:val="000000" w:themeColor="text1"/>
        </w:rPr>
        <w:pict w14:anchorId="2097C1D5">
          <v:rect id="_x0000_i1027" style="width:0;height:1.5pt" o:hralign="center" o:hrstd="t" o:hr="t" fillcolor="#aca899" stroked="f"/>
        </w:pict>
      </w:r>
    </w:p>
    <w:p w14:paraId="641D34F1" w14:textId="77777777" w:rsidR="008A0BD2" w:rsidRPr="0045783B" w:rsidRDefault="008A0BD2" w:rsidP="008A0BD2">
      <w:pPr>
        <w:widowControl/>
        <w:adjustRightInd/>
        <w:rPr>
          <w:color w:val="000000" w:themeColor="text1"/>
          <w:highlight w:val="yellow"/>
        </w:rPr>
      </w:pPr>
    </w:p>
    <w:p w14:paraId="4F84F623" w14:textId="77777777" w:rsidR="008A0BD2" w:rsidRPr="00667271" w:rsidRDefault="008A0BD2" w:rsidP="008A0BD2">
      <w:pPr>
        <w:widowControl/>
        <w:adjustRightInd/>
        <w:rPr>
          <w:color w:val="000000" w:themeColor="text1"/>
        </w:rPr>
      </w:pPr>
      <w:r>
        <w:rPr>
          <w:color w:val="000000" w:themeColor="text1"/>
        </w:rPr>
        <w:t>Tennessee Valley Authority</w:t>
      </w:r>
    </w:p>
    <w:p w14:paraId="3AE38ED5" w14:textId="77777777" w:rsidR="008A0BD2" w:rsidRDefault="008A0BD2" w:rsidP="008A0BD2">
      <w:pPr>
        <w:widowControl/>
        <w:adjustRightInd/>
        <w:rPr>
          <w:color w:val="000000" w:themeColor="text1"/>
        </w:rPr>
      </w:pPr>
      <w:r>
        <w:rPr>
          <w:color w:val="000000" w:themeColor="text1"/>
        </w:rPr>
        <w:t>Federal Government</w:t>
      </w:r>
    </w:p>
    <w:p w14:paraId="46EB4D5B" w14:textId="77777777" w:rsidR="008A0BD2" w:rsidRPr="00667271" w:rsidRDefault="008A0BD2" w:rsidP="008A0BD2">
      <w:pPr>
        <w:widowControl/>
        <w:adjustRightInd/>
        <w:rPr>
          <w:color w:val="000000" w:themeColor="text1"/>
        </w:rPr>
      </w:pPr>
      <w:r>
        <w:rPr>
          <w:color w:val="000000" w:themeColor="text1"/>
        </w:rPr>
        <w:t>Chattanooga, TN</w:t>
      </w:r>
    </w:p>
    <w:p w14:paraId="4C037CF1" w14:textId="77777777" w:rsidR="008A0BD2" w:rsidRPr="00667271" w:rsidRDefault="008A0BD2" w:rsidP="008A0BD2">
      <w:pPr>
        <w:widowControl/>
        <w:adjustRightInd/>
        <w:rPr>
          <w:color w:val="000000" w:themeColor="text1"/>
        </w:rPr>
      </w:pPr>
      <w:r>
        <w:rPr>
          <w:color w:val="000000" w:themeColor="text1"/>
        </w:rPr>
        <w:t>Incident Report #1189730</w:t>
      </w:r>
    </w:p>
    <w:p w14:paraId="3CDCFE12" w14:textId="77777777" w:rsidR="008A0BD2" w:rsidRPr="00667271" w:rsidRDefault="008A0BD2" w:rsidP="008A0BD2">
      <w:pPr>
        <w:widowControl/>
        <w:adjustRightInd/>
        <w:rPr>
          <w:color w:val="000000" w:themeColor="text1"/>
        </w:rPr>
      </w:pPr>
    </w:p>
    <w:p w14:paraId="050BCE30" w14:textId="77777777" w:rsidR="008A0BD2" w:rsidRDefault="008A0BD2" w:rsidP="008A0BD2">
      <w:pPr>
        <w:widowControl/>
        <w:adjustRightInd/>
        <w:rPr>
          <w:color w:val="000000" w:themeColor="text1"/>
        </w:rPr>
      </w:pPr>
      <w:r w:rsidRPr="00667271">
        <w:rPr>
          <w:color w:val="000000" w:themeColor="text1"/>
        </w:rPr>
        <w:t xml:space="preserve">On </w:t>
      </w:r>
      <w:r>
        <w:rPr>
          <w:color w:val="000000" w:themeColor="text1"/>
        </w:rPr>
        <w:t xml:space="preserve">September 8, 2017, the Tennessee Valley Authority </w:t>
      </w:r>
      <w:r w:rsidRPr="00667271">
        <w:rPr>
          <w:color w:val="000000" w:themeColor="text1"/>
        </w:rPr>
        <w:t xml:space="preserve">called the NRC to make a report of </w:t>
      </w:r>
      <w:r>
        <w:rPr>
          <w:color w:val="000000" w:themeColor="text1"/>
        </w:rPr>
        <w:t>an initial continuous release of ammonia from the air pollution control device during a process to control the nitrous oxide during normal operating procedures. The nitrous oxide is created from the combustion of natural gas or fuel oil. The caller reported the continuous release of ammonia and acrolein into the atmosphere. The acrolein is a result of the combustion.</w:t>
      </w:r>
    </w:p>
    <w:p w14:paraId="30F1AC27" w14:textId="77777777" w:rsidR="008A0BD2" w:rsidRDefault="008A0BD2" w:rsidP="008A0BD2">
      <w:pPr>
        <w:widowControl/>
        <w:adjustRightInd/>
        <w:rPr>
          <w:color w:val="000000" w:themeColor="text1"/>
        </w:rPr>
      </w:pPr>
    </w:p>
    <w:p w14:paraId="42662E28" w14:textId="77777777" w:rsidR="008A0BD2" w:rsidRDefault="008A0BD2" w:rsidP="008A0BD2">
      <w:pPr>
        <w:widowControl/>
        <w:adjustRightInd/>
        <w:rPr>
          <w:color w:val="000000" w:themeColor="text1"/>
        </w:rPr>
      </w:pPr>
      <w:r w:rsidRPr="00627074">
        <w:rPr>
          <w:color w:val="000000" w:themeColor="text1"/>
        </w:rPr>
        <w:t xml:space="preserve">On August 9, 2018, the HQ EPA analyst spoke with the person responsible for reporting releases. The company representative </w:t>
      </w:r>
      <w:r>
        <w:rPr>
          <w:color w:val="000000" w:themeColor="text1"/>
        </w:rPr>
        <w:t>indicated that the continuous release</w:t>
      </w:r>
      <w:r w:rsidRPr="00F50FFD">
        <w:rPr>
          <w:color w:val="000000" w:themeColor="text1"/>
        </w:rPr>
        <w:t xml:space="preserve"> </w:t>
      </w:r>
      <w:r>
        <w:rPr>
          <w:color w:val="000000" w:themeColor="text1"/>
        </w:rPr>
        <w:t xml:space="preserve">from a combined cycle natural gas plant was as described in the NRC report. He also stated that he was aware of the reporting requirements for the release. </w:t>
      </w:r>
    </w:p>
    <w:p w14:paraId="65059423" w14:textId="77777777" w:rsidR="008A0BD2" w:rsidRDefault="008A0BD2" w:rsidP="008A0BD2">
      <w:pPr>
        <w:widowControl/>
        <w:adjustRightInd/>
        <w:rPr>
          <w:color w:val="000000" w:themeColor="text1"/>
        </w:rPr>
      </w:pPr>
    </w:p>
    <w:p w14:paraId="2210FA3A" w14:textId="77777777" w:rsidR="008A0BD2" w:rsidRDefault="008A0BD2" w:rsidP="008A0BD2">
      <w:pPr>
        <w:widowControl/>
        <w:adjustRightInd/>
        <w:rPr>
          <w:color w:val="000000" w:themeColor="text1"/>
        </w:rPr>
      </w:pPr>
      <w:r>
        <w:rPr>
          <w:color w:val="000000" w:themeColor="text1"/>
        </w:rPr>
        <w:t xml:space="preserve">The company representative estimated that facility staff at the TVA’s Mussel Shoals plant spent a total of approximately 10 hours on all the activities required under the Continuous Release Reporting requirements for its Sept. 8, 2017 report. This estimate falls well within the burden estimate EPA is using for the ICR. </w:t>
      </w:r>
    </w:p>
    <w:p w14:paraId="005C520D" w14:textId="77A781F0" w:rsidR="008A0BD2" w:rsidRPr="00667271" w:rsidRDefault="008A0BD2" w:rsidP="008A0BD2">
      <w:pPr>
        <w:widowControl/>
        <w:adjustRightInd/>
        <w:rPr>
          <w:color w:val="000000" w:themeColor="text1"/>
        </w:rPr>
      </w:pPr>
    </w:p>
    <w:p w14:paraId="73DDBB88" w14:textId="77777777" w:rsidR="008A0BD2" w:rsidRPr="00667271" w:rsidRDefault="008A0BD2" w:rsidP="008A0BD2">
      <w:pPr>
        <w:widowControl/>
        <w:adjustRightInd/>
        <w:rPr>
          <w:color w:val="000000" w:themeColor="text1"/>
        </w:rPr>
      </w:pPr>
    </w:p>
    <w:p w14:paraId="329EB4A7" w14:textId="54F1375A" w:rsidR="009F1147" w:rsidRDefault="009F1147" w:rsidP="008A0BD2">
      <w:pPr>
        <w:widowControl/>
        <w:adjustRightInd/>
        <w:rPr>
          <w:color w:val="000000" w:themeColor="text1"/>
        </w:rPr>
      </w:pPr>
    </w:p>
    <w:p w14:paraId="1C704885" w14:textId="7A33DC7E" w:rsidR="008A0BD2" w:rsidRPr="00F94222" w:rsidRDefault="008A0BD2" w:rsidP="008A0BD2">
      <w:pPr>
        <w:widowControl/>
        <w:adjustRightInd/>
        <w:rPr>
          <w:color w:val="000000" w:themeColor="text1"/>
        </w:rPr>
      </w:pPr>
      <w:r>
        <w:rPr>
          <w:color w:val="000000" w:themeColor="text1"/>
        </w:rPr>
        <w:t>Montana Dakota Utilities</w:t>
      </w:r>
    </w:p>
    <w:p w14:paraId="1A9AD063" w14:textId="77777777" w:rsidR="008A0BD2" w:rsidRPr="00F94222" w:rsidRDefault="008A0BD2" w:rsidP="008A0BD2">
      <w:pPr>
        <w:widowControl/>
        <w:adjustRightInd/>
        <w:rPr>
          <w:color w:val="000000" w:themeColor="text1"/>
        </w:rPr>
      </w:pPr>
      <w:r>
        <w:rPr>
          <w:color w:val="000000" w:themeColor="text1"/>
        </w:rPr>
        <w:t>Public Utility</w:t>
      </w:r>
    </w:p>
    <w:p w14:paraId="4039370A" w14:textId="77777777" w:rsidR="008A0BD2" w:rsidRPr="00F94222" w:rsidRDefault="008A0BD2" w:rsidP="008A0BD2">
      <w:pPr>
        <w:widowControl/>
        <w:adjustRightInd/>
        <w:rPr>
          <w:color w:val="000000" w:themeColor="text1"/>
        </w:rPr>
      </w:pPr>
      <w:r>
        <w:rPr>
          <w:color w:val="000000" w:themeColor="text1"/>
        </w:rPr>
        <w:t>Bismarck, ND</w:t>
      </w:r>
    </w:p>
    <w:p w14:paraId="6E0142A3" w14:textId="77777777" w:rsidR="008A0BD2" w:rsidRPr="00F94222" w:rsidRDefault="008A0BD2" w:rsidP="008A0BD2">
      <w:pPr>
        <w:widowControl/>
        <w:adjustRightInd/>
        <w:rPr>
          <w:color w:val="000000" w:themeColor="text1"/>
        </w:rPr>
      </w:pPr>
      <w:r w:rsidRPr="00F94222">
        <w:rPr>
          <w:color w:val="000000" w:themeColor="text1"/>
        </w:rPr>
        <w:t>Incident Report #</w:t>
      </w:r>
      <w:r>
        <w:rPr>
          <w:color w:val="000000" w:themeColor="text1"/>
        </w:rPr>
        <w:t>1197866</w:t>
      </w:r>
    </w:p>
    <w:p w14:paraId="41665669" w14:textId="77777777" w:rsidR="008A0BD2" w:rsidRPr="00E04433" w:rsidRDefault="008A0BD2" w:rsidP="008A0BD2">
      <w:pPr>
        <w:widowControl/>
        <w:adjustRightInd/>
        <w:rPr>
          <w:color w:val="000000" w:themeColor="text1"/>
        </w:rPr>
      </w:pPr>
    </w:p>
    <w:p w14:paraId="0E0DC2E7" w14:textId="77777777" w:rsidR="008A0BD2" w:rsidRDefault="008A0BD2" w:rsidP="008A0BD2">
      <w:pPr>
        <w:widowControl/>
        <w:adjustRightInd/>
        <w:rPr>
          <w:color w:val="000000" w:themeColor="text1"/>
        </w:rPr>
      </w:pPr>
      <w:r>
        <w:rPr>
          <w:color w:val="000000" w:themeColor="text1"/>
        </w:rPr>
        <w:t>On November 21, 2017</w:t>
      </w:r>
      <w:r w:rsidRPr="00E04433">
        <w:rPr>
          <w:color w:val="000000" w:themeColor="text1"/>
        </w:rPr>
        <w:t xml:space="preserve">, </w:t>
      </w:r>
      <w:r>
        <w:rPr>
          <w:color w:val="000000" w:themeColor="text1"/>
        </w:rPr>
        <w:t xml:space="preserve">Montana Dakota Utilities </w:t>
      </w:r>
      <w:r w:rsidRPr="00E04433">
        <w:rPr>
          <w:color w:val="000000" w:themeColor="text1"/>
        </w:rPr>
        <w:t>called the</w:t>
      </w:r>
      <w:r>
        <w:rPr>
          <w:color w:val="000000" w:themeColor="text1"/>
        </w:rPr>
        <w:t xml:space="preserve"> NRC to make a report of an initial </w:t>
      </w:r>
      <w:r w:rsidRPr="00E04433">
        <w:rPr>
          <w:color w:val="000000" w:themeColor="text1"/>
        </w:rPr>
        <w:t xml:space="preserve">continuous release of </w:t>
      </w:r>
      <w:r>
        <w:rPr>
          <w:color w:val="000000" w:themeColor="text1"/>
        </w:rPr>
        <w:t>acrolein from a combustion turbine.</w:t>
      </w:r>
    </w:p>
    <w:p w14:paraId="40FAD9B5" w14:textId="77777777" w:rsidR="008A0BD2" w:rsidRDefault="008A0BD2" w:rsidP="008A0BD2">
      <w:pPr>
        <w:widowControl/>
        <w:adjustRightInd/>
        <w:rPr>
          <w:color w:val="000000" w:themeColor="text1"/>
        </w:rPr>
      </w:pPr>
    </w:p>
    <w:p w14:paraId="727EBAA9" w14:textId="77777777" w:rsidR="008A0BD2" w:rsidRDefault="008A0BD2" w:rsidP="008A0BD2">
      <w:pPr>
        <w:widowControl/>
        <w:adjustRightInd/>
        <w:rPr>
          <w:color w:val="000000" w:themeColor="text1"/>
        </w:rPr>
      </w:pPr>
      <w:r w:rsidRPr="00627074">
        <w:rPr>
          <w:color w:val="000000" w:themeColor="text1"/>
        </w:rPr>
        <w:t xml:space="preserve">On </w:t>
      </w:r>
      <w:r>
        <w:rPr>
          <w:color w:val="000000" w:themeColor="text1"/>
        </w:rPr>
        <w:t>August 10</w:t>
      </w:r>
      <w:r w:rsidRPr="00627074">
        <w:rPr>
          <w:color w:val="000000" w:themeColor="text1"/>
        </w:rPr>
        <w:t xml:space="preserve">, 2018, the HQ EPA analyst spoke with the person responsible for reporting releases. The company representative </w:t>
      </w:r>
      <w:r>
        <w:rPr>
          <w:color w:val="000000" w:themeColor="text1"/>
        </w:rPr>
        <w:t>indicated that this continuous release</w:t>
      </w:r>
      <w:r w:rsidRPr="00F50FFD">
        <w:rPr>
          <w:color w:val="000000" w:themeColor="text1"/>
        </w:rPr>
        <w:t xml:space="preserve"> </w:t>
      </w:r>
      <w:r>
        <w:rPr>
          <w:color w:val="000000" w:themeColor="text1"/>
        </w:rPr>
        <w:t xml:space="preserve">report was the representative’s second report, so he was able to use a previously prepared report and other documents, as the basis for this report. The representative had anticipated that the turbine would run and make the release. He also stated that initially, he was not certain about the notification responsibilities, but once he created a spreadsheet to track the first continuous release, he was able to use it for this incident, which saved him a lot of time. The NRC staff person he contacted about this release told him that the NRC would contact the LEPC to notify it of the release, but the company representative would send in the form to the LEPC. At the one-year anniversary of the release, which will occur in November 2018, he expects it will be easier to submit one-year report because the facility now has procedures in place and template document ready to be updated. </w:t>
      </w:r>
    </w:p>
    <w:p w14:paraId="02CBD14C" w14:textId="77777777" w:rsidR="008A0BD2" w:rsidRDefault="008A0BD2" w:rsidP="008A0BD2">
      <w:pPr>
        <w:widowControl/>
        <w:adjustRightInd/>
        <w:rPr>
          <w:color w:val="000000" w:themeColor="text1"/>
        </w:rPr>
      </w:pPr>
    </w:p>
    <w:p w14:paraId="6028F34D" w14:textId="77777777" w:rsidR="008A0BD2" w:rsidRDefault="008A0BD2" w:rsidP="008A0BD2">
      <w:pPr>
        <w:widowControl/>
        <w:adjustRightInd/>
        <w:rPr>
          <w:color w:val="000000" w:themeColor="text1"/>
        </w:rPr>
      </w:pPr>
      <w:r>
        <w:rPr>
          <w:color w:val="000000" w:themeColor="text1"/>
        </w:rPr>
        <w:t xml:space="preserve">The company representative estimated that facility staff spent a total of approximately 25 hours on all the activities required under the Continuous Release Reporting requirements for its Nov. 21, 2017 report. This estimate falls well within the burden estimate EPA is using for the ICR. </w:t>
      </w:r>
    </w:p>
    <w:p w14:paraId="1E0AAEA3" w14:textId="77777777" w:rsidR="008A0BD2" w:rsidRPr="0045783B" w:rsidRDefault="008A0BD2" w:rsidP="008A0BD2">
      <w:pPr>
        <w:widowControl/>
        <w:adjustRightInd/>
        <w:rPr>
          <w:color w:val="000000" w:themeColor="text1"/>
          <w:highlight w:val="yellow"/>
        </w:rPr>
      </w:pPr>
    </w:p>
    <w:p w14:paraId="617A3D84" w14:textId="77777777" w:rsidR="000F472E" w:rsidRPr="005F1213" w:rsidRDefault="000F472E" w:rsidP="009E55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pPr>
    </w:p>
    <w:p w14:paraId="5197CF47" w14:textId="69C7085E" w:rsidR="00D206EE" w:rsidRDefault="00D206EE" w:rsidP="00083AD6">
      <w:pPr>
        <w:ind w:firstLine="720"/>
      </w:pPr>
    </w:p>
    <w:p w14:paraId="102A1E06" w14:textId="29526BA1" w:rsidR="00C25693" w:rsidRPr="00C25693" w:rsidRDefault="00C25693" w:rsidP="00F82FD8">
      <w:pPr>
        <w:widowControl/>
        <w:adjustRightInd/>
      </w:pPr>
    </w:p>
    <w:sectPr w:rsidR="00C25693" w:rsidRPr="00C25693" w:rsidSect="00C32344">
      <w:footerReference w:type="default" r:id="rId42"/>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3A9D1A" w14:textId="77777777" w:rsidR="003C6950" w:rsidRDefault="003C6950">
      <w:r>
        <w:separator/>
      </w:r>
    </w:p>
  </w:endnote>
  <w:endnote w:type="continuationSeparator" w:id="0">
    <w:p w14:paraId="0D306D4C" w14:textId="77777777" w:rsidR="003C6950" w:rsidRDefault="003C6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73BBA" w14:textId="77777777" w:rsidR="00A4433A" w:rsidRDefault="00964E16" w:rsidP="00C32344">
    <w:pPr>
      <w:pStyle w:val="Footer"/>
      <w:jc w:val="center"/>
    </w:pPr>
    <w:r>
      <w:pict w14:anchorId="7743C958">
        <v:rect id="_x0000_i1025" style="width:0;height:1.5pt" o:hralign="center" o:hrstd="t" o:hr="t" fillcolor="#aca899" stroked="f"/>
      </w:pict>
    </w:r>
  </w:p>
  <w:p w14:paraId="551B38E5" w14:textId="7E074FFC" w:rsidR="00A4433A" w:rsidRDefault="00A4433A" w:rsidP="00131773">
    <w:pPr>
      <w:pStyle w:val="Footer"/>
      <w:jc w:val="center"/>
    </w:pPr>
    <w:r>
      <w:t>OMB Version</w:t>
    </w:r>
  </w:p>
  <w:p w14:paraId="1062795E" w14:textId="557C95EA" w:rsidR="00A4433A" w:rsidRPr="00DB1CED" w:rsidRDefault="00A4433A" w:rsidP="00131773">
    <w:pPr>
      <w:pStyle w:val="Footer"/>
      <w:jc w:val="center"/>
    </w:pPr>
    <w:r>
      <w:t>September 2018</w:t>
    </w:r>
  </w:p>
  <w:p w14:paraId="2CD6CC43" w14:textId="57F8D501" w:rsidR="00A4433A" w:rsidRDefault="00A4433A" w:rsidP="0013177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64E16">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64E16">
      <w:rPr>
        <w:rStyle w:val="PageNumber"/>
        <w:noProof/>
      </w:rPr>
      <w:t>1</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9BA099" w14:textId="77777777" w:rsidR="00A4433A" w:rsidRDefault="00964E16" w:rsidP="00C32344">
    <w:pPr>
      <w:pStyle w:val="Footer"/>
      <w:jc w:val="center"/>
    </w:pPr>
    <w:r>
      <w:pict w14:anchorId="7E902C53">
        <v:rect id="_x0000_i1026" style="width:0;height:1.5pt" o:hralign="center" o:hrstd="t" o:hr="t" fillcolor="#aca899" stroked="f"/>
      </w:pict>
    </w:r>
  </w:p>
  <w:p w14:paraId="716CF9A0" w14:textId="01D3A337" w:rsidR="00A4433A" w:rsidRDefault="00A4433A" w:rsidP="00131773">
    <w:pPr>
      <w:pStyle w:val="Footer"/>
      <w:jc w:val="center"/>
    </w:pPr>
    <w:r>
      <w:t>OMB Version</w:t>
    </w:r>
  </w:p>
  <w:p w14:paraId="2F292EAD" w14:textId="413547D8" w:rsidR="00A4433A" w:rsidRPr="00DB1CED" w:rsidRDefault="00A4433A" w:rsidP="00131773">
    <w:pPr>
      <w:pStyle w:val="Footer"/>
      <w:jc w:val="center"/>
    </w:pPr>
    <w:r>
      <w:t>September 2018</w:t>
    </w:r>
  </w:p>
  <w:p w14:paraId="7CB16C7A" w14:textId="56C0D471" w:rsidR="00A4433A" w:rsidRDefault="00A4433A" w:rsidP="0013177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964E1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64E16">
      <w:rPr>
        <w:rStyle w:val="PageNumber"/>
        <w:noProof/>
      </w:rPr>
      <w:t>2</w:t>
    </w:r>
    <w:r>
      <w:rPr>
        <w:rStyle w:val="PageNumber"/>
      </w:rPr>
      <w:fldChar w:fldCharType="end"/>
    </w:r>
  </w:p>
  <w:p w14:paraId="3D9B802D" w14:textId="77777777" w:rsidR="00A4433A" w:rsidRDefault="00A4433A" w:rsidP="00131773">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F6A4D" w14:textId="77777777" w:rsidR="00A4433A" w:rsidRDefault="00964E16" w:rsidP="00C32344">
    <w:pPr>
      <w:pStyle w:val="Footer"/>
      <w:jc w:val="center"/>
    </w:pPr>
    <w:r>
      <w:pict w14:anchorId="7C0179FD">
        <v:rect id="_x0000_i1028" style="width:0;height:1.5pt" o:hralign="center" o:hrstd="t" o:hr="t" fillcolor="#aca899" stroked="f"/>
      </w:pict>
    </w:r>
  </w:p>
  <w:p w14:paraId="3B2DC059" w14:textId="195AE28C" w:rsidR="00A4433A" w:rsidRDefault="00A4433A" w:rsidP="00AD334D">
    <w:pPr>
      <w:pStyle w:val="Footer"/>
      <w:jc w:val="center"/>
    </w:pPr>
    <w:r>
      <w:t>OMB VERSION</w:t>
    </w:r>
  </w:p>
  <w:p w14:paraId="5CF8CDAE" w14:textId="53FE139F" w:rsidR="00A4433A" w:rsidRDefault="00A4433A" w:rsidP="00F82FD8">
    <w:pPr>
      <w:pStyle w:val="Footer"/>
      <w:jc w:val="center"/>
    </w:pPr>
    <w:r>
      <w:t>September 2018</w:t>
    </w:r>
  </w:p>
  <w:p w14:paraId="6538EEE5" w14:textId="78F219A5" w:rsidR="00A4433A" w:rsidRDefault="00A4433A" w:rsidP="0013177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854D5F">
      <w:rPr>
        <w:rStyle w:val="PageNumber"/>
        <w:noProof/>
      </w:rPr>
      <w:t>57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54D5F">
      <w:rPr>
        <w:rStyle w:val="PageNumber"/>
        <w:noProof/>
      </w:rPr>
      <w:t>62</w:t>
    </w:r>
    <w:r>
      <w:rPr>
        <w:rStyle w:val="PageNumber"/>
      </w:rPr>
      <w:fldChar w:fldCharType="end"/>
    </w:r>
  </w:p>
  <w:p w14:paraId="5431BBDB" w14:textId="77777777" w:rsidR="00A4433A" w:rsidRDefault="00A4433A" w:rsidP="0013177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7AC4B1" w14:textId="77777777" w:rsidR="003C6950" w:rsidRDefault="003C6950">
      <w:r>
        <w:separator/>
      </w:r>
    </w:p>
  </w:footnote>
  <w:footnote w:type="continuationSeparator" w:id="0">
    <w:p w14:paraId="02A5E221" w14:textId="77777777" w:rsidR="003C6950" w:rsidRDefault="003C6950">
      <w:r>
        <w:continuationSeparator/>
      </w:r>
    </w:p>
  </w:footnote>
  <w:footnote w:id="1">
    <w:p w14:paraId="5FB1D944" w14:textId="79BC7DE1" w:rsidR="00A4433A" w:rsidRPr="00F82FD8" w:rsidRDefault="00A4433A" w:rsidP="00F82FD8">
      <w:pPr>
        <w:rPr>
          <w:sz w:val="20"/>
          <w:szCs w:val="20"/>
          <w:vertAlign w:val="subscript"/>
        </w:rPr>
      </w:pPr>
      <w:r w:rsidRPr="00F82FD8">
        <w:rPr>
          <w:rStyle w:val="FootnoteReference"/>
          <w:sz w:val="20"/>
          <w:szCs w:val="20"/>
          <w:vertAlign w:val="superscript"/>
        </w:rPr>
        <w:footnoteRef/>
      </w:r>
      <w:r w:rsidRPr="00F82FD8">
        <w:rPr>
          <w:sz w:val="20"/>
          <w:szCs w:val="20"/>
          <w:vertAlign w:val="superscript"/>
        </w:rPr>
        <w:t xml:space="preserve"> </w:t>
      </w:r>
      <w:r w:rsidRPr="00F82FD8">
        <w:rPr>
          <w:sz w:val="20"/>
          <w:szCs w:val="20"/>
        </w:rPr>
        <w:t>2050-0086 (EPA No. 1445.12) expires on November 30, 2018. EPA revised the CRR form and instructions and we will replace the existing version on our website after OMB approval.  Facilities may continue to use the form th</w:t>
      </w:r>
      <w:r>
        <w:rPr>
          <w:sz w:val="20"/>
          <w:szCs w:val="20"/>
        </w:rPr>
        <w:t>at is currently available on our website at</w:t>
      </w:r>
      <w:r w:rsidRPr="00F82FD8">
        <w:rPr>
          <w:sz w:val="20"/>
          <w:szCs w:val="20"/>
        </w:rPr>
        <w:t xml:space="preserve"> https://www.epa.gov/epcra/appendix-b-reporting-requirements-continuous-releases-hazardous-substances.</w:t>
      </w:r>
      <w:r w:rsidRPr="00F82FD8">
        <w:rPr>
          <w:sz w:val="20"/>
          <w:szCs w:val="20"/>
          <w:vertAlign w:val="subscript"/>
        </w:rPr>
        <w:t xml:space="preserve"> </w:t>
      </w:r>
    </w:p>
  </w:footnote>
  <w:footnote w:id="2">
    <w:p w14:paraId="44E8F75F" w14:textId="03E6E2CE" w:rsidR="00A4433A" w:rsidRPr="0004089B" w:rsidRDefault="00A4433A" w:rsidP="0017595A">
      <w:pPr>
        <w:pStyle w:val="FootnoteText"/>
        <w:spacing w:after="240"/>
      </w:pPr>
      <w:r w:rsidRPr="001F3A52">
        <w:rPr>
          <w:rStyle w:val="FootnoteReference"/>
          <w:vertAlign w:val="superscript"/>
        </w:rPr>
        <w:footnoteRef/>
      </w:r>
      <w:r w:rsidRPr="001F3A52">
        <w:t xml:space="preserve">That data base is </w:t>
      </w:r>
      <w:r w:rsidRPr="0004089B">
        <w:t xml:space="preserve">available at: </w:t>
      </w:r>
      <w:r w:rsidRPr="004E192C">
        <w:t>http://www.nrc.uscg.mil/</w:t>
      </w:r>
    </w:p>
  </w:footnote>
  <w:footnote w:id="3">
    <w:p w14:paraId="3866C00B" w14:textId="77777777" w:rsidR="00A4433A" w:rsidRPr="008813A3" w:rsidRDefault="00A4433A">
      <w:pPr>
        <w:pStyle w:val="FootnoteText"/>
        <w:rPr>
          <w:vertAlign w:val="superscript"/>
        </w:rPr>
      </w:pPr>
      <w:r w:rsidRPr="008813A3">
        <w:rPr>
          <w:rStyle w:val="FootnoteReference"/>
          <w:vertAlign w:val="superscript"/>
        </w:rPr>
        <w:footnoteRef/>
      </w:r>
      <w:r>
        <w:t xml:space="preserve">The burden reduction is estimated to be </w:t>
      </w:r>
      <w:r w:rsidRPr="008813A3">
        <w:rPr>
          <w:i/>
        </w:rPr>
        <w:t>one hour/initial notification activity and information collection activity</w:t>
      </w:r>
      <w:r>
        <w:t xml:space="preserve"> which is why these numbers are the same as the paragraph above.</w:t>
      </w:r>
      <w:r w:rsidRPr="008813A3">
        <w:rPr>
          <w:vertAlign w:val="superscript"/>
        </w:rPr>
        <w:t xml:space="preserve"> </w:t>
      </w:r>
    </w:p>
  </w:footnote>
  <w:footnote w:id="4">
    <w:p w14:paraId="58E2393D" w14:textId="02A7F1DB" w:rsidR="00A4433A" w:rsidRPr="00EF7BE5" w:rsidRDefault="00A4433A" w:rsidP="001708C2">
      <w:pPr>
        <w:pStyle w:val="FootnoteText"/>
        <w:spacing w:after="240"/>
        <w:rPr>
          <w:color w:val="000000" w:themeColor="text1"/>
        </w:rPr>
      </w:pPr>
      <w:r w:rsidRPr="00EF7BE5">
        <w:rPr>
          <w:rStyle w:val="FootnoteReference"/>
          <w:color w:val="000000" w:themeColor="text1"/>
          <w:vertAlign w:val="superscript"/>
        </w:rPr>
        <w:footnoteRef/>
      </w:r>
      <w:r w:rsidRPr="00EF7BE5">
        <w:rPr>
          <w:color w:val="000000" w:themeColor="text1"/>
        </w:rPr>
        <w:t xml:space="preserve"> Bureau of Labor Statistics’ news release dated, </w:t>
      </w:r>
      <w:r>
        <w:rPr>
          <w:color w:val="000000" w:themeColor="text1"/>
        </w:rPr>
        <w:t>March 20, 2018</w:t>
      </w:r>
      <w:r w:rsidRPr="00EF7BE5">
        <w:rPr>
          <w:color w:val="000000" w:themeColor="text1"/>
        </w:rPr>
        <w:t xml:space="preserve">, entitled, “Employer Costs for Employee Compensation - </w:t>
      </w:r>
      <w:r>
        <w:rPr>
          <w:color w:val="000000" w:themeColor="text1"/>
        </w:rPr>
        <w:t>December 2017</w:t>
      </w:r>
      <w:r w:rsidRPr="00EF7BE5">
        <w:rPr>
          <w:color w:val="000000" w:themeColor="text1"/>
        </w:rPr>
        <w:t xml:space="preserve"> listed hourly compensation (wages and salaries plus fringe benefits) rates for civilian managerial, technical, and clerical workers. Therefore</w:t>
      </w:r>
      <w:r>
        <w:rPr>
          <w:color w:val="000000" w:themeColor="text1"/>
        </w:rPr>
        <w:t>,</w:t>
      </w:r>
      <w:r w:rsidRPr="00EF7BE5">
        <w:rPr>
          <w:color w:val="000000" w:themeColor="text1"/>
        </w:rPr>
        <w:t xml:space="preserve"> the wage rates used in this ICR (1445.1</w:t>
      </w:r>
      <w:r>
        <w:rPr>
          <w:color w:val="000000" w:themeColor="text1"/>
        </w:rPr>
        <w:t>3</w:t>
      </w:r>
      <w:r w:rsidRPr="00EF7BE5">
        <w:rPr>
          <w:color w:val="000000" w:themeColor="text1"/>
        </w:rPr>
        <w:t xml:space="preserve">) include salaries, fringe benefits, overhead costs and general and administrative costs as of </w:t>
      </w:r>
      <w:r>
        <w:rPr>
          <w:color w:val="000000" w:themeColor="text1"/>
        </w:rPr>
        <w:t>December 2017</w:t>
      </w:r>
      <w:r w:rsidRPr="00EF7BE5">
        <w:rPr>
          <w:color w:val="000000" w:themeColor="text1"/>
        </w:rPr>
        <w:t>.</w:t>
      </w:r>
    </w:p>
  </w:footnote>
  <w:footnote w:id="5">
    <w:p w14:paraId="79BAD1CB" w14:textId="3B774AA5" w:rsidR="00A4433A" w:rsidRPr="005371BE" w:rsidRDefault="00A4433A">
      <w:pPr>
        <w:pStyle w:val="FootnoteText"/>
      </w:pPr>
      <w:r w:rsidRPr="002F082A">
        <w:rPr>
          <w:rStyle w:val="FootnoteReference"/>
          <w:color w:val="000000" w:themeColor="text1"/>
          <w:vertAlign w:val="superscript"/>
        </w:rPr>
        <w:footnoteRef/>
      </w:r>
      <w:r w:rsidRPr="002F082A">
        <w:rPr>
          <w:color w:val="000000" w:themeColor="text1"/>
          <w:vertAlign w:val="superscript"/>
        </w:rPr>
        <w:t xml:space="preserve"> </w:t>
      </w:r>
      <w:r w:rsidRPr="002F082A">
        <w:rPr>
          <w:color w:val="000000" w:themeColor="text1"/>
        </w:rPr>
        <w:t>Postage includes $0.9</w:t>
      </w:r>
      <w:r>
        <w:rPr>
          <w:color w:val="000000" w:themeColor="text1"/>
        </w:rPr>
        <w:t>2</w:t>
      </w:r>
      <w:r w:rsidRPr="002F082A">
        <w:rPr>
          <w:color w:val="000000" w:themeColor="text1"/>
        </w:rPr>
        <w:t xml:space="preserve"> (3oz), certified $3.</w:t>
      </w:r>
      <w:r>
        <w:rPr>
          <w:color w:val="000000" w:themeColor="text1"/>
        </w:rPr>
        <w:t>45</w:t>
      </w:r>
      <w:r w:rsidRPr="002F082A">
        <w:rPr>
          <w:color w:val="000000" w:themeColor="text1"/>
        </w:rPr>
        <w:t>, and return receipt $2.7</w:t>
      </w:r>
      <w:r>
        <w:rPr>
          <w:color w:val="000000" w:themeColor="text1"/>
        </w:rPr>
        <w:t>5</w:t>
      </w:r>
      <w:r w:rsidRPr="002F082A">
        <w:rPr>
          <w:color w:val="000000" w:themeColor="text1"/>
        </w:rPr>
        <w:t xml:space="preserve">.  Certified </w:t>
      </w:r>
      <w:r w:rsidRPr="005371BE">
        <w:t>and return receipt are not required, however, we expect most respondents to incur these costs.</w:t>
      </w:r>
    </w:p>
  </w:footnote>
  <w:footnote w:id="6">
    <w:p w14:paraId="0F0F4386" w14:textId="77777777" w:rsidR="00A4433A" w:rsidRPr="001F3A52" w:rsidRDefault="00A4433A" w:rsidP="006541CB">
      <w:pPr>
        <w:pStyle w:val="FootnoteText"/>
        <w:spacing w:after="240"/>
      </w:pPr>
      <w:r w:rsidRPr="001F3A52">
        <w:rPr>
          <w:rStyle w:val="FootnoteReference"/>
          <w:vertAlign w:val="superscript"/>
        </w:rPr>
        <w:footnoteRef/>
      </w:r>
      <w:r w:rsidRPr="001F3A52">
        <w:t xml:space="preserve"> Exhibit 8 does not include capital costs because there is no capital costs associated with implementing the regulations of the CRRR.</w:t>
      </w:r>
    </w:p>
  </w:footnote>
  <w:footnote w:id="7">
    <w:p w14:paraId="579E1903" w14:textId="77777777" w:rsidR="00A4433A" w:rsidRPr="001D26B6" w:rsidRDefault="00A4433A" w:rsidP="006541CB">
      <w:pPr>
        <w:pStyle w:val="FootnoteText"/>
        <w:spacing w:after="240"/>
        <w:rPr>
          <w:color w:val="99CC00"/>
        </w:rPr>
      </w:pPr>
      <w:r w:rsidRPr="001D26B6">
        <w:rPr>
          <w:rStyle w:val="FootnoteReference"/>
          <w:color w:val="99CC00"/>
          <w:vertAlign w:val="superscript"/>
        </w:rPr>
        <w:footnoteRef/>
      </w:r>
      <w:r w:rsidRPr="001D26B6">
        <w:rPr>
          <w:color w:val="99CC00"/>
        </w:rPr>
        <w:t xml:space="preserve"> Exhibit 8 (With Forms) does not include capital costs because there is no capital costs associated with implementing the regulations of the CRRR.</w:t>
      </w:r>
    </w:p>
  </w:footnote>
  <w:footnote w:id="8">
    <w:p w14:paraId="67325DCE" w14:textId="048B8D03" w:rsidR="00A4433A" w:rsidRDefault="00A4433A" w:rsidP="00305A08">
      <w:pPr>
        <w:rPr>
          <w:sz w:val="20"/>
          <w:szCs w:val="20"/>
        </w:rPr>
      </w:pPr>
      <w:r w:rsidRPr="001F3A52">
        <w:rPr>
          <w:rStyle w:val="FootnoteReference"/>
          <w:vertAlign w:val="superscript"/>
        </w:rPr>
        <w:footnoteRef/>
      </w:r>
      <w:r w:rsidRPr="001F3A52">
        <w:t xml:space="preserve"> </w:t>
      </w:r>
      <w:r w:rsidRPr="00305A08">
        <w:rPr>
          <w:sz w:val="20"/>
          <w:szCs w:val="20"/>
        </w:rPr>
        <w:t xml:space="preserve">This </w:t>
      </w:r>
      <w:r w:rsidRPr="00A323D1">
        <w:rPr>
          <w:color w:val="000000" w:themeColor="text1"/>
          <w:sz w:val="20"/>
          <w:szCs w:val="20"/>
        </w:rPr>
        <w:t>hourly wage estimate was calculated by summing the basic hourly wage rate for a GS-12 step 1 government employee in 201</w:t>
      </w:r>
      <w:r>
        <w:rPr>
          <w:color w:val="000000" w:themeColor="text1"/>
          <w:sz w:val="20"/>
          <w:szCs w:val="20"/>
        </w:rPr>
        <w:t>8</w:t>
      </w:r>
      <w:r w:rsidRPr="00A323D1">
        <w:rPr>
          <w:color w:val="000000" w:themeColor="text1"/>
          <w:sz w:val="20"/>
          <w:szCs w:val="20"/>
        </w:rPr>
        <w:t xml:space="preserve"> ($</w:t>
      </w:r>
      <w:r>
        <w:rPr>
          <w:color w:val="000000" w:themeColor="text1"/>
          <w:sz w:val="20"/>
          <w:szCs w:val="20"/>
        </w:rPr>
        <w:t>30.47</w:t>
      </w:r>
      <w:r w:rsidRPr="00A323D1">
        <w:rPr>
          <w:color w:val="000000" w:themeColor="text1"/>
          <w:sz w:val="20"/>
          <w:szCs w:val="20"/>
        </w:rPr>
        <w:t xml:space="preserve">) and </w:t>
      </w:r>
      <w:r w:rsidRPr="00305A08">
        <w:rPr>
          <w:sz w:val="20"/>
          <w:szCs w:val="20"/>
        </w:rPr>
        <w:t>the hourly monetary value of the representative employee’s fringe benefits (assumed to be the basic hourly wage rate multiplied by 60 percent).</w:t>
      </w:r>
    </w:p>
    <w:p w14:paraId="719CA42A" w14:textId="39562C51" w:rsidR="00A4433A" w:rsidRPr="00261E98" w:rsidRDefault="00A4433A" w:rsidP="00261E98">
      <w:pPr>
        <w:pStyle w:val="FootnoteText"/>
        <w:spacing w:after="240"/>
        <w:rPr>
          <w:color w:val="000000" w:themeColor="text1"/>
        </w:rPr>
      </w:pPr>
      <w:r>
        <w:rPr>
          <w:vertAlign w:val="superscript"/>
        </w:rPr>
        <w:t xml:space="preserve">9 </w:t>
      </w:r>
      <w:r w:rsidRPr="00EF7BE5">
        <w:rPr>
          <w:color w:val="000000" w:themeColor="text1"/>
        </w:rPr>
        <w:t xml:space="preserve">Bureau of Labor Statistics’ news release dated, </w:t>
      </w:r>
      <w:r>
        <w:rPr>
          <w:color w:val="000000" w:themeColor="text1"/>
        </w:rPr>
        <w:t>March 20, 2018</w:t>
      </w:r>
      <w:r w:rsidRPr="00EF7BE5">
        <w:rPr>
          <w:color w:val="000000" w:themeColor="text1"/>
        </w:rPr>
        <w:t xml:space="preserve">, entitled, “Employer Costs for Employee Compensation - </w:t>
      </w:r>
      <w:r>
        <w:rPr>
          <w:color w:val="000000" w:themeColor="text1"/>
        </w:rPr>
        <w:t>December 2017</w:t>
      </w:r>
      <w:r w:rsidRPr="00EF7BE5">
        <w:rPr>
          <w:color w:val="000000" w:themeColor="text1"/>
        </w:rPr>
        <w:t xml:space="preserve"> listed hourly compensation (wages and salaries plus fringe benefits) rates for </w:t>
      </w:r>
      <w:r>
        <w:rPr>
          <w:color w:val="000000" w:themeColor="text1"/>
        </w:rPr>
        <w:t>state and local government</w:t>
      </w:r>
      <w:r w:rsidRPr="00EF7BE5">
        <w:rPr>
          <w:color w:val="000000" w:themeColor="text1"/>
        </w:rPr>
        <w:t xml:space="preserve"> managerial, technical, and clerical workers. Therefore</w:t>
      </w:r>
      <w:r>
        <w:rPr>
          <w:color w:val="000000" w:themeColor="text1"/>
        </w:rPr>
        <w:t>,</w:t>
      </w:r>
      <w:r w:rsidRPr="00EF7BE5">
        <w:rPr>
          <w:color w:val="000000" w:themeColor="text1"/>
        </w:rPr>
        <w:t xml:space="preserve"> the wage rates used in this ICR (1445.1</w:t>
      </w:r>
      <w:r>
        <w:rPr>
          <w:color w:val="000000" w:themeColor="text1"/>
        </w:rPr>
        <w:t>3</w:t>
      </w:r>
      <w:r w:rsidRPr="00EF7BE5">
        <w:rPr>
          <w:color w:val="000000" w:themeColor="text1"/>
        </w:rPr>
        <w:t xml:space="preserve">) include salaries, fringe benefits, overhead costs and general and administrative costs as of </w:t>
      </w:r>
      <w:r>
        <w:rPr>
          <w:color w:val="000000" w:themeColor="text1"/>
        </w:rPr>
        <w:t>December 2017</w:t>
      </w:r>
      <w:r w:rsidRPr="00EF7BE5">
        <w:rPr>
          <w:color w:val="000000" w:themeColor="text1"/>
        </w:rPr>
        <w:t>.</w:t>
      </w:r>
    </w:p>
  </w:footnote>
  <w:footnote w:id="9">
    <w:p w14:paraId="1245A040" w14:textId="26854457" w:rsidR="00A4433A" w:rsidRPr="001C7658" w:rsidRDefault="00A4433A" w:rsidP="006D44BD">
      <w:pPr>
        <w:rPr>
          <w:sz w:val="20"/>
          <w:szCs w:val="20"/>
        </w:rPr>
      </w:pPr>
      <w:r w:rsidRPr="00021317">
        <w:rPr>
          <w:rStyle w:val="FootnoteReference"/>
          <w:vertAlign w:val="superscript"/>
        </w:rPr>
        <w:footnoteRef/>
      </w:r>
      <w:r w:rsidRPr="008B56B7">
        <w:rPr>
          <w:sz w:val="20"/>
          <w:szCs w:val="20"/>
        </w:rPr>
        <w:t>80</w:t>
      </w:r>
      <w:r w:rsidRPr="001C7658">
        <w:t xml:space="preserve"> hrs/facility is further broken out to </w:t>
      </w:r>
      <w:r w:rsidRPr="008B56B7">
        <w:rPr>
          <w:sz w:val="20"/>
          <w:szCs w:val="20"/>
        </w:rPr>
        <w:t>48</w:t>
      </w:r>
      <w:r w:rsidRPr="001C7658">
        <w:t xml:space="preserve"> hours for reporting (</w:t>
      </w:r>
      <w:r>
        <w:rPr>
          <w:sz w:val="20"/>
          <w:szCs w:val="20"/>
        </w:rPr>
        <w:t>200,322</w:t>
      </w:r>
      <w:r w:rsidRPr="008B56B7">
        <w:t xml:space="preserve"> </w:t>
      </w:r>
      <w:r w:rsidRPr="001C7658">
        <w:t>reporting burden hours/</w:t>
      </w:r>
      <w:r w:rsidRPr="008B56B7">
        <w:rPr>
          <w:sz w:val="20"/>
          <w:szCs w:val="20"/>
        </w:rPr>
        <w:t>4,</w:t>
      </w:r>
      <w:r>
        <w:rPr>
          <w:sz w:val="20"/>
          <w:szCs w:val="20"/>
        </w:rPr>
        <w:t>192</w:t>
      </w:r>
      <w:r w:rsidRPr="008B56B7">
        <w:t xml:space="preserve"> </w:t>
      </w:r>
      <w:r w:rsidRPr="001C7658">
        <w:t xml:space="preserve">affected facilities) and </w:t>
      </w:r>
      <w:r w:rsidRPr="008B56B7">
        <w:rPr>
          <w:sz w:val="20"/>
          <w:szCs w:val="20"/>
        </w:rPr>
        <w:t>32</w:t>
      </w:r>
      <w:r w:rsidRPr="001C7658">
        <w:t xml:space="preserve"> hours for record keeping (</w:t>
      </w:r>
      <w:r>
        <w:rPr>
          <w:sz w:val="20"/>
          <w:szCs w:val="20"/>
        </w:rPr>
        <w:t>134,151</w:t>
      </w:r>
      <w:r w:rsidRPr="008B56B7">
        <w:t xml:space="preserve"> </w:t>
      </w:r>
      <w:r w:rsidRPr="001C7658">
        <w:t>record keeping hours/</w:t>
      </w:r>
      <w:r>
        <w:rPr>
          <w:sz w:val="20"/>
          <w:szCs w:val="20"/>
        </w:rPr>
        <w:t>4,192</w:t>
      </w:r>
      <w:r w:rsidRPr="001C7658">
        <w:t xml:space="preserve"> affected facilities)</w:t>
      </w:r>
    </w:p>
  </w:footnote>
  <w:footnote w:id="10">
    <w:p w14:paraId="142166C2" w14:textId="4F5407B7" w:rsidR="00A4433A" w:rsidRPr="006D44BD" w:rsidRDefault="00A4433A" w:rsidP="006D44BD">
      <w:pPr>
        <w:rPr>
          <w:sz w:val="20"/>
          <w:szCs w:val="20"/>
        </w:rPr>
      </w:pPr>
      <w:r w:rsidRPr="001C7658">
        <w:rPr>
          <w:rStyle w:val="FootnoteReference"/>
          <w:vertAlign w:val="superscript"/>
        </w:rPr>
        <w:footnoteRef/>
      </w:r>
      <w:r w:rsidRPr="001C7658">
        <w:rPr>
          <w:vertAlign w:val="superscript"/>
        </w:rPr>
        <w:t xml:space="preserve"> </w:t>
      </w:r>
      <w:r>
        <w:rPr>
          <w:sz w:val="20"/>
          <w:szCs w:val="20"/>
        </w:rPr>
        <w:t>6.0</w:t>
      </w:r>
      <w:r w:rsidRPr="008B56B7">
        <w:t xml:space="preserve"> </w:t>
      </w:r>
      <w:r w:rsidRPr="001C7658">
        <w:t xml:space="preserve">hours for reporting and </w:t>
      </w:r>
      <w:r w:rsidRPr="008B56B7">
        <w:rPr>
          <w:sz w:val="20"/>
          <w:szCs w:val="20"/>
        </w:rPr>
        <w:t>4.0</w:t>
      </w:r>
      <w:r w:rsidRPr="008B56B7">
        <w:t xml:space="preserve"> </w:t>
      </w:r>
      <w:r w:rsidRPr="001C7658">
        <w:t>for record keeping.</w:t>
      </w:r>
    </w:p>
  </w:footnote>
  <w:footnote w:id="11">
    <w:p w14:paraId="606FDA18" w14:textId="142FC1F2" w:rsidR="00A4433A" w:rsidRPr="00D96E37" w:rsidRDefault="00A4433A" w:rsidP="00D96E37">
      <w:pPr>
        <w:rPr>
          <w:color w:val="92D050"/>
          <w:sz w:val="20"/>
          <w:szCs w:val="20"/>
        </w:rPr>
      </w:pPr>
      <w:r w:rsidRPr="00D96E37">
        <w:rPr>
          <w:rStyle w:val="FootnoteReference"/>
          <w:color w:val="92D050"/>
          <w:sz w:val="20"/>
          <w:vertAlign w:val="superscript"/>
        </w:rPr>
        <w:footnoteRef/>
      </w:r>
      <w:r w:rsidRPr="00D96E37">
        <w:rPr>
          <w:sz w:val="20"/>
          <w:vertAlign w:val="superscript"/>
        </w:rPr>
        <w:t xml:space="preserve"> </w:t>
      </w:r>
      <w:r w:rsidRPr="008B56B7">
        <w:rPr>
          <w:color w:val="92D050"/>
          <w:sz w:val="20"/>
          <w:szCs w:val="20"/>
        </w:rPr>
        <w:t xml:space="preserve">80 </w:t>
      </w:r>
      <w:r w:rsidRPr="008B56B7">
        <w:rPr>
          <w:color w:val="92D050"/>
        </w:rPr>
        <w:t xml:space="preserve">hrs/facility is further broken out to </w:t>
      </w:r>
      <w:r w:rsidRPr="008B56B7">
        <w:rPr>
          <w:color w:val="92D050"/>
          <w:sz w:val="20"/>
          <w:szCs w:val="20"/>
        </w:rPr>
        <w:t xml:space="preserve">48 </w:t>
      </w:r>
      <w:r w:rsidRPr="008B56B7">
        <w:rPr>
          <w:color w:val="92D050"/>
        </w:rPr>
        <w:t>hours for reporting (</w:t>
      </w:r>
      <w:r>
        <w:rPr>
          <w:color w:val="92D050"/>
          <w:sz w:val="20"/>
          <w:szCs w:val="20"/>
        </w:rPr>
        <w:t>200,263</w:t>
      </w:r>
      <w:r w:rsidRPr="008B56B7">
        <w:rPr>
          <w:color w:val="92D050"/>
          <w:sz w:val="20"/>
          <w:szCs w:val="20"/>
        </w:rPr>
        <w:t xml:space="preserve"> </w:t>
      </w:r>
      <w:r w:rsidRPr="008B56B7">
        <w:rPr>
          <w:color w:val="92D050"/>
        </w:rPr>
        <w:t>reporting burden hours/</w:t>
      </w:r>
      <w:r>
        <w:rPr>
          <w:color w:val="92D050"/>
          <w:sz w:val="20"/>
          <w:szCs w:val="20"/>
        </w:rPr>
        <w:t>4,192</w:t>
      </w:r>
      <w:r w:rsidRPr="008B56B7">
        <w:rPr>
          <w:color w:val="92D050"/>
          <w:sz w:val="20"/>
          <w:szCs w:val="20"/>
        </w:rPr>
        <w:t xml:space="preserve"> </w:t>
      </w:r>
      <w:r w:rsidRPr="008B56B7">
        <w:rPr>
          <w:color w:val="92D050"/>
        </w:rPr>
        <w:t xml:space="preserve">affected facilities) and </w:t>
      </w:r>
      <w:r w:rsidRPr="008B56B7">
        <w:rPr>
          <w:color w:val="92D050"/>
          <w:sz w:val="20"/>
          <w:szCs w:val="20"/>
        </w:rPr>
        <w:t>32</w:t>
      </w:r>
      <w:r w:rsidRPr="008B56B7">
        <w:rPr>
          <w:color w:val="92D050"/>
        </w:rPr>
        <w:t xml:space="preserve"> hours for record keeping (</w:t>
      </w:r>
      <w:r>
        <w:rPr>
          <w:color w:val="92D050"/>
          <w:sz w:val="20"/>
          <w:szCs w:val="20"/>
        </w:rPr>
        <w:t>134,151</w:t>
      </w:r>
      <w:r w:rsidRPr="008B56B7">
        <w:rPr>
          <w:color w:val="92D050"/>
          <w:sz w:val="20"/>
          <w:szCs w:val="20"/>
        </w:rPr>
        <w:t xml:space="preserve"> </w:t>
      </w:r>
      <w:r w:rsidRPr="008B56B7">
        <w:rPr>
          <w:color w:val="92D050"/>
        </w:rPr>
        <w:t>record keeping hours/</w:t>
      </w:r>
      <w:r>
        <w:rPr>
          <w:color w:val="92D050"/>
          <w:sz w:val="20"/>
          <w:szCs w:val="20"/>
        </w:rPr>
        <w:t xml:space="preserve">4,192 </w:t>
      </w:r>
      <w:r w:rsidRPr="008B56B7">
        <w:rPr>
          <w:color w:val="92D050"/>
        </w:rPr>
        <w:t>affected facilities).</w:t>
      </w:r>
    </w:p>
  </w:footnote>
  <w:footnote w:id="12">
    <w:p w14:paraId="3E0EBEB5" w14:textId="1D37E850" w:rsidR="00A4433A" w:rsidRPr="00D96E37" w:rsidRDefault="00A4433A" w:rsidP="00D96E37">
      <w:pPr>
        <w:rPr>
          <w:color w:val="99CC00"/>
          <w:sz w:val="20"/>
          <w:szCs w:val="20"/>
        </w:rPr>
      </w:pPr>
      <w:r w:rsidRPr="001C7658">
        <w:rPr>
          <w:rStyle w:val="FootnoteReference"/>
          <w:color w:val="92D050"/>
          <w:sz w:val="20"/>
          <w:vertAlign w:val="superscript"/>
        </w:rPr>
        <w:footnoteRef/>
      </w:r>
      <w:r w:rsidRPr="004B067B">
        <w:rPr>
          <w:color w:val="92D050"/>
        </w:rPr>
        <w:t xml:space="preserve"> </w:t>
      </w:r>
      <w:r>
        <w:rPr>
          <w:color w:val="92D050"/>
          <w:sz w:val="20"/>
          <w:szCs w:val="20"/>
        </w:rPr>
        <w:t>6.0</w:t>
      </w:r>
      <w:r w:rsidRPr="004B067B">
        <w:rPr>
          <w:color w:val="92D050"/>
        </w:rPr>
        <w:t xml:space="preserve"> hours for reporting and </w:t>
      </w:r>
      <w:r w:rsidRPr="004B067B">
        <w:rPr>
          <w:color w:val="92D050"/>
          <w:sz w:val="20"/>
          <w:szCs w:val="20"/>
        </w:rPr>
        <w:t>4.0</w:t>
      </w:r>
      <w:r w:rsidRPr="004B067B">
        <w:rPr>
          <w:color w:val="92D050"/>
        </w:rPr>
        <w:t xml:space="preserve"> for record keeping.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DD53D" w14:textId="14E28F49" w:rsidR="00A4433A" w:rsidRPr="005F1213" w:rsidRDefault="00A4433A" w:rsidP="00C32344">
    <w:pPr>
      <w:pStyle w:val="Header"/>
      <w:jc w:val="right"/>
    </w:pPr>
    <w:r w:rsidRPr="00E013B9">
      <w:t>EPA-HQ-SFUND-20</w:t>
    </w:r>
    <w:r>
      <w:t>15</w:t>
    </w:r>
    <w:r w:rsidRPr="00E013B9">
      <w:t>-0</w:t>
    </w:r>
    <w:r>
      <w:t>100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2DCEB280"/>
    <w:lvl w:ilvl="0">
      <w:start w:val="1"/>
      <w:numFmt w:val="bullet"/>
      <w:lvlText w:val=""/>
      <w:lvlJc w:val="left"/>
      <w:pPr>
        <w:tabs>
          <w:tab w:val="num" w:pos="1440"/>
        </w:tabs>
        <w:ind w:left="1440" w:hanging="720"/>
      </w:pPr>
      <w:rPr>
        <w:rFonts w:ascii="Symbol" w:hAnsi="Symbol" w:hint="default"/>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1A4CD0"/>
    <w:multiLevelType w:val="hybridMultilevel"/>
    <w:tmpl w:val="3DBCB7AE"/>
    <w:lvl w:ilvl="0" w:tplc="BAD643EC">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0B5AEA"/>
    <w:multiLevelType w:val="multilevel"/>
    <w:tmpl w:val="572E051E"/>
    <w:lvl w:ilvl="0">
      <w:start w:val="2"/>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upp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DBB669F"/>
    <w:multiLevelType w:val="multilevel"/>
    <w:tmpl w:val="217ACAA2"/>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13247151"/>
    <w:multiLevelType w:val="multilevel"/>
    <w:tmpl w:val="80141224"/>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17177AB0"/>
    <w:multiLevelType w:val="hybridMultilevel"/>
    <w:tmpl w:val="A6D6D54C"/>
    <w:lvl w:ilvl="0" w:tplc="47B2009A">
      <w:start w:val="1"/>
      <w:numFmt w:val="lowerRoman"/>
      <w:lvlText w:val="%1."/>
      <w:lvlJc w:val="right"/>
      <w:pPr>
        <w:tabs>
          <w:tab w:val="num" w:pos="1800"/>
        </w:tabs>
        <w:ind w:left="1800" w:hanging="18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nsid w:val="18942A84"/>
    <w:multiLevelType w:val="multilevel"/>
    <w:tmpl w:val="A2F62D42"/>
    <w:lvl w:ilvl="0">
      <w:start w:val="1"/>
      <w:numFmt w:val="decimal"/>
      <w:lvlText w:val="%1)"/>
      <w:lvlJc w:val="right"/>
      <w:pPr>
        <w:tabs>
          <w:tab w:val="num" w:pos="1800"/>
        </w:tabs>
        <w:ind w:left="1800" w:hanging="18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7">
    <w:nsid w:val="1BBA68EE"/>
    <w:multiLevelType w:val="hybridMultilevel"/>
    <w:tmpl w:val="572E051E"/>
    <w:lvl w:ilvl="0" w:tplc="47527FB6">
      <w:start w:val="2"/>
      <w:numFmt w:val="upperRoman"/>
      <w:lvlText w:val="%1."/>
      <w:lvlJc w:val="left"/>
      <w:pPr>
        <w:tabs>
          <w:tab w:val="num" w:pos="1080"/>
        </w:tabs>
        <w:ind w:left="1080" w:hanging="720"/>
      </w:pPr>
      <w:rPr>
        <w:rFonts w:hint="default"/>
      </w:rPr>
    </w:lvl>
    <w:lvl w:ilvl="1" w:tplc="0409000F">
      <w:start w:val="1"/>
      <w:numFmt w:val="decimal"/>
      <w:lvlText w:val="%2."/>
      <w:lvlJc w:val="left"/>
      <w:pPr>
        <w:tabs>
          <w:tab w:val="num" w:pos="1440"/>
        </w:tabs>
        <w:ind w:left="1440" w:hanging="360"/>
      </w:pPr>
      <w:rPr>
        <w:rFonts w:hint="default"/>
      </w:rPr>
    </w:lvl>
    <w:lvl w:ilvl="2" w:tplc="B33C75B8">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345337"/>
    <w:multiLevelType w:val="multilevel"/>
    <w:tmpl w:val="5A586DE6"/>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9">
    <w:nsid w:val="2B2E392E"/>
    <w:multiLevelType w:val="multilevel"/>
    <w:tmpl w:val="1B142E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DE264CA"/>
    <w:multiLevelType w:val="multilevel"/>
    <w:tmpl w:val="9CE21624"/>
    <w:lvl w:ilvl="0">
      <w:start w:val="1"/>
      <w:numFmt w:val="none"/>
      <w:lvlText w:val="7a."/>
      <w:lvlJc w:val="left"/>
      <w:pPr>
        <w:tabs>
          <w:tab w:val="num" w:pos="1080"/>
        </w:tabs>
        <w:ind w:left="1080" w:hanging="720"/>
      </w:pPr>
      <w:rPr>
        <w:rFonts w:ascii="Times New Roman" w:hAnsi="Times New Roman" w:hint="default"/>
        <w:b w:val="0"/>
        <w:i w:val="0"/>
        <w:color w:val="33CC33"/>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047518A"/>
    <w:multiLevelType w:val="multilevel"/>
    <w:tmpl w:val="3DBCB7AE"/>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3050DAE"/>
    <w:multiLevelType w:val="multilevel"/>
    <w:tmpl w:val="47026720"/>
    <w:lvl w:ilvl="0">
      <w:start w:val="1"/>
      <w:numFmt w:val="decimal"/>
      <w:pStyle w:val="Heading1"/>
      <w:lvlText w:val="%1."/>
      <w:lvlJc w:val="left"/>
      <w:pPr>
        <w:tabs>
          <w:tab w:val="num" w:pos="360"/>
        </w:tabs>
        <w:ind w:left="360" w:hanging="360"/>
      </w:pPr>
      <w:rPr>
        <w:rFonts w:hint="default"/>
      </w:rPr>
    </w:lvl>
    <w:lvl w:ilvl="1">
      <w:start w:val="1"/>
      <w:numFmt w:val="lowerLetter"/>
      <w:pStyle w:val="Heading2"/>
      <w:lvlText w:val="%1%2."/>
      <w:lvlJc w:val="left"/>
      <w:pPr>
        <w:tabs>
          <w:tab w:val="num" w:pos="1080"/>
        </w:tabs>
        <w:ind w:left="10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Heading4"/>
      <w:lvlText w:val="%4)"/>
      <w:lvlJc w:val="left"/>
      <w:pPr>
        <w:tabs>
          <w:tab w:val="num" w:pos="2520"/>
        </w:tabs>
        <w:ind w:left="2160" w:firstLine="0"/>
      </w:pPr>
      <w:rPr>
        <w:rFonts w:ascii="Times New Roman" w:hAnsi="Times New Roman" w:hint="default"/>
        <w:b w:val="0"/>
        <w:i w:val="0"/>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nsid w:val="346C4386"/>
    <w:multiLevelType w:val="multilevel"/>
    <w:tmpl w:val="131EA9E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AD9592F"/>
    <w:multiLevelType w:val="multilevel"/>
    <w:tmpl w:val="4DC61438"/>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5">
    <w:nsid w:val="4A166B08"/>
    <w:multiLevelType w:val="multilevel"/>
    <w:tmpl w:val="D6C03568"/>
    <w:lvl w:ilvl="0">
      <w:start w:val="1"/>
      <w:numFmt w:val="decimal"/>
      <w:lvlText w:val="%1."/>
      <w:lvlJc w:val="left"/>
      <w:pPr>
        <w:tabs>
          <w:tab w:val="num" w:pos="360"/>
        </w:tabs>
        <w:ind w:left="0" w:firstLine="0"/>
      </w:pPr>
      <w:rPr>
        <w:rFonts w:hint="default"/>
      </w:rPr>
    </w:lvl>
    <w:lvl w:ilvl="1">
      <w:start w:val="1"/>
      <w:numFmt w:val="lowerLetter"/>
      <w:lvlText w:val="%1%2."/>
      <w:lvlJc w:val="left"/>
      <w:pPr>
        <w:tabs>
          <w:tab w:val="num" w:pos="1080"/>
        </w:tabs>
        <w:ind w:left="720" w:firstLine="0"/>
      </w:pPr>
      <w:rPr>
        <w:rFonts w:hint="default"/>
      </w:rPr>
    </w:lvl>
    <w:lvl w:ilvl="2">
      <w:start w:val="1"/>
      <w:numFmt w:val="lowerRoman"/>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nsid w:val="4ABC5FF2"/>
    <w:multiLevelType w:val="multilevel"/>
    <w:tmpl w:val="524E006C"/>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108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7">
    <w:nsid w:val="4ACF2107"/>
    <w:multiLevelType w:val="multilevel"/>
    <w:tmpl w:val="78ACEE5A"/>
    <w:lvl w:ilvl="0">
      <w:start w:val="1"/>
      <w:numFmt w:val="decimal"/>
      <w:lvlText w:val="%1."/>
      <w:lvlJc w:val="left"/>
      <w:pPr>
        <w:tabs>
          <w:tab w:val="num" w:pos="360"/>
        </w:tabs>
        <w:ind w:left="72" w:hanging="72"/>
      </w:pPr>
      <w:rPr>
        <w:rFonts w:hint="default"/>
      </w:rPr>
    </w:lvl>
    <w:lvl w:ilvl="1">
      <w:start w:val="1"/>
      <w:numFmt w:val="lowerLetter"/>
      <w:lvlText w:val="%1%2."/>
      <w:lvlJc w:val="left"/>
      <w:pPr>
        <w:tabs>
          <w:tab w:val="num" w:pos="1080"/>
        </w:tabs>
        <w:ind w:left="792" w:hanging="72"/>
      </w:pPr>
      <w:rPr>
        <w:rFonts w:hint="default"/>
      </w:rPr>
    </w:lvl>
    <w:lvl w:ilvl="2">
      <w:start w:val="1"/>
      <w:numFmt w:val="lowerRoman"/>
      <w:lvlText w:val="%3."/>
      <w:lvlJc w:val="left"/>
      <w:pPr>
        <w:tabs>
          <w:tab w:val="num" w:pos="1800"/>
        </w:tabs>
        <w:ind w:left="1512" w:hanging="72"/>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4CF77584"/>
    <w:multiLevelType w:val="multilevel"/>
    <w:tmpl w:val="4DC61438"/>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nsid w:val="4DD9450E"/>
    <w:multiLevelType w:val="multilevel"/>
    <w:tmpl w:val="82BCFD50"/>
    <w:lvl w:ilvl="0">
      <w:start w:val="2"/>
      <w:numFmt w:val="lowerRoman"/>
      <w:lvlRestart w:val="0"/>
      <w:lvlText w:val="(%1)"/>
      <w:lvlJc w:val="left"/>
      <w:pPr>
        <w:tabs>
          <w:tab w:val="num" w:pos="1440"/>
        </w:tabs>
        <w:ind w:left="1440" w:hanging="720"/>
      </w:pPr>
      <w:rPr>
        <w:rFonts w:ascii="Times New Roman" w:hAnsi="Times New Roman" w:cs="Times New Roman"/>
        <w:sz w:val="24"/>
      </w:rPr>
    </w:lvl>
    <w:lvl w:ilvl="1">
      <w:start w:val="1"/>
      <w:numFmt w:val="lowerRoman"/>
      <w:lvlText w:val="%2"/>
      <w:lvlJc w:val="left"/>
      <w:pPr>
        <w:ind w:left="720" w:hanging="360"/>
      </w:pPr>
    </w:lvl>
    <w:lvl w:ilvl="2">
      <w:start w:val="1"/>
      <w:numFmt w:val="lowerRoman"/>
      <w:lvlText w:val="%3"/>
      <w:lvlJc w:val="left"/>
      <w:pPr>
        <w:ind w:left="1080" w:hanging="360"/>
      </w:pPr>
    </w:lvl>
    <w:lvl w:ilvl="3">
      <w:start w:val="1"/>
      <w:numFmt w:val="lowerRoman"/>
      <w:lvlText w:val="%4"/>
      <w:lvlJc w:val="left"/>
      <w:pPr>
        <w:ind w:left="1440" w:hanging="360"/>
      </w:pPr>
    </w:lvl>
    <w:lvl w:ilvl="4">
      <w:start w:val="1"/>
      <w:numFmt w:val="lowerRoman"/>
      <w:lvlText w:val="%5"/>
      <w:lvlJc w:val="left"/>
      <w:pPr>
        <w:ind w:left="1800" w:hanging="360"/>
      </w:pPr>
    </w:lvl>
    <w:lvl w:ilvl="5">
      <w:start w:val="1"/>
      <w:numFmt w:val="lowerRoman"/>
      <w:lvlText w:val="%6"/>
      <w:lvlJc w:val="left"/>
      <w:pPr>
        <w:ind w:left="2160" w:hanging="360"/>
      </w:pPr>
    </w:lvl>
    <w:lvl w:ilvl="6">
      <w:start w:val="1"/>
      <w:numFmt w:val="lowerRoman"/>
      <w:lvlText w:val="%7"/>
      <w:lvlJc w:val="left"/>
      <w:pPr>
        <w:ind w:left="2520" w:hanging="360"/>
      </w:pPr>
    </w:lvl>
    <w:lvl w:ilvl="7">
      <w:start w:val="1"/>
      <w:numFmt w:val="lowerRoman"/>
      <w:lvlText w:val="%8"/>
      <w:lvlJc w:val="left"/>
      <w:pPr>
        <w:ind w:left="2880" w:hanging="360"/>
      </w:pPr>
    </w:lvl>
    <w:lvl w:ilvl="8">
      <w:start w:val="1"/>
      <w:numFmt w:val="lowerRoman"/>
      <w:lvlText w:val="%9."/>
      <w:lvlJc w:val="left"/>
      <w:pPr>
        <w:tabs>
          <w:tab w:val="num" w:pos="3240"/>
        </w:tabs>
        <w:ind w:left="3240" w:hanging="360"/>
      </w:pPr>
    </w:lvl>
  </w:abstractNum>
  <w:abstractNum w:abstractNumId="20">
    <w:nsid w:val="52C402A4"/>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nsid w:val="5318084E"/>
    <w:multiLevelType w:val="hybridMultilevel"/>
    <w:tmpl w:val="A2F62D42"/>
    <w:lvl w:ilvl="0" w:tplc="8A2ADCDE">
      <w:start w:val="1"/>
      <w:numFmt w:val="decimal"/>
      <w:lvlText w:val="%1)"/>
      <w:lvlJc w:val="right"/>
      <w:pPr>
        <w:tabs>
          <w:tab w:val="num" w:pos="1800"/>
        </w:tabs>
        <w:ind w:left="1800" w:hanging="18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nsid w:val="54406F55"/>
    <w:multiLevelType w:val="multilevel"/>
    <w:tmpl w:val="1908AEFE"/>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72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3">
    <w:nsid w:val="54BA2E47"/>
    <w:multiLevelType w:val="hybridMultilevel"/>
    <w:tmpl w:val="398073B4"/>
    <w:lvl w:ilvl="0" w:tplc="47B2009A">
      <w:start w:val="1"/>
      <w:numFmt w:val="lowerRoman"/>
      <w:lvlText w:val="%1."/>
      <w:lvlJc w:val="right"/>
      <w:pPr>
        <w:tabs>
          <w:tab w:val="num" w:pos="2160"/>
        </w:tabs>
        <w:ind w:left="2160" w:hanging="1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5490672"/>
    <w:multiLevelType w:val="multilevel"/>
    <w:tmpl w:val="2DCEB280"/>
    <w:lvl w:ilvl="0">
      <w:start w:val="1"/>
      <w:numFmt w:val="bullet"/>
      <w:lvlText w:val=""/>
      <w:lvlJc w:val="left"/>
      <w:pPr>
        <w:tabs>
          <w:tab w:val="num" w:pos="1440"/>
        </w:tabs>
        <w:ind w:left="1440" w:hanging="720"/>
      </w:pPr>
      <w:rPr>
        <w:rFonts w:ascii="Symbol" w:hAnsi="Symbol" w:hint="default"/>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nsid w:val="57842C7F"/>
    <w:multiLevelType w:val="multilevel"/>
    <w:tmpl w:val="62A6F878"/>
    <w:lvl w:ilvl="0">
      <w:start w:val="1"/>
      <w:numFmt w:val="decimal"/>
      <w:lvlRestart w:val="0"/>
      <w:pStyle w:val="Level1"/>
      <w:lvlText w:val="(%1)"/>
      <w:lvlJc w:val="left"/>
      <w:pPr>
        <w:tabs>
          <w:tab w:val="num" w:pos="2160"/>
        </w:tabs>
        <w:ind w:left="2160" w:hanging="720"/>
      </w:pPr>
      <w:rPr>
        <w:rFonts w:ascii="Times New Roman" w:hAnsi="Times New Roman" w:cs="Times New Roman" w:hint="default"/>
        <w:sz w:val="24"/>
      </w:rPr>
    </w:lvl>
    <w:lvl w:ilvl="1">
      <w:start w:val="1"/>
      <w:numFmt w:val="lowerRoman"/>
      <w:lvlText w:val="%2"/>
      <w:lvlJc w:val="left"/>
      <w:pPr>
        <w:tabs>
          <w:tab w:val="num" w:pos="-3780"/>
        </w:tabs>
        <w:ind w:left="-3060" w:hanging="360"/>
      </w:pPr>
      <w:rPr>
        <w:rFonts w:hint="default"/>
      </w:rPr>
    </w:lvl>
    <w:lvl w:ilvl="2">
      <w:start w:val="1"/>
      <w:numFmt w:val="lowerRoman"/>
      <w:lvlText w:val="%3"/>
      <w:lvlJc w:val="left"/>
      <w:pPr>
        <w:tabs>
          <w:tab w:val="num" w:pos="-3780"/>
        </w:tabs>
        <w:ind w:left="-2700" w:hanging="360"/>
      </w:pPr>
      <w:rPr>
        <w:rFonts w:hint="default"/>
      </w:rPr>
    </w:lvl>
    <w:lvl w:ilvl="3">
      <w:start w:val="1"/>
      <w:numFmt w:val="lowerRoman"/>
      <w:lvlText w:val="%4"/>
      <w:lvlJc w:val="left"/>
      <w:pPr>
        <w:tabs>
          <w:tab w:val="num" w:pos="-3780"/>
        </w:tabs>
        <w:ind w:left="-2340" w:hanging="360"/>
      </w:pPr>
      <w:rPr>
        <w:rFonts w:hint="default"/>
      </w:rPr>
    </w:lvl>
    <w:lvl w:ilvl="4">
      <w:start w:val="1"/>
      <w:numFmt w:val="lowerRoman"/>
      <w:lvlText w:val="%5"/>
      <w:lvlJc w:val="left"/>
      <w:pPr>
        <w:tabs>
          <w:tab w:val="num" w:pos="-3780"/>
        </w:tabs>
        <w:ind w:left="-1980" w:hanging="360"/>
      </w:pPr>
      <w:rPr>
        <w:rFonts w:hint="default"/>
      </w:rPr>
    </w:lvl>
    <w:lvl w:ilvl="5">
      <w:start w:val="1"/>
      <w:numFmt w:val="lowerRoman"/>
      <w:lvlText w:val="%6"/>
      <w:lvlJc w:val="left"/>
      <w:pPr>
        <w:tabs>
          <w:tab w:val="num" w:pos="-3780"/>
        </w:tabs>
        <w:ind w:left="-1620" w:hanging="360"/>
      </w:pPr>
      <w:rPr>
        <w:rFonts w:hint="default"/>
      </w:rPr>
    </w:lvl>
    <w:lvl w:ilvl="6">
      <w:start w:val="1"/>
      <w:numFmt w:val="lowerRoman"/>
      <w:lvlText w:val="%7"/>
      <w:lvlJc w:val="left"/>
      <w:pPr>
        <w:tabs>
          <w:tab w:val="num" w:pos="-3780"/>
        </w:tabs>
        <w:ind w:left="-1260" w:hanging="360"/>
      </w:pPr>
      <w:rPr>
        <w:rFonts w:hint="default"/>
      </w:rPr>
    </w:lvl>
    <w:lvl w:ilvl="7">
      <w:start w:val="1"/>
      <w:numFmt w:val="lowerRoman"/>
      <w:lvlText w:val="%8"/>
      <w:lvlJc w:val="left"/>
      <w:pPr>
        <w:tabs>
          <w:tab w:val="num" w:pos="-3780"/>
        </w:tabs>
        <w:ind w:left="-900" w:hanging="360"/>
      </w:pPr>
      <w:rPr>
        <w:rFonts w:hint="default"/>
      </w:rPr>
    </w:lvl>
    <w:lvl w:ilvl="8">
      <w:start w:val="1"/>
      <w:numFmt w:val="lowerRoman"/>
      <w:lvlText w:val="%9."/>
      <w:lvlJc w:val="left"/>
      <w:pPr>
        <w:tabs>
          <w:tab w:val="num" w:pos="-540"/>
        </w:tabs>
        <w:ind w:left="-540" w:hanging="360"/>
      </w:pPr>
      <w:rPr>
        <w:rFonts w:hint="default"/>
      </w:rPr>
    </w:lvl>
  </w:abstractNum>
  <w:abstractNum w:abstractNumId="26">
    <w:nsid w:val="57AF22BE"/>
    <w:multiLevelType w:val="hybridMultilevel"/>
    <w:tmpl w:val="1F4281C8"/>
    <w:lvl w:ilvl="0" w:tplc="5E4C1822">
      <w:start w:val="1"/>
      <w:numFmt w:val="decimal"/>
      <w:lvlText w:val="(%1)"/>
      <w:lvlJc w:val="right"/>
      <w:pPr>
        <w:tabs>
          <w:tab w:val="num" w:pos="1260"/>
        </w:tabs>
        <w:ind w:left="1260" w:hanging="1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5D3758E5"/>
    <w:multiLevelType w:val="hybridMultilevel"/>
    <w:tmpl w:val="4DA41A90"/>
    <w:lvl w:ilvl="0" w:tplc="0409000F">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8">
    <w:nsid w:val="5E05288C"/>
    <w:multiLevelType w:val="hybridMultilevel"/>
    <w:tmpl w:val="8AF669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F587EEE"/>
    <w:multiLevelType w:val="multilevel"/>
    <w:tmpl w:val="8CE22ABA"/>
    <w:lvl w:ilvl="0">
      <w:start w:val="1"/>
      <w:numFmt w:val="lowerRoman"/>
      <w:lvlRestart w:val="0"/>
      <w:lvlText w:val="(%1)"/>
      <w:lvlJc w:val="left"/>
      <w:pPr>
        <w:tabs>
          <w:tab w:val="num" w:pos="1440"/>
        </w:tabs>
        <w:ind w:left="1440" w:hanging="720"/>
      </w:pPr>
      <w:rPr>
        <w:rFonts w:ascii="Times New Roman" w:hAnsi="Times New Roman" w:cs="Times New Roman" w:hint="default"/>
        <w:sz w:val="24"/>
      </w:rPr>
    </w:lvl>
    <w:lvl w:ilvl="1">
      <w:start w:val="1"/>
      <w:numFmt w:val="lowerRoman"/>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lowerRoman"/>
      <w:lvlText w:val="%4"/>
      <w:lvlJc w:val="left"/>
      <w:pPr>
        <w:tabs>
          <w:tab w:val="num" w:pos="0"/>
        </w:tabs>
        <w:ind w:left="1440" w:hanging="360"/>
      </w:pPr>
      <w:rPr>
        <w:rFonts w:hint="default"/>
      </w:rPr>
    </w:lvl>
    <w:lvl w:ilvl="4">
      <w:start w:val="1"/>
      <w:numFmt w:val="lowerRoman"/>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lowerRoman"/>
      <w:lvlText w:val="%7"/>
      <w:lvlJc w:val="left"/>
      <w:pPr>
        <w:tabs>
          <w:tab w:val="num" w:pos="0"/>
        </w:tabs>
        <w:ind w:left="2520" w:hanging="360"/>
      </w:pPr>
      <w:rPr>
        <w:rFonts w:hint="default"/>
      </w:rPr>
    </w:lvl>
    <w:lvl w:ilvl="7">
      <w:start w:val="1"/>
      <w:numFmt w:val="lowerRoman"/>
      <w:lvlText w:val="%8"/>
      <w:lvlJc w:val="left"/>
      <w:pPr>
        <w:tabs>
          <w:tab w:val="num" w:pos="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5F812175"/>
    <w:multiLevelType w:val="hybridMultilevel"/>
    <w:tmpl w:val="172C5820"/>
    <w:lvl w:ilvl="0" w:tplc="5A7CD106">
      <w:start w:val="1"/>
      <w:numFmt w:val="none"/>
      <w:lvlText w:val="7a."/>
      <w:lvlJc w:val="left"/>
      <w:pPr>
        <w:tabs>
          <w:tab w:val="num" w:pos="1080"/>
        </w:tabs>
        <w:ind w:left="1080" w:hanging="72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5A22155"/>
    <w:multiLevelType w:val="multilevel"/>
    <w:tmpl w:val="702A6C56"/>
    <w:lvl w:ilvl="0">
      <w:start w:val="1"/>
      <w:numFmt w:val="decimal"/>
      <w:lvlText w:val="%1."/>
      <w:lvlJc w:val="left"/>
      <w:pPr>
        <w:tabs>
          <w:tab w:val="num" w:pos="360"/>
        </w:tabs>
        <w:ind w:left="360" w:hanging="360"/>
      </w:pPr>
      <w:rPr>
        <w:rFonts w:hint="default"/>
      </w:rPr>
    </w:lvl>
    <w:lvl w:ilvl="1">
      <w:start w:val="1"/>
      <w:numFmt w:val="lowerLetter"/>
      <w:lvlText w:val="%1%2."/>
      <w:lvlJc w:val="left"/>
      <w:pPr>
        <w:tabs>
          <w:tab w:val="num" w:pos="1080"/>
        </w:tabs>
        <w:ind w:left="792" w:hanging="72"/>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800"/>
        </w:tabs>
        <w:ind w:left="1512" w:hanging="72"/>
      </w:pPr>
      <w:rPr>
        <w:rFonts w:ascii="Times New Roman" w:hAnsi="Times New Roman"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2">
    <w:nsid w:val="75BF77DB"/>
    <w:multiLevelType w:val="multilevel"/>
    <w:tmpl w:val="A6D6D54C"/>
    <w:lvl w:ilvl="0">
      <w:start w:val="1"/>
      <w:numFmt w:val="lowerRoman"/>
      <w:lvlText w:val="%1."/>
      <w:lvlJc w:val="right"/>
      <w:pPr>
        <w:tabs>
          <w:tab w:val="num" w:pos="1800"/>
        </w:tabs>
        <w:ind w:left="1800" w:hanging="180"/>
      </w:pPr>
      <w:rPr>
        <w:rFonts w:hint="default"/>
      </w:r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abstractNum w:abstractNumId="33">
    <w:nsid w:val="7BAC4F3E"/>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2"/>
  </w:num>
  <w:num w:numId="2">
    <w:abstractNumId w:val="13"/>
  </w:num>
  <w:num w:numId="3">
    <w:abstractNumId w:val="15"/>
  </w:num>
  <w:num w:numId="4">
    <w:abstractNumId w:val="17"/>
  </w:num>
  <w:num w:numId="5">
    <w:abstractNumId w:val="8"/>
  </w:num>
  <w:num w:numId="6">
    <w:abstractNumId w:val="0"/>
  </w:num>
  <w:num w:numId="7">
    <w:abstractNumId w:val="25"/>
  </w:num>
  <w:num w:numId="8">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29"/>
  </w:num>
  <w:num w:numId="12">
    <w:abstractNumId w:val="4"/>
  </w:num>
  <w:num w:numId="13">
    <w:abstractNumId w:val="3"/>
  </w:num>
  <w:num w:numId="14">
    <w:abstractNumId w:val="7"/>
  </w:num>
  <w:num w:numId="15">
    <w:abstractNumId w:val="27"/>
  </w:num>
  <w:num w:numId="16">
    <w:abstractNumId w:val="2"/>
  </w:num>
  <w:num w:numId="17">
    <w:abstractNumId w:val="1"/>
  </w:num>
  <w:num w:numId="18">
    <w:abstractNumId w:val="11"/>
  </w:num>
  <w:num w:numId="19">
    <w:abstractNumId w:val="30"/>
  </w:num>
  <w:num w:numId="20">
    <w:abstractNumId w:val="10"/>
  </w:num>
  <w:num w:numId="21">
    <w:abstractNumId w:val="23"/>
  </w:num>
  <w:num w:numId="22">
    <w:abstractNumId w:val="14"/>
  </w:num>
  <w:num w:numId="23">
    <w:abstractNumId w:val="20"/>
  </w:num>
  <w:num w:numId="24">
    <w:abstractNumId w:val="33"/>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1"/>
  </w:num>
  <w:num w:numId="28">
    <w:abstractNumId w:val="22"/>
  </w:num>
  <w:num w:numId="29">
    <w:abstractNumId w:val="5"/>
  </w:num>
  <w:num w:numId="30">
    <w:abstractNumId w:val="9"/>
  </w:num>
  <w:num w:numId="31">
    <w:abstractNumId w:val="32"/>
  </w:num>
  <w:num w:numId="32">
    <w:abstractNumId w:val="21"/>
  </w:num>
  <w:num w:numId="33">
    <w:abstractNumId w:val="6"/>
  </w:num>
  <w:num w:numId="34">
    <w:abstractNumId w:val="26"/>
  </w:num>
  <w:num w:numId="35">
    <w:abstractNumId w:val="16"/>
  </w:num>
  <w:num w:numId="36">
    <w:abstractNumId w:val="12"/>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344"/>
    <w:rsid w:val="000003F0"/>
    <w:rsid w:val="00005B15"/>
    <w:rsid w:val="000130C6"/>
    <w:rsid w:val="00013D39"/>
    <w:rsid w:val="000163AA"/>
    <w:rsid w:val="00021317"/>
    <w:rsid w:val="00022748"/>
    <w:rsid w:val="000262DD"/>
    <w:rsid w:val="00031BEB"/>
    <w:rsid w:val="00035728"/>
    <w:rsid w:val="00036520"/>
    <w:rsid w:val="00037BB3"/>
    <w:rsid w:val="0004089B"/>
    <w:rsid w:val="000439CB"/>
    <w:rsid w:val="00043C94"/>
    <w:rsid w:val="000446A3"/>
    <w:rsid w:val="00044DB3"/>
    <w:rsid w:val="00045162"/>
    <w:rsid w:val="00045754"/>
    <w:rsid w:val="00046522"/>
    <w:rsid w:val="00054282"/>
    <w:rsid w:val="00054FF5"/>
    <w:rsid w:val="00060474"/>
    <w:rsid w:val="000641E5"/>
    <w:rsid w:val="00064F31"/>
    <w:rsid w:val="00066720"/>
    <w:rsid w:val="0007254E"/>
    <w:rsid w:val="00082C0E"/>
    <w:rsid w:val="0008371A"/>
    <w:rsid w:val="00083AD6"/>
    <w:rsid w:val="00084E48"/>
    <w:rsid w:val="00085F48"/>
    <w:rsid w:val="00087467"/>
    <w:rsid w:val="000A5574"/>
    <w:rsid w:val="000A7982"/>
    <w:rsid w:val="000A7D51"/>
    <w:rsid w:val="000B00BA"/>
    <w:rsid w:val="000B0B58"/>
    <w:rsid w:val="000B0F03"/>
    <w:rsid w:val="000B39B0"/>
    <w:rsid w:val="000B42CD"/>
    <w:rsid w:val="000B44A1"/>
    <w:rsid w:val="000B54D8"/>
    <w:rsid w:val="000C7360"/>
    <w:rsid w:val="000D0EE2"/>
    <w:rsid w:val="000D0FD0"/>
    <w:rsid w:val="000D62CB"/>
    <w:rsid w:val="000D66DC"/>
    <w:rsid w:val="000D719C"/>
    <w:rsid w:val="000E0047"/>
    <w:rsid w:val="000E3FD2"/>
    <w:rsid w:val="000E4B28"/>
    <w:rsid w:val="000E75CD"/>
    <w:rsid w:val="000F2845"/>
    <w:rsid w:val="000F472E"/>
    <w:rsid w:val="001017A5"/>
    <w:rsid w:val="00101C08"/>
    <w:rsid w:val="00105F09"/>
    <w:rsid w:val="00106037"/>
    <w:rsid w:val="00106093"/>
    <w:rsid w:val="00107DBF"/>
    <w:rsid w:val="00117FB6"/>
    <w:rsid w:val="00121DEC"/>
    <w:rsid w:val="001228C3"/>
    <w:rsid w:val="00124336"/>
    <w:rsid w:val="001255EB"/>
    <w:rsid w:val="001271C9"/>
    <w:rsid w:val="00127A8A"/>
    <w:rsid w:val="00131773"/>
    <w:rsid w:val="001358B0"/>
    <w:rsid w:val="00136C4A"/>
    <w:rsid w:val="001429B8"/>
    <w:rsid w:val="00143E34"/>
    <w:rsid w:val="0014466B"/>
    <w:rsid w:val="00146086"/>
    <w:rsid w:val="00150D93"/>
    <w:rsid w:val="0015157D"/>
    <w:rsid w:val="0015339C"/>
    <w:rsid w:val="00153473"/>
    <w:rsid w:val="00153F61"/>
    <w:rsid w:val="00154961"/>
    <w:rsid w:val="001609EF"/>
    <w:rsid w:val="00164DA7"/>
    <w:rsid w:val="001708C2"/>
    <w:rsid w:val="0017121E"/>
    <w:rsid w:val="00173E4E"/>
    <w:rsid w:val="00174704"/>
    <w:rsid w:val="0017595A"/>
    <w:rsid w:val="0017621D"/>
    <w:rsid w:val="00177883"/>
    <w:rsid w:val="0018034F"/>
    <w:rsid w:val="00186825"/>
    <w:rsid w:val="00186ECA"/>
    <w:rsid w:val="001A1380"/>
    <w:rsid w:val="001A2039"/>
    <w:rsid w:val="001A23CC"/>
    <w:rsid w:val="001A7123"/>
    <w:rsid w:val="001B00D4"/>
    <w:rsid w:val="001B04E4"/>
    <w:rsid w:val="001B2D20"/>
    <w:rsid w:val="001B3A54"/>
    <w:rsid w:val="001B4C1A"/>
    <w:rsid w:val="001C4827"/>
    <w:rsid w:val="001C544F"/>
    <w:rsid w:val="001C7658"/>
    <w:rsid w:val="001D26B6"/>
    <w:rsid w:val="001D3043"/>
    <w:rsid w:val="001D3DDB"/>
    <w:rsid w:val="001E06AB"/>
    <w:rsid w:val="001E0E2F"/>
    <w:rsid w:val="001E13D9"/>
    <w:rsid w:val="001E1C6E"/>
    <w:rsid w:val="001E5863"/>
    <w:rsid w:val="001F144A"/>
    <w:rsid w:val="001F1794"/>
    <w:rsid w:val="001F1E44"/>
    <w:rsid w:val="001F44F9"/>
    <w:rsid w:val="001F47E1"/>
    <w:rsid w:val="001F621C"/>
    <w:rsid w:val="00205A9F"/>
    <w:rsid w:val="0021587F"/>
    <w:rsid w:val="002159C9"/>
    <w:rsid w:val="00222C07"/>
    <w:rsid w:val="00225E34"/>
    <w:rsid w:val="00226458"/>
    <w:rsid w:val="00227CD4"/>
    <w:rsid w:val="00230655"/>
    <w:rsid w:val="00232040"/>
    <w:rsid w:val="00232DF2"/>
    <w:rsid w:val="00232E48"/>
    <w:rsid w:val="00237139"/>
    <w:rsid w:val="00243C27"/>
    <w:rsid w:val="00250BA9"/>
    <w:rsid w:val="00252854"/>
    <w:rsid w:val="00253BC1"/>
    <w:rsid w:val="00255258"/>
    <w:rsid w:val="002566CF"/>
    <w:rsid w:val="00261E98"/>
    <w:rsid w:val="002664AA"/>
    <w:rsid w:val="002668FF"/>
    <w:rsid w:val="002674A6"/>
    <w:rsid w:val="00270D49"/>
    <w:rsid w:val="0027211A"/>
    <w:rsid w:val="0027243B"/>
    <w:rsid w:val="00274E55"/>
    <w:rsid w:val="00282DDD"/>
    <w:rsid w:val="00283CF1"/>
    <w:rsid w:val="00290A22"/>
    <w:rsid w:val="00292947"/>
    <w:rsid w:val="00296B65"/>
    <w:rsid w:val="002A3053"/>
    <w:rsid w:val="002A3301"/>
    <w:rsid w:val="002A512E"/>
    <w:rsid w:val="002A5650"/>
    <w:rsid w:val="002B32C5"/>
    <w:rsid w:val="002B5003"/>
    <w:rsid w:val="002C08FE"/>
    <w:rsid w:val="002C3E3E"/>
    <w:rsid w:val="002C4D02"/>
    <w:rsid w:val="002D1B45"/>
    <w:rsid w:val="002D3A7A"/>
    <w:rsid w:val="002D4C8B"/>
    <w:rsid w:val="002D5D9C"/>
    <w:rsid w:val="002D5E4D"/>
    <w:rsid w:val="002E0F3E"/>
    <w:rsid w:val="002E1879"/>
    <w:rsid w:val="002E500A"/>
    <w:rsid w:val="002E5124"/>
    <w:rsid w:val="002E5180"/>
    <w:rsid w:val="002E6F20"/>
    <w:rsid w:val="002F082A"/>
    <w:rsid w:val="002F2A58"/>
    <w:rsid w:val="002F45A5"/>
    <w:rsid w:val="002F4920"/>
    <w:rsid w:val="002F4927"/>
    <w:rsid w:val="002F6339"/>
    <w:rsid w:val="002F66A0"/>
    <w:rsid w:val="002F6FEE"/>
    <w:rsid w:val="003041C0"/>
    <w:rsid w:val="0030561C"/>
    <w:rsid w:val="003056DB"/>
    <w:rsid w:val="00305A08"/>
    <w:rsid w:val="00307D39"/>
    <w:rsid w:val="00312BE0"/>
    <w:rsid w:val="00312DDE"/>
    <w:rsid w:val="003177CD"/>
    <w:rsid w:val="00317F3E"/>
    <w:rsid w:val="00330D96"/>
    <w:rsid w:val="00333116"/>
    <w:rsid w:val="0033319C"/>
    <w:rsid w:val="003411B8"/>
    <w:rsid w:val="00341F3E"/>
    <w:rsid w:val="003435F6"/>
    <w:rsid w:val="0034543A"/>
    <w:rsid w:val="0035097D"/>
    <w:rsid w:val="00351226"/>
    <w:rsid w:val="0035198E"/>
    <w:rsid w:val="0035418B"/>
    <w:rsid w:val="00356110"/>
    <w:rsid w:val="0036102C"/>
    <w:rsid w:val="00366DF2"/>
    <w:rsid w:val="00367509"/>
    <w:rsid w:val="00372E7A"/>
    <w:rsid w:val="00380EB5"/>
    <w:rsid w:val="00381DBB"/>
    <w:rsid w:val="00384265"/>
    <w:rsid w:val="00391204"/>
    <w:rsid w:val="0039779A"/>
    <w:rsid w:val="00397B62"/>
    <w:rsid w:val="003A0C9C"/>
    <w:rsid w:val="003A18B6"/>
    <w:rsid w:val="003A1DB0"/>
    <w:rsid w:val="003A6406"/>
    <w:rsid w:val="003B03CC"/>
    <w:rsid w:val="003B1989"/>
    <w:rsid w:val="003B4368"/>
    <w:rsid w:val="003B462E"/>
    <w:rsid w:val="003B4665"/>
    <w:rsid w:val="003B4B59"/>
    <w:rsid w:val="003B5DFA"/>
    <w:rsid w:val="003C0C19"/>
    <w:rsid w:val="003C1E00"/>
    <w:rsid w:val="003C4648"/>
    <w:rsid w:val="003C6692"/>
    <w:rsid w:val="003C6950"/>
    <w:rsid w:val="003C6EEB"/>
    <w:rsid w:val="003C7877"/>
    <w:rsid w:val="003D21DB"/>
    <w:rsid w:val="003D5F6E"/>
    <w:rsid w:val="003E007E"/>
    <w:rsid w:val="003E04F6"/>
    <w:rsid w:val="003E5160"/>
    <w:rsid w:val="003E5CA5"/>
    <w:rsid w:val="003E5FC9"/>
    <w:rsid w:val="003E6A88"/>
    <w:rsid w:val="003E7127"/>
    <w:rsid w:val="003E7F0C"/>
    <w:rsid w:val="003F572F"/>
    <w:rsid w:val="00405728"/>
    <w:rsid w:val="00410C2F"/>
    <w:rsid w:val="004150C1"/>
    <w:rsid w:val="004203E3"/>
    <w:rsid w:val="00421014"/>
    <w:rsid w:val="004302AE"/>
    <w:rsid w:val="0043421D"/>
    <w:rsid w:val="00434ACA"/>
    <w:rsid w:val="004362FD"/>
    <w:rsid w:val="00436A81"/>
    <w:rsid w:val="004429B8"/>
    <w:rsid w:val="004569C5"/>
    <w:rsid w:val="004631C3"/>
    <w:rsid w:val="00463312"/>
    <w:rsid w:val="004635D4"/>
    <w:rsid w:val="00465B2B"/>
    <w:rsid w:val="00465C83"/>
    <w:rsid w:val="0046707F"/>
    <w:rsid w:val="00471F17"/>
    <w:rsid w:val="004725C6"/>
    <w:rsid w:val="00475FB5"/>
    <w:rsid w:val="00481585"/>
    <w:rsid w:val="004829F6"/>
    <w:rsid w:val="004842A4"/>
    <w:rsid w:val="00486961"/>
    <w:rsid w:val="00487280"/>
    <w:rsid w:val="0049002A"/>
    <w:rsid w:val="00490E36"/>
    <w:rsid w:val="00492FD7"/>
    <w:rsid w:val="00493D32"/>
    <w:rsid w:val="00494025"/>
    <w:rsid w:val="00494CEB"/>
    <w:rsid w:val="004968B0"/>
    <w:rsid w:val="004A1FD9"/>
    <w:rsid w:val="004A2A80"/>
    <w:rsid w:val="004A428A"/>
    <w:rsid w:val="004A68CE"/>
    <w:rsid w:val="004B067B"/>
    <w:rsid w:val="004B0A88"/>
    <w:rsid w:val="004B2D58"/>
    <w:rsid w:val="004B310B"/>
    <w:rsid w:val="004B76F6"/>
    <w:rsid w:val="004C0627"/>
    <w:rsid w:val="004C0CA4"/>
    <w:rsid w:val="004C2E21"/>
    <w:rsid w:val="004C4922"/>
    <w:rsid w:val="004C495F"/>
    <w:rsid w:val="004D2015"/>
    <w:rsid w:val="004D34E2"/>
    <w:rsid w:val="004D3925"/>
    <w:rsid w:val="004D4D33"/>
    <w:rsid w:val="004D4DC9"/>
    <w:rsid w:val="004D60D3"/>
    <w:rsid w:val="004D6EA4"/>
    <w:rsid w:val="004D70AF"/>
    <w:rsid w:val="004E0909"/>
    <w:rsid w:val="004E1142"/>
    <w:rsid w:val="004E192C"/>
    <w:rsid w:val="004E2FF4"/>
    <w:rsid w:val="004E5182"/>
    <w:rsid w:val="004E674D"/>
    <w:rsid w:val="004E693D"/>
    <w:rsid w:val="004F00E2"/>
    <w:rsid w:val="004F1BF2"/>
    <w:rsid w:val="004F3AF9"/>
    <w:rsid w:val="004F5EE4"/>
    <w:rsid w:val="00500B14"/>
    <w:rsid w:val="00500BFF"/>
    <w:rsid w:val="00500D55"/>
    <w:rsid w:val="005019F4"/>
    <w:rsid w:val="00501DDA"/>
    <w:rsid w:val="00503BAB"/>
    <w:rsid w:val="00512E6D"/>
    <w:rsid w:val="0051320F"/>
    <w:rsid w:val="00513A4B"/>
    <w:rsid w:val="0051756D"/>
    <w:rsid w:val="00517FEA"/>
    <w:rsid w:val="005371BE"/>
    <w:rsid w:val="005411DD"/>
    <w:rsid w:val="005425CA"/>
    <w:rsid w:val="00546213"/>
    <w:rsid w:val="00550B22"/>
    <w:rsid w:val="00554C77"/>
    <w:rsid w:val="005564DC"/>
    <w:rsid w:val="00556BAF"/>
    <w:rsid w:val="00557AD6"/>
    <w:rsid w:val="00557C81"/>
    <w:rsid w:val="00560CBD"/>
    <w:rsid w:val="00573CA5"/>
    <w:rsid w:val="00575AF8"/>
    <w:rsid w:val="00576273"/>
    <w:rsid w:val="00580672"/>
    <w:rsid w:val="00584C3C"/>
    <w:rsid w:val="00591434"/>
    <w:rsid w:val="00591DAF"/>
    <w:rsid w:val="0059727D"/>
    <w:rsid w:val="005A4251"/>
    <w:rsid w:val="005A43EF"/>
    <w:rsid w:val="005A6606"/>
    <w:rsid w:val="005A77FF"/>
    <w:rsid w:val="005A7D73"/>
    <w:rsid w:val="005B0049"/>
    <w:rsid w:val="005B2858"/>
    <w:rsid w:val="005C0748"/>
    <w:rsid w:val="005D1274"/>
    <w:rsid w:val="005D16AB"/>
    <w:rsid w:val="005D1F59"/>
    <w:rsid w:val="005D3E54"/>
    <w:rsid w:val="005D69F3"/>
    <w:rsid w:val="005D7CA5"/>
    <w:rsid w:val="005E10E1"/>
    <w:rsid w:val="005E262D"/>
    <w:rsid w:val="005E7C56"/>
    <w:rsid w:val="005F1213"/>
    <w:rsid w:val="005F38CE"/>
    <w:rsid w:val="005F5C29"/>
    <w:rsid w:val="005F5FA9"/>
    <w:rsid w:val="005F7EB4"/>
    <w:rsid w:val="006000F0"/>
    <w:rsid w:val="006049E7"/>
    <w:rsid w:val="006072B8"/>
    <w:rsid w:val="006079B9"/>
    <w:rsid w:val="00623D1A"/>
    <w:rsid w:val="00624695"/>
    <w:rsid w:val="0062752A"/>
    <w:rsid w:val="00630571"/>
    <w:rsid w:val="00631383"/>
    <w:rsid w:val="006331FC"/>
    <w:rsid w:val="00634EC8"/>
    <w:rsid w:val="006357E3"/>
    <w:rsid w:val="006370E1"/>
    <w:rsid w:val="006401EE"/>
    <w:rsid w:val="00644D9A"/>
    <w:rsid w:val="006475D3"/>
    <w:rsid w:val="00653D7F"/>
    <w:rsid w:val="006541CB"/>
    <w:rsid w:val="006549BA"/>
    <w:rsid w:val="00656554"/>
    <w:rsid w:val="00662475"/>
    <w:rsid w:val="0066269A"/>
    <w:rsid w:val="006645AA"/>
    <w:rsid w:val="006646BE"/>
    <w:rsid w:val="00667A1C"/>
    <w:rsid w:val="00670334"/>
    <w:rsid w:val="00671A54"/>
    <w:rsid w:val="00672E76"/>
    <w:rsid w:val="0067594E"/>
    <w:rsid w:val="00676598"/>
    <w:rsid w:val="006766A5"/>
    <w:rsid w:val="00681409"/>
    <w:rsid w:val="00682C03"/>
    <w:rsid w:val="00685431"/>
    <w:rsid w:val="006857A1"/>
    <w:rsid w:val="0069184F"/>
    <w:rsid w:val="0069651F"/>
    <w:rsid w:val="006A58C3"/>
    <w:rsid w:val="006B1F46"/>
    <w:rsid w:val="006B74BF"/>
    <w:rsid w:val="006C078D"/>
    <w:rsid w:val="006C1E46"/>
    <w:rsid w:val="006C57F1"/>
    <w:rsid w:val="006C6C55"/>
    <w:rsid w:val="006D44BD"/>
    <w:rsid w:val="006D4F8E"/>
    <w:rsid w:val="006E2CC6"/>
    <w:rsid w:val="006E4618"/>
    <w:rsid w:val="006F00AB"/>
    <w:rsid w:val="006F089A"/>
    <w:rsid w:val="006F1373"/>
    <w:rsid w:val="006F2B70"/>
    <w:rsid w:val="006F4B4C"/>
    <w:rsid w:val="007010A7"/>
    <w:rsid w:val="007033A2"/>
    <w:rsid w:val="0070491A"/>
    <w:rsid w:val="00706A01"/>
    <w:rsid w:val="007121CF"/>
    <w:rsid w:val="007216B2"/>
    <w:rsid w:val="0072793B"/>
    <w:rsid w:val="00727BA0"/>
    <w:rsid w:val="00731AF2"/>
    <w:rsid w:val="00736778"/>
    <w:rsid w:val="00743821"/>
    <w:rsid w:val="00752C86"/>
    <w:rsid w:val="00754FE0"/>
    <w:rsid w:val="00755212"/>
    <w:rsid w:val="00755C88"/>
    <w:rsid w:val="00766361"/>
    <w:rsid w:val="007701C8"/>
    <w:rsid w:val="007713DE"/>
    <w:rsid w:val="0077189F"/>
    <w:rsid w:val="007737A5"/>
    <w:rsid w:val="007815A1"/>
    <w:rsid w:val="0078171D"/>
    <w:rsid w:val="00781879"/>
    <w:rsid w:val="00783FAF"/>
    <w:rsid w:val="00786693"/>
    <w:rsid w:val="00792E5E"/>
    <w:rsid w:val="007938F5"/>
    <w:rsid w:val="007943E7"/>
    <w:rsid w:val="0079453F"/>
    <w:rsid w:val="007A161A"/>
    <w:rsid w:val="007A2041"/>
    <w:rsid w:val="007A2658"/>
    <w:rsid w:val="007A4310"/>
    <w:rsid w:val="007A63DE"/>
    <w:rsid w:val="007B61CD"/>
    <w:rsid w:val="007B6235"/>
    <w:rsid w:val="007B69BA"/>
    <w:rsid w:val="007C1944"/>
    <w:rsid w:val="007C5232"/>
    <w:rsid w:val="007C58AD"/>
    <w:rsid w:val="007C76F6"/>
    <w:rsid w:val="007C7DA7"/>
    <w:rsid w:val="007D1053"/>
    <w:rsid w:val="007D46AC"/>
    <w:rsid w:val="007D6A37"/>
    <w:rsid w:val="007E3272"/>
    <w:rsid w:val="007E3EBB"/>
    <w:rsid w:val="007E61F9"/>
    <w:rsid w:val="007F0C31"/>
    <w:rsid w:val="007F14E8"/>
    <w:rsid w:val="007F4373"/>
    <w:rsid w:val="007F473A"/>
    <w:rsid w:val="007F4990"/>
    <w:rsid w:val="007F6D3F"/>
    <w:rsid w:val="007F7CCC"/>
    <w:rsid w:val="0080001E"/>
    <w:rsid w:val="008004D8"/>
    <w:rsid w:val="00802272"/>
    <w:rsid w:val="0080299A"/>
    <w:rsid w:val="00802DF3"/>
    <w:rsid w:val="00802E2A"/>
    <w:rsid w:val="00805571"/>
    <w:rsid w:val="008065B5"/>
    <w:rsid w:val="0081587C"/>
    <w:rsid w:val="008159CB"/>
    <w:rsid w:val="00824590"/>
    <w:rsid w:val="008254FB"/>
    <w:rsid w:val="008256C6"/>
    <w:rsid w:val="0082631E"/>
    <w:rsid w:val="00831D9B"/>
    <w:rsid w:val="00832E31"/>
    <w:rsid w:val="00837C7B"/>
    <w:rsid w:val="008413B1"/>
    <w:rsid w:val="00842201"/>
    <w:rsid w:val="00842DCC"/>
    <w:rsid w:val="008439F3"/>
    <w:rsid w:val="00844DC3"/>
    <w:rsid w:val="0084718E"/>
    <w:rsid w:val="00847320"/>
    <w:rsid w:val="00847376"/>
    <w:rsid w:val="008516D5"/>
    <w:rsid w:val="00851C82"/>
    <w:rsid w:val="00854D5F"/>
    <w:rsid w:val="00861DAC"/>
    <w:rsid w:val="00862322"/>
    <w:rsid w:val="008625CB"/>
    <w:rsid w:val="00866B40"/>
    <w:rsid w:val="00872B86"/>
    <w:rsid w:val="008802F1"/>
    <w:rsid w:val="008813A3"/>
    <w:rsid w:val="00887850"/>
    <w:rsid w:val="00887A83"/>
    <w:rsid w:val="0089006A"/>
    <w:rsid w:val="008906D7"/>
    <w:rsid w:val="008911BF"/>
    <w:rsid w:val="00891E7F"/>
    <w:rsid w:val="00894707"/>
    <w:rsid w:val="008949D8"/>
    <w:rsid w:val="0089544E"/>
    <w:rsid w:val="008A0582"/>
    <w:rsid w:val="008A0BD2"/>
    <w:rsid w:val="008A2ED8"/>
    <w:rsid w:val="008A4CCD"/>
    <w:rsid w:val="008A5BB9"/>
    <w:rsid w:val="008A6053"/>
    <w:rsid w:val="008A7553"/>
    <w:rsid w:val="008A7AA7"/>
    <w:rsid w:val="008A7D3A"/>
    <w:rsid w:val="008B1617"/>
    <w:rsid w:val="008B1ED9"/>
    <w:rsid w:val="008B3606"/>
    <w:rsid w:val="008B510E"/>
    <w:rsid w:val="008B56B7"/>
    <w:rsid w:val="008C1E68"/>
    <w:rsid w:val="008C42A9"/>
    <w:rsid w:val="008D0977"/>
    <w:rsid w:val="008D1AFC"/>
    <w:rsid w:val="008D1E04"/>
    <w:rsid w:val="008D295F"/>
    <w:rsid w:val="008D680D"/>
    <w:rsid w:val="008E6C6C"/>
    <w:rsid w:val="008F1D68"/>
    <w:rsid w:val="008F234F"/>
    <w:rsid w:val="008F3529"/>
    <w:rsid w:val="008F62CD"/>
    <w:rsid w:val="009002E0"/>
    <w:rsid w:val="00900CA0"/>
    <w:rsid w:val="00913C33"/>
    <w:rsid w:val="00914196"/>
    <w:rsid w:val="0091648B"/>
    <w:rsid w:val="0093282F"/>
    <w:rsid w:val="00934EC5"/>
    <w:rsid w:val="00936939"/>
    <w:rsid w:val="00940EBF"/>
    <w:rsid w:val="00941F9C"/>
    <w:rsid w:val="00944A4F"/>
    <w:rsid w:val="00946B7B"/>
    <w:rsid w:val="00951D69"/>
    <w:rsid w:val="00952A04"/>
    <w:rsid w:val="00954916"/>
    <w:rsid w:val="00954E35"/>
    <w:rsid w:val="0095573E"/>
    <w:rsid w:val="00955886"/>
    <w:rsid w:val="009601ED"/>
    <w:rsid w:val="009623FF"/>
    <w:rsid w:val="00964404"/>
    <w:rsid w:val="00964CFF"/>
    <w:rsid w:val="00964E16"/>
    <w:rsid w:val="0096759E"/>
    <w:rsid w:val="009676C3"/>
    <w:rsid w:val="009678E1"/>
    <w:rsid w:val="00967B62"/>
    <w:rsid w:val="00970C49"/>
    <w:rsid w:val="00976347"/>
    <w:rsid w:val="00981C4B"/>
    <w:rsid w:val="00984C3B"/>
    <w:rsid w:val="0099500F"/>
    <w:rsid w:val="009974F9"/>
    <w:rsid w:val="00997C30"/>
    <w:rsid w:val="009A1D95"/>
    <w:rsid w:val="009A40E8"/>
    <w:rsid w:val="009A4A18"/>
    <w:rsid w:val="009B6A38"/>
    <w:rsid w:val="009C149A"/>
    <w:rsid w:val="009C19D4"/>
    <w:rsid w:val="009C37BE"/>
    <w:rsid w:val="009C4CB1"/>
    <w:rsid w:val="009C6A0D"/>
    <w:rsid w:val="009C74DB"/>
    <w:rsid w:val="009D3039"/>
    <w:rsid w:val="009D30AC"/>
    <w:rsid w:val="009D31C3"/>
    <w:rsid w:val="009D387F"/>
    <w:rsid w:val="009D3CEE"/>
    <w:rsid w:val="009D48CF"/>
    <w:rsid w:val="009E3737"/>
    <w:rsid w:val="009E4BCA"/>
    <w:rsid w:val="009E55C5"/>
    <w:rsid w:val="009E5C2F"/>
    <w:rsid w:val="009E6F7F"/>
    <w:rsid w:val="009E7D03"/>
    <w:rsid w:val="009F1147"/>
    <w:rsid w:val="009F2EDC"/>
    <w:rsid w:val="009F5E0D"/>
    <w:rsid w:val="009F6208"/>
    <w:rsid w:val="009F7901"/>
    <w:rsid w:val="00A002D0"/>
    <w:rsid w:val="00A00AA0"/>
    <w:rsid w:val="00A00B17"/>
    <w:rsid w:val="00A023C2"/>
    <w:rsid w:val="00A02F6C"/>
    <w:rsid w:val="00A06921"/>
    <w:rsid w:val="00A06FDD"/>
    <w:rsid w:val="00A07317"/>
    <w:rsid w:val="00A10C1F"/>
    <w:rsid w:val="00A122FF"/>
    <w:rsid w:val="00A170BE"/>
    <w:rsid w:val="00A1795E"/>
    <w:rsid w:val="00A231E7"/>
    <w:rsid w:val="00A261D0"/>
    <w:rsid w:val="00A27960"/>
    <w:rsid w:val="00A31DBE"/>
    <w:rsid w:val="00A323D1"/>
    <w:rsid w:val="00A33CDD"/>
    <w:rsid w:val="00A349C9"/>
    <w:rsid w:val="00A427FE"/>
    <w:rsid w:val="00A4433A"/>
    <w:rsid w:val="00A45AEC"/>
    <w:rsid w:val="00A479D9"/>
    <w:rsid w:val="00A47A37"/>
    <w:rsid w:val="00A50E65"/>
    <w:rsid w:val="00A5321B"/>
    <w:rsid w:val="00A619E9"/>
    <w:rsid w:val="00A621EA"/>
    <w:rsid w:val="00A65A0E"/>
    <w:rsid w:val="00A71FCF"/>
    <w:rsid w:val="00A74502"/>
    <w:rsid w:val="00A80DD0"/>
    <w:rsid w:val="00A819E5"/>
    <w:rsid w:val="00A82C75"/>
    <w:rsid w:val="00A92C69"/>
    <w:rsid w:val="00AA00E6"/>
    <w:rsid w:val="00AA4B61"/>
    <w:rsid w:val="00AA4FEA"/>
    <w:rsid w:val="00AA618B"/>
    <w:rsid w:val="00AB00AC"/>
    <w:rsid w:val="00AB35FB"/>
    <w:rsid w:val="00AB4607"/>
    <w:rsid w:val="00AC43A9"/>
    <w:rsid w:val="00AC4B9D"/>
    <w:rsid w:val="00AC6534"/>
    <w:rsid w:val="00AC7022"/>
    <w:rsid w:val="00AD02A3"/>
    <w:rsid w:val="00AD1AF3"/>
    <w:rsid w:val="00AD334D"/>
    <w:rsid w:val="00AD34C7"/>
    <w:rsid w:val="00AE3A4A"/>
    <w:rsid w:val="00AE4228"/>
    <w:rsid w:val="00AE670E"/>
    <w:rsid w:val="00AE7E1F"/>
    <w:rsid w:val="00AF0691"/>
    <w:rsid w:val="00AF0742"/>
    <w:rsid w:val="00AF2F44"/>
    <w:rsid w:val="00B02621"/>
    <w:rsid w:val="00B02D8E"/>
    <w:rsid w:val="00B05A8C"/>
    <w:rsid w:val="00B07700"/>
    <w:rsid w:val="00B11073"/>
    <w:rsid w:val="00B13738"/>
    <w:rsid w:val="00B2316F"/>
    <w:rsid w:val="00B2402E"/>
    <w:rsid w:val="00B27AB6"/>
    <w:rsid w:val="00B27DFB"/>
    <w:rsid w:val="00B37033"/>
    <w:rsid w:val="00B41B73"/>
    <w:rsid w:val="00B42036"/>
    <w:rsid w:val="00B44CEC"/>
    <w:rsid w:val="00B500BD"/>
    <w:rsid w:val="00B5163D"/>
    <w:rsid w:val="00B51A0B"/>
    <w:rsid w:val="00B5320F"/>
    <w:rsid w:val="00B54712"/>
    <w:rsid w:val="00B54EAF"/>
    <w:rsid w:val="00B6182B"/>
    <w:rsid w:val="00B62D96"/>
    <w:rsid w:val="00B7435D"/>
    <w:rsid w:val="00B83DEE"/>
    <w:rsid w:val="00B87379"/>
    <w:rsid w:val="00B90B6F"/>
    <w:rsid w:val="00B94D0D"/>
    <w:rsid w:val="00BA0EA2"/>
    <w:rsid w:val="00BA2D56"/>
    <w:rsid w:val="00BA669C"/>
    <w:rsid w:val="00BA7BB8"/>
    <w:rsid w:val="00BB1BD8"/>
    <w:rsid w:val="00BB2C32"/>
    <w:rsid w:val="00BB5154"/>
    <w:rsid w:val="00BB6940"/>
    <w:rsid w:val="00BB74C9"/>
    <w:rsid w:val="00BB76AF"/>
    <w:rsid w:val="00BB7B8D"/>
    <w:rsid w:val="00BC018C"/>
    <w:rsid w:val="00BC061C"/>
    <w:rsid w:val="00BC1AC6"/>
    <w:rsid w:val="00BC6C17"/>
    <w:rsid w:val="00BD0507"/>
    <w:rsid w:val="00BD1126"/>
    <w:rsid w:val="00BD3127"/>
    <w:rsid w:val="00BD444E"/>
    <w:rsid w:val="00BD6414"/>
    <w:rsid w:val="00BD7EE2"/>
    <w:rsid w:val="00BE0424"/>
    <w:rsid w:val="00BE1CF5"/>
    <w:rsid w:val="00BE1EE5"/>
    <w:rsid w:val="00BE61C5"/>
    <w:rsid w:val="00BE7180"/>
    <w:rsid w:val="00BF195B"/>
    <w:rsid w:val="00BF35DA"/>
    <w:rsid w:val="00BF459D"/>
    <w:rsid w:val="00BF4A65"/>
    <w:rsid w:val="00BF6078"/>
    <w:rsid w:val="00BF767F"/>
    <w:rsid w:val="00BF76AE"/>
    <w:rsid w:val="00C034A2"/>
    <w:rsid w:val="00C165DD"/>
    <w:rsid w:val="00C17901"/>
    <w:rsid w:val="00C20860"/>
    <w:rsid w:val="00C222A7"/>
    <w:rsid w:val="00C242AF"/>
    <w:rsid w:val="00C24711"/>
    <w:rsid w:val="00C25693"/>
    <w:rsid w:val="00C27C97"/>
    <w:rsid w:val="00C30FBA"/>
    <w:rsid w:val="00C32344"/>
    <w:rsid w:val="00C32FD1"/>
    <w:rsid w:val="00C332EF"/>
    <w:rsid w:val="00C35FAD"/>
    <w:rsid w:val="00C371F1"/>
    <w:rsid w:val="00C4005D"/>
    <w:rsid w:val="00C407E5"/>
    <w:rsid w:val="00C40C69"/>
    <w:rsid w:val="00C41407"/>
    <w:rsid w:val="00C41CEA"/>
    <w:rsid w:val="00C4347B"/>
    <w:rsid w:val="00C44599"/>
    <w:rsid w:val="00C44E4A"/>
    <w:rsid w:val="00C45B7B"/>
    <w:rsid w:val="00C47F14"/>
    <w:rsid w:val="00C5036B"/>
    <w:rsid w:val="00C50AF1"/>
    <w:rsid w:val="00C53973"/>
    <w:rsid w:val="00C548BC"/>
    <w:rsid w:val="00C54BA8"/>
    <w:rsid w:val="00C56654"/>
    <w:rsid w:val="00C56B17"/>
    <w:rsid w:val="00C57958"/>
    <w:rsid w:val="00C6206D"/>
    <w:rsid w:val="00C62247"/>
    <w:rsid w:val="00C7279C"/>
    <w:rsid w:val="00C72CED"/>
    <w:rsid w:val="00C76544"/>
    <w:rsid w:val="00C77DC2"/>
    <w:rsid w:val="00C82484"/>
    <w:rsid w:val="00C86212"/>
    <w:rsid w:val="00C865ED"/>
    <w:rsid w:val="00C874E7"/>
    <w:rsid w:val="00C87748"/>
    <w:rsid w:val="00C90ABC"/>
    <w:rsid w:val="00C90B8A"/>
    <w:rsid w:val="00C93E88"/>
    <w:rsid w:val="00CA1785"/>
    <w:rsid w:val="00CA3584"/>
    <w:rsid w:val="00CB07E0"/>
    <w:rsid w:val="00CB6A13"/>
    <w:rsid w:val="00CC218B"/>
    <w:rsid w:val="00CD7E60"/>
    <w:rsid w:val="00CE1391"/>
    <w:rsid w:val="00CE1501"/>
    <w:rsid w:val="00CE1976"/>
    <w:rsid w:val="00CE6E4B"/>
    <w:rsid w:val="00CF0496"/>
    <w:rsid w:val="00CF098A"/>
    <w:rsid w:val="00CF1A15"/>
    <w:rsid w:val="00CF1E08"/>
    <w:rsid w:val="00CF46B7"/>
    <w:rsid w:val="00D00077"/>
    <w:rsid w:val="00D003E9"/>
    <w:rsid w:val="00D004D0"/>
    <w:rsid w:val="00D00AB0"/>
    <w:rsid w:val="00D025F9"/>
    <w:rsid w:val="00D039E5"/>
    <w:rsid w:val="00D0405B"/>
    <w:rsid w:val="00D0444B"/>
    <w:rsid w:val="00D075DF"/>
    <w:rsid w:val="00D109D5"/>
    <w:rsid w:val="00D1125C"/>
    <w:rsid w:val="00D11C63"/>
    <w:rsid w:val="00D14D2F"/>
    <w:rsid w:val="00D206EE"/>
    <w:rsid w:val="00D20995"/>
    <w:rsid w:val="00D21314"/>
    <w:rsid w:val="00D22983"/>
    <w:rsid w:val="00D24604"/>
    <w:rsid w:val="00D309C4"/>
    <w:rsid w:val="00D30F2A"/>
    <w:rsid w:val="00D32021"/>
    <w:rsid w:val="00D40945"/>
    <w:rsid w:val="00D40C04"/>
    <w:rsid w:val="00D46A87"/>
    <w:rsid w:val="00D5421F"/>
    <w:rsid w:val="00D60D2B"/>
    <w:rsid w:val="00D62AD9"/>
    <w:rsid w:val="00D62F3D"/>
    <w:rsid w:val="00D657CD"/>
    <w:rsid w:val="00D71FCD"/>
    <w:rsid w:val="00D72663"/>
    <w:rsid w:val="00D7596B"/>
    <w:rsid w:val="00D87142"/>
    <w:rsid w:val="00D901CD"/>
    <w:rsid w:val="00D93AF3"/>
    <w:rsid w:val="00D93AF5"/>
    <w:rsid w:val="00D9492B"/>
    <w:rsid w:val="00D94C7F"/>
    <w:rsid w:val="00D95619"/>
    <w:rsid w:val="00D96E37"/>
    <w:rsid w:val="00D971CE"/>
    <w:rsid w:val="00DA0A6D"/>
    <w:rsid w:val="00DA0FE0"/>
    <w:rsid w:val="00DA4ED6"/>
    <w:rsid w:val="00DB1CED"/>
    <w:rsid w:val="00DB2AD3"/>
    <w:rsid w:val="00DB5E38"/>
    <w:rsid w:val="00DB74BA"/>
    <w:rsid w:val="00DC0300"/>
    <w:rsid w:val="00DC7F32"/>
    <w:rsid w:val="00DD1743"/>
    <w:rsid w:val="00DD2EE7"/>
    <w:rsid w:val="00DD5D9C"/>
    <w:rsid w:val="00DE1097"/>
    <w:rsid w:val="00DE29A8"/>
    <w:rsid w:val="00DE5A69"/>
    <w:rsid w:val="00DF1028"/>
    <w:rsid w:val="00DF5366"/>
    <w:rsid w:val="00DF77DB"/>
    <w:rsid w:val="00E013B9"/>
    <w:rsid w:val="00E03B89"/>
    <w:rsid w:val="00E03F1E"/>
    <w:rsid w:val="00E042DD"/>
    <w:rsid w:val="00E1063D"/>
    <w:rsid w:val="00E10A0C"/>
    <w:rsid w:val="00E13788"/>
    <w:rsid w:val="00E16161"/>
    <w:rsid w:val="00E205C3"/>
    <w:rsid w:val="00E30F25"/>
    <w:rsid w:val="00E3437E"/>
    <w:rsid w:val="00E34689"/>
    <w:rsid w:val="00E34A8F"/>
    <w:rsid w:val="00E34E30"/>
    <w:rsid w:val="00E35976"/>
    <w:rsid w:val="00E40194"/>
    <w:rsid w:val="00E4140E"/>
    <w:rsid w:val="00E41D72"/>
    <w:rsid w:val="00E42962"/>
    <w:rsid w:val="00E43FB5"/>
    <w:rsid w:val="00E44214"/>
    <w:rsid w:val="00E44B60"/>
    <w:rsid w:val="00E46612"/>
    <w:rsid w:val="00E46E64"/>
    <w:rsid w:val="00E47747"/>
    <w:rsid w:val="00E579D7"/>
    <w:rsid w:val="00E620A9"/>
    <w:rsid w:val="00E628F1"/>
    <w:rsid w:val="00E66813"/>
    <w:rsid w:val="00E70A72"/>
    <w:rsid w:val="00E7333D"/>
    <w:rsid w:val="00E76491"/>
    <w:rsid w:val="00E84A40"/>
    <w:rsid w:val="00E85A1D"/>
    <w:rsid w:val="00E8634C"/>
    <w:rsid w:val="00E92F78"/>
    <w:rsid w:val="00E9333C"/>
    <w:rsid w:val="00EA112C"/>
    <w:rsid w:val="00EA2553"/>
    <w:rsid w:val="00EA2EDD"/>
    <w:rsid w:val="00EA6A2D"/>
    <w:rsid w:val="00EB0B92"/>
    <w:rsid w:val="00EB2412"/>
    <w:rsid w:val="00EB3A03"/>
    <w:rsid w:val="00EB3F30"/>
    <w:rsid w:val="00EB75C6"/>
    <w:rsid w:val="00EC3B90"/>
    <w:rsid w:val="00EC3D5C"/>
    <w:rsid w:val="00EC5729"/>
    <w:rsid w:val="00EC6CF9"/>
    <w:rsid w:val="00ED0726"/>
    <w:rsid w:val="00ED0FA7"/>
    <w:rsid w:val="00ED167C"/>
    <w:rsid w:val="00ED3754"/>
    <w:rsid w:val="00ED3ECB"/>
    <w:rsid w:val="00ED40F2"/>
    <w:rsid w:val="00ED50E0"/>
    <w:rsid w:val="00ED515D"/>
    <w:rsid w:val="00EE2FB1"/>
    <w:rsid w:val="00EE3E44"/>
    <w:rsid w:val="00EF30BF"/>
    <w:rsid w:val="00EF48D2"/>
    <w:rsid w:val="00EF512A"/>
    <w:rsid w:val="00EF66AE"/>
    <w:rsid w:val="00EF7422"/>
    <w:rsid w:val="00EF7BE5"/>
    <w:rsid w:val="00F02544"/>
    <w:rsid w:val="00F06C1E"/>
    <w:rsid w:val="00F06DC7"/>
    <w:rsid w:val="00F06F32"/>
    <w:rsid w:val="00F11D87"/>
    <w:rsid w:val="00F12119"/>
    <w:rsid w:val="00F1317F"/>
    <w:rsid w:val="00F14C05"/>
    <w:rsid w:val="00F14FD1"/>
    <w:rsid w:val="00F22006"/>
    <w:rsid w:val="00F235F1"/>
    <w:rsid w:val="00F236B3"/>
    <w:rsid w:val="00F23FEC"/>
    <w:rsid w:val="00F33826"/>
    <w:rsid w:val="00F41C62"/>
    <w:rsid w:val="00F477C4"/>
    <w:rsid w:val="00F514E3"/>
    <w:rsid w:val="00F535EE"/>
    <w:rsid w:val="00F538E3"/>
    <w:rsid w:val="00F53A07"/>
    <w:rsid w:val="00F54A18"/>
    <w:rsid w:val="00F64884"/>
    <w:rsid w:val="00F64BB9"/>
    <w:rsid w:val="00F66009"/>
    <w:rsid w:val="00F70742"/>
    <w:rsid w:val="00F70BD4"/>
    <w:rsid w:val="00F7288D"/>
    <w:rsid w:val="00F72FAB"/>
    <w:rsid w:val="00F77EDF"/>
    <w:rsid w:val="00F812F8"/>
    <w:rsid w:val="00F82FD8"/>
    <w:rsid w:val="00F84B54"/>
    <w:rsid w:val="00F85A98"/>
    <w:rsid w:val="00F87BF7"/>
    <w:rsid w:val="00F94A85"/>
    <w:rsid w:val="00FA245F"/>
    <w:rsid w:val="00FA4ADA"/>
    <w:rsid w:val="00FB2255"/>
    <w:rsid w:val="00FB244C"/>
    <w:rsid w:val="00FB2BEB"/>
    <w:rsid w:val="00FB4F61"/>
    <w:rsid w:val="00FB6000"/>
    <w:rsid w:val="00FC08CB"/>
    <w:rsid w:val="00FC39C8"/>
    <w:rsid w:val="00FC7499"/>
    <w:rsid w:val="00FD3E94"/>
    <w:rsid w:val="00FD6414"/>
    <w:rsid w:val="00FD7AFC"/>
    <w:rsid w:val="00FE05DE"/>
    <w:rsid w:val="00FE07A2"/>
    <w:rsid w:val="00FE2997"/>
    <w:rsid w:val="00FE2DAA"/>
    <w:rsid w:val="00FE3D19"/>
    <w:rsid w:val="00FE5769"/>
    <w:rsid w:val="00FE57D9"/>
    <w:rsid w:val="00FE6231"/>
    <w:rsid w:val="00FE62C4"/>
    <w:rsid w:val="00FE64CC"/>
    <w:rsid w:val="00FE765C"/>
    <w:rsid w:val="00FE78A6"/>
    <w:rsid w:val="00FF0305"/>
    <w:rsid w:val="00FF18F2"/>
    <w:rsid w:val="00FF24E5"/>
    <w:rsid w:val="00FF5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100"/>
    <o:shapelayout v:ext="edit">
      <o:idmap v:ext="edit" data="1"/>
    </o:shapelayout>
  </w:shapeDefaults>
  <w:decimalSymbol w:val="."/>
  <w:listSeparator w:val=","/>
  <w14:docId w14:val="167E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344"/>
    <w:pPr>
      <w:widowControl w:val="0"/>
      <w:adjustRightInd w:val="0"/>
    </w:pPr>
    <w:rPr>
      <w:sz w:val="24"/>
      <w:szCs w:val="24"/>
    </w:rPr>
  </w:style>
  <w:style w:type="paragraph" w:styleId="Heading1">
    <w:name w:val="heading 1"/>
    <w:basedOn w:val="Normal"/>
    <w:next w:val="Normal"/>
    <w:qFormat/>
    <w:rsid w:val="006E2CC6"/>
    <w:pPr>
      <w:keepNext/>
      <w:numPr>
        <w:numId w:val="1"/>
      </w:numPr>
      <w:spacing w:before="240" w:after="60"/>
      <w:outlineLvl w:val="0"/>
    </w:pPr>
    <w:rPr>
      <w:rFonts w:cs="Arial"/>
      <w:bCs/>
      <w:kern w:val="32"/>
      <w:szCs w:val="32"/>
    </w:rPr>
  </w:style>
  <w:style w:type="paragraph" w:styleId="Heading2">
    <w:name w:val="heading 2"/>
    <w:basedOn w:val="Normal"/>
    <w:next w:val="Normal"/>
    <w:qFormat/>
    <w:rsid w:val="00FC7499"/>
    <w:pPr>
      <w:keepNext/>
      <w:numPr>
        <w:ilvl w:val="1"/>
        <w:numId w:val="1"/>
      </w:numPr>
      <w:spacing w:before="240" w:after="60"/>
      <w:outlineLvl w:val="1"/>
    </w:pPr>
    <w:rPr>
      <w:rFonts w:cs="Arial"/>
      <w:bCs/>
      <w:iCs/>
      <w:szCs w:val="28"/>
    </w:rPr>
  </w:style>
  <w:style w:type="paragraph" w:styleId="Heading3">
    <w:name w:val="heading 3"/>
    <w:basedOn w:val="Normal"/>
    <w:next w:val="Normal"/>
    <w:qFormat/>
    <w:rsid w:val="004C4922"/>
    <w:pPr>
      <w:keepNext/>
      <w:numPr>
        <w:ilvl w:val="2"/>
        <w:numId w:val="1"/>
      </w:numPr>
      <w:spacing w:before="240" w:after="60"/>
      <w:outlineLvl w:val="2"/>
    </w:pPr>
    <w:rPr>
      <w:rFonts w:cs="Arial"/>
      <w:bCs/>
      <w:szCs w:val="26"/>
    </w:rPr>
  </w:style>
  <w:style w:type="paragraph" w:styleId="Heading4">
    <w:name w:val="heading 4"/>
    <w:basedOn w:val="Normal"/>
    <w:next w:val="Normal"/>
    <w:qFormat/>
    <w:rsid w:val="00B51A0B"/>
    <w:pPr>
      <w:keepNext/>
      <w:numPr>
        <w:ilvl w:val="3"/>
        <w:numId w:val="1"/>
      </w:numPr>
      <w:spacing w:before="240" w:after="60"/>
      <w:outlineLvl w:val="3"/>
    </w:pPr>
    <w:rPr>
      <w:b/>
      <w:bCs/>
      <w:sz w:val="28"/>
      <w:szCs w:val="28"/>
    </w:rPr>
  </w:style>
  <w:style w:type="paragraph" w:styleId="Heading5">
    <w:name w:val="heading 5"/>
    <w:basedOn w:val="Normal"/>
    <w:next w:val="Normal"/>
    <w:qFormat/>
    <w:rsid w:val="00B51A0B"/>
    <w:pPr>
      <w:numPr>
        <w:ilvl w:val="4"/>
        <w:numId w:val="1"/>
      </w:numPr>
      <w:spacing w:before="240" w:after="60"/>
      <w:outlineLvl w:val="4"/>
    </w:pPr>
    <w:rPr>
      <w:b/>
      <w:bCs/>
      <w:i/>
      <w:iCs/>
      <w:sz w:val="26"/>
      <w:szCs w:val="26"/>
    </w:rPr>
  </w:style>
  <w:style w:type="paragraph" w:styleId="Heading6">
    <w:name w:val="heading 6"/>
    <w:basedOn w:val="Normal"/>
    <w:next w:val="Normal"/>
    <w:qFormat/>
    <w:rsid w:val="00B51A0B"/>
    <w:pPr>
      <w:numPr>
        <w:ilvl w:val="5"/>
        <w:numId w:val="1"/>
      </w:numPr>
      <w:spacing w:before="240" w:after="60"/>
      <w:outlineLvl w:val="5"/>
    </w:pPr>
    <w:rPr>
      <w:b/>
      <w:bCs/>
      <w:sz w:val="22"/>
      <w:szCs w:val="22"/>
    </w:rPr>
  </w:style>
  <w:style w:type="paragraph" w:styleId="Heading7">
    <w:name w:val="heading 7"/>
    <w:basedOn w:val="Normal"/>
    <w:next w:val="Normal"/>
    <w:qFormat/>
    <w:rsid w:val="00B51A0B"/>
    <w:pPr>
      <w:numPr>
        <w:ilvl w:val="6"/>
        <w:numId w:val="1"/>
      </w:numPr>
      <w:spacing w:before="240" w:after="60"/>
      <w:outlineLvl w:val="6"/>
    </w:pPr>
  </w:style>
  <w:style w:type="paragraph" w:styleId="Heading8">
    <w:name w:val="heading 8"/>
    <w:basedOn w:val="Normal"/>
    <w:next w:val="Normal"/>
    <w:qFormat/>
    <w:rsid w:val="00B51A0B"/>
    <w:pPr>
      <w:numPr>
        <w:ilvl w:val="7"/>
        <w:numId w:val="1"/>
      </w:numPr>
      <w:spacing w:before="240" w:after="60"/>
      <w:outlineLvl w:val="7"/>
    </w:pPr>
    <w:rPr>
      <w:i/>
      <w:iCs/>
    </w:rPr>
  </w:style>
  <w:style w:type="paragraph" w:styleId="Heading9">
    <w:name w:val="heading 9"/>
    <w:basedOn w:val="Normal"/>
    <w:next w:val="Normal"/>
    <w:qFormat/>
    <w:rsid w:val="00B51A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344"/>
    <w:pPr>
      <w:tabs>
        <w:tab w:val="center" w:pos="4680"/>
        <w:tab w:val="right" w:pos="9360"/>
      </w:tabs>
    </w:pPr>
  </w:style>
  <w:style w:type="paragraph" w:styleId="Footer">
    <w:name w:val="footer"/>
    <w:basedOn w:val="Normal"/>
    <w:link w:val="FooterChar"/>
    <w:uiPriority w:val="99"/>
    <w:rsid w:val="00C32344"/>
    <w:pPr>
      <w:tabs>
        <w:tab w:val="center" w:pos="4680"/>
        <w:tab w:val="right" w:pos="9360"/>
      </w:tabs>
    </w:pPr>
  </w:style>
  <w:style w:type="paragraph" w:customStyle="1" w:styleId="Style1">
    <w:name w:val="Style1"/>
    <w:basedOn w:val="Heading1"/>
    <w:rsid w:val="00B51A0B"/>
  </w:style>
  <w:style w:type="paragraph" w:styleId="TOC2">
    <w:name w:val="toc 2"/>
    <w:basedOn w:val="Normal"/>
    <w:next w:val="Normal"/>
    <w:autoRedefine/>
    <w:uiPriority w:val="39"/>
    <w:rsid w:val="00A31DBE"/>
    <w:pPr>
      <w:tabs>
        <w:tab w:val="right" w:leader="dot" w:pos="9710"/>
      </w:tabs>
      <w:ind w:left="792" w:hanging="432"/>
    </w:pPr>
  </w:style>
  <w:style w:type="paragraph" w:styleId="TOC1">
    <w:name w:val="toc 1"/>
    <w:basedOn w:val="Normal"/>
    <w:next w:val="Normal"/>
    <w:autoRedefine/>
    <w:uiPriority w:val="39"/>
    <w:rsid w:val="00A31DBE"/>
    <w:pPr>
      <w:ind w:left="360" w:hanging="360"/>
      <w:outlineLvl w:val="0"/>
    </w:pPr>
  </w:style>
  <w:style w:type="character" w:styleId="Hyperlink">
    <w:name w:val="Hyperlink"/>
    <w:basedOn w:val="DefaultParagraphFont"/>
    <w:uiPriority w:val="99"/>
    <w:rsid w:val="009D30AC"/>
    <w:rPr>
      <w:color w:val="0000FF"/>
      <w:u w:val="single"/>
    </w:rPr>
  </w:style>
  <w:style w:type="character" w:styleId="FootnoteReference">
    <w:name w:val="footnote reference"/>
    <w:rsid w:val="00B62D96"/>
    <w:rPr>
      <w:rFonts w:ascii="Times New Roman" w:hAnsi="Times New Roman" w:cs="Times New Roman"/>
    </w:rPr>
  </w:style>
  <w:style w:type="character" w:customStyle="1" w:styleId="Hypertext">
    <w:name w:val="Hypertext"/>
    <w:rsid w:val="00B62D96"/>
    <w:rPr>
      <w:rFonts w:ascii="Times New Roman" w:hAnsi="Times New Roman" w:cs="Times New Roman"/>
      <w:color w:val="0000FF"/>
      <w:u w:val="single"/>
    </w:rPr>
  </w:style>
  <w:style w:type="paragraph" w:styleId="FootnoteText">
    <w:name w:val="footnote text"/>
    <w:basedOn w:val="Normal"/>
    <w:semiHidden/>
    <w:rsid w:val="00B62D96"/>
    <w:rPr>
      <w:sz w:val="20"/>
      <w:szCs w:val="20"/>
    </w:rPr>
  </w:style>
  <w:style w:type="paragraph" w:customStyle="1" w:styleId="Level1">
    <w:name w:val="Level 1"/>
    <w:basedOn w:val="Normal"/>
    <w:rsid w:val="00802E2A"/>
    <w:pPr>
      <w:numPr>
        <w:numId w:val="7"/>
      </w:numPr>
      <w:tabs>
        <w:tab w:val="left" w:pos="-1440"/>
      </w:tabs>
    </w:pPr>
  </w:style>
  <w:style w:type="character" w:styleId="PageNumber">
    <w:name w:val="page number"/>
    <w:basedOn w:val="DefaultParagraphFont"/>
    <w:rsid w:val="00C86212"/>
  </w:style>
  <w:style w:type="paragraph" w:styleId="TOC3">
    <w:name w:val="toc 3"/>
    <w:basedOn w:val="Normal"/>
    <w:next w:val="Normal"/>
    <w:autoRedefine/>
    <w:uiPriority w:val="39"/>
    <w:rsid w:val="0046707F"/>
    <w:pPr>
      <w:tabs>
        <w:tab w:val="left" w:pos="1512"/>
        <w:tab w:val="right" w:leader="dot" w:pos="9710"/>
      </w:tabs>
      <w:ind w:left="1080" w:hanging="288"/>
    </w:pPr>
  </w:style>
  <w:style w:type="paragraph" w:styleId="BalloonText">
    <w:name w:val="Balloon Text"/>
    <w:basedOn w:val="Normal"/>
    <w:semiHidden/>
    <w:rsid w:val="0017121E"/>
    <w:rPr>
      <w:rFonts w:ascii="Tahoma" w:hAnsi="Tahoma" w:cs="Tahoma"/>
      <w:sz w:val="16"/>
      <w:szCs w:val="16"/>
    </w:rPr>
  </w:style>
  <w:style w:type="character" w:styleId="FollowedHyperlink">
    <w:name w:val="FollowedHyperlink"/>
    <w:basedOn w:val="DefaultParagraphFont"/>
    <w:rsid w:val="009D3CEE"/>
    <w:rPr>
      <w:color w:val="800080"/>
      <w:u w:val="single"/>
    </w:rPr>
  </w:style>
  <w:style w:type="paragraph" w:styleId="TOC4">
    <w:name w:val="toc 4"/>
    <w:basedOn w:val="Normal"/>
    <w:next w:val="Normal"/>
    <w:autoRedefine/>
    <w:semiHidden/>
    <w:rsid w:val="00805571"/>
    <w:pPr>
      <w:ind w:left="1512" w:hanging="360"/>
    </w:pPr>
  </w:style>
  <w:style w:type="paragraph" w:styleId="TOC5">
    <w:name w:val="toc 5"/>
    <w:basedOn w:val="Normal"/>
    <w:next w:val="Normal"/>
    <w:autoRedefine/>
    <w:uiPriority w:val="39"/>
    <w:rsid w:val="0046707F"/>
    <w:pPr>
      <w:tabs>
        <w:tab w:val="right" w:leader="dot" w:pos="9710"/>
      </w:tabs>
      <w:ind w:left="1800" w:hanging="720"/>
    </w:pPr>
  </w:style>
  <w:style w:type="character" w:styleId="CommentReference">
    <w:name w:val="annotation reference"/>
    <w:basedOn w:val="DefaultParagraphFont"/>
    <w:semiHidden/>
    <w:unhideWhenUsed/>
    <w:rsid w:val="00D24604"/>
    <w:rPr>
      <w:sz w:val="16"/>
      <w:szCs w:val="16"/>
    </w:rPr>
  </w:style>
  <w:style w:type="paragraph" w:styleId="CommentText">
    <w:name w:val="annotation text"/>
    <w:basedOn w:val="Normal"/>
    <w:link w:val="CommentTextChar"/>
    <w:semiHidden/>
    <w:unhideWhenUsed/>
    <w:rsid w:val="00D24604"/>
    <w:rPr>
      <w:sz w:val="20"/>
      <w:szCs w:val="20"/>
    </w:rPr>
  </w:style>
  <w:style w:type="character" w:customStyle="1" w:styleId="CommentTextChar">
    <w:name w:val="Comment Text Char"/>
    <w:basedOn w:val="DefaultParagraphFont"/>
    <w:link w:val="CommentText"/>
    <w:semiHidden/>
    <w:rsid w:val="00D24604"/>
  </w:style>
  <w:style w:type="paragraph" w:styleId="CommentSubject">
    <w:name w:val="annotation subject"/>
    <w:basedOn w:val="CommentText"/>
    <w:next w:val="CommentText"/>
    <w:link w:val="CommentSubjectChar"/>
    <w:semiHidden/>
    <w:unhideWhenUsed/>
    <w:rsid w:val="00D24604"/>
    <w:rPr>
      <w:b/>
      <w:bCs/>
    </w:rPr>
  </w:style>
  <w:style w:type="character" w:customStyle="1" w:styleId="CommentSubjectChar">
    <w:name w:val="Comment Subject Char"/>
    <w:basedOn w:val="CommentTextChar"/>
    <w:link w:val="CommentSubject"/>
    <w:semiHidden/>
    <w:rsid w:val="00D24604"/>
    <w:rPr>
      <w:b/>
      <w:bCs/>
    </w:rPr>
  </w:style>
  <w:style w:type="paragraph" w:styleId="ListParagraph">
    <w:name w:val="List Paragraph"/>
    <w:basedOn w:val="Normal"/>
    <w:uiPriority w:val="34"/>
    <w:qFormat/>
    <w:rsid w:val="003B4665"/>
    <w:pPr>
      <w:ind w:left="720"/>
      <w:contextualSpacing/>
    </w:pPr>
  </w:style>
  <w:style w:type="character" w:customStyle="1" w:styleId="FooterChar">
    <w:name w:val="Footer Char"/>
    <w:basedOn w:val="DefaultParagraphFont"/>
    <w:link w:val="Footer"/>
    <w:uiPriority w:val="99"/>
    <w:rsid w:val="000B00BA"/>
    <w:rPr>
      <w:sz w:val="24"/>
      <w:szCs w:val="24"/>
    </w:rPr>
  </w:style>
  <w:style w:type="character" w:customStyle="1" w:styleId="UnresolvedMention">
    <w:name w:val="Unresolved Mention"/>
    <w:basedOn w:val="DefaultParagraphFont"/>
    <w:uiPriority w:val="99"/>
    <w:semiHidden/>
    <w:unhideWhenUsed/>
    <w:rsid w:val="00282DDD"/>
    <w:rPr>
      <w:color w:val="808080"/>
      <w:shd w:val="clear" w:color="auto" w:fill="E6E6E6"/>
    </w:rPr>
  </w:style>
  <w:style w:type="paragraph" w:styleId="TOCHeading">
    <w:name w:val="TOC Heading"/>
    <w:basedOn w:val="Heading1"/>
    <w:next w:val="Normal"/>
    <w:uiPriority w:val="39"/>
    <w:unhideWhenUsed/>
    <w:qFormat/>
    <w:rsid w:val="00F06DC7"/>
    <w:pPr>
      <w:keepLines/>
      <w:widowControl/>
      <w:numPr>
        <w:numId w:val="0"/>
      </w:numPr>
      <w:adjustRightInd/>
      <w:spacing w:after="0" w:line="259" w:lineRule="auto"/>
      <w:outlineLvl w:val="9"/>
    </w:pPr>
    <w:rPr>
      <w:rFonts w:asciiTheme="majorHAnsi" w:eastAsiaTheme="majorEastAsia" w:hAnsiTheme="majorHAnsi" w:cstheme="majorBidi"/>
      <w:bCs w:val="0"/>
      <w:color w:val="365F91" w:themeColor="accent1" w:themeShade="BF"/>
      <w:kern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344"/>
    <w:pPr>
      <w:widowControl w:val="0"/>
      <w:adjustRightInd w:val="0"/>
    </w:pPr>
    <w:rPr>
      <w:sz w:val="24"/>
      <w:szCs w:val="24"/>
    </w:rPr>
  </w:style>
  <w:style w:type="paragraph" w:styleId="Heading1">
    <w:name w:val="heading 1"/>
    <w:basedOn w:val="Normal"/>
    <w:next w:val="Normal"/>
    <w:qFormat/>
    <w:rsid w:val="006E2CC6"/>
    <w:pPr>
      <w:keepNext/>
      <w:numPr>
        <w:numId w:val="1"/>
      </w:numPr>
      <w:spacing w:before="240" w:after="60"/>
      <w:outlineLvl w:val="0"/>
    </w:pPr>
    <w:rPr>
      <w:rFonts w:cs="Arial"/>
      <w:bCs/>
      <w:kern w:val="32"/>
      <w:szCs w:val="32"/>
    </w:rPr>
  </w:style>
  <w:style w:type="paragraph" w:styleId="Heading2">
    <w:name w:val="heading 2"/>
    <w:basedOn w:val="Normal"/>
    <w:next w:val="Normal"/>
    <w:qFormat/>
    <w:rsid w:val="00FC7499"/>
    <w:pPr>
      <w:keepNext/>
      <w:numPr>
        <w:ilvl w:val="1"/>
        <w:numId w:val="1"/>
      </w:numPr>
      <w:spacing w:before="240" w:after="60"/>
      <w:outlineLvl w:val="1"/>
    </w:pPr>
    <w:rPr>
      <w:rFonts w:cs="Arial"/>
      <w:bCs/>
      <w:iCs/>
      <w:szCs w:val="28"/>
    </w:rPr>
  </w:style>
  <w:style w:type="paragraph" w:styleId="Heading3">
    <w:name w:val="heading 3"/>
    <w:basedOn w:val="Normal"/>
    <w:next w:val="Normal"/>
    <w:qFormat/>
    <w:rsid w:val="004C4922"/>
    <w:pPr>
      <w:keepNext/>
      <w:numPr>
        <w:ilvl w:val="2"/>
        <w:numId w:val="1"/>
      </w:numPr>
      <w:spacing w:before="240" w:after="60"/>
      <w:outlineLvl w:val="2"/>
    </w:pPr>
    <w:rPr>
      <w:rFonts w:cs="Arial"/>
      <w:bCs/>
      <w:szCs w:val="26"/>
    </w:rPr>
  </w:style>
  <w:style w:type="paragraph" w:styleId="Heading4">
    <w:name w:val="heading 4"/>
    <w:basedOn w:val="Normal"/>
    <w:next w:val="Normal"/>
    <w:qFormat/>
    <w:rsid w:val="00B51A0B"/>
    <w:pPr>
      <w:keepNext/>
      <w:numPr>
        <w:ilvl w:val="3"/>
        <w:numId w:val="1"/>
      </w:numPr>
      <w:spacing w:before="240" w:after="60"/>
      <w:outlineLvl w:val="3"/>
    </w:pPr>
    <w:rPr>
      <w:b/>
      <w:bCs/>
      <w:sz w:val="28"/>
      <w:szCs w:val="28"/>
    </w:rPr>
  </w:style>
  <w:style w:type="paragraph" w:styleId="Heading5">
    <w:name w:val="heading 5"/>
    <w:basedOn w:val="Normal"/>
    <w:next w:val="Normal"/>
    <w:qFormat/>
    <w:rsid w:val="00B51A0B"/>
    <w:pPr>
      <w:numPr>
        <w:ilvl w:val="4"/>
        <w:numId w:val="1"/>
      </w:numPr>
      <w:spacing w:before="240" w:after="60"/>
      <w:outlineLvl w:val="4"/>
    </w:pPr>
    <w:rPr>
      <w:b/>
      <w:bCs/>
      <w:i/>
      <w:iCs/>
      <w:sz w:val="26"/>
      <w:szCs w:val="26"/>
    </w:rPr>
  </w:style>
  <w:style w:type="paragraph" w:styleId="Heading6">
    <w:name w:val="heading 6"/>
    <w:basedOn w:val="Normal"/>
    <w:next w:val="Normal"/>
    <w:qFormat/>
    <w:rsid w:val="00B51A0B"/>
    <w:pPr>
      <w:numPr>
        <w:ilvl w:val="5"/>
        <w:numId w:val="1"/>
      </w:numPr>
      <w:spacing w:before="240" w:after="60"/>
      <w:outlineLvl w:val="5"/>
    </w:pPr>
    <w:rPr>
      <w:b/>
      <w:bCs/>
      <w:sz w:val="22"/>
      <w:szCs w:val="22"/>
    </w:rPr>
  </w:style>
  <w:style w:type="paragraph" w:styleId="Heading7">
    <w:name w:val="heading 7"/>
    <w:basedOn w:val="Normal"/>
    <w:next w:val="Normal"/>
    <w:qFormat/>
    <w:rsid w:val="00B51A0B"/>
    <w:pPr>
      <w:numPr>
        <w:ilvl w:val="6"/>
        <w:numId w:val="1"/>
      </w:numPr>
      <w:spacing w:before="240" w:after="60"/>
      <w:outlineLvl w:val="6"/>
    </w:pPr>
  </w:style>
  <w:style w:type="paragraph" w:styleId="Heading8">
    <w:name w:val="heading 8"/>
    <w:basedOn w:val="Normal"/>
    <w:next w:val="Normal"/>
    <w:qFormat/>
    <w:rsid w:val="00B51A0B"/>
    <w:pPr>
      <w:numPr>
        <w:ilvl w:val="7"/>
        <w:numId w:val="1"/>
      </w:numPr>
      <w:spacing w:before="240" w:after="60"/>
      <w:outlineLvl w:val="7"/>
    </w:pPr>
    <w:rPr>
      <w:i/>
      <w:iCs/>
    </w:rPr>
  </w:style>
  <w:style w:type="paragraph" w:styleId="Heading9">
    <w:name w:val="heading 9"/>
    <w:basedOn w:val="Normal"/>
    <w:next w:val="Normal"/>
    <w:qFormat/>
    <w:rsid w:val="00B51A0B"/>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2344"/>
    <w:pPr>
      <w:tabs>
        <w:tab w:val="center" w:pos="4680"/>
        <w:tab w:val="right" w:pos="9360"/>
      </w:tabs>
    </w:pPr>
  </w:style>
  <w:style w:type="paragraph" w:styleId="Footer">
    <w:name w:val="footer"/>
    <w:basedOn w:val="Normal"/>
    <w:link w:val="FooterChar"/>
    <w:uiPriority w:val="99"/>
    <w:rsid w:val="00C32344"/>
    <w:pPr>
      <w:tabs>
        <w:tab w:val="center" w:pos="4680"/>
        <w:tab w:val="right" w:pos="9360"/>
      </w:tabs>
    </w:pPr>
  </w:style>
  <w:style w:type="paragraph" w:customStyle="1" w:styleId="Style1">
    <w:name w:val="Style1"/>
    <w:basedOn w:val="Heading1"/>
    <w:rsid w:val="00B51A0B"/>
  </w:style>
  <w:style w:type="paragraph" w:styleId="TOC2">
    <w:name w:val="toc 2"/>
    <w:basedOn w:val="Normal"/>
    <w:next w:val="Normal"/>
    <w:autoRedefine/>
    <w:uiPriority w:val="39"/>
    <w:rsid w:val="00A31DBE"/>
    <w:pPr>
      <w:tabs>
        <w:tab w:val="right" w:leader="dot" w:pos="9710"/>
      </w:tabs>
      <w:ind w:left="792" w:hanging="432"/>
    </w:pPr>
  </w:style>
  <w:style w:type="paragraph" w:styleId="TOC1">
    <w:name w:val="toc 1"/>
    <w:basedOn w:val="Normal"/>
    <w:next w:val="Normal"/>
    <w:autoRedefine/>
    <w:uiPriority w:val="39"/>
    <w:rsid w:val="00A31DBE"/>
    <w:pPr>
      <w:ind w:left="360" w:hanging="360"/>
      <w:outlineLvl w:val="0"/>
    </w:pPr>
  </w:style>
  <w:style w:type="character" w:styleId="Hyperlink">
    <w:name w:val="Hyperlink"/>
    <w:basedOn w:val="DefaultParagraphFont"/>
    <w:uiPriority w:val="99"/>
    <w:rsid w:val="009D30AC"/>
    <w:rPr>
      <w:color w:val="0000FF"/>
      <w:u w:val="single"/>
    </w:rPr>
  </w:style>
  <w:style w:type="character" w:styleId="FootnoteReference">
    <w:name w:val="footnote reference"/>
    <w:rsid w:val="00B62D96"/>
    <w:rPr>
      <w:rFonts w:ascii="Times New Roman" w:hAnsi="Times New Roman" w:cs="Times New Roman"/>
    </w:rPr>
  </w:style>
  <w:style w:type="character" w:customStyle="1" w:styleId="Hypertext">
    <w:name w:val="Hypertext"/>
    <w:rsid w:val="00B62D96"/>
    <w:rPr>
      <w:rFonts w:ascii="Times New Roman" w:hAnsi="Times New Roman" w:cs="Times New Roman"/>
      <w:color w:val="0000FF"/>
      <w:u w:val="single"/>
    </w:rPr>
  </w:style>
  <w:style w:type="paragraph" w:styleId="FootnoteText">
    <w:name w:val="footnote text"/>
    <w:basedOn w:val="Normal"/>
    <w:semiHidden/>
    <w:rsid w:val="00B62D96"/>
    <w:rPr>
      <w:sz w:val="20"/>
      <w:szCs w:val="20"/>
    </w:rPr>
  </w:style>
  <w:style w:type="paragraph" w:customStyle="1" w:styleId="Level1">
    <w:name w:val="Level 1"/>
    <w:basedOn w:val="Normal"/>
    <w:rsid w:val="00802E2A"/>
    <w:pPr>
      <w:numPr>
        <w:numId w:val="7"/>
      </w:numPr>
      <w:tabs>
        <w:tab w:val="left" w:pos="-1440"/>
      </w:tabs>
    </w:pPr>
  </w:style>
  <w:style w:type="character" w:styleId="PageNumber">
    <w:name w:val="page number"/>
    <w:basedOn w:val="DefaultParagraphFont"/>
    <w:rsid w:val="00C86212"/>
  </w:style>
  <w:style w:type="paragraph" w:styleId="TOC3">
    <w:name w:val="toc 3"/>
    <w:basedOn w:val="Normal"/>
    <w:next w:val="Normal"/>
    <w:autoRedefine/>
    <w:uiPriority w:val="39"/>
    <w:rsid w:val="0046707F"/>
    <w:pPr>
      <w:tabs>
        <w:tab w:val="left" w:pos="1512"/>
        <w:tab w:val="right" w:leader="dot" w:pos="9710"/>
      </w:tabs>
      <w:ind w:left="1080" w:hanging="288"/>
    </w:pPr>
  </w:style>
  <w:style w:type="paragraph" w:styleId="BalloonText">
    <w:name w:val="Balloon Text"/>
    <w:basedOn w:val="Normal"/>
    <w:semiHidden/>
    <w:rsid w:val="0017121E"/>
    <w:rPr>
      <w:rFonts w:ascii="Tahoma" w:hAnsi="Tahoma" w:cs="Tahoma"/>
      <w:sz w:val="16"/>
      <w:szCs w:val="16"/>
    </w:rPr>
  </w:style>
  <w:style w:type="character" w:styleId="FollowedHyperlink">
    <w:name w:val="FollowedHyperlink"/>
    <w:basedOn w:val="DefaultParagraphFont"/>
    <w:rsid w:val="009D3CEE"/>
    <w:rPr>
      <w:color w:val="800080"/>
      <w:u w:val="single"/>
    </w:rPr>
  </w:style>
  <w:style w:type="paragraph" w:styleId="TOC4">
    <w:name w:val="toc 4"/>
    <w:basedOn w:val="Normal"/>
    <w:next w:val="Normal"/>
    <w:autoRedefine/>
    <w:semiHidden/>
    <w:rsid w:val="00805571"/>
    <w:pPr>
      <w:ind w:left="1512" w:hanging="360"/>
    </w:pPr>
  </w:style>
  <w:style w:type="paragraph" w:styleId="TOC5">
    <w:name w:val="toc 5"/>
    <w:basedOn w:val="Normal"/>
    <w:next w:val="Normal"/>
    <w:autoRedefine/>
    <w:uiPriority w:val="39"/>
    <w:rsid w:val="0046707F"/>
    <w:pPr>
      <w:tabs>
        <w:tab w:val="right" w:leader="dot" w:pos="9710"/>
      </w:tabs>
      <w:ind w:left="1800" w:hanging="720"/>
    </w:pPr>
  </w:style>
  <w:style w:type="character" w:styleId="CommentReference">
    <w:name w:val="annotation reference"/>
    <w:basedOn w:val="DefaultParagraphFont"/>
    <w:semiHidden/>
    <w:unhideWhenUsed/>
    <w:rsid w:val="00D24604"/>
    <w:rPr>
      <w:sz w:val="16"/>
      <w:szCs w:val="16"/>
    </w:rPr>
  </w:style>
  <w:style w:type="paragraph" w:styleId="CommentText">
    <w:name w:val="annotation text"/>
    <w:basedOn w:val="Normal"/>
    <w:link w:val="CommentTextChar"/>
    <w:semiHidden/>
    <w:unhideWhenUsed/>
    <w:rsid w:val="00D24604"/>
    <w:rPr>
      <w:sz w:val="20"/>
      <w:szCs w:val="20"/>
    </w:rPr>
  </w:style>
  <w:style w:type="character" w:customStyle="1" w:styleId="CommentTextChar">
    <w:name w:val="Comment Text Char"/>
    <w:basedOn w:val="DefaultParagraphFont"/>
    <w:link w:val="CommentText"/>
    <w:semiHidden/>
    <w:rsid w:val="00D24604"/>
  </w:style>
  <w:style w:type="paragraph" w:styleId="CommentSubject">
    <w:name w:val="annotation subject"/>
    <w:basedOn w:val="CommentText"/>
    <w:next w:val="CommentText"/>
    <w:link w:val="CommentSubjectChar"/>
    <w:semiHidden/>
    <w:unhideWhenUsed/>
    <w:rsid w:val="00D24604"/>
    <w:rPr>
      <w:b/>
      <w:bCs/>
    </w:rPr>
  </w:style>
  <w:style w:type="character" w:customStyle="1" w:styleId="CommentSubjectChar">
    <w:name w:val="Comment Subject Char"/>
    <w:basedOn w:val="CommentTextChar"/>
    <w:link w:val="CommentSubject"/>
    <w:semiHidden/>
    <w:rsid w:val="00D24604"/>
    <w:rPr>
      <w:b/>
      <w:bCs/>
    </w:rPr>
  </w:style>
  <w:style w:type="paragraph" w:styleId="ListParagraph">
    <w:name w:val="List Paragraph"/>
    <w:basedOn w:val="Normal"/>
    <w:uiPriority w:val="34"/>
    <w:qFormat/>
    <w:rsid w:val="003B4665"/>
    <w:pPr>
      <w:ind w:left="720"/>
      <w:contextualSpacing/>
    </w:pPr>
  </w:style>
  <w:style w:type="character" w:customStyle="1" w:styleId="FooterChar">
    <w:name w:val="Footer Char"/>
    <w:basedOn w:val="DefaultParagraphFont"/>
    <w:link w:val="Footer"/>
    <w:uiPriority w:val="99"/>
    <w:rsid w:val="000B00BA"/>
    <w:rPr>
      <w:sz w:val="24"/>
      <w:szCs w:val="24"/>
    </w:rPr>
  </w:style>
  <w:style w:type="character" w:customStyle="1" w:styleId="UnresolvedMention">
    <w:name w:val="Unresolved Mention"/>
    <w:basedOn w:val="DefaultParagraphFont"/>
    <w:uiPriority w:val="99"/>
    <w:semiHidden/>
    <w:unhideWhenUsed/>
    <w:rsid w:val="00282DDD"/>
    <w:rPr>
      <w:color w:val="808080"/>
      <w:shd w:val="clear" w:color="auto" w:fill="E6E6E6"/>
    </w:rPr>
  </w:style>
  <w:style w:type="paragraph" w:styleId="TOCHeading">
    <w:name w:val="TOC Heading"/>
    <w:basedOn w:val="Heading1"/>
    <w:next w:val="Normal"/>
    <w:uiPriority w:val="39"/>
    <w:unhideWhenUsed/>
    <w:qFormat/>
    <w:rsid w:val="00F06DC7"/>
    <w:pPr>
      <w:keepLines/>
      <w:widowControl/>
      <w:numPr>
        <w:numId w:val="0"/>
      </w:numPr>
      <w:adjustRightInd/>
      <w:spacing w:after="0" w:line="259" w:lineRule="auto"/>
      <w:outlineLvl w:val="9"/>
    </w:pPr>
    <w:rPr>
      <w:rFonts w:asciiTheme="majorHAnsi" w:eastAsiaTheme="majorEastAsia" w:hAnsiTheme="majorHAnsi" w:cstheme="majorBidi"/>
      <w:bCs w:val="0"/>
      <w:color w:val="365F91" w:themeColor="accent1" w:themeShade="BF"/>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79">
      <w:bodyDiv w:val="1"/>
      <w:marLeft w:val="0"/>
      <w:marRight w:val="0"/>
      <w:marTop w:val="0"/>
      <w:marBottom w:val="0"/>
      <w:divBdr>
        <w:top w:val="none" w:sz="0" w:space="0" w:color="auto"/>
        <w:left w:val="none" w:sz="0" w:space="0" w:color="auto"/>
        <w:bottom w:val="none" w:sz="0" w:space="0" w:color="auto"/>
        <w:right w:val="none" w:sz="0" w:space="0" w:color="auto"/>
      </w:divBdr>
    </w:div>
    <w:div w:id="7486027">
      <w:bodyDiv w:val="1"/>
      <w:marLeft w:val="0"/>
      <w:marRight w:val="0"/>
      <w:marTop w:val="0"/>
      <w:marBottom w:val="0"/>
      <w:divBdr>
        <w:top w:val="none" w:sz="0" w:space="0" w:color="auto"/>
        <w:left w:val="none" w:sz="0" w:space="0" w:color="auto"/>
        <w:bottom w:val="none" w:sz="0" w:space="0" w:color="auto"/>
        <w:right w:val="none" w:sz="0" w:space="0" w:color="auto"/>
      </w:divBdr>
    </w:div>
    <w:div w:id="41634872">
      <w:bodyDiv w:val="1"/>
      <w:marLeft w:val="0"/>
      <w:marRight w:val="0"/>
      <w:marTop w:val="0"/>
      <w:marBottom w:val="0"/>
      <w:divBdr>
        <w:top w:val="none" w:sz="0" w:space="0" w:color="auto"/>
        <w:left w:val="none" w:sz="0" w:space="0" w:color="auto"/>
        <w:bottom w:val="none" w:sz="0" w:space="0" w:color="auto"/>
        <w:right w:val="none" w:sz="0" w:space="0" w:color="auto"/>
      </w:divBdr>
    </w:div>
    <w:div w:id="50348699">
      <w:bodyDiv w:val="1"/>
      <w:marLeft w:val="0"/>
      <w:marRight w:val="0"/>
      <w:marTop w:val="0"/>
      <w:marBottom w:val="0"/>
      <w:divBdr>
        <w:top w:val="none" w:sz="0" w:space="0" w:color="auto"/>
        <w:left w:val="none" w:sz="0" w:space="0" w:color="auto"/>
        <w:bottom w:val="none" w:sz="0" w:space="0" w:color="auto"/>
        <w:right w:val="none" w:sz="0" w:space="0" w:color="auto"/>
      </w:divBdr>
    </w:div>
    <w:div w:id="50350621">
      <w:bodyDiv w:val="1"/>
      <w:marLeft w:val="0"/>
      <w:marRight w:val="0"/>
      <w:marTop w:val="0"/>
      <w:marBottom w:val="0"/>
      <w:divBdr>
        <w:top w:val="none" w:sz="0" w:space="0" w:color="auto"/>
        <w:left w:val="none" w:sz="0" w:space="0" w:color="auto"/>
        <w:bottom w:val="none" w:sz="0" w:space="0" w:color="auto"/>
        <w:right w:val="none" w:sz="0" w:space="0" w:color="auto"/>
      </w:divBdr>
    </w:div>
    <w:div w:id="52390877">
      <w:bodyDiv w:val="1"/>
      <w:marLeft w:val="0"/>
      <w:marRight w:val="0"/>
      <w:marTop w:val="0"/>
      <w:marBottom w:val="0"/>
      <w:divBdr>
        <w:top w:val="none" w:sz="0" w:space="0" w:color="auto"/>
        <w:left w:val="none" w:sz="0" w:space="0" w:color="auto"/>
        <w:bottom w:val="none" w:sz="0" w:space="0" w:color="auto"/>
        <w:right w:val="none" w:sz="0" w:space="0" w:color="auto"/>
      </w:divBdr>
    </w:div>
    <w:div w:id="61756585">
      <w:bodyDiv w:val="1"/>
      <w:marLeft w:val="0"/>
      <w:marRight w:val="0"/>
      <w:marTop w:val="0"/>
      <w:marBottom w:val="0"/>
      <w:divBdr>
        <w:top w:val="none" w:sz="0" w:space="0" w:color="auto"/>
        <w:left w:val="none" w:sz="0" w:space="0" w:color="auto"/>
        <w:bottom w:val="none" w:sz="0" w:space="0" w:color="auto"/>
        <w:right w:val="none" w:sz="0" w:space="0" w:color="auto"/>
      </w:divBdr>
    </w:div>
    <w:div w:id="73087847">
      <w:bodyDiv w:val="1"/>
      <w:marLeft w:val="0"/>
      <w:marRight w:val="0"/>
      <w:marTop w:val="0"/>
      <w:marBottom w:val="0"/>
      <w:divBdr>
        <w:top w:val="none" w:sz="0" w:space="0" w:color="auto"/>
        <w:left w:val="none" w:sz="0" w:space="0" w:color="auto"/>
        <w:bottom w:val="none" w:sz="0" w:space="0" w:color="auto"/>
        <w:right w:val="none" w:sz="0" w:space="0" w:color="auto"/>
      </w:divBdr>
    </w:div>
    <w:div w:id="88891498">
      <w:bodyDiv w:val="1"/>
      <w:marLeft w:val="0"/>
      <w:marRight w:val="0"/>
      <w:marTop w:val="0"/>
      <w:marBottom w:val="0"/>
      <w:divBdr>
        <w:top w:val="none" w:sz="0" w:space="0" w:color="auto"/>
        <w:left w:val="none" w:sz="0" w:space="0" w:color="auto"/>
        <w:bottom w:val="none" w:sz="0" w:space="0" w:color="auto"/>
        <w:right w:val="none" w:sz="0" w:space="0" w:color="auto"/>
      </w:divBdr>
    </w:div>
    <w:div w:id="90012420">
      <w:bodyDiv w:val="1"/>
      <w:marLeft w:val="0"/>
      <w:marRight w:val="0"/>
      <w:marTop w:val="0"/>
      <w:marBottom w:val="0"/>
      <w:divBdr>
        <w:top w:val="none" w:sz="0" w:space="0" w:color="auto"/>
        <w:left w:val="none" w:sz="0" w:space="0" w:color="auto"/>
        <w:bottom w:val="none" w:sz="0" w:space="0" w:color="auto"/>
        <w:right w:val="none" w:sz="0" w:space="0" w:color="auto"/>
      </w:divBdr>
    </w:div>
    <w:div w:id="90398976">
      <w:bodyDiv w:val="1"/>
      <w:marLeft w:val="0"/>
      <w:marRight w:val="0"/>
      <w:marTop w:val="0"/>
      <w:marBottom w:val="0"/>
      <w:divBdr>
        <w:top w:val="none" w:sz="0" w:space="0" w:color="auto"/>
        <w:left w:val="none" w:sz="0" w:space="0" w:color="auto"/>
        <w:bottom w:val="none" w:sz="0" w:space="0" w:color="auto"/>
        <w:right w:val="none" w:sz="0" w:space="0" w:color="auto"/>
      </w:divBdr>
    </w:div>
    <w:div w:id="94593013">
      <w:bodyDiv w:val="1"/>
      <w:marLeft w:val="0"/>
      <w:marRight w:val="0"/>
      <w:marTop w:val="0"/>
      <w:marBottom w:val="0"/>
      <w:divBdr>
        <w:top w:val="none" w:sz="0" w:space="0" w:color="auto"/>
        <w:left w:val="none" w:sz="0" w:space="0" w:color="auto"/>
        <w:bottom w:val="none" w:sz="0" w:space="0" w:color="auto"/>
        <w:right w:val="none" w:sz="0" w:space="0" w:color="auto"/>
      </w:divBdr>
    </w:div>
    <w:div w:id="109782311">
      <w:bodyDiv w:val="1"/>
      <w:marLeft w:val="0"/>
      <w:marRight w:val="0"/>
      <w:marTop w:val="0"/>
      <w:marBottom w:val="0"/>
      <w:divBdr>
        <w:top w:val="none" w:sz="0" w:space="0" w:color="auto"/>
        <w:left w:val="none" w:sz="0" w:space="0" w:color="auto"/>
        <w:bottom w:val="none" w:sz="0" w:space="0" w:color="auto"/>
        <w:right w:val="none" w:sz="0" w:space="0" w:color="auto"/>
      </w:divBdr>
    </w:div>
    <w:div w:id="110706927">
      <w:bodyDiv w:val="1"/>
      <w:marLeft w:val="0"/>
      <w:marRight w:val="0"/>
      <w:marTop w:val="0"/>
      <w:marBottom w:val="0"/>
      <w:divBdr>
        <w:top w:val="none" w:sz="0" w:space="0" w:color="auto"/>
        <w:left w:val="none" w:sz="0" w:space="0" w:color="auto"/>
        <w:bottom w:val="none" w:sz="0" w:space="0" w:color="auto"/>
        <w:right w:val="none" w:sz="0" w:space="0" w:color="auto"/>
      </w:divBdr>
    </w:div>
    <w:div w:id="131411603">
      <w:bodyDiv w:val="1"/>
      <w:marLeft w:val="0"/>
      <w:marRight w:val="0"/>
      <w:marTop w:val="0"/>
      <w:marBottom w:val="0"/>
      <w:divBdr>
        <w:top w:val="none" w:sz="0" w:space="0" w:color="auto"/>
        <w:left w:val="none" w:sz="0" w:space="0" w:color="auto"/>
        <w:bottom w:val="none" w:sz="0" w:space="0" w:color="auto"/>
        <w:right w:val="none" w:sz="0" w:space="0" w:color="auto"/>
      </w:divBdr>
    </w:div>
    <w:div w:id="136336620">
      <w:bodyDiv w:val="1"/>
      <w:marLeft w:val="0"/>
      <w:marRight w:val="0"/>
      <w:marTop w:val="0"/>
      <w:marBottom w:val="0"/>
      <w:divBdr>
        <w:top w:val="none" w:sz="0" w:space="0" w:color="auto"/>
        <w:left w:val="none" w:sz="0" w:space="0" w:color="auto"/>
        <w:bottom w:val="none" w:sz="0" w:space="0" w:color="auto"/>
        <w:right w:val="none" w:sz="0" w:space="0" w:color="auto"/>
      </w:divBdr>
    </w:div>
    <w:div w:id="142432812">
      <w:bodyDiv w:val="1"/>
      <w:marLeft w:val="0"/>
      <w:marRight w:val="0"/>
      <w:marTop w:val="0"/>
      <w:marBottom w:val="0"/>
      <w:divBdr>
        <w:top w:val="none" w:sz="0" w:space="0" w:color="auto"/>
        <w:left w:val="none" w:sz="0" w:space="0" w:color="auto"/>
        <w:bottom w:val="none" w:sz="0" w:space="0" w:color="auto"/>
        <w:right w:val="none" w:sz="0" w:space="0" w:color="auto"/>
      </w:divBdr>
    </w:div>
    <w:div w:id="147796040">
      <w:bodyDiv w:val="1"/>
      <w:marLeft w:val="0"/>
      <w:marRight w:val="0"/>
      <w:marTop w:val="0"/>
      <w:marBottom w:val="0"/>
      <w:divBdr>
        <w:top w:val="none" w:sz="0" w:space="0" w:color="auto"/>
        <w:left w:val="none" w:sz="0" w:space="0" w:color="auto"/>
        <w:bottom w:val="none" w:sz="0" w:space="0" w:color="auto"/>
        <w:right w:val="none" w:sz="0" w:space="0" w:color="auto"/>
      </w:divBdr>
    </w:div>
    <w:div w:id="152795866">
      <w:bodyDiv w:val="1"/>
      <w:marLeft w:val="0"/>
      <w:marRight w:val="0"/>
      <w:marTop w:val="0"/>
      <w:marBottom w:val="0"/>
      <w:divBdr>
        <w:top w:val="none" w:sz="0" w:space="0" w:color="auto"/>
        <w:left w:val="none" w:sz="0" w:space="0" w:color="auto"/>
        <w:bottom w:val="none" w:sz="0" w:space="0" w:color="auto"/>
        <w:right w:val="none" w:sz="0" w:space="0" w:color="auto"/>
      </w:divBdr>
    </w:div>
    <w:div w:id="153644710">
      <w:bodyDiv w:val="1"/>
      <w:marLeft w:val="0"/>
      <w:marRight w:val="0"/>
      <w:marTop w:val="0"/>
      <w:marBottom w:val="0"/>
      <w:divBdr>
        <w:top w:val="none" w:sz="0" w:space="0" w:color="auto"/>
        <w:left w:val="none" w:sz="0" w:space="0" w:color="auto"/>
        <w:bottom w:val="none" w:sz="0" w:space="0" w:color="auto"/>
        <w:right w:val="none" w:sz="0" w:space="0" w:color="auto"/>
      </w:divBdr>
    </w:div>
    <w:div w:id="157115971">
      <w:bodyDiv w:val="1"/>
      <w:marLeft w:val="0"/>
      <w:marRight w:val="0"/>
      <w:marTop w:val="0"/>
      <w:marBottom w:val="0"/>
      <w:divBdr>
        <w:top w:val="none" w:sz="0" w:space="0" w:color="auto"/>
        <w:left w:val="none" w:sz="0" w:space="0" w:color="auto"/>
        <w:bottom w:val="none" w:sz="0" w:space="0" w:color="auto"/>
        <w:right w:val="none" w:sz="0" w:space="0" w:color="auto"/>
      </w:divBdr>
    </w:div>
    <w:div w:id="160589877">
      <w:bodyDiv w:val="1"/>
      <w:marLeft w:val="0"/>
      <w:marRight w:val="0"/>
      <w:marTop w:val="0"/>
      <w:marBottom w:val="0"/>
      <w:divBdr>
        <w:top w:val="none" w:sz="0" w:space="0" w:color="auto"/>
        <w:left w:val="none" w:sz="0" w:space="0" w:color="auto"/>
        <w:bottom w:val="none" w:sz="0" w:space="0" w:color="auto"/>
        <w:right w:val="none" w:sz="0" w:space="0" w:color="auto"/>
      </w:divBdr>
    </w:div>
    <w:div w:id="166798968">
      <w:bodyDiv w:val="1"/>
      <w:marLeft w:val="0"/>
      <w:marRight w:val="0"/>
      <w:marTop w:val="0"/>
      <w:marBottom w:val="0"/>
      <w:divBdr>
        <w:top w:val="none" w:sz="0" w:space="0" w:color="auto"/>
        <w:left w:val="none" w:sz="0" w:space="0" w:color="auto"/>
        <w:bottom w:val="none" w:sz="0" w:space="0" w:color="auto"/>
        <w:right w:val="none" w:sz="0" w:space="0" w:color="auto"/>
      </w:divBdr>
    </w:div>
    <w:div w:id="168064839">
      <w:bodyDiv w:val="1"/>
      <w:marLeft w:val="0"/>
      <w:marRight w:val="0"/>
      <w:marTop w:val="0"/>
      <w:marBottom w:val="0"/>
      <w:divBdr>
        <w:top w:val="none" w:sz="0" w:space="0" w:color="auto"/>
        <w:left w:val="none" w:sz="0" w:space="0" w:color="auto"/>
        <w:bottom w:val="none" w:sz="0" w:space="0" w:color="auto"/>
        <w:right w:val="none" w:sz="0" w:space="0" w:color="auto"/>
      </w:divBdr>
    </w:div>
    <w:div w:id="179246174">
      <w:bodyDiv w:val="1"/>
      <w:marLeft w:val="0"/>
      <w:marRight w:val="0"/>
      <w:marTop w:val="0"/>
      <w:marBottom w:val="0"/>
      <w:divBdr>
        <w:top w:val="none" w:sz="0" w:space="0" w:color="auto"/>
        <w:left w:val="none" w:sz="0" w:space="0" w:color="auto"/>
        <w:bottom w:val="none" w:sz="0" w:space="0" w:color="auto"/>
        <w:right w:val="none" w:sz="0" w:space="0" w:color="auto"/>
      </w:divBdr>
    </w:div>
    <w:div w:id="183708951">
      <w:bodyDiv w:val="1"/>
      <w:marLeft w:val="0"/>
      <w:marRight w:val="0"/>
      <w:marTop w:val="0"/>
      <w:marBottom w:val="0"/>
      <w:divBdr>
        <w:top w:val="none" w:sz="0" w:space="0" w:color="auto"/>
        <w:left w:val="none" w:sz="0" w:space="0" w:color="auto"/>
        <w:bottom w:val="none" w:sz="0" w:space="0" w:color="auto"/>
        <w:right w:val="none" w:sz="0" w:space="0" w:color="auto"/>
      </w:divBdr>
    </w:div>
    <w:div w:id="188303372">
      <w:bodyDiv w:val="1"/>
      <w:marLeft w:val="0"/>
      <w:marRight w:val="0"/>
      <w:marTop w:val="0"/>
      <w:marBottom w:val="0"/>
      <w:divBdr>
        <w:top w:val="none" w:sz="0" w:space="0" w:color="auto"/>
        <w:left w:val="none" w:sz="0" w:space="0" w:color="auto"/>
        <w:bottom w:val="none" w:sz="0" w:space="0" w:color="auto"/>
        <w:right w:val="none" w:sz="0" w:space="0" w:color="auto"/>
      </w:divBdr>
    </w:div>
    <w:div w:id="194345980">
      <w:bodyDiv w:val="1"/>
      <w:marLeft w:val="0"/>
      <w:marRight w:val="0"/>
      <w:marTop w:val="0"/>
      <w:marBottom w:val="0"/>
      <w:divBdr>
        <w:top w:val="none" w:sz="0" w:space="0" w:color="auto"/>
        <w:left w:val="none" w:sz="0" w:space="0" w:color="auto"/>
        <w:bottom w:val="none" w:sz="0" w:space="0" w:color="auto"/>
        <w:right w:val="none" w:sz="0" w:space="0" w:color="auto"/>
      </w:divBdr>
    </w:div>
    <w:div w:id="199175010">
      <w:bodyDiv w:val="1"/>
      <w:marLeft w:val="0"/>
      <w:marRight w:val="0"/>
      <w:marTop w:val="0"/>
      <w:marBottom w:val="0"/>
      <w:divBdr>
        <w:top w:val="none" w:sz="0" w:space="0" w:color="auto"/>
        <w:left w:val="none" w:sz="0" w:space="0" w:color="auto"/>
        <w:bottom w:val="none" w:sz="0" w:space="0" w:color="auto"/>
        <w:right w:val="none" w:sz="0" w:space="0" w:color="auto"/>
      </w:divBdr>
    </w:div>
    <w:div w:id="210072956">
      <w:bodyDiv w:val="1"/>
      <w:marLeft w:val="0"/>
      <w:marRight w:val="0"/>
      <w:marTop w:val="0"/>
      <w:marBottom w:val="0"/>
      <w:divBdr>
        <w:top w:val="none" w:sz="0" w:space="0" w:color="auto"/>
        <w:left w:val="none" w:sz="0" w:space="0" w:color="auto"/>
        <w:bottom w:val="none" w:sz="0" w:space="0" w:color="auto"/>
        <w:right w:val="none" w:sz="0" w:space="0" w:color="auto"/>
      </w:divBdr>
    </w:div>
    <w:div w:id="218790156">
      <w:bodyDiv w:val="1"/>
      <w:marLeft w:val="0"/>
      <w:marRight w:val="0"/>
      <w:marTop w:val="0"/>
      <w:marBottom w:val="0"/>
      <w:divBdr>
        <w:top w:val="none" w:sz="0" w:space="0" w:color="auto"/>
        <w:left w:val="none" w:sz="0" w:space="0" w:color="auto"/>
        <w:bottom w:val="none" w:sz="0" w:space="0" w:color="auto"/>
        <w:right w:val="none" w:sz="0" w:space="0" w:color="auto"/>
      </w:divBdr>
    </w:div>
    <w:div w:id="226645614">
      <w:bodyDiv w:val="1"/>
      <w:marLeft w:val="0"/>
      <w:marRight w:val="0"/>
      <w:marTop w:val="0"/>
      <w:marBottom w:val="0"/>
      <w:divBdr>
        <w:top w:val="none" w:sz="0" w:space="0" w:color="auto"/>
        <w:left w:val="none" w:sz="0" w:space="0" w:color="auto"/>
        <w:bottom w:val="none" w:sz="0" w:space="0" w:color="auto"/>
        <w:right w:val="none" w:sz="0" w:space="0" w:color="auto"/>
      </w:divBdr>
    </w:div>
    <w:div w:id="248586864">
      <w:bodyDiv w:val="1"/>
      <w:marLeft w:val="0"/>
      <w:marRight w:val="0"/>
      <w:marTop w:val="0"/>
      <w:marBottom w:val="0"/>
      <w:divBdr>
        <w:top w:val="none" w:sz="0" w:space="0" w:color="auto"/>
        <w:left w:val="none" w:sz="0" w:space="0" w:color="auto"/>
        <w:bottom w:val="none" w:sz="0" w:space="0" w:color="auto"/>
        <w:right w:val="none" w:sz="0" w:space="0" w:color="auto"/>
      </w:divBdr>
    </w:div>
    <w:div w:id="258952305">
      <w:bodyDiv w:val="1"/>
      <w:marLeft w:val="0"/>
      <w:marRight w:val="0"/>
      <w:marTop w:val="0"/>
      <w:marBottom w:val="0"/>
      <w:divBdr>
        <w:top w:val="none" w:sz="0" w:space="0" w:color="auto"/>
        <w:left w:val="none" w:sz="0" w:space="0" w:color="auto"/>
        <w:bottom w:val="none" w:sz="0" w:space="0" w:color="auto"/>
        <w:right w:val="none" w:sz="0" w:space="0" w:color="auto"/>
      </w:divBdr>
    </w:div>
    <w:div w:id="272329692">
      <w:bodyDiv w:val="1"/>
      <w:marLeft w:val="0"/>
      <w:marRight w:val="0"/>
      <w:marTop w:val="0"/>
      <w:marBottom w:val="0"/>
      <w:divBdr>
        <w:top w:val="none" w:sz="0" w:space="0" w:color="auto"/>
        <w:left w:val="none" w:sz="0" w:space="0" w:color="auto"/>
        <w:bottom w:val="none" w:sz="0" w:space="0" w:color="auto"/>
        <w:right w:val="none" w:sz="0" w:space="0" w:color="auto"/>
      </w:divBdr>
    </w:div>
    <w:div w:id="301547748">
      <w:bodyDiv w:val="1"/>
      <w:marLeft w:val="0"/>
      <w:marRight w:val="0"/>
      <w:marTop w:val="0"/>
      <w:marBottom w:val="0"/>
      <w:divBdr>
        <w:top w:val="none" w:sz="0" w:space="0" w:color="auto"/>
        <w:left w:val="none" w:sz="0" w:space="0" w:color="auto"/>
        <w:bottom w:val="none" w:sz="0" w:space="0" w:color="auto"/>
        <w:right w:val="none" w:sz="0" w:space="0" w:color="auto"/>
      </w:divBdr>
    </w:div>
    <w:div w:id="317852959">
      <w:bodyDiv w:val="1"/>
      <w:marLeft w:val="0"/>
      <w:marRight w:val="0"/>
      <w:marTop w:val="0"/>
      <w:marBottom w:val="0"/>
      <w:divBdr>
        <w:top w:val="none" w:sz="0" w:space="0" w:color="auto"/>
        <w:left w:val="none" w:sz="0" w:space="0" w:color="auto"/>
        <w:bottom w:val="none" w:sz="0" w:space="0" w:color="auto"/>
        <w:right w:val="none" w:sz="0" w:space="0" w:color="auto"/>
      </w:divBdr>
    </w:div>
    <w:div w:id="320893505">
      <w:bodyDiv w:val="1"/>
      <w:marLeft w:val="0"/>
      <w:marRight w:val="0"/>
      <w:marTop w:val="0"/>
      <w:marBottom w:val="0"/>
      <w:divBdr>
        <w:top w:val="none" w:sz="0" w:space="0" w:color="auto"/>
        <w:left w:val="none" w:sz="0" w:space="0" w:color="auto"/>
        <w:bottom w:val="none" w:sz="0" w:space="0" w:color="auto"/>
        <w:right w:val="none" w:sz="0" w:space="0" w:color="auto"/>
      </w:divBdr>
    </w:div>
    <w:div w:id="325287829">
      <w:bodyDiv w:val="1"/>
      <w:marLeft w:val="0"/>
      <w:marRight w:val="0"/>
      <w:marTop w:val="0"/>
      <w:marBottom w:val="0"/>
      <w:divBdr>
        <w:top w:val="none" w:sz="0" w:space="0" w:color="auto"/>
        <w:left w:val="none" w:sz="0" w:space="0" w:color="auto"/>
        <w:bottom w:val="none" w:sz="0" w:space="0" w:color="auto"/>
        <w:right w:val="none" w:sz="0" w:space="0" w:color="auto"/>
      </w:divBdr>
    </w:div>
    <w:div w:id="351154588">
      <w:bodyDiv w:val="1"/>
      <w:marLeft w:val="0"/>
      <w:marRight w:val="0"/>
      <w:marTop w:val="0"/>
      <w:marBottom w:val="0"/>
      <w:divBdr>
        <w:top w:val="none" w:sz="0" w:space="0" w:color="auto"/>
        <w:left w:val="none" w:sz="0" w:space="0" w:color="auto"/>
        <w:bottom w:val="none" w:sz="0" w:space="0" w:color="auto"/>
        <w:right w:val="none" w:sz="0" w:space="0" w:color="auto"/>
      </w:divBdr>
    </w:div>
    <w:div w:id="351684205">
      <w:bodyDiv w:val="1"/>
      <w:marLeft w:val="0"/>
      <w:marRight w:val="0"/>
      <w:marTop w:val="0"/>
      <w:marBottom w:val="0"/>
      <w:divBdr>
        <w:top w:val="none" w:sz="0" w:space="0" w:color="auto"/>
        <w:left w:val="none" w:sz="0" w:space="0" w:color="auto"/>
        <w:bottom w:val="none" w:sz="0" w:space="0" w:color="auto"/>
        <w:right w:val="none" w:sz="0" w:space="0" w:color="auto"/>
      </w:divBdr>
    </w:div>
    <w:div w:id="360513537">
      <w:bodyDiv w:val="1"/>
      <w:marLeft w:val="0"/>
      <w:marRight w:val="0"/>
      <w:marTop w:val="0"/>
      <w:marBottom w:val="0"/>
      <w:divBdr>
        <w:top w:val="none" w:sz="0" w:space="0" w:color="auto"/>
        <w:left w:val="none" w:sz="0" w:space="0" w:color="auto"/>
        <w:bottom w:val="none" w:sz="0" w:space="0" w:color="auto"/>
        <w:right w:val="none" w:sz="0" w:space="0" w:color="auto"/>
      </w:divBdr>
    </w:div>
    <w:div w:id="381248510">
      <w:bodyDiv w:val="1"/>
      <w:marLeft w:val="0"/>
      <w:marRight w:val="0"/>
      <w:marTop w:val="0"/>
      <w:marBottom w:val="0"/>
      <w:divBdr>
        <w:top w:val="none" w:sz="0" w:space="0" w:color="auto"/>
        <w:left w:val="none" w:sz="0" w:space="0" w:color="auto"/>
        <w:bottom w:val="none" w:sz="0" w:space="0" w:color="auto"/>
        <w:right w:val="none" w:sz="0" w:space="0" w:color="auto"/>
      </w:divBdr>
    </w:div>
    <w:div w:id="381561269">
      <w:bodyDiv w:val="1"/>
      <w:marLeft w:val="0"/>
      <w:marRight w:val="0"/>
      <w:marTop w:val="0"/>
      <w:marBottom w:val="0"/>
      <w:divBdr>
        <w:top w:val="none" w:sz="0" w:space="0" w:color="auto"/>
        <w:left w:val="none" w:sz="0" w:space="0" w:color="auto"/>
        <w:bottom w:val="none" w:sz="0" w:space="0" w:color="auto"/>
        <w:right w:val="none" w:sz="0" w:space="0" w:color="auto"/>
      </w:divBdr>
    </w:div>
    <w:div w:id="384304054">
      <w:bodyDiv w:val="1"/>
      <w:marLeft w:val="0"/>
      <w:marRight w:val="0"/>
      <w:marTop w:val="0"/>
      <w:marBottom w:val="0"/>
      <w:divBdr>
        <w:top w:val="none" w:sz="0" w:space="0" w:color="auto"/>
        <w:left w:val="none" w:sz="0" w:space="0" w:color="auto"/>
        <w:bottom w:val="none" w:sz="0" w:space="0" w:color="auto"/>
        <w:right w:val="none" w:sz="0" w:space="0" w:color="auto"/>
      </w:divBdr>
    </w:div>
    <w:div w:id="417291609">
      <w:bodyDiv w:val="1"/>
      <w:marLeft w:val="0"/>
      <w:marRight w:val="0"/>
      <w:marTop w:val="0"/>
      <w:marBottom w:val="0"/>
      <w:divBdr>
        <w:top w:val="none" w:sz="0" w:space="0" w:color="auto"/>
        <w:left w:val="none" w:sz="0" w:space="0" w:color="auto"/>
        <w:bottom w:val="none" w:sz="0" w:space="0" w:color="auto"/>
        <w:right w:val="none" w:sz="0" w:space="0" w:color="auto"/>
      </w:divBdr>
    </w:div>
    <w:div w:id="419839366">
      <w:bodyDiv w:val="1"/>
      <w:marLeft w:val="0"/>
      <w:marRight w:val="0"/>
      <w:marTop w:val="0"/>
      <w:marBottom w:val="0"/>
      <w:divBdr>
        <w:top w:val="none" w:sz="0" w:space="0" w:color="auto"/>
        <w:left w:val="none" w:sz="0" w:space="0" w:color="auto"/>
        <w:bottom w:val="none" w:sz="0" w:space="0" w:color="auto"/>
        <w:right w:val="none" w:sz="0" w:space="0" w:color="auto"/>
      </w:divBdr>
    </w:div>
    <w:div w:id="421999964">
      <w:bodyDiv w:val="1"/>
      <w:marLeft w:val="0"/>
      <w:marRight w:val="0"/>
      <w:marTop w:val="0"/>
      <w:marBottom w:val="0"/>
      <w:divBdr>
        <w:top w:val="none" w:sz="0" w:space="0" w:color="auto"/>
        <w:left w:val="none" w:sz="0" w:space="0" w:color="auto"/>
        <w:bottom w:val="none" w:sz="0" w:space="0" w:color="auto"/>
        <w:right w:val="none" w:sz="0" w:space="0" w:color="auto"/>
      </w:divBdr>
    </w:div>
    <w:div w:id="435560650">
      <w:bodyDiv w:val="1"/>
      <w:marLeft w:val="0"/>
      <w:marRight w:val="0"/>
      <w:marTop w:val="0"/>
      <w:marBottom w:val="0"/>
      <w:divBdr>
        <w:top w:val="none" w:sz="0" w:space="0" w:color="auto"/>
        <w:left w:val="none" w:sz="0" w:space="0" w:color="auto"/>
        <w:bottom w:val="none" w:sz="0" w:space="0" w:color="auto"/>
        <w:right w:val="none" w:sz="0" w:space="0" w:color="auto"/>
      </w:divBdr>
    </w:div>
    <w:div w:id="435561783">
      <w:bodyDiv w:val="1"/>
      <w:marLeft w:val="0"/>
      <w:marRight w:val="0"/>
      <w:marTop w:val="0"/>
      <w:marBottom w:val="0"/>
      <w:divBdr>
        <w:top w:val="none" w:sz="0" w:space="0" w:color="auto"/>
        <w:left w:val="none" w:sz="0" w:space="0" w:color="auto"/>
        <w:bottom w:val="none" w:sz="0" w:space="0" w:color="auto"/>
        <w:right w:val="none" w:sz="0" w:space="0" w:color="auto"/>
      </w:divBdr>
    </w:div>
    <w:div w:id="436872513">
      <w:bodyDiv w:val="1"/>
      <w:marLeft w:val="0"/>
      <w:marRight w:val="0"/>
      <w:marTop w:val="0"/>
      <w:marBottom w:val="0"/>
      <w:divBdr>
        <w:top w:val="none" w:sz="0" w:space="0" w:color="auto"/>
        <w:left w:val="none" w:sz="0" w:space="0" w:color="auto"/>
        <w:bottom w:val="none" w:sz="0" w:space="0" w:color="auto"/>
        <w:right w:val="none" w:sz="0" w:space="0" w:color="auto"/>
      </w:divBdr>
    </w:div>
    <w:div w:id="440152790">
      <w:bodyDiv w:val="1"/>
      <w:marLeft w:val="0"/>
      <w:marRight w:val="0"/>
      <w:marTop w:val="0"/>
      <w:marBottom w:val="0"/>
      <w:divBdr>
        <w:top w:val="none" w:sz="0" w:space="0" w:color="auto"/>
        <w:left w:val="none" w:sz="0" w:space="0" w:color="auto"/>
        <w:bottom w:val="none" w:sz="0" w:space="0" w:color="auto"/>
        <w:right w:val="none" w:sz="0" w:space="0" w:color="auto"/>
      </w:divBdr>
    </w:div>
    <w:div w:id="443353340">
      <w:bodyDiv w:val="1"/>
      <w:marLeft w:val="0"/>
      <w:marRight w:val="0"/>
      <w:marTop w:val="0"/>
      <w:marBottom w:val="0"/>
      <w:divBdr>
        <w:top w:val="none" w:sz="0" w:space="0" w:color="auto"/>
        <w:left w:val="none" w:sz="0" w:space="0" w:color="auto"/>
        <w:bottom w:val="none" w:sz="0" w:space="0" w:color="auto"/>
        <w:right w:val="none" w:sz="0" w:space="0" w:color="auto"/>
      </w:divBdr>
    </w:div>
    <w:div w:id="452095122">
      <w:bodyDiv w:val="1"/>
      <w:marLeft w:val="0"/>
      <w:marRight w:val="0"/>
      <w:marTop w:val="0"/>
      <w:marBottom w:val="0"/>
      <w:divBdr>
        <w:top w:val="none" w:sz="0" w:space="0" w:color="auto"/>
        <w:left w:val="none" w:sz="0" w:space="0" w:color="auto"/>
        <w:bottom w:val="none" w:sz="0" w:space="0" w:color="auto"/>
        <w:right w:val="none" w:sz="0" w:space="0" w:color="auto"/>
      </w:divBdr>
    </w:div>
    <w:div w:id="486046409">
      <w:bodyDiv w:val="1"/>
      <w:marLeft w:val="0"/>
      <w:marRight w:val="0"/>
      <w:marTop w:val="0"/>
      <w:marBottom w:val="0"/>
      <w:divBdr>
        <w:top w:val="none" w:sz="0" w:space="0" w:color="auto"/>
        <w:left w:val="none" w:sz="0" w:space="0" w:color="auto"/>
        <w:bottom w:val="none" w:sz="0" w:space="0" w:color="auto"/>
        <w:right w:val="none" w:sz="0" w:space="0" w:color="auto"/>
      </w:divBdr>
    </w:div>
    <w:div w:id="493910384">
      <w:bodyDiv w:val="1"/>
      <w:marLeft w:val="0"/>
      <w:marRight w:val="0"/>
      <w:marTop w:val="0"/>
      <w:marBottom w:val="0"/>
      <w:divBdr>
        <w:top w:val="none" w:sz="0" w:space="0" w:color="auto"/>
        <w:left w:val="none" w:sz="0" w:space="0" w:color="auto"/>
        <w:bottom w:val="none" w:sz="0" w:space="0" w:color="auto"/>
        <w:right w:val="none" w:sz="0" w:space="0" w:color="auto"/>
      </w:divBdr>
    </w:div>
    <w:div w:id="500124931">
      <w:bodyDiv w:val="1"/>
      <w:marLeft w:val="0"/>
      <w:marRight w:val="0"/>
      <w:marTop w:val="0"/>
      <w:marBottom w:val="0"/>
      <w:divBdr>
        <w:top w:val="none" w:sz="0" w:space="0" w:color="auto"/>
        <w:left w:val="none" w:sz="0" w:space="0" w:color="auto"/>
        <w:bottom w:val="none" w:sz="0" w:space="0" w:color="auto"/>
        <w:right w:val="none" w:sz="0" w:space="0" w:color="auto"/>
      </w:divBdr>
    </w:div>
    <w:div w:id="505020869">
      <w:bodyDiv w:val="1"/>
      <w:marLeft w:val="0"/>
      <w:marRight w:val="0"/>
      <w:marTop w:val="0"/>
      <w:marBottom w:val="0"/>
      <w:divBdr>
        <w:top w:val="none" w:sz="0" w:space="0" w:color="auto"/>
        <w:left w:val="none" w:sz="0" w:space="0" w:color="auto"/>
        <w:bottom w:val="none" w:sz="0" w:space="0" w:color="auto"/>
        <w:right w:val="none" w:sz="0" w:space="0" w:color="auto"/>
      </w:divBdr>
    </w:div>
    <w:div w:id="509834457">
      <w:bodyDiv w:val="1"/>
      <w:marLeft w:val="0"/>
      <w:marRight w:val="0"/>
      <w:marTop w:val="0"/>
      <w:marBottom w:val="0"/>
      <w:divBdr>
        <w:top w:val="none" w:sz="0" w:space="0" w:color="auto"/>
        <w:left w:val="none" w:sz="0" w:space="0" w:color="auto"/>
        <w:bottom w:val="none" w:sz="0" w:space="0" w:color="auto"/>
        <w:right w:val="none" w:sz="0" w:space="0" w:color="auto"/>
      </w:divBdr>
    </w:div>
    <w:div w:id="528186369">
      <w:bodyDiv w:val="1"/>
      <w:marLeft w:val="0"/>
      <w:marRight w:val="0"/>
      <w:marTop w:val="0"/>
      <w:marBottom w:val="0"/>
      <w:divBdr>
        <w:top w:val="none" w:sz="0" w:space="0" w:color="auto"/>
        <w:left w:val="none" w:sz="0" w:space="0" w:color="auto"/>
        <w:bottom w:val="none" w:sz="0" w:space="0" w:color="auto"/>
        <w:right w:val="none" w:sz="0" w:space="0" w:color="auto"/>
      </w:divBdr>
    </w:div>
    <w:div w:id="533428202">
      <w:bodyDiv w:val="1"/>
      <w:marLeft w:val="0"/>
      <w:marRight w:val="0"/>
      <w:marTop w:val="0"/>
      <w:marBottom w:val="0"/>
      <w:divBdr>
        <w:top w:val="none" w:sz="0" w:space="0" w:color="auto"/>
        <w:left w:val="none" w:sz="0" w:space="0" w:color="auto"/>
        <w:bottom w:val="none" w:sz="0" w:space="0" w:color="auto"/>
        <w:right w:val="none" w:sz="0" w:space="0" w:color="auto"/>
      </w:divBdr>
    </w:div>
    <w:div w:id="534268720">
      <w:bodyDiv w:val="1"/>
      <w:marLeft w:val="0"/>
      <w:marRight w:val="0"/>
      <w:marTop w:val="0"/>
      <w:marBottom w:val="0"/>
      <w:divBdr>
        <w:top w:val="none" w:sz="0" w:space="0" w:color="auto"/>
        <w:left w:val="none" w:sz="0" w:space="0" w:color="auto"/>
        <w:bottom w:val="none" w:sz="0" w:space="0" w:color="auto"/>
        <w:right w:val="none" w:sz="0" w:space="0" w:color="auto"/>
      </w:divBdr>
    </w:div>
    <w:div w:id="534387240">
      <w:bodyDiv w:val="1"/>
      <w:marLeft w:val="0"/>
      <w:marRight w:val="0"/>
      <w:marTop w:val="0"/>
      <w:marBottom w:val="0"/>
      <w:divBdr>
        <w:top w:val="none" w:sz="0" w:space="0" w:color="auto"/>
        <w:left w:val="none" w:sz="0" w:space="0" w:color="auto"/>
        <w:bottom w:val="none" w:sz="0" w:space="0" w:color="auto"/>
        <w:right w:val="none" w:sz="0" w:space="0" w:color="auto"/>
      </w:divBdr>
    </w:div>
    <w:div w:id="536813132">
      <w:bodyDiv w:val="1"/>
      <w:marLeft w:val="0"/>
      <w:marRight w:val="0"/>
      <w:marTop w:val="0"/>
      <w:marBottom w:val="0"/>
      <w:divBdr>
        <w:top w:val="none" w:sz="0" w:space="0" w:color="auto"/>
        <w:left w:val="none" w:sz="0" w:space="0" w:color="auto"/>
        <w:bottom w:val="none" w:sz="0" w:space="0" w:color="auto"/>
        <w:right w:val="none" w:sz="0" w:space="0" w:color="auto"/>
      </w:divBdr>
    </w:div>
    <w:div w:id="537163474">
      <w:bodyDiv w:val="1"/>
      <w:marLeft w:val="0"/>
      <w:marRight w:val="0"/>
      <w:marTop w:val="0"/>
      <w:marBottom w:val="0"/>
      <w:divBdr>
        <w:top w:val="none" w:sz="0" w:space="0" w:color="auto"/>
        <w:left w:val="none" w:sz="0" w:space="0" w:color="auto"/>
        <w:bottom w:val="none" w:sz="0" w:space="0" w:color="auto"/>
        <w:right w:val="none" w:sz="0" w:space="0" w:color="auto"/>
      </w:divBdr>
    </w:div>
    <w:div w:id="538593433">
      <w:bodyDiv w:val="1"/>
      <w:marLeft w:val="0"/>
      <w:marRight w:val="0"/>
      <w:marTop w:val="0"/>
      <w:marBottom w:val="0"/>
      <w:divBdr>
        <w:top w:val="none" w:sz="0" w:space="0" w:color="auto"/>
        <w:left w:val="none" w:sz="0" w:space="0" w:color="auto"/>
        <w:bottom w:val="none" w:sz="0" w:space="0" w:color="auto"/>
        <w:right w:val="none" w:sz="0" w:space="0" w:color="auto"/>
      </w:divBdr>
    </w:div>
    <w:div w:id="541595042">
      <w:bodyDiv w:val="1"/>
      <w:marLeft w:val="0"/>
      <w:marRight w:val="0"/>
      <w:marTop w:val="0"/>
      <w:marBottom w:val="0"/>
      <w:divBdr>
        <w:top w:val="none" w:sz="0" w:space="0" w:color="auto"/>
        <w:left w:val="none" w:sz="0" w:space="0" w:color="auto"/>
        <w:bottom w:val="none" w:sz="0" w:space="0" w:color="auto"/>
        <w:right w:val="none" w:sz="0" w:space="0" w:color="auto"/>
      </w:divBdr>
    </w:div>
    <w:div w:id="549222724">
      <w:bodyDiv w:val="1"/>
      <w:marLeft w:val="0"/>
      <w:marRight w:val="0"/>
      <w:marTop w:val="0"/>
      <w:marBottom w:val="0"/>
      <w:divBdr>
        <w:top w:val="none" w:sz="0" w:space="0" w:color="auto"/>
        <w:left w:val="none" w:sz="0" w:space="0" w:color="auto"/>
        <w:bottom w:val="none" w:sz="0" w:space="0" w:color="auto"/>
        <w:right w:val="none" w:sz="0" w:space="0" w:color="auto"/>
      </w:divBdr>
    </w:div>
    <w:div w:id="553276427">
      <w:bodyDiv w:val="1"/>
      <w:marLeft w:val="0"/>
      <w:marRight w:val="0"/>
      <w:marTop w:val="0"/>
      <w:marBottom w:val="0"/>
      <w:divBdr>
        <w:top w:val="none" w:sz="0" w:space="0" w:color="auto"/>
        <w:left w:val="none" w:sz="0" w:space="0" w:color="auto"/>
        <w:bottom w:val="none" w:sz="0" w:space="0" w:color="auto"/>
        <w:right w:val="none" w:sz="0" w:space="0" w:color="auto"/>
      </w:divBdr>
    </w:div>
    <w:div w:id="556933993">
      <w:bodyDiv w:val="1"/>
      <w:marLeft w:val="0"/>
      <w:marRight w:val="0"/>
      <w:marTop w:val="0"/>
      <w:marBottom w:val="0"/>
      <w:divBdr>
        <w:top w:val="none" w:sz="0" w:space="0" w:color="auto"/>
        <w:left w:val="none" w:sz="0" w:space="0" w:color="auto"/>
        <w:bottom w:val="none" w:sz="0" w:space="0" w:color="auto"/>
        <w:right w:val="none" w:sz="0" w:space="0" w:color="auto"/>
      </w:divBdr>
    </w:div>
    <w:div w:id="585967477">
      <w:bodyDiv w:val="1"/>
      <w:marLeft w:val="0"/>
      <w:marRight w:val="0"/>
      <w:marTop w:val="0"/>
      <w:marBottom w:val="0"/>
      <w:divBdr>
        <w:top w:val="none" w:sz="0" w:space="0" w:color="auto"/>
        <w:left w:val="none" w:sz="0" w:space="0" w:color="auto"/>
        <w:bottom w:val="none" w:sz="0" w:space="0" w:color="auto"/>
        <w:right w:val="none" w:sz="0" w:space="0" w:color="auto"/>
      </w:divBdr>
    </w:div>
    <w:div w:id="596713809">
      <w:bodyDiv w:val="1"/>
      <w:marLeft w:val="0"/>
      <w:marRight w:val="0"/>
      <w:marTop w:val="0"/>
      <w:marBottom w:val="0"/>
      <w:divBdr>
        <w:top w:val="none" w:sz="0" w:space="0" w:color="auto"/>
        <w:left w:val="none" w:sz="0" w:space="0" w:color="auto"/>
        <w:bottom w:val="none" w:sz="0" w:space="0" w:color="auto"/>
        <w:right w:val="none" w:sz="0" w:space="0" w:color="auto"/>
      </w:divBdr>
    </w:div>
    <w:div w:id="601839960">
      <w:bodyDiv w:val="1"/>
      <w:marLeft w:val="0"/>
      <w:marRight w:val="0"/>
      <w:marTop w:val="0"/>
      <w:marBottom w:val="0"/>
      <w:divBdr>
        <w:top w:val="none" w:sz="0" w:space="0" w:color="auto"/>
        <w:left w:val="none" w:sz="0" w:space="0" w:color="auto"/>
        <w:bottom w:val="none" w:sz="0" w:space="0" w:color="auto"/>
        <w:right w:val="none" w:sz="0" w:space="0" w:color="auto"/>
      </w:divBdr>
    </w:div>
    <w:div w:id="605429606">
      <w:bodyDiv w:val="1"/>
      <w:marLeft w:val="0"/>
      <w:marRight w:val="0"/>
      <w:marTop w:val="0"/>
      <w:marBottom w:val="0"/>
      <w:divBdr>
        <w:top w:val="none" w:sz="0" w:space="0" w:color="auto"/>
        <w:left w:val="none" w:sz="0" w:space="0" w:color="auto"/>
        <w:bottom w:val="none" w:sz="0" w:space="0" w:color="auto"/>
        <w:right w:val="none" w:sz="0" w:space="0" w:color="auto"/>
      </w:divBdr>
    </w:div>
    <w:div w:id="606238041">
      <w:bodyDiv w:val="1"/>
      <w:marLeft w:val="0"/>
      <w:marRight w:val="0"/>
      <w:marTop w:val="0"/>
      <w:marBottom w:val="0"/>
      <w:divBdr>
        <w:top w:val="none" w:sz="0" w:space="0" w:color="auto"/>
        <w:left w:val="none" w:sz="0" w:space="0" w:color="auto"/>
        <w:bottom w:val="none" w:sz="0" w:space="0" w:color="auto"/>
        <w:right w:val="none" w:sz="0" w:space="0" w:color="auto"/>
      </w:divBdr>
    </w:div>
    <w:div w:id="610861973">
      <w:bodyDiv w:val="1"/>
      <w:marLeft w:val="0"/>
      <w:marRight w:val="0"/>
      <w:marTop w:val="0"/>
      <w:marBottom w:val="0"/>
      <w:divBdr>
        <w:top w:val="none" w:sz="0" w:space="0" w:color="auto"/>
        <w:left w:val="none" w:sz="0" w:space="0" w:color="auto"/>
        <w:bottom w:val="none" w:sz="0" w:space="0" w:color="auto"/>
        <w:right w:val="none" w:sz="0" w:space="0" w:color="auto"/>
      </w:divBdr>
    </w:div>
    <w:div w:id="617642014">
      <w:bodyDiv w:val="1"/>
      <w:marLeft w:val="0"/>
      <w:marRight w:val="0"/>
      <w:marTop w:val="0"/>
      <w:marBottom w:val="0"/>
      <w:divBdr>
        <w:top w:val="none" w:sz="0" w:space="0" w:color="auto"/>
        <w:left w:val="none" w:sz="0" w:space="0" w:color="auto"/>
        <w:bottom w:val="none" w:sz="0" w:space="0" w:color="auto"/>
        <w:right w:val="none" w:sz="0" w:space="0" w:color="auto"/>
      </w:divBdr>
    </w:div>
    <w:div w:id="623122134">
      <w:bodyDiv w:val="1"/>
      <w:marLeft w:val="0"/>
      <w:marRight w:val="0"/>
      <w:marTop w:val="0"/>
      <w:marBottom w:val="0"/>
      <w:divBdr>
        <w:top w:val="none" w:sz="0" w:space="0" w:color="auto"/>
        <w:left w:val="none" w:sz="0" w:space="0" w:color="auto"/>
        <w:bottom w:val="none" w:sz="0" w:space="0" w:color="auto"/>
        <w:right w:val="none" w:sz="0" w:space="0" w:color="auto"/>
      </w:divBdr>
    </w:div>
    <w:div w:id="625745967">
      <w:bodyDiv w:val="1"/>
      <w:marLeft w:val="0"/>
      <w:marRight w:val="0"/>
      <w:marTop w:val="0"/>
      <w:marBottom w:val="0"/>
      <w:divBdr>
        <w:top w:val="none" w:sz="0" w:space="0" w:color="auto"/>
        <w:left w:val="none" w:sz="0" w:space="0" w:color="auto"/>
        <w:bottom w:val="none" w:sz="0" w:space="0" w:color="auto"/>
        <w:right w:val="none" w:sz="0" w:space="0" w:color="auto"/>
      </w:divBdr>
    </w:div>
    <w:div w:id="627398932">
      <w:bodyDiv w:val="1"/>
      <w:marLeft w:val="0"/>
      <w:marRight w:val="0"/>
      <w:marTop w:val="0"/>
      <w:marBottom w:val="0"/>
      <w:divBdr>
        <w:top w:val="none" w:sz="0" w:space="0" w:color="auto"/>
        <w:left w:val="none" w:sz="0" w:space="0" w:color="auto"/>
        <w:bottom w:val="none" w:sz="0" w:space="0" w:color="auto"/>
        <w:right w:val="none" w:sz="0" w:space="0" w:color="auto"/>
      </w:divBdr>
    </w:div>
    <w:div w:id="636759290">
      <w:bodyDiv w:val="1"/>
      <w:marLeft w:val="0"/>
      <w:marRight w:val="0"/>
      <w:marTop w:val="0"/>
      <w:marBottom w:val="0"/>
      <w:divBdr>
        <w:top w:val="none" w:sz="0" w:space="0" w:color="auto"/>
        <w:left w:val="none" w:sz="0" w:space="0" w:color="auto"/>
        <w:bottom w:val="none" w:sz="0" w:space="0" w:color="auto"/>
        <w:right w:val="none" w:sz="0" w:space="0" w:color="auto"/>
      </w:divBdr>
    </w:div>
    <w:div w:id="650450797">
      <w:bodyDiv w:val="1"/>
      <w:marLeft w:val="0"/>
      <w:marRight w:val="0"/>
      <w:marTop w:val="0"/>
      <w:marBottom w:val="0"/>
      <w:divBdr>
        <w:top w:val="none" w:sz="0" w:space="0" w:color="auto"/>
        <w:left w:val="none" w:sz="0" w:space="0" w:color="auto"/>
        <w:bottom w:val="none" w:sz="0" w:space="0" w:color="auto"/>
        <w:right w:val="none" w:sz="0" w:space="0" w:color="auto"/>
      </w:divBdr>
    </w:div>
    <w:div w:id="675884544">
      <w:bodyDiv w:val="1"/>
      <w:marLeft w:val="0"/>
      <w:marRight w:val="0"/>
      <w:marTop w:val="0"/>
      <w:marBottom w:val="0"/>
      <w:divBdr>
        <w:top w:val="none" w:sz="0" w:space="0" w:color="auto"/>
        <w:left w:val="none" w:sz="0" w:space="0" w:color="auto"/>
        <w:bottom w:val="none" w:sz="0" w:space="0" w:color="auto"/>
        <w:right w:val="none" w:sz="0" w:space="0" w:color="auto"/>
      </w:divBdr>
    </w:div>
    <w:div w:id="686712866">
      <w:bodyDiv w:val="1"/>
      <w:marLeft w:val="0"/>
      <w:marRight w:val="0"/>
      <w:marTop w:val="0"/>
      <w:marBottom w:val="0"/>
      <w:divBdr>
        <w:top w:val="none" w:sz="0" w:space="0" w:color="auto"/>
        <w:left w:val="none" w:sz="0" w:space="0" w:color="auto"/>
        <w:bottom w:val="none" w:sz="0" w:space="0" w:color="auto"/>
        <w:right w:val="none" w:sz="0" w:space="0" w:color="auto"/>
      </w:divBdr>
    </w:div>
    <w:div w:id="689451835">
      <w:bodyDiv w:val="1"/>
      <w:marLeft w:val="0"/>
      <w:marRight w:val="0"/>
      <w:marTop w:val="0"/>
      <w:marBottom w:val="0"/>
      <w:divBdr>
        <w:top w:val="none" w:sz="0" w:space="0" w:color="auto"/>
        <w:left w:val="none" w:sz="0" w:space="0" w:color="auto"/>
        <w:bottom w:val="none" w:sz="0" w:space="0" w:color="auto"/>
        <w:right w:val="none" w:sz="0" w:space="0" w:color="auto"/>
      </w:divBdr>
    </w:div>
    <w:div w:id="692389898">
      <w:bodyDiv w:val="1"/>
      <w:marLeft w:val="0"/>
      <w:marRight w:val="0"/>
      <w:marTop w:val="0"/>
      <w:marBottom w:val="0"/>
      <w:divBdr>
        <w:top w:val="none" w:sz="0" w:space="0" w:color="auto"/>
        <w:left w:val="none" w:sz="0" w:space="0" w:color="auto"/>
        <w:bottom w:val="none" w:sz="0" w:space="0" w:color="auto"/>
        <w:right w:val="none" w:sz="0" w:space="0" w:color="auto"/>
      </w:divBdr>
    </w:div>
    <w:div w:id="697049848">
      <w:bodyDiv w:val="1"/>
      <w:marLeft w:val="0"/>
      <w:marRight w:val="0"/>
      <w:marTop w:val="0"/>
      <w:marBottom w:val="0"/>
      <w:divBdr>
        <w:top w:val="none" w:sz="0" w:space="0" w:color="auto"/>
        <w:left w:val="none" w:sz="0" w:space="0" w:color="auto"/>
        <w:bottom w:val="none" w:sz="0" w:space="0" w:color="auto"/>
        <w:right w:val="none" w:sz="0" w:space="0" w:color="auto"/>
      </w:divBdr>
    </w:div>
    <w:div w:id="699204458">
      <w:bodyDiv w:val="1"/>
      <w:marLeft w:val="0"/>
      <w:marRight w:val="0"/>
      <w:marTop w:val="0"/>
      <w:marBottom w:val="0"/>
      <w:divBdr>
        <w:top w:val="none" w:sz="0" w:space="0" w:color="auto"/>
        <w:left w:val="none" w:sz="0" w:space="0" w:color="auto"/>
        <w:bottom w:val="none" w:sz="0" w:space="0" w:color="auto"/>
        <w:right w:val="none" w:sz="0" w:space="0" w:color="auto"/>
      </w:divBdr>
    </w:div>
    <w:div w:id="705646327">
      <w:bodyDiv w:val="1"/>
      <w:marLeft w:val="0"/>
      <w:marRight w:val="0"/>
      <w:marTop w:val="0"/>
      <w:marBottom w:val="0"/>
      <w:divBdr>
        <w:top w:val="none" w:sz="0" w:space="0" w:color="auto"/>
        <w:left w:val="none" w:sz="0" w:space="0" w:color="auto"/>
        <w:bottom w:val="none" w:sz="0" w:space="0" w:color="auto"/>
        <w:right w:val="none" w:sz="0" w:space="0" w:color="auto"/>
      </w:divBdr>
    </w:div>
    <w:div w:id="720980879">
      <w:bodyDiv w:val="1"/>
      <w:marLeft w:val="0"/>
      <w:marRight w:val="0"/>
      <w:marTop w:val="0"/>
      <w:marBottom w:val="0"/>
      <w:divBdr>
        <w:top w:val="none" w:sz="0" w:space="0" w:color="auto"/>
        <w:left w:val="none" w:sz="0" w:space="0" w:color="auto"/>
        <w:bottom w:val="none" w:sz="0" w:space="0" w:color="auto"/>
        <w:right w:val="none" w:sz="0" w:space="0" w:color="auto"/>
      </w:divBdr>
    </w:div>
    <w:div w:id="728529859">
      <w:bodyDiv w:val="1"/>
      <w:marLeft w:val="0"/>
      <w:marRight w:val="0"/>
      <w:marTop w:val="0"/>
      <w:marBottom w:val="0"/>
      <w:divBdr>
        <w:top w:val="none" w:sz="0" w:space="0" w:color="auto"/>
        <w:left w:val="none" w:sz="0" w:space="0" w:color="auto"/>
        <w:bottom w:val="none" w:sz="0" w:space="0" w:color="auto"/>
        <w:right w:val="none" w:sz="0" w:space="0" w:color="auto"/>
      </w:divBdr>
    </w:div>
    <w:div w:id="735709339">
      <w:bodyDiv w:val="1"/>
      <w:marLeft w:val="0"/>
      <w:marRight w:val="0"/>
      <w:marTop w:val="0"/>
      <w:marBottom w:val="0"/>
      <w:divBdr>
        <w:top w:val="none" w:sz="0" w:space="0" w:color="auto"/>
        <w:left w:val="none" w:sz="0" w:space="0" w:color="auto"/>
        <w:bottom w:val="none" w:sz="0" w:space="0" w:color="auto"/>
        <w:right w:val="none" w:sz="0" w:space="0" w:color="auto"/>
      </w:divBdr>
    </w:div>
    <w:div w:id="743648752">
      <w:bodyDiv w:val="1"/>
      <w:marLeft w:val="0"/>
      <w:marRight w:val="0"/>
      <w:marTop w:val="0"/>
      <w:marBottom w:val="0"/>
      <w:divBdr>
        <w:top w:val="none" w:sz="0" w:space="0" w:color="auto"/>
        <w:left w:val="none" w:sz="0" w:space="0" w:color="auto"/>
        <w:bottom w:val="none" w:sz="0" w:space="0" w:color="auto"/>
        <w:right w:val="none" w:sz="0" w:space="0" w:color="auto"/>
      </w:divBdr>
    </w:div>
    <w:div w:id="748187987">
      <w:bodyDiv w:val="1"/>
      <w:marLeft w:val="0"/>
      <w:marRight w:val="0"/>
      <w:marTop w:val="0"/>
      <w:marBottom w:val="0"/>
      <w:divBdr>
        <w:top w:val="none" w:sz="0" w:space="0" w:color="auto"/>
        <w:left w:val="none" w:sz="0" w:space="0" w:color="auto"/>
        <w:bottom w:val="none" w:sz="0" w:space="0" w:color="auto"/>
        <w:right w:val="none" w:sz="0" w:space="0" w:color="auto"/>
      </w:divBdr>
    </w:div>
    <w:div w:id="759452638">
      <w:bodyDiv w:val="1"/>
      <w:marLeft w:val="0"/>
      <w:marRight w:val="0"/>
      <w:marTop w:val="0"/>
      <w:marBottom w:val="0"/>
      <w:divBdr>
        <w:top w:val="none" w:sz="0" w:space="0" w:color="auto"/>
        <w:left w:val="none" w:sz="0" w:space="0" w:color="auto"/>
        <w:bottom w:val="none" w:sz="0" w:space="0" w:color="auto"/>
        <w:right w:val="none" w:sz="0" w:space="0" w:color="auto"/>
      </w:divBdr>
    </w:div>
    <w:div w:id="76553860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7337118">
      <w:bodyDiv w:val="1"/>
      <w:marLeft w:val="0"/>
      <w:marRight w:val="0"/>
      <w:marTop w:val="0"/>
      <w:marBottom w:val="0"/>
      <w:divBdr>
        <w:top w:val="none" w:sz="0" w:space="0" w:color="auto"/>
        <w:left w:val="none" w:sz="0" w:space="0" w:color="auto"/>
        <w:bottom w:val="none" w:sz="0" w:space="0" w:color="auto"/>
        <w:right w:val="none" w:sz="0" w:space="0" w:color="auto"/>
      </w:divBdr>
    </w:div>
    <w:div w:id="777918951">
      <w:bodyDiv w:val="1"/>
      <w:marLeft w:val="0"/>
      <w:marRight w:val="0"/>
      <w:marTop w:val="0"/>
      <w:marBottom w:val="0"/>
      <w:divBdr>
        <w:top w:val="none" w:sz="0" w:space="0" w:color="auto"/>
        <w:left w:val="none" w:sz="0" w:space="0" w:color="auto"/>
        <w:bottom w:val="none" w:sz="0" w:space="0" w:color="auto"/>
        <w:right w:val="none" w:sz="0" w:space="0" w:color="auto"/>
      </w:divBdr>
    </w:div>
    <w:div w:id="780495294">
      <w:bodyDiv w:val="1"/>
      <w:marLeft w:val="0"/>
      <w:marRight w:val="0"/>
      <w:marTop w:val="0"/>
      <w:marBottom w:val="0"/>
      <w:divBdr>
        <w:top w:val="none" w:sz="0" w:space="0" w:color="auto"/>
        <w:left w:val="none" w:sz="0" w:space="0" w:color="auto"/>
        <w:bottom w:val="none" w:sz="0" w:space="0" w:color="auto"/>
        <w:right w:val="none" w:sz="0" w:space="0" w:color="auto"/>
      </w:divBdr>
    </w:div>
    <w:div w:id="782727380">
      <w:bodyDiv w:val="1"/>
      <w:marLeft w:val="0"/>
      <w:marRight w:val="0"/>
      <w:marTop w:val="0"/>
      <w:marBottom w:val="0"/>
      <w:divBdr>
        <w:top w:val="none" w:sz="0" w:space="0" w:color="auto"/>
        <w:left w:val="none" w:sz="0" w:space="0" w:color="auto"/>
        <w:bottom w:val="none" w:sz="0" w:space="0" w:color="auto"/>
        <w:right w:val="none" w:sz="0" w:space="0" w:color="auto"/>
      </w:divBdr>
    </w:div>
    <w:div w:id="787360631">
      <w:bodyDiv w:val="1"/>
      <w:marLeft w:val="0"/>
      <w:marRight w:val="0"/>
      <w:marTop w:val="0"/>
      <w:marBottom w:val="0"/>
      <w:divBdr>
        <w:top w:val="none" w:sz="0" w:space="0" w:color="auto"/>
        <w:left w:val="none" w:sz="0" w:space="0" w:color="auto"/>
        <w:bottom w:val="none" w:sz="0" w:space="0" w:color="auto"/>
        <w:right w:val="none" w:sz="0" w:space="0" w:color="auto"/>
      </w:divBdr>
    </w:div>
    <w:div w:id="795023315">
      <w:bodyDiv w:val="1"/>
      <w:marLeft w:val="0"/>
      <w:marRight w:val="0"/>
      <w:marTop w:val="0"/>
      <w:marBottom w:val="0"/>
      <w:divBdr>
        <w:top w:val="none" w:sz="0" w:space="0" w:color="auto"/>
        <w:left w:val="none" w:sz="0" w:space="0" w:color="auto"/>
        <w:bottom w:val="none" w:sz="0" w:space="0" w:color="auto"/>
        <w:right w:val="none" w:sz="0" w:space="0" w:color="auto"/>
      </w:divBdr>
    </w:div>
    <w:div w:id="801311860">
      <w:bodyDiv w:val="1"/>
      <w:marLeft w:val="0"/>
      <w:marRight w:val="0"/>
      <w:marTop w:val="0"/>
      <w:marBottom w:val="0"/>
      <w:divBdr>
        <w:top w:val="none" w:sz="0" w:space="0" w:color="auto"/>
        <w:left w:val="none" w:sz="0" w:space="0" w:color="auto"/>
        <w:bottom w:val="none" w:sz="0" w:space="0" w:color="auto"/>
        <w:right w:val="none" w:sz="0" w:space="0" w:color="auto"/>
      </w:divBdr>
    </w:div>
    <w:div w:id="814296153">
      <w:bodyDiv w:val="1"/>
      <w:marLeft w:val="0"/>
      <w:marRight w:val="0"/>
      <w:marTop w:val="0"/>
      <w:marBottom w:val="0"/>
      <w:divBdr>
        <w:top w:val="none" w:sz="0" w:space="0" w:color="auto"/>
        <w:left w:val="none" w:sz="0" w:space="0" w:color="auto"/>
        <w:bottom w:val="none" w:sz="0" w:space="0" w:color="auto"/>
        <w:right w:val="none" w:sz="0" w:space="0" w:color="auto"/>
      </w:divBdr>
    </w:div>
    <w:div w:id="817377275">
      <w:bodyDiv w:val="1"/>
      <w:marLeft w:val="0"/>
      <w:marRight w:val="0"/>
      <w:marTop w:val="0"/>
      <w:marBottom w:val="0"/>
      <w:divBdr>
        <w:top w:val="none" w:sz="0" w:space="0" w:color="auto"/>
        <w:left w:val="none" w:sz="0" w:space="0" w:color="auto"/>
        <w:bottom w:val="none" w:sz="0" w:space="0" w:color="auto"/>
        <w:right w:val="none" w:sz="0" w:space="0" w:color="auto"/>
      </w:divBdr>
    </w:div>
    <w:div w:id="829907292">
      <w:bodyDiv w:val="1"/>
      <w:marLeft w:val="0"/>
      <w:marRight w:val="0"/>
      <w:marTop w:val="0"/>
      <w:marBottom w:val="0"/>
      <w:divBdr>
        <w:top w:val="none" w:sz="0" w:space="0" w:color="auto"/>
        <w:left w:val="none" w:sz="0" w:space="0" w:color="auto"/>
        <w:bottom w:val="none" w:sz="0" w:space="0" w:color="auto"/>
        <w:right w:val="none" w:sz="0" w:space="0" w:color="auto"/>
      </w:divBdr>
    </w:div>
    <w:div w:id="840585855">
      <w:bodyDiv w:val="1"/>
      <w:marLeft w:val="0"/>
      <w:marRight w:val="0"/>
      <w:marTop w:val="0"/>
      <w:marBottom w:val="0"/>
      <w:divBdr>
        <w:top w:val="none" w:sz="0" w:space="0" w:color="auto"/>
        <w:left w:val="none" w:sz="0" w:space="0" w:color="auto"/>
        <w:bottom w:val="none" w:sz="0" w:space="0" w:color="auto"/>
        <w:right w:val="none" w:sz="0" w:space="0" w:color="auto"/>
      </w:divBdr>
    </w:div>
    <w:div w:id="841089807">
      <w:bodyDiv w:val="1"/>
      <w:marLeft w:val="0"/>
      <w:marRight w:val="0"/>
      <w:marTop w:val="0"/>
      <w:marBottom w:val="0"/>
      <w:divBdr>
        <w:top w:val="none" w:sz="0" w:space="0" w:color="auto"/>
        <w:left w:val="none" w:sz="0" w:space="0" w:color="auto"/>
        <w:bottom w:val="none" w:sz="0" w:space="0" w:color="auto"/>
        <w:right w:val="none" w:sz="0" w:space="0" w:color="auto"/>
      </w:divBdr>
    </w:div>
    <w:div w:id="842941469">
      <w:bodyDiv w:val="1"/>
      <w:marLeft w:val="0"/>
      <w:marRight w:val="0"/>
      <w:marTop w:val="0"/>
      <w:marBottom w:val="0"/>
      <w:divBdr>
        <w:top w:val="none" w:sz="0" w:space="0" w:color="auto"/>
        <w:left w:val="none" w:sz="0" w:space="0" w:color="auto"/>
        <w:bottom w:val="none" w:sz="0" w:space="0" w:color="auto"/>
        <w:right w:val="none" w:sz="0" w:space="0" w:color="auto"/>
      </w:divBdr>
    </w:div>
    <w:div w:id="863135715">
      <w:bodyDiv w:val="1"/>
      <w:marLeft w:val="0"/>
      <w:marRight w:val="0"/>
      <w:marTop w:val="0"/>
      <w:marBottom w:val="0"/>
      <w:divBdr>
        <w:top w:val="none" w:sz="0" w:space="0" w:color="auto"/>
        <w:left w:val="none" w:sz="0" w:space="0" w:color="auto"/>
        <w:bottom w:val="none" w:sz="0" w:space="0" w:color="auto"/>
        <w:right w:val="none" w:sz="0" w:space="0" w:color="auto"/>
      </w:divBdr>
    </w:div>
    <w:div w:id="877277994">
      <w:bodyDiv w:val="1"/>
      <w:marLeft w:val="0"/>
      <w:marRight w:val="0"/>
      <w:marTop w:val="0"/>
      <w:marBottom w:val="0"/>
      <w:divBdr>
        <w:top w:val="none" w:sz="0" w:space="0" w:color="auto"/>
        <w:left w:val="none" w:sz="0" w:space="0" w:color="auto"/>
        <w:bottom w:val="none" w:sz="0" w:space="0" w:color="auto"/>
        <w:right w:val="none" w:sz="0" w:space="0" w:color="auto"/>
      </w:divBdr>
    </w:div>
    <w:div w:id="882837724">
      <w:bodyDiv w:val="1"/>
      <w:marLeft w:val="0"/>
      <w:marRight w:val="0"/>
      <w:marTop w:val="0"/>
      <w:marBottom w:val="0"/>
      <w:divBdr>
        <w:top w:val="none" w:sz="0" w:space="0" w:color="auto"/>
        <w:left w:val="none" w:sz="0" w:space="0" w:color="auto"/>
        <w:bottom w:val="none" w:sz="0" w:space="0" w:color="auto"/>
        <w:right w:val="none" w:sz="0" w:space="0" w:color="auto"/>
      </w:divBdr>
    </w:div>
    <w:div w:id="897403577">
      <w:bodyDiv w:val="1"/>
      <w:marLeft w:val="0"/>
      <w:marRight w:val="0"/>
      <w:marTop w:val="0"/>
      <w:marBottom w:val="0"/>
      <w:divBdr>
        <w:top w:val="none" w:sz="0" w:space="0" w:color="auto"/>
        <w:left w:val="none" w:sz="0" w:space="0" w:color="auto"/>
        <w:bottom w:val="none" w:sz="0" w:space="0" w:color="auto"/>
        <w:right w:val="none" w:sz="0" w:space="0" w:color="auto"/>
      </w:divBdr>
    </w:div>
    <w:div w:id="903375067">
      <w:bodyDiv w:val="1"/>
      <w:marLeft w:val="0"/>
      <w:marRight w:val="0"/>
      <w:marTop w:val="0"/>
      <w:marBottom w:val="0"/>
      <w:divBdr>
        <w:top w:val="none" w:sz="0" w:space="0" w:color="auto"/>
        <w:left w:val="none" w:sz="0" w:space="0" w:color="auto"/>
        <w:bottom w:val="none" w:sz="0" w:space="0" w:color="auto"/>
        <w:right w:val="none" w:sz="0" w:space="0" w:color="auto"/>
      </w:divBdr>
    </w:div>
    <w:div w:id="912588883">
      <w:bodyDiv w:val="1"/>
      <w:marLeft w:val="0"/>
      <w:marRight w:val="0"/>
      <w:marTop w:val="0"/>
      <w:marBottom w:val="0"/>
      <w:divBdr>
        <w:top w:val="none" w:sz="0" w:space="0" w:color="auto"/>
        <w:left w:val="none" w:sz="0" w:space="0" w:color="auto"/>
        <w:bottom w:val="none" w:sz="0" w:space="0" w:color="auto"/>
        <w:right w:val="none" w:sz="0" w:space="0" w:color="auto"/>
      </w:divBdr>
    </w:div>
    <w:div w:id="915943216">
      <w:bodyDiv w:val="1"/>
      <w:marLeft w:val="0"/>
      <w:marRight w:val="0"/>
      <w:marTop w:val="0"/>
      <w:marBottom w:val="0"/>
      <w:divBdr>
        <w:top w:val="none" w:sz="0" w:space="0" w:color="auto"/>
        <w:left w:val="none" w:sz="0" w:space="0" w:color="auto"/>
        <w:bottom w:val="none" w:sz="0" w:space="0" w:color="auto"/>
        <w:right w:val="none" w:sz="0" w:space="0" w:color="auto"/>
      </w:divBdr>
    </w:div>
    <w:div w:id="917637315">
      <w:bodyDiv w:val="1"/>
      <w:marLeft w:val="0"/>
      <w:marRight w:val="0"/>
      <w:marTop w:val="0"/>
      <w:marBottom w:val="0"/>
      <w:divBdr>
        <w:top w:val="none" w:sz="0" w:space="0" w:color="auto"/>
        <w:left w:val="none" w:sz="0" w:space="0" w:color="auto"/>
        <w:bottom w:val="none" w:sz="0" w:space="0" w:color="auto"/>
        <w:right w:val="none" w:sz="0" w:space="0" w:color="auto"/>
      </w:divBdr>
    </w:div>
    <w:div w:id="934242604">
      <w:bodyDiv w:val="1"/>
      <w:marLeft w:val="0"/>
      <w:marRight w:val="0"/>
      <w:marTop w:val="0"/>
      <w:marBottom w:val="0"/>
      <w:divBdr>
        <w:top w:val="none" w:sz="0" w:space="0" w:color="auto"/>
        <w:left w:val="none" w:sz="0" w:space="0" w:color="auto"/>
        <w:bottom w:val="none" w:sz="0" w:space="0" w:color="auto"/>
        <w:right w:val="none" w:sz="0" w:space="0" w:color="auto"/>
      </w:divBdr>
    </w:div>
    <w:div w:id="937366505">
      <w:bodyDiv w:val="1"/>
      <w:marLeft w:val="0"/>
      <w:marRight w:val="0"/>
      <w:marTop w:val="0"/>
      <w:marBottom w:val="0"/>
      <w:divBdr>
        <w:top w:val="none" w:sz="0" w:space="0" w:color="auto"/>
        <w:left w:val="none" w:sz="0" w:space="0" w:color="auto"/>
        <w:bottom w:val="none" w:sz="0" w:space="0" w:color="auto"/>
        <w:right w:val="none" w:sz="0" w:space="0" w:color="auto"/>
      </w:divBdr>
    </w:div>
    <w:div w:id="954216304">
      <w:bodyDiv w:val="1"/>
      <w:marLeft w:val="0"/>
      <w:marRight w:val="0"/>
      <w:marTop w:val="0"/>
      <w:marBottom w:val="0"/>
      <w:divBdr>
        <w:top w:val="none" w:sz="0" w:space="0" w:color="auto"/>
        <w:left w:val="none" w:sz="0" w:space="0" w:color="auto"/>
        <w:bottom w:val="none" w:sz="0" w:space="0" w:color="auto"/>
        <w:right w:val="none" w:sz="0" w:space="0" w:color="auto"/>
      </w:divBdr>
    </w:div>
    <w:div w:id="961424465">
      <w:bodyDiv w:val="1"/>
      <w:marLeft w:val="0"/>
      <w:marRight w:val="0"/>
      <w:marTop w:val="0"/>
      <w:marBottom w:val="0"/>
      <w:divBdr>
        <w:top w:val="none" w:sz="0" w:space="0" w:color="auto"/>
        <w:left w:val="none" w:sz="0" w:space="0" w:color="auto"/>
        <w:bottom w:val="none" w:sz="0" w:space="0" w:color="auto"/>
        <w:right w:val="none" w:sz="0" w:space="0" w:color="auto"/>
      </w:divBdr>
    </w:div>
    <w:div w:id="965430039">
      <w:bodyDiv w:val="1"/>
      <w:marLeft w:val="0"/>
      <w:marRight w:val="0"/>
      <w:marTop w:val="0"/>
      <w:marBottom w:val="0"/>
      <w:divBdr>
        <w:top w:val="none" w:sz="0" w:space="0" w:color="auto"/>
        <w:left w:val="none" w:sz="0" w:space="0" w:color="auto"/>
        <w:bottom w:val="none" w:sz="0" w:space="0" w:color="auto"/>
        <w:right w:val="none" w:sz="0" w:space="0" w:color="auto"/>
      </w:divBdr>
    </w:div>
    <w:div w:id="991908428">
      <w:bodyDiv w:val="1"/>
      <w:marLeft w:val="0"/>
      <w:marRight w:val="0"/>
      <w:marTop w:val="0"/>
      <w:marBottom w:val="0"/>
      <w:divBdr>
        <w:top w:val="none" w:sz="0" w:space="0" w:color="auto"/>
        <w:left w:val="none" w:sz="0" w:space="0" w:color="auto"/>
        <w:bottom w:val="none" w:sz="0" w:space="0" w:color="auto"/>
        <w:right w:val="none" w:sz="0" w:space="0" w:color="auto"/>
      </w:divBdr>
    </w:div>
    <w:div w:id="994186855">
      <w:bodyDiv w:val="1"/>
      <w:marLeft w:val="0"/>
      <w:marRight w:val="0"/>
      <w:marTop w:val="0"/>
      <w:marBottom w:val="0"/>
      <w:divBdr>
        <w:top w:val="none" w:sz="0" w:space="0" w:color="auto"/>
        <w:left w:val="none" w:sz="0" w:space="0" w:color="auto"/>
        <w:bottom w:val="none" w:sz="0" w:space="0" w:color="auto"/>
        <w:right w:val="none" w:sz="0" w:space="0" w:color="auto"/>
      </w:divBdr>
    </w:div>
    <w:div w:id="996113821">
      <w:bodyDiv w:val="1"/>
      <w:marLeft w:val="0"/>
      <w:marRight w:val="0"/>
      <w:marTop w:val="0"/>
      <w:marBottom w:val="0"/>
      <w:divBdr>
        <w:top w:val="none" w:sz="0" w:space="0" w:color="auto"/>
        <w:left w:val="none" w:sz="0" w:space="0" w:color="auto"/>
        <w:bottom w:val="none" w:sz="0" w:space="0" w:color="auto"/>
        <w:right w:val="none" w:sz="0" w:space="0" w:color="auto"/>
      </w:divBdr>
    </w:div>
    <w:div w:id="997922757">
      <w:bodyDiv w:val="1"/>
      <w:marLeft w:val="0"/>
      <w:marRight w:val="0"/>
      <w:marTop w:val="0"/>
      <w:marBottom w:val="0"/>
      <w:divBdr>
        <w:top w:val="none" w:sz="0" w:space="0" w:color="auto"/>
        <w:left w:val="none" w:sz="0" w:space="0" w:color="auto"/>
        <w:bottom w:val="none" w:sz="0" w:space="0" w:color="auto"/>
        <w:right w:val="none" w:sz="0" w:space="0" w:color="auto"/>
      </w:divBdr>
    </w:div>
    <w:div w:id="1001079550">
      <w:bodyDiv w:val="1"/>
      <w:marLeft w:val="0"/>
      <w:marRight w:val="0"/>
      <w:marTop w:val="0"/>
      <w:marBottom w:val="0"/>
      <w:divBdr>
        <w:top w:val="none" w:sz="0" w:space="0" w:color="auto"/>
        <w:left w:val="none" w:sz="0" w:space="0" w:color="auto"/>
        <w:bottom w:val="none" w:sz="0" w:space="0" w:color="auto"/>
        <w:right w:val="none" w:sz="0" w:space="0" w:color="auto"/>
      </w:divBdr>
    </w:div>
    <w:div w:id="1008292624">
      <w:bodyDiv w:val="1"/>
      <w:marLeft w:val="0"/>
      <w:marRight w:val="0"/>
      <w:marTop w:val="0"/>
      <w:marBottom w:val="0"/>
      <w:divBdr>
        <w:top w:val="none" w:sz="0" w:space="0" w:color="auto"/>
        <w:left w:val="none" w:sz="0" w:space="0" w:color="auto"/>
        <w:bottom w:val="none" w:sz="0" w:space="0" w:color="auto"/>
        <w:right w:val="none" w:sz="0" w:space="0" w:color="auto"/>
      </w:divBdr>
    </w:div>
    <w:div w:id="1011756521">
      <w:bodyDiv w:val="1"/>
      <w:marLeft w:val="0"/>
      <w:marRight w:val="0"/>
      <w:marTop w:val="0"/>
      <w:marBottom w:val="0"/>
      <w:divBdr>
        <w:top w:val="none" w:sz="0" w:space="0" w:color="auto"/>
        <w:left w:val="none" w:sz="0" w:space="0" w:color="auto"/>
        <w:bottom w:val="none" w:sz="0" w:space="0" w:color="auto"/>
        <w:right w:val="none" w:sz="0" w:space="0" w:color="auto"/>
      </w:divBdr>
    </w:div>
    <w:div w:id="1028876942">
      <w:bodyDiv w:val="1"/>
      <w:marLeft w:val="0"/>
      <w:marRight w:val="0"/>
      <w:marTop w:val="0"/>
      <w:marBottom w:val="0"/>
      <w:divBdr>
        <w:top w:val="none" w:sz="0" w:space="0" w:color="auto"/>
        <w:left w:val="none" w:sz="0" w:space="0" w:color="auto"/>
        <w:bottom w:val="none" w:sz="0" w:space="0" w:color="auto"/>
        <w:right w:val="none" w:sz="0" w:space="0" w:color="auto"/>
      </w:divBdr>
    </w:div>
    <w:div w:id="1034304108">
      <w:bodyDiv w:val="1"/>
      <w:marLeft w:val="0"/>
      <w:marRight w:val="0"/>
      <w:marTop w:val="0"/>
      <w:marBottom w:val="0"/>
      <w:divBdr>
        <w:top w:val="none" w:sz="0" w:space="0" w:color="auto"/>
        <w:left w:val="none" w:sz="0" w:space="0" w:color="auto"/>
        <w:bottom w:val="none" w:sz="0" w:space="0" w:color="auto"/>
        <w:right w:val="none" w:sz="0" w:space="0" w:color="auto"/>
      </w:divBdr>
    </w:div>
    <w:div w:id="1039822123">
      <w:bodyDiv w:val="1"/>
      <w:marLeft w:val="0"/>
      <w:marRight w:val="0"/>
      <w:marTop w:val="0"/>
      <w:marBottom w:val="0"/>
      <w:divBdr>
        <w:top w:val="none" w:sz="0" w:space="0" w:color="auto"/>
        <w:left w:val="none" w:sz="0" w:space="0" w:color="auto"/>
        <w:bottom w:val="none" w:sz="0" w:space="0" w:color="auto"/>
        <w:right w:val="none" w:sz="0" w:space="0" w:color="auto"/>
      </w:divBdr>
    </w:div>
    <w:div w:id="1050153908">
      <w:bodyDiv w:val="1"/>
      <w:marLeft w:val="0"/>
      <w:marRight w:val="0"/>
      <w:marTop w:val="0"/>
      <w:marBottom w:val="0"/>
      <w:divBdr>
        <w:top w:val="none" w:sz="0" w:space="0" w:color="auto"/>
        <w:left w:val="none" w:sz="0" w:space="0" w:color="auto"/>
        <w:bottom w:val="none" w:sz="0" w:space="0" w:color="auto"/>
        <w:right w:val="none" w:sz="0" w:space="0" w:color="auto"/>
      </w:divBdr>
    </w:div>
    <w:div w:id="1053967240">
      <w:bodyDiv w:val="1"/>
      <w:marLeft w:val="0"/>
      <w:marRight w:val="0"/>
      <w:marTop w:val="0"/>
      <w:marBottom w:val="0"/>
      <w:divBdr>
        <w:top w:val="none" w:sz="0" w:space="0" w:color="auto"/>
        <w:left w:val="none" w:sz="0" w:space="0" w:color="auto"/>
        <w:bottom w:val="none" w:sz="0" w:space="0" w:color="auto"/>
        <w:right w:val="none" w:sz="0" w:space="0" w:color="auto"/>
      </w:divBdr>
    </w:div>
    <w:div w:id="1076971639">
      <w:bodyDiv w:val="1"/>
      <w:marLeft w:val="0"/>
      <w:marRight w:val="0"/>
      <w:marTop w:val="0"/>
      <w:marBottom w:val="0"/>
      <w:divBdr>
        <w:top w:val="none" w:sz="0" w:space="0" w:color="auto"/>
        <w:left w:val="none" w:sz="0" w:space="0" w:color="auto"/>
        <w:bottom w:val="none" w:sz="0" w:space="0" w:color="auto"/>
        <w:right w:val="none" w:sz="0" w:space="0" w:color="auto"/>
      </w:divBdr>
    </w:div>
    <w:div w:id="1081099460">
      <w:bodyDiv w:val="1"/>
      <w:marLeft w:val="0"/>
      <w:marRight w:val="0"/>
      <w:marTop w:val="0"/>
      <w:marBottom w:val="0"/>
      <w:divBdr>
        <w:top w:val="none" w:sz="0" w:space="0" w:color="auto"/>
        <w:left w:val="none" w:sz="0" w:space="0" w:color="auto"/>
        <w:bottom w:val="none" w:sz="0" w:space="0" w:color="auto"/>
        <w:right w:val="none" w:sz="0" w:space="0" w:color="auto"/>
      </w:divBdr>
    </w:div>
    <w:div w:id="1099108412">
      <w:bodyDiv w:val="1"/>
      <w:marLeft w:val="0"/>
      <w:marRight w:val="0"/>
      <w:marTop w:val="0"/>
      <w:marBottom w:val="0"/>
      <w:divBdr>
        <w:top w:val="none" w:sz="0" w:space="0" w:color="auto"/>
        <w:left w:val="none" w:sz="0" w:space="0" w:color="auto"/>
        <w:bottom w:val="none" w:sz="0" w:space="0" w:color="auto"/>
        <w:right w:val="none" w:sz="0" w:space="0" w:color="auto"/>
      </w:divBdr>
    </w:div>
    <w:div w:id="1120300848">
      <w:bodyDiv w:val="1"/>
      <w:marLeft w:val="0"/>
      <w:marRight w:val="0"/>
      <w:marTop w:val="0"/>
      <w:marBottom w:val="0"/>
      <w:divBdr>
        <w:top w:val="none" w:sz="0" w:space="0" w:color="auto"/>
        <w:left w:val="none" w:sz="0" w:space="0" w:color="auto"/>
        <w:bottom w:val="none" w:sz="0" w:space="0" w:color="auto"/>
        <w:right w:val="none" w:sz="0" w:space="0" w:color="auto"/>
      </w:divBdr>
    </w:div>
    <w:div w:id="1122647360">
      <w:bodyDiv w:val="1"/>
      <w:marLeft w:val="0"/>
      <w:marRight w:val="0"/>
      <w:marTop w:val="0"/>
      <w:marBottom w:val="0"/>
      <w:divBdr>
        <w:top w:val="none" w:sz="0" w:space="0" w:color="auto"/>
        <w:left w:val="none" w:sz="0" w:space="0" w:color="auto"/>
        <w:bottom w:val="none" w:sz="0" w:space="0" w:color="auto"/>
        <w:right w:val="none" w:sz="0" w:space="0" w:color="auto"/>
      </w:divBdr>
    </w:div>
    <w:div w:id="1126661891">
      <w:bodyDiv w:val="1"/>
      <w:marLeft w:val="0"/>
      <w:marRight w:val="0"/>
      <w:marTop w:val="0"/>
      <w:marBottom w:val="0"/>
      <w:divBdr>
        <w:top w:val="none" w:sz="0" w:space="0" w:color="auto"/>
        <w:left w:val="none" w:sz="0" w:space="0" w:color="auto"/>
        <w:bottom w:val="none" w:sz="0" w:space="0" w:color="auto"/>
        <w:right w:val="none" w:sz="0" w:space="0" w:color="auto"/>
      </w:divBdr>
    </w:div>
    <w:div w:id="1140734762">
      <w:bodyDiv w:val="1"/>
      <w:marLeft w:val="0"/>
      <w:marRight w:val="0"/>
      <w:marTop w:val="0"/>
      <w:marBottom w:val="0"/>
      <w:divBdr>
        <w:top w:val="none" w:sz="0" w:space="0" w:color="auto"/>
        <w:left w:val="none" w:sz="0" w:space="0" w:color="auto"/>
        <w:bottom w:val="none" w:sz="0" w:space="0" w:color="auto"/>
        <w:right w:val="none" w:sz="0" w:space="0" w:color="auto"/>
      </w:divBdr>
    </w:div>
    <w:div w:id="1141966098">
      <w:bodyDiv w:val="1"/>
      <w:marLeft w:val="0"/>
      <w:marRight w:val="0"/>
      <w:marTop w:val="0"/>
      <w:marBottom w:val="0"/>
      <w:divBdr>
        <w:top w:val="none" w:sz="0" w:space="0" w:color="auto"/>
        <w:left w:val="none" w:sz="0" w:space="0" w:color="auto"/>
        <w:bottom w:val="none" w:sz="0" w:space="0" w:color="auto"/>
        <w:right w:val="none" w:sz="0" w:space="0" w:color="auto"/>
      </w:divBdr>
    </w:div>
    <w:div w:id="1150944013">
      <w:bodyDiv w:val="1"/>
      <w:marLeft w:val="0"/>
      <w:marRight w:val="0"/>
      <w:marTop w:val="0"/>
      <w:marBottom w:val="0"/>
      <w:divBdr>
        <w:top w:val="none" w:sz="0" w:space="0" w:color="auto"/>
        <w:left w:val="none" w:sz="0" w:space="0" w:color="auto"/>
        <w:bottom w:val="none" w:sz="0" w:space="0" w:color="auto"/>
        <w:right w:val="none" w:sz="0" w:space="0" w:color="auto"/>
      </w:divBdr>
    </w:div>
    <w:div w:id="1168179296">
      <w:bodyDiv w:val="1"/>
      <w:marLeft w:val="0"/>
      <w:marRight w:val="0"/>
      <w:marTop w:val="0"/>
      <w:marBottom w:val="0"/>
      <w:divBdr>
        <w:top w:val="none" w:sz="0" w:space="0" w:color="auto"/>
        <w:left w:val="none" w:sz="0" w:space="0" w:color="auto"/>
        <w:bottom w:val="none" w:sz="0" w:space="0" w:color="auto"/>
        <w:right w:val="none" w:sz="0" w:space="0" w:color="auto"/>
      </w:divBdr>
    </w:div>
    <w:div w:id="1187982060">
      <w:bodyDiv w:val="1"/>
      <w:marLeft w:val="0"/>
      <w:marRight w:val="0"/>
      <w:marTop w:val="0"/>
      <w:marBottom w:val="0"/>
      <w:divBdr>
        <w:top w:val="none" w:sz="0" w:space="0" w:color="auto"/>
        <w:left w:val="none" w:sz="0" w:space="0" w:color="auto"/>
        <w:bottom w:val="none" w:sz="0" w:space="0" w:color="auto"/>
        <w:right w:val="none" w:sz="0" w:space="0" w:color="auto"/>
      </w:divBdr>
    </w:div>
    <w:div w:id="1202130834">
      <w:bodyDiv w:val="1"/>
      <w:marLeft w:val="0"/>
      <w:marRight w:val="0"/>
      <w:marTop w:val="0"/>
      <w:marBottom w:val="0"/>
      <w:divBdr>
        <w:top w:val="none" w:sz="0" w:space="0" w:color="auto"/>
        <w:left w:val="none" w:sz="0" w:space="0" w:color="auto"/>
        <w:bottom w:val="none" w:sz="0" w:space="0" w:color="auto"/>
        <w:right w:val="none" w:sz="0" w:space="0" w:color="auto"/>
      </w:divBdr>
    </w:div>
    <w:div w:id="1206218189">
      <w:bodyDiv w:val="1"/>
      <w:marLeft w:val="0"/>
      <w:marRight w:val="0"/>
      <w:marTop w:val="0"/>
      <w:marBottom w:val="0"/>
      <w:divBdr>
        <w:top w:val="none" w:sz="0" w:space="0" w:color="auto"/>
        <w:left w:val="none" w:sz="0" w:space="0" w:color="auto"/>
        <w:bottom w:val="none" w:sz="0" w:space="0" w:color="auto"/>
        <w:right w:val="none" w:sz="0" w:space="0" w:color="auto"/>
      </w:divBdr>
    </w:div>
    <w:div w:id="1217164745">
      <w:bodyDiv w:val="1"/>
      <w:marLeft w:val="0"/>
      <w:marRight w:val="0"/>
      <w:marTop w:val="0"/>
      <w:marBottom w:val="0"/>
      <w:divBdr>
        <w:top w:val="none" w:sz="0" w:space="0" w:color="auto"/>
        <w:left w:val="none" w:sz="0" w:space="0" w:color="auto"/>
        <w:bottom w:val="none" w:sz="0" w:space="0" w:color="auto"/>
        <w:right w:val="none" w:sz="0" w:space="0" w:color="auto"/>
      </w:divBdr>
    </w:div>
    <w:div w:id="1220828360">
      <w:bodyDiv w:val="1"/>
      <w:marLeft w:val="0"/>
      <w:marRight w:val="0"/>
      <w:marTop w:val="0"/>
      <w:marBottom w:val="0"/>
      <w:divBdr>
        <w:top w:val="none" w:sz="0" w:space="0" w:color="auto"/>
        <w:left w:val="none" w:sz="0" w:space="0" w:color="auto"/>
        <w:bottom w:val="none" w:sz="0" w:space="0" w:color="auto"/>
        <w:right w:val="none" w:sz="0" w:space="0" w:color="auto"/>
      </w:divBdr>
    </w:div>
    <w:div w:id="1227449883">
      <w:bodyDiv w:val="1"/>
      <w:marLeft w:val="0"/>
      <w:marRight w:val="0"/>
      <w:marTop w:val="0"/>
      <w:marBottom w:val="0"/>
      <w:divBdr>
        <w:top w:val="none" w:sz="0" w:space="0" w:color="auto"/>
        <w:left w:val="none" w:sz="0" w:space="0" w:color="auto"/>
        <w:bottom w:val="none" w:sz="0" w:space="0" w:color="auto"/>
        <w:right w:val="none" w:sz="0" w:space="0" w:color="auto"/>
      </w:divBdr>
    </w:div>
    <w:div w:id="1232618118">
      <w:bodyDiv w:val="1"/>
      <w:marLeft w:val="0"/>
      <w:marRight w:val="0"/>
      <w:marTop w:val="0"/>
      <w:marBottom w:val="0"/>
      <w:divBdr>
        <w:top w:val="none" w:sz="0" w:space="0" w:color="auto"/>
        <w:left w:val="none" w:sz="0" w:space="0" w:color="auto"/>
        <w:bottom w:val="none" w:sz="0" w:space="0" w:color="auto"/>
        <w:right w:val="none" w:sz="0" w:space="0" w:color="auto"/>
      </w:divBdr>
    </w:div>
    <w:div w:id="1246306960">
      <w:bodyDiv w:val="1"/>
      <w:marLeft w:val="0"/>
      <w:marRight w:val="0"/>
      <w:marTop w:val="0"/>
      <w:marBottom w:val="0"/>
      <w:divBdr>
        <w:top w:val="none" w:sz="0" w:space="0" w:color="auto"/>
        <w:left w:val="none" w:sz="0" w:space="0" w:color="auto"/>
        <w:bottom w:val="none" w:sz="0" w:space="0" w:color="auto"/>
        <w:right w:val="none" w:sz="0" w:space="0" w:color="auto"/>
      </w:divBdr>
    </w:div>
    <w:div w:id="1246496352">
      <w:bodyDiv w:val="1"/>
      <w:marLeft w:val="0"/>
      <w:marRight w:val="0"/>
      <w:marTop w:val="0"/>
      <w:marBottom w:val="0"/>
      <w:divBdr>
        <w:top w:val="none" w:sz="0" w:space="0" w:color="auto"/>
        <w:left w:val="none" w:sz="0" w:space="0" w:color="auto"/>
        <w:bottom w:val="none" w:sz="0" w:space="0" w:color="auto"/>
        <w:right w:val="none" w:sz="0" w:space="0" w:color="auto"/>
      </w:divBdr>
    </w:div>
    <w:div w:id="1257322302">
      <w:bodyDiv w:val="1"/>
      <w:marLeft w:val="0"/>
      <w:marRight w:val="0"/>
      <w:marTop w:val="0"/>
      <w:marBottom w:val="0"/>
      <w:divBdr>
        <w:top w:val="none" w:sz="0" w:space="0" w:color="auto"/>
        <w:left w:val="none" w:sz="0" w:space="0" w:color="auto"/>
        <w:bottom w:val="none" w:sz="0" w:space="0" w:color="auto"/>
        <w:right w:val="none" w:sz="0" w:space="0" w:color="auto"/>
      </w:divBdr>
    </w:div>
    <w:div w:id="1274097601">
      <w:bodyDiv w:val="1"/>
      <w:marLeft w:val="0"/>
      <w:marRight w:val="0"/>
      <w:marTop w:val="0"/>
      <w:marBottom w:val="0"/>
      <w:divBdr>
        <w:top w:val="none" w:sz="0" w:space="0" w:color="auto"/>
        <w:left w:val="none" w:sz="0" w:space="0" w:color="auto"/>
        <w:bottom w:val="none" w:sz="0" w:space="0" w:color="auto"/>
        <w:right w:val="none" w:sz="0" w:space="0" w:color="auto"/>
      </w:divBdr>
    </w:div>
    <w:div w:id="1274552635">
      <w:bodyDiv w:val="1"/>
      <w:marLeft w:val="0"/>
      <w:marRight w:val="0"/>
      <w:marTop w:val="0"/>
      <w:marBottom w:val="0"/>
      <w:divBdr>
        <w:top w:val="none" w:sz="0" w:space="0" w:color="auto"/>
        <w:left w:val="none" w:sz="0" w:space="0" w:color="auto"/>
        <w:bottom w:val="none" w:sz="0" w:space="0" w:color="auto"/>
        <w:right w:val="none" w:sz="0" w:space="0" w:color="auto"/>
      </w:divBdr>
    </w:div>
    <w:div w:id="1275941362">
      <w:bodyDiv w:val="1"/>
      <w:marLeft w:val="0"/>
      <w:marRight w:val="0"/>
      <w:marTop w:val="0"/>
      <w:marBottom w:val="0"/>
      <w:divBdr>
        <w:top w:val="none" w:sz="0" w:space="0" w:color="auto"/>
        <w:left w:val="none" w:sz="0" w:space="0" w:color="auto"/>
        <w:bottom w:val="none" w:sz="0" w:space="0" w:color="auto"/>
        <w:right w:val="none" w:sz="0" w:space="0" w:color="auto"/>
      </w:divBdr>
    </w:div>
    <w:div w:id="1283154541">
      <w:bodyDiv w:val="1"/>
      <w:marLeft w:val="0"/>
      <w:marRight w:val="0"/>
      <w:marTop w:val="0"/>
      <w:marBottom w:val="0"/>
      <w:divBdr>
        <w:top w:val="none" w:sz="0" w:space="0" w:color="auto"/>
        <w:left w:val="none" w:sz="0" w:space="0" w:color="auto"/>
        <w:bottom w:val="none" w:sz="0" w:space="0" w:color="auto"/>
        <w:right w:val="none" w:sz="0" w:space="0" w:color="auto"/>
      </w:divBdr>
    </w:div>
    <w:div w:id="1289430496">
      <w:bodyDiv w:val="1"/>
      <w:marLeft w:val="0"/>
      <w:marRight w:val="0"/>
      <w:marTop w:val="0"/>
      <w:marBottom w:val="0"/>
      <w:divBdr>
        <w:top w:val="none" w:sz="0" w:space="0" w:color="auto"/>
        <w:left w:val="none" w:sz="0" w:space="0" w:color="auto"/>
        <w:bottom w:val="none" w:sz="0" w:space="0" w:color="auto"/>
        <w:right w:val="none" w:sz="0" w:space="0" w:color="auto"/>
      </w:divBdr>
    </w:div>
    <w:div w:id="1289776405">
      <w:bodyDiv w:val="1"/>
      <w:marLeft w:val="0"/>
      <w:marRight w:val="0"/>
      <w:marTop w:val="0"/>
      <w:marBottom w:val="0"/>
      <w:divBdr>
        <w:top w:val="none" w:sz="0" w:space="0" w:color="auto"/>
        <w:left w:val="none" w:sz="0" w:space="0" w:color="auto"/>
        <w:bottom w:val="none" w:sz="0" w:space="0" w:color="auto"/>
        <w:right w:val="none" w:sz="0" w:space="0" w:color="auto"/>
      </w:divBdr>
    </w:div>
    <w:div w:id="1290236247">
      <w:bodyDiv w:val="1"/>
      <w:marLeft w:val="0"/>
      <w:marRight w:val="0"/>
      <w:marTop w:val="0"/>
      <w:marBottom w:val="0"/>
      <w:divBdr>
        <w:top w:val="none" w:sz="0" w:space="0" w:color="auto"/>
        <w:left w:val="none" w:sz="0" w:space="0" w:color="auto"/>
        <w:bottom w:val="none" w:sz="0" w:space="0" w:color="auto"/>
        <w:right w:val="none" w:sz="0" w:space="0" w:color="auto"/>
      </w:divBdr>
    </w:div>
    <w:div w:id="1301837080">
      <w:bodyDiv w:val="1"/>
      <w:marLeft w:val="0"/>
      <w:marRight w:val="0"/>
      <w:marTop w:val="0"/>
      <w:marBottom w:val="0"/>
      <w:divBdr>
        <w:top w:val="none" w:sz="0" w:space="0" w:color="auto"/>
        <w:left w:val="none" w:sz="0" w:space="0" w:color="auto"/>
        <w:bottom w:val="none" w:sz="0" w:space="0" w:color="auto"/>
        <w:right w:val="none" w:sz="0" w:space="0" w:color="auto"/>
      </w:divBdr>
    </w:div>
    <w:div w:id="1302923332">
      <w:bodyDiv w:val="1"/>
      <w:marLeft w:val="0"/>
      <w:marRight w:val="0"/>
      <w:marTop w:val="0"/>
      <w:marBottom w:val="0"/>
      <w:divBdr>
        <w:top w:val="none" w:sz="0" w:space="0" w:color="auto"/>
        <w:left w:val="none" w:sz="0" w:space="0" w:color="auto"/>
        <w:bottom w:val="none" w:sz="0" w:space="0" w:color="auto"/>
        <w:right w:val="none" w:sz="0" w:space="0" w:color="auto"/>
      </w:divBdr>
    </w:div>
    <w:div w:id="1306198583">
      <w:bodyDiv w:val="1"/>
      <w:marLeft w:val="0"/>
      <w:marRight w:val="0"/>
      <w:marTop w:val="0"/>
      <w:marBottom w:val="0"/>
      <w:divBdr>
        <w:top w:val="none" w:sz="0" w:space="0" w:color="auto"/>
        <w:left w:val="none" w:sz="0" w:space="0" w:color="auto"/>
        <w:bottom w:val="none" w:sz="0" w:space="0" w:color="auto"/>
        <w:right w:val="none" w:sz="0" w:space="0" w:color="auto"/>
      </w:divBdr>
    </w:div>
    <w:div w:id="1316452563">
      <w:bodyDiv w:val="1"/>
      <w:marLeft w:val="0"/>
      <w:marRight w:val="0"/>
      <w:marTop w:val="0"/>
      <w:marBottom w:val="0"/>
      <w:divBdr>
        <w:top w:val="none" w:sz="0" w:space="0" w:color="auto"/>
        <w:left w:val="none" w:sz="0" w:space="0" w:color="auto"/>
        <w:bottom w:val="none" w:sz="0" w:space="0" w:color="auto"/>
        <w:right w:val="none" w:sz="0" w:space="0" w:color="auto"/>
      </w:divBdr>
    </w:div>
    <w:div w:id="1328748822">
      <w:bodyDiv w:val="1"/>
      <w:marLeft w:val="0"/>
      <w:marRight w:val="0"/>
      <w:marTop w:val="0"/>
      <w:marBottom w:val="0"/>
      <w:divBdr>
        <w:top w:val="none" w:sz="0" w:space="0" w:color="auto"/>
        <w:left w:val="none" w:sz="0" w:space="0" w:color="auto"/>
        <w:bottom w:val="none" w:sz="0" w:space="0" w:color="auto"/>
        <w:right w:val="none" w:sz="0" w:space="0" w:color="auto"/>
      </w:divBdr>
    </w:div>
    <w:div w:id="1340933857">
      <w:bodyDiv w:val="1"/>
      <w:marLeft w:val="0"/>
      <w:marRight w:val="0"/>
      <w:marTop w:val="0"/>
      <w:marBottom w:val="0"/>
      <w:divBdr>
        <w:top w:val="none" w:sz="0" w:space="0" w:color="auto"/>
        <w:left w:val="none" w:sz="0" w:space="0" w:color="auto"/>
        <w:bottom w:val="none" w:sz="0" w:space="0" w:color="auto"/>
        <w:right w:val="none" w:sz="0" w:space="0" w:color="auto"/>
      </w:divBdr>
    </w:div>
    <w:div w:id="1348751642">
      <w:bodyDiv w:val="1"/>
      <w:marLeft w:val="0"/>
      <w:marRight w:val="0"/>
      <w:marTop w:val="0"/>
      <w:marBottom w:val="0"/>
      <w:divBdr>
        <w:top w:val="none" w:sz="0" w:space="0" w:color="auto"/>
        <w:left w:val="none" w:sz="0" w:space="0" w:color="auto"/>
        <w:bottom w:val="none" w:sz="0" w:space="0" w:color="auto"/>
        <w:right w:val="none" w:sz="0" w:space="0" w:color="auto"/>
      </w:divBdr>
    </w:div>
    <w:div w:id="1369376539">
      <w:bodyDiv w:val="1"/>
      <w:marLeft w:val="0"/>
      <w:marRight w:val="0"/>
      <w:marTop w:val="0"/>
      <w:marBottom w:val="0"/>
      <w:divBdr>
        <w:top w:val="none" w:sz="0" w:space="0" w:color="auto"/>
        <w:left w:val="none" w:sz="0" w:space="0" w:color="auto"/>
        <w:bottom w:val="none" w:sz="0" w:space="0" w:color="auto"/>
        <w:right w:val="none" w:sz="0" w:space="0" w:color="auto"/>
      </w:divBdr>
    </w:div>
    <w:div w:id="1372026885">
      <w:bodyDiv w:val="1"/>
      <w:marLeft w:val="0"/>
      <w:marRight w:val="0"/>
      <w:marTop w:val="0"/>
      <w:marBottom w:val="0"/>
      <w:divBdr>
        <w:top w:val="none" w:sz="0" w:space="0" w:color="auto"/>
        <w:left w:val="none" w:sz="0" w:space="0" w:color="auto"/>
        <w:bottom w:val="none" w:sz="0" w:space="0" w:color="auto"/>
        <w:right w:val="none" w:sz="0" w:space="0" w:color="auto"/>
      </w:divBdr>
    </w:div>
    <w:div w:id="1379471152">
      <w:bodyDiv w:val="1"/>
      <w:marLeft w:val="0"/>
      <w:marRight w:val="0"/>
      <w:marTop w:val="0"/>
      <w:marBottom w:val="0"/>
      <w:divBdr>
        <w:top w:val="none" w:sz="0" w:space="0" w:color="auto"/>
        <w:left w:val="none" w:sz="0" w:space="0" w:color="auto"/>
        <w:bottom w:val="none" w:sz="0" w:space="0" w:color="auto"/>
        <w:right w:val="none" w:sz="0" w:space="0" w:color="auto"/>
      </w:divBdr>
    </w:div>
    <w:div w:id="1392116407">
      <w:bodyDiv w:val="1"/>
      <w:marLeft w:val="0"/>
      <w:marRight w:val="0"/>
      <w:marTop w:val="0"/>
      <w:marBottom w:val="0"/>
      <w:divBdr>
        <w:top w:val="none" w:sz="0" w:space="0" w:color="auto"/>
        <w:left w:val="none" w:sz="0" w:space="0" w:color="auto"/>
        <w:bottom w:val="none" w:sz="0" w:space="0" w:color="auto"/>
        <w:right w:val="none" w:sz="0" w:space="0" w:color="auto"/>
      </w:divBdr>
    </w:div>
    <w:div w:id="1412041022">
      <w:bodyDiv w:val="1"/>
      <w:marLeft w:val="0"/>
      <w:marRight w:val="0"/>
      <w:marTop w:val="0"/>
      <w:marBottom w:val="0"/>
      <w:divBdr>
        <w:top w:val="none" w:sz="0" w:space="0" w:color="auto"/>
        <w:left w:val="none" w:sz="0" w:space="0" w:color="auto"/>
        <w:bottom w:val="none" w:sz="0" w:space="0" w:color="auto"/>
        <w:right w:val="none" w:sz="0" w:space="0" w:color="auto"/>
      </w:divBdr>
    </w:div>
    <w:div w:id="1436366221">
      <w:bodyDiv w:val="1"/>
      <w:marLeft w:val="0"/>
      <w:marRight w:val="0"/>
      <w:marTop w:val="0"/>
      <w:marBottom w:val="0"/>
      <w:divBdr>
        <w:top w:val="none" w:sz="0" w:space="0" w:color="auto"/>
        <w:left w:val="none" w:sz="0" w:space="0" w:color="auto"/>
        <w:bottom w:val="none" w:sz="0" w:space="0" w:color="auto"/>
        <w:right w:val="none" w:sz="0" w:space="0" w:color="auto"/>
      </w:divBdr>
    </w:div>
    <w:div w:id="1440296245">
      <w:bodyDiv w:val="1"/>
      <w:marLeft w:val="0"/>
      <w:marRight w:val="0"/>
      <w:marTop w:val="0"/>
      <w:marBottom w:val="0"/>
      <w:divBdr>
        <w:top w:val="none" w:sz="0" w:space="0" w:color="auto"/>
        <w:left w:val="none" w:sz="0" w:space="0" w:color="auto"/>
        <w:bottom w:val="none" w:sz="0" w:space="0" w:color="auto"/>
        <w:right w:val="none" w:sz="0" w:space="0" w:color="auto"/>
      </w:divBdr>
    </w:div>
    <w:div w:id="1449861132">
      <w:bodyDiv w:val="1"/>
      <w:marLeft w:val="0"/>
      <w:marRight w:val="0"/>
      <w:marTop w:val="0"/>
      <w:marBottom w:val="0"/>
      <w:divBdr>
        <w:top w:val="none" w:sz="0" w:space="0" w:color="auto"/>
        <w:left w:val="none" w:sz="0" w:space="0" w:color="auto"/>
        <w:bottom w:val="none" w:sz="0" w:space="0" w:color="auto"/>
        <w:right w:val="none" w:sz="0" w:space="0" w:color="auto"/>
      </w:divBdr>
    </w:div>
    <w:div w:id="1459955247">
      <w:bodyDiv w:val="1"/>
      <w:marLeft w:val="0"/>
      <w:marRight w:val="0"/>
      <w:marTop w:val="0"/>
      <w:marBottom w:val="0"/>
      <w:divBdr>
        <w:top w:val="none" w:sz="0" w:space="0" w:color="auto"/>
        <w:left w:val="none" w:sz="0" w:space="0" w:color="auto"/>
        <w:bottom w:val="none" w:sz="0" w:space="0" w:color="auto"/>
        <w:right w:val="none" w:sz="0" w:space="0" w:color="auto"/>
      </w:divBdr>
    </w:div>
    <w:div w:id="1462766493">
      <w:bodyDiv w:val="1"/>
      <w:marLeft w:val="0"/>
      <w:marRight w:val="0"/>
      <w:marTop w:val="0"/>
      <w:marBottom w:val="0"/>
      <w:divBdr>
        <w:top w:val="none" w:sz="0" w:space="0" w:color="auto"/>
        <w:left w:val="none" w:sz="0" w:space="0" w:color="auto"/>
        <w:bottom w:val="none" w:sz="0" w:space="0" w:color="auto"/>
        <w:right w:val="none" w:sz="0" w:space="0" w:color="auto"/>
      </w:divBdr>
    </w:div>
    <w:div w:id="1506899620">
      <w:bodyDiv w:val="1"/>
      <w:marLeft w:val="0"/>
      <w:marRight w:val="0"/>
      <w:marTop w:val="0"/>
      <w:marBottom w:val="0"/>
      <w:divBdr>
        <w:top w:val="none" w:sz="0" w:space="0" w:color="auto"/>
        <w:left w:val="none" w:sz="0" w:space="0" w:color="auto"/>
        <w:bottom w:val="none" w:sz="0" w:space="0" w:color="auto"/>
        <w:right w:val="none" w:sz="0" w:space="0" w:color="auto"/>
      </w:divBdr>
    </w:div>
    <w:div w:id="1515414224">
      <w:bodyDiv w:val="1"/>
      <w:marLeft w:val="0"/>
      <w:marRight w:val="0"/>
      <w:marTop w:val="0"/>
      <w:marBottom w:val="0"/>
      <w:divBdr>
        <w:top w:val="none" w:sz="0" w:space="0" w:color="auto"/>
        <w:left w:val="none" w:sz="0" w:space="0" w:color="auto"/>
        <w:bottom w:val="none" w:sz="0" w:space="0" w:color="auto"/>
        <w:right w:val="none" w:sz="0" w:space="0" w:color="auto"/>
      </w:divBdr>
    </w:div>
    <w:div w:id="1517577727">
      <w:bodyDiv w:val="1"/>
      <w:marLeft w:val="0"/>
      <w:marRight w:val="0"/>
      <w:marTop w:val="0"/>
      <w:marBottom w:val="0"/>
      <w:divBdr>
        <w:top w:val="none" w:sz="0" w:space="0" w:color="auto"/>
        <w:left w:val="none" w:sz="0" w:space="0" w:color="auto"/>
        <w:bottom w:val="none" w:sz="0" w:space="0" w:color="auto"/>
        <w:right w:val="none" w:sz="0" w:space="0" w:color="auto"/>
      </w:divBdr>
    </w:div>
    <w:div w:id="1517839360">
      <w:bodyDiv w:val="1"/>
      <w:marLeft w:val="0"/>
      <w:marRight w:val="0"/>
      <w:marTop w:val="0"/>
      <w:marBottom w:val="0"/>
      <w:divBdr>
        <w:top w:val="none" w:sz="0" w:space="0" w:color="auto"/>
        <w:left w:val="none" w:sz="0" w:space="0" w:color="auto"/>
        <w:bottom w:val="none" w:sz="0" w:space="0" w:color="auto"/>
        <w:right w:val="none" w:sz="0" w:space="0" w:color="auto"/>
      </w:divBdr>
    </w:div>
    <w:div w:id="1558011982">
      <w:bodyDiv w:val="1"/>
      <w:marLeft w:val="0"/>
      <w:marRight w:val="0"/>
      <w:marTop w:val="0"/>
      <w:marBottom w:val="0"/>
      <w:divBdr>
        <w:top w:val="none" w:sz="0" w:space="0" w:color="auto"/>
        <w:left w:val="none" w:sz="0" w:space="0" w:color="auto"/>
        <w:bottom w:val="none" w:sz="0" w:space="0" w:color="auto"/>
        <w:right w:val="none" w:sz="0" w:space="0" w:color="auto"/>
      </w:divBdr>
    </w:div>
    <w:div w:id="1559589503">
      <w:bodyDiv w:val="1"/>
      <w:marLeft w:val="0"/>
      <w:marRight w:val="0"/>
      <w:marTop w:val="0"/>
      <w:marBottom w:val="0"/>
      <w:divBdr>
        <w:top w:val="none" w:sz="0" w:space="0" w:color="auto"/>
        <w:left w:val="none" w:sz="0" w:space="0" w:color="auto"/>
        <w:bottom w:val="none" w:sz="0" w:space="0" w:color="auto"/>
        <w:right w:val="none" w:sz="0" w:space="0" w:color="auto"/>
      </w:divBdr>
    </w:div>
    <w:div w:id="1571816759">
      <w:bodyDiv w:val="1"/>
      <w:marLeft w:val="0"/>
      <w:marRight w:val="0"/>
      <w:marTop w:val="0"/>
      <w:marBottom w:val="0"/>
      <w:divBdr>
        <w:top w:val="none" w:sz="0" w:space="0" w:color="auto"/>
        <w:left w:val="none" w:sz="0" w:space="0" w:color="auto"/>
        <w:bottom w:val="none" w:sz="0" w:space="0" w:color="auto"/>
        <w:right w:val="none" w:sz="0" w:space="0" w:color="auto"/>
      </w:divBdr>
    </w:div>
    <w:div w:id="1585258180">
      <w:bodyDiv w:val="1"/>
      <w:marLeft w:val="0"/>
      <w:marRight w:val="0"/>
      <w:marTop w:val="0"/>
      <w:marBottom w:val="0"/>
      <w:divBdr>
        <w:top w:val="none" w:sz="0" w:space="0" w:color="auto"/>
        <w:left w:val="none" w:sz="0" w:space="0" w:color="auto"/>
        <w:bottom w:val="none" w:sz="0" w:space="0" w:color="auto"/>
        <w:right w:val="none" w:sz="0" w:space="0" w:color="auto"/>
      </w:divBdr>
    </w:div>
    <w:div w:id="1609654185">
      <w:bodyDiv w:val="1"/>
      <w:marLeft w:val="0"/>
      <w:marRight w:val="0"/>
      <w:marTop w:val="0"/>
      <w:marBottom w:val="0"/>
      <w:divBdr>
        <w:top w:val="none" w:sz="0" w:space="0" w:color="auto"/>
        <w:left w:val="none" w:sz="0" w:space="0" w:color="auto"/>
        <w:bottom w:val="none" w:sz="0" w:space="0" w:color="auto"/>
        <w:right w:val="none" w:sz="0" w:space="0" w:color="auto"/>
      </w:divBdr>
    </w:div>
    <w:div w:id="1619020242">
      <w:bodyDiv w:val="1"/>
      <w:marLeft w:val="0"/>
      <w:marRight w:val="0"/>
      <w:marTop w:val="0"/>
      <w:marBottom w:val="0"/>
      <w:divBdr>
        <w:top w:val="none" w:sz="0" w:space="0" w:color="auto"/>
        <w:left w:val="none" w:sz="0" w:space="0" w:color="auto"/>
        <w:bottom w:val="none" w:sz="0" w:space="0" w:color="auto"/>
        <w:right w:val="none" w:sz="0" w:space="0" w:color="auto"/>
      </w:divBdr>
    </w:div>
    <w:div w:id="1621105286">
      <w:bodyDiv w:val="1"/>
      <w:marLeft w:val="0"/>
      <w:marRight w:val="0"/>
      <w:marTop w:val="0"/>
      <w:marBottom w:val="0"/>
      <w:divBdr>
        <w:top w:val="none" w:sz="0" w:space="0" w:color="auto"/>
        <w:left w:val="none" w:sz="0" w:space="0" w:color="auto"/>
        <w:bottom w:val="none" w:sz="0" w:space="0" w:color="auto"/>
        <w:right w:val="none" w:sz="0" w:space="0" w:color="auto"/>
      </w:divBdr>
    </w:div>
    <w:div w:id="1629126022">
      <w:bodyDiv w:val="1"/>
      <w:marLeft w:val="0"/>
      <w:marRight w:val="0"/>
      <w:marTop w:val="0"/>
      <w:marBottom w:val="0"/>
      <w:divBdr>
        <w:top w:val="none" w:sz="0" w:space="0" w:color="auto"/>
        <w:left w:val="none" w:sz="0" w:space="0" w:color="auto"/>
        <w:bottom w:val="none" w:sz="0" w:space="0" w:color="auto"/>
        <w:right w:val="none" w:sz="0" w:space="0" w:color="auto"/>
      </w:divBdr>
    </w:div>
    <w:div w:id="1643461184">
      <w:bodyDiv w:val="1"/>
      <w:marLeft w:val="0"/>
      <w:marRight w:val="0"/>
      <w:marTop w:val="0"/>
      <w:marBottom w:val="0"/>
      <w:divBdr>
        <w:top w:val="none" w:sz="0" w:space="0" w:color="auto"/>
        <w:left w:val="none" w:sz="0" w:space="0" w:color="auto"/>
        <w:bottom w:val="none" w:sz="0" w:space="0" w:color="auto"/>
        <w:right w:val="none" w:sz="0" w:space="0" w:color="auto"/>
      </w:divBdr>
    </w:div>
    <w:div w:id="1643584351">
      <w:bodyDiv w:val="1"/>
      <w:marLeft w:val="0"/>
      <w:marRight w:val="0"/>
      <w:marTop w:val="0"/>
      <w:marBottom w:val="0"/>
      <w:divBdr>
        <w:top w:val="none" w:sz="0" w:space="0" w:color="auto"/>
        <w:left w:val="none" w:sz="0" w:space="0" w:color="auto"/>
        <w:bottom w:val="none" w:sz="0" w:space="0" w:color="auto"/>
        <w:right w:val="none" w:sz="0" w:space="0" w:color="auto"/>
      </w:divBdr>
    </w:div>
    <w:div w:id="1647858129">
      <w:bodyDiv w:val="1"/>
      <w:marLeft w:val="0"/>
      <w:marRight w:val="0"/>
      <w:marTop w:val="0"/>
      <w:marBottom w:val="0"/>
      <w:divBdr>
        <w:top w:val="none" w:sz="0" w:space="0" w:color="auto"/>
        <w:left w:val="none" w:sz="0" w:space="0" w:color="auto"/>
        <w:bottom w:val="none" w:sz="0" w:space="0" w:color="auto"/>
        <w:right w:val="none" w:sz="0" w:space="0" w:color="auto"/>
      </w:divBdr>
    </w:div>
    <w:div w:id="1667709045">
      <w:bodyDiv w:val="1"/>
      <w:marLeft w:val="0"/>
      <w:marRight w:val="0"/>
      <w:marTop w:val="0"/>
      <w:marBottom w:val="0"/>
      <w:divBdr>
        <w:top w:val="none" w:sz="0" w:space="0" w:color="auto"/>
        <w:left w:val="none" w:sz="0" w:space="0" w:color="auto"/>
        <w:bottom w:val="none" w:sz="0" w:space="0" w:color="auto"/>
        <w:right w:val="none" w:sz="0" w:space="0" w:color="auto"/>
      </w:divBdr>
    </w:div>
    <w:div w:id="1696887796">
      <w:bodyDiv w:val="1"/>
      <w:marLeft w:val="0"/>
      <w:marRight w:val="0"/>
      <w:marTop w:val="0"/>
      <w:marBottom w:val="0"/>
      <w:divBdr>
        <w:top w:val="none" w:sz="0" w:space="0" w:color="auto"/>
        <w:left w:val="none" w:sz="0" w:space="0" w:color="auto"/>
        <w:bottom w:val="none" w:sz="0" w:space="0" w:color="auto"/>
        <w:right w:val="none" w:sz="0" w:space="0" w:color="auto"/>
      </w:divBdr>
    </w:div>
    <w:div w:id="1699549378">
      <w:bodyDiv w:val="1"/>
      <w:marLeft w:val="0"/>
      <w:marRight w:val="0"/>
      <w:marTop w:val="0"/>
      <w:marBottom w:val="0"/>
      <w:divBdr>
        <w:top w:val="none" w:sz="0" w:space="0" w:color="auto"/>
        <w:left w:val="none" w:sz="0" w:space="0" w:color="auto"/>
        <w:bottom w:val="none" w:sz="0" w:space="0" w:color="auto"/>
        <w:right w:val="none" w:sz="0" w:space="0" w:color="auto"/>
      </w:divBdr>
    </w:div>
    <w:div w:id="1704593618">
      <w:bodyDiv w:val="1"/>
      <w:marLeft w:val="0"/>
      <w:marRight w:val="0"/>
      <w:marTop w:val="0"/>
      <w:marBottom w:val="0"/>
      <w:divBdr>
        <w:top w:val="none" w:sz="0" w:space="0" w:color="auto"/>
        <w:left w:val="none" w:sz="0" w:space="0" w:color="auto"/>
        <w:bottom w:val="none" w:sz="0" w:space="0" w:color="auto"/>
        <w:right w:val="none" w:sz="0" w:space="0" w:color="auto"/>
      </w:divBdr>
    </w:div>
    <w:div w:id="1711956784">
      <w:bodyDiv w:val="1"/>
      <w:marLeft w:val="0"/>
      <w:marRight w:val="0"/>
      <w:marTop w:val="0"/>
      <w:marBottom w:val="0"/>
      <w:divBdr>
        <w:top w:val="none" w:sz="0" w:space="0" w:color="auto"/>
        <w:left w:val="none" w:sz="0" w:space="0" w:color="auto"/>
        <w:bottom w:val="none" w:sz="0" w:space="0" w:color="auto"/>
        <w:right w:val="none" w:sz="0" w:space="0" w:color="auto"/>
      </w:divBdr>
    </w:div>
    <w:div w:id="1715156045">
      <w:bodyDiv w:val="1"/>
      <w:marLeft w:val="0"/>
      <w:marRight w:val="0"/>
      <w:marTop w:val="0"/>
      <w:marBottom w:val="0"/>
      <w:divBdr>
        <w:top w:val="none" w:sz="0" w:space="0" w:color="auto"/>
        <w:left w:val="none" w:sz="0" w:space="0" w:color="auto"/>
        <w:bottom w:val="none" w:sz="0" w:space="0" w:color="auto"/>
        <w:right w:val="none" w:sz="0" w:space="0" w:color="auto"/>
      </w:divBdr>
    </w:div>
    <w:div w:id="1740441295">
      <w:bodyDiv w:val="1"/>
      <w:marLeft w:val="0"/>
      <w:marRight w:val="0"/>
      <w:marTop w:val="0"/>
      <w:marBottom w:val="0"/>
      <w:divBdr>
        <w:top w:val="none" w:sz="0" w:space="0" w:color="auto"/>
        <w:left w:val="none" w:sz="0" w:space="0" w:color="auto"/>
        <w:bottom w:val="none" w:sz="0" w:space="0" w:color="auto"/>
        <w:right w:val="none" w:sz="0" w:space="0" w:color="auto"/>
      </w:divBdr>
    </w:div>
    <w:div w:id="1749963665">
      <w:bodyDiv w:val="1"/>
      <w:marLeft w:val="0"/>
      <w:marRight w:val="0"/>
      <w:marTop w:val="0"/>
      <w:marBottom w:val="0"/>
      <w:divBdr>
        <w:top w:val="none" w:sz="0" w:space="0" w:color="auto"/>
        <w:left w:val="none" w:sz="0" w:space="0" w:color="auto"/>
        <w:bottom w:val="none" w:sz="0" w:space="0" w:color="auto"/>
        <w:right w:val="none" w:sz="0" w:space="0" w:color="auto"/>
      </w:divBdr>
    </w:div>
    <w:div w:id="1753357980">
      <w:bodyDiv w:val="1"/>
      <w:marLeft w:val="0"/>
      <w:marRight w:val="0"/>
      <w:marTop w:val="0"/>
      <w:marBottom w:val="0"/>
      <w:divBdr>
        <w:top w:val="none" w:sz="0" w:space="0" w:color="auto"/>
        <w:left w:val="none" w:sz="0" w:space="0" w:color="auto"/>
        <w:bottom w:val="none" w:sz="0" w:space="0" w:color="auto"/>
        <w:right w:val="none" w:sz="0" w:space="0" w:color="auto"/>
      </w:divBdr>
    </w:div>
    <w:div w:id="1763644623">
      <w:bodyDiv w:val="1"/>
      <w:marLeft w:val="0"/>
      <w:marRight w:val="0"/>
      <w:marTop w:val="0"/>
      <w:marBottom w:val="0"/>
      <w:divBdr>
        <w:top w:val="none" w:sz="0" w:space="0" w:color="auto"/>
        <w:left w:val="none" w:sz="0" w:space="0" w:color="auto"/>
        <w:bottom w:val="none" w:sz="0" w:space="0" w:color="auto"/>
        <w:right w:val="none" w:sz="0" w:space="0" w:color="auto"/>
      </w:divBdr>
    </w:div>
    <w:div w:id="1771118445">
      <w:bodyDiv w:val="1"/>
      <w:marLeft w:val="0"/>
      <w:marRight w:val="0"/>
      <w:marTop w:val="0"/>
      <w:marBottom w:val="0"/>
      <w:divBdr>
        <w:top w:val="none" w:sz="0" w:space="0" w:color="auto"/>
        <w:left w:val="none" w:sz="0" w:space="0" w:color="auto"/>
        <w:bottom w:val="none" w:sz="0" w:space="0" w:color="auto"/>
        <w:right w:val="none" w:sz="0" w:space="0" w:color="auto"/>
      </w:divBdr>
    </w:div>
    <w:div w:id="1786774535">
      <w:bodyDiv w:val="1"/>
      <w:marLeft w:val="0"/>
      <w:marRight w:val="0"/>
      <w:marTop w:val="0"/>
      <w:marBottom w:val="0"/>
      <w:divBdr>
        <w:top w:val="none" w:sz="0" w:space="0" w:color="auto"/>
        <w:left w:val="none" w:sz="0" w:space="0" w:color="auto"/>
        <w:bottom w:val="none" w:sz="0" w:space="0" w:color="auto"/>
        <w:right w:val="none" w:sz="0" w:space="0" w:color="auto"/>
      </w:divBdr>
    </w:div>
    <w:div w:id="1795562854">
      <w:bodyDiv w:val="1"/>
      <w:marLeft w:val="0"/>
      <w:marRight w:val="0"/>
      <w:marTop w:val="0"/>
      <w:marBottom w:val="0"/>
      <w:divBdr>
        <w:top w:val="none" w:sz="0" w:space="0" w:color="auto"/>
        <w:left w:val="none" w:sz="0" w:space="0" w:color="auto"/>
        <w:bottom w:val="none" w:sz="0" w:space="0" w:color="auto"/>
        <w:right w:val="none" w:sz="0" w:space="0" w:color="auto"/>
      </w:divBdr>
    </w:div>
    <w:div w:id="1810856194">
      <w:bodyDiv w:val="1"/>
      <w:marLeft w:val="0"/>
      <w:marRight w:val="0"/>
      <w:marTop w:val="0"/>
      <w:marBottom w:val="0"/>
      <w:divBdr>
        <w:top w:val="none" w:sz="0" w:space="0" w:color="auto"/>
        <w:left w:val="none" w:sz="0" w:space="0" w:color="auto"/>
        <w:bottom w:val="none" w:sz="0" w:space="0" w:color="auto"/>
        <w:right w:val="none" w:sz="0" w:space="0" w:color="auto"/>
      </w:divBdr>
    </w:div>
    <w:div w:id="1813911800">
      <w:bodyDiv w:val="1"/>
      <w:marLeft w:val="0"/>
      <w:marRight w:val="0"/>
      <w:marTop w:val="0"/>
      <w:marBottom w:val="0"/>
      <w:divBdr>
        <w:top w:val="none" w:sz="0" w:space="0" w:color="auto"/>
        <w:left w:val="none" w:sz="0" w:space="0" w:color="auto"/>
        <w:bottom w:val="none" w:sz="0" w:space="0" w:color="auto"/>
        <w:right w:val="none" w:sz="0" w:space="0" w:color="auto"/>
      </w:divBdr>
    </w:div>
    <w:div w:id="1818108555">
      <w:bodyDiv w:val="1"/>
      <w:marLeft w:val="0"/>
      <w:marRight w:val="0"/>
      <w:marTop w:val="0"/>
      <w:marBottom w:val="0"/>
      <w:divBdr>
        <w:top w:val="none" w:sz="0" w:space="0" w:color="auto"/>
        <w:left w:val="none" w:sz="0" w:space="0" w:color="auto"/>
        <w:bottom w:val="none" w:sz="0" w:space="0" w:color="auto"/>
        <w:right w:val="none" w:sz="0" w:space="0" w:color="auto"/>
      </w:divBdr>
    </w:div>
    <w:div w:id="1819836301">
      <w:bodyDiv w:val="1"/>
      <w:marLeft w:val="0"/>
      <w:marRight w:val="0"/>
      <w:marTop w:val="0"/>
      <w:marBottom w:val="0"/>
      <w:divBdr>
        <w:top w:val="none" w:sz="0" w:space="0" w:color="auto"/>
        <w:left w:val="none" w:sz="0" w:space="0" w:color="auto"/>
        <w:bottom w:val="none" w:sz="0" w:space="0" w:color="auto"/>
        <w:right w:val="none" w:sz="0" w:space="0" w:color="auto"/>
      </w:divBdr>
    </w:div>
    <w:div w:id="1824349820">
      <w:bodyDiv w:val="1"/>
      <w:marLeft w:val="0"/>
      <w:marRight w:val="0"/>
      <w:marTop w:val="0"/>
      <w:marBottom w:val="0"/>
      <w:divBdr>
        <w:top w:val="none" w:sz="0" w:space="0" w:color="auto"/>
        <w:left w:val="none" w:sz="0" w:space="0" w:color="auto"/>
        <w:bottom w:val="none" w:sz="0" w:space="0" w:color="auto"/>
        <w:right w:val="none" w:sz="0" w:space="0" w:color="auto"/>
      </w:divBdr>
    </w:div>
    <w:div w:id="1829397349">
      <w:bodyDiv w:val="1"/>
      <w:marLeft w:val="0"/>
      <w:marRight w:val="0"/>
      <w:marTop w:val="0"/>
      <w:marBottom w:val="0"/>
      <w:divBdr>
        <w:top w:val="none" w:sz="0" w:space="0" w:color="auto"/>
        <w:left w:val="none" w:sz="0" w:space="0" w:color="auto"/>
        <w:bottom w:val="none" w:sz="0" w:space="0" w:color="auto"/>
        <w:right w:val="none" w:sz="0" w:space="0" w:color="auto"/>
      </w:divBdr>
    </w:div>
    <w:div w:id="1838839845">
      <w:bodyDiv w:val="1"/>
      <w:marLeft w:val="0"/>
      <w:marRight w:val="0"/>
      <w:marTop w:val="0"/>
      <w:marBottom w:val="0"/>
      <w:divBdr>
        <w:top w:val="none" w:sz="0" w:space="0" w:color="auto"/>
        <w:left w:val="none" w:sz="0" w:space="0" w:color="auto"/>
        <w:bottom w:val="none" w:sz="0" w:space="0" w:color="auto"/>
        <w:right w:val="none" w:sz="0" w:space="0" w:color="auto"/>
      </w:divBdr>
    </w:div>
    <w:div w:id="1872037312">
      <w:bodyDiv w:val="1"/>
      <w:marLeft w:val="0"/>
      <w:marRight w:val="0"/>
      <w:marTop w:val="0"/>
      <w:marBottom w:val="0"/>
      <w:divBdr>
        <w:top w:val="none" w:sz="0" w:space="0" w:color="auto"/>
        <w:left w:val="none" w:sz="0" w:space="0" w:color="auto"/>
        <w:bottom w:val="none" w:sz="0" w:space="0" w:color="auto"/>
        <w:right w:val="none" w:sz="0" w:space="0" w:color="auto"/>
      </w:divBdr>
    </w:div>
    <w:div w:id="1902402783">
      <w:bodyDiv w:val="1"/>
      <w:marLeft w:val="0"/>
      <w:marRight w:val="0"/>
      <w:marTop w:val="0"/>
      <w:marBottom w:val="0"/>
      <w:divBdr>
        <w:top w:val="none" w:sz="0" w:space="0" w:color="auto"/>
        <w:left w:val="none" w:sz="0" w:space="0" w:color="auto"/>
        <w:bottom w:val="none" w:sz="0" w:space="0" w:color="auto"/>
        <w:right w:val="none" w:sz="0" w:space="0" w:color="auto"/>
      </w:divBdr>
    </w:div>
    <w:div w:id="1928152665">
      <w:bodyDiv w:val="1"/>
      <w:marLeft w:val="0"/>
      <w:marRight w:val="0"/>
      <w:marTop w:val="0"/>
      <w:marBottom w:val="0"/>
      <w:divBdr>
        <w:top w:val="none" w:sz="0" w:space="0" w:color="auto"/>
        <w:left w:val="none" w:sz="0" w:space="0" w:color="auto"/>
        <w:bottom w:val="none" w:sz="0" w:space="0" w:color="auto"/>
        <w:right w:val="none" w:sz="0" w:space="0" w:color="auto"/>
      </w:divBdr>
    </w:div>
    <w:div w:id="1938126514">
      <w:bodyDiv w:val="1"/>
      <w:marLeft w:val="0"/>
      <w:marRight w:val="0"/>
      <w:marTop w:val="0"/>
      <w:marBottom w:val="0"/>
      <w:divBdr>
        <w:top w:val="none" w:sz="0" w:space="0" w:color="auto"/>
        <w:left w:val="none" w:sz="0" w:space="0" w:color="auto"/>
        <w:bottom w:val="none" w:sz="0" w:space="0" w:color="auto"/>
        <w:right w:val="none" w:sz="0" w:space="0" w:color="auto"/>
      </w:divBdr>
    </w:div>
    <w:div w:id="1958102754">
      <w:bodyDiv w:val="1"/>
      <w:marLeft w:val="0"/>
      <w:marRight w:val="0"/>
      <w:marTop w:val="0"/>
      <w:marBottom w:val="0"/>
      <w:divBdr>
        <w:top w:val="none" w:sz="0" w:space="0" w:color="auto"/>
        <w:left w:val="none" w:sz="0" w:space="0" w:color="auto"/>
        <w:bottom w:val="none" w:sz="0" w:space="0" w:color="auto"/>
        <w:right w:val="none" w:sz="0" w:space="0" w:color="auto"/>
      </w:divBdr>
    </w:div>
    <w:div w:id="1960989946">
      <w:bodyDiv w:val="1"/>
      <w:marLeft w:val="0"/>
      <w:marRight w:val="0"/>
      <w:marTop w:val="0"/>
      <w:marBottom w:val="0"/>
      <w:divBdr>
        <w:top w:val="none" w:sz="0" w:space="0" w:color="auto"/>
        <w:left w:val="none" w:sz="0" w:space="0" w:color="auto"/>
        <w:bottom w:val="none" w:sz="0" w:space="0" w:color="auto"/>
        <w:right w:val="none" w:sz="0" w:space="0" w:color="auto"/>
      </w:divBdr>
    </w:div>
    <w:div w:id="1981180762">
      <w:bodyDiv w:val="1"/>
      <w:marLeft w:val="0"/>
      <w:marRight w:val="0"/>
      <w:marTop w:val="0"/>
      <w:marBottom w:val="0"/>
      <w:divBdr>
        <w:top w:val="none" w:sz="0" w:space="0" w:color="auto"/>
        <w:left w:val="none" w:sz="0" w:space="0" w:color="auto"/>
        <w:bottom w:val="none" w:sz="0" w:space="0" w:color="auto"/>
        <w:right w:val="none" w:sz="0" w:space="0" w:color="auto"/>
      </w:divBdr>
    </w:div>
    <w:div w:id="1985234092">
      <w:bodyDiv w:val="1"/>
      <w:marLeft w:val="0"/>
      <w:marRight w:val="0"/>
      <w:marTop w:val="0"/>
      <w:marBottom w:val="0"/>
      <w:divBdr>
        <w:top w:val="none" w:sz="0" w:space="0" w:color="auto"/>
        <w:left w:val="none" w:sz="0" w:space="0" w:color="auto"/>
        <w:bottom w:val="none" w:sz="0" w:space="0" w:color="auto"/>
        <w:right w:val="none" w:sz="0" w:space="0" w:color="auto"/>
      </w:divBdr>
    </w:div>
    <w:div w:id="1987080973">
      <w:bodyDiv w:val="1"/>
      <w:marLeft w:val="0"/>
      <w:marRight w:val="0"/>
      <w:marTop w:val="0"/>
      <w:marBottom w:val="0"/>
      <w:divBdr>
        <w:top w:val="none" w:sz="0" w:space="0" w:color="auto"/>
        <w:left w:val="none" w:sz="0" w:space="0" w:color="auto"/>
        <w:bottom w:val="none" w:sz="0" w:space="0" w:color="auto"/>
        <w:right w:val="none" w:sz="0" w:space="0" w:color="auto"/>
      </w:divBdr>
    </w:div>
    <w:div w:id="1995178539">
      <w:bodyDiv w:val="1"/>
      <w:marLeft w:val="0"/>
      <w:marRight w:val="0"/>
      <w:marTop w:val="0"/>
      <w:marBottom w:val="0"/>
      <w:divBdr>
        <w:top w:val="none" w:sz="0" w:space="0" w:color="auto"/>
        <w:left w:val="none" w:sz="0" w:space="0" w:color="auto"/>
        <w:bottom w:val="none" w:sz="0" w:space="0" w:color="auto"/>
        <w:right w:val="none" w:sz="0" w:space="0" w:color="auto"/>
      </w:divBdr>
    </w:div>
    <w:div w:id="2004702781">
      <w:bodyDiv w:val="1"/>
      <w:marLeft w:val="0"/>
      <w:marRight w:val="0"/>
      <w:marTop w:val="0"/>
      <w:marBottom w:val="0"/>
      <w:divBdr>
        <w:top w:val="none" w:sz="0" w:space="0" w:color="auto"/>
        <w:left w:val="none" w:sz="0" w:space="0" w:color="auto"/>
        <w:bottom w:val="none" w:sz="0" w:space="0" w:color="auto"/>
        <w:right w:val="none" w:sz="0" w:space="0" w:color="auto"/>
      </w:divBdr>
    </w:div>
    <w:div w:id="2013490456">
      <w:bodyDiv w:val="1"/>
      <w:marLeft w:val="0"/>
      <w:marRight w:val="0"/>
      <w:marTop w:val="0"/>
      <w:marBottom w:val="0"/>
      <w:divBdr>
        <w:top w:val="none" w:sz="0" w:space="0" w:color="auto"/>
        <w:left w:val="none" w:sz="0" w:space="0" w:color="auto"/>
        <w:bottom w:val="none" w:sz="0" w:space="0" w:color="auto"/>
        <w:right w:val="none" w:sz="0" w:space="0" w:color="auto"/>
      </w:divBdr>
    </w:div>
    <w:div w:id="2018772534">
      <w:bodyDiv w:val="1"/>
      <w:marLeft w:val="0"/>
      <w:marRight w:val="0"/>
      <w:marTop w:val="0"/>
      <w:marBottom w:val="0"/>
      <w:divBdr>
        <w:top w:val="none" w:sz="0" w:space="0" w:color="auto"/>
        <w:left w:val="none" w:sz="0" w:space="0" w:color="auto"/>
        <w:bottom w:val="none" w:sz="0" w:space="0" w:color="auto"/>
        <w:right w:val="none" w:sz="0" w:space="0" w:color="auto"/>
      </w:divBdr>
    </w:div>
    <w:div w:id="2039239409">
      <w:bodyDiv w:val="1"/>
      <w:marLeft w:val="0"/>
      <w:marRight w:val="0"/>
      <w:marTop w:val="0"/>
      <w:marBottom w:val="0"/>
      <w:divBdr>
        <w:top w:val="none" w:sz="0" w:space="0" w:color="auto"/>
        <w:left w:val="none" w:sz="0" w:space="0" w:color="auto"/>
        <w:bottom w:val="none" w:sz="0" w:space="0" w:color="auto"/>
        <w:right w:val="none" w:sz="0" w:space="0" w:color="auto"/>
      </w:divBdr>
    </w:div>
    <w:div w:id="2044207723">
      <w:bodyDiv w:val="1"/>
      <w:marLeft w:val="0"/>
      <w:marRight w:val="0"/>
      <w:marTop w:val="0"/>
      <w:marBottom w:val="0"/>
      <w:divBdr>
        <w:top w:val="none" w:sz="0" w:space="0" w:color="auto"/>
        <w:left w:val="none" w:sz="0" w:space="0" w:color="auto"/>
        <w:bottom w:val="none" w:sz="0" w:space="0" w:color="auto"/>
        <w:right w:val="none" w:sz="0" w:space="0" w:color="auto"/>
      </w:divBdr>
    </w:div>
    <w:div w:id="2045599266">
      <w:bodyDiv w:val="1"/>
      <w:marLeft w:val="0"/>
      <w:marRight w:val="0"/>
      <w:marTop w:val="0"/>
      <w:marBottom w:val="0"/>
      <w:divBdr>
        <w:top w:val="none" w:sz="0" w:space="0" w:color="auto"/>
        <w:left w:val="none" w:sz="0" w:space="0" w:color="auto"/>
        <w:bottom w:val="none" w:sz="0" w:space="0" w:color="auto"/>
        <w:right w:val="none" w:sz="0" w:space="0" w:color="auto"/>
      </w:divBdr>
    </w:div>
    <w:div w:id="2045863873">
      <w:bodyDiv w:val="1"/>
      <w:marLeft w:val="0"/>
      <w:marRight w:val="0"/>
      <w:marTop w:val="0"/>
      <w:marBottom w:val="0"/>
      <w:divBdr>
        <w:top w:val="none" w:sz="0" w:space="0" w:color="auto"/>
        <w:left w:val="none" w:sz="0" w:space="0" w:color="auto"/>
        <w:bottom w:val="none" w:sz="0" w:space="0" w:color="auto"/>
        <w:right w:val="none" w:sz="0" w:space="0" w:color="auto"/>
      </w:divBdr>
    </w:div>
    <w:div w:id="2051880810">
      <w:bodyDiv w:val="1"/>
      <w:marLeft w:val="0"/>
      <w:marRight w:val="0"/>
      <w:marTop w:val="0"/>
      <w:marBottom w:val="0"/>
      <w:divBdr>
        <w:top w:val="none" w:sz="0" w:space="0" w:color="auto"/>
        <w:left w:val="none" w:sz="0" w:space="0" w:color="auto"/>
        <w:bottom w:val="none" w:sz="0" w:space="0" w:color="auto"/>
        <w:right w:val="none" w:sz="0" w:space="0" w:color="auto"/>
      </w:divBdr>
    </w:div>
    <w:div w:id="2055230204">
      <w:bodyDiv w:val="1"/>
      <w:marLeft w:val="0"/>
      <w:marRight w:val="0"/>
      <w:marTop w:val="0"/>
      <w:marBottom w:val="0"/>
      <w:divBdr>
        <w:top w:val="none" w:sz="0" w:space="0" w:color="auto"/>
        <w:left w:val="none" w:sz="0" w:space="0" w:color="auto"/>
        <w:bottom w:val="none" w:sz="0" w:space="0" w:color="auto"/>
        <w:right w:val="none" w:sz="0" w:space="0" w:color="auto"/>
      </w:divBdr>
    </w:div>
    <w:div w:id="2065442976">
      <w:bodyDiv w:val="1"/>
      <w:marLeft w:val="0"/>
      <w:marRight w:val="0"/>
      <w:marTop w:val="0"/>
      <w:marBottom w:val="0"/>
      <w:divBdr>
        <w:top w:val="none" w:sz="0" w:space="0" w:color="auto"/>
        <w:left w:val="none" w:sz="0" w:space="0" w:color="auto"/>
        <w:bottom w:val="none" w:sz="0" w:space="0" w:color="auto"/>
        <w:right w:val="none" w:sz="0" w:space="0" w:color="auto"/>
      </w:divBdr>
    </w:div>
    <w:div w:id="2075352260">
      <w:bodyDiv w:val="1"/>
      <w:marLeft w:val="0"/>
      <w:marRight w:val="0"/>
      <w:marTop w:val="0"/>
      <w:marBottom w:val="0"/>
      <w:divBdr>
        <w:top w:val="none" w:sz="0" w:space="0" w:color="auto"/>
        <w:left w:val="none" w:sz="0" w:space="0" w:color="auto"/>
        <w:bottom w:val="none" w:sz="0" w:space="0" w:color="auto"/>
        <w:right w:val="none" w:sz="0" w:space="0" w:color="auto"/>
      </w:divBdr>
    </w:div>
    <w:div w:id="2095005037">
      <w:bodyDiv w:val="1"/>
      <w:marLeft w:val="0"/>
      <w:marRight w:val="0"/>
      <w:marTop w:val="0"/>
      <w:marBottom w:val="0"/>
      <w:divBdr>
        <w:top w:val="none" w:sz="0" w:space="0" w:color="auto"/>
        <w:left w:val="none" w:sz="0" w:space="0" w:color="auto"/>
        <w:bottom w:val="none" w:sz="0" w:space="0" w:color="auto"/>
        <w:right w:val="none" w:sz="0" w:space="0" w:color="auto"/>
      </w:divBdr>
    </w:div>
    <w:div w:id="2109234960">
      <w:bodyDiv w:val="1"/>
      <w:marLeft w:val="0"/>
      <w:marRight w:val="0"/>
      <w:marTop w:val="0"/>
      <w:marBottom w:val="0"/>
      <w:divBdr>
        <w:top w:val="none" w:sz="0" w:space="0" w:color="auto"/>
        <w:left w:val="none" w:sz="0" w:space="0" w:color="auto"/>
        <w:bottom w:val="none" w:sz="0" w:space="0" w:color="auto"/>
        <w:right w:val="none" w:sz="0" w:space="0" w:color="auto"/>
      </w:divBdr>
    </w:div>
    <w:div w:id="2117168685">
      <w:bodyDiv w:val="1"/>
      <w:marLeft w:val="0"/>
      <w:marRight w:val="0"/>
      <w:marTop w:val="0"/>
      <w:marBottom w:val="0"/>
      <w:divBdr>
        <w:top w:val="none" w:sz="0" w:space="0" w:color="auto"/>
        <w:left w:val="none" w:sz="0" w:space="0" w:color="auto"/>
        <w:bottom w:val="none" w:sz="0" w:space="0" w:color="auto"/>
        <w:right w:val="none" w:sz="0" w:space="0" w:color="auto"/>
      </w:divBdr>
    </w:div>
    <w:div w:id="2140490037">
      <w:bodyDiv w:val="1"/>
      <w:marLeft w:val="0"/>
      <w:marRight w:val="0"/>
      <w:marTop w:val="0"/>
      <w:marBottom w:val="0"/>
      <w:divBdr>
        <w:top w:val="none" w:sz="0" w:space="0" w:color="auto"/>
        <w:left w:val="none" w:sz="0" w:space="0" w:color="auto"/>
        <w:bottom w:val="none" w:sz="0" w:space="0" w:color="auto"/>
        <w:right w:val="none" w:sz="0" w:space="0" w:color="auto"/>
      </w:divBdr>
    </w:div>
    <w:div w:id="2146771743">
      <w:bodyDiv w:val="1"/>
      <w:marLeft w:val="0"/>
      <w:marRight w:val="0"/>
      <w:marTop w:val="0"/>
      <w:marBottom w:val="0"/>
      <w:divBdr>
        <w:top w:val="none" w:sz="0" w:space="0" w:color="auto"/>
        <w:left w:val="none" w:sz="0" w:space="0" w:color="auto"/>
        <w:bottom w:val="none" w:sz="0" w:space="0" w:color="auto"/>
        <w:right w:val="none" w:sz="0" w:space="0" w:color="auto"/>
      </w:divBdr>
    </w:div>
    <w:div w:id="214735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emf"/><Relationship Id="rId26" Type="http://schemas.openxmlformats.org/officeDocument/2006/relationships/image" Target="media/image14.emf"/><Relationship Id="rId39" Type="http://schemas.openxmlformats.org/officeDocument/2006/relationships/image" Target="media/image27.emf"/><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image" Target="media/image22.emf"/><Relationship Id="rId42"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www.epa.gov/epcra/reporting-requirements-continuous-releases-hazardous-substances-guide-facilities-compliance" TargetMode="External"/><Relationship Id="rId17" Type="http://schemas.openxmlformats.org/officeDocument/2006/relationships/image" Target="media/image5.emf"/><Relationship Id="rId25" Type="http://schemas.openxmlformats.org/officeDocument/2006/relationships/image" Target="media/image13.emf"/><Relationship Id="rId33" Type="http://schemas.openxmlformats.org/officeDocument/2006/relationships/image" Target="media/image21.emf"/><Relationship Id="rId38" Type="http://schemas.openxmlformats.org/officeDocument/2006/relationships/image" Target="media/image26.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image" Target="media/image17.emf"/><Relationship Id="rId41"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image" Target="media/image12.emf"/><Relationship Id="rId32" Type="http://schemas.openxmlformats.org/officeDocument/2006/relationships/image" Target="media/image20.emf"/><Relationship Id="rId37" Type="http://schemas.openxmlformats.org/officeDocument/2006/relationships/image" Target="media/image25.emf"/><Relationship Id="rId40" Type="http://schemas.openxmlformats.org/officeDocument/2006/relationships/image" Target="media/image28.emf"/><Relationship Id="rId5" Type="http://schemas.openxmlformats.org/officeDocument/2006/relationships/settings" Target="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image" Target="media/image16.emf"/><Relationship Id="rId36" Type="http://schemas.openxmlformats.org/officeDocument/2006/relationships/image" Target="media/image24.emf"/><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image" Target="media/image19.e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image" Target="media/image15.emf"/><Relationship Id="rId30" Type="http://schemas.openxmlformats.org/officeDocument/2006/relationships/image" Target="media/image18.emf"/><Relationship Id="rId35" Type="http://schemas.openxmlformats.org/officeDocument/2006/relationships/image" Target="media/image23.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37AD1-90CC-4A52-AF6F-A36A7DF04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16226</Words>
  <Characters>92493</Characters>
  <Application>Microsoft Office Word</Application>
  <DocSecurity>0</DocSecurity>
  <Lines>770</Lines>
  <Paragraphs>217</Paragraphs>
  <ScaleCrop>false</ScaleCrop>
  <HeadingPairs>
    <vt:vector size="2" baseType="variant">
      <vt:variant>
        <vt:lpstr>Title</vt:lpstr>
      </vt:variant>
      <vt:variant>
        <vt:i4>1</vt:i4>
      </vt:variant>
    </vt:vector>
  </HeadingPairs>
  <TitlesOfParts>
    <vt:vector size="1" baseType="lpstr">
      <vt:lpstr>RENEWAL OF INFORMATION COLLECTION REQUEST FOR THE CONTINUOUS RELEASE REPORTING REQUIREMENT</vt:lpstr>
    </vt:vector>
  </TitlesOfParts>
  <Company>EPA</Company>
  <LinksUpToDate>false</LinksUpToDate>
  <CharactersWithSpaces>108502</CharactersWithSpaces>
  <SharedDoc>false</SharedDoc>
  <HLinks>
    <vt:vector size="750" baseType="variant">
      <vt:variant>
        <vt:i4>2818151</vt:i4>
      </vt:variant>
      <vt:variant>
        <vt:i4>1076</vt:i4>
      </vt:variant>
      <vt:variant>
        <vt:i4>0</vt:i4>
      </vt:variant>
      <vt:variant>
        <vt:i4>5</vt:i4>
      </vt:variant>
      <vt:variant>
        <vt:lpwstr>http://www.regulations.gov/</vt:lpwstr>
      </vt:variant>
      <vt:variant>
        <vt:lpwstr/>
      </vt:variant>
      <vt:variant>
        <vt:i4>2818151</vt:i4>
      </vt:variant>
      <vt:variant>
        <vt:i4>1073</vt:i4>
      </vt:variant>
      <vt:variant>
        <vt:i4>0</vt:i4>
      </vt:variant>
      <vt:variant>
        <vt:i4>5</vt:i4>
      </vt:variant>
      <vt:variant>
        <vt:lpwstr>http://www.regulations.gov/</vt:lpwstr>
      </vt:variant>
      <vt:variant>
        <vt:lpwstr/>
      </vt:variant>
      <vt:variant>
        <vt:i4>2818151</vt:i4>
      </vt:variant>
      <vt:variant>
        <vt:i4>834</vt:i4>
      </vt:variant>
      <vt:variant>
        <vt:i4>0</vt:i4>
      </vt:variant>
      <vt:variant>
        <vt:i4>5</vt:i4>
      </vt:variant>
      <vt:variant>
        <vt:lpwstr>http://www.regulations.gov/</vt:lpwstr>
      </vt:variant>
      <vt:variant>
        <vt:lpwstr/>
      </vt:variant>
      <vt:variant>
        <vt:i4>1572921</vt:i4>
      </vt:variant>
      <vt:variant>
        <vt:i4>722</vt:i4>
      </vt:variant>
      <vt:variant>
        <vt:i4>0</vt:i4>
      </vt:variant>
      <vt:variant>
        <vt:i4>5</vt:i4>
      </vt:variant>
      <vt:variant>
        <vt:lpwstr/>
      </vt:variant>
      <vt:variant>
        <vt:lpwstr>_Toc238866526</vt:lpwstr>
      </vt:variant>
      <vt:variant>
        <vt:i4>1572921</vt:i4>
      </vt:variant>
      <vt:variant>
        <vt:i4>716</vt:i4>
      </vt:variant>
      <vt:variant>
        <vt:i4>0</vt:i4>
      </vt:variant>
      <vt:variant>
        <vt:i4>5</vt:i4>
      </vt:variant>
      <vt:variant>
        <vt:lpwstr/>
      </vt:variant>
      <vt:variant>
        <vt:lpwstr>_Toc238866525</vt:lpwstr>
      </vt:variant>
      <vt:variant>
        <vt:i4>1572921</vt:i4>
      </vt:variant>
      <vt:variant>
        <vt:i4>710</vt:i4>
      </vt:variant>
      <vt:variant>
        <vt:i4>0</vt:i4>
      </vt:variant>
      <vt:variant>
        <vt:i4>5</vt:i4>
      </vt:variant>
      <vt:variant>
        <vt:lpwstr/>
      </vt:variant>
      <vt:variant>
        <vt:lpwstr>_Toc238866524</vt:lpwstr>
      </vt:variant>
      <vt:variant>
        <vt:i4>1572921</vt:i4>
      </vt:variant>
      <vt:variant>
        <vt:i4>704</vt:i4>
      </vt:variant>
      <vt:variant>
        <vt:i4>0</vt:i4>
      </vt:variant>
      <vt:variant>
        <vt:i4>5</vt:i4>
      </vt:variant>
      <vt:variant>
        <vt:lpwstr/>
      </vt:variant>
      <vt:variant>
        <vt:lpwstr>_Toc238866523</vt:lpwstr>
      </vt:variant>
      <vt:variant>
        <vt:i4>1572921</vt:i4>
      </vt:variant>
      <vt:variant>
        <vt:i4>698</vt:i4>
      </vt:variant>
      <vt:variant>
        <vt:i4>0</vt:i4>
      </vt:variant>
      <vt:variant>
        <vt:i4>5</vt:i4>
      </vt:variant>
      <vt:variant>
        <vt:lpwstr/>
      </vt:variant>
      <vt:variant>
        <vt:lpwstr>_Toc238866522</vt:lpwstr>
      </vt:variant>
      <vt:variant>
        <vt:i4>1572921</vt:i4>
      </vt:variant>
      <vt:variant>
        <vt:i4>692</vt:i4>
      </vt:variant>
      <vt:variant>
        <vt:i4>0</vt:i4>
      </vt:variant>
      <vt:variant>
        <vt:i4>5</vt:i4>
      </vt:variant>
      <vt:variant>
        <vt:lpwstr/>
      </vt:variant>
      <vt:variant>
        <vt:lpwstr>_Toc238866521</vt:lpwstr>
      </vt:variant>
      <vt:variant>
        <vt:i4>1572921</vt:i4>
      </vt:variant>
      <vt:variant>
        <vt:i4>686</vt:i4>
      </vt:variant>
      <vt:variant>
        <vt:i4>0</vt:i4>
      </vt:variant>
      <vt:variant>
        <vt:i4>5</vt:i4>
      </vt:variant>
      <vt:variant>
        <vt:lpwstr/>
      </vt:variant>
      <vt:variant>
        <vt:lpwstr>_Toc238866520</vt:lpwstr>
      </vt:variant>
      <vt:variant>
        <vt:i4>1769529</vt:i4>
      </vt:variant>
      <vt:variant>
        <vt:i4>680</vt:i4>
      </vt:variant>
      <vt:variant>
        <vt:i4>0</vt:i4>
      </vt:variant>
      <vt:variant>
        <vt:i4>5</vt:i4>
      </vt:variant>
      <vt:variant>
        <vt:lpwstr/>
      </vt:variant>
      <vt:variant>
        <vt:lpwstr>_Toc238866519</vt:lpwstr>
      </vt:variant>
      <vt:variant>
        <vt:i4>1769529</vt:i4>
      </vt:variant>
      <vt:variant>
        <vt:i4>674</vt:i4>
      </vt:variant>
      <vt:variant>
        <vt:i4>0</vt:i4>
      </vt:variant>
      <vt:variant>
        <vt:i4>5</vt:i4>
      </vt:variant>
      <vt:variant>
        <vt:lpwstr/>
      </vt:variant>
      <vt:variant>
        <vt:lpwstr>_Toc238866518</vt:lpwstr>
      </vt:variant>
      <vt:variant>
        <vt:i4>1769529</vt:i4>
      </vt:variant>
      <vt:variant>
        <vt:i4>668</vt:i4>
      </vt:variant>
      <vt:variant>
        <vt:i4>0</vt:i4>
      </vt:variant>
      <vt:variant>
        <vt:i4>5</vt:i4>
      </vt:variant>
      <vt:variant>
        <vt:lpwstr/>
      </vt:variant>
      <vt:variant>
        <vt:lpwstr>_Toc238866517</vt:lpwstr>
      </vt:variant>
      <vt:variant>
        <vt:i4>1769529</vt:i4>
      </vt:variant>
      <vt:variant>
        <vt:i4>662</vt:i4>
      </vt:variant>
      <vt:variant>
        <vt:i4>0</vt:i4>
      </vt:variant>
      <vt:variant>
        <vt:i4>5</vt:i4>
      </vt:variant>
      <vt:variant>
        <vt:lpwstr/>
      </vt:variant>
      <vt:variant>
        <vt:lpwstr>_Toc238866516</vt:lpwstr>
      </vt:variant>
      <vt:variant>
        <vt:i4>1769529</vt:i4>
      </vt:variant>
      <vt:variant>
        <vt:i4>656</vt:i4>
      </vt:variant>
      <vt:variant>
        <vt:i4>0</vt:i4>
      </vt:variant>
      <vt:variant>
        <vt:i4>5</vt:i4>
      </vt:variant>
      <vt:variant>
        <vt:lpwstr/>
      </vt:variant>
      <vt:variant>
        <vt:lpwstr>_Toc238866515</vt:lpwstr>
      </vt:variant>
      <vt:variant>
        <vt:i4>1769529</vt:i4>
      </vt:variant>
      <vt:variant>
        <vt:i4>650</vt:i4>
      </vt:variant>
      <vt:variant>
        <vt:i4>0</vt:i4>
      </vt:variant>
      <vt:variant>
        <vt:i4>5</vt:i4>
      </vt:variant>
      <vt:variant>
        <vt:lpwstr/>
      </vt:variant>
      <vt:variant>
        <vt:lpwstr>_Toc238866514</vt:lpwstr>
      </vt:variant>
      <vt:variant>
        <vt:i4>1769529</vt:i4>
      </vt:variant>
      <vt:variant>
        <vt:i4>644</vt:i4>
      </vt:variant>
      <vt:variant>
        <vt:i4>0</vt:i4>
      </vt:variant>
      <vt:variant>
        <vt:i4>5</vt:i4>
      </vt:variant>
      <vt:variant>
        <vt:lpwstr/>
      </vt:variant>
      <vt:variant>
        <vt:lpwstr>_Toc238866513</vt:lpwstr>
      </vt:variant>
      <vt:variant>
        <vt:i4>1769529</vt:i4>
      </vt:variant>
      <vt:variant>
        <vt:i4>638</vt:i4>
      </vt:variant>
      <vt:variant>
        <vt:i4>0</vt:i4>
      </vt:variant>
      <vt:variant>
        <vt:i4>5</vt:i4>
      </vt:variant>
      <vt:variant>
        <vt:lpwstr/>
      </vt:variant>
      <vt:variant>
        <vt:lpwstr>_Toc238866512</vt:lpwstr>
      </vt:variant>
      <vt:variant>
        <vt:i4>1769529</vt:i4>
      </vt:variant>
      <vt:variant>
        <vt:i4>632</vt:i4>
      </vt:variant>
      <vt:variant>
        <vt:i4>0</vt:i4>
      </vt:variant>
      <vt:variant>
        <vt:i4>5</vt:i4>
      </vt:variant>
      <vt:variant>
        <vt:lpwstr/>
      </vt:variant>
      <vt:variant>
        <vt:lpwstr>_Toc238866511</vt:lpwstr>
      </vt:variant>
      <vt:variant>
        <vt:i4>1769529</vt:i4>
      </vt:variant>
      <vt:variant>
        <vt:i4>626</vt:i4>
      </vt:variant>
      <vt:variant>
        <vt:i4>0</vt:i4>
      </vt:variant>
      <vt:variant>
        <vt:i4>5</vt:i4>
      </vt:variant>
      <vt:variant>
        <vt:lpwstr/>
      </vt:variant>
      <vt:variant>
        <vt:lpwstr>_Toc238866510</vt:lpwstr>
      </vt:variant>
      <vt:variant>
        <vt:i4>1703993</vt:i4>
      </vt:variant>
      <vt:variant>
        <vt:i4>620</vt:i4>
      </vt:variant>
      <vt:variant>
        <vt:i4>0</vt:i4>
      </vt:variant>
      <vt:variant>
        <vt:i4>5</vt:i4>
      </vt:variant>
      <vt:variant>
        <vt:lpwstr/>
      </vt:variant>
      <vt:variant>
        <vt:lpwstr>_Toc238866509</vt:lpwstr>
      </vt:variant>
      <vt:variant>
        <vt:i4>1703993</vt:i4>
      </vt:variant>
      <vt:variant>
        <vt:i4>614</vt:i4>
      </vt:variant>
      <vt:variant>
        <vt:i4>0</vt:i4>
      </vt:variant>
      <vt:variant>
        <vt:i4>5</vt:i4>
      </vt:variant>
      <vt:variant>
        <vt:lpwstr/>
      </vt:variant>
      <vt:variant>
        <vt:lpwstr>_Toc238866508</vt:lpwstr>
      </vt:variant>
      <vt:variant>
        <vt:i4>1703993</vt:i4>
      </vt:variant>
      <vt:variant>
        <vt:i4>608</vt:i4>
      </vt:variant>
      <vt:variant>
        <vt:i4>0</vt:i4>
      </vt:variant>
      <vt:variant>
        <vt:i4>5</vt:i4>
      </vt:variant>
      <vt:variant>
        <vt:lpwstr/>
      </vt:variant>
      <vt:variant>
        <vt:lpwstr>_Toc238866507</vt:lpwstr>
      </vt:variant>
      <vt:variant>
        <vt:i4>1703993</vt:i4>
      </vt:variant>
      <vt:variant>
        <vt:i4>602</vt:i4>
      </vt:variant>
      <vt:variant>
        <vt:i4>0</vt:i4>
      </vt:variant>
      <vt:variant>
        <vt:i4>5</vt:i4>
      </vt:variant>
      <vt:variant>
        <vt:lpwstr/>
      </vt:variant>
      <vt:variant>
        <vt:lpwstr>_Toc238866506</vt:lpwstr>
      </vt:variant>
      <vt:variant>
        <vt:i4>1703993</vt:i4>
      </vt:variant>
      <vt:variant>
        <vt:i4>596</vt:i4>
      </vt:variant>
      <vt:variant>
        <vt:i4>0</vt:i4>
      </vt:variant>
      <vt:variant>
        <vt:i4>5</vt:i4>
      </vt:variant>
      <vt:variant>
        <vt:lpwstr/>
      </vt:variant>
      <vt:variant>
        <vt:lpwstr>_Toc238866505</vt:lpwstr>
      </vt:variant>
      <vt:variant>
        <vt:i4>1703993</vt:i4>
      </vt:variant>
      <vt:variant>
        <vt:i4>590</vt:i4>
      </vt:variant>
      <vt:variant>
        <vt:i4>0</vt:i4>
      </vt:variant>
      <vt:variant>
        <vt:i4>5</vt:i4>
      </vt:variant>
      <vt:variant>
        <vt:lpwstr/>
      </vt:variant>
      <vt:variant>
        <vt:lpwstr>_Toc238866504</vt:lpwstr>
      </vt:variant>
      <vt:variant>
        <vt:i4>1703993</vt:i4>
      </vt:variant>
      <vt:variant>
        <vt:i4>584</vt:i4>
      </vt:variant>
      <vt:variant>
        <vt:i4>0</vt:i4>
      </vt:variant>
      <vt:variant>
        <vt:i4>5</vt:i4>
      </vt:variant>
      <vt:variant>
        <vt:lpwstr/>
      </vt:variant>
      <vt:variant>
        <vt:lpwstr>_Toc238866503</vt:lpwstr>
      </vt:variant>
      <vt:variant>
        <vt:i4>1703993</vt:i4>
      </vt:variant>
      <vt:variant>
        <vt:i4>578</vt:i4>
      </vt:variant>
      <vt:variant>
        <vt:i4>0</vt:i4>
      </vt:variant>
      <vt:variant>
        <vt:i4>5</vt:i4>
      </vt:variant>
      <vt:variant>
        <vt:lpwstr/>
      </vt:variant>
      <vt:variant>
        <vt:lpwstr>_Toc238866502</vt:lpwstr>
      </vt:variant>
      <vt:variant>
        <vt:i4>1703993</vt:i4>
      </vt:variant>
      <vt:variant>
        <vt:i4>572</vt:i4>
      </vt:variant>
      <vt:variant>
        <vt:i4>0</vt:i4>
      </vt:variant>
      <vt:variant>
        <vt:i4>5</vt:i4>
      </vt:variant>
      <vt:variant>
        <vt:lpwstr/>
      </vt:variant>
      <vt:variant>
        <vt:lpwstr>_Toc238866501</vt:lpwstr>
      </vt:variant>
      <vt:variant>
        <vt:i4>1703993</vt:i4>
      </vt:variant>
      <vt:variant>
        <vt:i4>566</vt:i4>
      </vt:variant>
      <vt:variant>
        <vt:i4>0</vt:i4>
      </vt:variant>
      <vt:variant>
        <vt:i4>5</vt:i4>
      </vt:variant>
      <vt:variant>
        <vt:lpwstr/>
      </vt:variant>
      <vt:variant>
        <vt:lpwstr>_Toc238866500</vt:lpwstr>
      </vt:variant>
      <vt:variant>
        <vt:i4>1245240</vt:i4>
      </vt:variant>
      <vt:variant>
        <vt:i4>560</vt:i4>
      </vt:variant>
      <vt:variant>
        <vt:i4>0</vt:i4>
      </vt:variant>
      <vt:variant>
        <vt:i4>5</vt:i4>
      </vt:variant>
      <vt:variant>
        <vt:lpwstr/>
      </vt:variant>
      <vt:variant>
        <vt:lpwstr>_Toc238866499</vt:lpwstr>
      </vt:variant>
      <vt:variant>
        <vt:i4>1245240</vt:i4>
      </vt:variant>
      <vt:variant>
        <vt:i4>554</vt:i4>
      </vt:variant>
      <vt:variant>
        <vt:i4>0</vt:i4>
      </vt:variant>
      <vt:variant>
        <vt:i4>5</vt:i4>
      </vt:variant>
      <vt:variant>
        <vt:lpwstr/>
      </vt:variant>
      <vt:variant>
        <vt:lpwstr>_Toc238866498</vt:lpwstr>
      </vt:variant>
      <vt:variant>
        <vt:i4>1245240</vt:i4>
      </vt:variant>
      <vt:variant>
        <vt:i4>548</vt:i4>
      </vt:variant>
      <vt:variant>
        <vt:i4>0</vt:i4>
      </vt:variant>
      <vt:variant>
        <vt:i4>5</vt:i4>
      </vt:variant>
      <vt:variant>
        <vt:lpwstr/>
      </vt:variant>
      <vt:variant>
        <vt:lpwstr>_Toc238866497</vt:lpwstr>
      </vt:variant>
      <vt:variant>
        <vt:i4>1245240</vt:i4>
      </vt:variant>
      <vt:variant>
        <vt:i4>542</vt:i4>
      </vt:variant>
      <vt:variant>
        <vt:i4>0</vt:i4>
      </vt:variant>
      <vt:variant>
        <vt:i4>5</vt:i4>
      </vt:variant>
      <vt:variant>
        <vt:lpwstr/>
      </vt:variant>
      <vt:variant>
        <vt:lpwstr>_Toc238866496</vt:lpwstr>
      </vt:variant>
      <vt:variant>
        <vt:i4>1245240</vt:i4>
      </vt:variant>
      <vt:variant>
        <vt:i4>536</vt:i4>
      </vt:variant>
      <vt:variant>
        <vt:i4>0</vt:i4>
      </vt:variant>
      <vt:variant>
        <vt:i4>5</vt:i4>
      </vt:variant>
      <vt:variant>
        <vt:lpwstr/>
      </vt:variant>
      <vt:variant>
        <vt:lpwstr>_Toc238866495</vt:lpwstr>
      </vt:variant>
      <vt:variant>
        <vt:i4>1245240</vt:i4>
      </vt:variant>
      <vt:variant>
        <vt:i4>530</vt:i4>
      </vt:variant>
      <vt:variant>
        <vt:i4>0</vt:i4>
      </vt:variant>
      <vt:variant>
        <vt:i4>5</vt:i4>
      </vt:variant>
      <vt:variant>
        <vt:lpwstr/>
      </vt:variant>
      <vt:variant>
        <vt:lpwstr>_Toc238866494</vt:lpwstr>
      </vt:variant>
      <vt:variant>
        <vt:i4>1245240</vt:i4>
      </vt:variant>
      <vt:variant>
        <vt:i4>524</vt:i4>
      </vt:variant>
      <vt:variant>
        <vt:i4>0</vt:i4>
      </vt:variant>
      <vt:variant>
        <vt:i4>5</vt:i4>
      </vt:variant>
      <vt:variant>
        <vt:lpwstr/>
      </vt:variant>
      <vt:variant>
        <vt:lpwstr>_Toc238866493</vt:lpwstr>
      </vt:variant>
      <vt:variant>
        <vt:i4>1245240</vt:i4>
      </vt:variant>
      <vt:variant>
        <vt:i4>518</vt:i4>
      </vt:variant>
      <vt:variant>
        <vt:i4>0</vt:i4>
      </vt:variant>
      <vt:variant>
        <vt:i4>5</vt:i4>
      </vt:variant>
      <vt:variant>
        <vt:lpwstr/>
      </vt:variant>
      <vt:variant>
        <vt:lpwstr>_Toc238866492</vt:lpwstr>
      </vt:variant>
      <vt:variant>
        <vt:i4>1245240</vt:i4>
      </vt:variant>
      <vt:variant>
        <vt:i4>512</vt:i4>
      </vt:variant>
      <vt:variant>
        <vt:i4>0</vt:i4>
      </vt:variant>
      <vt:variant>
        <vt:i4>5</vt:i4>
      </vt:variant>
      <vt:variant>
        <vt:lpwstr/>
      </vt:variant>
      <vt:variant>
        <vt:lpwstr>_Toc238866491</vt:lpwstr>
      </vt:variant>
      <vt:variant>
        <vt:i4>1245240</vt:i4>
      </vt:variant>
      <vt:variant>
        <vt:i4>506</vt:i4>
      </vt:variant>
      <vt:variant>
        <vt:i4>0</vt:i4>
      </vt:variant>
      <vt:variant>
        <vt:i4>5</vt:i4>
      </vt:variant>
      <vt:variant>
        <vt:lpwstr/>
      </vt:variant>
      <vt:variant>
        <vt:lpwstr>_Toc238866490</vt:lpwstr>
      </vt:variant>
      <vt:variant>
        <vt:i4>1179704</vt:i4>
      </vt:variant>
      <vt:variant>
        <vt:i4>500</vt:i4>
      </vt:variant>
      <vt:variant>
        <vt:i4>0</vt:i4>
      </vt:variant>
      <vt:variant>
        <vt:i4>5</vt:i4>
      </vt:variant>
      <vt:variant>
        <vt:lpwstr/>
      </vt:variant>
      <vt:variant>
        <vt:lpwstr>_Toc238866489</vt:lpwstr>
      </vt:variant>
      <vt:variant>
        <vt:i4>1179704</vt:i4>
      </vt:variant>
      <vt:variant>
        <vt:i4>494</vt:i4>
      </vt:variant>
      <vt:variant>
        <vt:i4>0</vt:i4>
      </vt:variant>
      <vt:variant>
        <vt:i4>5</vt:i4>
      </vt:variant>
      <vt:variant>
        <vt:lpwstr/>
      </vt:variant>
      <vt:variant>
        <vt:lpwstr>_Toc238866488</vt:lpwstr>
      </vt:variant>
      <vt:variant>
        <vt:i4>1179704</vt:i4>
      </vt:variant>
      <vt:variant>
        <vt:i4>488</vt:i4>
      </vt:variant>
      <vt:variant>
        <vt:i4>0</vt:i4>
      </vt:variant>
      <vt:variant>
        <vt:i4>5</vt:i4>
      </vt:variant>
      <vt:variant>
        <vt:lpwstr/>
      </vt:variant>
      <vt:variant>
        <vt:lpwstr>_Toc238866487</vt:lpwstr>
      </vt:variant>
      <vt:variant>
        <vt:i4>1179704</vt:i4>
      </vt:variant>
      <vt:variant>
        <vt:i4>482</vt:i4>
      </vt:variant>
      <vt:variant>
        <vt:i4>0</vt:i4>
      </vt:variant>
      <vt:variant>
        <vt:i4>5</vt:i4>
      </vt:variant>
      <vt:variant>
        <vt:lpwstr/>
      </vt:variant>
      <vt:variant>
        <vt:lpwstr>_Toc238866486</vt:lpwstr>
      </vt:variant>
      <vt:variant>
        <vt:i4>1179704</vt:i4>
      </vt:variant>
      <vt:variant>
        <vt:i4>476</vt:i4>
      </vt:variant>
      <vt:variant>
        <vt:i4>0</vt:i4>
      </vt:variant>
      <vt:variant>
        <vt:i4>5</vt:i4>
      </vt:variant>
      <vt:variant>
        <vt:lpwstr/>
      </vt:variant>
      <vt:variant>
        <vt:lpwstr>_Toc238866485</vt:lpwstr>
      </vt:variant>
      <vt:variant>
        <vt:i4>1179704</vt:i4>
      </vt:variant>
      <vt:variant>
        <vt:i4>470</vt:i4>
      </vt:variant>
      <vt:variant>
        <vt:i4>0</vt:i4>
      </vt:variant>
      <vt:variant>
        <vt:i4>5</vt:i4>
      </vt:variant>
      <vt:variant>
        <vt:lpwstr/>
      </vt:variant>
      <vt:variant>
        <vt:lpwstr>_Toc238866484</vt:lpwstr>
      </vt:variant>
      <vt:variant>
        <vt:i4>1179704</vt:i4>
      </vt:variant>
      <vt:variant>
        <vt:i4>464</vt:i4>
      </vt:variant>
      <vt:variant>
        <vt:i4>0</vt:i4>
      </vt:variant>
      <vt:variant>
        <vt:i4>5</vt:i4>
      </vt:variant>
      <vt:variant>
        <vt:lpwstr/>
      </vt:variant>
      <vt:variant>
        <vt:lpwstr>_Toc238866483</vt:lpwstr>
      </vt:variant>
      <vt:variant>
        <vt:i4>1179704</vt:i4>
      </vt:variant>
      <vt:variant>
        <vt:i4>458</vt:i4>
      </vt:variant>
      <vt:variant>
        <vt:i4>0</vt:i4>
      </vt:variant>
      <vt:variant>
        <vt:i4>5</vt:i4>
      </vt:variant>
      <vt:variant>
        <vt:lpwstr/>
      </vt:variant>
      <vt:variant>
        <vt:lpwstr>_Toc238866482</vt:lpwstr>
      </vt:variant>
      <vt:variant>
        <vt:i4>1179704</vt:i4>
      </vt:variant>
      <vt:variant>
        <vt:i4>452</vt:i4>
      </vt:variant>
      <vt:variant>
        <vt:i4>0</vt:i4>
      </vt:variant>
      <vt:variant>
        <vt:i4>5</vt:i4>
      </vt:variant>
      <vt:variant>
        <vt:lpwstr/>
      </vt:variant>
      <vt:variant>
        <vt:lpwstr>_Toc238866481</vt:lpwstr>
      </vt:variant>
      <vt:variant>
        <vt:i4>1179704</vt:i4>
      </vt:variant>
      <vt:variant>
        <vt:i4>446</vt:i4>
      </vt:variant>
      <vt:variant>
        <vt:i4>0</vt:i4>
      </vt:variant>
      <vt:variant>
        <vt:i4>5</vt:i4>
      </vt:variant>
      <vt:variant>
        <vt:lpwstr/>
      </vt:variant>
      <vt:variant>
        <vt:lpwstr>_Toc238866480</vt:lpwstr>
      </vt:variant>
      <vt:variant>
        <vt:i4>1900600</vt:i4>
      </vt:variant>
      <vt:variant>
        <vt:i4>440</vt:i4>
      </vt:variant>
      <vt:variant>
        <vt:i4>0</vt:i4>
      </vt:variant>
      <vt:variant>
        <vt:i4>5</vt:i4>
      </vt:variant>
      <vt:variant>
        <vt:lpwstr/>
      </vt:variant>
      <vt:variant>
        <vt:lpwstr>_Toc238866479</vt:lpwstr>
      </vt:variant>
      <vt:variant>
        <vt:i4>1900600</vt:i4>
      </vt:variant>
      <vt:variant>
        <vt:i4>434</vt:i4>
      </vt:variant>
      <vt:variant>
        <vt:i4>0</vt:i4>
      </vt:variant>
      <vt:variant>
        <vt:i4>5</vt:i4>
      </vt:variant>
      <vt:variant>
        <vt:lpwstr/>
      </vt:variant>
      <vt:variant>
        <vt:lpwstr>_Toc238866478</vt:lpwstr>
      </vt:variant>
      <vt:variant>
        <vt:i4>1900600</vt:i4>
      </vt:variant>
      <vt:variant>
        <vt:i4>428</vt:i4>
      </vt:variant>
      <vt:variant>
        <vt:i4>0</vt:i4>
      </vt:variant>
      <vt:variant>
        <vt:i4>5</vt:i4>
      </vt:variant>
      <vt:variant>
        <vt:lpwstr/>
      </vt:variant>
      <vt:variant>
        <vt:lpwstr>_Toc238866477</vt:lpwstr>
      </vt:variant>
      <vt:variant>
        <vt:i4>1900600</vt:i4>
      </vt:variant>
      <vt:variant>
        <vt:i4>422</vt:i4>
      </vt:variant>
      <vt:variant>
        <vt:i4>0</vt:i4>
      </vt:variant>
      <vt:variant>
        <vt:i4>5</vt:i4>
      </vt:variant>
      <vt:variant>
        <vt:lpwstr/>
      </vt:variant>
      <vt:variant>
        <vt:lpwstr>_Toc238866476</vt:lpwstr>
      </vt:variant>
      <vt:variant>
        <vt:i4>1900600</vt:i4>
      </vt:variant>
      <vt:variant>
        <vt:i4>416</vt:i4>
      </vt:variant>
      <vt:variant>
        <vt:i4>0</vt:i4>
      </vt:variant>
      <vt:variant>
        <vt:i4>5</vt:i4>
      </vt:variant>
      <vt:variant>
        <vt:lpwstr/>
      </vt:variant>
      <vt:variant>
        <vt:lpwstr>_Toc238866475</vt:lpwstr>
      </vt:variant>
      <vt:variant>
        <vt:i4>1900600</vt:i4>
      </vt:variant>
      <vt:variant>
        <vt:i4>410</vt:i4>
      </vt:variant>
      <vt:variant>
        <vt:i4>0</vt:i4>
      </vt:variant>
      <vt:variant>
        <vt:i4>5</vt:i4>
      </vt:variant>
      <vt:variant>
        <vt:lpwstr/>
      </vt:variant>
      <vt:variant>
        <vt:lpwstr>_Toc238866474</vt:lpwstr>
      </vt:variant>
      <vt:variant>
        <vt:i4>1900600</vt:i4>
      </vt:variant>
      <vt:variant>
        <vt:i4>404</vt:i4>
      </vt:variant>
      <vt:variant>
        <vt:i4>0</vt:i4>
      </vt:variant>
      <vt:variant>
        <vt:i4>5</vt:i4>
      </vt:variant>
      <vt:variant>
        <vt:lpwstr/>
      </vt:variant>
      <vt:variant>
        <vt:lpwstr>_Toc238866473</vt:lpwstr>
      </vt:variant>
      <vt:variant>
        <vt:i4>1900600</vt:i4>
      </vt:variant>
      <vt:variant>
        <vt:i4>398</vt:i4>
      </vt:variant>
      <vt:variant>
        <vt:i4>0</vt:i4>
      </vt:variant>
      <vt:variant>
        <vt:i4>5</vt:i4>
      </vt:variant>
      <vt:variant>
        <vt:lpwstr/>
      </vt:variant>
      <vt:variant>
        <vt:lpwstr>_Toc238866472</vt:lpwstr>
      </vt:variant>
      <vt:variant>
        <vt:i4>1900600</vt:i4>
      </vt:variant>
      <vt:variant>
        <vt:i4>392</vt:i4>
      </vt:variant>
      <vt:variant>
        <vt:i4>0</vt:i4>
      </vt:variant>
      <vt:variant>
        <vt:i4>5</vt:i4>
      </vt:variant>
      <vt:variant>
        <vt:lpwstr/>
      </vt:variant>
      <vt:variant>
        <vt:lpwstr>_Toc238866471</vt:lpwstr>
      </vt:variant>
      <vt:variant>
        <vt:i4>1900600</vt:i4>
      </vt:variant>
      <vt:variant>
        <vt:i4>386</vt:i4>
      </vt:variant>
      <vt:variant>
        <vt:i4>0</vt:i4>
      </vt:variant>
      <vt:variant>
        <vt:i4>5</vt:i4>
      </vt:variant>
      <vt:variant>
        <vt:lpwstr/>
      </vt:variant>
      <vt:variant>
        <vt:lpwstr>_Toc238866470</vt:lpwstr>
      </vt:variant>
      <vt:variant>
        <vt:i4>1835064</vt:i4>
      </vt:variant>
      <vt:variant>
        <vt:i4>380</vt:i4>
      </vt:variant>
      <vt:variant>
        <vt:i4>0</vt:i4>
      </vt:variant>
      <vt:variant>
        <vt:i4>5</vt:i4>
      </vt:variant>
      <vt:variant>
        <vt:lpwstr/>
      </vt:variant>
      <vt:variant>
        <vt:lpwstr>_Toc238866469</vt:lpwstr>
      </vt:variant>
      <vt:variant>
        <vt:i4>1835064</vt:i4>
      </vt:variant>
      <vt:variant>
        <vt:i4>374</vt:i4>
      </vt:variant>
      <vt:variant>
        <vt:i4>0</vt:i4>
      </vt:variant>
      <vt:variant>
        <vt:i4>5</vt:i4>
      </vt:variant>
      <vt:variant>
        <vt:lpwstr/>
      </vt:variant>
      <vt:variant>
        <vt:lpwstr>_Toc238866468</vt:lpwstr>
      </vt:variant>
      <vt:variant>
        <vt:i4>1835064</vt:i4>
      </vt:variant>
      <vt:variant>
        <vt:i4>368</vt:i4>
      </vt:variant>
      <vt:variant>
        <vt:i4>0</vt:i4>
      </vt:variant>
      <vt:variant>
        <vt:i4>5</vt:i4>
      </vt:variant>
      <vt:variant>
        <vt:lpwstr/>
      </vt:variant>
      <vt:variant>
        <vt:lpwstr>_Toc238866467</vt:lpwstr>
      </vt:variant>
      <vt:variant>
        <vt:i4>1835064</vt:i4>
      </vt:variant>
      <vt:variant>
        <vt:i4>362</vt:i4>
      </vt:variant>
      <vt:variant>
        <vt:i4>0</vt:i4>
      </vt:variant>
      <vt:variant>
        <vt:i4>5</vt:i4>
      </vt:variant>
      <vt:variant>
        <vt:lpwstr/>
      </vt:variant>
      <vt:variant>
        <vt:lpwstr>_Toc238866466</vt:lpwstr>
      </vt:variant>
      <vt:variant>
        <vt:i4>1835064</vt:i4>
      </vt:variant>
      <vt:variant>
        <vt:i4>356</vt:i4>
      </vt:variant>
      <vt:variant>
        <vt:i4>0</vt:i4>
      </vt:variant>
      <vt:variant>
        <vt:i4>5</vt:i4>
      </vt:variant>
      <vt:variant>
        <vt:lpwstr/>
      </vt:variant>
      <vt:variant>
        <vt:lpwstr>_Toc238866465</vt:lpwstr>
      </vt:variant>
      <vt:variant>
        <vt:i4>1835064</vt:i4>
      </vt:variant>
      <vt:variant>
        <vt:i4>350</vt:i4>
      </vt:variant>
      <vt:variant>
        <vt:i4>0</vt:i4>
      </vt:variant>
      <vt:variant>
        <vt:i4>5</vt:i4>
      </vt:variant>
      <vt:variant>
        <vt:lpwstr/>
      </vt:variant>
      <vt:variant>
        <vt:lpwstr>_Toc238866464</vt:lpwstr>
      </vt:variant>
      <vt:variant>
        <vt:i4>1835064</vt:i4>
      </vt:variant>
      <vt:variant>
        <vt:i4>344</vt:i4>
      </vt:variant>
      <vt:variant>
        <vt:i4>0</vt:i4>
      </vt:variant>
      <vt:variant>
        <vt:i4>5</vt:i4>
      </vt:variant>
      <vt:variant>
        <vt:lpwstr/>
      </vt:variant>
      <vt:variant>
        <vt:lpwstr>_Toc238866463</vt:lpwstr>
      </vt:variant>
      <vt:variant>
        <vt:i4>1835064</vt:i4>
      </vt:variant>
      <vt:variant>
        <vt:i4>338</vt:i4>
      </vt:variant>
      <vt:variant>
        <vt:i4>0</vt:i4>
      </vt:variant>
      <vt:variant>
        <vt:i4>5</vt:i4>
      </vt:variant>
      <vt:variant>
        <vt:lpwstr/>
      </vt:variant>
      <vt:variant>
        <vt:lpwstr>_Toc238866462</vt:lpwstr>
      </vt:variant>
      <vt:variant>
        <vt:i4>1835064</vt:i4>
      </vt:variant>
      <vt:variant>
        <vt:i4>332</vt:i4>
      </vt:variant>
      <vt:variant>
        <vt:i4>0</vt:i4>
      </vt:variant>
      <vt:variant>
        <vt:i4>5</vt:i4>
      </vt:variant>
      <vt:variant>
        <vt:lpwstr/>
      </vt:variant>
      <vt:variant>
        <vt:lpwstr>_Toc238866461</vt:lpwstr>
      </vt:variant>
      <vt:variant>
        <vt:i4>1835064</vt:i4>
      </vt:variant>
      <vt:variant>
        <vt:i4>326</vt:i4>
      </vt:variant>
      <vt:variant>
        <vt:i4>0</vt:i4>
      </vt:variant>
      <vt:variant>
        <vt:i4>5</vt:i4>
      </vt:variant>
      <vt:variant>
        <vt:lpwstr/>
      </vt:variant>
      <vt:variant>
        <vt:lpwstr>_Toc238866460</vt:lpwstr>
      </vt:variant>
      <vt:variant>
        <vt:i4>2031672</vt:i4>
      </vt:variant>
      <vt:variant>
        <vt:i4>320</vt:i4>
      </vt:variant>
      <vt:variant>
        <vt:i4>0</vt:i4>
      </vt:variant>
      <vt:variant>
        <vt:i4>5</vt:i4>
      </vt:variant>
      <vt:variant>
        <vt:lpwstr/>
      </vt:variant>
      <vt:variant>
        <vt:lpwstr>_Toc238866459</vt:lpwstr>
      </vt:variant>
      <vt:variant>
        <vt:i4>2031672</vt:i4>
      </vt:variant>
      <vt:variant>
        <vt:i4>314</vt:i4>
      </vt:variant>
      <vt:variant>
        <vt:i4>0</vt:i4>
      </vt:variant>
      <vt:variant>
        <vt:i4>5</vt:i4>
      </vt:variant>
      <vt:variant>
        <vt:lpwstr/>
      </vt:variant>
      <vt:variant>
        <vt:lpwstr>_Toc238866458</vt:lpwstr>
      </vt:variant>
      <vt:variant>
        <vt:i4>2031672</vt:i4>
      </vt:variant>
      <vt:variant>
        <vt:i4>308</vt:i4>
      </vt:variant>
      <vt:variant>
        <vt:i4>0</vt:i4>
      </vt:variant>
      <vt:variant>
        <vt:i4>5</vt:i4>
      </vt:variant>
      <vt:variant>
        <vt:lpwstr/>
      </vt:variant>
      <vt:variant>
        <vt:lpwstr>_Toc238866457</vt:lpwstr>
      </vt:variant>
      <vt:variant>
        <vt:i4>2031672</vt:i4>
      </vt:variant>
      <vt:variant>
        <vt:i4>302</vt:i4>
      </vt:variant>
      <vt:variant>
        <vt:i4>0</vt:i4>
      </vt:variant>
      <vt:variant>
        <vt:i4>5</vt:i4>
      </vt:variant>
      <vt:variant>
        <vt:lpwstr/>
      </vt:variant>
      <vt:variant>
        <vt:lpwstr>_Toc238866456</vt:lpwstr>
      </vt:variant>
      <vt:variant>
        <vt:i4>2031672</vt:i4>
      </vt:variant>
      <vt:variant>
        <vt:i4>296</vt:i4>
      </vt:variant>
      <vt:variant>
        <vt:i4>0</vt:i4>
      </vt:variant>
      <vt:variant>
        <vt:i4>5</vt:i4>
      </vt:variant>
      <vt:variant>
        <vt:lpwstr/>
      </vt:variant>
      <vt:variant>
        <vt:lpwstr>_Toc238866455</vt:lpwstr>
      </vt:variant>
      <vt:variant>
        <vt:i4>2031672</vt:i4>
      </vt:variant>
      <vt:variant>
        <vt:i4>290</vt:i4>
      </vt:variant>
      <vt:variant>
        <vt:i4>0</vt:i4>
      </vt:variant>
      <vt:variant>
        <vt:i4>5</vt:i4>
      </vt:variant>
      <vt:variant>
        <vt:lpwstr/>
      </vt:variant>
      <vt:variant>
        <vt:lpwstr>_Toc238866454</vt:lpwstr>
      </vt:variant>
      <vt:variant>
        <vt:i4>2031672</vt:i4>
      </vt:variant>
      <vt:variant>
        <vt:i4>284</vt:i4>
      </vt:variant>
      <vt:variant>
        <vt:i4>0</vt:i4>
      </vt:variant>
      <vt:variant>
        <vt:i4>5</vt:i4>
      </vt:variant>
      <vt:variant>
        <vt:lpwstr/>
      </vt:variant>
      <vt:variant>
        <vt:lpwstr>_Toc238866453</vt:lpwstr>
      </vt:variant>
      <vt:variant>
        <vt:i4>2031672</vt:i4>
      </vt:variant>
      <vt:variant>
        <vt:i4>278</vt:i4>
      </vt:variant>
      <vt:variant>
        <vt:i4>0</vt:i4>
      </vt:variant>
      <vt:variant>
        <vt:i4>5</vt:i4>
      </vt:variant>
      <vt:variant>
        <vt:lpwstr/>
      </vt:variant>
      <vt:variant>
        <vt:lpwstr>_Toc238866452</vt:lpwstr>
      </vt:variant>
      <vt:variant>
        <vt:i4>2031672</vt:i4>
      </vt:variant>
      <vt:variant>
        <vt:i4>272</vt:i4>
      </vt:variant>
      <vt:variant>
        <vt:i4>0</vt:i4>
      </vt:variant>
      <vt:variant>
        <vt:i4>5</vt:i4>
      </vt:variant>
      <vt:variant>
        <vt:lpwstr/>
      </vt:variant>
      <vt:variant>
        <vt:lpwstr>_Toc238866451</vt:lpwstr>
      </vt:variant>
      <vt:variant>
        <vt:i4>2031672</vt:i4>
      </vt:variant>
      <vt:variant>
        <vt:i4>266</vt:i4>
      </vt:variant>
      <vt:variant>
        <vt:i4>0</vt:i4>
      </vt:variant>
      <vt:variant>
        <vt:i4>5</vt:i4>
      </vt:variant>
      <vt:variant>
        <vt:lpwstr/>
      </vt:variant>
      <vt:variant>
        <vt:lpwstr>_Toc238866450</vt:lpwstr>
      </vt:variant>
      <vt:variant>
        <vt:i4>1966136</vt:i4>
      </vt:variant>
      <vt:variant>
        <vt:i4>260</vt:i4>
      </vt:variant>
      <vt:variant>
        <vt:i4>0</vt:i4>
      </vt:variant>
      <vt:variant>
        <vt:i4>5</vt:i4>
      </vt:variant>
      <vt:variant>
        <vt:lpwstr/>
      </vt:variant>
      <vt:variant>
        <vt:lpwstr>_Toc238866449</vt:lpwstr>
      </vt:variant>
      <vt:variant>
        <vt:i4>1966136</vt:i4>
      </vt:variant>
      <vt:variant>
        <vt:i4>254</vt:i4>
      </vt:variant>
      <vt:variant>
        <vt:i4>0</vt:i4>
      </vt:variant>
      <vt:variant>
        <vt:i4>5</vt:i4>
      </vt:variant>
      <vt:variant>
        <vt:lpwstr/>
      </vt:variant>
      <vt:variant>
        <vt:lpwstr>_Toc238866448</vt:lpwstr>
      </vt:variant>
      <vt:variant>
        <vt:i4>1966136</vt:i4>
      </vt:variant>
      <vt:variant>
        <vt:i4>248</vt:i4>
      </vt:variant>
      <vt:variant>
        <vt:i4>0</vt:i4>
      </vt:variant>
      <vt:variant>
        <vt:i4>5</vt:i4>
      </vt:variant>
      <vt:variant>
        <vt:lpwstr/>
      </vt:variant>
      <vt:variant>
        <vt:lpwstr>_Toc238866447</vt:lpwstr>
      </vt:variant>
      <vt:variant>
        <vt:i4>1966136</vt:i4>
      </vt:variant>
      <vt:variant>
        <vt:i4>242</vt:i4>
      </vt:variant>
      <vt:variant>
        <vt:i4>0</vt:i4>
      </vt:variant>
      <vt:variant>
        <vt:i4>5</vt:i4>
      </vt:variant>
      <vt:variant>
        <vt:lpwstr/>
      </vt:variant>
      <vt:variant>
        <vt:lpwstr>_Toc238866446</vt:lpwstr>
      </vt:variant>
      <vt:variant>
        <vt:i4>1966136</vt:i4>
      </vt:variant>
      <vt:variant>
        <vt:i4>236</vt:i4>
      </vt:variant>
      <vt:variant>
        <vt:i4>0</vt:i4>
      </vt:variant>
      <vt:variant>
        <vt:i4>5</vt:i4>
      </vt:variant>
      <vt:variant>
        <vt:lpwstr/>
      </vt:variant>
      <vt:variant>
        <vt:lpwstr>_Toc238866445</vt:lpwstr>
      </vt:variant>
      <vt:variant>
        <vt:i4>1966136</vt:i4>
      </vt:variant>
      <vt:variant>
        <vt:i4>230</vt:i4>
      </vt:variant>
      <vt:variant>
        <vt:i4>0</vt:i4>
      </vt:variant>
      <vt:variant>
        <vt:i4>5</vt:i4>
      </vt:variant>
      <vt:variant>
        <vt:lpwstr/>
      </vt:variant>
      <vt:variant>
        <vt:lpwstr>_Toc238866444</vt:lpwstr>
      </vt:variant>
      <vt:variant>
        <vt:i4>1966136</vt:i4>
      </vt:variant>
      <vt:variant>
        <vt:i4>224</vt:i4>
      </vt:variant>
      <vt:variant>
        <vt:i4>0</vt:i4>
      </vt:variant>
      <vt:variant>
        <vt:i4>5</vt:i4>
      </vt:variant>
      <vt:variant>
        <vt:lpwstr/>
      </vt:variant>
      <vt:variant>
        <vt:lpwstr>_Toc238866443</vt:lpwstr>
      </vt:variant>
      <vt:variant>
        <vt:i4>1966136</vt:i4>
      </vt:variant>
      <vt:variant>
        <vt:i4>218</vt:i4>
      </vt:variant>
      <vt:variant>
        <vt:i4>0</vt:i4>
      </vt:variant>
      <vt:variant>
        <vt:i4>5</vt:i4>
      </vt:variant>
      <vt:variant>
        <vt:lpwstr/>
      </vt:variant>
      <vt:variant>
        <vt:lpwstr>_Toc238866442</vt:lpwstr>
      </vt:variant>
      <vt:variant>
        <vt:i4>1966136</vt:i4>
      </vt:variant>
      <vt:variant>
        <vt:i4>212</vt:i4>
      </vt:variant>
      <vt:variant>
        <vt:i4>0</vt:i4>
      </vt:variant>
      <vt:variant>
        <vt:i4>5</vt:i4>
      </vt:variant>
      <vt:variant>
        <vt:lpwstr/>
      </vt:variant>
      <vt:variant>
        <vt:lpwstr>_Toc238866441</vt:lpwstr>
      </vt:variant>
      <vt:variant>
        <vt:i4>1966136</vt:i4>
      </vt:variant>
      <vt:variant>
        <vt:i4>206</vt:i4>
      </vt:variant>
      <vt:variant>
        <vt:i4>0</vt:i4>
      </vt:variant>
      <vt:variant>
        <vt:i4>5</vt:i4>
      </vt:variant>
      <vt:variant>
        <vt:lpwstr/>
      </vt:variant>
      <vt:variant>
        <vt:lpwstr>_Toc238866440</vt:lpwstr>
      </vt:variant>
      <vt:variant>
        <vt:i4>1638456</vt:i4>
      </vt:variant>
      <vt:variant>
        <vt:i4>200</vt:i4>
      </vt:variant>
      <vt:variant>
        <vt:i4>0</vt:i4>
      </vt:variant>
      <vt:variant>
        <vt:i4>5</vt:i4>
      </vt:variant>
      <vt:variant>
        <vt:lpwstr/>
      </vt:variant>
      <vt:variant>
        <vt:lpwstr>_Toc238866439</vt:lpwstr>
      </vt:variant>
      <vt:variant>
        <vt:i4>1638456</vt:i4>
      </vt:variant>
      <vt:variant>
        <vt:i4>194</vt:i4>
      </vt:variant>
      <vt:variant>
        <vt:i4>0</vt:i4>
      </vt:variant>
      <vt:variant>
        <vt:i4>5</vt:i4>
      </vt:variant>
      <vt:variant>
        <vt:lpwstr/>
      </vt:variant>
      <vt:variant>
        <vt:lpwstr>_Toc238866438</vt:lpwstr>
      </vt:variant>
      <vt:variant>
        <vt:i4>1638456</vt:i4>
      </vt:variant>
      <vt:variant>
        <vt:i4>188</vt:i4>
      </vt:variant>
      <vt:variant>
        <vt:i4>0</vt:i4>
      </vt:variant>
      <vt:variant>
        <vt:i4>5</vt:i4>
      </vt:variant>
      <vt:variant>
        <vt:lpwstr/>
      </vt:variant>
      <vt:variant>
        <vt:lpwstr>_Toc238866437</vt:lpwstr>
      </vt:variant>
      <vt:variant>
        <vt:i4>1638456</vt:i4>
      </vt:variant>
      <vt:variant>
        <vt:i4>182</vt:i4>
      </vt:variant>
      <vt:variant>
        <vt:i4>0</vt:i4>
      </vt:variant>
      <vt:variant>
        <vt:i4>5</vt:i4>
      </vt:variant>
      <vt:variant>
        <vt:lpwstr/>
      </vt:variant>
      <vt:variant>
        <vt:lpwstr>_Toc238866436</vt:lpwstr>
      </vt:variant>
      <vt:variant>
        <vt:i4>1638456</vt:i4>
      </vt:variant>
      <vt:variant>
        <vt:i4>176</vt:i4>
      </vt:variant>
      <vt:variant>
        <vt:i4>0</vt:i4>
      </vt:variant>
      <vt:variant>
        <vt:i4>5</vt:i4>
      </vt:variant>
      <vt:variant>
        <vt:lpwstr/>
      </vt:variant>
      <vt:variant>
        <vt:lpwstr>_Toc238866435</vt:lpwstr>
      </vt:variant>
      <vt:variant>
        <vt:i4>1638456</vt:i4>
      </vt:variant>
      <vt:variant>
        <vt:i4>170</vt:i4>
      </vt:variant>
      <vt:variant>
        <vt:i4>0</vt:i4>
      </vt:variant>
      <vt:variant>
        <vt:i4>5</vt:i4>
      </vt:variant>
      <vt:variant>
        <vt:lpwstr/>
      </vt:variant>
      <vt:variant>
        <vt:lpwstr>_Toc238866434</vt:lpwstr>
      </vt:variant>
      <vt:variant>
        <vt:i4>1638456</vt:i4>
      </vt:variant>
      <vt:variant>
        <vt:i4>164</vt:i4>
      </vt:variant>
      <vt:variant>
        <vt:i4>0</vt:i4>
      </vt:variant>
      <vt:variant>
        <vt:i4>5</vt:i4>
      </vt:variant>
      <vt:variant>
        <vt:lpwstr/>
      </vt:variant>
      <vt:variant>
        <vt:lpwstr>_Toc238866433</vt:lpwstr>
      </vt:variant>
      <vt:variant>
        <vt:i4>1638456</vt:i4>
      </vt:variant>
      <vt:variant>
        <vt:i4>158</vt:i4>
      </vt:variant>
      <vt:variant>
        <vt:i4>0</vt:i4>
      </vt:variant>
      <vt:variant>
        <vt:i4>5</vt:i4>
      </vt:variant>
      <vt:variant>
        <vt:lpwstr/>
      </vt:variant>
      <vt:variant>
        <vt:lpwstr>_Toc238866432</vt:lpwstr>
      </vt:variant>
      <vt:variant>
        <vt:i4>1638456</vt:i4>
      </vt:variant>
      <vt:variant>
        <vt:i4>152</vt:i4>
      </vt:variant>
      <vt:variant>
        <vt:i4>0</vt:i4>
      </vt:variant>
      <vt:variant>
        <vt:i4>5</vt:i4>
      </vt:variant>
      <vt:variant>
        <vt:lpwstr/>
      </vt:variant>
      <vt:variant>
        <vt:lpwstr>_Toc238866431</vt:lpwstr>
      </vt:variant>
      <vt:variant>
        <vt:i4>1638456</vt:i4>
      </vt:variant>
      <vt:variant>
        <vt:i4>146</vt:i4>
      </vt:variant>
      <vt:variant>
        <vt:i4>0</vt:i4>
      </vt:variant>
      <vt:variant>
        <vt:i4>5</vt:i4>
      </vt:variant>
      <vt:variant>
        <vt:lpwstr/>
      </vt:variant>
      <vt:variant>
        <vt:lpwstr>_Toc238866430</vt:lpwstr>
      </vt:variant>
      <vt:variant>
        <vt:i4>1572920</vt:i4>
      </vt:variant>
      <vt:variant>
        <vt:i4>140</vt:i4>
      </vt:variant>
      <vt:variant>
        <vt:i4>0</vt:i4>
      </vt:variant>
      <vt:variant>
        <vt:i4>5</vt:i4>
      </vt:variant>
      <vt:variant>
        <vt:lpwstr/>
      </vt:variant>
      <vt:variant>
        <vt:lpwstr>_Toc238866429</vt:lpwstr>
      </vt:variant>
      <vt:variant>
        <vt:i4>1572920</vt:i4>
      </vt:variant>
      <vt:variant>
        <vt:i4>134</vt:i4>
      </vt:variant>
      <vt:variant>
        <vt:i4>0</vt:i4>
      </vt:variant>
      <vt:variant>
        <vt:i4>5</vt:i4>
      </vt:variant>
      <vt:variant>
        <vt:lpwstr/>
      </vt:variant>
      <vt:variant>
        <vt:lpwstr>_Toc238866428</vt:lpwstr>
      </vt:variant>
      <vt:variant>
        <vt:i4>1572920</vt:i4>
      </vt:variant>
      <vt:variant>
        <vt:i4>128</vt:i4>
      </vt:variant>
      <vt:variant>
        <vt:i4>0</vt:i4>
      </vt:variant>
      <vt:variant>
        <vt:i4>5</vt:i4>
      </vt:variant>
      <vt:variant>
        <vt:lpwstr/>
      </vt:variant>
      <vt:variant>
        <vt:lpwstr>_Toc238866427</vt:lpwstr>
      </vt:variant>
      <vt:variant>
        <vt:i4>1572920</vt:i4>
      </vt:variant>
      <vt:variant>
        <vt:i4>122</vt:i4>
      </vt:variant>
      <vt:variant>
        <vt:i4>0</vt:i4>
      </vt:variant>
      <vt:variant>
        <vt:i4>5</vt:i4>
      </vt:variant>
      <vt:variant>
        <vt:lpwstr/>
      </vt:variant>
      <vt:variant>
        <vt:lpwstr>_Toc238866426</vt:lpwstr>
      </vt:variant>
      <vt:variant>
        <vt:i4>1572920</vt:i4>
      </vt:variant>
      <vt:variant>
        <vt:i4>116</vt:i4>
      </vt:variant>
      <vt:variant>
        <vt:i4>0</vt:i4>
      </vt:variant>
      <vt:variant>
        <vt:i4>5</vt:i4>
      </vt:variant>
      <vt:variant>
        <vt:lpwstr/>
      </vt:variant>
      <vt:variant>
        <vt:lpwstr>_Toc238866425</vt:lpwstr>
      </vt:variant>
      <vt:variant>
        <vt:i4>1572920</vt:i4>
      </vt:variant>
      <vt:variant>
        <vt:i4>110</vt:i4>
      </vt:variant>
      <vt:variant>
        <vt:i4>0</vt:i4>
      </vt:variant>
      <vt:variant>
        <vt:i4>5</vt:i4>
      </vt:variant>
      <vt:variant>
        <vt:lpwstr/>
      </vt:variant>
      <vt:variant>
        <vt:lpwstr>_Toc238866424</vt:lpwstr>
      </vt:variant>
      <vt:variant>
        <vt:i4>1572920</vt:i4>
      </vt:variant>
      <vt:variant>
        <vt:i4>104</vt:i4>
      </vt:variant>
      <vt:variant>
        <vt:i4>0</vt:i4>
      </vt:variant>
      <vt:variant>
        <vt:i4>5</vt:i4>
      </vt:variant>
      <vt:variant>
        <vt:lpwstr/>
      </vt:variant>
      <vt:variant>
        <vt:lpwstr>_Toc238866423</vt:lpwstr>
      </vt:variant>
      <vt:variant>
        <vt:i4>1572920</vt:i4>
      </vt:variant>
      <vt:variant>
        <vt:i4>98</vt:i4>
      </vt:variant>
      <vt:variant>
        <vt:i4>0</vt:i4>
      </vt:variant>
      <vt:variant>
        <vt:i4>5</vt:i4>
      </vt:variant>
      <vt:variant>
        <vt:lpwstr/>
      </vt:variant>
      <vt:variant>
        <vt:lpwstr>_Toc238866422</vt:lpwstr>
      </vt:variant>
      <vt:variant>
        <vt:i4>1572920</vt:i4>
      </vt:variant>
      <vt:variant>
        <vt:i4>92</vt:i4>
      </vt:variant>
      <vt:variant>
        <vt:i4>0</vt:i4>
      </vt:variant>
      <vt:variant>
        <vt:i4>5</vt:i4>
      </vt:variant>
      <vt:variant>
        <vt:lpwstr/>
      </vt:variant>
      <vt:variant>
        <vt:lpwstr>_Toc238866421</vt:lpwstr>
      </vt:variant>
      <vt:variant>
        <vt:i4>1572920</vt:i4>
      </vt:variant>
      <vt:variant>
        <vt:i4>86</vt:i4>
      </vt:variant>
      <vt:variant>
        <vt:i4>0</vt:i4>
      </vt:variant>
      <vt:variant>
        <vt:i4>5</vt:i4>
      </vt:variant>
      <vt:variant>
        <vt:lpwstr/>
      </vt:variant>
      <vt:variant>
        <vt:lpwstr>_Toc238866420</vt:lpwstr>
      </vt:variant>
      <vt:variant>
        <vt:i4>1769528</vt:i4>
      </vt:variant>
      <vt:variant>
        <vt:i4>80</vt:i4>
      </vt:variant>
      <vt:variant>
        <vt:i4>0</vt:i4>
      </vt:variant>
      <vt:variant>
        <vt:i4>5</vt:i4>
      </vt:variant>
      <vt:variant>
        <vt:lpwstr/>
      </vt:variant>
      <vt:variant>
        <vt:lpwstr>_Toc238866419</vt:lpwstr>
      </vt:variant>
      <vt:variant>
        <vt:i4>1769528</vt:i4>
      </vt:variant>
      <vt:variant>
        <vt:i4>74</vt:i4>
      </vt:variant>
      <vt:variant>
        <vt:i4>0</vt:i4>
      </vt:variant>
      <vt:variant>
        <vt:i4>5</vt:i4>
      </vt:variant>
      <vt:variant>
        <vt:lpwstr/>
      </vt:variant>
      <vt:variant>
        <vt:lpwstr>_Toc238866418</vt:lpwstr>
      </vt:variant>
      <vt:variant>
        <vt:i4>1769528</vt:i4>
      </vt:variant>
      <vt:variant>
        <vt:i4>68</vt:i4>
      </vt:variant>
      <vt:variant>
        <vt:i4>0</vt:i4>
      </vt:variant>
      <vt:variant>
        <vt:i4>5</vt:i4>
      </vt:variant>
      <vt:variant>
        <vt:lpwstr/>
      </vt:variant>
      <vt:variant>
        <vt:lpwstr>_Toc238866417</vt:lpwstr>
      </vt:variant>
      <vt:variant>
        <vt:i4>1769528</vt:i4>
      </vt:variant>
      <vt:variant>
        <vt:i4>62</vt:i4>
      </vt:variant>
      <vt:variant>
        <vt:i4>0</vt:i4>
      </vt:variant>
      <vt:variant>
        <vt:i4>5</vt:i4>
      </vt:variant>
      <vt:variant>
        <vt:lpwstr/>
      </vt:variant>
      <vt:variant>
        <vt:lpwstr>_Toc238866416</vt:lpwstr>
      </vt:variant>
      <vt:variant>
        <vt:i4>1769528</vt:i4>
      </vt:variant>
      <vt:variant>
        <vt:i4>56</vt:i4>
      </vt:variant>
      <vt:variant>
        <vt:i4>0</vt:i4>
      </vt:variant>
      <vt:variant>
        <vt:i4>5</vt:i4>
      </vt:variant>
      <vt:variant>
        <vt:lpwstr/>
      </vt:variant>
      <vt:variant>
        <vt:lpwstr>_Toc238866415</vt:lpwstr>
      </vt:variant>
      <vt:variant>
        <vt:i4>1769528</vt:i4>
      </vt:variant>
      <vt:variant>
        <vt:i4>50</vt:i4>
      </vt:variant>
      <vt:variant>
        <vt:i4>0</vt:i4>
      </vt:variant>
      <vt:variant>
        <vt:i4>5</vt:i4>
      </vt:variant>
      <vt:variant>
        <vt:lpwstr/>
      </vt:variant>
      <vt:variant>
        <vt:lpwstr>_Toc238866414</vt:lpwstr>
      </vt:variant>
      <vt:variant>
        <vt:i4>1769528</vt:i4>
      </vt:variant>
      <vt:variant>
        <vt:i4>44</vt:i4>
      </vt:variant>
      <vt:variant>
        <vt:i4>0</vt:i4>
      </vt:variant>
      <vt:variant>
        <vt:i4>5</vt:i4>
      </vt:variant>
      <vt:variant>
        <vt:lpwstr/>
      </vt:variant>
      <vt:variant>
        <vt:lpwstr>_Toc238866413</vt:lpwstr>
      </vt:variant>
      <vt:variant>
        <vt:i4>1769528</vt:i4>
      </vt:variant>
      <vt:variant>
        <vt:i4>38</vt:i4>
      </vt:variant>
      <vt:variant>
        <vt:i4>0</vt:i4>
      </vt:variant>
      <vt:variant>
        <vt:i4>5</vt:i4>
      </vt:variant>
      <vt:variant>
        <vt:lpwstr/>
      </vt:variant>
      <vt:variant>
        <vt:lpwstr>_Toc238866412</vt:lpwstr>
      </vt:variant>
      <vt:variant>
        <vt:i4>1769528</vt:i4>
      </vt:variant>
      <vt:variant>
        <vt:i4>32</vt:i4>
      </vt:variant>
      <vt:variant>
        <vt:i4>0</vt:i4>
      </vt:variant>
      <vt:variant>
        <vt:i4>5</vt:i4>
      </vt:variant>
      <vt:variant>
        <vt:lpwstr/>
      </vt:variant>
      <vt:variant>
        <vt:lpwstr>_Toc238866411</vt:lpwstr>
      </vt:variant>
      <vt:variant>
        <vt:i4>1769528</vt:i4>
      </vt:variant>
      <vt:variant>
        <vt:i4>26</vt:i4>
      </vt:variant>
      <vt:variant>
        <vt:i4>0</vt:i4>
      </vt:variant>
      <vt:variant>
        <vt:i4>5</vt:i4>
      </vt:variant>
      <vt:variant>
        <vt:lpwstr/>
      </vt:variant>
      <vt:variant>
        <vt:lpwstr>_Toc238866410</vt:lpwstr>
      </vt:variant>
      <vt:variant>
        <vt:i4>1703992</vt:i4>
      </vt:variant>
      <vt:variant>
        <vt:i4>20</vt:i4>
      </vt:variant>
      <vt:variant>
        <vt:i4>0</vt:i4>
      </vt:variant>
      <vt:variant>
        <vt:i4>5</vt:i4>
      </vt:variant>
      <vt:variant>
        <vt:lpwstr/>
      </vt:variant>
      <vt:variant>
        <vt:lpwstr>_Toc238866409</vt:lpwstr>
      </vt:variant>
      <vt:variant>
        <vt:i4>1703992</vt:i4>
      </vt:variant>
      <vt:variant>
        <vt:i4>14</vt:i4>
      </vt:variant>
      <vt:variant>
        <vt:i4>0</vt:i4>
      </vt:variant>
      <vt:variant>
        <vt:i4>5</vt:i4>
      </vt:variant>
      <vt:variant>
        <vt:lpwstr/>
      </vt:variant>
      <vt:variant>
        <vt:lpwstr>_Toc238866408</vt:lpwstr>
      </vt:variant>
      <vt:variant>
        <vt:i4>1703992</vt:i4>
      </vt:variant>
      <vt:variant>
        <vt:i4>8</vt:i4>
      </vt:variant>
      <vt:variant>
        <vt:i4>0</vt:i4>
      </vt:variant>
      <vt:variant>
        <vt:i4>5</vt:i4>
      </vt:variant>
      <vt:variant>
        <vt:lpwstr/>
      </vt:variant>
      <vt:variant>
        <vt:lpwstr>_Toc238866407</vt:lpwstr>
      </vt:variant>
      <vt:variant>
        <vt:i4>1703992</vt:i4>
      </vt:variant>
      <vt:variant>
        <vt:i4>2</vt:i4>
      </vt:variant>
      <vt:variant>
        <vt:i4>0</vt:i4>
      </vt:variant>
      <vt:variant>
        <vt:i4>5</vt:i4>
      </vt:variant>
      <vt:variant>
        <vt:lpwstr/>
      </vt:variant>
      <vt:variant>
        <vt:lpwstr>_Toc238866406</vt:lpwstr>
      </vt:variant>
      <vt:variant>
        <vt:i4>8323130</vt:i4>
      </vt:variant>
      <vt:variant>
        <vt:i4>0</vt:i4>
      </vt:variant>
      <vt:variant>
        <vt:i4>0</vt:i4>
      </vt:variant>
      <vt:variant>
        <vt:i4>5</vt:i4>
      </vt:variant>
      <vt:variant>
        <vt:lpwstr>http://www.nrc.uscg.mil/incident97-02.html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RENEWAL OF INFORMATION COLLECTION REQUEST FOR THE CONTINUOUS RELEASE REPORTING REQUIREMENT</dc:title>
  <dc:subject/>
  <dc:creator>MDSADM10</dc:creator>
  <cp:keywords/>
  <dc:description/>
  <cp:lastModifiedBy>SYSTEM</cp:lastModifiedBy>
  <cp:revision>2</cp:revision>
  <cp:lastPrinted>2018-07-17T14:34:00Z</cp:lastPrinted>
  <dcterms:created xsi:type="dcterms:W3CDTF">2018-11-27T19:46:00Z</dcterms:created>
  <dcterms:modified xsi:type="dcterms:W3CDTF">2018-11-27T19:46:00Z</dcterms:modified>
</cp:coreProperties>
</file>