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C0555" w14:textId="77777777" w:rsidR="00BC15BE" w:rsidRPr="00F5428B" w:rsidRDefault="00BC15BE" w:rsidP="00BC15BE">
      <w:pPr>
        <w:tabs>
          <w:tab w:val="center" w:pos="4680"/>
        </w:tabs>
        <w:jc w:val="center"/>
        <w:rPr>
          <w:b/>
          <w:bCs/>
          <w:sz w:val="24"/>
        </w:rPr>
      </w:pPr>
      <w:bookmarkStart w:id="0" w:name="_GoBack"/>
      <w:bookmarkEnd w:id="0"/>
    </w:p>
    <w:p w14:paraId="1BA59068" w14:textId="77777777" w:rsidR="00BC15BE" w:rsidRPr="00F5428B" w:rsidRDefault="00BC15BE" w:rsidP="00BC15BE">
      <w:pPr>
        <w:tabs>
          <w:tab w:val="center" w:pos="4680"/>
        </w:tabs>
        <w:jc w:val="center"/>
        <w:rPr>
          <w:b/>
          <w:bCs/>
          <w:sz w:val="24"/>
        </w:rPr>
      </w:pPr>
      <w:r w:rsidRPr="00F5428B">
        <w:rPr>
          <w:b/>
          <w:bCs/>
          <w:sz w:val="24"/>
        </w:rPr>
        <w:t>SUPPORTING STATEMENT FOR</w:t>
      </w:r>
    </w:p>
    <w:p w14:paraId="39A1A94B" w14:textId="56D87AA0" w:rsidR="002B45F1" w:rsidRPr="00F5428B" w:rsidRDefault="002B45F1" w:rsidP="002B45F1">
      <w:pPr>
        <w:tabs>
          <w:tab w:val="center" w:pos="5040"/>
        </w:tabs>
        <w:jc w:val="center"/>
        <w:rPr>
          <w:b/>
          <w:bCs/>
          <w:sz w:val="24"/>
        </w:rPr>
      </w:pPr>
      <w:r w:rsidRPr="00F5428B">
        <w:rPr>
          <w:b/>
          <w:bCs/>
          <w:sz w:val="24"/>
        </w:rPr>
        <w:t>FERC-545</w:t>
      </w:r>
      <w:r w:rsidR="003F0E97" w:rsidRPr="00E06116">
        <w:rPr>
          <w:rStyle w:val="FootnoteReference"/>
          <w:bCs/>
          <w:sz w:val="24"/>
          <w:szCs w:val="24"/>
        </w:rPr>
        <w:footnoteReference w:id="2"/>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14:paraId="09E86EFA" w14:textId="77777777" w:rsidR="002B45F1" w:rsidRPr="00F5428B" w:rsidRDefault="00E06116" w:rsidP="002B45F1">
      <w:pPr>
        <w:tabs>
          <w:tab w:val="center" w:pos="5040"/>
        </w:tabs>
        <w:jc w:val="center"/>
        <w:rPr>
          <w:b/>
          <w:bCs/>
          <w:sz w:val="24"/>
        </w:rPr>
      </w:pPr>
      <w:r>
        <w:rPr>
          <w:b/>
          <w:bCs/>
          <w:sz w:val="24"/>
        </w:rPr>
        <w:t>as modified</w:t>
      </w:r>
      <w:r w:rsidR="002B45F1" w:rsidRPr="00F5428B">
        <w:rPr>
          <w:b/>
          <w:bCs/>
          <w:sz w:val="24"/>
        </w:rPr>
        <w:t xml:space="preserve"> by Fin</w:t>
      </w:r>
      <w:r>
        <w:rPr>
          <w:b/>
          <w:bCs/>
          <w:sz w:val="24"/>
        </w:rPr>
        <w:t>al Rule in Docket No. RM96-1-041</w:t>
      </w:r>
      <w:r w:rsidRPr="00E06116">
        <w:rPr>
          <w:rStyle w:val="FootnoteReference"/>
          <w:bCs/>
        </w:rPr>
        <w:footnoteReference w:id="3"/>
      </w:r>
    </w:p>
    <w:p w14:paraId="34F6204C" w14:textId="77777777" w:rsidR="00BC15BE" w:rsidRPr="00F5428B" w:rsidRDefault="00BC15BE" w:rsidP="00BC15BE">
      <w:pPr>
        <w:rPr>
          <w:sz w:val="24"/>
        </w:rPr>
      </w:pPr>
    </w:p>
    <w:p w14:paraId="35A0048C" w14:textId="6B99B614" w:rsidR="002B45F1" w:rsidRPr="00F5428B" w:rsidRDefault="002B45F1" w:rsidP="002B45F1">
      <w:pPr>
        <w:rPr>
          <w:sz w:val="24"/>
        </w:rPr>
      </w:pPr>
      <w:r w:rsidRPr="00F5428B">
        <w:rPr>
          <w:sz w:val="24"/>
        </w:rPr>
        <w:t>The Federal Energy Regulatory Commission (Commission or FERC) requests that the Office of Managem</w:t>
      </w:r>
      <w:r w:rsidR="00E06116">
        <w:rPr>
          <w:sz w:val="24"/>
        </w:rPr>
        <w:t>ent and Budget (OMB) review/</w:t>
      </w:r>
      <w:r w:rsidRPr="00F5428B">
        <w:rPr>
          <w:sz w:val="24"/>
        </w:rPr>
        <w:t>approve changes to</w:t>
      </w:r>
      <w:r w:rsidR="00E06116">
        <w:rPr>
          <w:sz w:val="24"/>
        </w:rPr>
        <w:t xml:space="preserve"> and the extension of</w:t>
      </w:r>
      <w:r w:rsidRPr="00F5428B">
        <w:rPr>
          <w:sz w:val="24"/>
        </w:rPr>
        <w:t xml:space="preserve"> </w:t>
      </w:r>
      <w:r w:rsidR="00E06116">
        <w:rPr>
          <w:sz w:val="24"/>
        </w:rPr>
        <w:t xml:space="preserve">the </w:t>
      </w:r>
      <w:r w:rsidRPr="00F5428B">
        <w:rPr>
          <w:sz w:val="24"/>
        </w:rPr>
        <w:t>FERC-545</w:t>
      </w:r>
      <w:r w:rsidR="00E06116">
        <w:rPr>
          <w:sz w:val="24"/>
        </w:rPr>
        <w:t xml:space="preserve"> information collection</w:t>
      </w:r>
      <w:r w:rsidRPr="00F5428B">
        <w:rPr>
          <w:sz w:val="24"/>
        </w:rPr>
        <w:t xml:space="preserve"> </w:t>
      </w:r>
      <w:r w:rsidR="00C40086">
        <w:rPr>
          <w:sz w:val="24"/>
        </w:rPr>
        <w:t>[</w:t>
      </w:r>
      <w:r w:rsidRPr="00F5428B">
        <w:rPr>
          <w:sz w:val="24"/>
        </w:rPr>
        <w:t xml:space="preserve">(Gas Pipeline Rates: Rate Change </w:t>
      </w:r>
      <w:r w:rsidR="00C40086">
        <w:rPr>
          <w:sz w:val="24"/>
        </w:rPr>
        <w:t>(</w:t>
      </w:r>
      <w:r w:rsidRPr="00F5428B">
        <w:rPr>
          <w:sz w:val="24"/>
        </w:rPr>
        <w:t>Non-Formal)</w:t>
      </w:r>
      <w:r w:rsidR="00C40086">
        <w:rPr>
          <w:sz w:val="24"/>
        </w:rPr>
        <w:t>]</w:t>
      </w:r>
      <w:r w:rsidRPr="00F5428B">
        <w:rPr>
          <w:sz w:val="24"/>
        </w:rPr>
        <w:t>,</w:t>
      </w:r>
      <w:r w:rsidRPr="00F5428B">
        <w:rPr>
          <w:sz w:val="24"/>
          <w:vertAlign w:val="superscript"/>
        </w:rPr>
        <w:t xml:space="preserve"> </w:t>
      </w:r>
      <w:r w:rsidRPr="00F5428B">
        <w:rPr>
          <w:sz w:val="24"/>
        </w:rPr>
        <w:t>as stated in the Final Rule in Docket No. RM</w:t>
      </w:r>
      <w:r w:rsidR="00E06116">
        <w:rPr>
          <w:sz w:val="24"/>
        </w:rPr>
        <w:t>96-1-041</w:t>
      </w:r>
      <w:r w:rsidRPr="00F5428B">
        <w:rPr>
          <w:sz w:val="24"/>
        </w:rPr>
        <w:t>.</w:t>
      </w:r>
    </w:p>
    <w:p w14:paraId="56DB3D15" w14:textId="77777777" w:rsidR="002B45F1" w:rsidRPr="00F5428B" w:rsidRDefault="002B45F1" w:rsidP="003D2136">
      <w:pPr>
        <w:pStyle w:val="ListParagraph"/>
      </w:pPr>
    </w:p>
    <w:p w14:paraId="33C340BF" w14:textId="2CAEE414" w:rsidR="006B7B80" w:rsidRDefault="002B45F1" w:rsidP="006B7B80">
      <w:pPr>
        <w:pStyle w:val="FERCparanumber"/>
        <w:numPr>
          <w:ilvl w:val="0"/>
          <w:numId w:val="0"/>
        </w:numPr>
        <w:rPr>
          <w:szCs w:val="26"/>
        </w:rPr>
      </w:pPr>
      <w:r w:rsidRPr="00F5428B">
        <w:rPr>
          <w:sz w:val="24"/>
        </w:rPr>
        <w:t>The Commission is submitting this consolidated supporting statement to OM</w:t>
      </w:r>
      <w:r w:rsidR="00A873E5">
        <w:rPr>
          <w:sz w:val="24"/>
        </w:rPr>
        <w:t>B with one ICR for each of the two</w:t>
      </w:r>
      <w:r w:rsidRPr="00F5428B">
        <w:rPr>
          <w:sz w:val="24"/>
        </w:rPr>
        <w:t xml:space="preserve"> separate OMB Control Numbers</w:t>
      </w:r>
      <w:r w:rsidR="00C40086">
        <w:rPr>
          <w:sz w:val="24"/>
        </w:rPr>
        <w:t xml:space="preserve"> (1902-0154 for FERC-545 and 1902-0174 for FERC-549C)</w:t>
      </w:r>
      <w:r w:rsidRPr="00F5428B">
        <w:rPr>
          <w:sz w:val="24"/>
        </w:rPr>
        <w:t xml:space="preserve">.  </w:t>
      </w:r>
      <w:r w:rsidR="00A873E5">
        <w:rPr>
          <w:sz w:val="24"/>
        </w:rPr>
        <w:t>Additionally, each ICR will contain information regarding the extens</w:t>
      </w:r>
      <w:r w:rsidR="00D60724">
        <w:rPr>
          <w:sz w:val="24"/>
        </w:rPr>
        <w:t>ion of each collection</w:t>
      </w:r>
      <w:r w:rsidR="002E6CFA">
        <w:rPr>
          <w:sz w:val="24"/>
        </w:rPr>
        <w:t xml:space="preserve"> (the majority of each collections’ requirements remain unchanged) and additional requirements due to the modifications of the Final Rule in Docket. No. RM96-1-041</w:t>
      </w:r>
      <w:r w:rsidR="005A77A4">
        <w:rPr>
          <w:sz w:val="24"/>
        </w:rPr>
        <w:t xml:space="preserve"> (Final Rule)</w:t>
      </w:r>
      <w:r w:rsidR="00D60724">
        <w:rPr>
          <w:sz w:val="24"/>
        </w:rPr>
        <w:t>.</w:t>
      </w:r>
      <w:r w:rsidR="005A77A4">
        <w:rPr>
          <w:sz w:val="24"/>
        </w:rPr>
        <w:t xml:space="preserve">  </w:t>
      </w:r>
    </w:p>
    <w:p w14:paraId="56813438" w14:textId="77777777" w:rsidR="00BC15BE" w:rsidRPr="00F5428B" w:rsidRDefault="00BC15BE" w:rsidP="00BC15BE">
      <w:pPr>
        <w:rPr>
          <w:b/>
          <w:sz w:val="24"/>
        </w:rPr>
      </w:pPr>
    </w:p>
    <w:p w14:paraId="35BD39DC" w14:textId="77777777" w:rsidR="00BC15BE" w:rsidRPr="00F5428B" w:rsidRDefault="00BC15BE" w:rsidP="00BC15BE">
      <w:pPr>
        <w:pStyle w:val="Level1"/>
        <w:widowControl/>
        <w:tabs>
          <w:tab w:val="left" w:pos="-1440"/>
          <w:tab w:val="num" w:pos="720"/>
        </w:tabs>
        <w:rPr>
          <w:b/>
        </w:rPr>
      </w:pPr>
      <w:r w:rsidRPr="00F5428B">
        <w:rPr>
          <w:b/>
        </w:rPr>
        <w:t xml:space="preserve">CIRCUMSTANCES THAT MAKE THE COLLECTION OF INFORMATION NECESSARY  </w:t>
      </w:r>
    </w:p>
    <w:p w14:paraId="37618DE1" w14:textId="77777777" w:rsidR="00BC15BE" w:rsidRPr="00F5428B" w:rsidRDefault="00BC15BE" w:rsidP="00BC15BE">
      <w:pPr>
        <w:pStyle w:val="Level1"/>
        <w:widowControl/>
        <w:numPr>
          <w:ilvl w:val="0"/>
          <w:numId w:val="0"/>
        </w:numPr>
        <w:tabs>
          <w:tab w:val="left" w:pos="-1440"/>
        </w:tabs>
        <w:rPr>
          <w:b/>
        </w:rPr>
      </w:pPr>
    </w:p>
    <w:p w14:paraId="18839E98" w14:textId="61D89E25" w:rsidR="00382D44" w:rsidRDefault="00950A2F" w:rsidP="002B45F1">
      <w:pPr>
        <w:rPr>
          <w:sz w:val="24"/>
        </w:rPr>
      </w:pPr>
      <w:r>
        <w:rPr>
          <w:b/>
          <w:sz w:val="24"/>
          <w:u w:val="single"/>
        </w:rPr>
        <w:t xml:space="preserve">Final Rule in </w:t>
      </w:r>
      <w:r w:rsidR="002B45F1" w:rsidRPr="00D60724">
        <w:rPr>
          <w:b/>
          <w:sz w:val="24"/>
          <w:u w:val="single"/>
        </w:rPr>
        <w:t xml:space="preserve">Docket </w:t>
      </w:r>
      <w:r w:rsidR="00D60724" w:rsidRPr="00D60724">
        <w:rPr>
          <w:b/>
          <w:sz w:val="24"/>
          <w:u w:val="single"/>
        </w:rPr>
        <w:t>RM96-1-041</w:t>
      </w:r>
    </w:p>
    <w:p w14:paraId="0C67F8AD" w14:textId="77777777" w:rsidR="00DF17B3" w:rsidRDefault="00DF17B3" w:rsidP="002B45F1">
      <w:pPr>
        <w:rPr>
          <w:sz w:val="24"/>
        </w:rPr>
      </w:pPr>
    </w:p>
    <w:p w14:paraId="0BBBB4F5" w14:textId="6D20D378" w:rsidR="002B45F1" w:rsidRDefault="002B45F1" w:rsidP="002B45F1">
      <w:pPr>
        <w:rPr>
          <w:sz w:val="24"/>
        </w:rPr>
      </w:pPr>
      <w:r w:rsidRPr="00D60724">
        <w:rPr>
          <w:sz w:val="24"/>
        </w:rPr>
        <w:t>The</w:t>
      </w:r>
      <w:r w:rsidR="00C40086">
        <w:rPr>
          <w:sz w:val="24"/>
        </w:rPr>
        <w:t xml:space="preserve"> Final Rule says in part (footnotes omitted)</w:t>
      </w:r>
      <w:r w:rsidRPr="00F5428B">
        <w:rPr>
          <w:sz w:val="24"/>
        </w:rPr>
        <w:t>:</w:t>
      </w:r>
    </w:p>
    <w:p w14:paraId="3B19BFA5" w14:textId="77777777" w:rsidR="009D1B59" w:rsidRPr="00F5428B" w:rsidRDefault="009D1B59" w:rsidP="002B45F1">
      <w:pPr>
        <w:rPr>
          <w:sz w:val="24"/>
        </w:rPr>
      </w:pPr>
    </w:p>
    <w:p w14:paraId="65D9EFF6" w14:textId="77777777" w:rsidR="002A2273" w:rsidRDefault="002B45F1" w:rsidP="002A2273">
      <w:pPr>
        <w:ind w:left="720"/>
        <w:rPr>
          <w:sz w:val="24"/>
        </w:rPr>
      </w:pPr>
      <w:r w:rsidRPr="00F5428B">
        <w:rPr>
          <w:sz w:val="24"/>
        </w:rPr>
        <w:tab/>
      </w:r>
      <w:r w:rsidRPr="009D1B59">
        <w:rPr>
          <w:sz w:val="24"/>
        </w:rPr>
        <w:t>“</w:t>
      </w:r>
      <w:r w:rsidR="002A2273" w:rsidRPr="009D1B59">
        <w:rPr>
          <w:sz w:val="24"/>
        </w:rPr>
        <w:t xml:space="preserve">On September 29, 2017, NAESB filed a report informing the Commission that it had adopted and ratified WGQ Version 3.1 of its business </w:t>
      </w:r>
      <w:r w:rsidR="002A2273" w:rsidRPr="00FD7DF0">
        <w:rPr>
          <w:sz w:val="24"/>
        </w:rPr>
        <w:t>practice standards applicable to natural gas pipelines.  The NAESB report identifies all the changes made to the Version 3.0 Standards and summarizes the deliberations that led to the changes.  It also identifies changes to the existing standards t</w:t>
      </w:r>
      <w:r w:rsidR="002A2273" w:rsidRPr="002A2273">
        <w:rPr>
          <w:sz w:val="24"/>
        </w:rPr>
        <w:t>hat were considered but not adopted due to a lack of consensus or other reasons.</w:t>
      </w:r>
    </w:p>
    <w:p w14:paraId="74D79418" w14:textId="77777777" w:rsidR="00E111A5" w:rsidRPr="002A2273" w:rsidRDefault="00E111A5" w:rsidP="002A2273">
      <w:pPr>
        <w:ind w:left="720"/>
        <w:rPr>
          <w:sz w:val="24"/>
        </w:rPr>
      </w:pPr>
    </w:p>
    <w:p w14:paraId="0D5953DC" w14:textId="09F8634F" w:rsidR="002A2273" w:rsidRDefault="00B3775B" w:rsidP="002A2273">
      <w:pPr>
        <w:ind w:left="720"/>
        <w:rPr>
          <w:sz w:val="24"/>
        </w:rPr>
      </w:pPr>
      <w:r>
        <w:rPr>
          <w:sz w:val="24"/>
        </w:rPr>
        <w:tab/>
      </w:r>
      <w:r w:rsidR="002A2273" w:rsidRPr="002A2273">
        <w:rPr>
          <w:sz w:val="24"/>
        </w:rPr>
        <w:t>On August 21, 2018, the Commission issued a Notice of Proposed Rulemaking</w:t>
      </w:r>
      <w:r w:rsidR="00F959E9">
        <w:rPr>
          <w:sz w:val="24"/>
        </w:rPr>
        <w:t xml:space="preserve"> (NOPR)</w:t>
      </w:r>
      <w:r w:rsidR="002A2273" w:rsidRPr="002A2273">
        <w:rPr>
          <w:sz w:val="24"/>
        </w:rPr>
        <w:t xml:space="preserve"> proposing to incorporate by reference</w:t>
      </w:r>
      <w:r w:rsidR="002F6758" w:rsidRPr="002F6758">
        <w:rPr>
          <w:sz w:val="24"/>
        </w:rPr>
        <w:t xml:space="preserve"> </w:t>
      </w:r>
      <w:r w:rsidR="002F6758" w:rsidRPr="002A2273">
        <w:rPr>
          <w:sz w:val="24"/>
        </w:rPr>
        <w:t xml:space="preserve">NAESB WGQ Version 3.1 business </w:t>
      </w:r>
      <w:r w:rsidR="002F6758" w:rsidRPr="002A2273">
        <w:rPr>
          <w:sz w:val="24"/>
        </w:rPr>
        <w:lastRenderedPageBreak/>
        <w:t>practice standards</w:t>
      </w:r>
      <w:r w:rsidR="002F6758" w:rsidRPr="002F6758">
        <w:rPr>
          <w:sz w:val="24"/>
        </w:rPr>
        <w:t xml:space="preserve"> </w:t>
      </w:r>
      <w:r w:rsidR="002F6758" w:rsidRPr="002A2273">
        <w:rPr>
          <w:sz w:val="24"/>
        </w:rPr>
        <w:t>applicable to natural gas pipelines</w:t>
      </w:r>
      <w:r w:rsidR="002A2273" w:rsidRPr="002A2273">
        <w:rPr>
          <w:sz w:val="24"/>
        </w:rPr>
        <w:t xml:space="preserve">, with certain enumerated exceptions </w:t>
      </w:r>
      <w:r w:rsidR="002F6758">
        <w:rPr>
          <w:sz w:val="24"/>
        </w:rPr>
        <w:t>into its regulations.</w:t>
      </w:r>
      <w:r w:rsidR="002F6758" w:rsidRPr="002F6758">
        <w:rPr>
          <w:sz w:val="24"/>
        </w:rPr>
        <w:t xml:space="preserve"> </w:t>
      </w:r>
      <w:r w:rsidR="002A2273" w:rsidRPr="002A2273">
        <w:rPr>
          <w:b/>
          <w:sz w:val="24"/>
          <w:vertAlign w:val="superscript"/>
        </w:rPr>
        <w:footnoteReference w:id="4"/>
      </w:r>
    </w:p>
    <w:p w14:paraId="36F2CB35" w14:textId="77777777" w:rsidR="00E111A5" w:rsidRPr="002A2273" w:rsidRDefault="00E111A5" w:rsidP="002A2273">
      <w:pPr>
        <w:ind w:left="720"/>
        <w:rPr>
          <w:sz w:val="24"/>
        </w:rPr>
      </w:pPr>
    </w:p>
    <w:p w14:paraId="1B6A7125" w14:textId="09AC62F5" w:rsidR="00B3775B" w:rsidRDefault="00B3775B" w:rsidP="002A2273">
      <w:pPr>
        <w:ind w:left="720"/>
        <w:rPr>
          <w:sz w:val="24"/>
        </w:rPr>
      </w:pPr>
      <w:r>
        <w:rPr>
          <w:sz w:val="24"/>
        </w:rPr>
        <w:tab/>
      </w:r>
      <w:r w:rsidR="00F959E9">
        <w:rPr>
          <w:sz w:val="24"/>
        </w:rPr>
        <w:t xml:space="preserve">Following issuance of the </w:t>
      </w:r>
      <w:r w:rsidR="002A2273" w:rsidRPr="002A2273">
        <w:rPr>
          <w:sz w:val="24"/>
        </w:rPr>
        <w:t>NOPR</w:t>
      </w:r>
      <w:r w:rsidR="00F959E9">
        <w:rPr>
          <w:sz w:val="24"/>
        </w:rPr>
        <w:t xml:space="preserve"> regarding</w:t>
      </w:r>
      <w:r w:rsidR="00486D73">
        <w:rPr>
          <w:sz w:val="24"/>
        </w:rPr>
        <w:t xml:space="preserve"> NAESB’s WGQ </w:t>
      </w:r>
      <w:r w:rsidR="00F959E9" w:rsidRPr="002A2273">
        <w:rPr>
          <w:sz w:val="24"/>
        </w:rPr>
        <w:t>Version 3.1</w:t>
      </w:r>
      <w:r w:rsidR="00486D73">
        <w:rPr>
          <w:sz w:val="24"/>
        </w:rPr>
        <w:t xml:space="preserve"> business practice standards</w:t>
      </w:r>
      <w:r w:rsidR="002A2273" w:rsidRPr="002A2273">
        <w:rPr>
          <w:sz w:val="24"/>
        </w:rPr>
        <w:t xml:space="preserve">, </w:t>
      </w:r>
      <w:r w:rsidR="00F959E9">
        <w:rPr>
          <w:sz w:val="24"/>
        </w:rPr>
        <w:t xml:space="preserve">the </w:t>
      </w:r>
      <w:r w:rsidR="002A2273" w:rsidRPr="002A2273">
        <w:rPr>
          <w:sz w:val="24"/>
        </w:rPr>
        <w:t xml:space="preserve">Tennessee Valley Authority (TVA) and the Interstate Natural Gas Association of America (INGAA) filed comments.  TVA expresses support for the Commission’s proposal to incorporate by reference NAESB’s WGQ Version 3.1 business practice standards.  INGAA also supports the Commission’s proposal in the Version 3.1 NOPR, but urges the Commission to ensure that implementation of a Final Rule in this proceeding does not occur prior to April 1, 2019, </w:t>
      </w:r>
      <w:r w:rsidR="002F6758">
        <w:rPr>
          <w:sz w:val="24"/>
        </w:rPr>
        <w:t xml:space="preserve">which will be </w:t>
      </w:r>
      <w:r w:rsidR="002A2273" w:rsidRPr="002A2273">
        <w:rPr>
          <w:sz w:val="24"/>
        </w:rPr>
        <w:t xml:space="preserve">after the winter heating season.  INGAA states that implementation of a Final Rule in this proceeding will require substantial time and effort from both </w:t>
      </w:r>
      <w:r w:rsidR="002F6758">
        <w:rPr>
          <w:sz w:val="24"/>
        </w:rPr>
        <w:t xml:space="preserve">the </w:t>
      </w:r>
      <w:r w:rsidR="002A2273" w:rsidRPr="002A2273">
        <w:rPr>
          <w:sz w:val="24"/>
        </w:rPr>
        <w:t>pipelines and their customers to alter business systems, scheduling, and coordination processes</w:t>
      </w:r>
      <w:r w:rsidR="002F6758">
        <w:rPr>
          <w:sz w:val="24"/>
        </w:rPr>
        <w:t>,</w:t>
      </w:r>
      <w:r w:rsidR="002A2273" w:rsidRPr="002A2273">
        <w:rPr>
          <w:sz w:val="24"/>
        </w:rPr>
        <w:t xml:space="preserve"> and thus it would be best to schedule implementation to not occur during the winter heating season</w:t>
      </w:r>
      <w:r>
        <w:rPr>
          <w:sz w:val="24"/>
        </w:rPr>
        <w:t>.”</w:t>
      </w:r>
    </w:p>
    <w:p w14:paraId="5D835774" w14:textId="77777777" w:rsidR="00B3775B" w:rsidRDefault="00B3775B" w:rsidP="002A2273">
      <w:pPr>
        <w:ind w:left="720"/>
        <w:rPr>
          <w:sz w:val="24"/>
        </w:rPr>
      </w:pPr>
    </w:p>
    <w:p w14:paraId="12BEF421" w14:textId="156258D4" w:rsidR="002B45F1" w:rsidRPr="00F5428B" w:rsidRDefault="00B3775B" w:rsidP="002B45F1">
      <w:pPr>
        <w:ind w:left="720" w:firstLine="720"/>
        <w:rPr>
          <w:sz w:val="24"/>
        </w:rPr>
      </w:pPr>
      <w:r w:rsidRPr="00B3775B">
        <w:rPr>
          <w:sz w:val="24"/>
        </w:rPr>
        <w:t xml:space="preserve">In </w:t>
      </w:r>
      <w:r w:rsidR="009C5ED8">
        <w:rPr>
          <w:sz w:val="24"/>
        </w:rPr>
        <w:t xml:space="preserve">the </w:t>
      </w:r>
      <w:r w:rsidRPr="00B3775B">
        <w:rPr>
          <w:sz w:val="24"/>
        </w:rPr>
        <w:t xml:space="preserve">Final Rule, the </w:t>
      </w:r>
      <w:r w:rsidR="002F6758" w:rsidRPr="00B3775B">
        <w:rPr>
          <w:sz w:val="24"/>
        </w:rPr>
        <w:t>Commission amends</w:t>
      </w:r>
      <w:r w:rsidRPr="00B3775B">
        <w:rPr>
          <w:sz w:val="24"/>
        </w:rPr>
        <w:t xml:space="preserve"> its regulations </w:t>
      </w:r>
      <w:r w:rsidR="009C5ED8">
        <w:rPr>
          <w:sz w:val="24"/>
        </w:rPr>
        <w:t>in</w:t>
      </w:r>
      <w:r w:rsidR="009C5ED8" w:rsidRPr="00B3775B">
        <w:rPr>
          <w:sz w:val="24"/>
        </w:rPr>
        <w:t xml:space="preserve"> </w:t>
      </w:r>
      <w:r w:rsidRPr="00B3775B">
        <w:rPr>
          <w:sz w:val="24"/>
        </w:rPr>
        <w:t xml:space="preserve">18 CFR 284.12 to incorporate by reference, with certain enumerated exceptions, the latest version (Version 3.1) of business practice standards applicable to interstate natural gas pipelines </w:t>
      </w:r>
      <w:r w:rsidR="009C5ED8">
        <w:rPr>
          <w:sz w:val="24"/>
        </w:rPr>
        <w:t>(</w:t>
      </w:r>
      <w:r w:rsidRPr="00B3775B">
        <w:rPr>
          <w:sz w:val="24"/>
        </w:rPr>
        <w:t>adopted by the Wholesale Gas Quadrant (WGQ) of the North American Energy Standards Board (NAESB)</w:t>
      </w:r>
      <w:r w:rsidR="009C5ED8">
        <w:rPr>
          <w:sz w:val="24"/>
        </w:rPr>
        <w:t>), replacing Version 3.0.</w:t>
      </w:r>
      <w:r w:rsidR="00486D73">
        <w:rPr>
          <w:sz w:val="24"/>
        </w:rPr>
        <w:t xml:space="preserve"> </w:t>
      </w:r>
      <w:r w:rsidRPr="00B3775B">
        <w:rPr>
          <w:sz w:val="24"/>
        </w:rPr>
        <w:t xml:space="preserve"> Under this Final Rule, interstate natural gas pipelines are required to file compliance filings with the Commission by April 1, 2019</w:t>
      </w:r>
      <w:r w:rsidR="009C5ED8">
        <w:rPr>
          <w:sz w:val="24"/>
        </w:rPr>
        <w:t>,</w:t>
      </w:r>
      <w:r w:rsidRPr="00B3775B">
        <w:rPr>
          <w:sz w:val="24"/>
        </w:rPr>
        <w:t xml:space="preserve"> and are required to comply with the standards incorporated by reference in this rule on and after August 1, 2019.</w:t>
      </w:r>
      <w:r w:rsidR="00E111A5">
        <w:rPr>
          <w:sz w:val="24"/>
        </w:rPr>
        <w:t xml:space="preserve">  </w:t>
      </w:r>
      <w:r w:rsidR="002B45F1" w:rsidRPr="00F5428B">
        <w:rPr>
          <w:sz w:val="24"/>
        </w:rPr>
        <w:t>Adoption of the Version 3.</w:t>
      </w:r>
      <w:r w:rsidR="00486D73">
        <w:rPr>
          <w:sz w:val="24"/>
        </w:rPr>
        <w:t>1</w:t>
      </w:r>
      <w:r w:rsidR="002B45F1" w:rsidRPr="00F5428B">
        <w:rPr>
          <w:sz w:val="24"/>
        </w:rPr>
        <w:t xml:space="preserve"> </w:t>
      </w:r>
      <w:r w:rsidR="00486D73">
        <w:rPr>
          <w:sz w:val="24"/>
        </w:rPr>
        <w:t xml:space="preserve">business practice </w:t>
      </w:r>
      <w:r w:rsidR="009C5ED8">
        <w:rPr>
          <w:sz w:val="24"/>
        </w:rPr>
        <w:t>s</w:t>
      </w:r>
      <w:r w:rsidR="002B45F1" w:rsidRPr="00F5428B">
        <w:rPr>
          <w:sz w:val="24"/>
        </w:rPr>
        <w:t>tandards will</w:t>
      </w:r>
      <w:r w:rsidR="009C5ED8">
        <w:rPr>
          <w:sz w:val="24"/>
        </w:rPr>
        <w:t xml:space="preserve"> allow </w:t>
      </w:r>
      <w:r w:rsidR="00486D73">
        <w:rPr>
          <w:sz w:val="24"/>
        </w:rPr>
        <w:t>NAESB and its members to continue their efforts to</w:t>
      </w:r>
      <w:r w:rsidR="002B45F1" w:rsidRPr="00F5428B">
        <w:rPr>
          <w:sz w:val="24"/>
        </w:rPr>
        <w:t xml:space="preserve"> updat</w:t>
      </w:r>
      <w:r w:rsidR="00486D73">
        <w:rPr>
          <w:sz w:val="24"/>
        </w:rPr>
        <w:t>e</w:t>
      </w:r>
      <w:r w:rsidR="002B45F1" w:rsidRPr="00F5428B">
        <w:rPr>
          <w:sz w:val="24"/>
        </w:rPr>
        <w:t xml:space="preserve"> and improv</w:t>
      </w:r>
      <w:r w:rsidR="00486D73">
        <w:rPr>
          <w:sz w:val="24"/>
        </w:rPr>
        <w:t>e</w:t>
      </w:r>
      <w:r w:rsidR="002B45F1" w:rsidRPr="00F5428B">
        <w:rPr>
          <w:sz w:val="24"/>
        </w:rPr>
        <w:t xml:space="preserve"> </w:t>
      </w:r>
      <w:r w:rsidR="00486D73">
        <w:rPr>
          <w:sz w:val="24"/>
        </w:rPr>
        <w:t xml:space="preserve">the </w:t>
      </w:r>
      <w:r w:rsidR="00215D6C">
        <w:rPr>
          <w:sz w:val="24"/>
        </w:rPr>
        <w:t xml:space="preserve">wholesale </w:t>
      </w:r>
      <w:r w:rsidR="00486D73">
        <w:rPr>
          <w:sz w:val="24"/>
        </w:rPr>
        <w:t xml:space="preserve">natural gas </w:t>
      </w:r>
      <w:r w:rsidR="00215D6C">
        <w:rPr>
          <w:sz w:val="24"/>
        </w:rPr>
        <w:t>industry’s</w:t>
      </w:r>
      <w:r w:rsidR="002B45F1" w:rsidRPr="00F5428B">
        <w:rPr>
          <w:sz w:val="24"/>
        </w:rPr>
        <w:t xml:space="preserve"> business practice standards</w:t>
      </w:r>
      <w:r w:rsidR="009C5ED8">
        <w:rPr>
          <w:sz w:val="24"/>
        </w:rPr>
        <w:t xml:space="preserve">, </w:t>
      </w:r>
      <w:r w:rsidR="008D4689">
        <w:rPr>
          <w:sz w:val="24"/>
        </w:rPr>
        <w:t xml:space="preserve">which </w:t>
      </w:r>
      <w:r w:rsidR="00C4337B">
        <w:rPr>
          <w:sz w:val="24"/>
        </w:rPr>
        <w:t>will benefit</w:t>
      </w:r>
      <w:r w:rsidR="002B45F1" w:rsidRPr="00F5428B">
        <w:rPr>
          <w:sz w:val="24"/>
        </w:rPr>
        <w:t xml:space="preserve"> </w:t>
      </w:r>
      <w:r w:rsidR="00215D6C">
        <w:rPr>
          <w:sz w:val="24"/>
        </w:rPr>
        <w:t xml:space="preserve">all participants in the </w:t>
      </w:r>
      <w:r w:rsidR="002B45F1" w:rsidRPr="00F5428B">
        <w:rPr>
          <w:sz w:val="24"/>
        </w:rPr>
        <w:t>wholesale natural gas market</w:t>
      </w:r>
      <w:r w:rsidR="00256088" w:rsidRPr="00F5428B">
        <w:rPr>
          <w:sz w:val="24"/>
        </w:rPr>
        <w:t xml:space="preserve"> </w:t>
      </w:r>
      <w:r w:rsidR="008D4689">
        <w:rPr>
          <w:sz w:val="24"/>
        </w:rPr>
        <w:t xml:space="preserve">as </w:t>
      </w:r>
      <w:r w:rsidR="00215D6C">
        <w:rPr>
          <w:sz w:val="24"/>
        </w:rPr>
        <w:t xml:space="preserve">shown by the </w:t>
      </w:r>
      <w:r w:rsidR="008D4689">
        <w:rPr>
          <w:sz w:val="24"/>
        </w:rPr>
        <w:t xml:space="preserve">consensus </w:t>
      </w:r>
      <w:r w:rsidR="00215D6C">
        <w:rPr>
          <w:sz w:val="24"/>
        </w:rPr>
        <w:t>support for the revised standards from all</w:t>
      </w:r>
      <w:r w:rsidR="008D4689">
        <w:rPr>
          <w:sz w:val="24"/>
        </w:rPr>
        <w:t xml:space="preserve"> segments of the industry. </w:t>
      </w:r>
    </w:p>
    <w:p w14:paraId="42A85A8C" w14:textId="77777777" w:rsidR="002B45F1" w:rsidRPr="00F5428B" w:rsidRDefault="002B45F1" w:rsidP="002B45F1">
      <w:pPr>
        <w:rPr>
          <w:b/>
          <w:i/>
          <w:sz w:val="24"/>
        </w:rPr>
      </w:pPr>
    </w:p>
    <w:p w14:paraId="4FA68E6A" w14:textId="77777777" w:rsidR="002B45F1" w:rsidRDefault="002B45F1" w:rsidP="002B45F1">
      <w:pPr>
        <w:rPr>
          <w:b/>
          <w:sz w:val="24"/>
          <w:u w:val="single"/>
        </w:rPr>
      </w:pPr>
      <w:r w:rsidRPr="005409EE">
        <w:rPr>
          <w:b/>
          <w:sz w:val="24"/>
          <w:u w:val="single"/>
        </w:rPr>
        <w:t>FERC-545</w:t>
      </w:r>
      <w:r w:rsidR="00B3775B" w:rsidRPr="005409EE">
        <w:rPr>
          <w:b/>
          <w:sz w:val="24"/>
          <w:u w:val="single"/>
        </w:rPr>
        <w:t xml:space="preserve"> (renewal)</w:t>
      </w:r>
    </w:p>
    <w:p w14:paraId="43B26561" w14:textId="77777777" w:rsidR="00FF3A92" w:rsidRPr="005409EE" w:rsidRDefault="00FF3A92" w:rsidP="002B45F1">
      <w:pPr>
        <w:rPr>
          <w:sz w:val="24"/>
          <w:u w:val="single"/>
        </w:rPr>
      </w:pPr>
    </w:p>
    <w:p w14:paraId="2DE81128" w14:textId="3B2C284D" w:rsidR="002B45F1" w:rsidRPr="00F5428B" w:rsidRDefault="002B45F1" w:rsidP="002B45F1">
      <w:pPr>
        <w:rPr>
          <w:sz w:val="24"/>
        </w:rPr>
      </w:pPr>
      <w:r w:rsidRPr="00F5428B">
        <w:rPr>
          <w:sz w:val="24"/>
        </w:rPr>
        <w:t>FER</w:t>
      </w:r>
      <w:r w:rsidR="00C40086">
        <w:rPr>
          <w:sz w:val="24"/>
        </w:rPr>
        <w:t>C-545 is required to implement S</w:t>
      </w:r>
      <w:r w:rsidRPr="00F5428B">
        <w:rPr>
          <w:sz w:val="24"/>
        </w:rPr>
        <w:t>ections 4, 5, and 16 of the Natural Gas Act (NGA), (15 USC 717c</w:t>
      </w:r>
      <w:r w:rsidR="00382D44">
        <w:rPr>
          <w:sz w:val="24"/>
        </w:rPr>
        <w:t>-</w:t>
      </w:r>
      <w:r w:rsidRPr="00F5428B">
        <w:rPr>
          <w:sz w:val="24"/>
        </w:rPr>
        <w:t xml:space="preserve">717o, PL 75 688, 52 Stat. 822 and 830).  NGA Sections 4, 5, and </w:t>
      </w:r>
      <w:r w:rsidR="00382D44">
        <w:rPr>
          <w:sz w:val="24"/>
        </w:rPr>
        <w:t>1</w:t>
      </w:r>
      <w:r w:rsidRPr="00F5428B">
        <w:rPr>
          <w:sz w:val="24"/>
        </w:rPr>
        <w:t xml:space="preserve">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3AE6F9FB" w14:textId="77777777" w:rsidR="002B45F1" w:rsidRPr="00F5428B" w:rsidRDefault="002B45F1" w:rsidP="002B45F1">
      <w:pPr>
        <w:rPr>
          <w:sz w:val="24"/>
        </w:rPr>
      </w:pPr>
    </w:p>
    <w:p w14:paraId="4A10F2D7" w14:textId="4F471361" w:rsidR="002B45F1" w:rsidRPr="00F5428B" w:rsidRDefault="002B45F1" w:rsidP="002B45F1">
      <w:pPr>
        <w:rPr>
          <w:sz w:val="24"/>
        </w:rPr>
      </w:pPr>
      <w:r w:rsidRPr="00F5428B">
        <w:rPr>
          <w:sz w:val="24"/>
        </w:rPr>
        <w:lastRenderedPageBreak/>
        <w:t xml:space="preserve">Under the NGA, a natural gas company’s rates must be just and reasonable and not unduly discriminatory or preferential.  The Commission may act under different sections of the NGA to effect a change in a natural gas company’s rates. </w:t>
      </w:r>
      <w:r w:rsidR="00F35E8E">
        <w:rPr>
          <w:sz w:val="24"/>
        </w:rPr>
        <w:t xml:space="preserve"> </w:t>
      </w:r>
      <w:r w:rsidRPr="00F5428B">
        <w:rPr>
          <w:sz w:val="24"/>
        </w:rPr>
        <w:t>When the Commission reviews</w:t>
      </w:r>
      <w:r w:rsidR="00F35E8E">
        <w:rPr>
          <w:sz w:val="24"/>
        </w:rPr>
        <w:t xml:space="preserve"> changes in</w:t>
      </w:r>
      <w:r w:rsidRPr="00F5428B">
        <w:rPr>
          <w:sz w:val="24"/>
        </w:rPr>
        <w:t xml:space="preserve"> rate</w:t>
      </w:r>
      <w:r w:rsidR="00F35E8E">
        <w:rPr>
          <w:sz w:val="24"/>
        </w:rPr>
        <w:t>s</w:t>
      </w:r>
      <w:r w:rsidRPr="00F5428B">
        <w:rPr>
          <w:sz w:val="24"/>
        </w:rPr>
        <w:t xml:space="preserve"> that a natural gas company has proposed, it is</w:t>
      </w:r>
      <w:r w:rsidR="00C40086">
        <w:rPr>
          <w:sz w:val="24"/>
        </w:rPr>
        <w:t xml:space="preserve"> subject to the requirement of Section 4(e) of the NGA.  Under S</w:t>
      </w:r>
      <w:r w:rsidRPr="00F5428B">
        <w:rPr>
          <w:sz w:val="24"/>
        </w:rPr>
        <w:t>ection 4(e), the natural gas company bears the burden of proving that its proposed rates are just and reasonable.</w:t>
      </w:r>
      <w:r w:rsidR="00F35E8E">
        <w:rPr>
          <w:sz w:val="24"/>
        </w:rPr>
        <w:t xml:space="preserve"> </w:t>
      </w:r>
      <w:r w:rsidRPr="00F5428B">
        <w:rPr>
          <w:sz w:val="24"/>
        </w:rPr>
        <w:t xml:space="preserve"> </w:t>
      </w:r>
      <w:r w:rsidR="00F35E8E" w:rsidRPr="00F35E8E">
        <w:rPr>
          <w:sz w:val="24"/>
        </w:rPr>
        <w:t>For example, when a pipeline files to increase its rates, it makes a fi</w:t>
      </w:r>
      <w:r w:rsidR="007D0453">
        <w:rPr>
          <w:sz w:val="24"/>
        </w:rPr>
        <w:t>ling with the Commission under S</w:t>
      </w:r>
      <w:r w:rsidR="00F35E8E" w:rsidRPr="00F35E8E">
        <w:rPr>
          <w:sz w:val="24"/>
        </w:rPr>
        <w:t>ection 4 of the NGA.  These types of filings are referred to as general section 4 rate cases.  In the proceedings, the Commission reviews all of a pipeline’s rates and services.  A pipeline can file a gen</w:t>
      </w:r>
      <w:r w:rsidR="007D0453">
        <w:rPr>
          <w:sz w:val="24"/>
        </w:rPr>
        <w:t>eral S</w:t>
      </w:r>
      <w:r w:rsidR="00F35E8E" w:rsidRPr="00F35E8E">
        <w:rPr>
          <w:sz w:val="24"/>
        </w:rPr>
        <w:t>ection 4 rate case anytime it wishes, provided the pipeline did not agree otherwise in a settlement.  A pipeline must demonstrate that the new rates it proposes to charge are just and reasonable.  When a rate incre</w:t>
      </w:r>
      <w:r w:rsidR="007D0453">
        <w:rPr>
          <w:sz w:val="24"/>
        </w:rPr>
        <w:t>ase filing is made pursuant to S</w:t>
      </w:r>
      <w:r w:rsidR="00F35E8E" w:rsidRPr="00F35E8E">
        <w:rPr>
          <w:sz w:val="24"/>
        </w:rPr>
        <w:t>ection 4, the application is typically suspended and set for hearing by a Commission Order.</w:t>
      </w:r>
      <w:r w:rsidR="00F35E8E" w:rsidRPr="007F4D97">
        <w:rPr>
          <w:sz w:val="24"/>
        </w:rPr>
        <w:t xml:space="preserve">  </w:t>
      </w:r>
      <w:r w:rsidRPr="00F5428B">
        <w:rPr>
          <w:sz w:val="24"/>
        </w:rPr>
        <w:t>On the other hand, when the Commission seeks to impose its own rate determination, it</w:t>
      </w:r>
      <w:r w:rsidR="007D0453">
        <w:rPr>
          <w:sz w:val="24"/>
        </w:rPr>
        <w:t xml:space="preserve"> must do so in compliance with Section 5(a) of the NGA.  Under S</w:t>
      </w:r>
      <w:r w:rsidRPr="00F5428B">
        <w:rPr>
          <w:sz w:val="24"/>
        </w:rPr>
        <w:t xml:space="preserve">ection 5, the Commission must first establish that its alternative rate proposal is both just and reasonable.  </w:t>
      </w:r>
    </w:p>
    <w:p w14:paraId="07410816" w14:textId="77777777" w:rsidR="002B45F1" w:rsidRPr="00F5428B" w:rsidRDefault="002B45F1" w:rsidP="002B45F1">
      <w:pPr>
        <w:rPr>
          <w:sz w:val="24"/>
        </w:rPr>
      </w:pPr>
    </w:p>
    <w:p w14:paraId="64DFEFA2" w14:textId="49AB1DC5" w:rsidR="002B45F1" w:rsidRPr="00F5428B" w:rsidRDefault="002B45F1" w:rsidP="002B45F1">
      <w:pPr>
        <w:rPr>
          <w:sz w:val="24"/>
        </w:rPr>
      </w:pPr>
      <w:r w:rsidRPr="00F5428B">
        <w:rPr>
          <w:sz w:val="24"/>
        </w:rPr>
        <w:t>Section 16 of the NGA states that the Commission “shall have the power to perform any and all acts, and to prescribe, issue, make, amend, and rescind such orders, rules, and regulations as it may find necessary or appropriate to carry out provisions o</w:t>
      </w:r>
      <w:r w:rsidR="007D0453">
        <w:rPr>
          <w:sz w:val="24"/>
        </w:rPr>
        <w:t>f [the NGA].”  In other words, S</w:t>
      </w:r>
      <w:r w:rsidRPr="00F5428B">
        <w:rPr>
          <w:sz w:val="24"/>
        </w:rPr>
        <w:t>ection 16 of the NGA grants the Commission the power to define accounting, technical and trade terms, prescribe forms, statements, declarations or reports and to prescribe rules and regulations.</w:t>
      </w:r>
    </w:p>
    <w:p w14:paraId="7DF90A2A" w14:textId="77777777" w:rsidR="002B45F1" w:rsidRPr="00F5428B" w:rsidRDefault="002B45F1" w:rsidP="002B45F1">
      <w:pPr>
        <w:rPr>
          <w:sz w:val="24"/>
        </w:rPr>
      </w:pPr>
    </w:p>
    <w:p w14:paraId="5607F82D" w14:textId="77777777" w:rsidR="002B45F1" w:rsidRDefault="002B45F1" w:rsidP="002B45F1">
      <w:pPr>
        <w:rPr>
          <w:sz w:val="24"/>
        </w:rPr>
      </w:pPr>
      <w:r w:rsidRPr="00F5428B">
        <w:rPr>
          <w:sz w:val="24"/>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14:paraId="0AC8A733" w14:textId="77777777" w:rsidR="007C35D1" w:rsidRDefault="007C35D1" w:rsidP="002B45F1">
      <w:pPr>
        <w:rPr>
          <w:sz w:val="24"/>
        </w:rPr>
      </w:pPr>
    </w:p>
    <w:p w14:paraId="44A1F00C" w14:textId="77777777" w:rsidR="007D0453" w:rsidRDefault="007C35D1" w:rsidP="007C35D1">
      <w:pPr>
        <w:rPr>
          <w:sz w:val="24"/>
        </w:rPr>
      </w:pPr>
      <w:r w:rsidRPr="007C35D1">
        <w:rPr>
          <w:sz w:val="24"/>
        </w:rPr>
        <w:t xml:space="preserve">The following filing categories are subject to FERC-545:  </w:t>
      </w:r>
    </w:p>
    <w:p w14:paraId="2B38E08C" w14:textId="77777777" w:rsidR="007D0453" w:rsidRDefault="007C35D1" w:rsidP="007D0453">
      <w:pPr>
        <w:pStyle w:val="ListParagraph"/>
        <w:numPr>
          <w:ilvl w:val="0"/>
          <w:numId w:val="11"/>
        </w:numPr>
      </w:pPr>
      <w:r w:rsidRPr="007D0453">
        <w:t xml:space="preserve">Tariff Filings – filings regarding proposed changes to a pipeline’s tariff (including Cost Recovery Mechanisms for Modernization of Natural Gas Facilities filings in Docket No. PL15-1) and any related compliance filings; </w:t>
      </w:r>
    </w:p>
    <w:p w14:paraId="5C883DC7" w14:textId="77777777" w:rsidR="007D0453" w:rsidRDefault="007C35D1" w:rsidP="007D0453">
      <w:pPr>
        <w:pStyle w:val="ListParagraph"/>
        <w:numPr>
          <w:ilvl w:val="0"/>
          <w:numId w:val="11"/>
        </w:numPr>
      </w:pPr>
      <w:r w:rsidRPr="007D0453">
        <w:t>Rate Filings – rate-related filings under NGA sections 4 and 5 and any related compliance filings a</w:t>
      </w:r>
      <w:r w:rsidR="007D0453">
        <w:t xml:space="preserve">nd settlements; </w:t>
      </w:r>
    </w:p>
    <w:p w14:paraId="6CD4F188" w14:textId="77777777" w:rsidR="007D0453" w:rsidRDefault="007C35D1" w:rsidP="007D0453">
      <w:pPr>
        <w:pStyle w:val="ListParagraph"/>
        <w:numPr>
          <w:ilvl w:val="0"/>
          <w:numId w:val="11"/>
        </w:numPr>
      </w:pPr>
      <w:r w:rsidRPr="007D0453">
        <w:t xml:space="preserve">Informational Reports; </w:t>
      </w:r>
    </w:p>
    <w:p w14:paraId="15172A6A" w14:textId="77777777" w:rsidR="007D0453" w:rsidRDefault="007C35D1" w:rsidP="007D0453">
      <w:pPr>
        <w:pStyle w:val="ListParagraph"/>
        <w:numPr>
          <w:ilvl w:val="0"/>
          <w:numId w:val="11"/>
        </w:numPr>
      </w:pPr>
      <w:r w:rsidRPr="007D0453">
        <w:t xml:space="preserve">Negotiated Rate and Non-Conforming Agreement Filings; and </w:t>
      </w:r>
    </w:p>
    <w:p w14:paraId="7608AD41" w14:textId="2B52D2BF" w:rsidR="007D0453" w:rsidRDefault="007C35D1" w:rsidP="007D0453">
      <w:pPr>
        <w:pStyle w:val="ListParagraph"/>
        <w:numPr>
          <w:ilvl w:val="0"/>
          <w:numId w:val="11"/>
        </w:numPr>
      </w:pPr>
      <w:r w:rsidRPr="007D0453">
        <w:t>Market-Based Rates for Storage Filings (</w:t>
      </w:r>
      <w:r w:rsidR="007D0453">
        <w:t xml:space="preserve">18 CFR </w:t>
      </w:r>
      <w:r w:rsidRPr="007D0453">
        <w:t xml:space="preserve">284.501-505).  </w:t>
      </w:r>
    </w:p>
    <w:p w14:paraId="73C58334" w14:textId="77777777" w:rsidR="007D0453" w:rsidRDefault="007D0453" w:rsidP="007D0453">
      <w:pPr>
        <w:pStyle w:val="ListParagraph"/>
      </w:pPr>
    </w:p>
    <w:p w14:paraId="7A745C84" w14:textId="77777777" w:rsidR="007D0453" w:rsidRDefault="007C35D1" w:rsidP="007D0453">
      <w:pPr>
        <w:pStyle w:val="ListParagraph"/>
        <w:ind w:left="0"/>
      </w:pPr>
      <w:r w:rsidRPr="007D0453">
        <w:t xml:space="preserve">One-time compliance filings mandated in Order No. 587-W (Docket Nos. RM96-1-038 and RM14-2-003) and Order No. 801 (Docket No. RM14-21-000) are excluded from this data collection renewal.  </w:t>
      </w:r>
      <w:r w:rsidR="00971F55" w:rsidRPr="007D0453">
        <w:t>T</w:t>
      </w:r>
      <w:r w:rsidRPr="007D0453">
        <w:t>he Commission uses the FERC-545 information to</w:t>
      </w:r>
      <w:r w:rsidR="007D0453">
        <w:t>:</w:t>
      </w:r>
      <w:r w:rsidRPr="007D0453">
        <w:t xml:space="preserve"> </w:t>
      </w:r>
    </w:p>
    <w:p w14:paraId="6224B770" w14:textId="77777777" w:rsidR="007D0453" w:rsidRDefault="007C35D1" w:rsidP="007D0453">
      <w:pPr>
        <w:pStyle w:val="ListParagraph"/>
        <w:numPr>
          <w:ilvl w:val="0"/>
          <w:numId w:val="12"/>
        </w:numPr>
      </w:pPr>
      <w:r w:rsidRPr="007D0453">
        <w:t xml:space="preserve">ensure there are adequate customer protections </w:t>
      </w:r>
      <w:r w:rsidR="007D0453">
        <w:t>under section 4 of the NGA;</w:t>
      </w:r>
    </w:p>
    <w:p w14:paraId="5FD9A537" w14:textId="77777777" w:rsidR="007D0453" w:rsidRDefault="007C35D1" w:rsidP="007D0453">
      <w:pPr>
        <w:pStyle w:val="ListParagraph"/>
        <w:numPr>
          <w:ilvl w:val="0"/>
          <w:numId w:val="12"/>
        </w:numPr>
      </w:pPr>
      <w:r w:rsidRPr="007D0453">
        <w:t xml:space="preserve">review rates and terms and conditions of service changes by natural gas companies for the transportation </w:t>
      </w:r>
      <w:r w:rsidR="007D0453">
        <w:t>and storage of natural gas;</w:t>
      </w:r>
    </w:p>
    <w:p w14:paraId="1EDB5382" w14:textId="77777777" w:rsidR="007D0453" w:rsidRDefault="007C35D1" w:rsidP="007D0453">
      <w:pPr>
        <w:pStyle w:val="ListParagraph"/>
        <w:numPr>
          <w:ilvl w:val="0"/>
          <w:numId w:val="12"/>
        </w:numPr>
      </w:pPr>
      <w:r w:rsidRPr="007D0453">
        <w:t>provide gene</w:t>
      </w:r>
      <w:r w:rsidR="007D0453">
        <w:t>ral industry oversight; and</w:t>
      </w:r>
    </w:p>
    <w:p w14:paraId="4EC302A1" w14:textId="5F1F56AD" w:rsidR="007C35D1" w:rsidRPr="007D0453" w:rsidRDefault="007C35D1" w:rsidP="007D0453">
      <w:pPr>
        <w:pStyle w:val="ListParagraph"/>
        <w:numPr>
          <w:ilvl w:val="0"/>
          <w:numId w:val="12"/>
        </w:numPr>
      </w:pPr>
      <w:r w:rsidRPr="007D0453">
        <w:t>supplement documentation during FERC’s audits process.</w:t>
      </w:r>
    </w:p>
    <w:p w14:paraId="2A48AFAF" w14:textId="77777777" w:rsidR="007C35D1" w:rsidRPr="007C35D1" w:rsidRDefault="007C35D1" w:rsidP="007C35D1">
      <w:pPr>
        <w:ind w:firstLine="360"/>
        <w:rPr>
          <w:sz w:val="24"/>
        </w:rPr>
      </w:pPr>
    </w:p>
    <w:p w14:paraId="41889435" w14:textId="77777777" w:rsidR="002B45F1" w:rsidRPr="00F5428B" w:rsidRDefault="00971F55" w:rsidP="00741AE3">
      <w:pPr>
        <w:rPr>
          <w:sz w:val="24"/>
        </w:rPr>
      </w:pPr>
      <w:r>
        <w:rPr>
          <w:sz w:val="24"/>
        </w:rPr>
        <w:t>In summary, t</w:t>
      </w:r>
      <w:r w:rsidR="007C35D1" w:rsidRPr="007C35D1">
        <w:rPr>
          <w:sz w:val="24"/>
        </w:rPr>
        <w: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w:t>
      </w:r>
      <w:r w:rsidR="007C35D1" w:rsidRPr="00F5428B">
        <w:rPr>
          <w:sz w:val="24"/>
        </w:rPr>
        <w:t xml:space="preserve">  </w:t>
      </w:r>
      <w:r w:rsidR="00215D6C">
        <w:rPr>
          <w:sz w:val="24"/>
        </w:rPr>
        <w:t xml:space="preserve">The business practice standards the Commission is incorporating by reference in this final rule aid the Commission in ensuring that the terms and conditions of pipeline tariffs are just and reasonable. </w:t>
      </w:r>
      <w:r w:rsidR="007C35D1" w:rsidRPr="00F5428B">
        <w:rPr>
          <w:sz w:val="24"/>
        </w:rPr>
        <w:t xml:space="preserve"> </w:t>
      </w:r>
      <w:r w:rsidR="00215D6C">
        <w:rPr>
          <w:sz w:val="24"/>
        </w:rPr>
        <w:t>The standards ensure that business transactions use a common process and terminology for processing transactions and these standards have been vetted for reasonableness by both the Commission and the industry itself.</w:t>
      </w:r>
    </w:p>
    <w:p w14:paraId="2FAA819B" w14:textId="21E3F9E8" w:rsidR="007A7CD6" w:rsidRDefault="007A7CD6">
      <w:pPr>
        <w:spacing w:after="200" w:line="276" w:lineRule="auto"/>
        <w:rPr>
          <w:sz w:val="24"/>
        </w:rPr>
      </w:pPr>
    </w:p>
    <w:p w14:paraId="7ADFAD7D" w14:textId="77777777" w:rsidR="00F52DA0" w:rsidRPr="00F5428B" w:rsidRDefault="00F52DA0" w:rsidP="00F52DA0">
      <w:pPr>
        <w:rPr>
          <w:sz w:val="24"/>
        </w:rPr>
      </w:pPr>
      <w:r w:rsidRPr="00F5428B">
        <w:rPr>
          <w:sz w:val="24"/>
        </w:rPr>
        <w:t>NAESB is a consensus standards organization composed of representatives of all segments of the natural gas industry and the electric power industry.  Since 1996, NAESB’s business practice standards have established standardized procedures and protocols for conducting their business transactions that</w:t>
      </w:r>
      <w:r>
        <w:rPr>
          <w:sz w:val="24"/>
        </w:rPr>
        <w:t xml:space="preserve"> both</w:t>
      </w:r>
      <w:r w:rsidRPr="00F5428B">
        <w:rPr>
          <w:sz w:val="24"/>
        </w:rPr>
        <w:t xml:space="preserve"> the industry and the Commission have </w:t>
      </w:r>
      <w:r>
        <w:rPr>
          <w:sz w:val="24"/>
        </w:rPr>
        <w:t>deemed</w:t>
      </w:r>
      <w:r w:rsidRPr="00F5428B">
        <w:rPr>
          <w:sz w:val="24"/>
        </w:rPr>
        <w:t xml:space="preserve"> necessary for</w:t>
      </w:r>
      <w:r>
        <w:rPr>
          <w:sz w:val="24"/>
        </w:rPr>
        <w:t xml:space="preserve"> </w:t>
      </w:r>
      <w:r w:rsidRPr="00F5428B">
        <w:rPr>
          <w:sz w:val="24"/>
        </w:rPr>
        <w:t xml:space="preserve">a more efficient and integrated pipeline </w:t>
      </w:r>
      <w:r>
        <w:rPr>
          <w:sz w:val="24"/>
        </w:rPr>
        <w:t>system</w:t>
      </w:r>
      <w:r w:rsidRPr="00F5428B">
        <w:rPr>
          <w:sz w:val="24"/>
        </w:rPr>
        <w:t>.</w:t>
      </w:r>
    </w:p>
    <w:p w14:paraId="3B3AF4AB" w14:textId="77777777" w:rsidR="00BC15BE" w:rsidRPr="00F5428B" w:rsidRDefault="00BC15BE" w:rsidP="00BC15BE">
      <w:pPr>
        <w:rPr>
          <w:sz w:val="24"/>
        </w:rPr>
      </w:pPr>
    </w:p>
    <w:p w14:paraId="5FC92A66" w14:textId="77777777" w:rsidR="00BC15BE" w:rsidRPr="00F5428B" w:rsidRDefault="00BC15BE" w:rsidP="00BC15BE">
      <w:pPr>
        <w:pStyle w:val="Level1"/>
        <w:widowControl/>
        <w:tabs>
          <w:tab w:val="left" w:pos="-1440"/>
          <w:tab w:val="num" w:pos="720"/>
        </w:tabs>
        <w:rPr>
          <w:b/>
        </w:rPr>
      </w:pPr>
      <w:r w:rsidRPr="00F5428B">
        <w:rPr>
          <w:b/>
        </w:rPr>
        <w:t>HOW, BY WHOM, AND FOR WHAT PURPOSE THE INFORMATION IS TO BE USED AND THE CONSEQUENCES OF NOT COLLECTING THE INFORMATION</w:t>
      </w:r>
    </w:p>
    <w:p w14:paraId="436C6292" w14:textId="77777777" w:rsidR="00BC15BE" w:rsidRPr="00F5428B" w:rsidRDefault="00BC15BE" w:rsidP="00BC15BE">
      <w:pPr>
        <w:pStyle w:val="Level1"/>
        <w:numPr>
          <w:ilvl w:val="0"/>
          <w:numId w:val="0"/>
        </w:numPr>
        <w:tabs>
          <w:tab w:val="left" w:pos="-1440"/>
        </w:tabs>
      </w:pPr>
    </w:p>
    <w:p w14:paraId="300E5AE0" w14:textId="77777777" w:rsidR="00B3775B" w:rsidRDefault="00950A2F" w:rsidP="003F0E97">
      <w:pPr>
        <w:rPr>
          <w:b/>
          <w:sz w:val="24"/>
          <w:u w:val="single"/>
        </w:rPr>
      </w:pPr>
      <w:r>
        <w:rPr>
          <w:b/>
          <w:sz w:val="24"/>
          <w:u w:val="single"/>
        </w:rPr>
        <w:t xml:space="preserve">Final Rule in </w:t>
      </w:r>
      <w:r w:rsidRPr="00D60724">
        <w:rPr>
          <w:b/>
          <w:sz w:val="24"/>
          <w:u w:val="single"/>
        </w:rPr>
        <w:t>Docket RM96-1-041</w:t>
      </w:r>
    </w:p>
    <w:p w14:paraId="31C10311" w14:textId="77777777" w:rsidR="00006D51" w:rsidRDefault="00006D51" w:rsidP="003F0E97">
      <w:pPr>
        <w:rPr>
          <w:b/>
          <w:sz w:val="24"/>
        </w:rPr>
      </w:pPr>
    </w:p>
    <w:p w14:paraId="57116EE8" w14:textId="4A66815C" w:rsidR="001235FD" w:rsidRDefault="003F0E97" w:rsidP="003F0E97">
      <w:pPr>
        <w:rPr>
          <w:sz w:val="24"/>
        </w:rPr>
      </w:pPr>
      <w:r w:rsidRPr="00F5428B">
        <w:rPr>
          <w:sz w:val="24"/>
        </w:rPr>
        <w:t>The</w:t>
      </w:r>
      <w:r w:rsidRPr="00F5428B">
        <w:rPr>
          <w:b/>
          <w:sz w:val="24"/>
        </w:rPr>
        <w:t xml:space="preserve"> </w:t>
      </w:r>
      <w:r w:rsidR="008F718E">
        <w:rPr>
          <w:sz w:val="24"/>
        </w:rPr>
        <w:t>Final Rule in RM96-1-041</w:t>
      </w:r>
      <w:r w:rsidRPr="00F5428B">
        <w:rPr>
          <w:sz w:val="24"/>
        </w:rPr>
        <w:t xml:space="preserve"> requires interstate gas pipelines to make a one-time tariff filing to reflect the changes in the updated NAESB standards.  </w:t>
      </w:r>
      <w:r w:rsidR="00215D6C">
        <w:rPr>
          <w:sz w:val="24"/>
        </w:rPr>
        <w:t>Interstate natural gas pipelines are required to conduct their transactions in accordance with the stated terms of their tariffs.  Th</w:t>
      </w:r>
      <w:r w:rsidR="007A7CD6">
        <w:rPr>
          <w:sz w:val="24"/>
        </w:rPr>
        <w:t>e compliance tariff filings made in accordance with the final rule ensure that the pipelines acknowledge their obligation to conduct their business transactions in accordance with Commission requirements, which now include a requirement to comply with the business practice standards incorporated by reference into the Commission’s regulations as enforceable, mandatory requirements.  The tariff filing also provides transparency for customers, as the business practice standards to be followed by the pipeline are specifically identified in the pipeline’s tariff.</w:t>
      </w:r>
    </w:p>
    <w:p w14:paraId="08115F80" w14:textId="77777777" w:rsidR="00F52DA0" w:rsidRDefault="00F52DA0" w:rsidP="003F0E97">
      <w:pPr>
        <w:rPr>
          <w:sz w:val="24"/>
        </w:rPr>
      </w:pPr>
    </w:p>
    <w:p w14:paraId="39C5CA12" w14:textId="71E8BFD9" w:rsidR="00F52DA0" w:rsidRDefault="00F52DA0" w:rsidP="00F52DA0">
      <w:pPr>
        <w:pStyle w:val="FERCparanumber"/>
        <w:numPr>
          <w:ilvl w:val="0"/>
          <w:numId w:val="0"/>
        </w:numPr>
        <w:rPr>
          <w:szCs w:val="26"/>
        </w:rPr>
      </w:pPr>
      <w:r w:rsidRPr="00F52DA0">
        <w:rPr>
          <w:sz w:val="24"/>
        </w:rPr>
        <w:t xml:space="preserve">In the Final Rule, the Commission amends its regulations at </w:t>
      </w:r>
      <w:r w:rsidRPr="0073773B">
        <w:rPr>
          <w:sz w:val="24"/>
        </w:rPr>
        <w:t>18 CFR 284.12(a)</w:t>
      </w:r>
      <w:r w:rsidRPr="00F52DA0">
        <w:rPr>
          <w:sz w:val="24"/>
        </w:rPr>
        <w:t xml:space="preserve"> to incorporate by reference the latest version (Version 3.1) of certain business practice standards adopted by the Wholesale Gas Quadrant (WGQ) of the North American Energy Standards Board (NAESB) applicable to natural gas pipelines.  To implement these</w:t>
      </w:r>
      <w:r w:rsidRPr="0073773B">
        <w:rPr>
          <w:sz w:val="24"/>
        </w:rPr>
        <w:t xml:space="preserve"> standards, natural gas pipelines will be required to file tariff sheets to reflect the changed standards.  The FERC-545 accounts for the preparation and filing of tariff sheets.  Information collection requirements contained within the standards are under FERC-549C (OMB Control No.</w:t>
      </w:r>
      <w:r w:rsidR="00DE6187">
        <w:rPr>
          <w:sz w:val="24"/>
        </w:rPr>
        <w:t xml:space="preserve"> </w:t>
      </w:r>
      <w:r w:rsidR="007D0453">
        <w:rPr>
          <w:sz w:val="24"/>
        </w:rPr>
        <w:t>1902-0174</w:t>
      </w:r>
      <w:r w:rsidRPr="00F52DA0">
        <w:rPr>
          <w:sz w:val="24"/>
        </w:rPr>
        <w:t xml:space="preserve">), which </w:t>
      </w:r>
      <w:r w:rsidRPr="0073773B">
        <w:rPr>
          <w:sz w:val="24"/>
        </w:rPr>
        <w:t>the Commission is submitting concurrently with this package in a separate ICR.</w:t>
      </w:r>
    </w:p>
    <w:p w14:paraId="1D895D1C" w14:textId="77777777" w:rsidR="00F52DA0" w:rsidRPr="00F5428B" w:rsidRDefault="00F52DA0" w:rsidP="003F0E97">
      <w:pPr>
        <w:rPr>
          <w:sz w:val="24"/>
        </w:rPr>
      </w:pPr>
    </w:p>
    <w:p w14:paraId="52D8ADD2" w14:textId="77777777" w:rsidR="003F0E97" w:rsidRPr="00F5428B" w:rsidRDefault="003F0E97" w:rsidP="003F0E97">
      <w:pPr>
        <w:rPr>
          <w:sz w:val="24"/>
        </w:rPr>
      </w:pPr>
    </w:p>
    <w:p w14:paraId="29271503" w14:textId="23448976" w:rsidR="00BC15BE" w:rsidRPr="00E34C4E" w:rsidRDefault="00BC15BE" w:rsidP="00BC15BE">
      <w:pPr>
        <w:pStyle w:val="Level1"/>
        <w:widowControl/>
        <w:tabs>
          <w:tab w:val="left" w:pos="-1440"/>
          <w:tab w:val="num" w:pos="720"/>
        </w:tabs>
        <w:rPr>
          <w:b/>
        </w:rPr>
      </w:pPr>
      <w:r w:rsidRPr="00F5428B">
        <w:rPr>
          <w:b/>
        </w:rPr>
        <w:t>DESCRIBE ANY CONSIDERATION FOR THE USE OF IMPROVED INFORMATION TECHNOLOGY TO REDUCE BURDEN AND TECHNICAL OR LEGAL OBSTACLES TO REDUCING BURDEN</w:t>
      </w:r>
    </w:p>
    <w:p w14:paraId="584C9AD0" w14:textId="3689FB32" w:rsidR="00966D03" w:rsidRPr="00E34C4E" w:rsidRDefault="00E34C4E" w:rsidP="00E34C4E">
      <w:pPr>
        <w:tabs>
          <w:tab w:val="num" w:pos="0"/>
        </w:tabs>
        <w:spacing w:before="100" w:beforeAutospacing="1" w:after="240"/>
        <w:rPr>
          <w:sz w:val="24"/>
        </w:rPr>
      </w:pPr>
      <w:r w:rsidRPr="00950A2F">
        <w:rPr>
          <w:b/>
          <w:sz w:val="24"/>
          <w:u w:val="single"/>
        </w:rPr>
        <w:t xml:space="preserve">Final Rule in Docket </w:t>
      </w:r>
      <w:r w:rsidRPr="0027779E">
        <w:rPr>
          <w:b/>
          <w:sz w:val="24"/>
          <w:u w:val="single"/>
        </w:rPr>
        <w:t>RM96-1-041</w:t>
      </w:r>
      <w:r>
        <w:rPr>
          <w:b/>
          <w:sz w:val="24"/>
          <w:u w:val="single"/>
        </w:rPr>
        <w:t xml:space="preserve"> and </w:t>
      </w:r>
      <w:r w:rsidRPr="00950A2F">
        <w:rPr>
          <w:b/>
          <w:sz w:val="24"/>
          <w:u w:val="single"/>
        </w:rPr>
        <w:t xml:space="preserve">FERC-545 </w:t>
      </w:r>
      <w:r>
        <w:rPr>
          <w:b/>
          <w:sz w:val="24"/>
          <w:u w:val="single"/>
        </w:rPr>
        <w:t>(renewal)</w:t>
      </w:r>
    </w:p>
    <w:p w14:paraId="0DDBEF9D" w14:textId="77777777" w:rsidR="00F8150C" w:rsidRDefault="00F8150C" w:rsidP="00F8150C">
      <w:pPr>
        <w:rPr>
          <w:sz w:val="24"/>
        </w:rPr>
      </w:pPr>
      <w:r w:rsidRPr="00F5428B">
        <w:rPr>
          <w:sz w:val="24"/>
        </w:rPr>
        <w:t>In previous rulemakings,</w:t>
      </w:r>
      <w:r w:rsidRPr="00F5428B">
        <w:rPr>
          <w:sz w:val="24"/>
          <w:vertAlign w:val="superscript"/>
        </w:rPr>
        <w:footnoteReference w:id="5"/>
      </w:r>
      <w:r w:rsidRPr="00F5428B">
        <w:rPr>
          <w:sz w:val="24"/>
        </w:rPr>
        <w:t xml:space="preserve"> the Commission implemented the capability and requirement for electronic filing of all tariff submissions.  FERC also improved the security of submitting those electronic filings and the pipelines’ on-line process of appointing and modifying agents with the authority to make a filing on the pipeline’s behalf (providing filing companies with greater control over the agents eligible to make specific types of filings on their behalf).</w:t>
      </w:r>
    </w:p>
    <w:p w14:paraId="4984098A" w14:textId="77777777" w:rsidR="00C4337B" w:rsidRPr="00F5428B" w:rsidRDefault="00C4337B" w:rsidP="00F8150C">
      <w:pPr>
        <w:rPr>
          <w:sz w:val="24"/>
        </w:rPr>
      </w:pPr>
    </w:p>
    <w:p w14:paraId="696ED31D" w14:textId="77777777" w:rsidR="00BC15BE" w:rsidRPr="00F5428B" w:rsidRDefault="00BC15BE" w:rsidP="00BC15BE">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14:paraId="5BA5F386" w14:textId="77777777" w:rsidR="00C4337B" w:rsidRDefault="00950A2F" w:rsidP="00F8150C">
      <w:pPr>
        <w:tabs>
          <w:tab w:val="num" w:pos="0"/>
        </w:tabs>
        <w:spacing w:before="100" w:beforeAutospacing="1" w:after="240"/>
        <w:rPr>
          <w:sz w:val="24"/>
        </w:rPr>
      </w:pPr>
      <w:r w:rsidRPr="00950A2F">
        <w:rPr>
          <w:b/>
          <w:sz w:val="24"/>
          <w:u w:val="single"/>
        </w:rPr>
        <w:t xml:space="preserve">Final Rule in Docket </w:t>
      </w:r>
      <w:r w:rsidRPr="0027779E">
        <w:rPr>
          <w:b/>
          <w:sz w:val="24"/>
          <w:u w:val="single"/>
        </w:rPr>
        <w:t>RM96-1-041</w:t>
      </w:r>
      <w:r w:rsidR="00966D03">
        <w:rPr>
          <w:b/>
          <w:sz w:val="24"/>
          <w:u w:val="single"/>
        </w:rPr>
        <w:t xml:space="preserve"> and </w:t>
      </w:r>
      <w:r w:rsidR="00F8150C" w:rsidRPr="00950A2F">
        <w:rPr>
          <w:b/>
          <w:sz w:val="24"/>
          <w:u w:val="single"/>
        </w:rPr>
        <w:t xml:space="preserve">FERC-545 </w:t>
      </w:r>
      <w:r w:rsidR="005703D3">
        <w:rPr>
          <w:b/>
          <w:sz w:val="24"/>
          <w:u w:val="single"/>
        </w:rPr>
        <w:t>(renewal)</w:t>
      </w:r>
    </w:p>
    <w:p w14:paraId="087C3C6A" w14:textId="77777777" w:rsidR="00F8150C" w:rsidRPr="00F5428B" w:rsidRDefault="00F8150C" w:rsidP="00F8150C">
      <w:pPr>
        <w:tabs>
          <w:tab w:val="num" w:pos="0"/>
        </w:tabs>
        <w:spacing w:before="100" w:beforeAutospacing="1" w:after="240"/>
        <w:rPr>
          <w:sz w:val="24"/>
        </w:rPr>
      </w:pPr>
      <w:r w:rsidRPr="00F5428B">
        <w:rPr>
          <w:sz w:val="24"/>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21267518" w14:textId="77777777" w:rsidR="00BC15BE" w:rsidRPr="00F5428B" w:rsidRDefault="00BC15BE" w:rsidP="00BC15BE">
      <w:pPr>
        <w:pStyle w:val="Level1"/>
        <w:widowControl/>
        <w:numPr>
          <w:ilvl w:val="0"/>
          <w:numId w:val="0"/>
        </w:numPr>
        <w:tabs>
          <w:tab w:val="left" w:pos="-1440"/>
        </w:tabs>
        <w:ind w:firstLine="720"/>
      </w:pPr>
    </w:p>
    <w:p w14:paraId="5B66D13D" w14:textId="77777777" w:rsidR="00BC15BE" w:rsidRPr="00F5428B" w:rsidRDefault="00BC15BE" w:rsidP="00BC15BE">
      <w:pPr>
        <w:pStyle w:val="Level1"/>
        <w:widowControl/>
        <w:tabs>
          <w:tab w:val="left" w:pos="-1440"/>
          <w:tab w:val="num" w:pos="720"/>
        </w:tabs>
        <w:rPr>
          <w:b/>
        </w:rPr>
      </w:pPr>
      <w:r w:rsidRPr="00F5428B">
        <w:rPr>
          <w:b/>
        </w:rPr>
        <w:t>METHODS USED TO MINIMIZE BURDEN IN COLLECTION OF INFORMATION INVOLVING SMALL ENTITIES</w:t>
      </w:r>
    </w:p>
    <w:p w14:paraId="127601DB" w14:textId="77777777" w:rsidR="00BC15BE" w:rsidRPr="00F5428B" w:rsidRDefault="00BC15BE" w:rsidP="00BC15BE">
      <w:pPr>
        <w:pStyle w:val="Level1"/>
        <w:widowControl/>
        <w:numPr>
          <w:ilvl w:val="0"/>
          <w:numId w:val="0"/>
        </w:numPr>
        <w:tabs>
          <w:tab w:val="left" w:pos="-1440"/>
        </w:tabs>
        <w:ind w:left="720" w:hanging="720"/>
      </w:pPr>
    </w:p>
    <w:p w14:paraId="5431E93A" w14:textId="77777777" w:rsidR="00950A2F" w:rsidRDefault="00950A2F" w:rsidP="00F8150C">
      <w:pPr>
        <w:rPr>
          <w:b/>
          <w:sz w:val="24"/>
          <w:u w:val="single"/>
        </w:rPr>
      </w:pPr>
      <w:r w:rsidRPr="00950A2F">
        <w:rPr>
          <w:b/>
          <w:sz w:val="24"/>
          <w:u w:val="single"/>
        </w:rPr>
        <w:t>Final Rule in Docket RM96-1-041</w:t>
      </w:r>
    </w:p>
    <w:p w14:paraId="19CD3887" w14:textId="77777777" w:rsidR="00966D03" w:rsidRDefault="00966D03" w:rsidP="00F8150C">
      <w:pPr>
        <w:rPr>
          <w:sz w:val="24"/>
        </w:rPr>
      </w:pPr>
    </w:p>
    <w:p w14:paraId="70FE6071" w14:textId="77777777" w:rsidR="00F8150C" w:rsidRPr="00F5428B" w:rsidRDefault="00F8150C" w:rsidP="00F8150C">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121.101) has established a size standard for pipelines transporting natural gas, stating that a firm is a small entity if its annual receipts (including those of its affiliates) are $27.5 million or less.</w:t>
      </w:r>
      <w:r w:rsidRPr="00F5428B">
        <w:rPr>
          <w:rStyle w:val="FootnoteReference"/>
          <w:sz w:val="24"/>
          <w:szCs w:val="24"/>
        </w:rPr>
        <w:footnoteReference w:id="6"/>
      </w:r>
    </w:p>
    <w:p w14:paraId="69C6C13D" w14:textId="77777777" w:rsidR="00F8150C" w:rsidRPr="00F5428B" w:rsidRDefault="00F8150C" w:rsidP="00F8150C">
      <w:pPr>
        <w:ind w:firstLine="720"/>
        <w:rPr>
          <w:sz w:val="24"/>
        </w:rPr>
      </w:pPr>
    </w:p>
    <w:p w14:paraId="08F03A79" w14:textId="77777777" w:rsidR="007973BC" w:rsidRDefault="007973BC" w:rsidP="00F8150C">
      <w:pPr>
        <w:rPr>
          <w:b/>
          <w:sz w:val="24"/>
          <w:u w:val="single"/>
        </w:rPr>
      </w:pPr>
      <w:r w:rsidRPr="00933ABC">
        <w:rPr>
          <w:b/>
          <w:sz w:val="24"/>
          <w:u w:val="single"/>
        </w:rPr>
        <w:t>FERC-545 (renewal</w:t>
      </w:r>
      <w:r w:rsidR="005703D3">
        <w:rPr>
          <w:b/>
          <w:sz w:val="24"/>
          <w:u w:val="single"/>
        </w:rPr>
        <w:t>)</w:t>
      </w:r>
      <w:r w:rsidRPr="00B33E93" w:rsidDel="007973BC">
        <w:rPr>
          <w:b/>
          <w:sz w:val="24"/>
          <w:u w:val="single"/>
        </w:rPr>
        <w:t xml:space="preserve"> </w:t>
      </w:r>
    </w:p>
    <w:p w14:paraId="02FFEA5C" w14:textId="77777777" w:rsidR="00966D03" w:rsidRDefault="00966D03" w:rsidP="00F8150C">
      <w:pPr>
        <w:rPr>
          <w:b/>
          <w:sz w:val="24"/>
        </w:rPr>
      </w:pPr>
    </w:p>
    <w:p w14:paraId="2ECE79F4" w14:textId="77777777" w:rsidR="00F8150C" w:rsidRPr="00F5428B" w:rsidRDefault="00F8150C" w:rsidP="00F8150C">
      <w:pPr>
        <w:rPr>
          <w:sz w:val="24"/>
        </w:rPr>
      </w:pPr>
      <w:r w:rsidRPr="00F5428B">
        <w:rPr>
          <w:sz w:val="24"/>
        </w:rPr>
        <w:t xml:space="preserve">The FERC-545 is a filing requirement related to pipeline rate filing obligations for the transportation and storage of natural gas.  The filing collects data from both large and small respondent companies.  The data required </w:t>
      </w:r>
      <w:r w:rsidR="00353A27" w:rsidRPr="00F5428B">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FERC-545A </w:t>
      </w:r>
      <w:r w:rsidR="00353A27" w:rsidRPr="00F5428B">
        <w:rPr>
          <w:sz w:val="24"/>
        </w:rPr>
        <w:t xml:space="preserve">filing </w:t>
      </w:r>
      <w:r w:rsidRPr="00F5428B">
        <w:rPr>
          <w:sz w:val="24"/>
        </w:rPr>
        <w:t>burden.</w:t>
      </w:r>
    </w:p>
    <w:p w14:paraId="422957C4" w14:textId="77777777" w:rsidR="00F8150C" w:rsidRPr="00F5428B" w:rsidRDefault="00F8150C" w:rsidP="00F8150C">
      <w:pPr>
        <w:rPr>
          <w:sz w:val="24"/>
        </w:rPr>
      </w:pPr>
    </w:p>
    <w:p w14:paraId="4718C7AE" w14:textId="77777777" w:rsidR="00F8150C" w:rsidRPr="00BD6B0B" w:rsidRDefault="00F8150C" w:rsidP="00BD6B0B">
      <w:pPr>
        <w:rPr>
          <w:b/>
          <w:sz w:val="24"/>
        </w:rPr>
      </w:pPr>
      <w:r w:rsidRPr="00F5428B">
        <w:rPr>
          <w:sz w:val="24"/>
        </w:rPr>
        <w:t>The one-time compliance filings mandated in the Final Rule must be filed electronically.</w:t>
      </w:r>
    </w:p>
    <w:p w14:paraId="1CB13102" w14:textId="77777777" w:rsidR="00BC15BE" w:rsidRPr="00F5428B" w:rsidRDefault="00BC15BE" w:rsidP="00BC15BE">
      <w:pPr>
        <w:pStyle w:val="FERCparanumber"/>
        <w:numPr>
          <w:ilvl w:val="0"/>
          <w:numId w:val="0"/>
        </w:numPr>
        <w:autoSpaceDE w:val="0"/>
        <w:autoSpaceDN w:val="0"/>
        <w:adjustRightInd w:val="0"/>
        <w:ind w:left="360"/>
        <w:rPr>
          <w:sz w:val="24"/>
        </w:rPr>
      </w:pPr>
    </w:p>
    <w:p w14:paraId="54B1E88D" w14:textId="77777777" w:rsidR="00BC15BE" w:rsidRPr="00F5428B" w:rsidRDefault="00BC15BE" w:rsidP="00BC15BE">
      <w:pPr>
        <w:pStyle w:val="Level1"/>
        <w:widowControl/>
        <w:tabs>
          <w:tab w:val="left" w:pos="-1440"/>
          <w:tab w:val="num" w:pos="720"/>
        </w:tabs>
        <w:rPr>
          <w:b/>
        </w:rPr>
      </w:pPr>
      <w:r w:rsidRPr="00F5428B">
        <w:rPr>
          <w:b/>
        </w:rPr>
        <w:t>CONSEQUENCE TO FEDERAL PROGRAM IF COLLECTION WERE CONDUCTED LESS FREQUENTLY</w:t>
      </w:r>
    </w:p>
    <w:p w14:paraId="4833465C" w14:textId="77777777" w:rsidR="00BC15BE" w:rsidRPr="00F5428B" w:rsidRDefault="00BC15BE" w:rsidP="00BC15BE">
      <w:pPr>
        <w:pStyle w:val="Level1"/>
        <w:widowControl/>
        <w:numPr>
          <w:ilvl w:val="0"/>
          <w:numId w:val="0"/>
        </w:numPr>
        <w:tabs>
          <w:tab w:val="left" w:pos="-1440"/>
          <w:tab w:val="num" w:pos="0"/>
        </w:tabs>
        <w:ind w:firstLine="720"/>
        <w:rPr>
          <w:b/>
        </w:rPr>
      </w:pPr>
    </w:p>
    <w:p w14:paraId="721F08CB" w14:textId="77777777" w:rsidR="00950A2F" w:rsidRDefault="00950A2F" w:rsidP="00F8150C">
      <w:pPr>
        <w:tabs>
          <w:tab w:val="left" w:pos="0"/>
        </w:tabs>
        <w:rPr>
          <w:b/>
          <w:sz w:val="24"/>
          <w:u w:val="single"/>
        </w:rPr>
      </w:pPr>
      <w:r w:rsidRPr="00950A2F">
        <w:rPr>
          <w:b/>
          <w:sz w:val="24"/>
          <w:u w:val="single"/>
        </w:rPr>
        <w:t>Final Rule in Docket RM9</w:t>
      </w:r>
      <w:r w:rsidR="00BD6B0B">
        <w:rPr>
          <w:b/>
          <w:sz w:val="24"/>
          <w:u w:val="single"/>
        </w:rPr>
        <w:t>6-1-041 and FERC-545 (renewal)</w:t>
      </w:r>
    </w:p>
    <w:p w14:paraId="2BA137A1" w14:textId="77777777" w:rsidR="001B1135" w:rsidRDefault="001B1135" w:rsidP="00F8150C">
      <w:pPr>
        <w:tabs>
          <w:tab w:val="left" w:pos="0"/>
        </w:tabs>
        <w:rPr>
          <w:sz w:val="24"/>
        </w:rPr>
      </w:pPr>
    </w:p>
    <w:p w14:paraId="62DFD3E8" w14:textId="77777777" w:rsidR="00F8150C" w:rsidRPr="00F5428B" w:rsidRDefault="00F8150C" w:rsidP="00F8150C">
      <w:pPr>
        <w:tabs>
          <w:tab w:val="left" w:pos="0"/>
        </w:tabs>
        <w:rPr>
          <w:sz w:val="24"/>
        </w:rPr>
      </w:pPr>
      <w:r w:rsidRPr="00F5428B">
        <w:rPr>
          <w:sz w:val="24"/>
        </w:rPr>
        <w:t xml:space="preserve">FERC-545 </w:t>
      </w:r>
      <w:r w:rsidR="00BD6B0B">
        <w:rPr>
          <w:sz w:val="24"/>
        </w:rPr>
        <w:t>is a one-time compliance filing</w:t>
      </w:r>
      <w:r w:rsidRPr="00F5428B">
        <w:rPr>
          <w:sz w:val="24"/>
        </w:rPr>
        <w:t xml:space="preserve">.  Failure to collect the information would prohibit </w:t>
      </w:r>
      <w:r w:rsidR="001B1135">
        <w:rPr>
          <w:sz w:val="24"/>
        </w:rPr>
        <w:t>the Commission</w:t>
      </w:r>
      <w:r w:rsidR="001B1135" w:rsidRPr="00F5428B">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sidRPr="00F5428B">
        <w:rPr>
          <w:sz w:val="24"/>
        </w:rPr>
        <w:t>NGPA and NGA.</w:t>
      </w:r>
    </w:p>
    <w:p w14:paraId="3FD162DE" w14:textId="77777777" w:rsidR="00BC15BE" w:rsidRPr="00F5428B" w:rsidRDefault="00BC15BE" w:rsidP="00BC15BE">
      <w:pPr>
        <w:pStyle w:val="Level1"/>
        <w:widowControl/>
        <w:numPr>
          <w:ilvl w:val="0"/>
          <w:numId w:val="0"/>
        </w:numPr>
        <w:tabs>
          <w:tab w:val="left" w:pos="-1440"/>
        </w:tabs>
      </w:pPr>
    </w:p>
    <w:p w14:paraId="5ECAB497" w14:textId="77777777" w:rsidR="00BC15BE" w:rsidRPr="00F5428B" w:rsidRDefault="00BC15BE" w:rsidP="00BC15BE">
      <w:pPr>
        <w:pStyle w:val="Level1"/>
        <w:widowControl/>
        <w:tabs>
          <w:tab w:val="left" w:pos="-1440"/>
          <w:tab w:val="num" w:pos="720"/>
        </w:tabs>
        <w:rPr>
          <w:b/>
        </w:rPr>
      </w:pPr>
      <w:r w:rsidRPr="00F5428B">
        <w:rPr>
          <w:b/>
        </w:rPr>
        <w:t>EXPLAIN ANY SPECIAL CIRCUMSTANCES RELATING TO THE INFORMATION COLLECTION</w:t>
      </w:r>
    </w:p>
    <w:p w14:paraId="217EEBCF" w14:textId="77777777" w:rsidR="00BC15BE" w:rsidRPr="00F5428B" w:rsidRDefault="00BC15BE" w:rsidP="00BC15BE">
      <w:pPr>
        <w:pStyle w:val="Level1"/>
        <w:numPr>
          <w:ilvl w:val="0"/>
          <w:numId w:val="0"/>
        </w:numPr>
      </w:pPr>
    </w:p>
    <w:p w14:paraId="1D292DB5" w14:textId="77777777" w:rsidR="00950A2F" w:rsidRDefault="00950A2F" w:rsidP="00BC15BE">
      <w:pPr>
        <w:pStyle w:val="Level1"/>
        <w:numPr>
          <w:ilvl w:val="0"/>
          <w:numId w:val="0"/>
        </w:numPr>
        <w:rPr>
          <w:b/>
          <w:u w:val="single"/>
        </w:rPr>
      </w:pPr>
      <w:r w:rsidRPr="00950A2F">
        <w:rPr>
          <w:b/>
          <w:u w:val="single"/>
        </w:rPr>
        <w:t>F</w:t>
      </w:r>
      <w:r w:rsidR="006B7EB4">
        <w:rPr>
          <w:b/>
          <w:u w:val="single"/>
        </w:rPr>
        <w:t>inal Rule in Docket RM96-1-041 and FERC-545</w:t>
      </w:r>
      <w:r w:rsidR="007973BC">
        <w:rPr>
          <w:b/>
          <w:u w:val="single"/>
        </w:rPr>
        <w:t xml:space="preserve"> (renewal)</w:t>
      </w:r>
    </w:p>
    <w:p w14:paraId="4FCB337F" w14:textId="77777777" w:rsidR="00B3074E" w:rsidRDefault="00B3074E" w:rsidP="00BC15BE">
      <w:pPr>
        <w:pStyle w:val="Level1"/>
        <w:numPr>
          <w:ilvl w:val="0"/>
          <w:numId w:val="0"/>
        </w:numPr>
      </w:pPr>
    </w:p>
    <w:p w14:paraId="41837890" w14:textId="77777777" w:rsidR="00F8150C" w:rsidRPr="00F5428B" w:rsidRDefault="00BD6B0B" w:rsidP="00BC15BE">
      <w:pPr>
        <w:pStyle w:val="Level1"/>
        <w:numPr>
          <w:ilvl w:val="0"/>
          <w:numId w:val="0"/>
        </w:numPr>
      </w:pPr>
      <w:r>
        <w:t xml:space="preserve">The FERC-545 </w:t>
      </w:r>
      <w:r w:rsidR="00F8150C" w:rsidRPr="00F5428B">
        <w:t>present</w:t>
      </w:r>
      <w:r>
        <w:t>s</w:t>
      </w:r>
      <w:r w:rsidR="00F8150C" w:rsidRPr="00F5428B">
        <w:t xml:space="preserve"> no special circumstances.</w:t>
      </w:r>
    </w:p>
    <w:p w14:paraId="6BB4F597" w14:textId="77777777" w:rsidR="00F45B52" w:rsidRPr="00F5428B" w:rsidRDefault="00F45B52" w:rsidP="00BC15BE">
      <w:pPr>
        <w:pStyle w:val="Level1"/>
        <w:numPr>
          <w:ilvl w:val="0"/>
          <w:numId w:val="0"/>
        </w:numPr>
      </w:pPr>
    </w:p>
    <w:p w14:paraId="183E946C" w14:textId="77777777" w:rsidR="00BC15BE" w:rsidRPr="00F5428B" w:rsidRDefault="00BC15BE" w:rsidP="00BC15BE">
      <w:pPr>
        <w:pStyle w:val="Level1"/>
        <w:widowControl/>
        <w:tabs>
          <w:tab w:val="left" w:pos="-1440"/>
          <w:tab w:val="num" w:pos="720"/>
        </w:tabs>
        <w:rPr>
          <w:b/>
        </w:rPr>
      </w:pPr>
      <w:r w:rsidRPr="00F5428B">
        <w:rPr>
          <w:b/>
        </w:rPr>
        <w:t>DESCRIBE EFFORTS TO CONSULT OUTSIDE THE AGENCY: SUMMARIZE PUBLIC COMMENTS AND AGENCY'S RESPONSE TO THESE COMMENTS</w:t>
      </w:r>
    </w:p>
    <w:p w14:paraId="33D0C2BC" w14:textId="77777777" w:rsidR="00BC15BE" w:rsidRPr="00F5428B" w:rsidRDefault="00BC15BE" w:rsidP="00BC15BE">
      <w:pPr>
        <w:tabs>
          <w:tab w:val="left" w:pos="-1440"/>
        </w:tabs>
        <w:rPr>
          <w:b/>
          <w:sz w:val="24"/>
        </w:rPr>
      </w:pPr>
    </w:p>
    <w:p w14:paraId="6ACB756B" w14:textId="77777777" w:rsidR="00E57C05" w:rsidRDefault="00E57C05" w:rsidP="00A5298F">
      <w:pPr>
        <w:rPr>
          <w:b/>
          <w:sz w:val="24"/>
          <w:u w:val="single"/>
        </w:rPr>
      </w:pPr>
      <w:r w:rsidRPr="00950A2F">
        <w:rPr>
          <w:b/>
          <w:sz w:val="24"/>
          <w:u w:val="single"/>
        </w:rPr>
        <w:t>Final Rule in Docket RM9</w:t>
      </w:r>
      <w:r w:rsidR="006B7EB4">
        <w:rPr>
          <w:b/>
          <w:sz w:val="24"/>
          <w:u w:val="single"/>
        </w:rPr>
        <w:t>6-1-041 and FERC-545</w:t>
      </w:r>
      <w:r w:rsidR="00786B8A">
        <w:rPr>
          <w:b/>
          <w:sz w:val="24"/>
          <w:u w:val="single"/>
        </w:rPr>
        <w:t xml:space="preserve"> (renewal)</w:t>
      </w:r>
    </w:p>
    <w:p w14:paraId="1A6482E2" w14:textId="77777777" w:rsidR="00786B8A" w:rsidRDefault="00786B8A" w:rsidP="00A5298F">
      <w:pPr>
        <w:rPr>
          <w:sz w:val="24"/>
        </w:rPr>
      </w:pPr>
    </w:p>
    <w:p w14:paraId="1CFDD911" w14:textId="0779D205" w:rsidR="00A5298F" w:rsidRDefault="00A5298F" w:rsidP="00A5298F">
      <w:pPr>
        <w:rPr>
          <w:sz w:val="24"/>
        </w:rPr>
      </w:pPr>
      <w:r w:rsidRPr="00F5428B">
        <w:rPr>
          <w:sz w:val="24"/>
        </w:rPr>
        <w:t>The Commission</w:t>
      </w:r>
      <w:r w:rsidR="00D81DD0">
        <w:rPr>
          <w:sz w:val="24"/>
        </w:rPr>
        <w:t>’</w:t>
      </w:r>
      <w:r w:rsidRPr="00F5428B">
        <w:rPr>
          <w:sz w:val="24"/>
        </w:rPr>
        <w:t xml:space="preserve">s outside consultation was in the form of a </w:t>
      </w:r>
      <w:r w:rsidR="00D81DD0">
        <w:rPr>
          <w:sz w:val="24"/>
        </w:rPr>
        <w:t>N</w:t>
      </w:r>
      <w:r w:rsidRPr="00F5428B">
        <w:rPr>
          <w:sz w:val="24"/>
        </w:rPr>
        <w:t xml:space="preserve">otice of </w:t>
      </w:r>
      <w:r w:rsidR="00D81DD0">
        <w:rPr>
          <w:sz w:val="24"/>
        </w:rPr>
        <w:t>P</w:t>
      </w:r>
      <w:r w:rsidRPr="00F5428B">
        <w:rPr>
          <w:sz w:val="24"/>
        </w:rPr>
        <w:t xml:space="preserve">roposed </w:t>
      </w:r>
      <w:r w:rsidR="00D81DD0">
        <w:rPr>
          <w:sz w:val="24"/>
        </w:rPr>
        <w:t>R</w:t>
      </w:r>
      <w:r w:rsidRPr="00F5428B">
        <w:rPr>
          <w:sz w:val="24"/>
        </w:rPr>
        <w:t xml:space="preserve">ulemaking </w:t>
      </w:r>
      <w:r w:rsidR="00E57C05">
        <w:rPr>
          <w:rStyle w:val="FootnoteReference"/>
        </w:rPr>
        <w:footnoteReference w:id="7"/>
      </w:r>
      <w:r w:rsidRPr="00F5428B">
        <w:rPr>
          <w:sz w:val="24"/>
        </w:rPr>
        <w:t xml:space="preserve"> that included the Commission’s best estimate of the </w:t>
      </w:r>
      <w:r w:rsidR="00D81DD0">
        <w:rPr>
          <w:sz w:val="24"/>
        </w:rPr>
        <w:t xml:space="preserve">hourly </w:t>
      </w:r>
      <w:r w:rsidRPr="00F5428B">
        <w:rPr>
          <w:sz w:val="24"/>
        </w:rPr>
        <w:t xml:space="preserve">burden imposed by </w:t>
      </w:r>
      <w:r w:rsidR="000326C9">
        <w:rPr>
          <w:sz w:val="24"/>
        </w:rPr>
        <w:t xml:space="preserve">companies’ </w:t>
      </w:r>
      <w:r w:rsidRPr="00F5428B">
        <w:rPr>
          <w:sz w:val="24"/>
        </w:rPr>
        <w:t xml:space="preserve">compliance with </w:t>
      </w:r>
      <w:r w:rsidR="00D81DD0">
        <w:rPr>
          <w:sz w:val="24"/>
        </w:rPr>
        <w:t>the NOPR’s</w:t>
      </w:r>
      <w:r w:rsidR="00D81DD0" w:rsidRPr="00F5428B">
        <w:rPr>
          <w:sz w:val="24"/>
        </w:rPr>
        <w:t xml:space="preserve"> </w:t>
      </w:r>
      <w:r w:rsidRPr="00F5428B">
        <w:rPr>
          <w:sz w:val="24"/>
        </w:rPr>
        <w:t xml:space="preserve">requirements, as well as the availability of </w:t>
      </w:r>
      <w:r w:rsidR="000326C9">
        <w:rPr>
          <w:sz w:val="24"/>
        </w:rPr>
        <w:t xml:space="preserve">a request for </w:t>
      </w:r>
      <w:r w:rsidRPr="00F5428B">
        <w:rPr>
          <w:sz w:val="24"/>
        </w:rPr>
        <w:t xml:space="preserve">waivers, where </w:t>
      </w:r>
      <w:r w:rsidR="000326C9">
        <w:rPr>
          <w:sz w:val="24"/>
        </w:rPr>
        <w:t xml:space="preserve">deemed </w:t>
      </w:r>
      <w:r w:rsidRPr="00F5428B">
        <w:rPr>
          <w:sz w:val="24"/>
        </w:rPr>
        <w:t>appropriate.</w:t>
      </w:r>
      <w:r w:rsidR="00B33E93">
        <w:rPr>
          <w:sz w:val="24"/>
        </w:rPr>
        <w:t xml:space="preserve"> </w:t>
      </w:r>
      <w:r w:rsidRPr="00F5428B">
        <w:rPr>
          <w:sz w:val="24"/>
        </w:rPr>
        <w:t xml:space="preserve"> Interested persons were notified through publication in the Federal Register that they could file comments on the proposals in the NOPR, including the burden estimate</w:t>
      </w:r>
      <w:r w:rsidR="000326C9">
        <w:rPr>
          <w:sz w:val="24"/>
        </w:rPr>
        <w:t>s</w:t>
      </w:r>
      <w:r w:rsidRPr="00F5428B">
        <w:rPr>
          <w:sz w:val="24"/>
        </w:rPr>
        <w:t xml:space="preserve">. </w:t>
      </w:r>
      <w:r w:rsidR="00B33E93">
        <w:rPr>
          <w:sz w:val="24"/>
        </w:rPr>
        <w:t xml:space="preserve"> </w:t>
      </w:r>
      <w:r w:rsidRPr="00F5428B">
        <w:rPr>
          <w:sz w:val="24"/>
        </w:rPr>
        <w:t xml:space="preserve">In addition, potential commenters were specifically informed that they could file comments on the proposed collection of information and </w:t>
      </w:r>
      <w:r w:rsidR="000326C9">
        <w:rPr>
          <w:sz w:val="24"/>
        </w:rPr>
        <w:t xml:space="preserve">the </w:t>
      </w:r>
      <w:r w:rsidRPr="00F5428B">
        <w:rPr>
          <w:sz w:val="24"/>
        </w:rPr>
        <w:t>associated burden directly with OMB.</w:t>
      </w:r>
      <w:r w:rsidR="00B33E93">
        <w:rPr>
          <w:sz w:val="24"/>
        </w:rPr>
        <w:t xml:space="preserve"> </w:t>
      </w:r>
      <w:r w:rsidRPr="00F5428B">
        <w:rPr>
          <w:sz w:val="24"/>
        </w:rPr>
        <w:t xml:space="preserve"> There were </w:t>
      </w:r>
      <w:r w:rsidR="000326C9">
        <w:rPr>
          <w:sz w:val="24"/>
        </w:rPr>
        <w:t xml:space="preserve">a total of </w:t>
      </w:r>
      <w:r w:rsidR="00860043">
        <w:rPr>
          <w:sz w:val="24"/>
        </w:rPr>
        <w:t>two</w:t>
      </w:r>
      <w:r w:rsidRPr="00F5428B">
        <w:rPr>
          <w:sz w:val="24"/>
        </w:rPr>
        <w:t xml:space="preserve"> comments filed with the Commission in response to the NOPR.</w:t>
      </w:r>
      <w:r w:rsidR="00B33E93">
        <w:rPr>
          <w:sz w:val="24"/>
        </w:rPr>
        <w:t xml:space="preserve"> </w:t>
      </w:r>
      <w:r w:rsidR="00A4633A">
        <w:rPr>
          <w:sz w:val="24"/>
        </w:rPr>
        <w:t xml:space="preserve"> Both</w:t>
      </w:r>
      <w:r w:rsidRPr="00F5428B">
        <w:rPr>
          <w:sz w:val="24"/>
        </w:rPr>
        <w:t xml:space="preserve"> were generally supportive of the Commission’s proposals and raised no concerns about the burden estimate</w:t>
      </w:r>
      <w:r w:rsidR="000326C9">
        <w:rPr>
          <w:sz w:val="24"/>
        </w:rPr>
        <w:t>s</w:t>
      </w:r>
      <w:r w:rsidRPr="00F5428B">
        <w:rPr>
          <w:sz w:val="24"/>
        </w:rPr>
        <w:t xml:space="preserve"> in the NOPR.</w:t>
      </w:r>
      <w:r w:rsidR="00B33E93">
        <w:rPr>
          <w:sz w:val="24"/>
        </w:rPr>
        <w:t xml:space="preserve"> </w:t>
      </w:r>
      <w:r w:rsidRPr="00F5428B">
        <w:rPr>
          <w:sz w:val="24"/>
        </w:rPr>
        <w:t xml:space="preserve"> Accordingly, the Commission used the same estimate</w:t>
      </w:r>
      <w:r w:rsidR="000326C9">
        <w:rPr>
          <w:sz w:val="24"/>
        </w:rPr>
        <w:t>s</w:t>
      </w:r>
      <w:r w:rsidR="00A4633A">
        <w:rPr>
          <w:sz w:val="24"/>
        </w:rPr>
        <w:t xml:space="preserve"> in The RM96-1-041</w:t>
      </w:r>
      <w:r w:rsidRPr="00F5428B">
        <w:rPr>
          <w:sz w:val="24"/>
        </w:rPr>
        <w:t xml:space="preserve"> Final Rule</w:t>
      </w:r>
      <w:r w:rsidR="00074EFD">
        <w:rPr>
          <w:rStyle w:val="FootnoteReference"/>
        </w:rPr>
        <w:footnoteReference w:id="8"/>
      </w:r>
      <w:r w:rsidRPr="00F5428B">
        <w:rPr>
          <w:sz w:val="24"/>
        </w:rPr>
        <w:t>.</w:t>
      </w:r>
    </w:p>
    <w:p w14:paraId="3C8B1D93" w14:textId="77777777" w:rsidR="00860043" w:rsidRDefault="00860043" w:rsidP="00A5298F">
      <w:pPr>
        <w:rPr>
          <w:sz w:val="24"/>
        </w:rPr>
      </w:pPr>
    </w:p>
    <w:p w14:paraId="3967BD5E" w14:textId="2EF3A004" w:rsidR="00860043" w:rsidRPr="00F5428B" w:rsidRDefault="00860043" w:rsidP="00A5298F">
      <w:pPr>
        <w:rPr>
          <w:sz w:val="24"/>
        </w:rPr>
      </w:pPr>
      <w:r>
        <w:rPr>
          <w:sz w:val="24"/>
        </w:rPr>
        <w:t>The Commission also issued a 60-day public notice</w:t>
      </w:r>
      <w:r>
        <w:rPr>
          <w:rStyle w:val="FootnoteReference"/>
        </w:rPr>
        <w:footnoteReference w:id="9"/>
      </w:r>
      <w:r>
        <w:rPr>
          <w:sz w:val="24"/>
        </w:rPr>
        <w:t xml:space="preserve"> and a 30-day public notice</w:t>
      </w:r>
      <w:r>
        <w:rPr>
          <w:rStyle w:val="FootnoteReference"/>
        </w:rPr>
        <w:footnoteReference w:id="10"/>
      </w:r>
      <w:r>
        <w:rPr>
          <w:sz w:val="24"/>
        </w:rPr>
        <w:t xml:space="preserve"> concerning the renewal of currently approved burden for the FERC-545 information collection.  No comments were received from the public in response to either of those notices.</w:t>
      </w:r>
    </w:p>
    <w:p w14:paraId="517D2728" w14:textId="77777777" w:rsidR="00A5298F" w:rsidRPr="00F5428B" w:rsidRDefault="00A5298F" w:rsidP="00BC15BE">
      <w:pPr>
        <w:tabs>
          <w:tab w:val="left" w:pos="-1440"/>
        </w:tabs>
        <w:rPr>
          <w:b/>
          <w:sz w:val="24"/>
        </w:rPr>
      </w:pPr>
    </w:p>
    <w:p w14:paraId="49541C65" w14:textId="77777777" w:rsidR="00BC15BE" w:rsidRPr="00F5428B" w:rsidRDefault="00BC15BE" w:rsidP="00BC15BE">
      <w:pPr>
        <w:rPr>
          <w:b/>
          <w:sz w:val="24"/>
        </w:rPr>
      </w:pPr>
      <w:r w:rsidRPr="00F5428B">
        <w:rPr>
          <w:bCs/>
          <w:sz w:val="24"/>
        </w:rPr>
        <w:t>9.</w:t>
      </w:r>
      <w:r w:rsidRPr="00F5428B">
        <w:rPr>
          <w:bCs/>
          <w:sz w:val="24"/>
        </w:rPr>
        <w:tab/>
      </w:r>
      <w:r w:rsidRPr="00F5428B">
        <w:rPr>
          <w:b/>
          <w:sz w:val="24"/>
        </w:rPr>
        <w:t>EXPLAIN ANY PAYMENT OR GIFTS TO RESPONDENTS</w:t>
      </w:r>
    </w:p>
    <w:p w14:paraId="3AD239FD" w14:textId="77777777" w:rsidR="00BC15BE" w:rsidRPr="00F5428B" w:rsidRDefault="00BC15BE" w:rsidP="00BC15BE">
      <w:pPr>
        <w:rPr>
          <w:b/>
          <w:sz w:val="24"/>
        </w:rPr>
      </w:pPr>
    </w:p>
    <w:p w14:paraId="2E077CF2" w14:textId="77777777" w:rsidR="00074EFD" w:rsidRDefault="00074EFD" w:rsidP="00BC15BE">
      <w:pPr>
        <w:rPr>
          <w:sz w:val="24"/>
        </w:rPr>
      </w:pPr>
      <w:r w:rsidRPr="00950A2F">
        <w:rPr>
          <w:b/>
          <w:sz w:val="24"/>
          <w:u w:val="single"/>
        </w:rPr>
        <w:t>F</w:t>
      </w:r>
      <w:r w:rsidR="00F86954">
        <w:rPr>
          <w:b/>
          <w:sz w:val="24"/>
          <w:u w:val="single"/>
        </w:rPr>
        <w:t xml:space="preserve">inal Rule in Docket RM96-1-041 and </w:t>
      </w:r>
      <w:r w:rsidRPr="00950A2F">
        <w:rPr>
          <w:b/>
          <w:sz w:val="24"/>
          <w:u w:val="single"/>
        </w:rPr>
        <w:t>FERC-545</w:t>
      </w:r>
      <w:r w:rsidR="00B33E93">
        <w:rPr>
          <w:b/>
          <w:sz w:val="24"/>
          <w:u w:val="single"/>
        </w:rPr>
        <w:t xml:space="preserve"> (renewal)</w:t>
      </w:r>
      <w:r w:rsidRPr="00F5428B">
        <w:rPr>
          <w:sz w:val="24"/>
        </w:rPr>
        <w:t xml:space="preserve"> </w:t>
      </w:r>
    </w:p>
    <w:p w14:paraId="7051282D" w14:textId="77777777" w:rsidR="002F39BD" w:rsidRDefault="002F39BD" w:rsidP="00BC15BE">
      <w:pPr>
        <w:rPr>
          <w:sz w:val="24"/>
        </w:rPr>
      </w:pPr>
    </w:p>
    <w:p w14:paraId="747F4580" w14:textId="77777777" w:rsidR="00BC15BE" w:rsidRPr="00F5428B" w:rsidRDefault="00BC15BE" w:rsidP="00BC15BE">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00F8150C" w:rsidRPr="00F5428B">
        <w:rPr>
          <w:sz w:val="24"/>
        </w:rPr>
        <w:t>collections FERC-545</w:t>
      </w:r>
      <w:r w:rsidR="006512E7">
        <w:rPr>
          <w:sz w:val="24"/>
        </w:rPr>
        <w:t xml:space="preserve"> and the Final Rule.</w:t>
      </w:r>
    </w:p>
    <w:p w14:paraId="519A22C7" w14:textId="77777777" w:rsidR="00BC15BE" w:rsidRPr="00F5428B" w:rsidRDefault="00BC15BE" w:rsidP="00BC15BE">
      <w:pPr>
        <w:ind w:left="720" w:hanging="720"/>
        <w:rPr>
          <w:b/>
          <w:bCs/>
          <w:sz w:val="24"/>
        </w:rPr>
      </w:pPr>
    </w:p>
    <w:p w14:paraId="2135200F" w14:textId="77777777" w:rsidR="00BC15BE" w:rsidRPr="00F5428B" w:rsidRDefault="00BC15BE" w:rsidP="00BC15BE">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14:paraId="0E1BAB48" w14:textId="77777777" w:rsidR="00BC15BE" w:rsidRPr="00F5428B" w:rsidRDefault="00BC15BE" w:rsidP="00BC15BE">
      <w:pPr>
        <w:rPr>
          <w:sz w:val="24"/>
        </w:rPr>
      </w:pPr>
    </w:p>
    <w:p w14:paraId="568695BD" w14:textId="77777777" w:rsidR="00074EFD" w:rsidRDefault="00074EFD" w:rsidP="00BC15BE">
      <w:pPr>
        <w:rPr>
          <w:b/>
          <w:sz w:val="24"/>
          <w:u w:val="single"/>
        </w:rPr>
      </w:pPr>
      <w:r w:rsidRPr="00950A2F">
        <w:rPr>
          <w:b/>
          <w:sz w:val="24"/>
          <w:u w:val="single"/>
        </w:rPr>
        <w:t>F</w:t>
      </w:r>
      <w:r w:rsidR="00F86954">
        <w:rPr>
          <w:b/>
          <w:sz w:val="24"/>
          <w:u w:val="single"/>
        </w:rPr>
        <w:t>inal Rule in Docket RM96-1-041 and FERC-545</w:t>
      </w:r>
      <w:r w:rsidR="00CE4075">
        <w:rPr>
          <w:b/>
          <w:sz w:val="24"/>
          <w:u w:val="single"/>
        </w:rPr>
        <w:t xml:space="preserve"> (renewal)</w:t>
      </w:r>
    </w:p>
    <w:p w14:paraId="042B506D" w14:textId="77777777" w:rsidR="00CE4075" w:rsidRDefault="00CE4075" w:rsidP="00BC15BE">
      <w:pPr>
        <w:rPr>
          <w:sz w:val="24"/>
        </w:rPr>
      </w:pPr>
    </w:p>
    <w:p w14:paraId="0CB91422" w14:textId="77777777" w:rsidR="00BC15BE" w:rsidRPr="00F5428B" w:rsidRDefault="00C95983" w:rsidP="00BC15BE">
      <w:pPr>
        <w:rPr>
          <w:sz w:val="24"/>
        </w:rPr>
      </w:pPr>
      <w:r>
        <w:rPr>
          <w:sz w:val="24"/>
        </w:rPr>
        <w:t>T</w:t>
      </w:r>
      <w:r w:rsidR="00F8150C" w:rsidRPr="00F5428B">
        <w:rPr>
          <w:sz w:val="24"/>
        </w:rPr>
        <w:t>he FERC-545 data is public.  In general, for all submittals to the Commission, filers may submit specific requests for confidential treatment to the extent permitted by law; details are available in 18 C.F.R. Section 388.112.</w:t>
      </w:r>
    </w:p>
    <w:p w14:paraId="3346081C" w14:textId="77777777" w:rsidR="00F8150C" w:rsidRPr="00F5428B" w:rsidRDefault="00F8150C" w:rsidP="00BC15BE">
      <w:pPr>
        <w:rPr>
          <w:sz w:val="24"/>
        </w:rPr>
      </w:pPr>
    </w:p>
    <w:p w14:paraId="20B1F703" w14:textId="77777777" w:rsidR="00BC15BE" w:rsidRPr="00F5428B" w:rsidRDefault="00BC15BE" w:rsidP="00BC15BE">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14:paraId="665DE396" w14:textId="77777777" w:rsidR="00BC15BE" w:rsidRPr="00F5428B" w:rsidRDefault="00BC15BE" w:rsidP="00BC15BE">
      <w:pPr>
        <w:rPr>
          <w:sz w:val="24"/>
        </w:rPr>
      </w:pPr>
    </w:p>
    <w:p w14:paraId="3AF0E5DB" w14:textId="77777777" w:rsidR="00074EFD" w:rsidRDefault="00074EFD" w:rsidP="00BC15BE">
      <w:pPr>
        <w:rPr>
          <w:b/>
          <w:sz w:val="24"/>
          <w:u w:val="single"/>
        </w:rPr>
      </w:pPr>
      <w:r w:rsidRPr="00950A2F">
        <w:rPr>
          <w:b/>
          <w:sz w:val="24"/>
          <w:u w:val="single"/>
        </w:rPr>
        <w:t>F</w:t>
      </w:r>
      <w:r w:rsidR="00F86954">
        <w:rPr>
          <w:b/>
          <w:sz w:val="24"/>
          <w:u w:val="single"/>
        </w:rPr>
        <w:t>inal Rule in Docket RM96-1-041 and FERC-545</w:t>
      </w:r>
      <w:r w:rsidR="00A17430">
        <w:rPr>
          <w:b/>
          <w:sz w:val="24"/>
          <w:u w:val="single"/>
        </w:rPr>
        <w:t xml:space="preserve"> (renewal)</w:t>
      </w:r>
    </w:p>
    <w:p w14:paraId="46AEDFC5" w14:textId="77777777" w:rsidR="00A17430" w:rsidRDefault="00A17430" w:rsidP="00BC15BE">
      <w:pPr>
        <w:rPr>
          <w:sz w:val="24"/>
        </w:rPr>
      </w:pPr>
    </w:p>
    <w:p w14:paraId="3DCB60E8" w14:textId="77777777" w:rsidR="00BC15BE" w:rsidRPr="00F5428B" w:rsidRDefault="00BC15BE" w:rsidP="00BC15BE">
      <w:pPr>
        <w:rPr>
          <w:sz w:val="24"/>
        </w:rPr>
      </w:pPr>
      <w:r w:rsidRPr="00F5428B">
        <w:rPr>
          <w:sz w:val="24"/>
        </w:rPr>
        <w:t>There are no questions of a sensitive nature in the reporting requirements.</w:t>
      </w:r>
    </w:p>
    <w:p w14:paraId="3E51840A" w14:textId="77777777" w:rsidR="00BC15BE" w:rsidRPr="00F5428B" w:rsidRDefault="00BC15BE" w:rsidP="00BC15BE">
      <w:pPr>
        <w:rPr>
          <w:sz w:val="24"/>
        </w:rPr>
      </w:pPr>
    </w:p>
    <w:p w14:paraId="584352B7" w14:textId="77777777" w:rsidR="00BC15BE" w:rsidRPr="00F5428B" w:rsidRDefault="00BC15BE" w:rsidP="00BC15BE">
      <w:pPr>
        <w:pStyle w:val="Level1"/>
        <w:rPr>
          <w:b/>
        </w:rPr>
      </w:pPr>
      <w:r w:rsidRPr="00F5428B">
        <w:rPr>
          <w:b/>
        </w:rPr>
        <w:t>ESTIMATED BURDEN OF COLLECTION OF INFORMATION</w:t>
      </w:r>
    </w:p>
    <w:p w14:paraId="29C92394" w14:textId="77777777" w:rsidR="00BC15BE" w:rsidRPr="00F5428B" w:rsidRDefault="00BC15BE" w:rsidP="00BC15BE">
      <w:pPr>
        <w:rPr>
          <w:sz w:val="24"/>
        </w:rPr>
      </w:pPr>
    </w:p>
    <w:p w14:paraId="2466AA3A" w14:textId="77777777" w:rsidR="005409EE" w:rsidRDefault="005409EE" w:rsidP="00F8150C">
      <w:pPr>
        <w:pStyle w:val="FERCparanumber"/>
        <w:numPr>
          <w:ilvl w:val="0"/>
          <w:numId w:val="0"/>
        </w:numPr>
        <w:rPr>
          <w:b/>
          <w:sz w:val="24"/>
          <w:u w:val="single"/>
        </w:rPr>
      </w:pPr>
      <w:r w:rsidRPr="00950A2F">
        <w:rPr>
          <w:b/>
          <w:sz w:val="24"/>
          <w:u w:val="single"/>
        </w:rPr>
        <w:t>Final Rule in Docket RM96-1-041</w:t>
      </w:r>
    </w:p>
    <w:p w14:paraId="119D3529" w14:textId="77777777" w:rsidR="00EF3830" w:rsidRDefault="00EF3830" w:rsidP="00F8150C">
      <w:pPr>
        <w:pStyle w:val="FERCparanumber"/>
        <w:numPr>
          <w:ilvl w:val="0"/>
          <w:numId w:val="0"/>
        </w:numPr>
        <w:rPr>
          <w:b/>
          <w:sz w:val="24"/>
          <w:u w:val="single"/>
        </w:rPr>
      </w:pPr>
    </w:p>
    <w:p w14:paraId="570D2150" w14:textId="77777777" w:rsidR="00F8150C" w:rsidRPr="00F5428B" w:rsidRDefault="00F8150C" w:rsidP="00F8150C">
      <w:pPr>
        <w:pStyle w:val="FERCparanumber"/>
        <w:numPr>
          <w:ilvl w:val="0"/>
          <w:numId w:val="0"/>
        </w:numPr>
        <w:rPr>
          <w:sz w:val="24"/>
        </w:rPr>
      </w:pPr>
      <w:r w:rsidRPr="00F5428B">
        <w:rPr>
          <w:sz w:val="24"/>
        </w:rPr>
        <w:t>The following estimates of reporting burden are related only to this Final Rule in RM96-1-0</w:t>
      </w:r>
      <w:r w:rsidR="00440A6C">
        <w:rPr>
          <w:sz w:val="24"/>
        </w:rPr>
        <w:t>41</w:t>
      </w:r>
      <w:r w:rsidRPr="00F5428B">
        <w:rPr>
          <w:sz w:val="24"/>
        </w:rPr>
        <w:t xml:space="preserve"> and anticipate the costs to pipelines for compliance.  The burden estimates are primarily related to start-up to implement these standards and regulations and will not result in ongoing costs.</w:t>
      </w:r>
    </w:p>
    <w:p w14:paraId="2DC3D57A" w14:textId="77777777" w:rsidR="00F8150C" w:rsidRPr="00F5428B" w:rsidRDefault="00F8150C" w:rsidP="00F8150C">
      <w:pPr>
        <w:pStyle w:val="FERCparanumber"/>
        <w:numPr>
          <w:ilvl w:val="0"/>
          <w:numId w:val="0"/>
        </w:numPr>
        <w:rPr>
          <w:sz w:val="24"/>
        </w:rPr>
      </w:pPr>
    </w:p>
    <w:tbl>
      <w:tblPr>
        <w:tblW w:w="571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1731"/>
        <w:gridCol w:w="1680"/>
        <w:gridCol w:w="1475"/>
        <w:gridCol w:w="1291"/>
        <w:gridCol w:w="1853"/>
        <w:gridCol w:w="1711"/>
      </w:tblGrid>
      <w:tr w:rsidR="00074EFD" w:rsidRPr="00074EFD" w14:paraId="002727F4" w14:textId="77777777" w:rsidTr="008D4689">
        <w:trPr>
          <w:cantSplit/>
          <w:trHeight w:val="188"/>
        </w:trPr>
        <w:tc>
          <w:tcPr>
            <w:tcW w:w="5000" w:type="pct"/>
            <w:gridSpan w:val="7"/>
            <w:tcBorders>
              <w:bottom w:val="single" w:sz="4" w:space="0" w:color="auto"/>
            </w:tcBorders>
            <w:shd w:val="clear" w:color="auto" w:fill="D9D9D9"/>
          </w:tcPr>
          <w:p w14:paraId="4CE173E0" w14:textId="77777777" w:rsidR="00074EFD" w:rsidRPr="00074EFD" w:rsidRDefault="00074EFD" w:rsidP="00074EFD">
            <w:pPr>
              <w:widowControl w:val="0"/>
              <w:jc w:val="center"/>
              <w:rPr>
                <w:rFonts w:eastAsia="Calibri"/>
                <w:b/>
                <w:sz w:val="20"/>
                <w:szCs w:val="20"/>
              </w:rPr>
            </w:pPr>
            <w:r w:rsidRPr="00074EFD">
              <w:rPr>
                <w:rFonts w:eastAsia="Calibri"/>
                <w:b/>
                <w:sz w:val="20"/>
                <w:szCs w:val="20"/>
              </w:rPr>
              <w:t>RM96-1-041 Final Rule (Standards for Business Practices of Interstate Natural Gas Pipelines)</w:t>
            </w:r>
          </w:p>
        </w:tc>
      </w:tr>
      <w:tr w:rsidR="00074EFD" w:rsidRPr="00074EFD" w14:paraId="3906A55C" w14:textId="77777777" w:rsidTr="008D4689">
        <w:trPr>
          <w:cantSplit/>
        </w:trPr>
        <w:tc>
          <w:tcPr>
            <w:tcW w:w="548" w:type="pct"/>
            <w:shd w:val="clear" w:color="auto" w:fill="D9D9D9"/>
          </w:tcPr>
          <w:p w14:paraId="79346B5E" w14:textId="77777777" w:rsidR="00074EFD" w:rsidRPr="00074EFD" w:rsidRDefault="00074EFD" w:rsidP="00074EFD">
            <w:pPr>
              <w:widowControl w:val="0"/>
              <w:jc w:val="center"/>
              <w:rPr>
                <w:rFonts w:eastAsia="Calibri"/>
                <w:b/>
                <w:sz w:val="20"/>
                <w:szCs w:val="20"/>
              </w:rPr>
            </w:pPr>
          </w:p>
        </w:tc>
        <w:tc>
          <w:tcPr>
            <w:tcW w:w="791" w:type="pct"/>
            <w:shd w:val="clear" w:color="auto" w:fill="D9D9D9"/>
            <w:vAlign w:val="bottom"/>
          </w:tcPr>
          <w:p w14:paraId="6B07EA0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Number of Respondents</w:t>
            </w:r>
            <w:r w:rsidRPr="00074EFD">
              <w:rPr>
                <w:rFonts w:eastAsia="Calibri"/>
                <w:b/>
                <w:sz w:val="20"/>
                <w:szCs w:val="20"/>
                <w:vertAlign w:val="superscript"/>
              </w:rPr>
              <w:footnoteReference w:id="11"/>
            </w:r>
          </w:p>
          <w:p w14:paraId="29AA514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(1)</w:t>
            </w:r>
          </w:p>
        </w:tc>
        <w:tc>
          <w:tcPr>
            <w:tcW w:w="768" w:type="pct"/>
            <w:shd w:val="clear" w:color="auto" w:fill="D9D9D9"/>
            <w:vAlign w:val="bottom"/>
          </w:tcPr>
          <w:p w14:paraId="05FD144C" w14:textId="77777777" w:rsidR="00074EFD" w:rsidRPr="00074EFD" w:rsidRDefault="00074EFD" w:rsidP="00074EFD">
            <w:pPr>
              <w:widowControl w:val="0"/>
              <w:jc w:val="center"/>
              <w:rPr>
                <w:rFonts w:eastAsia="Calibri"/>
                <w:b/>
                <w:sz w:val="20"/>
                <w:szCs w:val="20"/>
              </w:rPr>
            </w:pPr>
            <w:r w:rsidRPr="00074EFD">
              <w:rPr>
                <w:rFonts w:eastAsia="Calibri"/>
                <w:b/>
                <w:sz w:val="20"/>
                <w:szCs w:val="20"/>
              </w:rPr>
              <w:t>Annual Number of Responses per Respondent</w:t>
            </w:r>
          </w:p>
          <w:p w14:paraId="5900529E" w14:textId="77777777" w:rsidR="00074EFD" w:rsidRPr="00074EFD" w:rsidRDefault="00074EFD" w:rsidP="00074EFD">
            <w:pPr>
              <w:widowControl w:val="0"/>
              <w:jc w:val="center"/>
              <w:rPr>
                <w:rFonts w:eastAsia="Calibri"/>
                <w:b/>
                <w:sz w:val="20"/>
                <w:szCs w:val="20"/>
              </w:rPr>
            </w:pPr>
            <w:r w:rsidRPr="00074EFD">
              <w:rPr>
                <w:rFonts w:eastAsia="Calibri"/>
                <w:b/>
                <w:sz w:val="20"/>
                <w:szCs w:val="20"/>
              </w:rPr>
              <w:t>(2)</w:t>
            </w:r>
          </w:p>
        </w:tc>
        <w:tc>
          <w:tcPr>
            <w:tcW w:w="674" w:type="pct"/>
            <w:shd w:val="clear" w:color="auto" w:fill="D9D9D9"/>
            <w:vAlign w:val="bottom"/>
          </w:tcPr>
          <w:p w14:paraId="7C6E5B46" w14:textId="77777777" w:rsidR="00074EFD" w:rsidRPr="00074EFD" w:rsidRDefault="00074EFD" w:rsidP="00074EFD">
            <w:pPr>
              <w:widowControl w:val="0"/>
              <w:jc w:val="center"/>
              <w:rPr>
                <w:rFonts w:eastAsia="Calibri"/>
                <w:b/>
                <w:sz w:val="20"/>
                <w:szCs w:val="20"/>
              </w:rPr>
            </w:pPr>
            <w:r w:rsidRPr="00074EFD">
              <w:rPr>
                <w:rFonts w:eastAsia="Calibri"/>
                <w:b/>
                <w:sz w:val="20"/>
                <w:szCs w:val="20"/>
              </w:rPr>
              <w:t>Total Number of Responses (1)*(2)=</w:t>
            </w:r>
          </w:p>
          <w:p w14:paraId="30B09181" w14:textId="77777777" w:rsidR="00074EFD" w:rsidRPr="00074EFD" w:rsidRDefault="00074EFD" w:rsidP="00074EFD">
            <w:pPr>
              <w:widowControl w:val="0"/>
              <w:jc w:val="center"/>
              <w:rPr>
                <w:rFonts w:eastAsia="Calibri"/>
                <w:b/>
                <w:sz w:val="20"/>
                <w:szCs w:val="20"/>
              </w:rPr>
            </w:pPr>
            <w:r w:rsidRPr="00074EFD">
              <w:rPr>
                <w:rFonts w:eastAsia="Calibri"/>
                <w:b/>
                <w:sz w:val="20"/>
                <w:szCs w:val="20"/>
              </w:rPr>
              <w:t>(3)</w:t>
            </w:r>
          </w:p>
        </w:tc>
        <w:tc>
          <w:tcPr>
            <w:tcW w:w="590" w:type="pct"/>
            <w:shd w:val="clear" w:color="auto" w:fill="D9D9D9"/>
            <w:vAlign w:val="bottom"/>
          </w:tcPr>
          <w:p w14:paraId="00CACC1F" w14:textId="77777777" w:rsidR="00074EFD" w:rsidRPr="00074EFD" w:rsidRDefault="00074EFD" w:rsidP="00074EFD">
            <w:pPr>
              <w:widowControl w:val="0"/>
              <w:jc w:val="center"/>
              <w:rPr>
                <w:rFonts w:eastAsia="Calibri"/>
                <w:b/>
                <w:sz w:val="20"/>
                <w:szCs w:val="20"/>
              </w:rPr>
            </w:pPr>
            <w:r w:rsidRPr="00074EFD">
              <w:rPr>
                <w:rFonts w:eastAsia="Calibri"/>
                <w:b/>
                <w:sz w:val="20"/>
                <w:szCs w:val="20"/>
              </w:rPr>
              <w:t>Average Burden Hr. Per Response</w:t>
            </w:r>
          </w:p>
          <w:p w14:paraId="7F0574F5" w14:textId="77777777" w:rsidR="00074EFD" w:rsidRPr="00074EFD" w:rsidRDefault="00074EFD" w:rsidP="00074EFD">
            <w:pPr>
              <w:widowControl w:val="0"/>
              <w:jc w:val="center"/>
              <w:rPr>
                <w:rFonts w:eastAsia="Calibri"/>
                <w:b/>
                <w:sz w:val="20"/>
                <w:szCs w:val="20"/>
              </w:rPr>
            </w:pPr>
            <w:r w:rsidRPr="00074EFD">
              <w:rPr>
                <w:rFonts w:eastAsia="Calibri"/>
                <w:b/>
                <w:sz w:val="20"/>
                <w:szCs w:val="20"/>
              </w:rPr>
              <w:t>(4)</w:t>
            </w:r>
          </w:p>
        </w:tc>
        <w:tc>
          <w:tcPr>
            <w:tcW w:w="847" w:type="pct"/>
            <w:shd w:val="clear" w:color="auto" w:fill="D9D9D9"/>
            <w:vAlign w:val="bottom"/>
          </w:tcPr>
          <w:p w14:paraId="0F64E7F3" w14:textId="77777777" w:rsidR="00074EFD" w:rsidRPr="00074EFD" w:rsidRDefault="00074EFD" w:rsidP="00074EFD">
            <w:pPr>
              <w:widowControl w:val="0"/>
              <w:jc w:val="center"/>
              <w:rPr>
                <w:rFonts w:eastAsia="Calibri"/>
                <w:b/>
                <w:sz w:val="20"/>
                <w:szCs w:val="20"/>
              </w:rPr>
            </w:pPr>
            <w:r w:rsidRPr="00074EFD">
              <w:rPr>
                <w:rFonts w:eastAsia="Calibri"/>
                <w:b/>
                <w:sz w:val="20"/>
                <w:szCs w:val="20"/>
              </w:rPr>
              <w:t>Total Annual Burden Hours &amp; Total Annual Cost</w:t>
            </w:r>
            <w:r w:rsidRPr="00074EFD">
              <w:rPr>
                <w:rFonts w:eastAsia="Calibri"/>
                <w:b/>
                <w:sz w:val="20"/>
                <w:szCs w:val="20"/>
                <w:vertAlign w:val="superscript"/>
              </w:rPr>
              <w:footnoteReference w:id="12"/>
            </w:r>
          </w:p>
          <w:p w14:paraId="2D23078E" w14:textId="77777777" w:rsidR="00074EFD" w:rsidRPr="00074EFD" w:rsidRDefault="00074EFD" w:rsidP="00074EFD">
            <w:pPr>
              <w:widowControl w:val="0"/>
              <w:jc w:val="center"/>
              <w:rPr>
                <w:rFonts w:eastAsia="Calibri"/>
                <w:b/>
                <w:sz w:val="20"/>
                <w:szCs w:val="20"/>
              </w:rPr>
            </w:pPr>
            <w:r w:rsidRPr="00074EFD">
              <w:rPr>
                <w:rFonts w:eastAsia="Calibri"/>
                <w:b/>
                <w:sz w:val="20"/>
                <w:szCs w:val="20"/>
              </w:rPr>
              <w:t>(3)*(4)=(5)</w:t>
            </w:r>
          </w:p>
        </w:tc>
        <w:tc>
          <w:tcPr>
            <w:tcW w:w="782" w:type="pct"/>
            <w:shd w:val="clear" w:color="auto" w:fill="D9D9D9"/>
            <w:vAlign w:val="bottom"/>
          </w:tcPr>
          <w:p w14:paraId="33E5A7DB" w14:textId="77777777" w:rsidR="00074EFD" w:rsidRPr="00074EFD" w:rsidRDefault="00074EFD" w:rsidP="00074EFD">
            <w:pPr>
              <w:widowControl w:val="0"/>
              <w:jc w:val="center"/>
              <w:rPr>
                <w:rFonts w:eastAsia="Calibri"/>
                <w:b/>
                <w:sz w:val="20"/>
                <w:szCs w:val="20"/>
              </w:rPr>
            </w:pPr>
            <w:r w:rsidRPr="00074EFD">
              <w:rPr>
                <w:rFonts w:eastAsia="Calibri"/>
                <w:b/>
                <w:sz w:val="20"/>
                <w:szCs w:val="20"/>
              </w:rPr>
              <w:t xml:space="preserve">Annual Costs Per Respondent </w:t>
            </w:r>
          </w:p>
          <w:p w14:paraId="0C654B2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w:t>
            </w:r>
          </w:p>
          <w:p w14:paraId="25012C21" w14:textId="77777777" w:rsidR="00074EFD" w:rsidRPr="00074EFD" w:rsidRDefault="00074EFD" w:rsidP="00074EFD">
            <w:pPr>
              <w:widowControl w:val="0"/>
              <w:jc w:val="center"/>
              <w:rPr>
                <w:rFonts w:eastAsia="Calibri"/>
                <w:b/>
                <w:sz w:val="20"/>
                <w:szCs w:val="20"/>
              </w:rPr>
            </w:pPr>
            <w:r w:rsidRPr="00074EFD">
              <w:rPr>
                <w:rFonts w:eastAsia="Calibri"/>
                <w:b/>
                <w:sz w:val="20"/>
                <w:szCs w:val="20"/>
              </w:rPr>
              <w:t>(5) * (1) = (6)</w:t>
            </w:r>
          </w:p>
        </w:tc>
      </w:tr>
      <w:tr w:rsidR="00074EFD" w:rsidRPr="00074EFD" w14:paraId="3A1BD0DF" w14:textId="77777777" w:rsidTr="008D4689">
        <w:trPr>
          <w:cantSplit/>
        </w:trPr>
        <w:tc>
          <w:tcPr>
            <w:tcW w:w="548" w:type="pct"/>
          </w:tcPr>
          <w:p w14:paraId="4F029D2D" w14:textId="77777777" w:rsidR="00074EFD" w:rsidRPr="00074EFD" w:rsidRDefault="00074EFD" w:rsidP="008F65E6">
            <w:pPr>
              <w:widowControl w:val="0"/>
              <w:rPr>
                <w:rFonts w:eastAsia="Calibri"/>
                <w:sz w:val="20"/>
                <w:szCs w:val="20"/>
              </w:rPr>
            </w:pPr>
            <w:r w:rsidRPr="00074EFD">
              <w:rPr>
                <w:rFonts w:eastAsia="Calibri"/>
                <w:sz w:val="20"/>
                <w:szCs w:val="20"/>
              </w:rPr>
              <w:t>FERC-545 (one-time)</w:t>
            </w:r>
          </w:p>
        </w:tc>
        <w:tc>
          <w:tcPr>
            <w:tcW w:w="791" w:type="pct"/>
          </w:tcPr>
          <w:p w14:paraId="3254B0A0"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768" w:type="pct"/>
          </w:tcPr>
          <w:p w14:paraId="7608A577" w14:textId="77777777" w:rsidR="00074EFD" w:rsidRPr="00074EFD" w:rsidRDefault="00074EFD" w:rsidP="00074EFD">
            <w:pPr>
              <w:widowControl w:val="0"/>
              <w:jc w:val="right"/>
              <w:rPr>
                <w:rFonts w:eastAsia="Calibri"/>
                <w:sz w:val="20"/>
                <w:szCs w:val="20"/>
              </w:rPr>
            </w:pPr>
            <w:r w:rsidRPr="00074EFD">
              <w:rPr>
                <w:rFonts w:eastAsia="Calibri"/>
                <w:sz w:val="20"/>
                <w:szCs w:val="20"/>
              </w:rPr>
              <w:t>1</w:t>
            </w:r>
          </w:p>
        </w:tc>
        <w:tc>
          <w:tcPr>
            <w:tcW w:w="674" w:type="pct"/>
          </w:tcPr>
          <w:p w14:paraId="44C0C10A"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590" w:type="pct"/>
          </w:tcPr>
          <w:p w14:paraId="31BA6B62" w14:textId="77777777" w:rsidR="00074EFD" w:rsidRPr="00074EFD" w:rsidRDefault="00074EFD" w:rsidP="00074EFD">
            <w:pPr>
              <w:widowControl w:val="0"/>
              <w:jc w:val="right"/>
              <w:rPr>
                <w:rFonts w:eastAsia="Calibri"/>
                <w:sz w:val="20"/>
                <w:szCs w:val="20"/>
              </w:rPr>
            </w:pPr>
            <w:r w:rsidRPr="00074EFD">
              <w:rPr>
                <w:rFonts w:eastAsia="Calibri"/>
                <w:sz w:val="20"/>
                <w:szCs w:val="20"/>
              </w:rPr>
              <w:t>10 hrs.;</w:t>
            </w:r>
          </w:p>
          <w:p w14:paraId="57B664C5" w14:textId="77777777" w:rsidR="00074EFD" w:rsidRPr="00074EFD" w:rsidRDefault="00074EFD" w:rsidP="00074EFD">
            <w:pPr>
              <w:widowControl w:val="0"/>
              <w:jc w:val="right"/>
              <w:rPr>
                <w:rFonts w:eastAsia="Calibri"/>
                <w:sz w:val="20"/>
                <w:szCs w:val="20"/>
              </w:rPr>
            </w:pPr>
            <w:r w:rsidRPr="00074EFD">
              <w:rPr>
                <w:rFonts w:eastAsia="Calibri"/>
                <w:sz w:val="20"/>
                <w:szCs w:val="20"/>
              </w:rPr>
              <w:t>$1,020</w:t>
            </w:r>
          </w:p>
        </w:tc>
        <w:tc>
          <w:tcPr>
            <w:tcW w:w="847" w:type="pct"/>
          </w:tcPr>
          <w:p w14:paraId="0B44AF10" w14:textId="77777777" w:rsidR="00074EFD" w:rsidRPr="00074EFD" w:rsidRDefault="00074EFD" w:rsidP="00074EFD">
            <w:pPr>
              <w:widowControl w:val="0"/>
              <w:jc w:val="right"/>
              <w:rPr>
                <w:rFonts w:eastAsia="Calibri"/>
                <w:sz w:val="20"/>
                <w:szCs w:val="20"/>
              </w:rPr>
            </w:pPr>
            <w:r w:rsidRPr="00074EFD">
              <w:rPr>
                <w:rFonts w:eastAsia="Calibri"/>
                <w:sz w:val="20"/>
                <w:szCs w:val="20"/>
              </w:rPr>
              <w:t>1,650 hrs.;</w:t>
            </w:r>
          </w:p>
          <w:p w14:paraId="64FCB5F4" w14:textId="77777777" w:rsidR="00074EFD" w:rsidRPr="00074EFD" w:rsidRDefault="00074EFD" w:rsidP="00074EFD">
            <w:pPr>
              <w:widowControl w:val="0"/>
              <w:jc w:val="right"/>
              <w:rPr>
                <w:rFonts w:eastAsia="Calibri"/>
                <w:sz w:val="20"/>
                <w:szCs w:val="20"/>
              </w:rPr>
            </w:pPr>
            <w:r w:rsidRPr="00074EFD">
              <w:rPr>
                <w:rFonts w:eastAsia="Calibri"/>
                <w:sz w:val="20"/>
                <w:szCs w:val="20"/>
              </w:rPr>
              <w:t>$168,000</w:t>
            </w:r>
          </w:p>
        </w:tc>
        <w:tc>
          <w:tcPr>
            <w:tcW w:w="782" w:type="pct"/>
          </w:tcPr>
          <w:p w14:paraId="4DDD33DF" w14:textId="77777777" w:rsidR="00074EFD" w:rsidRPr="00074EFD" w:rsidRDefault="00074EFD" w:rsidP="00074EFD">
            <w:pPr>
              <w:widowControl w:val="0"/>
              <w:jc w:val="right"/>
              <w:rPr>
                <w:rFonts w:eastAsia="Calibri"/>
                <w:sz w:val="20"/>
                <w:szCs w:val="20"/>
              </w:rPr>
            </w:pPr>
            <w:r w:rsidRPr="00074EFD">
              <w:rPr>
                <w:rFonts w:eastAsia="Calibri"/>
                <w:sz w:val="20"/>
                <w:szCs w:val="20"/>
              </w:rPr>
              <w:t>$1,020</w:t>
            </w:r>
          </w:p>
        </w:tc>
      </w:tr>
      <w:tr w:rsidR="00074EFD" w:rsidRPr="00074EFD" w14:paraId="366A20AA" w14:textId="77777777" w:rsidTr="008D4689">
        <w:trPr>
          <w:cantSplit/>
        </w:trPr>
        <w:tc>
          <w:tcPr>
            <w:tcW w:w="548" w:type="pct"/>
          </w:tcPr>
          <w:p w14:paraId="5828D333" w14:textId="77777777" w:rsidR="00074EFD" w:rsidRPr="00074EFD" w:rsidRDefault="00074EFD" w:rsidP="00074EFD">
            <w:pPr>
              <w:widowControl w:val="0"/>
              <w:rPr>
                <w:rFonts w:eastAsia="Calibri"/>
                <w:sz w:val="20"/>
                <w:szCs w:val="20"/>
              </w:rPr>
            </w:pPr>
            <w:r w:rsidRPr="00074EFD">
              <w:rPr>
                <w:rFonts w:eastAsia="Calibri"/>
                <w:sz w:val="20"/>
                <w:szCs w:val="20"/>
              </w:rPr>
              <w:t>FERC-549C (one-time)</w:t>
            </w:r>
          </w:p>
        </w:tc>
        <w:tc>
          <w:tcPr>
            <w:tcW w:w="791" w:type="pct"/>
          </w:tcPr>
          <w:p w14:paraId="313B43B7"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768" w:type="pct"/>
          </w:tcPr>
          <w:p w14:paraId="49A18471" w14:textId="77777777" w:rsidR="00074EFD" w:rsidRPr="00074EFD" w:rsidRDefault="00074EFD" w:rsidP="00074EFD">
            <w:pPr>
              <w:widowControl w:val="0"/>
              <w:jc w:val="right"/>
              <w:rPr>
                <w:rFonts w:eastAsia="Calibri"/>
                <w:sz w:val="20"/>
                <w:szCs w:val="20"/>
              </w:rPr>
            </w:pPr>
            <w:r w:rsidRPr="00074EFD">
              <w:rPr>
                <w:rFonts w:eastAsia="Calibri"/>
                <w:sz w:val="20"/>
                <w:szCs w:val="20"/>
              </w:rPr>
              <w:t>1</w:t>
            </w:r>
          </w:p>
        </w:tc>
        <w:tc>
          <w:tcPr>
            <w:tcW w:w="674" w:type="pct"/>
          </w:tcPr>
          <w:p w14:paraId="5462CF65"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590" w:type="pct"/>
          </w:tcPr>
          <w:p w14:paraId="6DBB488E" w14:textId="77777777" w:rsidR="00074EFD" w:rsidRPr="00074EFD" w:rsidRDefault="00074EFD" w:rsidP="00074EFD">
            <w:pPr>
              <w:widowControl w:val="0"/>
              <w:jc w:val="right"/>
              <w:rPr>
                <w:rFonts w:eastAsia="Calibri"/>
                <w:sz w:val="20"/>
                <w:szCs w:val="20"/>
              </w:rPr>
            </w:pPr>
            <w:r w:rsidRPr="00074EFD">
              <w:rPr>
                <w:rFonts w:eastAsia="Calibri"/>
                <w:sz w:val="20"/>
                <w:szCs w:val="20"/>
              </w:rPr>
              <w:t>22 hrs.;</w:t>
            </w:r>
          </w:p>
          <w:p w14:paraId="44DB5AE2" w14:textId="77777777" w:rsidR="00074EFD" w:rsidRPr="00074EFD" w:rsidRDefault="00074EFD" w:rsidP="00074EFD">
            <w:pPr>
              <w:widowControl w:val="0"/>
              <w:jc w:val="right"/>
              <w:rPr>
                <w:rFonts w:eastAsia="Calibri"/>
                <w:sz w:val="20"/>
                <w:szCs w:val="20"/>
              </w:rPr>
            </w:pPr>
            <w:r w:rsidRPr="00074EFD">
              <w:rPr>
                <w:rFonts w:eastAsia="Calibri"/>
                <w:sz w:val="20"/>
                <w:szCs w:val="20"/>
              </w:rPr>
              <w:t>$2,244</w:t>
            </w:r>
          </w:p>
        </w:tc>
        <w:tc>
          <w:tcPr>
            <w:tcW w:w="847" w:type="pct"/>
          </w:tcPr>
          <w:p w14:paraId="2E3A6E23" w14:textId="77777777" w:rsidR="00074EFD" w:rsidRPr="00074EFD" w:rsidRDefault="00074EFD" w:rsidP="00074EFD">
            <w:pPr>
              <w:widowControl w:val="0"/>
              <w:jc w:val="right"/>
              <w:rPr>
                <w:rFonts w:eastAsia="Calibri"/>
                <w:sz w:val="20"/>
                <w:szCs w:val="20"/>
              </w:rPr>
            </w:pPr>
            <w:r w:rsidRPr="00074EFD">
              <w:rPr>
                <w:rFonts w:eastAsia="Calibri"/>
                <w:sz w:val="20"/>
                <w:szCs w:val="20"/>
              </w:rPr>
              <w:t>3,630 hrs.;</w:t>
            </w:r>
          </w:p>
          <w:p w14:paraId="12A00CFC" w14:textId="77777777" w:rsidR="00074EFD" w:rsidRPr="00074EFD" w:rsidRDefault="00074EFD" w:rsidP="00074EFD">
            <w:pPr>
              <w:widowControl w:val="0"/>
              <w:jc w:val="right"/>
              <w:rPr>
                <w:rFonts w:eastAsia="Calibri"/>
                <w:sz w:val="20"/>
                <w:szCs w:val="20"/>
              </w:rPr>
            </w:pPr>
            <w:r w:rsidRPr="00074EFD">
              <w:rPr>
                <w:rFonts w:eastAsia="Calibri"/>
                <w:sz w:val="20"/>
                <w:szCs w:val="20"/>
              </w:rPr>
              <w:t>$370,260</w:t>
            </w:r>
          </w:p>
        </w:tc>
        <w:tc>
          <w:tcPr>
            <w:tcW w:w="782" w:type="pct"/>
          </w:tcPr>
          <w:p w14:paraId="211ED1FA" w14:textId="77777777" w:rsidR="00074EFD" w:rsidRPr="00074EFD" w:rsidRDefault="00074EFD" w:rsidP="00074EFD">
            <w:pPr>
              <w:widowControl w:val="0"/>
              <w:jc w:val="right"/>
              <w:rPr>
                <w:rFonts w:eastAsia="Calibri"/>
                <w:sz w:val="20"/>
                <w:szCs w:val="20"/>
              </w:rPr>
            </w:pPr>
            <w:r w:rsidRPr="00074EFD">
              <w:rPr>
                <w:rFonts w:eastAsia="Calibri"/>
                <w:sz w:val="20"/>
                <w:szCs w:val="20"/>
              </w:rPr>
              <w:t>$2,244</w:t>
            </w:r>
          </w:p>
        </w:tc>
      </w:tr>
      <w:tr w:rsidR="00074EFD" w:rsidRPr="00074EFD" w14:paraId="5D33C006" w14:textId="77777777" w:rsidTr="00074EFD">
        <w:trPr>
          <w:cantSplit/>
        </w:trPr>
        <w:tc>
          <w:tcPr>
            <w:tcW w:w="548" w:type="pct"/>
          </w:tcPr>
          <w:p w14:paraId="2073E01E" w14:textId="77777777" w:rsidR="00074EFD" w:rsidRPr="00074EFD" w:rsidRDefault="00074EFD" w:rsidP="00074EFD">
            <w:pPr>
              <w:widowControl w:val="0"/>
              <w:rPr>
                <w:rFonts w:eastAsia="Calibri"/>
                <w:b/>
                <w:sz w:val="20"/>
                <w:szCs w:val="20"/>
              </w:rPr>
            </w:pPr>
            <w:r w:rsidRPr="00074EFD">
              <w:rPr>
                <w:rFonts w:eastAsia="Calibri"/>
                <w:b/>
                <w:sz w:val="20"/>
                <w:szCs w:val="20"/>
              </w:rPr>
              <w:t>TOTAL</w:t>
            </w:r>
          </w:p>
        </w:tc>
        <w:tc>
          <w:tcPr>
            <w:tcW w:w="1559" w:type="pct"/>
            <w:gridSpan w:val="2"/>
            <w:shd w:val="clear" w:color="auto" w:fill="D9D9D9"/>
          </w:tcPr>
          <w:p w14:paraId="1869A7E2" w14:textId="77777777" w:rsidR="00074EFD" w:rsidRPr="00074EFD" w:rsidRDefault="00074EFD" w:rsidP="00074EFD">
            <w:pPr>
              <w:widowControl w:val="0"/>
              <w:jc w:val="right"/>
              <w:rPr>
                <w:rFonts w:eastAsia="Calibri"/>
                <w:sz w:val="20"/>
                <w:szCs w:val="20"/>
              </w:rPr>
            </w:pPr>
          </w:p>
        </w:tc>
        <w:tc>
          <w:tcPr>
            <w:tcW w:w="674" w:type="pct"/>
          </w:tcPr>
          <w:p w14:paraId="285A396F" w14:textId="77777777" w:rsidR="00074EFD" w:rsidRPr="00074EFD" w:rsidRDefault="00074EFD" w:rsidP="00074EFD">
            <w:pPr>
              <w:widowControl w:val="0"/>
              <w:jc w:val="right"/>
              <w:rPr>
                <w:rFonts w:eastAsia="Calibri"/>
                <w:sz w:val="20"/>
                <w:szCs w:val="20"/>
              </w:rPr>
            </w:pPr>
            <w:r w:rsidRPr="00074EFD">
              <w:rPr>
                <w:rFonts w:eastAsia="Calibri"/>
                <w:sz w:val="20"/>
                <w:szCs w:val="20"/>
              </w:rPr>
              <w:t>330</w:t>
            </w:r>
          </w:p>
        </w:tc>
        <w:tc>
          <w:tcPr>
            <w:tcW w:w="590" w:type="pct"/>
            <w:shd w:val="clear" w:color="auto" w:fill="D9D9D9"/>
          </w:tcPr>
          <w:p w14:paraId="285A10DF" w14:textId="77777777" w:rsidR="00074EFD" w:rsidRPr="00074EFD" w:rsidRDefault="00074EFD" w:rsidP="00074EFD">
            <w:pPr>
              <w:widowControl w:val="0"/>
              <w:jc w:val="right"/>
              <w:rPr>
                <w:rFonts w:eastAsia="Calibri"/>
                <w:sz w:val="20"/>
                <w:szCs w:val="20"/>
              </w:rPr>
            </w:pPr>
          </w:p>
        </w:tc>
        <w:tc>
          <w:tcPr>
            <w:tcW w:w="847" w:type="pct"/>
          </w:tcPr>
          <w:p w14:paraId="224601AC" w14:textId="77777777" w:rsidR="00074EFD" w:rsidRPr="00074EFD" w:rsidRDefault="00074EFD" w:rsidP="00074EFD">
            <w:pPr>
              <w:widowControl w:val="0"/>
              <w:jc w:val="right"/>
              <w:rPr>
                <w:rFonts w:eastAsia="Calibri"/>
                <w:sz w:val="20"/>
                <w:szCs w:val="20"/>
              </w:rPr>
            </w:pPr>
            <w:r w:rsidRPr="00074EFD">
              <w:rPr>
                <w:rFonts w:eastAsia="Calibri"/>
                <w:sz w:val="20"/>
                <w:szCs w:val="20"/>
              </w:rPr>
              <w:t>5,280 hrs.;</w:t>
            </w:r>
          </w:p>
          <w:p w14:paraId="72BAE1F9" w14:textId="77777777" w:rsidR="00074EFD" w:rsidRPr="00074EFD" w:rsidRDefault="00074EFD" w:rsidP="00074EFD">
            <w:pPr>
              <w:widowControl w:val="0"/>
              <w:jc w:val="right"/>
              <w:rPr>
                <w:rFonts w:eastAsia="Calibri"/>
                <w:sz w:val="20"/>
                <w:szCs w:val="20"/>
              </w:rPr>
            </w:pPr>
            <w:r w:rsidRPr="00074EFD">
              <w:rPr>
                <w:rFonts w:eastAsia="Calibri"/>
                <w:sz w:val="20"/>
                <w:szCs w:val="20"/>
              </w:rPr>
              <w:t>$538,560</w:t>
            </w:r>
          </w:p>
        </w:tc>
        <w:tc>
          <w:tcPr>
            <w:tcW w:w="782" w:type="pct"/>
            <w:shd w:val="clear" w:color="auto" w:fill="D9D9D9"/>
          </w:tcPr>
          <w:p w14:paraId="067BFA08" w14:textId="77777777" w:rsidR="00074EFD" w:rsidRPr="00074EFD" w:rsidRDefault="00074EFD" w:rsidP="00074EFD">
            <w:pPr>
              <w:widowControl w:val="0"/>
              <w:jc w:val="right"/>
              <w:rPr>
                <w:rFonts w:eastAsia="Calibri"/>
                <w:sz w:val="20"/>
                <w:szCs w:val="20"/>
              </w:rPr>
            </w:pPr>
          </w:p>
        </w:tc>
      </w:tr>
    </w:tbl>
    <w:p w14:paraId="255A8C16" w14:textId="77777777" w:rsidR="00F8150C" w:rsidRPr="00F5428B" w:rsidRDefault="00F8150C" w:rsidP="00F8150C">
      <w:pPr>
        <w:rPr>
          <w:sz w:val="24"/>
        </w:rPr>
      </w:pPr>
    </w:p>
    <w:p w14:paraId="1DBCDCAB" w14:textId="77777777" w:rsidR="00074EFD" w:rsidRPr="005228C3" w:rsidRDefault="00074EFD" w:rsidP="00074EFD">
      <w:pPr>
        <w:pStyle w:val="FERCparanumber"/>
        <w:numPr>
          <w:ilvl w:val="0"/>
          <w:numId w:val="0"/>
        </w:numPr>
        <w:spacing w:before="240"/>
        <w:rPr>
          <w:sz w:val="24"/>
        </w:rPr>
      </w:pPr>
      <w:r w:rsidRPr="005228C3">
        <w:rPr>
          <w:sz w:val="24"/>
        </w:rPr>
        <w:t>The one-time burden (for both the FERC-545 and FERC-549C) will be averaged over three years:</w:t>
      </w:r>
    </w:p>
    <w:p w14:paraId="716A5A32" w14:textId="77777777" w:rsidR="00074EFD" w:rsidRPr="005228C3" w:rsidRDefault="00074EFD" w:rsidP="00074EFD">
      <w:pPr>
        <w:pStyle w:val="FERCparanumber"/>
        <w:numPr>
          <w:ilvl w:val="0"/>
          <w:numId w:val="0"/>
        </w:numPr>
        <w:rPr>
          <w:sz w:val="24"/>
        </w:rPr>
      </w:pPr>
      <w:r w:rsidRPr="005228C3">
        <w:rPr>
          <w:sz w:val="24"/>
        </w:rPr>
        <w:t>FERC-545: 1,650 hours ÷ 3 = 550 hours/year over three years</w:t>
      </w:r>
    </w:p>
    <w:p w14:paraId="18131459" w14:textId="77777777" w:rsidR="00074EFD" w:rsidRPr="005228C3" w:rsidRDefault="00074EFD" w:rsidP="00074EFD">
      <w:pPr>
        <w:pStyle w:val="FERCparanumber"/>
        <w:numPr>
          <w:ilvl w:val="0"/>
          <w:numId w:val="0"/>
        </w:numPr>
        <w:rPr>
          <w:sz w:val="24"/>
        </w:rPr>
      </w:pPr>
      <w:r w:rsidRPr="005228C3">
        <w:rPr>
          <w:sz w:val="24"/>
        </w:rPr>
        <w:t>FERC-549C: 3,630 hours ÷ 3 = 1,210 hours/year over three years</w:t>
      </w:r>
    </w:p>
    <w:p w14:paraId="2F004844" w14:textId="77777777" w:rsidR="00074EFD" w:rsidRPr="005228C3" w:rsidRDefault="00074EFD" w:rsidP="00074EFD">
      <w:pPr>
        <w:pStyle w:val="FERCparanumber"/>
        <w:numPr>
          <w:ilvl w:val="0"/>
          <w:numId w:val="0"/>
        </w:numPr>
        <w:rPr>
          <w:sz w:val="24"/>
        </w:rPr>
      </w:pPr>
    </w:p>
    <w:p w14:paraId="38E11971" w14:textId="77777777" w:rsidR="00074EFD" w:rsidRPr="005228C3" w:rsidRDefault="00074EFD" w:rsidP="00074EFD">
      <w:pPr>
        <w:pStyle w:val="FERCparanumber"/>
        <w:numPr>
          <w:ilvl w:val="0"/>
          <w:numId w:val="0"/>
        </w:numPr>
        <w:rPr>
          <w:sz w:val="24"/>
        </w:rPr>
      </w:pPr>
      <w:r w:rsidRPr="005228C3">
        <w:rPr>
          <w:sz w:val="24"/>
        </w:rPr>
        <w:t>The number of responses is also averaged over three years (for both the FERC-545 and FERC-549C):</w:t>
      </w:r>
    </w:p>
    <w:p w14:paraId="2E99DB7E" w14:textId="77777777" w:rsidR="00074EFD" w:rsidRPr="005228C3" w:rsidRDefault="00074EFD" w:rsidP="00074EFD">
      <w:pPr>
        <w:pStyle w:val="FERCparanumber"/>
        <w:numPr>
          <w:ilvl w:val="0"/>
          <w:numId w:val="0"/>
        </w:numPr>
        <w:rPr>
          <w:sz w:val="24"/>
        </w:rPr>
      </w:pPr>
      <w:r w:rsidRPr="005228C3">
        <w:rPr>
          <w:sz w:val="24"/>
        </w:rPr>
        <w:t>FERC-545: 165 responses ÷ 3 = 55 responses/year</w:t>
      </w:r>
    </w:p>
    <w:p w14:paraId="5F8649A3" w14:textId="77777777" w:rsidR="00074EFD" w:rsidRPr="005228C3" w:rsidRDefault="00074EFD" w:rsidP="00074EFD">
      <w:pPr>
        <w:pStyle w:val="FERCparanumber"/>
        <w:numPr>
          <w:ilvl w:val="0"/>
          <w:numId w:val="0"/>
        </w:numPr>
        <w:rPr>
          <w:sz w:val="24"/>
        </w:rPr>
      </w:pPr>
      <w:r w:rsidRPr="005228C3">
        <w:rPr>
          <w:sz w:val="24"/>
        </w:rPr>
        <w:t>FERC-549C: 165 responses ÷ 3 = 55 responses/year</w:t>
      </w:r>
    </w:p>
    <w:p w14:paraId="3DC3DC64" w14:textId="77777777" w:rsidR="00074EFD" w:rsidRPr="005228C3" w:rsidRDefault="00074EFD" w:rsidP="00074EFD">
      <w:pPr>
        <w:pStyle w:val="FERCparanumber"/>
        <w:numPr>
          <w:ilvl w:val="0"/>
          <w:numId w:val="0"/>
        </w:numPr>
        <w:rPr>
          <w:sz w:val="24"/>
        </w:rPr>
      </w:pPr>
    </w:p>
    <w:p w14:paraId="1DEAAA91" w14:textId="77777777" w:rsidR="00074EFD" w:rsidRPr="005228C3" w:rsidRDefault="00074EFD" w:rsidP="00074EFD">
      <w:pPr>
        <w:pStyle w:val="FERCparanumber"/>
        <w:numPr>
          <w:ilvl w:val="0"/>
          <w:numId w:val="0"/>
        </w:numPr>
        <w:rPr>
          <w:sz w:val="24"/>
        </w:rPr>
      </w:pPr>
      <w:r w:rsidRPr="005228C3">
        <w:rPr>
          <w:sz w:val="24"/>
        </w:rPr>
        <w:t>The responses and burden for Years 1-3 will total respectively as follows:</w:t>
      </w:r>
    </w:p>
    <w:p w14:paraId="4E9E4608" w14:textId="77777777" w:rsidR="00074EFD" w:rsidRPr="005228C3" w:rsidRDefault="00074EFD" w:rsidP="00074EFD">
      <w:pPr>
        <w:pStyle w:val="FERCparanumber"/>
        <w:numPr>
          <w:ilvl w:val="0"/>
          <w:numId w:val="0"/>
        </w:numPr>
        <w:rPr>
          <w:sz w:val="24"/>
        </w:rPr>
      </w:pPr>
      <w:r w:rsidRPr="005228C3">
        <w:rPr>
          <w:sz w:val="24"/>
        </w:rPr>
        <w:t>Year 1: 55 responses; 550 hours (FERC-545); 1,210 hours (FERC-549C)</w:t>
      </w:r>
    </w:p>
    <w:p w14:paraId="28F17414" w14:textId="77777777" w:rsidR="00074EFD" w:rsidRPr="005228C3" w:rsidRDefault="00074EFD" w:rsidP="00074EFD">
      <w:pPr>
        <w:pStyle w:val="FERCparanumber"/>
        <w:numPr>
          <w:ilvl w:val="0"/>
          <w:numId w:val="0"/>
        </w:numPr>
        <w:rPr>
          <w:sz w:val="24"/>
        </w:rPr>
      </w:pPr>
      <w:r w:rsidRPr="005228C3">
        <w:rPr>
          <w:sz w:val="24"/>
        </w:rPr>
        <w:t>Year 2: 55 responses; 550 hours (FERC-545); 1,210 hours (FERC-549C)</w:t>
      </w:r>
    </w:p>
    <w:p w14:paraId="51FEEE91" w14:textId="77777777" w:rsidR="00074EFD" w:rsidRPr="005228C3" w:rsidRDefault="00074EFD" w:rsidP="00074EFD">
      <w:pPr>
        <w:pStyle w:val="FERCparanumber"/>
        <w:numPr>
          <w:ilvl w:val="0"/>
          <w:numId w:val="0"/>
        </w:numPr>
        <w:rPr>
          <w:sz w:val="24"/>
        </w:rPr>
      </w:pPr>
      <w:r w:rsidRPr="005228C3">
        <w:rPr>
          <w:sz w:val="24"/>
        </w:rPr>
        <w:t>Year 3: 55 responses; 550 hours (FERC-545); 1,210 hours (FERC-549C)</w:t>
      </w:r>
    </w:p>
    <w:p w14:paraId="3C131F92" w14:textId="77777777" w:rsidR="008611ED" w:rsidRDefault="008611ED" w:rsidP="00BC15BE">
      <w:pPr>
        <w:rPr>
          <w:sz w:val="24"/>
        </w:rPr>
      </w:pPr>
    </w:p>
    <w:p w14:paraId="44AEF749" w14:textId="77777777" w:rsidR="005409EE" w:rsidRPr="005409EE" w:rsidRDefault="005409EE" w:rsidP="00BC15BE">
      <w:pPr>
        <w:rPr>
          <w:b/>
          <w:sz w:val="24"/>
          <w:u w:val="single"/>
        </w:rPr>
      </w:pPr>
      <w:r w:rsidRPr="005409EE">
        <w:rPr>
          <w:b/>
          <w:sz w:val="24"/>
          <w:u w:val="single"/>
        </w:rPr>
        <w:t>FERC-545(renewal)</w:t>
      </w:r>
    </w:p>
    <w:p w14:paraId="07517DCB" w14:textId="77777777" w:rsidR="005409EE" w:rsidRDefault="005409EE" w:rsidP="00BC15BE">
      <w:pPr>
        <w:rPr>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5409EE" w:rsidRPr="00D77538" w14:paraId="0E276728" w14:textId="77777777" w:rsidTr="008D4689">
        <w:trPr>
          <w:cantSplit/>
        </w:trPr>
        <w:tc>
          <w:tcPr>
            <w:tcW w:w="5000" w:type="pct"/>
            <w:gridSpan w:val="7"/>
            <w:tcBorders>
              <w:bottom w:val="single" w:sz="4" w:space="0" w:color="auto"/>
            </w:tcBorders>
            <w:shd w:val="clear" w:color="auto" w:fill="D9D9D9"/>
          </w:tcPr>
          <w:p w14:paraId="5C539927" w14:textId="77777777" w:rsidR="005409EE" w:rsidRPr="006A60CF" w:rsidRDefault="005409EE" w:rsidP="008D4689">
            <w:pPr>
              <w:jc w:val="center"/>
              <w:rPr>
                <w:rFonts w:eastAsia="Calibri"/>
                <w:b/>
                <w:sz w:val="20"/>
                <w:szCs w:val="20"/>
              </w:rPr>
            </w:pPr>
            <w:r w:rsidRPr="00AD7D3C">
              <w:rPr>
                <w:rFonts w:eastAsia="Calibri"/>
                <w:b/>
                <w:sz w:val="20"/>
                <w:szCs w:val="20"/>
              </w:rPr>
              <w:t>FERC-</w:t>
            </w:r>
            <w:r>
              <w:rPr>
                <w:rFonts w:eastAsia="Calibri"/>
                <w:b/>
                <w:sz w:val="20"/>
                <w:szCs w:val="20"/>
              </w:rPr>
              <w:t>545: Gas Pipeline Rates: Rate Change (Non-Formal)</w:t>
            </w:r>
          </w:p>
        </w:tc>
      </w:tr>
      <w:tr w:rsidR="005409EE" w:rsidRPr="00D77538" w14:paraId="2C7C59FB" w14:textId="77777777" w:rsidTr="008D4689">
        <w:trPr>
          <w:cantSplit/>
        </w:trPr>
        <w:tc>
          <w:tcPr>
            <w:tcW w:w="878" w:type="pct"/>
            <w:shd w:val="clear" w:color="auto" w:fill="D9D9D9"/>
          </w:tcPr>
          <w:p w14:paraId="18AD11EC" w14:textId="77777777" w:rsidR="005409EE" w:rsidRPr="006A60CF" w:rsidRDefault="005409EE" w:rsidP="008D4689">
            <w:pPr>
              <w:jc w:val="center"/>
              <w:rPr>
                <w:rFonts w:eastAsia="Calibri"/>
                <w:b/>
                <w:sz w:val="20"/>
                <w:szCs w:val="20"/>
              </w:rPr>
            </w:pPr>
          </w:p>
        </w:tc>
        <w:tc>
          <w:tcPr>
            <w:tcW w:w="746" w:type="pct"/>
            <w:shd w:val="clear" w:color="auto" w:fill="D9D9D9"/>
            <w:vAlign w:val="bottom"/>
          </w:tcPr>
          <w:p w14:paraId="42953A8A" w14:textId="77777777" w:rsidR="005409EE" w:rsidRPr="006A60CF" w:rsidRDefault="005409EE" w:rsidP="008D4689">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1F395A0" w14:textId="77777777" w:rsidR="005409EE" w:rsidRPr="006A60CF" w:rsidRDefault="005409EE" w:rsidP="008D4689">
            <w:pPr>
              <w:jc w:val="center"/>
              <w:rPr>
                <w:rFonts w:eastAsia="Calibri"/>
                <w:b/>
                <w:sz w:val="20"/>
                <w:szCs w:val="20"/>
              </w:rPr>
            </w:pPr>
            <w:r>
              <w:rPr>
                <w:rFonts w:eastAsia="Calibri"/>
                <w:b/>
                <w:sz w:val="20"/>
                <w:szCs w:val="20"/>
              </w:rPr>
              <w:t>Average</w:t>
            </w:r>
            <w:r w:rsidRPr="006A60CF">
              <w:rPr>
                <w:rFonts w:eastAsia="Calibri"/>
                <w:b/>
                <w:sz w:val="20"/>
                <w:szCs w:val="20"/>
              </w:rPr>
              <w:t xml:space="preserve"> Number of Responses per Respondent</w:t>
            </w:r>
          </w:p>
          <w:p w14:paraId="28BFFEA2" w14:textId="77777777" w:rsidR="005409EE" w:rsidRPr="006A60CF" w:rsidRDefault="005409EE" w:rsidP="008D4689">
            <w:pPr>
              <w:jc w:val="center"/>
              <w:rPr>
                <w:rFonts w:eastAsia="Calibri"/>
                <w:b/>
                <w:sz w:val="20"/>
                <w:szCs w:val="20"/>
              </w:rPr>
            </w:pPr>
            <w:r w:rsidRPr="006A60CF">
              <w:rPr>
                <w:rFonts w:eastAsia="Calibri"/>
                <w:b/>
                <w:sz w:val="20"/>
                <w:szCs w:val="20"/>
              </w:rPr>
              <w:t>(2)</w:t>
            </w:r>
            <w:r>
              <w:rPr>
                <w:rFonts w:eastAsia="Calibri"/>
                <w:b/>
                <w:sz w:val="20"/>
                <w:szCs w:val="20"/>
              </w:rPr>
              <w:t>=(3)÷(1)</w:t>
            </w:r>
            <w:r w:rsidRPr="00741AE3">
              <w:rPr>
                <w:rStyle w:val="FootnoteReference"/>
                <w:rFonts w:eastAsia="Calibri"/>
              </w:rPr>
              <w:footnoteReference w:id="13"/>
            </w:r>
          </w:p>
        </w:tc>
        <w:tc>
          <w:tcPr>
            <w:tcW w:w="703" w:type="pct"/>
            <w:shd w:val="clear" w:color="auto" w:fill="D9D9D9"/>
            <w:vAlign w:val="bottom"/>
          </w:tcPr>
          <w:p w14:paraId="689848B8" w14:textId="77777777" w:rsidR="005409EE" w:rsidRPr="006A60CF" w:rsidRDefault="005409EE" w:rsidP="008D4689">
            <w:pPr>
              <w:jc w:val="center"/>
              <w:rPr>
                <w:rFonts w:eastAsia="Calibri"/>
                <w:b/>
                <w:sz w:val="20"/>
                <w:szCs w:val="20"/>
              </w:rPr>
            </w:pPr>
            <w:r w:rsidRPr="006A60CF">
              <w:rPr>
                <w:rFonts w:eastAsia="Calibri"/>
                <w:b/>
                <w:sz w:val="20"/>
                <w:szCs w:val="20"/>
              </w:rPr>
              <w:t>Total Number of Responses (3)</w:t>
            </w:r>
          </w:p>
        </w:tc>
        <w:tc>
          <w:tcPr>
            <w:tcW w:w="654" w:type="pct"/>
            <w:shd w:val="clear" w:color="auto" w:fill="D9D9D9"/>
            <w:vAlign w:val="bottom"/>
          </w:tcPr>
          <w:p w14:paraId="352A99B4" w14:textId="77777777" w:rsidR="005409EE" w:rsidRPr="005F2E53" w:rsidRDefault="005409EE" w:rsidP="008D4689">
            <w:pPr>
              <w:jc w:val="center"/>
              <w:rPr>
                <w:rFonts w:eastAsia="Calibri"/>
                <w:b/>
                <w:sz w:val="20"/>
                <w:szCs w:val="20"/>
              </w:rPr>
            </w:pPr>
            <w:r w:rsidRPr="005F2E53">
              <w:rPr>
                <w:rFonts w:eastAsia="Calibri"/>
                <w:b/>
                <w:sz w:val="20"/>
                <w:szCs w:val="20"/>
              </w:rPr>
              <w:t xml:space="preserve">Average Burden Hrs. &amp; </w:t>
            </w:r>
            <w:r w:rsidRPr="00D36F12">
              <w:rPr>
                <w:rFonts w:eastAsia="Calibri"/>
                <w:b/>
                <w:sz w:val="20"/>
                <w:szCs w:val="20"/>
              </w:rPr>
              <w:t xml:space="preserve">Cost ($) (rounded) </w:t>
            </w:r>
            <w:r w:rsidRPr="00C60DEA">
              <w:rPr>
                <w:rFonts w:eastAsia="Calibri"/>
                <w:b/>
                <w:sz w:val="20"/>
                <w:szCs w:val="20"/>
              </w:rPr>
              <w:t>Per Response</w:t>
            </w:r>
            <w:r w:rsidRPr="005F2E53">
              <w:rPr>
                <w:rFonts w:eastAsia="Calibri"/>
                <w:b/>
                <w:sz w:val="20"/>
                <w:szCs w:val="20"/>
                <w:vertAlign w:val="superscript"/>
              </w:rPr>
              <w:footnoteReference w:id="14"/>
            </w:r>
            <w:r w:rsidRPr="005F2E53">
              <w:rPr>
                <w:rFonts w:eastAsia="Calibri"/>
                <w:b/>
                <w:sz w:val="20"/>
                <w:szCs w:val="20"/>
              </w:rPr>
              <w:t>,</w:t>
            </w:r>
            <w:r w:rsidRPr="00741AE3">
              <w:rPr>
                <w:rStyle w:val="FootnoteReference"/>
                <w:rFonts w:eastAsia="Calibri"/>
                <w:sz w:val="20"/>
                <w:szCs w:val="20"/>
              </w:rPr>
              <w:footnoteReference w:id="15"/>
            </w:r>
          </w:p>
          <w:p w14:paraId="3E576695" w14:textId="77777777" w:rsidR="005409EE" w:rsidRPr="006A60CF" w:rsidRDefault="005409EE" w:rsidP="008D4689">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A0733F4" w14:textId="77777777" w:rsidR="005409EE" w:rsidRDefault="005409EE" w:rsidP="008D4689">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Pr>
                <w:rFonts w:eastAsia="Calibri"/>
                <w:b/>
                <w:sz w:val="20"/>
                <w:szCs w:val="20"/>
              </w:rPr>
              <w:t xml:space="preserve"> ($)</w:t>
            </w:r>
          </w:p>
          <w:p w14:paraId="4160D89B" w14:textId="77777777" w:rsidR="005409EE" w:rsidRPr="006A60CF" w:rsidRDefault="005409EE" w:rsidP="008D4689">
            <w:pPr>
              <w:jc w:val="center"/>
              <w:rPr>
                <w:rFonts w:eastAsia="Calibri"/>
                <w:b/>
                <w:sz w:val="20"/>
                <w:szCs w:val="20"/>
              </w:rPr>
            </w:pPr>
            <w:r>
              <w:rPr>
                <w:rFonts w:eastAsia="Calibri"/>
                <w:b/>
                <w:sz w:val="20"/>
                <w:szCs w:val="20"/>
              </w:rPr>
              <w:t>(rounded)</w:t>
            </w:r>
          </w:p>
          <w:p w14:paraId="3B62784B" w14:textId="77777777" w:rsidR="005409EE" w:rsidRPr="006A60CF" w:rsidRDefault="005409EE" w:rsidP="008D4689">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BADA1BF" w14:textId="77777777" w:rsidR="005409EE" w:rsidRPr="006A60CF" w:rsidRDefault="005409EE" w:rsidP="008D4689">
            <w:pPr>
              <w:jc w:val="center"/>
              <w:rPr>
                <w:rFonts w:eastAsia="Calibri"/>
                <w:b/>
                <w:sz w:val="20"/>
                <w:szCs w:val="20"/>
              </w:rPr>
            </w:pPr>
            <w:r w:rsidRPr="006A60CF">
              <w:rPr>
                <w:rFonts w:eastAsia="Calibri"/>
                <w:b/>
                <w:sz w:val="20"/>
                <w:szCs w:val="20"/>
              </w:rPr>
              <w:t>Cost per Respondent</w:t>
            </w:r>
          </w:p>
          <w:p w14:paraId="5F2307AF" w14:textId="77777777" w:rsidR="005409EE" w:rsidRDefault="005409EE" w:rsidP="008D4689">
            <w:pPr>
              <w:jc w:val="center"/>
              <w:rPr>
                <w:rFonts w:eastAsia="Calibri"/>
                <w:b/>
                <w:sz w:val="20"/>
                <w:szCs w:val="20"/>
              </w:rPr>
            </w:pPr>
            <w:r w:rsidRPr="006A60CF">
              <w:rPr>
                <w:rFonts w:eastAsia="Calibri"/>
                <w:b/>
                <w:sz w:val="20"/>
                <w:szCs w:val="20"/>
              </w:rPr>
              <w:t xml:space="preserve"> ($)</w:t>
            </w:r>
          </w:p>
          <w:p w14:paraId="5DEAA29C" w14:textId="77777777" w:rsidR="005409EE" w:rsidRPr="006A60CF" w:rsidRDefault="005409EE" w:rsidP="008D4689">
            <w:pPr>
              <w:jc w:val="center"/>
              <w:rPr>
                <w:rFonts w:eastAsia="Calibri"/>
                <w:b/>
                <w:sz w:val="20"/>
                <w:szCs w:val="20"/>
              </w:rPr>
            </w:pPr>
            <w:r>
              <w:rPr>
                <w:rFonts w:eastAsia="Calibri"/>
                <w:b/>
                <w:sz w:val="20"/>
                <w:szCs w:val="20"/>
              </w:rPr>
              <w:t>(rounded)</w:t>
            </w:r>
            <w:r w:rsidRPr="00741AE3">
              <w:rPr>
                <w:rStyle w:val="FootnoteReference"/>
                <w:rFonts w:eastAsia="Calibri"/>
              </w:rPr>
              <w:footnoteReference w:id="16"/>
            </w:r>
          </w:p>
          <w:p w14:paraId="0D6D12F1" w14:textId="77777777" w:rsidR="005409EE" w:rsidRPr="006A60CF" w:rsidRDefault="005409EE" w:rsidP="008D4689">
            <w:pPr>
              <w:jc w:val="center"/>
              <w:rPr>
                <w:rFonts w:eastAsia="Calibri"/>
                <w:b/>
                <w:sz w:val="20"/>
                <w:szCs w:val="20"/>
              </w:rPr>
            </w:pPr>
            <w:r w:rsidRPr="006A60CF">
              <w:rPr>
                <w:rFonts w:eastAsia="Calibri"/>
                <w:b/>
                <w:sz w:val="20"/>
                <w:szCs w:val="20"/>
              </w:rPr>
              <w:t>(5)÷(1)</w:t>
            </w:r>
          </w:p>
        </w:tc>
      </w:tr>
      <w:tr w:rsidR="005409EE" w:rsidRPr="00D77538" w14:paraId="63451DEB" w14:textId="77777777" w:rsidTr="008D4689">
        <w:trPr>
          <w:cantSplit/>
        </w:trPr>
        <w:tc>
          <w:tcPr>
            <w:tcW w:w="878" w:type="pct"/>
          </w:tcPr>
          <w:p w14:paraId="3994AF07" w14:textId="77777777" w:rsidR="005409EE" w:rsidRPr="006A60CF" w:rsidRDefault="005409EE" w:rsidP="008D4689">
            <w:pPr>
              <w:rPr>
                <w:rFonts w:eastAsia="Calibri"/>
                <w:sz w:val="20"/>
                <w:szCs w:val="20"/>
              </w:rPr>
            </w:pPr>
            <w:r>
              <w:rPr>
                <w:rFonts w:eastAsia="Calibri"/>
                <w:sz w:val="20"/>
                <w:szCs w:val="20"/>
              </w:rPr>
              <w:t>Tariff Filings</w:t>
            </w:r>
          </w:p>
        </w:tc>
        <w:tc>
          <w:tcPr>
            <w:tcW w:w="746" w:type="pct"/>
          </w:tcPr>
          <w:p w14:paraId="180B65E7" w14:textId="77777777" w:rsidR="005409EE" w:rsidRPr="006A60CF" w:rsidRDefault="005409EE" w:rsidP="008D4689">
            <w:pPr>
              <w:tabs>
                <w:tab w:val="center" w:pos="657"/>
                <w:tab w:val="right" w:pos="1315"/>
              </w:tabs>
              <w:jc w:val="right"/>
              <w:rPr>
                <w:rFonts w:eastAsia="Calibri"/>
                <w:sz w:val="20"/>
                <w:szCs w:val="20"/>
              </w:rPr>
            </w:pPr>
            <w:r>
              <w:rPr>
                <w:rFonts w:eastAsia="Calibri"/>
                <w:sz w:val="20"/>
                <w:szCs w:val="20"/>
              </w:rPr>
              <w:t>124</w:t>
            </w:r>
          </w:p>
          <w:p w14:paraId="085117E7" w14:textId="77777777" w:rsidR="005409EE" w:rsidRPr="006A60CF" w:rsidRDefault="005409EE" w:rsidP="008D4689">
            <w:pPr>
              <w:jc w:val="right"/>
              <w:rPr>
                <w:rFonts w:eastAsia="Calibri"/>
                <w:sz w:val="20"/>
                <w:szCs w:val="20"/>
              </w:rPr>
            </w:pPr>
          </w:p>
        </w:tc>
        <w:tc>
          <w:tcPr>
            <w:tcW w:w="746" w:type="pct"/>
          </w:tcPr>
          <w:p w14:paraId="2A0EA940" w14:textId="77777777" w:rsidR="005409EE" w:rsidRPr="006A60CF" w:rsidRDefault="005409EE" w:rsidP="008D4689">
            <w:pPr>
              <w:jc w:val="right"/>
              <w:rPr>
                <w:rFonts w:eastAsia="Calibri"/>
                <w:sz w:val="20"/>
                <w:szCs w:val="20"/>
              </w:rPr>
            </w:pPr>
            <w:r>
              <w:rPr>
                <w:rFonts w:eastAsia="Calibri"/>
                <w:sz w:val="20"/>
                <w:szCs w:val="20"/>
              </w:rPr>
              <w:t>2.597</w:t>
            </w:r>
          </w:p>
        </w:tc>
        <w:tc>
          <w:tcPr>
            <w:tcW w:w="703" w:type="pct"/>
          </w:tcPr>
          <w:p w14:paraId="0F7FB5CC" w14:textId="77777777" w:rsidR="005409EE" w:rsidRPr="006A60CF" w:rsidRDefault="005409EE" w:rsidP="008D4689">
            <w:pPr>
              <w:jc w:val="right"/>
              <w:rPr>
                <w:rFonts w:eastAsia="Calibri"/>
                <w:sz w:val="20"/>
                <w:szCs w:val="20"/>
              </w:rPr>
            </w:pPr>
            <w:r>
              <w:rPr>
                <w:rFonts w:eastAsia="Calibri"/>
                <w:sz w:val="20"/>
                <w:szCs w:val="20"/>
              </w:rPr>
              <w:t>322</w:t>
            </w:r>
          </w:p>
        </w:tc>
        <w:tc>
          <w:tcPr>
            <w:tcW w:w="654" w:type="pct"/>
          </w:tcPr>
          <w:p w14:paraId="316E19C5" w14:textId="77777777" w:rsidR="005409EE" w:rsidRDefault="005409EE" w:rsidP="008D4689">
            <w:pPr>
              <w:jc w:val="right"/>
              <w:rPr>
                <w:rFonts w:eastAsia="Calibri"/>
                <w:sz w:val="20"/>
                <w:szCs w:val="20"/>
              </w:rPr>
            </w:pPr>
            <w:r>
              <w:rPr>
                <w:rFonts w:eastAsia="Calibri"/>
                <w:sz w:val="20"/>
                <w:szCs w:val="20"/>
              </w:rPr>
              <w:t>211 hrs.;</w:t>
            </w:r>
          </w:p>
          <w:p w14:paraId="67DF590E" w14:textId="77777777" w:rsidR="005409EE" w:rsidRPr="006A60CF" w:rsidRDefault="005409EE" w:rsidP="008D4689">
            <w:pPr>
              <w:jc w:val="right"/>
              <w:rPr>
                <w:rFonts w:eastAsia="Calibri"/>
                <w:sz w:val="20"/>
                <w:szCs w:val="20"/>
              </w:rPr>
            </w:pPr>
            <w:r>
              <w:rPr>
                <w:rFonts w:eastAsia="Calibri"/>
                <w:sz w:val="20"/>
                <w:szCs w:val="20"/>
              </w:rPr>
              <w:t>$24,054</w:t>
            </w:r>
          </w:p>
        </w:tc>
        <w:tc>
          <w:tcPr>
            <w:tcW w:w="657" w:type="pct"/>
          </w:tcPr>
          <w:p w14:paraId="7E685AA7" w14:textId="77777777" w:rsidR="005409EE" w:rsidRDefault="005409EE" w:rsidP="008D4689">
            <w:pPr>
              <w:jc w:val="right"/>
              <w:rPr>
                <w:rFonts w:eastAsia="Calibri"/>
                <w:sz w:val="20"/>
                <w:szCs w:val="20"/>
              </w:rPr>
            </w:pPr>
            <w:r>
              <w:rPr>
                <w:rFonts w:eastAsia="Calibri"/>
                <w:sz w:val="20"/>
                <w:szCs w:val="20"/>
              </w:rPr>
              <w:t>67,942 hrs.;</w:t>
            </w:r>
          </w:p>
          <w:p w14:paraId="046AC071" w14:textId="77777777" w:rsidR="005409EE" w:rsidRPr="006A60CF" w:rsidRDefault="005409EE" w:rsidP="000C0189">
            <w:pPr>
              <w:jc w:val="right"/>
              <w:rPr>
                <w:rFonts w:eastAsia="Calibri"/>
                <w:sz w:val="20"/>
                <w:szCs w:val="20"/>
              </w:rPr>
            </w:pPr>
            <w:r>
              <w:rPr>
                <w:rFonts w:eastAsia="Calibri"/>
                <w:sz w:val="20"/>
                <w:szCs w:val="20"/>
              </w:rPr>
              <w:t>$7,745,388</w:t>
            </w:r>
          </w:p>
        </w:tc>
        <w:tc>
          <w:tcPr>
            <w:tcW w:w="616" w:type="pct"/>
          </w:tcPr>
          <w:p w14:paraId="0E6567A0" w14:textId="77777777" w:rsidR="005409EE" w:rsidRPr="006A60CF" w:rsidRDefault="005409EE" w:rsidP="000C0189">
            <w:pPr>
              <w:jc w:val="right"/>
              <w:rPr>
                <w:rFonts w:eastAsia="Calibri"/>
                <w:sz w:val="20"/>
                <w:szCs w:val="20"/>
              </w:rPr>
            </w:pPr>
            <w:r>
              <w:rPr>
                <w:rFonts w:eastAsia="Calibri"/>
                <w:sz w:val="20"/>
                <w:szCs w:val="20"/>
              </w:rPr>
              <w:t>$62,463</w:t>
            </w:r>
          </w:p>
        </w:tc>
      </w:tr>
      <w:tr w:rsidR="005409EE" w:rsidRPr="00D77538" w14:paraId="3B023F70" w14:textId="77777777" w:rsidTr="008D4689">
        <w:trPr>
          <w:cantSplit/>
        </w:trPr>
        <w:tc>
          <w:tcPr>
            <w:tcW w:w="878" w:type="pct"/>
          </w:tcPr>
          <w:p w14:paraId="6D99B46F" w14:textId="77777777" w:rsidR="005409EE" w:rsidRDefault="005409EE" w:rsidP="008D4689">
            <w:pPr>
              <w:rPr>
                <w:rFonts w:eastAsia="Calibri"/>
                <w:sz w:val="20"/>
                <w:szCs w:val="20"/>
              </w:rPr>
            </w:pPr>
            <w:r>
              <w:rPr>
                <w:rFonts w:eastAsia="Calibri"/>
                <w:sz w:val="20"/>
                <w:szCs w:val="20"/>
              </w:rPr>
              <w:t>Rate Filings</w:t>
            </w:r>
          </w:p>
        </w:tc>
        <w:tc>
          <w:tcPr>
            <w:tcW w:w="746" w:type="pct"/>
          </w:tcPr>
          <w:p w14:paraId="3CABEE07" w14:textId="77777777" w:rsidR="005409EE" w:rsidRDefault="005409EE" w:rsidP="008D4689">
            <w:pPr>
              <w:tabs>
                <w:tab w:val="center" w:pos="657"/>
                <w:tab w:val="right" w:pos="1315"/>
              </w:tabs>
              <w:jc w:val="right"/>
              <w:rPr>
                <w:rFonts w:eastAsia="Calibri"/>
                <w:sz w:val="20"/>
                <w:szCs w:val="20"/>
              </w:rPr>
            </w:pPr>
            <w:r>
              <w:rPr>
                <w:rFonts w:eastAsia="Calibri"/>
                <w:sz w:val="20"/>
                <w:szCs w:val="20"/>
              </w:rPr>
              <w:t>17</w:t>
            </w:r>
          </w:p>
        </w:tc>
        <w:tc>
          <w:tcPr>
            <w:tcW w:w="746" w:type="pct"/>
          </w:tcPr>
          <w:p w14:paraId="2AD74502" w14:textId="77777777" w:rsidR="005409EE" w:rsidRDefault="005409EE" w:rsidP="008D4689">
            <w:pPr>
              <w:jc w:val="right"/>
              <w:rPr>
                <w:rFonts w:eastAsia="Calibri"/>
                <w:sz w:val="20"/>
                <w:szCs w:val="20"/>
              </w:rPr>
            </w:pPr>
            <w:r>
              <w:rPr>
                <w:rFonts w:eastAsia="Calibri"/>
                <w:sz w:val="20"/>
                <w:szCs w:val="20"/>
              </w:rPr>
              <w:t>1.412</w:t>
            </w:r>
          </w:p>
        </w:tc>
        <w:tc>
          <w:tcPr>
            <w:tcW w:w="703" w:type="pct"/>
          </w:tcPr>
          <w:p w14:paraId="1F7F15A0" w14:textId="77777777" w:rsidR="005409EE" w:rsidRDefault="005409EE" w:rsidP="008D4689">
            <w:pPr>
              <w:jc w:val="right"/>
              <w:rPr>
                <w:rFonts w:eastAsia="Calibri"/>
                <w:sz w:val="20"/>
                <w:szCs w:val="20"/>
              </w:rPr>
            </w:pPr>
            <w:r>
              <w:rPr>
                <w:rFonts w:eastAsia="Calibri"/>
                <w:sz w:val="20"/>
                <w:szCs w:val="20"/>
              </w:rPr>
              <w:t>24</w:t>
            </w:r>
          </w:p>
        </w:tc>
        <w:tc>
          <w:tcPr>
            <w:tcW w:w="654" w:type="pct"/>
          </w:tcPr>
          <w:p w14:paraId="696D61EE" w14:textId="77777777" w:rsidR="005409EE" w:rsidRDefault="005409EE" w:rsidP="008D4689">
            <w:pPr>
              <w:jc w:val="right"/>
              <w:rPr>
                <w:rFonts w:eastAsia="Calibri"/>
                <w:sz w:val="20"/>
                <w:szCs w:val="20"/>
              </w:rPr>
            </w:pPr>
            <w:r>
              <w:rPr>
                <w:rFonts w:eastAsia="Calibri"/>
                <w:sz w:val="20"/>
                <w:szCs w:val="20"/>
              </w:rPr>
              <w:t>354 hrs.;</w:t>
            </w:r>
          </w:p>
          <w:p w14:paraId="2452DA41" w14:textId="77777777" w:rsidR="005409EE" w:rsidRDefault="005409EE" w:rsidP="008D4689">
            <w:pPr>
              <w:jc w:val="right"/>
              <w:rPr>
                <w:rFonts w:eastAsia="Calibri"/>
                <w:sz w:val="20"/>
                <w:szCs w:val="20"/>
              </w:rPr>
            </w:pPr>
            <w:r>
              <w:rPr>
                <w:rFonts w:eastAsia="Calibri"/>
                <w:sz w:val="20"/>
                <w:szCs w:val="20"/>
              </w:rPr>
              <w:t>$40,356</w:t>
            </w:r>
          </w:p>
        </w:tc>
        <w:tc>
          <w:tcPr>
            <w:tcW w:w="657" w:type="pct"/>
          </w:tcPr>
          <w:p w14:paraId="198BAD95" w14:textId="77777777" w:rsidR="005409EE" w:rsidRDefault="005409EE" w:rsidP="008D4689">
            <w:pPr>
              <w:jc w:val="right"/>
              <w:rPr>
                <w:rFonts w:eastAsia="Calibri"/>
                <w:sz w:val="20"/>
                <w:szCs w:val="20"/>
              </w:rPr>
            </w:pPr>
            <w:r>
              <w:rPr>
                <w:rFonts w:eastAsia="Calibri"/>
                <w:sz w:val="20"/>
                <w:szCs w:val="20"/>
              </w:rPr>
              <w:t>8,496 hrs.;</w:t>
            </w:r>
          </w:p>
          <w:p w14:paraId="1E8EE8ED" w14:textId="77777777" w:rsidR="005409EE" w:rsidRDefault="005409EE" w:rsidP="000C0189">
            <w:pPr>
              <w:jc w:val="right"/>
              <w:rPr>
                <w:rFonts w:eastAsia="Calibri"/>
                <w:sz w:val="20"/>
                <w:szCs w:val="20"/>
              </w:rPr>
            </w:pPr>
            <w:r>
              <w:rPr>
                <w:rFonts w:eastAsia="Calibri"/>
                <w:sz w:val="20"/>
                <w:szCs w:val="20"/>
              </w:rPr>
              <w:t>$968,544</w:t>
            </w:r>
          </w:p>
        </w:tc>
        <w:tc>
          <w:tcPr>
            <w:tcW w:w="616" w:type="pct"/>
          </w:tcPr>
          <w:p w14:paraId="6B8A7D9F" w14:textId="77777777" w:rsidR="005409EE" w:rsidRDefault="005409EE" w:rsidP="000C0189">
            <w:pPr>
              <w:jc w:val="right"/>
              <w:rPr>
                <w:rFonts w:eastAsia="Calibri"/>
                <w:sz w:val="20"/>
                <w:szCs w:val="20"/>
              </w:rPr>
            </w:pPr>
            <w:r>
              <w:rPr>
                <w:rFonts w:eastAsia="Calibri"/>
                <w:sz w:val="20"/>
                <w:szCs w:val="20"/>
              </w:rPr>
              <w:t>$56,973</w:t>
            </w:r>
          </w:p>
        </w:tc>
      </w:tr>
      <w:tr w:rsidR="005409EE" w:rsidRPr="00D77538" w14:paraId="01B33A5A" w14:textId="77777777" w:rsidTr="008D4689">
        <w:trPr>
          <w:cantSplit/>
        </w:trPr>
        <w:tc>
          <w:tcPr>
            <w:tcW w:w="878" w:type="pct"/>
          </w:tcPr>
          <w:p w14:paraId="60487D22" w14:textId="77777777" w:rsidR="005409EE" w:rsidRPr="006A60CF" w:rsidRDefault="005409EE" w:rsidP="008D4689">
            <w:pPr>
              <w:rPr>
                <w:rFonts w:eastAsia="Calibri"/>
                <w:sz w:val="20"/>
                <w:szCs w:val="20"/>
              </w:rPr>
            </w:pPr>
            <w:r>
              <w:rPr>
                <w:rFonts w:eastAsia="Calibri"/>
                <w:sz w:val="20"/>
                <w:szCs w:val="20"/>
              </w:rPr>
              <w:t>Informational Reports</w:t>
            </w:r>
          </w:p>
        </w:tc>
        <w:tc>
          <w:tcPr>
            <w:tcW w:w="746" w:type="pct"/>
          </w:tcPr>
          <w:p w14:paraId="57F56C33" w14:textId="77777777" w:rsidR="005409EE" w:rsidRPr="006A60CF" w:rsidRDefault="005409EE" w:rsidP="008D4689">
            <w:pPr>
              <w:jc w:val="right"/>
              <w:rPr>
                <w:rFonts w:eastAsia="Calibri"/>
                <w:sz w:val="20"/>
                <w:szCs w:val="20"/>
              </w:rPr>
            </w:pPr>
            <w:r>
              <w:rPr>
                <w:rFonts w:eastAsia="Calibri"/>
                <w:sz w:val="20"/>
                <w:szCs w:val="20"/>
              </w:rPr>
              <w:t>101</w:t>
            </w:r>
          </w:p>
        </w:tc>
        <w:tc>
          <w:tcPr>
            <w:tcW w:w="746" w:type="pct"/>
          </w:tcPr>
          <w:p w14:paraId="7D44BB1D" w14:textId="77777777" w:rsidR="005409EE" w:rsidRPr="006A60CF" w:rsidRDefault="005409EE" w:rsidP="008D4689">
            <w:pPr>
              <w:jc w:val="right"/>
              <w:rPr>
                <w:rFonts w:eastAsia="Calibri"/>
                <w:sz w:val="20"/>
                <w:szCs w:val="20"/>
              </w:rPr>
            </w:pPr>
            <w:r>
              <w:rPr>
                <w:rFonts w:eastAsia="Calibri"/>
                <w:sz w:val="20"/>
                <w:szCs w:val="20"/>
              </w:rPr>
              <w:t>2.347</w:t>
            </w:r>
          </w:p>
        </w:tc>
        <w:tc>
          <w:tcPr>
            <w:tcW w:w="703" w:type="pct"/>
          </w:tcPr>
          <w:p w14:paraId="50CB3887" w14:textId="77777777" w:rsidR="005409EE" w:rsidRPr="006A60CF" w:rsidRDefault="005409EE" w:rsidP="008D4689">
            <w:pPr>
              <w:jc w:val="right"/>
              <w:rPr>
                <w:rFonts w:eastAsia="Calibri"/>
                <w:sz w:val="20"/>
                <w:szCs w:val="20"/>
              </w:rPr>
            </w:pPr>
            <w:r>
              <w:rPr>
                <w:rFonts w:eastAsia="Calibri"/>
                <w:sz w:val="20"/>
                <w:szCs w:val="20"/>
              </w:rPr>
              <w:t>237</w:t>
            </w:r>
          </w:p>
        </w:tc>
        <w:tc>
          <w:tcPr>
            <w:tcW w:w="654" w:type="pct"/>
          </w:tcPr>
          <w:p w14:paraId="1F446996" w14:textId="77777777" w:rsidR="005409EE" w:rsidRDefault="005409EE" w:rsidP="008D4689">
            <w:pPr>
              <w:jc w:val="right"/>
              <w:rPr>
                <w:rFonts w:eastAsia="Calibri"/>
                <w:sz w:val="20"/>
                <w:szCs w:val="20"/>
              </w:rPr>
            </w:pPr>
            <w:r>
              <w:rPr>
                <w:rFonts w:eastAsia="Calibri"/>
                <w:sz w:val="20"/>
                <w:szCs w:val="20"/>
              </w:rPr>
              <w:t>235 hrs.;</w:t>
            </w:r>
          </w:p>
          <w:p w14:paraId="1E937177" w14:textId="77777777" w:rsidR="005409EE" w:rsidRPr="006A60CF" w:rsidRDefault="005409EE" w:rsidP="008D4689">
            <w:pPr>
              <w:jc w:val="right"/>
              <w:rPr>
                <w:rFonts w:eastAsia="Calibri"/>
                <w:sz w:val="20"/>
                <w:szCs w:val="20"/>
              </w:rPr>
            </w:pPr>
            <w:r>
              <w:rPr>
                <w:rFonts w:eastAsia="Calibri"/>
                <w:sz w:val="20"/>
                <w:szCs w:val="20"/>
              </w:rPr>
              <w:t>$26,790</w:t>
            </w:r>
          </w:p>
        </w:tc>
        <w:tc>
          <w:tcPr>
            <w:tcW w:w="657" w:type="pct"/>
          </w:tcPr>
          <w:p w14:paraId="1974B122" w14:textId="77777777" w:rsidR="005409EE" w:rsidRDefault="005409EE" w:rsidP="008D4689">
            <w:pPr>
              <w:jc w:val="right"/>
              <w:rPr>
                <w:rFonts w:eastAsia="Calibri"/>
                <w:sz w:val="20"/>
                <w:szCs w:val="20"/>
              </w:rPr>
            </w:pPr>
            <w:r>
              <w:rPr>
                <w:rFonts w:eastAsia="Calibri"/>
                <w:sz w:val="20"/>
                <w:szCs w:val="20"/>
              </w:rPr>
              <w:t>55,695 hrs.;</w:t>
            </w:r>
          </w:p>
          <w:p w14:paraId="2CBC2318" w14:textId="77777777" w:rsidR="005409EE" w:rsidRPr="006A60CF" w:rsidRDefault="005409EE" w:rsidP="000C0189">
            <w:pPr>
              <w:jc w:val="right"/>
              <w:rPr>
                <w:rFonts w:eastAsia="Calibri"/>
                <w:sz w:val="20"/>
                <w:szCs w:val="20"/>
              </w:rPr>
            </w:pPr>
            <w:r>
              <w:rPr>
                <w:rFonts w:eastAsia="Calibri"/>
                <w:sz w:val="20"/>
                <w:szCs w:val="20"/>
              </w:rPr>
              <w:t>$6,349,230</w:t>
            </w:r>
          </w:p>
        </w:tc>
        <w:tc>
          <w:tcPr>
            <w:tcW w:w="616" w:type="pct"/>
          </w:tcPr>
          <w:p w14:paraId="489B1CF8" w14:textId="77777777" w:rsidR="005409EE" w:rsidRPr="006A60CF" w:rsidRDefault="005409EE" w:rsidP="000C0189">
            <w:pPr>
              <w:jc w:val="right"/>
              <w:rPr>
                <w:rFonts w:eastAsia="Calibri"/>
                <w:sz w:val="20"/>
                <w:szCs w:val="20"/>
              </w:rPr>
            </w:pPr>
            <w:r>
              <w:rPr>
                <w:rFonts w:eastAsia="Calibri"/>
                <w:sz w:val="20"/>
                <w:szCs w:val="20"/>
              </w:rPr>
              <w:t>$62,864</w:t>
            </w:r>
          </w:p>
        </w:tc>
      </w:tr>
      <w:tr w:rsidR="005409EE" w:rsidRPr="00D77538" w14:paraId="4137841C" w14:textId="77777777" w:rsidTr="008D4689">
        <w:trPr>
          <w:cantSplit/>
          <w:trHeight w:val="485"/>
        </w:trPr>
        <w:tc>
          <w:tcPr>
            <w:tcW w:w="878" w:type="pct"/>
            <w:tcBorders>
              <w:bottom w:val="single" w:sz="4" w:space="0" w:color="auto"/>
            </w:tcBorders>
          </w:tcPr>
          <w:p w14:paraId="53D24385" w14:textId="77777777" w:rsidR="005409EE" w:rsidRPr="002D61EC" w:rsidRDefault="005409EE" w:rsidP="008D4689">
            <w:pPr>
              <w:rPr>
                <w:rFonts w:eastAsia="Calibri"/>
                <w:sz w:val="20"/>
                <w:szCs w:val="20"/>
              </w:rPr>
            </w:pPr>
            <w:r>
              <w:rPr>
                <w:rFonts w:eastAsia="Calibri"/>
                <w:sz w:val="20"/>
                <w:szCs w:val="20"/>
              </w:rPr>
              <w:t>Negotiated Rates &amp; Non-Conforming Agreement Filings</w:t>
            </w:r>
          </w:p>
        </w:tc>
        <w:tc>
          <w:tcPr>
            <w:tcW w:w="746" w:type="pct"/>
            <w:tcBorders>
              <w:bottom w:val="single" w:sz="4" w:space="0" w:color="auto"/>
            </w:tcBorders>
            <w:shd w:val="clear" w:color="auto" w:fill="auto"/>
          </w:tcPr>
          <w:p w14:paraId="44752155" w14:textId="77777777" w:rsidR="005409EE" w:rsidRPr="006A60CF" w:rsidRDefault="005409EE" w:rsidP="008D4689">
            <w:pPr>
              <w:jc w:val="right"/>
              <w:rPr>
                <w:rFonts w:eastAsia="Calibri"/>
                <w:sz w:val="20"/>
                <w:szCs w:val="20"/>
              </w:rPr>
            </w:pPr>
            <w:r>
              <w:rPr>
                <w:rFonts w:eastAsia="Calibri"/>
                <w:sz w:val="20"/>
                <w:szCs w:val="20"/>
              </w:rPr>
              <w:t>65</w:t>
            </w:r>
          </w:p>
        </w:tc>
        <w:tc>
          <w:tcPr>
            <w:tcW w:w="746" w:type="pct"/>
            <w:tcBorders>
              <w:bottom w:val="single" w:sz="4" w:space="0" w:color="auto"/>
            </w:tcBorders>
            <w:shd w:val="clear" w:color="auto" w:fill="auto"/>
          </w:tcPr>
          <w:p w14:paraId="5C8C8674" w14:textId="77777777" w:rsidR="005409EE" w:rsidRPr="006A60CF" w:rsidRDefault="005409EE" w:rsidP="008D4689">
            <w:pPr>
              <w:jc w:val="right"/>
              <w:rPr>
                <w:rFonts w:eastAsia="Calibri"/>
                <w:sz w:val="20"/>
                <w:szCs w:val="20"/>
              </w:rPr>
            </w:pPr>
            <w:r>
              <w:rPr>
                <w:rFonts w:eastAsia="Calibri"/>
                <w:sz w:val="20"/>
                <w:szCs w:val="20"/>
              </w:rPr>
              <w:t>9.923</w:t>
            </w:r>
          </w:p>
        </w:tc>
        <w:tc>
          <w:tcPr>
            <w:tcW w:w="703" w:type="pct"/>
            <w:tcBorders>
              <w:bottom w:val="single" w:sz="4" w:space="0" w:color="auto"/>
            </w:tcBorders>
            <w:shd w:val="clear" w:color="auto" w:fill="auto"/>
          </w:tcPr>
          <w:p w14:paraId="160F0269" w14:textId="77777777" w:rsidR="005409EE" w:rsidRPr="00B620F1" w:rsidRDefault="005409EE" w:rsidP="008D4689">
            <w:pPr>
              <w:jc w:val="right"/>
              <w:rPr>
                <w:rFonts w:eastAsia="Calibri"/>
                <w:sz w:val="20"/>
                <w:szCs w:val="20"/>
              </w:rPr>
            </w:pPr>
            <w:r>
              <w:rPr>
                <w:rFonts w:eastAsia="Calibri"/>
                <w:sz w:val="20"/>
                <w:szCs w:val="20"/>
              </w:rPr>
              <w:t>645</w:t>
            </w:r>
          </w:p>
        </w:tc>
        <w:tc>
          <w:tcPr>
            <w:tcW w:w="654" w:type="pct"/>
            <w:tcBorders>
              <w:bottom w:val="single" w:sz="4" w:space="0" w:color="auto"/>
            </w:tcBorders>
            <w:shd w:val="clear" w:color="auto" w:fill="auto"/>
          </w:tcPr>
          <w:p w14:paraId="58DC29B2" w14:textId="77777777" w:rsidR="005409EE" w:rsidRDefault="005409EE" w:rsidP="008D4689">
            <w:pPr>
              <w:jc w:val="right"/>
              <w:rPr>
                <w:rFonts w:eastAsia="Calibri"/>
                <w:sz w:val="20"/>
                <w:szCs w:val="20"/>
              </w:rPr>
            </w:pPr>
            <w:r>
              <w:rPr>
                <w:rFonts w:eastAsia="Calibri"/>
                <w:sz w:val="20"/>
                <w:szCs w:val="20"/>
              </w:rPr>
              <w:t>233 hrs.;</w:t>
            </w:r>
          </w:p>
          <w:p w14:paraId="11386A4F" w14:textId="77777777" w:rsidR="005409EE" w:rsidRPr="006A60CF" w:rsidRDefault="005409EE" w:rsidP="008D4689">
            <w:pPr>
              <w:jc w:val="right"/>
              <w:rPr>
                <w:rFonts w:eastAsia="Calibri"/>
                <w:sz w:val="20"/>
                <w:szCs w:val="20"/>
              </w:rPr>
            </w:pPr>
            <w:r>
              <w:rPr>
                <w:rFonts w:eastAsia="Calibri"/>
                <w:sz w:val="20"/>
                <w:szCs w:val="20"/>
              </w:rPr>
              <w:t>$26,562</w:t>
            </w:r>
          </w:p>
        </w:tc>
        <w:tc>
          <w:tcPr>
            <w:tcW w:w="657" w:type="pct"/>
            <w:tcBorders>
              <w:bottom w:val="single" w:sz="4" w:space="0" w:color="auto"/>
            </w:tcBorders>
            <w:shd w:val="clear" w:color="auto" w:fill="auto"/>
          </w:tcPr>
          <w:p w14:paraId="3C53079B" w14:textId="77777777" w:rsidR="005409EE" w:rsidRPr="009006A3" w:rsidRDefault="005409EE" w:rsidP="008D4689">
            <w:pPr>
              <w:jc w:val="right"/>
              <w:rPr>
                <w:rFonts w:eastAsia="Calibri"/>
                <w:sz w:val="20"/>
                <w:szCs w:val="20"/>
              </w:rPr>
            </w:pPr>
            <w:r w:rsidRPr="009006A3">
              <w:rPr>
                <w:rFonts w:eastAsia="Calibri"/>
                <w:sz w:val="20"/>
                <w:szCs w:val="20"/>
              </w:rPr>
              <w:t>150,285 hrs.;</w:t>
            </w:r>
          </w:p>
          <w:p w14:paraId="585793E8" w14:textId="77777777" w:rsidR="005409EE" w:rsidRPr="009006A3" w:rsidRDefault="005409EE" w:rsidP="008D4689">
            <w:pPr>
              <w:jc w:val="right"/>
              <w:rPr>
                <w:rFonts w:eastAsia="Calibri"/>
                <w:sz w:val="20"/>
                <w:szCs w:val="20"/>
              </w:rPr>
            </w:pPr>
            <w:r w:rsidRPr="009006A3">
              <w:rPr>
                <w:rFonts w:eastAsia="Calibri"/>
                <w:sz w:val="20"/>
                <w:szCs w:val="20"/>
              </w:rPr>
              <w:t>$</w:t>
            </w:r>
            <w:r>
              <w:rPr>
                <w:rFonts w:eastAsia="Calibri"/>
                <w:sz w:val="20"/>
                <w:szCs w:val="20"/>
              </w:rPr>
              <w:t>17,132,490</w:t>
            </w:r>
          </w:p>
        </w:tc>
        <w:tc>
          <w:tcPr>
            <w:tcW w:w="616" w:type="pct"/>
            <w:tcBorders>
              <w:bottom w:val="single" w:sz="4" w:space="0" w:color="auto"/>
            </w:tcBorders>
            <w:shd w:val="clear" w:color="auto" w:fill="auto"/>
          </w:tcPr>
          <w:p w14:paraId="32D219E0" w14:textId="77777777" w:rsidR="005409EE" w:rsidRPr="00ED4B32" w:rsidRDefault="005409EE" w:rsidP="008D4689">
            <w:pPr>
              <w:jc w:val="right"/>
              <w:rPr>
                <w:rFonts w:eastAsia="Calibri"/>
                <w:sz w:val="20"/>
                <w:szCs w:val="20"/>
              </w:rPr>
            </w:pPr>
            <w:r w:rsidRPr="00ED4B32">
              <w:rPr>
                <w:rFonts w:eastAsia="Calibri"/>
                <w:sz w:val="20"/>
                <w:szCs w:val="20"/>
              </w:rPr>
              <w:t>$263,577</w:t>
            </w:r>
          </w:p>
        </w:tc>
      </w:tr>
      <w:tr w:rsidR="005409EE" w:rsidRPr="00D77538" w14:paraId="33340AA9" w14:textId="77777777" w:rsidTr="008D4689">
        <w:trPr>
          <w:cantSplit/>
          <w:trHeight w:val="485"/>
        </w:trPr>
        <w:tc>
          <w:tcPr>
            <w:tcW w:w="878" w:type="pct"/>
            <w:tcBorders>
              <w:bottom w:val="single" w:sz="4" w:space="0" w:color="auto"/>
            </w:tcBorders>
            <w:shd w:val="clear" w:color="auto" w:fill="auto"/>
          </w:tcPr>
          <w:p w14:paraId="09D408EE" w14:textId="77777777" w:rsidR="005409EE" w:rsidRPr="009006A3" w:rsidRDefault="005409EE" w:rsidP="008D4689">
            <w:pPr>
              <w:rPr>
                <w:rFonts w:eastAsia="Calibri"/>
                <w:sz w:val="20"/>
                <w:szCs w:val="20"/>
              </w:rPr>
            </w:pPr>
            <w:r w:rsidRPr="009006A3">
              <w:rPr>
                <w:rFonts w:eastAsia="Calibri"/>
                <w:sz w:val="20"/>
                <w:szCs w:val="20"/>
              </w:rPr>
              <w:t>Market-Base Rates</w:t>
            </w:r>
            <w:r>
              <w:rPr>
                <w:rFonts w:eastAsia="Calibri"/>
                <w:sz w:val="20"/>
                <w:szCs w:val="20"/>
              </w:rPr>
              <w:t xml:space="preserve"> for</w:t>
            </w:r>
            <w:r w:rsidRPr="009006A3">
              <w:rPr>
                <w:rFonts w:eastAsia="Calibri"/>
                <w:sz w:val="20"/>
                <w:szCs w:val="20"/>
              </w:rPr>
              <w:t xml:space="preserve"> Storage Filings</w:t>
            </w:r>
          </w:p>
        </w:tc>
        <w:tc>
          <w:tcPr>
            <w:tcW w:w="746" w:type="pct"/>
            <w:tcBorders>
              <w:bottom w:val="single" w:sz="4" w:space="0" w:color="auto"/>
            </w:tcBorders>
            <w:shd w:val="clear" w:color="auto" w:fill="auto"/>
          </w:tcPr>
          <w:p w14:paraId="26675560" w14:textId="77777777" w:rsidR="005409EE" w:rsidRPr="009006A3" w:rsidRDefault="005409EE" w:rsidP="008D4689">
            <w:pPr>
              <w:jc w:val="right"/>
              <w:rPr>
                <w:rFonts w:eastAsia="Calibri"/>
                <w:sz w:val="20"/>
                <w:szCs w:val="20"/>
              </w:rPr>
            </w:pPr>
            <w:r w:rsidRPr="009006A3">
              <w:rPr>
                <w:rFonts w:eastAsia="Calibri"/>
                <w:sz w:val="20"/>
                <w:szCs w:val="20"/>
              </w:rPr>
              <w:t>4</w:t>
            </w:r>
          </w:p>
        </w:tc>
        <w:tc>
          <w:tcPr>
            <w:tcW w:w="746" w:type="pct"/>
            <w:tcBorders>
              <w:bottom w:val="single" w:sz="4" w:space="0" w:color="auto"/>
            </w:tcBorders>
            <w:shd w:val="clear" w:color="auto" w:fill="auto"/>
          </w:tcPr>
          <w:p w14:paraId="6542FF37" w14:textId="77777777" w:rsidR="005409EE" w:rsidRPr="009006A3" w:rsidRDefault="005409EE" w:rsidP="008D4689">
            <w:pPr>
              <w:jc w:val="right"/>
              <w:rPr>
                <w:rFonts w:eastAsia="Calibri"/>
                <w:sz w:val="20"/>
                <w:szCs w:val="20"/>
              </w:rPr>
            </w:pPr>
            <w:r w:rsidRPr="009006A3">
              <w:rPr>
                <w:rFonts w:eastAsia="Calibri"/>
                <w:sz w:val="20"/>
                <w:szCs w:val="20"/>
              </w:rPr>
              <w:t>1</w:t>
            </w:r>
          </w:p>
        </w:tc>
        <w:tc>
          <w:tcPr>
            <w:tcW w:w="703" w:type="pct"/>
            <w:tcBorders>
              <w:bottom w:val="single" w:sz="4" w:space="0" w:color="auto"/>
            </w:tcBorders>
            <w:shd w:val="clear" w:color="auto" w:fill="auto"/>
          </w:tcPr>
          <w:p w14:paraId="5645DBC9" w14:textId="77777777" w:rsidR="005409EE" w:rsidRPr="009006A3" w:rsidRDefault="005409EE" w:rsidP="008D4689">
            <w:pPr>
              <w:jc w:val="right"/>
              <w:rPr>
                <w:rFonts w:eastAsia="Calibri"/>
                <w:sz w:val="20"/>
                <w:szCs w:val="20"/>
              </w:rPr>
            </w:pPr>
            <w:r w:rsidRPr="009006A3">
              <w:rPr>
                <w:rFonts w:eastAsia="Calibri"/>
                <w:sz w:val="20"/>
                <w:szCs w:val="20"/>
              </w:rPr>
              <w:t>4</w:t>
            </w:r>
          </w:p>
        </w:tc>
        <w:tc>
          <w:tcPr>
            <w:tcW w:w="654" w:type="pct"/>
            <w:tcBorders>
              <w:bottom w:val="single" w:sz="4" w:space="0" w:color="auto"/>
            </w:tcBorders>
            <w:shd w:val="clear" w:color="auto" w:fill="auto"/>
          </w:tcPr>
          <w:p w14:paraId="510DA30F" w14:textId="77777777" w:rsidR="005409EE" w:rsidRPr="009006A3" w:rsidRDefault="005409EE" w:rsidP="008D4689">
            <w:pPr>
              <w:jc w:val="right"/>
              <w:rPr>
                <w:rFonts w:eastAsia="Calibri"/>
                <w:sz w:val="20"/>
                <w:szCs w:val="20"/>
              </w:rPr>
            </w:pPr>
            <w:r w:rsidRPr="009006A3">
              <w:rPr>
                <w:rFonts w:eastAsia="Calibri"/>
                <w:sz w:val="20"/>
                <w:szCs w:val="20"/>
              </w:rPr>
              <w:t>230 hrs.;</w:t>
            </w:r>
          </w:p>
          <w:p w14:paraId="133545A7" w14:textId="77777777" w:rsidR="005409EE" w:rsidRPr="009006A3" w:rsidRDefault="005409EE" w:rsidP="008D4689">
            <w:pPr>
              <w:jc w:val="right"/>
              <w:rPr>
                <w:rFonts w:eastAsia="Calibri"/>
                <w:sz w:val="20"/>
                <w:szCs w:val="20"/>
              </w:rPr>
            </w:pPr>
            <w:r w:rsidRPr="009006A3">
              <w:rPr>
                <w:rFonts w:eastAsia="Calibri"/>
                <w:sz w:val="20"/>
                <w:szCs w:val="20"/>
              </w:rPr>
              <w:t>$</w:t>
            </w:r>
            <w:r>
              <w:rPr>
                <w:rFonts w:eastAsia="Calibri"/>
                <w:sz w:val="20"/>
                <w:szCs w:val="20"/>
              </w:rPr>
              <w:t>26,220</w:t>
            </w:r>
          </w:p>
        </w:tc>
        <w:tc>
          <w:tcPr>
            <w:tcW w:w="657" w:type="pct"/>
            <w:tcBorders>
              <w:bottom w:val="single" w:sz="4" w:space="0" w:color="auto"/>
            </w:tcBorders>
            <w:shd w:val="clear" w:color="auto" w:fill="auto"/>
          </w:tcPr>
          <w:p w14:paraId="7DBDCAEA" w14:textId="77777777" w:rsidR="005409EE" w:rsidRPr="009006A3" w:rsidRDefault="005409EE" w:rsidP="008D4689">
            <w:pPr>
              <w:jc w:val="right"/>
              <w:rPr>
                <w:rFonts w:eastAsia="Calibri"/>
                <w:sz w:val="20"/>
                <w:szCs w:val="20"/>
              </w:rPr>
            </w:pPr>
            <w:r w:rsidRPr="009006A3">
              <w:rPr>
                <w:rFonts w:eastAsia="Calibri"/>
                <w:sz w:val="20"/>
                <w:szCs w:val="20"/>
              </w:rPr>
              <w:t>920 hrs.;</w:t>
            </w:r>
          </w:p>
          <w:p w14:paraId="751E7C80" w14:textId="77777777" w:rsidR="005409EE" w:rsidRPr="009006A3" w:rsidRDefault="005409EE" w:rsidP="008D4689">
            <w:pPr>
              <w:jc w:val="right"/>
              <w:rPr>
                <w:rFonts w:eastAsia="Calibri"/>
                <w:sz w:val="20"/>
                <w:szCs w:val="20"/>
              </w:rPr>
            </w:pPr>
            <w:r w:rsidRPr="009006A3">
              <w:rPr>
                <w:rFonts w:eastAsia="Calibri"/>
                <w:sz w:val="20"/>
                <w:szCs w:val="20"/>
              </w:rPr>
              <w:t>$</w:t>
            </w:r>
            <w:r>
              <w:rPr>
                <w:rFonts w:eastAsia="Calibri"/>
                <w:sz w:val="20"/>
                <w:szCs w:val="20"/>
              </w:rPr>
              <w:t>104,880</w:t>
            </w:r>
          </w:p>
        </w:tc>
        <w:tc>
          <w:tcPr>
            <w:tcW w:w="616" w:type="pct"/>
            <w:tcBorders>
              <w:bottom w:val="single" w:sz="4" w:space="0" w:color="auto"/>
            </w:tcBorders>
            <w:shd w:val="clear" w:color="auto" w:fill="auto"/>
          </w:tcPr>
          <w:p w14:paraId="2D9B2054" w14:textId="77777777" w:rsidR="005409EE" w:rsidRPr="009006A3" w:rsidRDefault="005409EE" w:rsidP="008D4689">
            <w:pPr>
              <w:jc w:val="right"/>
              <w:rPr>
                <w:rFonts w:eastAsia="Calibri"/>
                <w:sz w:val="20"/>
                <w:szCs w:val="20"/>
              </w:rPr>
            </w:pPr>
            <w:r>
              <w:rPr>
                <w:rFonts w:eastAsia="Calibri"/>
                <w:sz w:val="20"/>
                <w:szCs w:val="20"/>
              </w:rPr>
              <w:t>$26,220</w:t>
            </w:r>
          </w:p>
        </w:tc>
      </w:tr>
      <w:tr w:rsidR="005409EE" w:rsidRPr="00D77538" w14:paraId="510AE000" w14:textId="77777777" w:rsidTr="008D4689">
        <w:trPr>
          <w:cantSplit/>
          <w:trHeight w:val="485"/>
        </w:trPr>
        <w:tc>
          <w:tcPr>
            <w:tcW w:w="878" w:type="pct"/>
            <w:tcBorders>
              <w:bottom w:val="single" w:sz="4" w:space="0" w:color="auto"/>
            </w:tcBorders>
          </w:tcPr>
          <w:p w14:paraId="6E89CE8F" w14:textId="77777777" w:rsidR="005409EE" w:rsidRPr="006A60CF" w:rsidRDefault="005409EE" w:rsidP="008D4689">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37C623A2" w14:textId="77777777" w:rsidR="005409EE" w:rsidRPr="006A60CF" w:rsidRDefault="005409EE" w:rsidP="008D4689">
            <w:pPr>
              <w:jc w:val="right"/>
              <w:rPr>
                <w:rFonts w:eastAsia="Calibri"/>
                <w:sz w:val="20"/>
                <w:szCs w:val="20"/>
              </w:rPr>
            </w:pPr>
          </w:p>
        </w:tc>
        <w:tc>
          <w:tcPr>
            <w:tcW w:w="703" w:type="pct"/>
            <w:tcBorders>
              <w:bottom w:val="single" w:sz="4" w:space="0" w:color="auto"/>
            </w:tcBorders>
            <w:shd w:val="clear" w:color="auto" w:fill="auto"/>
          </w:tcPr>
          <w:p w14:paraId="4751D60B" w14:textId="77777777" w:rsidR="005409EE" w:rsidRPr="006A60CF" w:rsidRDefault="005409EE" w:rsidP="008D4689">
            <w:pPr>
              <w:jc w:val="right"/>
              <w:rPr>
                <w:rFonts w:eastAsia="Calibri"/>
                <w:b/>
                <w:sz w:val="20"/>
                <w:szCs w:val="20"/>
              </w:rPr>
            </w:pPr>
            <w:r>
              <w:rPr>
                <w:rFonts w:eastAsia="Calibri"/>
                <w:b/>
                <w:sz w:val="20"/>
                <w:szCs w:val="20"/>
              </w:rPr>
              <w:t>1,232</w:t>
            </w:r>
          </w:p>
        </w:tc>
        <w:tc>
          <w:tcPr>
            <w:tcW w:w="654" w:type="pct"/>
            <w:tcBorders>
              <w:bottom w:val="single" w:sz="4" w:space="0" w:color="auto"/>
            </w:tcBorders>
            <w:shd w:val="clear" w:color="auto" w:fill="D9D9D9"/>
          </w:tcPr>
          <w:p w14:paraId="298D35D2" w14:textId="77777777" w:rsidR="005409EE" w:rsidRPr="006A60CF" w:rsidRDefault="005409EE" w:rsidP="008D4689">
            <w:pPr>
              <w:jc w:val="right"/>
              <w:rPr>
                <w:rFonts w:eastAsia="Calibri"/>
                <w:sz w:val="20"/>
                <w:szCs w:val="20"/>
              </w:rPr>
            </w:pPr>
          </w:p>
        </w:tc>
        <w:tc>
          <w:tcPr>
            <w:tcW w:w="657" w:type="pct"/>
            <w:tcBorders>
              <w:bottom w:val="single" w:sz="4" w:space="0" w:color="auto"/>
            </w:tcBorders>
          </w:tcPr>
          <w:p w14:paraId="29567A41" w14:textId="77777777" w:rsidR="005409EE" w:rsidRDefault="005409EE" w:rsidP="008D4689">
            <w:pPr>
              <w:jc w:val="right"/>
              <w:rPr>
                <w:rFonts w:eastAsia="Calibri"/>
                <w:b/>
                <w:sz w:val="20"/>
                <w:szCs w:val="20"/>
              </w:rPr>
            </w:pPr>
            <w:r>
              <w:rPr>
                <w:rFonts w:eastAsia="Calibri"/>
                <w:b/>
                <w:sz w:val="20"/>
                <w:szCs w:val="20"/>
              </w:rPr>
              <w:t>283,338 hrs.;</w:t>
            </w:r>
          </w:p>
          <w:p w14:paraId="759CD598" w14:textId="77777777" w:rsidR="005409EE" w:rsidRPr="006A60CF" w:rsidRDefault="005409EE" w:rsidP="000C0189">
            <w:pPr>
              <w:jc w:val="right"/>
              <w:rPr>
                <w:rFonts w:eastAsia="Calibri"/>
                <w:b/>
                <w:sz w:val="20"/>
                <w:szCs w:val="20"/>
              </w:rPr>
            </w:pPr>
            <w:r>
              <w:rPr>
                <w:rFonts w:eastAsia="Calibri"/>
                <w:b/>
                <w:sz w:val="20"/>
                <w:szCs w:val="20"/>
              </w:rPr>
              <w:t>$32,300,532</w:t>
            </w:r>
          </w:p>
        </w:tc>
        <w:tc>
          <w:tcPr>
            <w:tcW w:w="616" w:type="pct"/>
            <w:tcBorders>
              <w:bottom w:val="single" w:sz="4" w:space="0" w:color="auto"/>
            </w:tcBorders>
            <w:shd w:val="clear" w:color="auto" w:fill="D9D9D9" w:themeFill="background1" w:themeFillShade="D9"/>
          </w:tcPr>
          <w:p w14:paraId="1CBB1B16" w14:textId="77777777" w:rsidR="005409EE" w:rsidRPr="006A60CF" w:rsidRDefault="005409EE" w:rsidP="008D4689">
            <w:pPr>
              <w:jc w:val="right"/>
              <w:rPr>
                <w:rFonts w:eastAsia="Calibri"/>
                <w:b/>
                <w:sz w:val="20"/>
                <w:szCs w:val="20"/>
              </w:rPr>
            </w:pPr>
          </w:p>
        </w:tc>
      </w:tr>
    </w:tbl>
    <w:p w14:paraId="29404501" w14:textId="77777777" w:rsidR="005409EE" w:rsidRDefault="005409EE" w:rsidP="00BC15BE">
      <w:pPr>
        <w:rPr>
          <w:sz w:val="24"/>
        </w:rPr>
      </w:pPr>
    </w:p>
    <w:p w14:paraId="2BC648B7" w14:textId="77777777" w:rsidR="002D4D89" w:rsidRDefault="002D4D89" w:rsidP="00BC15BE">
      <w:pPr>
        <w:rPr>
          <w:b/>
          <w:sz w:val="24"/>
          <w:u w:val="single"/>
        </w:rPr>
      </w:pPr>
    </w:p>
    <w:p w14:paraId="21A40B83" w14:textId="3308ADBA" w:rsidR="005409EE" w:rsidRPr="002D4D89" w:rsidRDefault="00E34C4E" w:rsidP="00BC15BE">
      <w:pPr>
        <w:rPr>
          <w:b/>
          <w:sz w:val="24"/>
          <w:u w:val="single"/>
        </w:rPr>
      </w:pPr>
      <w:r w:rsidRPr="002D4D89">
        <w:rPr>
          <w:b/>
          <w:sz w:val="24"/>
          <w:u w:val="single"/>
        </w:rPr>
        <w:t>Total requested</w:t>
      </w:r>
      <w:r w:rsidR="002D4D89">
        <w:rPr>
          <w:b/>
          <w:sz w:val="24"/>
          <w:u w:val="single"/>
        </w:rPr>
        <w:t xml:space="preserve"> responses and burden for FERC-545</w:t>
      </w:r>
      <w:r w:rsidR="002D4D89" w:rsidRPr="002D4D89">
        <w:rPr>
          <w:b/>
          <w:sz w:val="24"/>
          <w:u w:val="single"/>
        </w:rPr>
        <w:t>:</w:t>
      </w:r>
      <w:r w:rsidR="009F020C">
        <w:rPr>
          <w:rStyle w:val="FootnoteReference"/>
          <w:b w:val="0"/>
          <w:u w:val="single"/>
        </w:rPr>
        <w:footnoteReference w:id="17"/>
      </w:r>
    </w:p>
    <w:p w14:paraId="4AFACFF3" w14:textId="0CF10678" w:rsidR="002D4D89" w:rsidRDefault="002D4D89" w:rsidP="00BC15BE">
      <w:pPr>
        <w:rPr>
          <w:sz w:val="24"/>
        </w:rPr>
      </w:pPr>
      <w:r>
        <w:rPr>
          <w:sz w:val="24"/>
        </w:rPr>
        <w:t>Annual response: 55 response/year (due to Final Rule in RM96-1-041) + 1,232 responses/year (FERC-545 renewal) = 1,287 responses/year.</w:t>
      </w:r>
    </w:p>
    <w:p w14:paraId="181B295B" w14:textId="77777777" w:rsidR="002D4D89" w:rsidRDefault="002D4D89" w:rsidP="00BC15BE">
      <w:pPr>
        <w:rPr>
          <w:sz w:val="24"/>
        </w:rPr>
      </w:pPr>
    </w:p>
    <w:p w14:paraId="149BCF6E" w14:textId="01C18D00" w:rsidR="00462F10" w:rsidRDefault="002D4D89" w:rsidP="00BC15BE">
      <w:pPr>
        <w:rPr>
          <w:sz w:val="24"/>
        </w:rPr>
      </w:pPr>
      <w:r>
        <w:rPr>
          <w:sz w:val="24"/>
        </w:rPr>
        <w:t>Annual hourly burden 550 hours (due to Final Rule in R</w:t>
      </w:r>
      <w:r w:rsidR="00162EBD">
        <w:rPr>
          <w:sz w:val="24"/>
        </w:rPr>
        <w:t>M</w:t>
      </w:r>
      <w:r>
        <w:rPr>
          <w:sz w:val="24"/>
        </w:rPr>
        <w:t>96-1-041) + 283,338 hours (FERC-545 renewal) = 283,888 hours/year.</w:t>
      </w:r>
    </w:p>
    <w:p w14:paraId="25D7FD95" w14:textId="77777777" w:rsidR="00E34C4E" w:rsidRPr="00F5428B" w:rsidRDefault="00E34C4E" w:rsidP="00BC15BE">
      <w:pPr>
        <w:rPr>
          <w:sz w:val="24"/>
        </w:rPr>
      </w:pPr>
    </w:p>
    <w:p w14:paraId="2D5A5365" w14:textId="77777777" w:rsidR="00BC15BE" w:rsidRPr="00F5428B" w:rsidRDefault="00BC15BE" w:rsidP="00BC15BE">
      <w:pPr>
        <w:pStyle w:val="Level1"/>
        <w:rPr>
          <w:b/>
        </w:rPr>
      </w:pPr>
      <w:r w:rsidRPr="00F5428B">
        <w:rPr>
          <w:b/>
        </w:rPr>
        <w:t>ESTIMATE OF THE TOTAL ANNUAL COST BURDEN TO RESPONDENTS</w:t>
      </w:r>
    </w:p>
    <w:p w14:paraId="7D3E0302" w14:textId="77777777" w:rsidR="00BC15BE" w:rsidRPr="00F5428B" w:rsidRDefault="00BC15BE" w:rsidP="00BC15BE">
      <w:pPr>
        <w:rPr>
          <w:sz w:val="24"/>
        </w:rPr>
      </w:pPr>
    </w:p>
    <w:p w14:paraId="4F066234" w14:textId="77777777" w:rsidR="005228C3" w:rsidRDefault="005228C3" w:rsidP="00BC15BE">
      <w:pPr>
        <w:rPr>
          <w:b/>
          <w:sz w:val="24"/>
          <w:u w:val="single"/>
        </w:rPr>
      </w:pPr>
      <w:r w:rsidRPr="00950A2F">
        <w:rPr>
          <w:b/>
          <w:sz w:val="24"/>
          <w:u w:val="single"/>
        </w:rPr>
        <w:t>F</w:t>
      </w:r>
      <w:r w:rsidR="00F86954">
        <w:rPr>
          <w:b/>
          <w:sz w:val="24"/>
          <w:u w:val="single"/>
        </w:rPr>
        <w:t>inal Rule in Docket RM96-1-041 and FERC-545</w:t>
      </w:r>
      <w:r w:rsidR="00533037">
        <w:rPr>
          <w:b/>
          <w:sz w:val="24"/>
          <w:u w:val="single"/>
        </w:rPr>
        <w:t xml:space="preserve"> </w:t>
      </w:r>
      <w:r w:rsidR="00577E07">
        <w:rPr>
          <w:b/>
          <w:sz w:val="24"/>
          <w:u w:val="single"/>
        </w:rPr>
        <w:t>(renewal)</w:t>
      </w:r>
    </w:p>
    <w:p w14:paraId="42F2561B" w14:textId="77777777" w:rsidR="008F65E6" w:rsidRDefault="008F65E6" w:rsidP="00BC15BE">
      <w:pPr>
        <w:rPr>
          <w:sz w:val="24"/>
        </w:rPr>
      </w:pPr>
    </w:p>
    <w:p w14:paraId="65DE3541" w14:textId="06E416ED" w:rsidR="00BC15BE" w:rsidRPr="00F5428B" w:rsidRDefault="00F8150C" w:rsidP="00BC15BE">
      <w:pPr>
        <w:rPr>
          <w:sz w:val="24"/>
        </w:rPr>
      </w:pPr>
      <w:r w:rsidRPr="00F5428B">
        <w:rPr>
          <w:sz w:val="24"/>
        </w:rPr>
        <w:t>There are no capital or start-up costs for the requirements in the Final Rule in RM96-1-0</w:t>
      </w:r>
      <w:r w:rsidR="00D36F12">
        <w:rPr>
          <w:sz w:val="24"/>
        </w:rPr>
        <w:t>41</w:t>
      </w:r>
      <w:r w:rsidRPr="00F5428B">
        <w:rPr>
          <w:sz w:val="24"/>
        </w:rPr>
        <w:t xml:space="preserve">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14:paraId="18ADEA96" w14:textId="77777777" w:rsidR="00F8150C" w:rsidRPr="00F5428B" w:rsidRDefault="00F8150C" w:rsidP="00BC15BE">
      <w:pPr>
        <w:rPr>
          <w:sz w:val="24"/>
        </w:rPr>
      </w:pPr>
    </w:p>
    <w:p w14:paraId="630D4C84" w14:textId="77777777" w:rsidR="00BC15BE" w:rsidRPr="00F5428B" w:rsidRDefault="00BC15BE" w:rsidP="00BC15BE">
      <w:pPr>
        <w:pStyle w:val="Level1"/>
        <w:rPr>
          <w:b/>
        </w:rPr>
      </w:pPr>
      <w:r w:rsidRPr="00F5428B">
        <w:rPr>
          <w:b/>
        </w:rPr>
        <w:t>ESTIMATED ANNUALIZED COST TO FEDERAL GOVERNMENT</w:t>
      </w:r>
    </w:p>
    <w:p w14:paraId="103D3D7F" w14:textId="77777777" w:rsidR="00BC15BE" w:rsidRPr="00F5428B" w:rsidRDefault="00BC15BE" w:rsidP="00BC15BE">
      <w:pPr>
        <w:rPr>
          <w:sz w:val="24"/>
        </w:rPr>
      </w:pPr>
    </w:p>
    <w:p w14:paraId="186CE6F0" w14:textId="77777777" w:rsidR="003D2136" w:rsidRPr="00F5428B" w:rsidRDefault="003D2136" w:rsidP="003D2136">
      <w:pPr>
        <w:rPr>
          <w:sz w:val="24"/>
          <w:vertAlign w:val="superscript"/>
        </w:rPr>
      </w:pPr>
      <w:r w:rsidRPr="00F5428B">
        <w:rPr>
          <w:sz w:val="24"/>
        </w:rPr>
        <w:t>The following federal costs relate only to the new requirements in the Final Rule.</w:t>
      </w:r>
      <w:r w:rsidRPr="00F5428B" w:rsidDel="00807E75">
        <w:rPr>
          <w:sz w:val="24"/>
          <w:vertAlign w:val="superscript"/>
        </w:rPr>
        <w:t xml:space="preserve"> </w:t>
      </w:r>
    </w:p>
    <w:p w14:paraId="24E448B3" w14:textId="77777777" w:rsidR="002C118D" w:rsidRPr="00F5428B" w:rsidRDefault="002C118D" w:rsidP="002C118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2C118D" w:rsidRPr="00F5428B" w14:paraId="76270073" w14:textId="77777777" w:rsidTr="008D4689">
        <w:tc>
          <w:tcPr>
            <w:tcW w:w="3200" w:type="dxa"/>
            <w:shd w:val="clear" w:color="auto" w:fill="CCCCCC"/>
          </w:tcPr>
          <w:p w14:paraId="64C5C7C1" w14:textId="77777777" w:rsidR="002C118D" w:rsidRPr="00F5428B" w:rsidRDefault="002C118D" w:rsidP="008D4689">
            <w:pPr>
              <w:rPr>
                <w:sz w:val="24"/>
              </w:rPr>
            </w:pPr>
          </w:p>
        </w:tc>
        <w:tc>
          <w:tcPr>
            <w:tcW w:w="3192" w:type="dxa"/>
            <w:shd w:val="clear" w:color="auto" w:fill="CCCCCC"/>
            <w:vAlign w:val="bottom"/>
          </w:tcPr>
          <w:p w14:paraId="128D10F5" w14:textId="77777777" w:rsidR="002C118D" w:rsidRPr="00F5428B" w:rsidRDefault="002C118D" w:rsidP="008D4689">
            <w:pPr>
              <w:jc w:val="center"/>
              <w:rPr>
                <w:b/>
                <w:sz w:val="24"/>
              </w:rPr>
            </w:pPr>
            <w:r w:rsidRPr="00F5428B">
              <w:rPr>
                <w:b/>
                <w:sz w:val="24"/>
              </w:rPr>
              <w:t>Number of Hours or FTE’s</w:t>
            </w:r>
          </w:p>
        </w:tc>
        <w:tc>
          <w:tcPr>
            <w:tcW w:w="3184" w:type="dxa"/>
            <w:shd w:val="clear" w:color="auto" w:fill="CCCCCC"/>
            <w:vAlign w:val="bottom"/>
          </w:tcPr>
          <w:p w14:paraId="48D03250" w14:textId="77777777" w:rsidR="002C118D" w:rsidRPr="00F5428B" w:rsidRDefault="002C118D" w:rsidP="008D4689">
            <w:pPr>
              <w:jc w:val="center"/>
              <w:rPr>
                <w:b/>
                <w:sz w:val="24"/>
              </w:rPr>
            </w:pPr>
            <w:r w:rsidRPr="00F5428B">
              <w:rPr>
                <w:b/>
                <w:sz w:val="24"/>
              </w:rPr>
              <w:t>Estimated Annual Federal Cost ($)</w:t>
            </w:r>
            <w:r w:rsidRPr="00F5428B">
              <w:rPr>
                <w:sz w:val="24"/>
                <w:vertAlign w:val="superscript"/>
              </w:rPr>
              <w:footnoteReference w:id="18"/>
            </w:r>
            <w:r w:rsidRPr="00F5428B">
              <w:rPr>
                <w:b/>
                <w:sz w:val="24"/>
              </w:rPr>
              <w:t xml:space="preserve"> </w:t>
            </w:r>
          </w:p>
        </w:tc>
      </w:tr>
      <w:tr w:rsidR="002C118D" w:rsidRPr="00E37BB0" w14:paraId="5823F039" w14:textId="77777777" w:rsidTr="008D4689">
        <w:tc>
          <w:tcPr>
            <w:tcW w:w="3200" w:type="dxa"/>
          </w:tcPr>
          <w:p w14:paraId="5149305D" w14:textId="659DC968" w:rsidR="002C118D" w:rsidRPr="00F5428B" w:rsidRDefault="002C118D" w:rsidP="008D4689">
            <w:pPr>
              <w:rPr>
                <w:sz w:val="24"/>
              </w:rPr>
            </w:pPr>
            <w:r w:rsidRPr="00F5428B">
              <w:rPr>
                <w:sz w:val="24"/>
              </w:rPr>
              <w:t>PRA</w:t>
            </w:r>
            <w:r w:rsidRPr="00F5428B">
              <w:rPr>
                <w:rStyle w:val="FootnoteReference"/>
                <w:sz w:val="24"/>
                <w:szCs w:val="24"/>
              </w:rPr>
              <w:footnoteReference w:id="19"/>
            </w:r>
            <w:r w:rsidRPr="00F5428B">
              <w:rPr>
                <w:sz w:val="24"/>
              </w:rPr>
              <w:t xml:space="preserve"> Administration Cost</w:t>
            </w:r>
            <w:r w:rsidRPr="00F5428B">
              <w:rPr>
                <w:sz w:val="24"/>
                <w:vertAlign w:val="superscript"/>
              </w:rPr>
              <w:footnoteReference w:id="20"/>
            </w:r>
          </w:p>
        </w:tc>
        <w:tc>
          <w:tcPr>
            <w:tcW w:w="3192" w:type="dxa"/>
            <w:shd w:val="clear" w:color="auto" w:fill="FFFFFF"/>
            <w:vAlign w:val="bottom"/>
          </w:tcPr>
          <w:p w14:paraId="7FD151E6" w14:textId="77777777" w:rsidR="002C118D" w:rsidRPr="00F5428B" w:rsidRDefault="002C118D" w:rsidP="008D4689">
            <w:pPr>
              <w:jc w:val="right"/>
              <w:rPr>
                <w:sz w:val="24"/>
              </w:rPr>
            </w:pPr>
            <w:r w:rsidRPr="00F5428B">
              <w:rPr>
                <w:sz w:val="24"/>
              </w:rPr>
              <w:t>-</w:t>
            </w:r>
          </w:p>
        </w:tc>
        <w:tc>
          <w:tcPr>
            <w:tcW w:w="3184" w:type="dxa"/>
            <w:vAlign w:val="bottom"/>
          </w:tcPr>
          <w:p w14:paraId="1C3FD6E6" w14:textId="4F9F1FB7" w:rsidR="002C118D" w:rsidRPr="00E37BB0" w:rsidRDefault="00565AA0" w:rsidP="008D4689">
            <w:pPr>
              <w:jc w:val="right"/>
              <w:rPr>
                <w:sz w:val="24"/>
              </w:rPr>
            </w:pPr>
            <w:r w:rsidRPr="00E37BB0">
              <w:rPr>
                <w:sz w:val="24"/>
              </w:rPr>
              <w:t>$ 4,193</w:t>
            </w:r>
            <w:r w:rsidR="00A277D4" w:rsidRPr="00E37BB0">
              <w:rPr>
                <w:rStyle w:val="FootnoteReference"/>
                <w:b w:val="0"/>
              </w:rPr>
              <w:footnoteReference w:id="21"/>
            </w:r>
          </w:p>
        </w:tc>
      </w:tr>
      <w:tr w:rsidR="002C118D" w:rsidRPr="00F5428B" w14:paraId="69BB6999" w14:textId="77777777" w:rsidTr="008D4689">
        <w:tc>
          <w:tcPr>
            <w:tcW w:w="3200" w:type="dxa"/>
            <w:vAlign w:val="bottom"/>
          </w:tcPr>
          <w:p w14:paraId="75C39D29" w14:textId="77777777" w:rsidR="002C118D" w:rsidRPr="00F5428B" w:rsidRDefault="002C118D" w:rsidP="008D4689">
            <w:pPr>
              <w:ind w:left="720"/>
              <w:jc w:val="right"/>
              <w:rPr>
                <w:i/>
                <w:sz w:val="24"/>
              </w:rPr>
            </w:pPr>
            <w:r w:rsidRPr="00F5428B">
              <w:rPr>
                <w:sz w:val="24"/>
              </w:rPr>
              <w:t>Data Processing and Analysis, Sub-Total</w:t>
            </w:r>
            <w:r w:rsidRPr="00E37BB0">
              <w:rPr>
                <w:rStyle w:val="FootnoteReference"/>
                <w:b w:val="0"/>
                <w:sz w:val="24"/>
                <w:szCs w:val="24"/>
              </w:rPr>
              <w:footnoteReference w:id="22"/>
            </w:r>
          </w:p>
        </w:tc>
        <w:tc>
          <w:tcPr>
            <w:tcW w:w="3192" w:type="dxa"/>
            <w:shd w:val="clear" w:color="auto" w:fill="FFFFFF" w:themeFill="background1"/>
            <w:vAlign w:val="bottom"/>
          </w:tcPr>
          <w:p w14:paraId="6C7121A8" w14:textId="77777777" w:rsidR="002C118D" w:rsidRPr="00F5428B" w:rsidRDefault="002C118D" w:rsidP="008D4689">
            <w:pPr>
              <w:jc w:val="right"/>
              <w:rPr>
                <w:sz w:val="24"/>
              </w:rPr>
            </w:pPr>
            <w:r w:rsidRPr="00F5428B">
              <w:rPr>
                <w:sz w:val="24"/>
              </w:rPr>
              <w:t>1</w:t>
            </w:r>
            <w:r w:rsidRPr="00E37BB0">
              <w:rPr>
                <w:rStyle w:val="FootnoteReference"/>
                <w:b w:val="0"/>
                <w:sz w:val="24"/>
                <w:szCs w:val="24"/>
              </w:rPr>
              <w:footnoteReference w:id="23"/>
            </w:r>
          </w:p>
        </w:tc>
        <w:tc>
          <w:tcPr>
            <w:tcW w:w="3184" w:type="dxa"/>
            <w:vAlign w:val="bottom"/>
          </w:tcPr>
          <w:p w14:paraId="4B251C4C" w14:textId="77777777" w:rsidR="002C118D" w:rsidRPr="00F5428B" w:rsidDel="00423194" w:rsidRDefault="005409EE" w:rsidP="008D4689">
            <w:pPr>
              <w:jc w:val="right"/>
              <w:rPr>
                <w:sz w:val="24"/>
              </w:rPr>
            </w:pPr>
            <w:r>
              <w:rPr>
                <w:sz w:val="24"/>
              </w:rPr>
              <w:t>$164,820</w:t>
            </w:r>
          </w:p>
        </w:tc>
      </w:tr>
      <w:tr w:rsidR="002C118D" w:rsidRPr="00F5428B" w14:paraId="16E4597A" w14:textId="77777777" w:rsidTr="008D4689">
        <w:tc>
          <w:tcPr>
            <w:tcW w:w="3200" w:type="dxa"/>
            <w:vAlign w:val="bottom"/>
          </w:tcPr>
          <w:p w14:paraId="55CEF231" w14:textId="77777777" w:rsidR="002C118D" w:rsidRPr="00F5428B" w:rsidRDefault="002C118D" w:rsidP="008D4689">
            <w:pPr>
              <w:ind w:left="720"/>
              <w:jc w:val="right"/>
              <w:rPr>
                <w:i/>
                <w:sz w:val="24"/>
              </w:rPr>
            </w:pPr>
            <w:r w:rsidRPr="00F5428B">
              <w:rPr>
                <w:i/>
                <w:sz w:val="24"/>
              </w:rPr>
              <w:t>FERC-545</w:t>
            </w:r>
          </w:p>
        </w:tc>
        <w:tc>
          <w:tcPr>
            <w:tcW w:w="3192" w:type="dxa"/>
            <w:shd w:val="clear" w:color="auto" w:fill="FFFFFF" w:themeFill="background1"/>
            <w:vAlign w:val="bottom"/>
          </w:tcPr>
          <w:p w14:paraId="7F2E12F2" w14:textId="77777777" w:rsidR="002C118D" w:rsidRPr="00F5428B" w:rsidRDefault="002C118D" w:rsidP="008D4689">
            <w:pPr>
              <w:jc w:val="right"/>
              <w:rPr>
                <w:i/>
                <w:sz w:val="24"/>
              </w:rPr>
            </w:pPr>
            <w:r w:rsidRPr="00F5428B">
              <w:rPr>
                <w:sz w:val="24"/>
              </w:rPr>
              <w:t>0.</w:t>
            </w:r>
            <w:r w:rsidR="00D36F12">
              <w:rPr>
                <w:sz w:val="24"/>
              </w:rPr>
              <w:t>7</w:t>
            </w:r>
            <w:r w:rsidRPr="00F5428B">
              <w:rPr>
                <w:sz w:val="24"/>
              </w:rPr>
              <w:t>5</w:t>
            </w:r>
          </w:p>
        </w:tc>
        <w:tc>
          <w:tcPr>
            <w:tcW w:w="3184" w:type="dxa"/>
            <w:vAlign w:val="bottom"/>
          </w:tcPr>
          <w:p w14:paraId="2599C341" w14:textId="77777777" w:rsidR="002C118D" w:rsidRPr="00F5428B" w:rsidRDefault="005409EE" w:rsidP="008D4689">
            <w:pPr>
              <w:jc w:val="right"/>
              <w:rPr>
                <w:i/>
                <w:sz w:val="24"/>
              </w:rPr>
            </w:pPr>
            <w:r>
              <w:rPr>
                <w:sz w:val="24"/>
              </w:rPr>
              <w:t>$</w:t>
            </w:r>
            <w:r w:rsidR="00D36F12">
              <w:rPr>
                <w:sz w:val="24"/>
              </w:rPr>
              <w:t>123,615</w:t>
            </w:r>
          </w:p>
        </w:tc>
      </w:tr>
      <w:tr w:rsidR="002C118D" w:rsidRPr="00F5428B" w14:paraId="61D79815" w14:textId="77777777" w:rsidTr="008D4689">
        <w:tc>
          <w:tcPr>
            <w:tcW w:w="3200" w:type="dxa"/>
            <w:vAlign w:val="bottom"/>
          </w:tcPr>
          <w:p w14:paraId="51494E06" w14:textId="77777777" w:rsidR="002C118D" w:rsidRPr="00F5428B" w:rsidRDefault="002C118D" w:rsidP="008D4689">
            <w:pPr>
              <w:ind w:left="720"/>
              <w:jc w:val="right"/>
              <w:rPr>
                <w:i/>
                <w:sz w:val="24"/>
              </w:rPr>
            </w:pPr>
            <w:r w:rsidRPr="00F5428B">
              <w:rPr>
                <w:i/>
                <w:sz w:val="24"/>
              </w:rPr>
              <w:t>FERC-549C</w:t>
            </w:r>
          </w:p>
        </w:tc>
        <w:tc>
          <w:tcPr>
            <w:tcW w:w="3192" w:type="dxa"/>
            <w:shd w:val="clear" w:color="auto" w:fill="FFFFFF" w:themeFill="background1"/>
            <w:vAlign w:val="bottom"/>
          </w:tcPr>
          <w:p w14:paraId="04431892" w14:textId="77777777" w:rsidR="002C118D" w:rsidRPr="00F5428B" w:rsidRDefault="002C118D" w:rsidP="008D4689">
            <w:pPr>
              <w:jc w:val="right"/>
              <w:rPr>
                <w:i/>
                <w:sz w:val="24"/>
              </w:rPr>
            </w:pPr>
            <w:r w:rsidRPr="00F5428B">
              <w:rPr>
                <w:sz w:val="24"/>
              </w:rPr>
              <w:t>0.</w:t>
            </w:r>
            <w:r w:rsidR="00D36F12">
              <w:rPr>
                <w:sz w:val="24"/>
              </w:rPr>
              <w:t>2</w:t>
            </w:r>
            <w:r w:rsidRPr="00F5428B">
              <w:rPr>
                <w:sz w:val="24"/>
              </w:rPr>
              <w:t>5</w:t>
            </w:r>
          </w:p>
        </w:tc>
        <w:tc>
          <w:tcPr>
            <w:tcW w:w="3184" w:type="dxa"/>
            <w:vAlign w:val="bottom"/>
          </w:tcPr>
          <w:p w14:paraId="1D124B18" w14:textId="77777777" w:rsidR="002C118D" w:rsidRPr="00F5428B" w:rsidRDefault="005409EE" w:rsidP="008D4689">
            <w:pPr>
              <w:jc w:val="right"/>
              <w:rPr>
                <w:i/>
                <w:sz w:val="24"/>
              </w:rPr>
            </w:pPr>
            <w:r>
              <w:rPr>
                <w:sz w:val="24"/>
              </w:rPr>
              <w:t>$</w:t>
            </w:r>
            <w:r w:rsidR="00D36F12">
              <w:rPr>
                <w:sz w:val="24"/>
              </w:rPr>
              <w:t>41,205</w:t>
            </w:r>
          </w:p>
        </w:tc>
      </w:tr>
      <w:tr w:rsidR="002C118D" w:rsidRPr="00F5428B" w14:paraId="5D9EC3FC" w14:textId="77777777" w:rsidTr="008D4689">
        <w:tc>
          <w:tcPr>
            <w:tcW w:w="3200" w:type="dxa"/>
          </w:tcPr>
          <w:p w14:paraId="26F23898" w14:textId="77777777" w:rsidR="002C118D" w:rsidRPr="00F5428B" w:rsidRDefault="002C118D" w:rsidP="008D4689">
            <w:pPr>
              <w:rPr>
                <w:b/>
                <w:sz w:val="24"/>
              </w:rPr>
            </w:pPr>
            <w:r w:rsidRPr="00F5428B">
              <w:rPr>
                <w:b/>
                <w:sz w:val="24"/>
              </w:rPr>
              <w:t>FERC Total</w:t>
            </w:r>
          </w:p>
        </w:tc>
        <w:tc>
          <w:tcPr>
            <w:tcW w:w="3192" w:type="dxa"/>
            <w:vAlign w:val="bottom"/>
          </w:tcPr>
          <w:p w14:paraId="3571E654" w14:textId="77777777" w:rsidR="002C118D" w:rsidRPr="00F5428B" w:rsidRDefault="002C118D" w:rsidP="008D4689">
            <w:pPr>
              <w:jc w:val="right"/>
              <w:rPr>
                <w:sz w:val="24"/>
              </w:rPr>
            </w:pPr>
            <w:r w:rsidRPr="00F5428B">
              <w:rPr>
                <w:sz w:val="24"/>
              </w:rPr>
              <w:t>1</w:t>
            </w:r>
          </w:p>
        </w:tc>
        <w:tc>
          <w:tcPr>
            <w:tcW w:w="3184" w:type="dxa"/>
            <w:vAlign w:val="bottom"/>
          </w:tcPr>
          <w:p w14:paraId="6D9DE673" w14:textId="2B073C40" w:rsidR="002C118D" w:rsidRPr="00F5428B" w:rsidRDefault="00A277D4" w:rsidP="008D4689">
            <w:pPr>
              <w:jc w:val="right"/>
              <w:rPr>
                <w:sz w:val="24"/>
              </w:rPr>
            </w:pPr>
            <w:r>
              <w:rPr>
                <w:sz w:val="24"/>
              </w:rPr>
              <w:t>$164,</w:t>
            </w:r>
            <w:r w:rsidR="005409EE">
              <w:rPr>
                <w:sz w:val="24"/>
              </w:rPr>
              <w:t>820</w:t>
            </w:r>
          </w:p>
        </w:tc>
      </w:tr>
    </w:tbl>
    <w:p w14:paraId="2ED17E47" w14:textId="77777777" w:rsidR="00BC15BE" w:rsidRPr="00F5428B" w:rsidRDefault="00BC15BE" w:rsidP="00BC15BE">
      <w:pPr>
        <w:rPr>
          <w:sz w:val="24"/>
        </w:rPr>
      </w:pPr>
    </w:p>
    <w:p w14:paraId="35E63A91" w14:textId="77777777" w:rsidR="00BC15BE" w:rsidRPr="00F5428B" w:rsidRDefault="00BC15BE" w:rsidP="00BC15BE">
      <w:pPr>
        <w:pStyle w:val="Level1"/>
        <w:rPr>
          <w:b/>
        </w:rPr>
      </w:pPr>
      <w:r w:rsidRPr="00F5428B">
        <w:rPr>
          <w:b/>
        </w:rPr>
        <w:t>REASONS FOR CHANGES IN BURDEN INCLUDING THE NEED FOR ANY INCREASE</w:t>
      </w:r>
    </w:p>
    <w:p w14:paraId="5C619F2C" w14:textId="77777777" w:rsidR="002C118D" w:rsidRPr="00F5428B" w:rsidRDefault="002C118D" w:rsidP="002C118D">
      <w:pPr>
        <w:rPr>
          <w:b/>
          <w:sz w:val="24"/>
        </w:rPr>
      </w:pPr>
    </w:p>
    <w:p w14:paraId="533DFE04" w14:textId="77777777" w:rsidR="00AC5B84" w:rsidRDefault="005228C3" w:rsidP="00AC5B84">
      <w:pPr>
        <w:rPr>
          <w:b/>
          <w:sz w:val="24"/>
          <w:u w:val="single"/>
        </w:rPr>
      </w:pPr>
      <w:r w:rsidRPr="00950A2F">
        <w:rPr>
          <w:b/>
          <w:sz w:val="24"/>
          <w:u w:val="single"/>
        </w:rPr>
        <w:t>Final Rule in Docket RM9</w:t>
      </w:r>
      <w:r w:rsidR="00F86954">
        <w:rPr>
          <w:b/>
          <w:sz w:val="24"/>
          <w:u w:val="single"/>
        </w:rPr>
        <w:t>6-1-041 and FERC-545</w:t>
      </w:r>
      <w:r w:rsidR="00741AE3">
        <w:rPr>
          <w:b/>
          <w:sz w:val="24"/>
          <w:u w:val="single"/>
        </w:rPr>
        <w:t xml:space="preserve"> (renewal)</w:t>
      </w:r>
    </w:p>
    <w:p w14:paraId="116A3679" w14:textId="77777777" w:rsidR="00AC5B84" w:rsidRDefault="00AC5B84" w:rsidP="00AC5B84">
      <w:pPr>
        <w:rPr>
          <w:b/>
          <w:sz w:val="24"/>
          <w:u w:val="single"/>
        </w:rPr>
      </w:pPr>
    </w:p>
    <w:p w14:paraId="55C9C58F" w14:textId="77777777" w:rsidR="00AC5B84" w:rsidRDefault="002C118D" w:rsidP="00AC5B84">
      <w:pPr>
        <w:rPr>
          <w:b/>
          <w:sz w:val="24"/>
          <w:u w:val="single"/>
        </w:rPr>
      </w:pPr>
      <w:r w:rsidRPr="00F5428B">
        <w:rPr>
          <w:b/>
          <w:sz w:val="24"/>
        </w:rPr>
        <w:t>FERC-545</w:t>
      </w:r>
      <w:r w:rsidR="005228C3">
        <w:rPr>
          <w:b/>
          <w:sz w:val="24"/>
        </w:rPr>
        <w:t xml:space="preserve"> (as affected by the Final Rule in RM96-1-041)</w:t>
      </w:r>
      <w:r w:rsidRPr="00F5428B">
        <w:rPr>
          <w:sz w:val="24"/>
        </w:rPr>
        <w:t>.  The</w:t>
      </w:r>
      <w:r w:rsidRPr="00F5428B">
        <w:rPr>
          <w:b/>
          <w:sz w:val="24"/>
        </w:rPr>
        <w:t xml:space="preserve"> </w:t>
      </w:r>
      <w:r w:rsidR="00B83CB7" w:rsidRPr="00F5428B">
        <w:rPr>
          <w:sz w:val="24"/>
        </w:rPr>
        <w:t xml:space="preserve">Final Rule </w:t>
      </w:r>
      <w:r w:rsidR="005228C3">
        <w:rPr>
          <w:sz w:val="24"/>
        </w:rPr>
        <w:t>in RM96-1-041</w:t>
      </w:r>
      <w:r w:rsidRPr="00F5428B">
        <w:rPr>
          <w:sz w:val="24"/>
        </w:rPr>
        <w:t xml:space="preserve"> </w:t>
      </w:r>
      <w:r w:rsidR="002D1A59" w:rsidRPr="00F52DA0">
        <w:rPr>
          <w:sz w:val="24"/>
        </w:rPr>
        <w:t>amends the Commission’s regulations at 18 CFR 284.12</w:t>
      </w:r>
      <w:r w:rsidR="002D1A59">
        <w:rPr>
          <w:sz w:val="24"/>
        </w:rPr>
        <w:t>(a)</w:t>
      </w:r>
      <w:r w:rsidR="002D1A59" w:rsidRPr="00F52DA0">
        <w:rPr>
          <w:sz w:val="24"/>
        </w:rPr>
        <w:t xml:space="preserve"> to incorporate by reference the latest version (Version 3.1) of seven business practice standards applicable to interstate natural gas pipelines adopted by NAESB’s WGQ.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r w:rsidR="002D1A59" w:rsidRPr="00F52DA0">
        <w:rPr>
          <w:sz w:val="24"/>
        </w:rPr>
        <w:t xml:space="preserve">The final rule revises and replaces the existing incorporated business practices standards (the Version 3.0 standards) to make </w:t>
      </w:r>
      <w:r w:rsidR="002D1A59" w:rsidRPr="0073773B">
        <w:rPr>
          <w:rFonts w:eastAsia="Calibri"/>
          <w:sz w:val="24"/>
        </w:rPr>
        <w:t>two substantive revisions to its Nominations Related Standards, one to establish a standard rounding process for elapsed-prorated-scheduled quantity calculations, and a second to revise the specifications for the information to be included in a nomination request.</w:t>
      </w:r>
    </w:p>
    <w:p w14:paraId="5D6F67BD" w14:textId="77777777" w:rsidR="00AC5B84" w:rsidRDefault="00AC5B84" w:rsidP="00AC5B84">
      <w:pPr>
        <w:rPr>
          <w:b/>
          <w:sz w:val="24"/>
          <w:u w:val="single"/>
        </w:rPr>
      </w:pPr>
    </w:p>
    <w:p w14:paraId="38A1A49A" w14:textId="77777777" w:rsidR="00AC5B84" w:rsidRDefault="002D1A59" w:rsidP="00AC5B84">
      <w:pPr>
        <w:rPr>
          <w:b/>
          <w:sz w:val="24"/>
          <w:u w:val="single"/>
        </w:rPr>
      </w:pPr>
      <w:r w:rsidRPr="0073773B">
        <w:rPr>
          <w:rFonts w:eastAsia="Calibri"/>
          <w:sz w:val="24"/>
        </w:rPr>
        <w:t>NAESB also adopted three revisions to the Quadrant Electronic Delivery Mechanism Related Standards.  First, it has increased the allowable field length in ASCII Comma Separated Value Files to 3000 characters.  Second, it has adopted new Standard 4.3.106 to allow checkboxes and radio buttons in the Transmission Service Providers’ Electronic Bulletin Boards.  Third, NAESB modified its standards to update the operating systems and web browsers that entities should support on behalf of users.  Additionally, clarifying language was added to the Secure Sockets Layer/Transport Layer Security protocols.</w:t>
      </w:r>
    </w:p>
    <w:p w14:paraId="726CEFD5" w14:textId="77777777" w:rsidR="00AC5B84" w:rsidRDefault="00AC5B84" w:rsidP="00AC5B84">
      <w:pPr>
        <w:rPr>
          <w:b/>
          <w:sz w:val="24"/>
          <w:u w:val="single"/>
        </w:rPr>
      </w:pPr>
    </w:p>
    <w:p w14:paraId="149E7061" w14:textId="2C346E01" w:rsidR="002D1A59" w:rsidRPr="00AC5B84" w:rsidRDefault="002D1A59" w:rsidP="00AC5B84">
      <w:pPr>
        <w:rPr>
          <w:b/>
          <w:sz w:val="24"/>
          <w:u w:val="single"/>
        </w:rPr>
      </w:pPr>
      <w:r w:rsidRPr="0073773B">
        <w:rPr>
          <w:rFonts w:eastAsia="Calibri"/>
          <w:sz w:val="24"/>
        </w:rPr>
        <w:t xml:space="preserve">Other changes adopted by NAESB </w:t>
      </w:r>
      <w:r>
        <w:rPr>
          <w:rFonts w:eastAsia="Calibri"/>
          <w:sz w:val="24"/>
        </w:rPr>
        <w:t xml:space="preserve">to the business practice standards </w:t>
      </w:r>
      <w:r w:rsidRPr="0073773B">
        <w:rPr>
          <w:rFonts w:eastAsia="Calibri"/>
          <w:sz w:val="24"/>
        </w:rPr>
        <w:t>included changes to the NAESB WGQ data sets and other technical implementation documentation as well as revisions to the Flowing Gas Related data sets and technical implementation.  Further, NAESB revised the Imbalance Trade data set and revised two Senders Option data elements.  In addition, NAESB adopted revisions to the Capacity Release Related data sets and technical implementation.  NAESB also revised Standard 6.3.1 (i.e., the NAESB Base Contract for Sale and Purchase of Natural Gas) to add language directing users to NAESB’s copyright disclaimer posted on the NAESB website.  Identical language was added to three additional NAESB WGQ Contracts.</w:t>
      </w:r>
    </w:p>
    <w:p w14:paraId="3A555FC5" w14:textId="1C6014F3" w:rsidR="002C118D" w:rsidRDefault="002D1A59" w:rsidP="00565AA0">
      <w:pPr>
        <w:rPr>
          <w:rFonts w:eastAsia="Calibri"/>
          <w:sz w:val="24"/>
        </w:rPr>
      </w:pPr>
      <w:r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14:paraId="58B21BC2" w14:textId="77777777" w:rsidR="00095B57" w:rsidRDefault="00095B57" w:rsidP="00565AA0">
      <w:pPr>
        <w:rPr>
          <w:rFonts w:eastAsia="Calibri"/>
          <w:sz w:val="24"/>
        </w:rPr>
      </w:pPr>
    </w:p>
    <w:p w14:paraId="43DFC2A9" w14:textId="6F59487F" w:rsidR="00095B57" w:rsidRDefault="00F513B7" w:rsidP="00565AA0">
      <w:pPr>
        <w:rPr>
          <w:rFonts w:eastAsia="Calibri"/>
          <w:sz w:val="24"/>
        </w:rPr>
      </w:pPr>
      <w:r w:rsidRPr="0076212B">
        <w:rPr>
          <w:rFonts w:eastAsia="Calibri"/>
          <w:b/>
          <w:sz w:val="24"/>
        </w:rPr>
        <w:t xml:space="preserve">FERC-545, Other Program Changes </w:t>
      </w:r>
      <w:r>
        <w:rPr>
          <w:rFonts w:eastAsia="Calibri"/>
          <w:b/>
          <w:sz w:val="24"/>
        </w:rPr>
        <w:t>N</w:t>
      </w:r>
      <w:r w:rsidRPr="0076212B">
        <w:rPr>
          <w:rFonts w:eastAsia="Calibri"/>
          <w:b/>
          <w:sz w:val="24"/>
        </w:rPr>
        <w:t>o</w:t>
      </w:r>
      <w:r>
        <w:rPr>
          <w:rFonts w:eastAsia="Calibri"/>
          <w:b/>
          <w:sz w:val="24"/>
        </w:rPr>
        <w:t>t</w:t>
      </w:r>
      <w:r w:rsidRPr="0076212B">
        <w:rPr>
          <w:rFonts w:eastAsia="Calibri"/>
          <w:b/>
          <w:sz w:val="24"/>
        </w:rPr>
        <w:t xml:space="preserve"> Related to RM96-1-041.</w:t>
      </w:r>
      <w:r>
        <w:rPr>
          <w:rFonts w:eastAsia="Calibri"/>
          <w:sz w:val="24"/>
        </w:rPr>
        <w:t xml:space="preserve">  </w:t>
      </w:r>
      <w:r w:rsidR="00095B57">
        <w:rPr>
          <w:rFonts w:eastAsia="Calibri"/>
          <w:sz w:val="24"/>
        </w:rPr>
        <w:t>Also, FERC staff is removing three one-time requirements that are outside of their respective implementation periods, have been completed, and should no longer apply to FERC-545 reporting burden:</w:t>
      </w:r>
    </w:p>
    <w:p w14:paraId="13310280" w14:textId="77777777" w:rsidR="00095B57" w:rsidRDefault="00095B57" w:rsidP="00565AA0">
      <w:pPr>
        <w:rPr>
          <w:rFonts w:eastAsia="Calibri"/>
          <w:sz w:val="24"/>
        </w:rPr>
      </w:pPr>
    </w:p>
    <w:p w14:paraId="6DEB2575" w14:textId="3267DE7C" w:rsidR="00095B57" w:rsidRDefault="00095B57" w:rsidP="0076212B">
      <w:pPr>
        <w:pStyle w:val="ListParagraph"/>
        <w:numPr>
          <w:ilvl w:val="0"/>
          <w:numId w:val="13"/>
        </w:numPr>
        <w:rPr>
          <w:rFonts w:eastAsia="Calibri"/>
        </w:rPr>
      </w:pPr>
      <w:r>
        <w:rPr>
          <w:rFonts w:eastAsia="Calibri"/>
        </w:rPr>
        <w:t>One-time Tariff Filing for Pipeline Map URL</w:t>
      </w:r>
      <w:r w:rsidR="004714B2">
        <w:rPr>
          <w:rStyle w:val="FootnoteReference"/>
          <w:rFonts w:eastAsia="Calibri"/>
        </w:rPr>
        <w:footnoteReference w:id="24"/>
      </w:r>
      <w:r w:rsidR="004714B2">
        <w:rPr>
          <w:rFonts w:eastAsia="Calibri"/>
        </w:rPr>
        <w:t xml:space="preserve">: </w:t>
      </w:r>
      <w:r w:rsidR="007F2B47">
        <w:rPr>
          <w:rFonts w:eastAsia="Calibri"/>
        </w:rPr>
        <w:t>165 responses and 1,320 hours annually (averaged over Years 1-3)</w:t>
      </w:r>
    </w:p>
    <w:p w14:paraId="777E5117" w14:textId="67D35B71" w:rsidR="00095B57" w:rsidRDefault="00095B57" w:rsidP="0076212B">
      <w:pPr>
        <w:pStyle w:val="ListParagraph"/>
        <w:numPr>
          <w:ilvl w:val="0"/>
          <w:numId w:val="13"/>
        </w:numPr>
        <w:rPr>
          <w:rFonts w:eastAsia="Calibri"/>
        </w:rPr>
      </w:pPr>
      <w:r>
        <w:rPr>
          <w:rFonts w:eastAsia="Calibri"/>
        </w:rPr>
        <w:t>Tariff Filing for New/Re</w:t>
      </w:r>
      <w:r w:rsidR="004714B2">
        <w:rPr>
          <w:rFonts w:eastAsia="Calibri"/>
        </w:rPr>
        <w:t>vised Nomination Cycles</w:t>
      </w:r>
      <w:r w:rsidR="004714B2">
        <w:rPr>
          <w:rStyle w:val="FootnoteReference"/>
          <w:rFonts w:eastAsia="Calibri"/>
        </w:rPr>
        <w:footnoteReference w:id="25"/>
      </w:r>
      <w:r w:rsidR="007F2B47">
        <w:rPr>
          <w:rFonts w:eastAsia="Calibri"/>
        </w:rPr>
        <w:t>: 165 responses and 550 hours annually (averaged over Years 1-3)</w:t>
      </w:r>
    </w:p>
    <w:p w14:paraId="34F02F8A" w14:textId="7728806A" w:rsidR="004714B2" w:rsidRPr="00095B57" w:rsidRDefault="004714B2" w:rsidP="0076212B">
      <w:pPr>
        <w:pStyle w:val="ListParagraph"/>
        <w:numPr>
          <w:ilvl w:val="0"/>
          <w:numId w:val="13"/>
        </w:numPr>
        <w:rPr>
          <w:rFonts w:eastAsia="Calibri"/>
        </w:rPr>
      </w:pPr>
      <w:r>
        <w:rPr>
          <w:rFonts w:eastAsia="Calibri"/>
        </w:rPr>
        <w:t>One-time Implementation Requiring Interstate Gas Pipelines to make one-time tariff filing</w:t>
      </w:r>
      <w:r>
        <w:rPr>
          <w:rStyle w:val="FootnoteReference"/>
          <w:rFonts w:eastAsia="Calibri"/>
        </w:rPr>
        <w:footnoteReference w:id="26"/>
      </w:r>
      <w:r w:rsidR="007F2B47">
        <w:rPr>
          <w:rFonts w:eastAsia="Calibri"/>
        </w:rPr>
        <w:t>: 165 responses and 1,650 hours annually (averaged over Years 1-3)</w:t>
      </w:r>
    </w:p>
    <w:p w14:paraId="67CE1264" w14:textId="77777777" w:rsidR="00552843" w:rsidRDefault="00552843" w:rsidP="00565AA0">
      <w:pPr>
        <w:rPr>
          <w:rFonts w:eastAsia="Calibri"/>
          <w:sz w:val="24"/>
        </w:rPr>
      </w:pPr>
    </w:p>
    <w:p w14:paraId="67A466C2" w14:textId="5FC10B95" w:rsidR="00552843" w:rsidRPr="00F5428B" w:rsidRDefault="00552843" w:rsidP="00565AA0">
      <w:pPr>
        <w:rPr>
          <w:sz w:val="24"/>
        </w:rPr>
      </w:pPr>
      <w:r w:rsidRPr="0076212B">
        <w:rPr>
          <w:rFonts w:eastAsia="Calibri"/>
          <w:b/>
          <w:sz w:val="24"/>
        </w:rPr>
        <w:t>FERC-545 (change</w:t>
      </w:r>
      <w:r w:rsidR="00095B57">
        <w:rPr>
          <w:rFonts w:eastAsia="Calibri"/>
          <w:b/>
          <w:sz w:val="24"/>
        </w:rPr>
        <w:t>s</w:t>
      </w:r>
      <w:r w:rsidR="00095B57" w:rsidRPr="00095B57">
        <w:rPr>
          <w:rFonts w:eastAsia="Calibri"/>
          <w:b/>
          <w:sz w:val="24"/>
        </w:rPr>
        <w:t xml:space="preserve"> due to Adjust</w:t>
      </w:r>
      <w:r w:rsidR="00095B57">
        <w:rPr>
          <w:rFonts w:eastAsia="Calibri"/>
          <w:b/>
          <w:sz w:val="24"/>
        </w:rPr>
        <w:t>ment in</w:t>
      </w:r>
      <w:r w:rsidRPr="0076212B">
        <w:rPr>
          <w:rFonts w:eastAsia="Calibri"/>
          <w:b/>
          <w:sz w:val="24"/>
        </w:rPr>
        <w:t xml:space="preserve"> Estimate)</w:t>
      </w:r>
      <w:r w:rsidR="00DE3EE7">
        <w:rPr>
          <w:rFonts w:eastAsia="Calibri"/>
          <w:b/>
          <w:sz w:val="24"/>
        </w:rPr>
        <w:t xml:space="preserve">. </w:t>
      </w:r>
      <w:r w:rsidR="00095B57">
        <w:rPr>
          <w:rFonts w:eastAsia="Calibri"/>
          <w:sz w:val="24"/>
        </w:rPr>
        <w:t xml:space="preserve">FERC subject-matter experts revised the </w:t>
      </w:r>
      <w:r w:rsidR="00F513B7">
        <w:rPr>
          <w:rFonts w:eastAsia="Calibri"/>
          <w:sz w:val="24"/>
        </w:rPr>
        <w:t xml:space="preserve">organization and labelling for the </w:t>
      </w:r>
      <w:r w:rsidR="00C132B3">
        <w:rPr>
          <w:rFonts w:eastAsia="Calibri"/>
          <w:sz w:val="24"/>
        </w:rPr>
        <w:t>reporting requirement</w:t>
      </w:r>
      <w:r w:rsidR="00095B57">
        <w:rPr>
          <w:rFonts w:eastAsia="Calibri"/>
          <w:sz w:val="24"/>
        </w:rPr>
        <w:t xml:space="preserve"> based on their actual organization </w:t>
      </w:r>
      <w:r w:rsidR="00C132B3">
        <w:rPr>
          <w:rFonts w:eastAsia="Calibri"/>
          <w:sz w:val="24"/>
        </w:rPr>
        <w:t>in</w:t>
      </w:r>
      <w:r w:rsidR="00095B57">
        <w:rPr>
          <w:rFonts w:eastAsia="Calibri"/>
          <w:sz w:val="24"/>
        </w:rPr>
        <w:t xml:space="preserve"> FERC regulations. This more granular approach allowed a more thorough review of the FERC-545 information collection.  </w:t>
      </w:r>
      <w:r>
        <w:rPr>
          <w:rFonts w:eastAsia="Calibri"/>
          <w:sz w:val="24"/>
        </w:rPr>
        <w:t xml:space="preserve">The </w:t>
      </w:r>
      <w:r w:rsidR="00095B57">
        <w:rPr>
          <w:rFonts w:eastAsia="Calibri"/>
          <w:sz w:val="24"/>
        </w:rPr>
        <w:t xml:space="preserve">existing </w:t>
      </w:r>
      <w:r>
        <w:rPr>
          <w:rFonts w:eastAsia="Calibri"/>
          <w:sz w:val="24"/>
        </w:rPr>
        <w:t>FERC-545</w:t>
      </w:r>
      <w:r w:rsidR="00095B57">
        <w:rPr>
          <w:rFonts w:eastAsia="Calibri"/>
          <w:sz w:val="24"/>
        </w:rPr>
        <w:t xml:space="preserve"> reporting burden experienced</w:t>
      </w:r>
      <w:r>
        <w:rPr>
          <w:rFonts w:eastAsia="Calibri"/>
          <w:sz w:val="24"/>
        </w:rPr>
        <w:t xml:space="preserve"> slight change</w:t>
      </w:r>
      <w:r w:rsidR="00095B57">
        <w:rPr>
          <w:rFonts w:eastAsia="Calibri"/>
          <w:sz w:val="24"/>
        </w:rPr>
        <w:t>s</w:t>
      </w:r>
      <w:r w:rsidR="00C132B3">
        <w:rPr>
          <w:rFonts w:eastAsia="Calibri"/>
          <w:sz w:val="24"/>
        </w:rPr>
        <w:t>:</w:t>
      </w:r>
      <w:r>
        <w:rPr>
          <w:rFonts w:eastAsia="Calibri"/>
          <w:sz w:val="24"/>
        </w:rPr>
        <w:t xml:space="preserve">1) a fluctuation in annual filers (921 less responses per year based on recent activity and projections on future activity) and 2) revised burden per response as related to each </w:t>
      </w:r>
      <w:r w:rsidR="00C132B3">
        <w:rPr>
          <w:rFonts w:eastAsia="Calibri"/>
          <w:sz w:val="24"/>
        </w:rPr>
        <w:t>reporting requirement</w:t>
      </w:r>
      <w:r>
        <w:rPr>
          <w:rFonts w:eastAsia="Calibri"/>
          <w:sz w:val="24"/>
        </w:rPr>
        <w:t xml:space="preserve"> (which resulted in an additional 31 hours per year</w:t>
      </w:r>
      <w:r w:rsidR="00095B57">
        <w:rPr>
          <w:rFonts w:eastAsia="Calibri"/>
          <w:sz w:val="24"/>
        </w:rPr>
        <w:t xml:space="preserve"> industry-wide</w:t>
      </w:r>
      <w:r w:rsidR="00C132B3">
        <w:rPr>
          <w:rFonts w:eastAsia="Calibri"/>
          <w:sz w:val="24"/>
        </w:rPr>
        <w:t>)</w:t>
      </w:r>
      <w:r>
        <w:rPr>
          <w:rFonts w:eastAsia="Calibri"/>
          <w:sz w:val="24"/>
        </w:rPr>
        <w:t xml:space="preserve">.  </w:t>
      </w:r>
    </w:p>
    <w:p w14:paraId="7847E540" w14:textId="77777777" w:rsidR="002C118D" w:rsidRPr="00F5428B" w:rsidRDefault="002C118D" w:rsidP="002C118D">
      <w:pPr>
        <w:rPr>
          <w:b/>
          <w:bCs/>
          <w:sz w:val="24"/>
        </w:rPr>
      </w:pPr>
    </w:p>
    <w:p w14:paraId="7932BC89" w14:textId="77777777" w:rsidR="002C118D" w:rsidRPr="00F5428B" w:rsidRDefault="002C118D" w:rsidP="002C118D">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implementation burden due to the </w:t>
      </w:r>
      <w:r w:rsidR="00B83CB7" w:rsidRPr="00F5428B">
        <w:rPr>
          <w:bCs/>
          <w:sz w:val="24"/>
        </w:rPr>
        <w:t>Final Rule</w:t>
      </w:r>
      <w:r w:rsidR="00565AA0">
        <w:rPr>
          <w:bCs/>
          <w:sz w:val="24"/>
        </w:rPr>
        <w:t xml:space="preserve"> in RM96-1-041</w:t>
      </w:r>
      <w:r w:rsidRPr="00F5428B">
        <w:rPr>
          <w:bCs/>
          <w:sz w:val="24"/>
        </w:rPr>
        <w:t xml:space="preserve"> is being averaged over Years 1-3, as discussed in #12 above.)</w:t>
      </w:r>
    </w:p>
    <w:p w14:paraId="2A77D060" w14:textId="77777777" w:rsidR="002C118D" w:rsidRPr="00F5428B" w:rsidRDefault="002C118D" w:rsidP="002C118D">
      <w:pPr>
        <w:rPr>
          <w:sz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C118D" w:rsidRPr="00F5428B" w14:paraId="5CE990D0" w14:textId="77777777" w:rsidTr="008D4689">
        <w:trPr>
          <w:trHeight w:val="870"/>
        </w:trPr>
        <w:tc>
          <w:tcPr>
            <w:tcW w:w="2679" w:type="dxa"/>
            <w:tcBorders>
              <w:bottom w:val="single" w:sz="4" w:space="0" w:color="auto"/>
            </w:tcBorders>
            <w:shd w:val="clear" w:color="auto" w:fill="D9D9D9"/>
            <w:vAlign w:val="bottom"/>
          </w:tcPr>
          <w:p w14:paraId="5181CF69" w14:textId="77777777" w:rsidR="002C118D" w:rsidRPr="00F5428B" w:rsidRDefault="002C118D" w:rsidP="008D4689">
            <w:pPr>
              <w:jc w:val="center"/>
              <w:rPr>
                <w:rFonts w:eastAsia="Calibri"/>
                <w:b/>
                <w:sz w:val="24"/>
              </w:rPr>
            </w:pPr>
          </w:p>
        </w:tc>
        <w:tc>
          <w:tcPr>
            <w:tcW w:w="1461" w:type="dxa"/>
            <w:tcBorders>
              <w:bottom w:val="single" w:sz="4" w:space="0" w:color="auto"/>
            </w:tcBorders>
            <w:shd w:val="clear" w:color="auto" w:fill="D9D9D9"/>
            <w:vAlign w:val="bottom"/>
          </w:tcPr>
          <w:p w14:paraId="7BFED57E" w14:textId="77777777" w:rsidR="002C118D" w:rsidRPr="00F5428B" w:rsidRDefault="002C118D" w:rsidP="008D4689">
            <w:pPr>
              <w:jc w:val="center"/>
              <w:rPr>
                <w:rFonts w:eastAsia="Calibri"/>
                <w:b/>
                <w:sz w:val="24"/>
              </w:rPr>
            </w:pPr>
            <w:r w:rsidRPr="00F5428B">
              <w:rPr>
                <w:rFonts w:eastAsia="Calibri"/>
                <w:b/>
                <w:sz w:val="24"/>
              </w:rPr>
              <w:t>Total Request</w:t>
            </w:r>
          </w:p>
        </w:tc>
        <w:tc>
          <w:tcPr>
            <w:tcW w:w="1620" w:type="dxa"/>
            <w:tcBorders>
              <w:bottom w:val="single" w:sz="4" w:space="0" w:color="auto"/>
            </w:tcBorders>
            <w:shd w:val="clear" w:color="auto" w:fill="D9D9D9"/>
            <w:vAlign w:val="bottom"/>
          </w:tcPr>
          <w:p w14:paraId="7A51479E" w14:textId="77777777" w:rsidR="002C118D" w:rsidRPr="00F5428B" w:rsidRDefault="002C118D" w:rsidP="008D4689">
            <w:pPr>
              <w:jc w:val="center"/>
              <w:rPr>
                <w:rFonts w:eastAsia="Calibri"/>
                <w:b/>
                <w:sz w:val="24"/>
              </w:rPr>
            </w:pPr>
            <w:r w:rsidRPr="00F5428B">
              <w:rPr>
                <w:rFonts w:eastAsia="Calibri"/>
                <w:b/>
                <w:sz w:val="24"/>
              </w:rPr>
              <w:t>Previously Approved</w:t>
            </w:r>
          </w:p>
        </w:tc>
        <w:tc>
          <w:tcPr>
            <w:tcW w:w="1800" w:type="dxa"/>
            <w:tcBorders>
              <w:bottom w:val="single" w:sz="4" w:space="0" w:color="auto"/>
            </w:tcBorders>
            <w:shd w:val="clear" w:color="auto" w:fill="D9D9D9"/>
            <w:vAlign w:val="bottom"/>
          </w:tcPr>
          <w:p w14:paraId="1B357A8D" w14:textId="77777777" w:rsidR="002C118D" w:rsidRPr="00F5428B" w:rsidRDefault="002C118D" w:rsidP="008D4689">
            <w:pPr>
              <w:jc w:val="center"/>
              <w:rPr>
                <w:rFonts w:eastAsia="Calibri"/>
                <w:b/>
                <w:sz w:val="24"/>
              </w:rPr>
            </w:pPr>
            <w:r w:rsidRPr="00F5428B">
              <w:rPr>
                <w:rFonts w:eastAsia="Calibri"/>
                <w:b/>
                <w:sz w:val="24"/>
              </w:rPr>
              <w:t>Change due to Adjustment in Estimate</w:t>
            </w:r>
          </w:p>
        </w:tc>
        <w:tc>
          <w:tcPr>
            <w:tcW w:w="1800" w:type="dxa"/>
            <w:tcBorders>
              <w:bottom w:val="single" w:sz="4" w:space="0" w:color="auto"/>
            </w:tcBorders>
            <w:shd w:val="clear" w:color="auto" w:fill="D9D9D9"/>
            <w:vAlign w:val="bottom"/>
          </w:tcPr>
          <w:p w14:paraId="6DAB3A54" w14:textId="77777777" w:rsidR="002C118D" w:rsidRPr="00F5428B" w:rsidRDefault="002C118D" w:rsidP="008D4689">
            <w:pPr>
              <w:jc w:val="center"/>
              <w:rPr>
                <w:rFonts w:eastAsia="Calibri"/>
                <w:b/>
                <w:sz w:val="24"/>
              </w:rPr>
            </w:pPr>
            <w:r w:rsidRPr="00F5428B">
              <w:rPr>
                <w:rFonts w:eastAsia="Calibri"/>
                <w:b/>
                <w:sz w:val="24"/>
              </w:rPr>
              <w:t>Change Due to Agency Discretion</w:t>
            </w:r>
          </w:p>
        </w:tc>
      </w:tr>
      <w:tr w:rsidR="002C118D" w:rsidRPr="00F5428B" w14:paraId="5A63EA38" w14:textId="77777777" w:rsidTr="008D4689">
        <w:trPr>
          <w:trHeight w:val="431"/>
        </w:trPr>
        <w:tc>
          <w:tcPr>
            <w:tcW w:w="9360" w:type="dxa"/>
            <w:gridSpan w:val="5"/>
            <w:shd w:val="clear" w:color="auto" w:fill="C6D9F1" w:themeFill="text2" w:themeFillTint="33"/>
            <w:vAlign w:val="bottom"/>
          </w:tcPr>
          <w:p w14:paraId="076575C6" w14:textId="77777777" w:rsidR="002C118D" w:rsidRPr="00F5428B" w:rsidRDefault="005228C3" w:rsidP="008D4689">
            <w:pPr>
              <w:jc w:val="center"/>
              <w:rPr>
                <w:b/>
                <w:bCs/>
                <w:sz w:val="24"/>
              </w:rPr>
            </w:pPr>
            <w:r>
              <w:rPr>
                <w:b/>
                <w:bCs/>
                <w:sz w:val="24"/>
              </w:rPr>
              <w:t>FERC-545</w:t>
            </w:r>
          </w:p>
        </w:tc>
      </w:tr>
      <w:tr w:rsidR="002C118D" w:rsidRPr="00F5428B" w14:paraId="05D53088" w14:textId="77777777" w:rsidTr="008D4689">
        <w:trPr>
          <w:trHeight w:val="591"/>
        </w:trPr>
        <w:tc>
          <w:tcPr>
            <w:tcW w:w="2679" w:type="dxa"/>
            <w:shd w:val="clear" w:color="auto" w:fill="auto"/>
          </w:tcPr>
          <w:p w14:paraId="461D5683" w14:textId="77777777" w:rsidR="002C118D" w:rsidRPr="00F5428B" w:rsidRDefault="002C118D" w:rsidP="008D4689">
            <w:pPr>
              <w:jc w:val="center"/>
              <w:rPr>
                <w:rFonts w:eastAsia="Calibri"/>
                <w:sz w:val="24"/>
              </w:rPr>
            </w:pPr>
            <w:r w:rsidRPr="00F5428B">
              <w:rPr>
                <w:rFonts w:eastAsia="Calibri"/>
                <w:sz w:val="24"/>
              </w:rPr>
              <w:t>Annual Number of Responses</w:t>
            </w:r>
          </w:p>
        </w:tc>
        <w:tc>
          <w:tcPr>
            <w:tcW w:w="1461" w:type="dxa"/>
            <w:shd w:val="clear" w:color="auto" w:fill="auto"/>
            <w:vAlign w:val="bottom"/>
          </w:tcPr>
          <w:p w14:paraId="6E8CB634" w14:textId="448A252E" w:rsidR="002C118D" w:rsidRPr="00F5428B" w:rsidRDefault="00DE6187" w:rsidP="008D4689">
            <w:pPr>
              <w:jc w:val="right"/>
              <w:rPr>
                <w:rFonts w:eastAsia="Calibri"/>
                <w:sz w:val="24"/>
              </w:rPr>
            </w:pPr>
            <w:r>
              <w:rPr>
                <w:rFonts w:eastAsia="Calibri"/>
                <w:sz w:val="24"/>
              </w:rPr>
              <w:t>1,287</w:t>
            </w:r>
          </w:p>
        </w:tc>
        <w:tc>
          <w:tcPr>
            <w:tcW w:w="1620" w:type="dxa"/>
            <w:shd w:val="clear" w:color="auto" w:fill="auto"/>
            <w:vAlign w:val="bottom"/>
          </w:tcPr>
          <w:p w14:paraId="2736E832" w14:textId="4DDB45E2" w:rsidR="002C118D" w:rsidRPr="00F5428B" w:rsidRDefault="00DE6187" w:rsidP="008D4689">
            <w:pPr>
              <w:jc w:val="right"/>
              <w:rPr>
                <w:rFonts w:eastAsia="Calibri"/>
                <w:sz w:val="24"/>
              </w:rPr>
            </w:pPr>
            <w:r>
              <w:rPr>
                <w:rFonts w:eastAsia="Calibri"/>
                <w:sz w:val="24"/>
              </w:rPr>
              <w:t>2,648</w:t>
            </w:r>
          </w:p>
        </w:tc>
        <w:tc>
          <w:tcPr>
            <w:tcW w:w="1800" w:type="dxa"/>
            <w:shd w:val="clear" w:color="auto" w:fill="auto"/>
            <w:vAlign w:val="bottom"/>
          </w:tcPr>
          <w:p w14:paraId="00769106" w14:textId="1946C905" w:rsidR="002C118D" w:rsidRPr="00F5428B" w:rsidRDefault="00DE6187" w:rsidP="008D4689">
            <w:pPr>
              <w:jc w:val="right"/>
              <w:rPr>
                <w:rFonts w:eastAsia="Calibri"/>
                <w:sz w:val="24"/>
              </w:rPr>
            </w:pPr>
            <w:r>
              <w:rPr>
                <w:rFonts w:eastAsia="Calibri"/>
                <w:sz w:val="24"/>
              </w:rPr>
              <w:t>-</w:t>
            </w:r>
            <w:r w:rsidR="00DA0302">
              <w:rPr>
                <w:rFonts w:eastAsia="Calibri"/>
                <w:sz w:val="24"/>
              </w:rPr>
              <w:t>921</w:t>
            </w:r>
          </w:p>
        </w:tc>
        <w:tc>
          <w:tcPr>
            <w:tcW w:w="1800" w:type="dxa"/>
            <w:shd w:val="clear" w:color="auto" w:fill="auto"/>
            <w:vAlign w:val="bottom"/>
          </w:tcPr>
          <w:p w14:paraId="5FA631E6" w14:textId="1F34B1C6" w:rsidR="002C118D" w:rsidRPr="00F5428B" w:rsidRDefault="00DE6187" w:rsidP="008D4689">
            <w:pPr>
              <w:jc w:val="right"/>
              <w:rPr>
                <w:rFonts w:eastAsia="Calibri"/>
                <w:sz w:val="24"/>
              </w:rPr>
            </w:pPr>
            <w:r>
              <w:rPr>
                <w:rFonts w:eastAsia="Calibri"/>
                <w:sz w:val="24"/>
              </w:rPr>
              <w:t>-</w:t>
            </w:r>
            <w:r w:rsidR="00DA0302">
              <w:rPr>
                <w:rFonts w:eastAsia="Calibri"/>
                <w:sz w:val="24"/>
              </w:rPr>
              <w:t>440</w:t>
            </w:r>
          </w:p>
        </w:tc>
      </w:tr>
      <w:tr w:rsidR="002C118D" w:rsidRPr="00F5428B" w14:paraId="4B89B22C" w14:textId="77777777" w:rsidTr="008D4689">
        <w:trPr>
          <w:trHeight w:val="575"/>
        </w:trPr>
        <w:tc>
          <w:tcPr>
            <w:tcW w:w="2679" w:type="dxa"/>
            <w:shd w:val="clear" w:color="auto" w:fill="auto"/>
          </w:tcPr>
          <w:p w14:paraId="5EB38687" w14:textId="77777777" w:rsidR="002C118D" w:rsidRPr="00F5428B" w:rsidRDefault="002C118D" w:rsidP="008D4689">
            <w:pPr>
              <w:jc w:val="center"/>
              <w:rPr>
                <w:rFonts w:eastAsia="Calibri"/>
                <w:sz w:val="24"/>
              </w:rPr>
            </w:pPr>
            <w:r w:rsidRPr="00F5428B">
              <w:rPr>
                <w:rFonts w:eastAsia="Calibri"/>
                <w:sz w:val="24"/>
              </w:rPr>
              <w:t>Annual Time Burden (Hr.)</w:t>
            </w:r>
          </w:p>
        </w:tc>
        <w:tc>
          <w:tcPr>
            <w:tcW w:w="1461" w:type="dxa"/>
            <w:shd w:val="clear" w:color="auto" w:fill="auto"/>
            <w:vAlign w:val="bottom"/>
          </w:tcPr>
          <w:p w14:paraId="283CE0EE" w14:textId="385DBF2D" w:rsidR="002C118D" w:rsidRPr="00F5428B" w:rsidRDefault="00DE6187" w:rsidP="008D4689">
            <w:pPr>
              <w:jc w:val="right"/>
              <w:rPr>
                <w:rFonts w:eastAsia="Calibri"/>
                <w:sz w:val="24"/>
              </w:rPr>
            </w:pPr>
            <w:r>
              <w:rPr>
                <w:rFonts w:eastAsia="Calibri"/>
                <w:sz w:val="24"/>
              </w:rPr>
              <w:t>283,888</w:t>
            </w:r>
          </w:p>
        </w:tc>
        <w:tc>
          <w:tcPr>
            <w:tcW w:w="1620" w:type="dxa"/>
            <w:shd w:val="clear" w:color="auto" w:fill="auto"/>
            <w:vAlign w:val="bottom"/>
          </w:tcPr>
          <w:p w14:paraId="428DD5EA" w14:textId="5ED109AB" w:rsidR="002C118D" w:rsidRPr="00F5428B" w:rsidRDefault="0073773B" w:rsidP="008D4689">
            <w:pPr>
              <w:jc w:val="right"/>
              <w:rPr>
                <w:rFonts w:eastAsia="Calibri"/>
                <w:sz w:val="24"/>
              </w:rPr>
            </w:pPr>
            <w:r>
              <w:rPr>
                <w:rFonts w:eastAsia="Calibri"/>
                <w:sz w:val="24"/>
              </w:rPr>
              <w:t>286,827</w:t>
            </w:r>
          </w:p>
        </w:tc>
        <w:tc>
          <w:tcPr>
            <w:tcW w:w="1800" w:type="dxa"/>
            <w:shd w:val="clear" w:color="auto" w:fill="auto"/>
            <w:vAlign w:val="bottom"/>
          </w:tcPr>
          <w:p w14:paraId="56544879" w14:textId="75995E3A" w:rsidR="002C118D" w:rsidRPr="00F5428B" w:rsidRDefault="00DA0302" w:rsidP="00DA0302">
            <w:pPr>
              <w:jc w:val="right"/>
              <w:rPr>
                <w:rFonts w:eastAsia="Calibri"/>
                <w:sz w:val="24"/>
              </w:rPr>
            </w:pPr>
            <w:r>
              <w:rPr>
                <w:rFonts w:eastAsia="Calibri"/>
                <w:sz w:val="24"/>
              </w:rPr>
              <w:t>31</w:t>
            </w:r>
          </w:p>
        </w:tc>
        <w:tc>
          <w:tcPr>
            <w:tcW w:w="1800" w:type="dxa"/>
            <w:shd w:val="clear" w:color="auto" w:fill="auto"/>
            <w:vAlign w:val="bottom"/>
          </w:tcPr>
          <w:p w14:paraId="7A6D3B52" w14:textId="48F2D8E0" w:rsidR="002C118D" w:rsidRPr="00F5428B" w:rsidRDefault="00DA0302" w:rsidP="008D4689">
            <w:pPr>
              <w:jc w:val="right"/>
              <w:rPr>
                <w:rFonts w:eastAsia="Calibri"/>
                <w:sz w:val="24"/>
              </w:rPr>
            </w:pPr>
            <w:r>
              <w:rPr>
                <w:rFonts w:eastAsia="Calibri"/>
                <w:sz w:val="24"/>
              </w:rPr>
              <w:t>-2,970</w:t>
            </w:r>
          </w:p>
        </w:tc>
      </w:tr>
      <w:tr w:rsidR="002C118D" w:rsidRPr="00F5428B" w14:paraId="3CC2CB67" w14:textId="77777777" w:rsidTr="008D4689">
        <w:trPr>
          <w:trHeight w:val="295"/>
        </w:trPr>
        <w:tc>
          <w:tcPr>
            <w:tcW w:w="2679" w:type="dxa"/>
            <w:tcBorders>
              <w:bottom w:val="single" w:sz="4" w:space="0" w:color="auto"/>
            </w:tcBorders>
            <w:shd w:val="clear" w:color="auto" w:fill="auto"/>
          </w:tcPr>
          <w:p w14:paraId="7C8525B6" w14:textId="77777777" w:rsidR="002C118D" w:rsidRPr="00F5428B" w:rsidRDefault="002C118D" w:rsidP="008D4689">
            <w:pPr>
              <w:jc w:val="center"/>
              <w:rPr>
                <w:rFonts w:eastAsia="Calibri"/>
                <w:sz w:val="24"/>
              </w:rPr>
            </w:pPr>
            <w:r w:rsidRPr="00F5428B">
              <w:rPr>
                <w:rFonts w:eastAsia="Calibri"/>
                <w:sz w:val="24"/>
              </w:rPr>
              <w:t>Annual Cost Burden ($)</w:t>
            </w:r>
          </w:p>
        </w:tc>
        <w:tc>
          <w:tcPr>
            <w:tcW w:w="1461" w:type="dxa"/>
            <w:tcBorders>
              <w:bottom w:val="single" w:sz="4" w:space="0" w:color="auto"/>
            </w:tcBorders>
            <w:shd w:val="clear" w:color="auto" w:fill="auto"/>
            <w:vAlign w:val="bottom"/>
          </w:tcPr>
          <w:p w14:paraId="1B04AE41" w14:textId="77777777" w:rsidR="002C118D" w:rsidRPr="00F5428B" w:rsidRDefault="002C118D" w:rsidP="008D4689">
            <w:pPr>
              <w:jc w:val="right"/>
              <w:rPr>
                <w:rFonts w:eastAsia="Calibri"/>
                <w:sz w:val="24"/>
                <w:highlight w:val="yellow"/>
              </w:rPr>
            </w:pPr>
            <w:r w:rsidRPr="00F5428B">
              <w:rPr>
                <w:rFonts w:eastAsia="Calibri"/>
                <w:sz w:val="24"/>
              </w:rPr>
              <w:t>$0</w:t>
            </w:r>
          </w:p>
        </w:tc>
        <w:tc>
          <w:tcPr>
            <w:tcW w:w="1620" w:type="dxa"/>
            <w:tcBorders>
              <w:bottom w:val="single" w:sz="4" w:space="0" w:color="auto"/>
            </w:tcBorders>
            <w:shd w:val="clear" w:color="auto" w:fill="auto"/>
            <w:vAlign w:val="bottom"/>
          </w:tcPr>
          <w:p w14:paraId="1D9DC643" w14:textId="77777777" w:rsidR="002C118D" w:rsidRPr="00F5428B" w:rsidRDefault="002C118D" w:rsidP="008D4689">
            <w:pPr>
              <w:jc w:val="right"/>
              <w:rPr>
                <w:rFonts w:eastAsia="Calibri"/>
                <w:sz w:val="24"/>
              </w:rPr>
            </w:pPr>
            <w:r w:rsidRPr="00F5428B">
              <w:rPr>
                <w:rFonts w:eastAsia="Calibri"/>
                <w:sz w:val="24"/>
              </w:rPr>
              <w:t>$0</w:t>
            </w:r>
          </w:p>
        </w:tc>
        <w:tc>
          <w:tcPr>
            <w:tcW w:w="1800" w:type="dxa"/>
            <w:tcBorders>
              <w:bottom w:val="single" w:sz="4" w:space="0" w:color="auto"/>
            </w:tcBorders>
            <w:shd w:val="clear" w:color="auto" w:fill="auto"/>
            <w:vAlign w:val="bottom"/>
          </w:tcPr>
          <w:p w14:paraId="48CBB93A" w14:textId="77777777" w:rsidR="002C118D" w:rsidRPr="00F5428B" w:rsidRDefault="002C118D" w:rsidP="008D4689">
            <w:pPr>
              <w:jc w:val="right"/>
              <w:rPr>
                <w:rFonts w:eastAsia="Calibri"/>
                <w:sz w:val="24"/>
              </w:rPr>
            </w:pPr>
            <w:r w:rsidRPr="00F5428B">
              <w:rPr>
                <w:rFonts w:eastAsia="Calibri"/>
                <w:sz w:val="24"/>
              </w:rPr>
              <w:t>$0</w:t>
            </w:r>
          </w:p>
        </w:tc>
        <w:tc>
          <w:tcPr>
            <w:tcW w:w="1800" w:type="dxa"/>
            <w:tcBorders>
              <w:bottom w:val="single" w:sz="4" w:space="0" w:color="auto"/>
            </w:tcBorders>
            <w:shd w:val="clear" w:color="auto" w:fill="auto"/>
            <w:vAlign w:val="bottom"/>
          </w:tcPr>
          <w:p w14:paraId="4A8DCB73" w14:textId="77777777" w:rsidR="002C118D" w:rsidRPr="00F5428B" w:rsidRDefault="002C118D" w:rsidP="008D4689">
            <w:pPr>
              <w:jc w:val="right"/>
              <w:rPr>
                <w:rFonts w:eastAsia="Calibri"/>
                <w:sz w:val="24"/>
              </w:rPr>
            </w:pPr>
            <w:r w:rsidRPr="00F5428B">
              <w:rPr>
                <w:rFonts w:eastAsia="Calibri"/>
                <w:sz w:val="24"/>
              </w:rPr>
              <w:t>$0</w:t>
            </w:r>
          </w:p>
        </w:tc>
      </w:tr>
    </w:tbl>
    <w:p w14:paraId="1801F2FB" w14:textId="77777777" w:rsidR="002C118D" w:rsidRPr="00F5428B" w:rsidRDefault="002C118D" w:rsidP="00BC15BE">
      <w:pPr>
        <w:rPr>
          <w:sz w:val="24"/>
        </w:rPr>
      </w:pPr>
    </w:p>
    <w:p w14:paraId="1DD34261" w14:textId="77777777" w:rsidR="00BC15BE" w:rsidRPr="00F5428B" w:rsidRDefault="00BC15BE" w:rsidP="00BC15BE">
      <w:pPr>
        <w:pStyle w:val="Level1"/>
        <w:rPr>
          <w:b/>
        </w:rPr>
      </w:pPr>
      <w:r w:rsidRPr="00F5428B">
        <w:rPr>
          <w:b/>
        </w:rPr>
        <w:t>TIME SCHEDULE FOR PUBLICATION OF DATA</w:t>
      </w:r>
    </w:p>
    <w:p w14:paraId="4CA649BF" w14:textId="77777777" w:rsidR="00BC15BE" w:rsidRPr="00F5428B" w:rsidRDefault="00BC15BE" w:rsidP="00BC15BE">
      <w:pPr>
        <w:rPr>
          <w:sz w:val="24"/>
        </w:rPr>
      </w:pPr>
    </w:p>
    <w:p w14:paraId="2267FB4E" w14:textId="77777777" w:rsidR="00565AA0" w:rsidRDefault="00565AA0" w:rsidP="00BC15BE">
      <w:pPr>
        <w:rPr>
          <w:sz w:val="24"/>
        </w:rPr>
      </w:pPr>
      <w:r w:rsidRPr="00950A2F">
        <w:rPr>
          <w:b/>
          <w:sz w:val="24"/>
          <w:u w:val="single"/>
        </w:rPr>
        <w:t>F</w:t>
      </w:r>
      <w:r w:rsidR="00F86954">
        <w:rPr>
          <w:b/>
          <w:sz w:val="24"/>
          <w:u w:val="single"/>
        </w:rPr>
        <w:t>inal Rule in Docket RM96-1-041 and FERC-545</w:t>
      </w:r>
      <w:r w:rsidR="008F65E6">
        <w:rPr>
          <w:b/>
          <w:sz w:val="24"/>
          <w:u w:val="single"/>
        </w:rPr>
        <w:t xml:space="preserve"> (renewal)</w:t>
      </w:r>
    </w:p>
    <w:p w14:paraId="0A20ADCA" w14:textId="77777777" w:rsidR="000C0189" w:rsidRDefault="000C0189" w:rsidP="00BC15BE">
      <w:pPr>
        <w:rPr>
          <w:sz w:val="24"/>
        </w:rPr>
      </w:pPr>
    </w:p>
    <w:p w14:paraId="22B7D8AE" w14:textId="77777777" w:rsidR="00BC15BE" w:rsidRPr="00F5428B" w:rsidRDefault="003D2136" w:rsidP="00BC15BE">
      <w:pPr>
        <w:rPr>
          <w:sz w:val="24"/>
        </w:rPr>
      </w:pPr>
      <w:r w:rsidRPr="00F5428B">
        <w:rPr>
          <w:sz w:val="24"/>
        </w:rPr>
        <w:t>There are no publications of the information</w:t>
      </w:r>
      <w:r w:rsidR="00BC15BE" w:rsidRPr="00F5428B">
        <w:rPr>
          <w:sz w:val="24"/>
        </w:rPr>
        <w:t>.</w:t>
      </w:r>
    </w:p>
    <w:p w14:paraId="02004AD4" w14:textId="77777777" w:rsidR="00BC15BE" w:rsidRPr="00F5428B" w:rsidRDefault="00BC15BE" w:rsidP="00BC15BE">
      <w:pPr>
        <w:rPr>
          <w:sz w:val="24"/>
        </w:rPr>
      </w:pPr>
    </w:p>
    <w:p w14:paraId="604362A8" w14:textId="77777777" w:rsidR="00BC15BE" w:rsidRPr="00F5428B" w:rsidRDefault="00BC15BE" w:rsidP="00BC15BE">
      <w:pPr>
        <w:pStyle w:val="Level1"/>
        <w:rPr>
          <w:b/>
        </w:rPr>
      </w:pPr>
      <w:r w:rsidRPr="00F5428B">
        <w:rPr>
          <w:b/>
        </w:rPr>
        <w:t>DISPLAY OF EXPIRATION DATE</w:t>
      </w:r>
    </w:p>
    <w:p w14:paraId="142CB75B" w14:textId="77777777" w:rsidR="00BC15BE" w:rsidRPr="00F5428B" w:rsidRDefault="00BC15BE" w:rsidP="00BC15BE">
      <w:pPr>
        <w:rPr>
          <w:sz w:val="24"/>
        </w:rPr>
      </w:pPr>
    </w:p>
    <w:p w14:paraId="1282CCE4" w14:textId="77777777" w:rsidR="00565AA0" w:rsidRDefault="00565AA0" w:rsidP="00BC15BE">
      <w:pPr>
        <w:rPr>
          <w:sz w:val="24"/>
        </w:rPr>
      </w:pPr>
      <w:r w:rsidRPr="00950A2F">
        <w:rPr>
          <w:b/>
          <w:sz w:val="24"/>
          <w:u w:val="single"/>
        </w:rPr>
        <w:t>F</w:t>
      </w:r>
      <w:r w:rsidR="00F86954">
        <w:rPr>
          <w:b/>
          <w:sz w:val="24"/>
          <w:u w:val="single"/>
        </w:rPr>
        <w:t>inal Rule in Docket RM96-1-041 and FERC-545</w:t>
      </w:r>
      <w:r w:rsidR="003E0393">
        <w:rPr>
          <w:b/>
          <w:sz w:val="24"/>
          <w:u w:val="single"/>
        </w:rPr>
        <w:t xml:space="preserve"> (renewal)</w:t>
      </w:r>
    </w:p>
    <w:p w14:paraId="3EFB0E76" w14:textId="77777777" w:rsidR="000C0189" w:rsidRDefault="000C0189" w:rsidP="00BC15BE">
      <w:pPr>
        <w:rPr>
          <w:sz w:val="24"/>
        </w:rPr>
      </w:pPr>
    </w:p>
    <w:p w14:paraId="40669138" w14:textId="01A451AF" w:rsidR="00BC15BE" w:rsidRPr="00F5428B" w:rsidRDefault="003D2136" w:rsidP="00BC15BE">
      <w:pPr>
        <w:rPr>
          <w:sz w:val="24"/>
        </w:rPr>
      </w:pPr>
      <w:r w:rsidRPr="00F5428B">
        <w:rPr>
          <w:sz w:val="24"/>
        </w:rPr>
        <w:t xml:space="preserve">The expiration dates are displayed on ferc.gov with links to the updated table from </w:t>
      </w:r>
      <w:hyperlink r:id="rId14" w:history="1">
        <w:r w:rsidRPr="00F5428B">
          <w:rPr>
            <w:rStyle w:val="Hyperlink"/>
            <w:sz w:val="24"/>
          </w:rPr>
          <w:t>http://www.ferc.gov/docs-filing/info-collections.asp</w:t>
        </w:r>
      </w:hyperlink>
      <w:r w:rsidR="00BC15BE" w:rsidRPr="00F5428B">
        <w:rPr>
          <w:sz w:val="24"/>
        </w:rPr>
        <w:t xml:space="preserve">. </w:t>
      </w:r>
    </w:p>
    <w:p w14:paraId="39DDEEB5" w14:textId="77777777" w:rsidR="00BC15BE" w:rsidRPr="00F5428B" w:rsidRDefault="00BC15BE" w:rsidP="00BC15BE">
      <w:pPr>
        <w:rPr>
          <w:sz w:val="24"/>
        </w:rPr>
      </w:pPr>
    </w:p>
    <w:p w14:paraId="121B55AC" w14:textId="77777777" w:rsidR="00BC15BE" w:rsidRPr="00F5428B" w:rsidRDefault="00BC15BE" w:rsidP="00BC15BE">
      <w:pPr>
        <w:pStyle w:val="Level1"/>
        <w:rPr>
          <w:b/>
        </w:rPr>
      </w:pPr>
      <w:r w:rsidRPr="00F5428B">
        <w:rPr>
          <w:b/>
        </w:rPr>
        <w:t>EXCEPTIONS TO THE CERTIFICATION STATEMENT</w:t>
      </w:r>
    </w:p>
    <w:p w14:paraId="3DB258A3" w14:textId="77777777" w:rsidR="00BC15BE" w:rsidRPr="00F5428B" w:rsidRDefault="00BC15BE" w:rsidP="00BC15BE">
      <w:pPr>
        <w:rPr>
          <w:sz w:val="24"/>
        </w:rPr>
      </w:pPr>
    </w:p>
    <w:p w14:paraId="7DFF450B" w14:textId="77777777" w:rsidR="00565AA0" w:rsidRDefault="00565AA0" w:rsidP="00565AA0">
      <w:pPr>
        <w:rPr>
          <w:sz w:val="24"/>
        </w:rPr>
      </w:pPr>
      <w:r w:rsidRPr="00950A2F">
        <w:rPr>
          <w:b/>
          <w:sz w:val="24"/>
          <w:u w:val="single"/>
        </w:rPr>
        <w:t>F</w:t>
      </w:r>
      <w:r w:rsidR="00F86954">
        <w:rPr>
          <w:b/>
          <w:sz w:val="24"/>
          <w:u w:val="single"/>
        </w:rPr>
        <w:t>inal Rule in Docket RM96-1-041 and FERC-545</w:t>
      </w:r>
      <w:r w:rsidR="003E0393">
        <w:rPr>
          <w:b/>
          <w:sz w:val="24"/>
          <w:u w:val="single"/>
        </w:rPr>
        <w:t xml:space="preserve"> (renewal)</w:t>
      </w:r>
    </w:p>
    <w:p w14:paraId="4508C369" w14:textId="77777777" w:rsidR="000C0189" w:rsidRDefault="000C0189" w:rsidP="00BC15BE">
      <w:pPr>
        <w:rPr>
          <w:sz w:val="24"/>
        </w:rPr>
      </w:pPr>
    </w:p>
    <w:p w14:paraId="7C3D7C44" w14:textId="77777777" w:rsidR="00BC15BE" w:rsidRPr="00F5428B" w:rsidRDefault="00BC15BE" w:rsidP="00BC15BE">
      <w:pPr>
        <w:rPr>
          <w:sz w:val="24"/>
        </w:rPr>
      </w:pPr>
      <w:r w:rsidRPr="00F5428B">
        <w:rPr>
          <w:sz w:val="24"/>
        </w:rPr>
        <w:t>There are no exceptions.</w:t>
      </w:r>
    </w:p>
    <w:p w14:paraId="5DD536D6" w14:textId="77777777" w:rsidR="0010764F" w:rsidRPr="00F5428B" w:rsidRDefault="0010764F">
      <w:pPr>
        <w:rPr>
          <w:sz w:val="24"/>
        </w:rPr>
      </w:pPr>
    </w:p>
    <w:sectPr w:rsidR="0010764F" w:rsidRPr="00F5428B" w:rsidSect="008D468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E9D3C" w14:textId="77777777" w:rsidR="007E1376" w:rsidRDefault="007E1376" w:rsidP="00BC15BE">
      <w:r>
        <w:separator/>
      </w:r>
    </w:p>
  </w:endnote>
  <w:endnote w:type="continuationSeparator" w:id="0">
    <w:p w14:paraId="5BE37EC2" w14:textId="77777777" w:rsidR="007E1376" w:rsidRDefault="007E1376" w:rsidP="00BC15BE">
      <w:r>
        <w:continuationSeparator/>
      </w:r>
    </w:p>
  </w:endnote>
  <w:endnote w:type="continuationNotice" w:id="1">
    <w:p w14:paraId="4D5046FC" w14:textId="77777777" w:rsidR="007E1376" w:rsidRDefault="007E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1C33A" w14:textId="77777777" w:rsidR="002567E4" w:rsidRDefault="00256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B1F5" w14:textId="77777777" w:rsidR="002567E4" w:rsidRDefault="00256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6849" w14:textId="77777777" w:rsidR="002567E4" w:rsidRDefault="00256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35C3B" w14:textId="77777777" w:rsidR="007E1376" w:rsidRDefault="007E1376" w:rsidP="00BC15BE">
      <w:r>
        <w:separator/>
      </w:r>
    </w:p>
  </w:footnote>
  <w:footnote w:type="continuationSeparator" w:id="0">
    <w:p w14:paraId="4EFB95B7" w14:textId="77777777" w:rsidR="007E1376" w:rsidRDefault="007E1376" w:rsidP="00BC15BE">
      <w:r>
        <w:continuationSeparator/>
      </w:r>
    </w:p>
  </w:footnote>
  <w:footnote w:type="continuationNotice" w:id="1">
    <w:p w14:paraId="6208BF88" w14:textId="77777777" w:rsidR="007E1376" w:rsidRDefault="007E1376"/>
  </w:footnote>
  <w:footnote w:id="2">
    <w:p w14:paraId="34952BF6"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submittal to OMB for the NOPR in RM96-1-041 was made under a temporary collection number (and temporary placeholder), FERC-545B (OMB Control No. TBD) to enable FERC to submit this package timely to OMB for review under the Paperwork Reduction Act.  This was done because another unrelated item was pending OMB review under FERC-545, and only one item per OMB Control Number can be pending OMB review at a time.</w:t>
      </w:r>
    </w:p>
  </w:footnote>
  <w:footnote w:id="3">
    <w:p w14:paraId="59C4499E"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This supporting statement will also contain information concerning the extension of the FERC-545 information collection.</w:t>
      </w:r>
    </w:p>
  </w:footnote>
  <w:footnote w:id="4">
    <w:p w14:paraId="5A4916A7" w14:textId="77777777" w:rsidR="00D36F12" w:rsidRPr="002567E4" w:rsidRDefault="00D36F12" w:rsidP="002567E4">
      <w:pPr>
        <w:pStyle w:val="FootnoteText"/>
        <w:spacing w:after="0"/>
        <w:ind w:firstLine="0"/>
        <w:rPr>
          <w:sz w:val="20"/>
        </w:rPr>
      </w:pPr>
      <w:r w:rsidRPr="002567E4">
        <w:rPr>
          <w:b/>
          <w:sz w:val="20"/>
          <w:vertAlign w:val="superscript"/>
        </w:rPr>
        <w:footnoteRef/>
      </w:r>
      <w:r w:rsidRPr="002567E4">
        <w:rPr>
          <w:b/>
          <w:sz w:val="20"/>
          <w:vertAlign w:val="superscript"/>
        </w:rPr>
        <w:t xml:space="preserve"> </w:t>
      </w:r>
      <w:r w:rsidRPr="002567E4">
        <w:rPr>
          <w:i/>
          <w:sz w:val="20"/>
        </w:rPr>
        <w:t>Standards for Business Practices of Interstate Natural Gas Pipelines</w:t>
      </w:r>
      <w:r w:rsidRPr="002567E4">
        <w:rPr>
          <w:sz w:val="20"/>
        </w:rPr>
        <w:t>, Notice of Proposed Rulemaking, 83 FR 44521 (Aug. 31, 2018), FERC Stats. &amp; Regs. ¶ 32,728 (Aug. 21, 2018) (Version 3.1 NOPR).</w:t>
      </w:r>
    </w:p>
  </w:footnote>
  <w:footnote w:id="5">
    <w:p w14:paraId="40F6DFDB"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More information is available on FERC’s eTariff page at </w:t>
      </w:r>
      <w:hyperlink r:id="rId1" w:history="1">
        <w:r w:rsidRPr="002567E4">
          <w:rPr>
            <w:rStyle w:val="Hyperlink"/>
            <w:sz w:val="20"/>
          </w:rPr>
          <w:t>http://www.ferc.gov/docs-filing/etariff.asp</w:t>
        </w:r>
      </w:hyperlink>
      <w:r w:rsidRPr="002567E4">
        <w:rPr>
          <w:sz w:val="20"/>
        </w:rPr>
        <w:t xml:space="preserve"> .</w:t>
      </w:r>
    </w:p>
  </w:footnote>
  <w:footnote w:id="6">
    <w:p w14:paraId="59F6B092" w14:textId="3490C10A"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U.S. Small Business Administration, Table of Small Business Size Standards for  Pipeline Transportation of Natural Gas, NAICS Code 486210,  available at </w:t>
      </w:r>
      <w:hyperlink r:id="rId2" w:history="1">
        <w:r w:rsidRPr="002567E4">
          <w:rPr>
            <w:rStyle w:val="Hyperlink"/>
            <w:sz w:val="20"/>
          </w:rPr>
          <w:t>https://www.sba.gov/sites/default/files/files/Size_Standards_Table.pdf</w:t>
        </w:r>
      </w:hyperlink>
      <w:r w:rsidRPr="002567E4">
        <w:rPr>
          <w:sz w:val="20"/>
        </w:rPr>
        <w:t xml:space="preserve">, Subsector 486. </w:t>
      </w:r>
    </w:p>
    <w:p w14:paraId="67E0ACF9" w14:textId="4AF81162" w:rsidR="00D36F12" w:rsidRPr="002567E4" w:rsidRDefault="00D36F12" w:rsidP="002567E4">
      <w:pPr>
        <w:pStyle w:val="FootnoteText"/>
        <w:spacing w:after="0"/>
        <w:ind w:firstLine="0"/>
        <w:rPr>
          <w:sz w:val="20"/>
        </w:rPr>
      </w:pPr>
      <w:r w:rsidRPr="002567E4">
        <w:rPr>
          <w:sz w:val="20"/>
        </w:rPr>
        <w:t xml:space="preserve">Matched to North American Industry Classification System Codes, Natural Gas Pipeline Transportation, NAICS Code 486210, page 27, July 14, 2014, available at </w:t>
      </w:r>
      <w:hyperlink r:id="rId3" w:history="1">
        <w:r w:rsidRPr="002567E4">
          <w:rPr>
            <w:rStyle w:val="Hyperlink"/>
            <w:sz w:val="20"/>
          </w:rPr>
          <w:t>https://www.sba.gov/sites/default/files/files/Size_Standards_Table.pdf</w:t>
        </w:r>
      </w:hyperlink>
      <w:r w:rsidRPr="002567E4">
        <w:rPr>
          <w:sz w:val="20"/>
        </w:rPr>
        <w:t>, Subsector 486.</w:t>
      </w:r>
    </w:p>
  </w:footnote>
  <w:footnote w:id="7">
    <w:p w14:paraId="3158C7CA"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Issued on 8/21/2018; published on 8/31/2018 (83 FR 44521)</w:t>
      </w:r>
    </w:p>
  </w:footnote>
  <w:footnote w:id="8">
    <w:p w14:paraId="35F56979" w14:textId="56AAF9CC"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Issued on 11/15/2018; published on </w:t>
      </w:r>
      <w:r w:rsidR="00E34C4E" w:rsidRPr="002567E4">
        <w:rPr>
          <w:sz w:val="20"/>
        </w:rPr>
        <w:t>12/3/2018 (83 FR 62242</w:t>
      </w:r>
      <w:r w:rsidRPr="002567E4">
        <w:rPr>
          <w:sz w:val="20"/>
        </w:rPr>
        <w:t>)</w:t>
      </w:r>
    </w:p>
  </w:footnote>
  <w:footnote w:id="9">
    <w:p w14:paraId="2A9A9324" w14:textId="1D039EE6" w:rsidR="00860043" w:rsidRPr="002567E4" w:rsidRDefault="00860043" w:rsidP="002567E4">
      <w:pPr>
        <w:pStyle w:val="FootnoteText"/>
        <w:spacing w:after="0"/>
        <w:ind w:firstLine="0"/>
        <w:rPr>
          <w:sz w:val="20"/>
        </w:rPr>
      </w:pPr>
      <w:r w:rsidRPr="002567E4">
        <w:rPr>
          <w:rStyle w:val="FootnoteReference"/>
          <w:sz w:val="20"/>
          <w:szCs w:val="20"/>
        </w:rPr>
        <w:footnoteRef/>
      </w:r>
      <w:r w:rsidRPr="002567E4">
        <w:rPr>
          <w:sz w:val="20"/>
        </w:rPr>
        <w:t xml:space="preserve"> Publication in the Federal Register occurred on 8/16/2018 (83 FR 40759)</w:t>
      </w:r>
    </w:p>
  </w:footnote>
  <w:footnote w:id="10">
    <w:p w14:paraId="534E97B6" w14:textId="728DAC5F" w:rsidR="00860043" w:rsidRPr="002567E4" w:rsidRDefault="00860043" w:rsidP="002567E4">
      <w:pPr>
        <w:pStyle w:val="FootnoteText"/>
        <w:spacing w:after="0"/>
        <w:ind w:firstLine="0"/>
        <w:rPr>
          <w:sz w:val="20"/>
        </w:rPr>
      </w:pPr>
      <w:r w:rsidRPr="002567E4">
        <w:rPr>
          <w:rStyle w:val="FootnoteReference"/>
          <w:sz w:val="20"/>
          <w:szCs w:val="20"/>
        </w:rPr>
        <w:footnoteRef/>
      </w:r>
      <w:r w:rsidRPr="002567E4">
        <w:rPr>
          <w:sz w:val="20"/>
        </w:rPr>
        <w:t xml:space="preserve"> Publication in the F</w:t>
      </w:r>
      <w:r w:rsidR="00A4633A" w:rsidRPr="002567E4">
        <w:rPr>
          <w:sz w:val="20"/>
        </w:rPr>
        <w:t>ederal Register occurred on 10/31</w:t>
      </w:r>
      <w:r w:rsidRPr="002567E4">
        <w:rPr>
          <w:sz w:val="20"/>
        </w:rPr>
        <w:t>/2018 (83 FR 54737)</w:t>
      </w:r>
    </w:p>
  </w:footnote>
  <w:footnote w:id="11">
    <w:p w14:paraId="22DC1FAD" w14:textId="77777777" w:rsidR="00D36F12" w:rsidRPr="002567E4" w:rsidRDefault="00D36F12" w:rsidP="002567E4">
      <w:pPr>
        <w:pStyle w:val="FootnoteText"/>
        <w:spacing w:after="0"/>
        <w:ind w:firstLine="0"/>
        <w:rPr>
          <w:sz w:val="20"/>
        </w:rPr>
      </w:pPr>
      <w:r w:rsidRPr="002567E4">
        <w:rPr>
          <w:b/>
          <w:sz w:val="20"/>
          <w:vertAlign w:val="superscript"/>
        </w:rPr>
        <w:footnoteRef/>
      </w:r>
      <w:r w:rsidRPr="002567E4">
        <w:rPr>
          <w:sz w:val="20"/>
        </w:rPr>
        <w:t xml:space="preserve"> The number of respondents is the number of entities in which a change in burden from the current standards to the proposed exists, not the total number of entities from the current or proposed standards that are applicable.</w:t>
      </w:r>
    </w:p>
  </w:footnote>
  <w:footnote w:id="12">
    <w:p w14:paraId="71B7E5B8" w14:textId="01320662" w:rsidR="00D36F12" w:rsidRPr="002567E4" w:rsidRDefault="00D36F12" w:rsidP="002567E4">
      <w:pPr>
        <w:pStyle w:val="FootnoteText"/>
        <w:spacing w:after="0"/>
        <w:ind w:firstLine="0"/>
        <w:rPr>
          <w:sz w:val="20"/>
        </w:rPr>
      </w:pPr>
      <w:r w:rsidRPr="002567E4">
        <w:rPr>
          <w:b/>
          <w:sz w:val="20"/>
          <w:vertAlign w:val="superscript"/>
        </w:rPr>
        <w:footnoteRef/>
      </w:r>
      <w:r w:rsidRPr="002567E4">
        <w:rPr>
          <w:b/>
          <w:sz w:val="20"/>
          <w:vertAlign w:val="superscript"/>
        </w:rPr>
        <w:t xml:space="preserve"> </w:t>
      </w:r>
      <w:r w:rsidRPr="002567E4">
        <w:rPr>
          <w:sz w:val="20"/>
        </w:rPr>
        <w:t>The estimated hourly cost (salary plus benefits) provided in this section is based on the salary figures for May 2017 posted by the Bureau of Labor Statistics for the Utilities sector (available at</w:t>
      </w:r>
      <w:r w:rsidR="007D0453" w:rsidRPr="002567E4">
        <w:rPr>
          <w:sz w:val="20"/>
        </w:rPr>
        <w:t xml:space="preserve"> </w:t>
      </w:r>
      <w:hyperlink r:id="rId4" w:history="1">
        <w:r w:rsidR="007D0453" w:rsidRPr="002567E4">
          <w:rPr>
            <w:rStyle w:val="Hyperlink"/>
            <w:sz w:val="20"/>
          </w:rPr>
          <w:t>https://www.bls.gov/oes/current/naics3_221000.htm</w:t>
        </w:r>
      </w:hyperlink>
      <w:r w:rsidRPr="002567E4">
        <w:rPr>
          <w:sz w:val="20"/>
        </w:rPr>
        <w:t xml:space="preserve">) and scaled to reflect benefits using the relative importance of employer costs in employee compensation from May 2017 (available at </w:t>
      </w:r>
      <w:hyperlink r:id="rId5" w:history="1">
        <w:r w:rsidR="007D0453" w:rsidRPr="002567E4">
          <w:rPr>
            <w:rStyle w:val="Hyperlink"/>
            <w:sz w:val="20"/>
          </w:rPr>
          <w:t>https://www.bls.gov/news.release/ecec.nr0.htm</w:t>
        </w:r>
      </w:hyperlink>
      <w:r w:rsidRPr="002567E4">
        <w:rPr>
          <w:sz w:val="20"/>
        </w:rPr>
        <w:t>).  The hourly estimates for salary plus benefits are:</w:t>
      </w:r>
    </w:p>
    <w:p w14:paraId="36F4B4B0" w14:textId="0383F65D" w:rsidR="00D36F12" w:rsidRPr="002567E4" w:rsidRDefault="00D36F12" w:rsidP="002567E4">
      <w:pPr>
        <w:rPr>
          <w:sz w:val="20"/>
          <w:szCs w:val="20"/>
        </w:rPr>
      </w:pPr>
      <w:r w:rsidRPr="002567E4">
        <w:rPr>
          <w:sz w:val="20"/>
          <w:szCs w:val="20"/>
        </w:rPr>
        <w:t>Computer and Information Systems Manager (Occ</w:t>
      </w:r>
      <w:r w:rsidR="007D0453" w:rsidRPr="002567E4">
        <w:rPr>
          <w:sz w:val="20"/>
          <w:szCs w:val="20"/>
        </w:rPr>
        <w:t>upation Code: 11-3021), $96.51</w:t>
      </w:r>
    </w:p>
    <w:p w14:paraId="64C48CB1" w14:textId="77777777" w:rsidR="00D36F12" w:rsidRPr="002567E4" w:rsidRDefault="00D36F12" w:rsidP="002567E4">
      <w:pPr>
        <w:rPr>
          <w:sz w:val="20"/>
          <w:szCs w:val="20"/>
        </w:rPr>
      </w:pPr>
      <w:r w:rsidRPr="002567E4">
        <w:rPr>
          <w:sz w:val="20"/>
          <w:szCs w:val="20"/>
        </w:rPr>
        <w:t>Electrical Engineer (Occupation Code: 17-2071), $66.90</w:t>
      </w:r>
    </w:p>
    <w:p w14:paraId="63564A73" w14:textId="77777777" w:rsidR="00D36F12" w:rsidRPr="002567E4" w:rsidRDefault="00D36F12" w:rsidP="002567E4">
      <w:pPr>
        <w:rPr>
          <w:sz w:val="20"/>
          <w:szCs w:val="20"/>
        </w:rPr>
      </w:pPr>
      <w:r w:rsidRPr="002567E4">
        <w:rPr>
          <w:sz w:val="20"/>
          <w:szCs w:val="20"/>
        </w:rPr>
        <w:t>Legal (Occupation Code: 23-0000), $143.68</w:t>
      </w:r>
    </w:p>
    <w:p w14:paraId="00730A0E" w14:textId="77777777" w:rsidR="00D36F12" w:rsidRPr="002567E4" w:rsidRDefault="00D36F12" w:rsidP="002567E4">
      <w:pPr>
        <w:rPr>
          <w:sz w:val="20"/>
          <w:szCs w:val="20"/>
        </w:rPr>
      </w:pPr>
      <w:r w:rsidRPr="002567E4">
        <w:rPr>
          <w:sz w:val="20"/>
          <w:szCs w:val="20"/>
        </w:rPr>
        <w:t>The average hourly cost (salary plus benefits), weighting all of these skill sets evenly, is $102.36. The Commission rounds it to $102/hour.</w:t>
      </w:r>
    </w:p>
  </w:footnote>
  <w:footnote w:id="13">
    <w:p w14:paraId="58555A41"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average number of responses per respondent was calculated by dividing the total number of responses (Column 3) in each category by the number of respondents (Column 1).</w:t>
      </w:r>
    </w:p>
  </w:footnote>
  <w:footnote w:id="14">
    <w:p w14:paraId="5D745F08" w14:textId="37BCAA18"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estimated hourly cost (salary plus benefits) provided in this section is based on the salary figures (</w:t>
      </w:r>
      <w:hyperlink r:id="rId6" w:history="1">
        <w:r w:rsidR="007D0453" w:rsidRPr="002567E4">
          <w:rPr>
            <w:rStyle w:val="Hyperlink"/>
            <w:sz w:val="20"/>
          </w:rPr>
          <w:t>http://www.bls.gov/oes/current/naics2_22.htm</w:t>
        </w:r>
      </w:hyperlink>
      <w:r w:rsidRPr="002567E4">
        <w:rPr>
          <w:rStyle w:val="Hyperlink"/>
          <w:sz w:val="20"/>
        </w:rPr>
        <w:t>)</w:t>
      </w:r>
      <w:r w:rsidRPr="002567E4">
        <w:rPr>
          <w:sz w:val="20"/>
        </w:rPr>
        <w:t xml:space="preserve"> and benefits (</w:t>
      </w:r>
      <w:hyperlink r:id="rId7" w:history="1">
        <w:r w:rsidRPr="002567E4">
          <w:rPr>
            <w:rStyle w:val="Hyperlink"/>
            <w:sz w:val="20"/>
          </w:rPr>
          <w:t>http://www.bls.gov/news.release/ecec.nr0.htm</w:t>
        </w:r>
      </w:hyperlink>
      <w:r w:rsidRPr="002567E4">
        <w:rPr>
          <w:rStyle w:val="Hyperlink"/>
          <w:sz w:val="20"/>
        </w:rPr>
        <w:t>)</w:t>
      </w:r>
      <w:r w:rsidRPr="002567E4">
        <w:rPr>
          <w:sz w:val="20"/>
        </w:rPr>
        <w:t xml:space="preserve"> for May 2017 posted by the Bureau of Labor Statistics for the Utilities sector.  The hourly estimates for salary plus benefits are: </w:t>
      </w:r>
    </w:p>
    <w:p w14:paraId="546E9F08" w14:textId="77777777" w:rsidR="00D36F12" w:rsidRPr="002567E4" w:rsidRDefault="00D36F12" w:rsidP="002567E4">
      <w:pPr>
        <w:pStyle w:val="FootnoteText"/>
        <w:spacing w:after="0"/>
        <w:ind w:firstLine="0"/>
        <w:rPr>
          <w:rFonts w:eastAsia="Calibri"/>
          <w:sz w:val="20"/>
        </w:rPr>
      </w:pPr>
      <w:r w:rsidRPr="002567E4">
        <w:rPr>
          <w:rFonts w:eastAsia="Calibri"/>
          <w:sz w:val="20"/>
        </w:rPr>
        <w:tab/>
        <w:t>Computer and Mathematical (Occupation Code: 15-0000), $63.25</w:t>
      </w:r>
      <w:r w:rsidRPr="002567E4">
        <w:rPr>
          <w:rFonts w:eastAsia="Calibri"/>
          <w:sz w:val="20"/>
        </w:rPr>
        <w:tab/>
      </w:r>
    </w:p>
    <w:p w14:paraId="32D7C9AD" w14:textId="77777777" w:rsidR="00D36F12" w:rsidRPr="002567E4" w:rsidRDefault="00D36F12" w:rsidP="002567E4">
      <w:pPr>
        <w:pStyle w:val="FootnoteText"/>
        <w:spacing w:after="0"/>
        <w:ind w:firstLine="0"/>
        <w:rPr>
          <w:rFonts w:eastAsia="Calibri"/>
          <w:sz w:val="20"/>
        </w:rPr>
      </w:pPr>
      <w:r w:rsidRPr="002567E4">
        <w:rPr>
          <w:rFonts w:eastAsia="Calibri"/>
          <w:sz w:val="20"/>
        </w:rPr>
        <w:tab/>
        <w:t>Economist (Occupation Code: 19-3011), $71.98</w:t>
      </w:r>
    </w:p>
    <w:p w14:paraId="1B60CE89" w14:textId="77777777" w:rsidR="00D36F12" w:rsidRPr="002567E4" w:rsidRDefault="00D36F12" w:rsidP="002567E4">
      <w:pPr>
        <w:pStyle w:val="FootnoteText"/>
        <w:spacing w:after="0"/>
        <w:ind w:firstLine="0"/>
        <w:rPr>
          <w:rFonts w:eastAsia="Calibri"/>
          <w:sz w:val="20"/>
        </w:rPr>
      </w:pPr>
      <w:r w:rsidRPr="002567E4">
        <w:rPr>
          <w:rFonts w:eastAsia="Calibri"/>
          <w:sz w:val="20"/>
        </w:rPr>
        <w:tab/>
        <w:t>Legal (Occupation Code: 23-0000), $143.68</w:t>
      </w:r>
    </w:p>
    <w:p w14:paraId="6BE02BB1" w14:textId="77777777" w:rsidR="00D36F12" w:rsidRPr="002567E4" w:rsidRDefault="00D36F12" w:rsidP="002567E4">
      <w:pPr>
        <w:pStyle w:val="FootnoteText"/>
        <w:spacing w:after="0"/>
        <w:ind w:firstLine="0"/>
        <w:rPr>
          <w:rFonts w:eastAsia="Calibri"/>
          <w:sz w:val="20"/>
        </w:rPr>
      </w:pPr>
      <w:r w:rsidRPr="002567E4">
        <w:rPr>
          <w:rFonts w:eastAsia="Calibri"/>
          <w:sz w:val="20"/>
        </w:rPr>
        <w:tab/>
        <w:t>Accountants and Auditors: 13-2011), $56.59</w:t>
      </w:r>
    </w:p>
    <w:p w14:paraId="11F921E9" w14:textId="77777777" w:rsidR="00D36F12" w:rsidRPr="002567E4" w:rsidRDefault="00D36F12" w:rsidP="002567E4">
      <w:pPr>
        <w:autoSpaceDE w:val="0"/>
        <w:autoSpaceDN w:val="0"/>
        <w:adjustRightInd w:val="0"/>
        <w:rPr>
          <w:sz w:val="20"/>
          <w:szCs w:val="20"/>
        </w:rPr>
      </w:pPr>
      <w:r w:rsidRPr="002567E4">
        <w:rPr>
          <w:sz w:val="20"/>
          <w:szCs w:val="20"/>
        </w:rPr>
        <w:t>The average hourly cost (salary plus benefits) is calculated weighting each of the aforementioned wage categories as follows: $63.25 (0.05) + $71.98 (0.3) + $143.68 (0.6) + $56.59 (0.05) = $113.79. The Commission rounds it to $114/hour.</w:t>
      </w:r>
    </w:p>
  </w:footnote>
  <w:footnote w:id="15">
    <w:p w14:paraId="1D969DD2"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average costs are rounded to the nearest dollar.</w:t>
      </w:r>
    </w:p>
  </w:footnote>
  <w:footnote w:id="16">
    <w:p w14:paraId="36314147"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average costs per respondent are rounded to the nearest dollar.</w:t>
      </w:r>
    </w:p>
  </w:footnote>
  <w:footnote w:id="17">
    <w:p w14:paraId="6EFD7A0F" w14:textId="5BAA7633" w:rsidR="009F020C" w:rsidRPr="002567E4" w:rsidRDefault="009F020C" w:rsidP="002567E4">
      <w:pPr>
        <w:pStyle w:val="FootnoteText"/>
        <w:spacing w:after="0"/>
        <w:ind w:firstLine="0"/>
        <w:rPr>
          <w:sz w:val="20"/>
        </w:rPr>
      </w:pPr>
      <w:r w:rsidRPr="002567E4">
        <w:rPr>
          <w:rStyle w:val="FootnoteReference"/>
          <w:sz w:val="20"/>
          <w:szCs w:val="20"/>
        </w:rPr>
        <w:footnoteRef/>
      </w:r>
      <w:r w:rsidRPr="002567E4">
        <w:rPr>
          <w:sz w:val="20"/>
        </w:rPr>
        <w:t>Note that there are other program changes not related to RM96-1-041, which are described in Question 15.  FERC staff is removing three one-time requirements that are outside of their respective implementation periods, have been completed, and should no longer apply to FERC-545 reporting burden:</w:t>
      </w:r>
    </w:p>
  </w:footnote>
  <w:footnote w:id="18">
    <w:p w14:paraId="1AA21F48"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Based on FERC’s Fiscal Year 2018 average cost per FTE (salary plus benefits) of $164,820 per year (or 2,080 work hours), rounded to $79.00 per hour. </w:t>
      </w:r>
    </w:p>
  </w:footnote>
  <w:footnote w:id="19">
    <w:p w14:paraId="5896C281"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Paperwork Reduction Act of 1995 (PRA)</w:t>
      </w:r>
    </w:p>
  </w:footnote>
  <w:footnote w:id="20">
    <w:p w14:paraId="2AB0B54B"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PRA Administration Cost is $ 4,931, and includes preparing supporting statements, notices, and other activities associated with Paperwork Reduction Act compliance.</w:t>
      </w:r>
    </w:p>
  </w:footnote>
  <w:footnote w:id="21">
    <w:p w14:paraId="26909FBA" w14:textId="7AE3AD8B" w:rsidR="00A277D4" w:rsidRPr="002567E4" w:rsidRDefault="00A277D4" w:rsidP="002567E4">
      <w:pPr>
        <w:pStyle w:val="FootnoteText"/>
        <w:spacing w:after="0"/>
        <w:ind w:firstLine="0"/>
        <w:rPr>
          <w:sz w:val="20"/>
        </w:rPr>
      </w:pPr>
      <w:r w:rsidRPr="002567E4">
        <w:rPr>
          <w:rStyle w:val="FootnoteReference"/>
          <w:sz w:val="20"/>
          <w:szCs w:val="20"/>
        </w:rPr>
        <w:footnoteRef/>
      </w:r>
      <w:r w:rsidRPr="002567E4">
        <w:rPr>
          <w:sz w:val="20"/>
        </w:rPr>
        <w:t xml:space="preserve"> This cost will be applied to both the FERC-545 and FERC-549C</w:t>
      </w:r>
      <w:r w:rsidR="004D5056" w:rsidRPr="002567E4">
        <w:rPr>
          <w:sz w:val="20"/>
        </w:rPr>
        <w:t xml:space="preserve"> information collections</w:t>
      </w:r>
      <w:r w:rsidR="006462AD" w:rsidRPr="002567E4">
        <w:rPr>
          <w:sz w:val="20"/>
        </w:rPr>
        <w:t xml:space="preserve"> as related their respective ICRs.</w:t>
      </w:r>
    </w:p>
  </w:footnote>
  <w:footnote w:id="22">
    <w:p w14:paraId="5827BD56"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estimate of federal FTE’s and the indicated split between FERC-545 and FERC-549C is based on staff’s experience and the fact that the FERC-545 filings are one-time filings, with the FERC-549C requirements both one-time and on-going.</w:t>
      </w:r>
    </w:p>
  </w:footnote>
  <w:footnote w:id="23">
    <w:p w14:paraId="079763D6" w14:textId="739D1CC2"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Pr="002567E4">
        <w:rPr>
          <w:sz w:val="20"/>
          <w:shd w:val="clear" w:color="auto" w:fill="FFFFFF"/>
        </w:rPr>
        <w:t xml:space="preserve">The 1 FTE we are estimating here in connection with the issuance of the Final Rule in Docket No. </w:t>
      </w:r>
      <w:r w:rsidRPr="002567E4">
        <w:rPr>
          <w:bCs/>
          <w:sz w:val="20"/>
          <w:shd w:val="clear" w:color="auto" w:fill="FFFFFF"/>
        </w:rPr>
        <w:t>RM96-1-041</w:t>
      </w:r>
      <w:r w:rsidRPr="002567E4">
        <w:rPr>
          <w:sz w:val="20"/>
          <w:shd w:val="clear" w:color="auto" w:fill="FFFFFF"/>
        </w:rPr>
        <w:t xml:space="preserve"> does not represent an additional FTE.</w:t>
      </w:r>
      <w:r w:rsidR="00AC5B84" w:rsidRPr="002567E4">
        <w:rPr>
          <w:sz w:val="20"/>
          <w:shd w:val="clear" w:color="auto" w:fill="FFFFFF"/>
        </w:rPr>
        <w:t xml:space="preserve"> Rather, 1 FTE represents federal effort as applied to both FERC-545 and FERC-549C currently and after the Final Rule is effective.</w:t>
      </w:r>
    </w:p>
  </w:footnote>
  <w:footnote w:id="24">
    <w:p w14:paraId="718FD2AF" w14:textId="59FCFC82" w:rsidR="004714B2" w:rsidRPr="002567E4" w:rsidRDefault="004714B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00F513B7" w:rsidRPr="002567E4">
        <w:rPr>
          <w:sz w:val="20"/>
        </w:rPr>
        <w:t xml:space="preserve">The </w:t>
      </w:r>
      <w:r w:rsidRPr="002567E4">
        <w:rPr>
          <w:sz w:val="20"/>
        </w:rPr>
        <w:t xml:space="preserve">RM14-21-000 Final Rule (Natural Gas Act Pipeline Maps) </w:t>
      </w:r>
      <w:r w:rsidR="00F513B7" w:rsidRPr="002567E4">
        <w:rPr>
          <w:sz w:val="20"/>
        </w:rPr>
        <w:t xml:space="preserve">was </w:t>
      </w:r>
      <w:r w:rsidRPr="002567E4">
        <w:rPr>
          <w:sz w:val="20"/>
        </w:rPr>
        <w:t>issued on 11/20/2014; reporting requirements were completed after Year 1 of the three year approval.</w:t>
      </w:r>
    </w:p>
  </w:footnote>
  <w:footnote w:id="25">
    <w:p w14:paraId="70477D28" w14:textId="65FB3AD0" w:rsidR="004714B2" w:rsidRPr="002567E4" w:rsidRDefault="004714B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00F513B7" w:rsidRPr="002567E4">
        <w:rPr>
          <w:sz w:val="20"/>
        </w:rPr>
        <w:t xml:space="preserve">The </w:t>
      </w:r>
      <w:r w:rsidRPr="002567E4">
        <w:rPr>
          <w:sz w:val="20"/>
        </w:rPr>
        <w:t xml:space="preserve">RM14-2-000 Final Rule (Coordination of the Scheduling Processes of Interstate Natural Gas Pipelines and Public Utilities) </w:t>
      </w:r>
      <w:r w:rsidR="00F513B7" w:rsidRPr="002567E4">
        <w:rPr>
          <w:sz w:val="20"/>
        </w:rPr>
        <w:t xml:space="preserve">was </w:t>
      </w:r>
      <w:r w:rsidRPr="002567E4">
        <w:rPr>
          <w:sz w:val="20"/>
        </w:rPr>
        <w:t>issued on 4/16/2015; reporting requirements were completed on 2/1/2016.</w:t>
      </w:r>
    </w:p>
  </w:footnote>
  <w:footnote w:id="26">
    <w:p w14:paraId="61764871" w14:textId="6431D3CB" w:rsidR="004714B2" w:rsidRPr="002567E4" w:rsidRDefault="004714B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00F513B7" w:rsidRPr="002567E4">
        <w:rPr>
          <w:sz w:val="20"/>
        </w:rPr>
        <w:t xml:space="preserve">The </w:t>
      </w:r>
      <w:r w:rsidRPr="002567E4">
        <w:rPr>
          <w:sz w:val="20"/>
        </w:rPr>
        <w:t xml:space="preserve">RM96-1-038 Final Rule (Standards for Business Practices of Interstate Natural Gas Pipelines; Coordination of the Scheduling Processes of Interstate Natural Gas Pipelines and Public Utilities) </w:t>
      </w:r>
      <w:r w:rsidR="00F513B7" w:rsidRPr="002567E4">
        <w:rPr>
          <w:sz w:val="20"/>
        </w:rPr>
        <w:t xml:space="preserve">was </w:t>
      </w:r>
      <w:r w:rsidRPr="002567E4">
        <w:rPr>
          <w:sz w:val="20"/>
        </w:rPr>
        <w:t>issued on 10/16/2015; reporting requirements were completed on 2/1/2016.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7C810" w14:textId="77777777" w:rsidR="002567E4" w:rsidRDefault="00256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77777777" w:rsidR="00D36F12" w:rsidRPr="00A873E5" w:rsidRDefault="00D36F12" w:rsidP="002B45F1">
    <w:pPr>
      <w:pStyle w:val="Header"/>
    </w:pPr>
    <w:r w:rsidRPr="00A873E5">
      <w:t>FERC-545 (OMB Control No. 1902-0154)</w:t>
    </w:r>
  </w:p>
  <w:p w14:paraId="4E3188D1" w14:textId="77777777" w:rsidR="00D36F12" w:rsidRPr="00A873E5" w:rsidRDefault="00D36F12" w:rsidP="008D4689">
    <w:pPr>
      <w:tabs>
        <w:tab w:val="left" w:pos="-1440"/>
      </w:tabs>
      <w:ind w:left="5760" w:right="360" w:hanging="5760"/>
      <w:rPr>
        <w:sz w:val="24"/>
      </w:rPr>
    </w:pPr>
    <w:r w:rsidRPr="00A873E5">
      <w:rPr>
        <w:sz w:val="24"/>
      </w:rPr>
      <w:t>Docket No. RM96-1-041 Final Rule (issued 11/15/2018)</w:t>
    </w:r>
  </w:p>
  <w:p w14:paraId="780E8A6C" w14:textId="5847A1AE" w:rsidR="00D36F12" w:rsidRDefault="00D36F12" w:rsidP="008D4689">
    <w:pPr>
      <w:tabs>
        <w:tab w:val="left" w:pos="-1440"/>
      </w:tabs>
      <w:ind w:left="5760" w:right="360" w:hanging="5760"/>
      <w:rPr>
        <w:sz w:val="24"/>
      </w:rPr>
    </w:pPr>
    <w:r w:rsidRPr="00A873E5">
      <w:rPr>
        <w:sz w:val="24"/>
      </w:rPr>
      <w:t>RIN:  1902-AF54</w:t>
    </w:r>
  </w:p>
  <w:p w14:paraId="4F128373" w14:textId="10255FA7" w:rsidR="00467A1C" w:rsidRPr="00F5428B" w:rsidRDefault="00DF624B" w:rsidP="008D4689">
    <w:pPr>
      <w:tabs>
        <w:tab w:val="left" w:pos="-1440"/>
      </w:tabs>
      <w:ind w:left="5760" w:right="360" w:hanging="5760"/>
      <w:rPr>
        <w:sz w:val="24"/>
      </w:rPr>
    </w:pPr>
    <w:r>
      <w:rPr>
        <w:sz w:val="24"/>
      </w:rPr>
      <w:t>Updated: 2/</w:t>
    </w:r>
    <w:r w:rsidR="002567E4">
      <w:rPr>
        <w:sz w:val="24"/>
      </w:rPr>
      <w:t>12</w:t>
    </w:r>
    <w:r w:rsidR="00467A1C">
      <w:rPr>
        <w:sz w:val="24"/>
      </w:rPr>
      <w:t>/2019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A8CA" w14:textId="77777777" w:rsidR="002567E4" w:rsidRDefault="0025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8"/>
  </w:num>
  <w:num w:numId="5">
    <w:abstractNumId w:val="4"/>
  </w:num>
  <w:num w:numId="6">
    <w:abstractNumId w:val="11"/>
  </w:num>
  <w:num w:numId="7">
    <w:abstractNumId w:val="3"/>
  </w:num>
  <w:num w:numId="8">
    <w:abstractNumId w:val="1"/>
  </w:num>
  <w:num w:numId="9">
    <w:abstractNumId w:val="5"/>
  </w:num>
  <w:num w:numId="10">
    <w:abstractNumId w:val="7"/>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E"/>
    <w:rsid w:val="00006D51"/>
    <w:rsid w:val="00023257"/>
    <w:rsid w:val="000326C9"/>
    <w:rsid w:val="00035182"/>
    <w:rsid w:val="000524C2"/>
    <w:rsid w:val="00074EFD"/>
    <w:rsid w:val="00095B57"/>
    <w:rsid w:val="000C0189"/>
    <w:rsid w:val="000C4030"/>
    <w:rsid w:val="000E2C3C"/>
    <w:rsid w:val="000E71C5"/>
    <w:rsid w:val="0010764F"/>
    <w:rsid w:val="001235FD"/>
    <w:rsid w:val="00133C8D"/>
    <w:rsid w:val="001456AE"/>
    <w:rsid w:val="00162EBD"/>
    <w:rsid w:val="00185817"/>
    <w:rsid w:val="001B1135"/>
    <w:rsid w:val="0020662B"/>
    <w:rsid w:val="00212D57"/>
    <w:rsid w:val="00215D6C"/>
    <w:rsid w:val="00256088"/>
    <w:rsid w:val="002567E4"/>
    <w:rsid w:val="00275D69"/>
    <w:rsid w:val="0027779E"/>
    <w:rsid w:val="00295055"/>
    <w:rsid w:val="002978F1"/>
    <w:rsid w:val="002A2273"/>
    <w:rsid w:val="002A2AFD"/>
    <w:rsid w:val="002A4EBF"/>
    <w:rsid w:val="002B4415"/>
    <w:rsid w:val="002B45F1"/>
    <w:rsid w:val="002C118D"/>
    <w:rsid w:val="002D1A59"/>
    <w:rsid w:val="002D4D89"/>
    <w:rsid w:val="002D7F3A"/>
    <w:rsid w:val="002E2010"/>
    <w:rsid w:val="002E6CFA"/>
    <w:rsid w:val="002E7DA9"/>
    <w:rsid w:val="002F39BD"/>
    <w:rsid w:val="002F6758"/>
    <w:rsid w:val="00353A27"/>
    <w:rsid w:val="00382D44"/>
    <w:rsid w:val="00385B39"/>
    <w:rsid w:val="003A6CBA"/>
    <w:rsid w:val="003D2136"/>
    <w:rsid w:val="003E0393"/>
    <w:rsid w:val="003F0E97"/>
    <w:rsid w:val="00402714"/>
    <w:rsid w:val="00416822"/>
    <w:rsid w:val="00440A6C"/>
    <w:rsid w:val="00462F10"/>
    <w:rsid w:val="00467A1C"/>
    <w:rsid w:val="004714B2"/>
    <w:rsid w:val="00476985"/>
    <w:rsid w:val="00481661"/>
    <w:rsid w:val="004832CE"/>
    <w:rsid w:val="00486D73"/>
    <w:rsid w:val="004D5056"/>
    <w:rsid w:val="00504150"/>
    <w:rsid w:val="005228C3"/>
    <w:rsid w:val="00533037"/>
    <w:rsid w:val="005409EE"/>
    <w:rsid w:val="00552843"/>
    <w:rsid w:val="00554171"/>
    <w:rsid w:val="00565AA0"/>
    <w:rsid w:val="005703D3"/>
    <w:rsid w:val="00577E07"/>
    <w:rsid w:val="005A77A4"/>
    <w:rsid w:val="005B305F"/>
    <w:rsid w:val="005C31E9"/>
    <w:rsid w:val="005E7DE0"/>
    <w:rsid w:val="005F2E53"/>
    <w:rsid w:val="00613D99"/>
    <w:rsid w:val="00622554"/>
    <w:rsid w:val="006462AD"/>
    <w:rsid w:val="006512E7"/>
    <w:rsid w:val="00652747"/>
    <w:rsid w:val="00653765"/>
    <w:rsid w:val="00671BA2"/>
    <w:rsid w:val="00681128"/>
    <w:rsid w:val="00684BD1"/>
    <w:rsid w:val="00691DF4"/>
    <w:rsid w:val="006943C1"/>
    <w:rsid w:val="006B7B80"/>
    <w:rsid w:val="006B7EB4"/>
    <w:rsid w:val="006E49AD"/>
    <w:rsid w:val="007051A1"/>
    <w:rsid w:val="00725D1D"/>
    <w:rsid w:val="0073773B"/>
    <w:rsid w:val="00741AE3"/>
    <w:rsid w:val="0076212B"/>
    <w:rsid w:val="007777B4"/>
    <w:rsid w:val="00786B8A"/>
    <w:rsid w:val="007973BC"/>
    <w:rsid w:val="007A7CD6"/>
    <w:rsid w:val="007C35D1"/>
    <w:rsid w:val="007D0453"/>
    <w:rsid w:val="007E1376"/>
    <w:rsid w:val="007F1802"/>
    <w:rsid w:val="007F2B47"/>
    <w:rsid w:val="007F3726"/>
    <w:rsid w:val="007F4D97"/>
    <w:rsid w:val="00817FF3"/>
    <w:rsid w:val="00860043"/>
    <w:rsid w:val="008611ED"/>
    <w:rsid w:val="00866355"/>
    <w:rsid w:val="0087618D"/>
    <w:rsid w:val="008A250D"/>
    <w:rsid w:val="008D3989"/>
    <w:rsid w:val="008D4689"/>
    <w:rsid w:val="008F65E6"/>
    <w:rsid w:val="008F718E"/>
    <w:rsid w:val="0094085E"/>
    <w:rsid w:val="00950A2F"/>
    <w:rsid w:val="00966D03"/>
    <w:rsid w:val="00971F55"/>
    <w:rsid w:val="00986AA7"/>
    <w:rsid w:val="009878A3"/>
    <w:rsid w:val="009B43B6"/>
    <w:rsid w:val="009C3D22"/>
    <w:rsid w:val="009C5ED8"/>
    <w:rsid w:val="009D1B59"/>
    <w:rsid w:val="009F020C"/>
    <w:rsid w:val="00A17430"/>
    <w:rsid w:val="00A1752A"/>
    <w:rsid w:val="00A277D4"/>
    <w:rsid w:val="00A4633A"/>
    <w:rsid w:val="00A5298F"/>
    <w:rsid w:val="00A873E5"/>
    <w:rsid w:val="00AA44F5"/>
    <w:rsid w:val="00AC5B84"/>
    <w:rsid w:val="00B2471C"/>
    <w:rsid w:val="00B3074E"/>
    <w:rsid w:val="00B33E93"/>
    <w:rsid w:val="00B3775B"/>
    <w:rsid w:val="00B6435E"/>
    <w:rsid w:val="00B719A3"/>
    <w:rsid w:val="00B83849"/>
    <w:rsid w:val="00B83CB7"/>
    <w:rsid w:val="00B90ECF"/>
    <w:rsid w:val="00B96244"/>
    <w:rsid w:val="00BC15BE"/>
    <w:rsid w:val="00BD6B0B"/>
    <w:rsid w:val="00BE7994"/>
    <w:rsid w:val="00C002D1"/>
    <w:rsid w:val="00C132B3"/>
    <w:rsid w:val="00C16812"/>
    <w:rsid w:val="00C375B5"/>
    <w:rsid w:val="00C40086"/>
    <w:rsid w:val="00C4337B"/>
    <w:rsid w:val="00C51371"/>
    <w:rsid w:val="00C60DEA"/>
    <w:rsid w:val="00C82FB6"/>
    <w:rsid w:val="00C91AC4"/>
    <w:rsid w:val="00C95983"/>
    <w:rsid w:val="00CE4075"/>
    <w:rsid w:val="00D008ED"/>
    <w:rsid w:val="00D019E6"/>
    <w:rsid w:val="00D25A7D"/>
    <w:rsid w:val="00D36F12"/>
    <w:rsid w:val="00D60724"/>
    <w:rsid w:val="00D64990"/>
    <w:rsid w:val="00D81DD0"/>
    <w:rsid w:val="00D856B0"/>
    <w:rsid w:val="00D93F72"/>
    <w:rsid w:val="00DA0302"/>
    <w:rsid w:val="00DA678D"/>
    <w:rsid w:val="00DE3EE7"/>
    <w:rsid w:val="00DE6187"/>
    <w:rsid w:val="00DF17B3"/>
    <w:rsid w:val="00DF624B"/>
    <w:rsid w:val="00E06116"/>
    <w:rsid w:val="00E111A5"/>
    <w:rsid w:val="00E34C4E"/>
    <w:rsid w:val="00E37BB0"/>
    <w:rsid w:val="00E57C05"/>
    <w:rsid w:val="00E639DE"/>
    <w:rsid w:val="00E64A43"/>
    <w:rsid w:val="00E83E38"/>
    <w:rsid w:val="00EC2AAF"/>
    <w:rsid w:val="00ED09DA"/>
    <w:rsid w:val="00EF3830"/>
    <w:rsid w:val="00F35E8E"/>
    <w:rsid w:val="00F4226F"/>
    <w:rsid w:val="00F45B52"/>
    <w:rsid w:val="00F513B7"/>
    <w:rsid w:val="00F52DA0"/>
    <w:rsid w:val="00F5428B"/>
    <w:rsid w:val="00F56F9C"/>
    <w:rsid w:val="00F66FF0"/>
    <w:rsid w:val="00F8150C"/>
    <w:rsid w:val="00F86954"/>
    <w:rsid w:val="00F959E9"/>
    <w:rsid w:val="00FA7C2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07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uiPriority w:val="99"/>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uiPriority w:val="99"/>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ba.gov/sites/default/files/files/Size_Standards_Table.pdf" TargetMode="External"/><Relationship Id="rId7" Type="http://schemas.openxmlformats.org/officeDocument/2006/relationships/hyperlink" Target="http://www.bls.gov/news.release/ecec.nr0.htm" TargetMode="External"/><Relationship Id="rId2" Type="http://schemas.openxmlformats.org/officeDocument/2006/relationships/hyperlink" Target="https://www.sba.gov/sites/default/files/files/Size_Standards_Table.pdf" TargetMode="External"/><Relationship Id="rId1" Type="http://schemas.openxmlformats.org/officeDocument/2006/relationships/hyperlink" Target="http://www.ferc.gov/docs-filing/etariff.asp" TargetMode="External"/><Relationship Id="rId6" Type="http://schemas.openxmlformats.org/officeDocument/2006/relationships/hyperlink" Target="http://www.bls.gov/oes/current/naics2_22.htm" TargetMode="External"/><Relationship Id="rId5" Type="http://schemas.openxmlformats.org/officeDocument/2006/relationships/hyperlink" Target="https://www.bls.gov/news.release/ecec.nr0.htm" TargetMode="External"/><Relationship Id="rId4"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2019-02-04T05:00:00+00:00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2.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4.xml><?xml version="1.0" encoding="utf-8"?>
<ds:datastoreItem xmlns:ds="http://schemas.openxmlformats.org/officeDocument/2006/customXml" ds:itemID="{23C472E6-E3F7-4C35-B2DC-3F4E7649F8B4}">
  <ds:schemaRefs>
    <ds:schemaRef ds:uri="http://purl.org/dc/elements/1.1/"/>
    <ds:schemaRef ds:uri="http://schemas.microsoft.com/office/2006/documentManagement/types"/>
    <ds:schemaRef ds:uri="http://www.w3.org/XML/1998/namespace"/>
    <ds:schemaRef ds:uri="d6eefc7d-9817-4fa6-84d5-3bc009be21b8"/>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6.xml><?xml version="1.0" encoding="utf-8"?>
<ds:datastoreItem xmlns:ds="http://schemas.openxmlformats.org/officeDocument/2006/customXml" ds:itemID="{459936DE-8ECE-4B07-A4C0-90C93C9B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3649</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Camilla Ryan</dc:creator>
  <cp:lastModifiedBy>SYSTEM</cp:lastModifiedBy>
  <cp:revision>2</cp:revision>
  <dcterms:created xsi:type="dcterms:W3CDTF">2019-02-15T20:24:00Z</dcterms:created>
  <dcterms:modified xsi:type="dcterms:W3CDTF">2019-02-15T20:24:00Z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