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ADE60" w14:textId="77777777" w:rsidR="00490720" w:rsidRPr="00C45431" w:rsidRDefault="00490720">
      <w:pPr>
        <w:widowControl/>
        <w:autoSpaceDE/>
        <w:autoSpaceDN/>
        <w:adjustRightInd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</w:p>
    <w:p w14:paraId="03D1EFAE" w14:textId="77777777" w:rsidR="00BA1A0C" w:rsidRPr="00D82F0E" w:rsidRDefault="009B3794" w:rsidP="00CE5AA9">
      <w:pPr>
        <w:tabs>
          <w:tab w:val="center" w:pos="4680"/>
        </w:tabs>
        <w:spacing w:before="120"/>
        <w:jc w:val="center"/>
        <w:rPr>
          <w:rFonts w:ascii="Arial" w:hAnsi="Arial" w:cs="Arial"/>
          <w:b/>
          <w:bCs/>
          <w:sz w:val="28"/>
          <w:szCs w:val="28"/>
        </w:rPr>
      </w:pPr>
      <w:r w:rsidRPr="00D82F0E">
        <w:rPr>
          <w:rFonts w:ascii="Arial" w:hAnsi="Arial" w:cs="Arial"/>
          <w:b/>
          <w:bCs/>
          <w:sz w:val="28"/>
          <w:szCs w:val="28"/>
        </w:rPr>
        <w:t xml:space="preserve">Supporting Statement </w:t>
      </w:r>
      <w:r w:rsidR="00BA1A0C" w:rsidRPr="00D82F0E">
        <w:rPr>
          <w:rFonts w:ascii="Arial" w:hAnsi="Arial" w:cs="Arial"/>
          <w:b/>
          <w:bCs/>
          <w:sz w:val="28"/>
          <w:szCs w:val="28"/>
        </w:rPr>
        <w:t>A</w:t>
      </w:r>
    </w:p>
    <w:p w14:paraId="27E4A1C8" w14:textId="77777777" w:rsidR="00BA1A0C" w:rsidRPr="00D82F0E" w:rsidRDefault="00BA1A0C" w:rsidP="00CE5AA9">
      <w:pPr>
        <w:tabs>
          <w:tab w:val="center" w:pos="4680"/>
        </w:tabs>
        <w:spacing w:before="1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91F38A5" w14:textId="05E98F98" w:rsidR="009B3794" w:rsidRPr="00D82F0E" w:rsidRDefault="00F72B04" w:rsidP="00CE5AA9">
      <w:pPr>
        <w:tabs>
          <w:tab w:val="center" w:pos="4680"/>
        </w:tabs>
        <w:spacing w:before="1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Tribal </w:t>
      </w:r>
      <w:r w:rsidR="005F6313" w:rsidRPr="00D82F0E">
        <w:rPr>
          <w:rFonts w:ascii="Arial" w:hAnsi="Arial" w:cs="Arial"/>
          <w:b/>
          <w:bCs/>
          <w:sz w:val="28"/>
          <w:szCs w:val="28"/>
        </w:rPr>
        <w:t>Maternal, Infant, and Early Childhood Home Visiting Program Quarterly Data Collection</w:t>
      </w:r>
    </w:p>
    <w:p w14:paraId="0DCCD442" w14:textId="77777777" w:rsidR="00BA1A0C" w:rsidRPr="00D82F0E" w:rsidRDefault="00BA1A0C" w:rsidP="00CE5AA9">
      <w:pPr>
        <w:tabs>
          <w:tab w:val="center" w:pos="4680"/>
        </w:tabs>
        <w:spacing w:before="1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5F791F1" w14:textId="14E78324" w:rsidR="00BA1A0C" w:rsidRPr="00D82F0E" w:rsidRDefault="00BA1A0C" w:rsidP="00CE5AA9">
      <w:pPr>
        <w:tabs>
          <w:tab w:val="center" w:pos="4680"/>
        </w:tabs>
        <w:spacing w:before="120"/>
        <w:jc w:val="center"/>
        <w:rPr>
          <w:rFonts w:ascii="Arial" w:hAnsi="Arial" w:cs="Arial"/>
          <w:b/>
          <w:bCs/>
          <w:sz w:val="28"/>
          <w:szCs w:val="28"/>
        </w:rPr>
      </w:pPr>
      <w:r w:rsidRPr="00D82F0E">
        <w:rPr>
          <w:rFonts w:ascii="Arial" w:hAnsi="Arial" w:cs="Arial"/>
          <w:b/>
          <w:bCs/>
          <w:sz w:val="28"/>
          <w:szCs w:val="28"/>
        </w:rPr>
        <w:t>OMB Control No. 09</w:t>
      </w:r>
      <w:r w:rsidR="003C182E">
        <w:rPr>
          <w:rFonts w:ascii="Arial" w:hAnsi="Arial" w:cs="Arial"/>
          <w:b/>
          <w:bCs/>
          <w:sz w:val="28"/>
          <w:szCs w:val="28"/>
        </w:rPr>
        <w:t>70-xxxx</w:t>
      </w:r>
      <w:r w:rsidR="005F6313" w:rsidRPr="00D82F0E">
        <w:rPr>
          <w:rFonts w:ascii="Arial" w:hAnsi="Arial" w:cs="Arial"/>
          <w:b/>
          <w:bCs/>
          <w:sz w:val="28"/>
          <w:szCs w:val="28"/>
        </w:rPr>
        <w:t>-New</w:t>
      </w:r>
    </w:p>
    <w:p w14:paraId="05A6733E" w14:textId="77777777" w:rsidR="00BA1A0C" w:rsidRPr="00C45431" w:rsidRDefault="00BA1A0C" w:rsidP="00CE5AA9">
      <w:pPr>
        <w:tabs>
          <w:tab w:val="center" w:pos="4680"/>
        </w:tabs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D9FB6D6" w14:textId="77777777" w:rsidR="009B3794" w:rsidRPr="00C45431" w:rsidRDefault="00DE3A45" w:rsidP="00CE5AA9">
      <w:pPr>
        <w:spacing w:before="120"/>
        <w:rPr>
          <w:rFonts w:ascii="Arial" w:hAnsi="Arial" w:cs="Arial"/>
          <w:b/>
          <w:sz w:val="24"/>
        </w:rPr>
      </w:pPr>
      <w:r w:rsidRPr="00C45431">
        <w:rPr>
          <w:rFonts w:ascii="Arial" w:hAnsi="Arial" w:cs="Arial"/>
          <w:b/>
          <w:sz w:val="24"/>
        </w:rPr>
        <w:t>Terms of Clearance</w:t>
      </w:r>
      <w:r w:rsidR="00BA1A0C" w:rsidRPr="00C45431">
        <w:rPr>
          <w:rFonts w:ascii="Arial" w:hAnsi="Arial" w:cs="Arial"/>
          <w:b/>
          <w:sz w:val="24"/>
        </w:rPr>
        <w:t>:</w:t>
      </w:r>
      <w:r w:rsidR="00BA1A0C" w:rsidRPr="00C45431">
        <w:rPr>
          <w:rFonts w:ascii="Arial" w:hAnsi="Arial" w:cs="Arial"/>
          <w:sz w:val="24"/>
        </w:rPr>
        <w:t xml:space="preserve">  </w:t>
      </w:r>
      <w:r w:rsidR="005F6313">
        <w:rPr>
          <w:rFonts w:ascii="Arial" w:hAnsi="Arial" w:cs="Arial"/>
          <w:sz w:val="24"/>
        </w:rPr>
        <w:t>None</w:t>
      </w:r>
      <w:r w:rsidR="00BA1A0C" w:rsidRPr="00C45431">
        <w:rPr>
          <w:rFonts w:ascii="Arial" w:hAnsi="Arial" w:cs="Arial"/>
          <w:b/>
          <w:sz w:val="24"/>
        </w:rPr>
        <w:t xml:space="preserve"> </w:t>
      </w:r>
    </w:p>
    <w:p w14:paraId="53361B1D" w14:textId="77777777" w:rsidR="009B3794" w:rsidRPr="00C45431" w:rsidRDefault="009B3794" w:rsidP="00CA3DA6">
      <w:pPr>
        <w:spacing w:before="120"/>
        <w:rPr>
          <w:rFonts w:ascii="Arial" w:hAnsi="Arial" w:cs="Arial"/>
          <w:b/>
          <w:bCs/>
          <w:sz w:val="24"/>
        </w:rPr>
      </w:pPr>
      <w:r w:rsidRPr="00C45431">
        <w:rPr>
          <w:rFonts w:ascii="Arial" w:hAnsi="Arial" w:cs="Arial"/>
          <w:b/>
          <w:bCs/>
          <w:sz w:val="24"/>
        </w:rPr>
        <w:t>A.</w:t>
      </w:r>
      <w:r w:rsidRPr="00C45431">
        <w:rPr>
          <w:rFonts w:ascii="Arial" w:hAnsi="Arial" w:cs="Arial"/>
          <w:b/>
          <w:bCs/>
          <w:sz w:val="24"/>
        </w:rPr>
        <w:tab/>
        <w:t>Justification</w:t>
      </w:r>
    </w:p>
    <w:p w14:paraId="5DBB0C89" w14:textId="77777777" w:rsidR="009B3794" w:rsidRPr="005F6313" w:rsidRDefault="009B3794" w:rsidP="00CA3DA6">
      <w:pPr>
        <w:numPr>
          <w:ilvl w:val="0"/>
          <w:numId w:val="2"/>
        </w:numPr>
        <w:tabs>
          <w:tab w:val="clear" w:pos="1080"/>
          <w:tab w:val="num" w:pos="360"/>
        </w:tabs>
        <w:spacing w:before="240"/>
        <w:ind w:left="360"/>
        <w:rPr>
          <w:rFonts w:ascii="Arial" w:hAnsi="Arial" w:cs="Arial"/>
          <w:b/>
          <w:sz w:val="24"/>
        </w:rPr>
      </w:pPr>
      <w:r w:rsidRPr="00C45431">
        <w:rPr>
          <w:rFonts w:ascii="Arial" w:hAnsi="Arial" w:cs="Arial"/>
          <w:b/>
          <w:sz w:val="24"/>
          <w:u w:val="single"/>
        </w:rPr>
        <w:t>Circumstances Making the Collection of Information Necessary</w:t>
      </w:r>
    </w:p>
    <w:p w14:paraId="6BDCDE46" w14:textId="11832D6A" w:rsidR="005F6313" w:rsidRDefault="005F6313" w:rsidP="005F6313">
      <w:pPr>
        <w:spacing w:before="240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Administration for</w:t>
      </w:r>
      <w:r w:rsidR="00F72B04">
        <w:rPr>
          <w:rFonts w:ascii="Arial" w:hAnsi="Arial" w:cs="Arial"/>
          <w:sz w:val="24"/>
        </w:rPr>
        <w:t xml:space="preserve"> Children and Families (ACF) is</w:t>
      </w:r>
      <w:r>
        <w:rPr>
          <w:rFonts w:ascii="Arial" w:hAnsi="Arial" w:cs="Arial"/>
          <w:sz w:val="24"/>
        </w:rPr>
        <w:t xml:space="preserve"> requesting the Office of Management and Budget </w:t>
      </w:r>
      <w:r w:rsidR="00F72B04">
        <w:rPr>
          <w:rFonts w:ascii="Arial" w:hAnsi="Arial" w:cs="Arial"/>
          <w:sz w:val="24"/>
        </w:rPr>
        <w:t>(OMB) to review and approve a quarterly data collection form</w:t>
      </w:r>
      <w:r>
        <w:rPr>
          <w:rFonts w:ascii="Arial" w:hAnsi="Arial" w:cs="Arial"/>
          <w:sz w:val="24"/>
        </w:rPr>
        <w:t xml:space="preserve"> for the </w:t>
      </w:r>
      <w:r w:rsidR="00F72B04">
        <w:rPr>
          <w:rFonts w:ascii="Arial" w:hAnsi="Arial" w:cs="Arial"/>
          <w:sz w:val="24"/>
        </w:rPr>
        <w:t xml:space="preserve">Tribal </w:t>
      </w:r>
      <w:r>
        <w:rPr>
          <w:rFonts w:ascii="Arial" w:hAnsi="Arial" w:cs="Arial"/>
          <w:sz w:val="24"/>
        </w:rPr>
        <w:t>Maternal, Infant, and Early Childhood Home Visiting Program (</w:t>
      </w:r>
      <w:r w:rsidR="00F72B04">
        <w:rPr>
          <w:rFonts w:ascii="Arial" w:hAnsi="Arial" w:cs="Arial"/>
          <w:sz w:val="24"/>
        </w:rPr>
        <w:t xml:space="preserve">Tribal </w:t>
      </w:r>
      <w:r>
        <w:rPr>
          <w:rFonts w:ascii="Arial" w:hAnsi="Arial" w:cs="Arial"/>
          <w:sz w:val="24"/>
        </w:rPr>
        <w:t>MIECHV).</w:t>
      </w:r>
    </w:p>
    <w:p w14:paraId="134822F6" w14:textId="258DF9AD" w:rsidR="005F6313" w:rsidRDefault="00F72B04" w:rsidP="005F6313">
      <w:pPr>
        <w:spacing w:before="240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</w:t>
      </w:r>
      <w:r w:rsidR="005F6313">
        <w:rPr>
          <w:rFonts w:ascii="Arial" w:hAnsi="Arial" w:cs="Arial"/>
          <w:sz w:val="24"/>
        </w:rPr>
        <w:t xml:space="preserve">MIECHV program is designed to </w:t>
      </w:r>
      <w:r w:rsidR="00AD36B7">
        <w:rPr>
          <w:rFonts w:ascii="Arial" w:hAnsi="Arial" w:cs="Arial"/>
          <w:sz w:val="24"/>
        </w:rPr>
        <w:t>support voluntary, evidence-based home visiting services during pregnancy and to parents with young children up to k</w:t>
      </w:r>
      <w:r>
        <w:rPr>
          <w:rFonts w:ascii="Arial" w:hAnsi="Arial" w:cs="Arial"/>
          <w:sz w:val="24"/>
        </w:rPr>
        <w:t>indergarten entry. T</w:t>
      </w:r>
      <w:r w:rsidR="00AD36B7">
        <w:rPr>
          <w:rFonts w:ascii="Arial" w:hAnsi="Arial" w:cs="Arial"/>
          <w:sz w:val="24"/>
        </w:rPr>
        <w:t xml:space="preserve">ribal entities are eligible to receive funding from the MIECHV program and have the flexibility to tailor the program to serve the specific needs of their communities.  </w:t>
      </w:r>
    </w:p>
    <w:p w14:paraId="5171F0D6" w14:textId="77777777" w:rsidR="003C3642" w:rsidRDefault="003C3642" w:rsidP="00AD36B7">
      <w:pPr>
        <w:ind w:left="360"/>
        <w:rPr>
          <w:rFonts w:ascii="Arial" w:hAnsi="Arial" w:cs="Arial"/>
          <w:sz w:val="24"/>
        </w:rPr>
      </w:pPr>
    </w:p>
    <w:p w14:paraId="1B3127CC" w14:textId="75CFBA4B" w:rsidR="00AD36B7" w:rsidRDefault="00F72B04" w:rsidP="00AD36B7">
      <w:pPr>
        <w:ind w:left="360"/>
        <w:rPr>
          <w:rFonts w:ascii="Arial" w:hAnsi="Arial" w:cs="Arial"/>
          <w:sz w:val="24"/>
        </w:rPr>
      </w:pPr>
      <w:r w:rsidRPr="00F72B04">
        <w:rPr>
          <w:rFonts w:ascii="Arial" w:hAnsi="Arial" w:cs="Arial"/>
          <w:sz w:val="24"/>
        </w:rPr>
        <w:t>The Bipartisan Budget Act of 2018 (Pub.L. 115-123). Section 511(h)(2)(A) of Title V of the Social Security Act</w:t>
      </w:r>
      <w:r>
        <w:rPr>
          <w:rFonts w:ascii="Arial" w:hAnsi="Arial" w:cs="Arial"/>
          <w:sz w:val="24"/>
        </w:rPr>
        <w:t xml:space="preserve"> </w:t>
      </w:r>
      <w:r w:rsidR="00AD36B7">
        <w:rPr>
          <w:rFonts w:ascii="Arial" w:hAnsi="Arial" w:cs="Arial"/>
          <w:sz w:val="24"/>
        </w:rPr>
        <w:t>requires that MIECHV grantees collect data to measure improvements for eligible families in six specified benchmark areas that encompass the major goals of the program.  These areas are:</w:t>
      </w:r>
    </w:p>
    <w:p w14:paraId="47D07FB8" w14:textId="77777777" w:rsidR="00AD36B7" w:rsidRDefault="00AD36B7" w:rsidP="00AD36B7">
      <w:pPr>
        <w:ind w:left="360"/>
        <w:rPr>
          <w:rFonts w:ascii="Arial" w:hAnsi="Arial" w:cs="Arial"/>
          <w:sz w:val="24"/>
        </w:rPr>
      </w:pPr>
    </w:p>
    <w:p w14:paraId="24C0A20B" w14:textId="77777777" w:rsidR="00AD36B7" w:rsidRDefault="00AD36B7" w:rsidP="00AD36B7">
      <w:pPr>
        <w:pStyle w:val="ListParagraph"/>
        <w:numPr>
          <w:ilvl w:val="0"/>
          <w:numId w:val="4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Improved maternal and newborn health</w:t>
      </w:r>
    </w:p>
    <w:p w14:paraId="0D153E91" w14:textId="77777777" w:rsidR="00AD36B7" w:rsidRDefault="00AD36B7" w:rsidP="00AD36B7">
      <w:pPr>
        <w:pStyle w:val="ListParagraph"/>
        <w:numPr>
          <w:ilvl w:val="0"/>
          <w:numId w:val="4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Prevention of child injuries, child abuse, neglect, and maltreatment, and reduction in emergency department visits</w:t>
      </w:r>
    </w:p>
    <w:p w14:paraId="030DE77E" w14:textId="77777777" w:rsidR="00AD36B7" w:rsidRDefault="00AD36B7" w:rsidP="00AD36B7">
      <w:pPr>
        <w:pStyle w:val="ListParagraph"/>
        <w:numPr>
          <w:ilvl w:val="0"/>
          <w:numId w:val="4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Improvement in school readiness and achievement</w:t>
      </w:r>
    </w:p>
    <w:p w14:paraId="477683B2" w14:textId="77777777" w:rsidR="00AD36B7" w:rsidRDefault="00AD36B7" w:rsidP="00AD36B7">
      <w:pPr>
        <w:pStyle w:val="ListParagraph"/>
        <w:numPr>
          <w:ilvl w:val="0"/>
          <w:numId w:val="4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Reduction in crime and domestic violence</w:t>
      </w:r>
    </w:p>
    <w:p w14:paraId="28A722FA" w14:textId="77777777" w:rsidR="00AD36B7" w:rsidRDefault="00AD36B7" w:rsidP="00AD36B7">
      <w:pPr>
        <w:pStyle w:val="ListParagraph"/>
        <w:numPr>
          <w:ilvl w:val="0"/>
          <w:numId w:val="4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Improvement in family economic self-sufficiency</w:t>
      </w:r>
    </w:p>
    <w:p w14:paraId="2EF59D19" w14:textId="77777777" w:rsidR="00AD36B7" w:rsidRDefault="00F441F9" w:rsidP="00AD36B7">
      <w:pPr>
        <w:pStyle w:val="ListParagraph"/>
        <w:numPr>
          <w:ilvl w:val="0"/>
          <w:numId w:val="4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Improvement in the coordination and referrals for other community resources and supports</w:t>
      </w:r>
    </w:p>
    <w:p w14:paraId="1F989E7A" w14:textId="77777777" w:rsidR="00F441F9" w:rsidRDefault="00F441F9" w:rsidP="00F441F9">
      <w:pPr>
        <w:rPr>
          <w:rFonts w:ascii="Arial" w:hAnsi="Arial" w:cs="Arial"/>
          <w:sz w:val="24"/>
        </w:rPr>
      </w:pPr>
    </w:p>
    <w:p w14:paraId="758D5D59" w14:textId="0B44A656" w:rsidR="00F72B04" w:rsidRPr="00AD3A7C" w:rsidRDefault="00F72B04" w:rsidP="00F72B04">
      <w:pPr>
        <w:rPr>
          <w:rFonts w:ascii="Arial" w:hAnsi="Arial" w:cs="Arial"/>
          <w:sz w:val="24"/>
        </w:rPr>
      </w:pPr>
      <w:r w:rsidRPr="00F72B04">
        <w:rPr>
          <w:rFonts w:ascii="Arial" w:hAnsi="Arial" w:cs="Arial"/>
          <w:sz w:val="24"/>
        </w:rPr>
        <w:t xml:space="preserve">According to the legislation, </w:t>
      </w:r>
      <w:r>
        <w:rPr>
          <w:rFonts w:ascii="Arial" w:hAnsi="Arial" w:cs="Arial"/>
          <w:sz w:val="24"/>
        </w:rPr>
        <w:t xml:space="preserve">MIECHV </w:t>
      </w:r>
      <w:r w:rsidRPr="00F72B04">
        <w:rPr>
          <w:rFonts w:ascii="Arial" w:hAnsi="Arial" w:cs="Arial"/>
          <w:sz w:val="24"/>
        </w:rPr>
        <w:t>grants</w:t>
      </w:r>
      <w:r>
        <w:rPr>
          <w:rFonts w:ascii="Arial" w:hAnsi="Arial" w:cs="Arial"/>
          <w:sz w:val="24"/>
        </w:rPr>
        <w:t xml:space="preserve"> to tribes, tribal organizations, and urban Indian organizations</w:t>
      </w:r>
      <w:r w:rsidRPr="00F72B04">
        <w:rPr>
          <w:rFonts w:ascii="Arial" w:hAnsi="Arial" w:cs="Arial"/>
          <w:sz w:val="24"/>
        </w:rPr>
        <w:t xml:space="preserve">, </w:t>
      </w:r>
      <w:r w:rsidRPr="00F72B04">
        <w:rPr>
          <w:rFonts w:ascii="Arial" w:hAnsi="Arial" w:cs="Arial"/>
          <w:i/>
          <w:iCs/>
          <w:sz w:val="24"/>
        </w:rPr>
        <w:t>to the extent practicable</w:t>
      </w:r>
      <w:r w:rsidRPr="00F72B04">
        <w:rPr>
          <w:rFonts w:ascii="Arial" w:hAnsi="Arial" w:cs="Arial"/>
          <w:sz w:val="24"/>
        </w:rPr>
        <w:t xml:space="preserve">, are to be consistent with the grants to </w:t>
      </w:r>
      <w:r w:rsidRPr="00F72B04">
        <w:rPr>
          <w:rFonts w:ascii="Arial" w:hAnsi="Arial" w:cs="Arial"/>
          <w:sz w:val="24"/>
        </w:rPr>
        <w:lastRenderedPageBreak/>
        <w:t>states</w:t>
      </w:r>
      <w:r>
        <w:rPr>
          <w:rFonts w:ascii="Arial" w:hAnsi="Arial" w:cs="Arial"/>
          <w:sz w:val="24"/>
        </w:rPr>
        <w:t xml:space="preserve"> and territories</w:t>
      </w:r>
      <w:r w:rsidRPr="00F72B04">
        <w:rPr>
          <w:rFonts w:ascii="Arial" w:hAnsi="Arial" w:cs="Arial"/>
          <w:sz w:val="24"/>
        </w:rPr>
        <w:t xml:space="preserve">. The statute requires that Tribal </w:t>
      </w:r>
      <w:r>
        <w:rPr>
          <w:rFonts w:ascii="Arial" w:hAnsi="Arial" w:cs="Arial"/>
          <w:sz w:val="24"/>
        </w:rPr>
        <w:t xml:space="preserve">MIECHV </w:t>
      </w:r>
      <w:r w:rsidRPr="00F72B04">
        <w:rPr>
          <w:rFonts w:ascii="Arial" w:hAnsi="Arial" w:cs="Arial"/>
          <w:sz w:val="24"/>
        </w:rPr>
        <w:t xml:space="preserve">grantees establish 3- and 5-year benchmarks for demonstrating improvement. </w:t>
      </w:r>
    </w:p>
    <w:p w14:paraId="248F85C3" w14:textId="77777777" w:rsidR="00F72B04" w:rsidRDefault="00F72B04" w:rsidP="00F441F9">
      <w:pPr>
        <w:rPr>
          <w:rFonts w:ascii="Arial" w:hAnsi="Arial" w:cs="Arial"/>
          <w:sz w:val="24"/>
        </w:rPr>
      </w:pPr>
    </w:p>
    <w:p w14:paraId="3D04725B" w14:textId="6F19EF52" w:rsidR="003C3642" w:rsidRDefault="00F441F9" w:rsidP="00F441F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addition to providing data on these six benchmark areas, </w:t>
      </w:r>
      <w:r w:rsidR="00F72B04">
        <w:rPr>
          <w:rFonts w:ascii="Arial" w:hAnsi="Arial" w:cs="Arial"/>
          <w:sz w:val="24"/>
        </w:rPr>
        <w:t xml:space="preserve">Tribal </w:t>
      </w:r>
      <w:r>
        <w:rPr>
          <w:rFonts w:ascii="Arial" w:hAnsi="Arial" w:cs="Arial"/>
          <w:sz w:val="24"/>
        </w:rPr>
        <w:t>MIECHV grantees are required to submit annual reports that summarize the demographic, service utilization, and other administrative data related to program implementat</w:t>
      </w:r>
      <w:r w:rsidR="00EA3ED0">
        <w:rPr>
          <w:rFonts w:ascii="Arial" w:hAnsi="Arial" w:cs="Arial"/>
          <w:sz w:val="24"/>
        </w:rPr>
        <w:t>ion (OMB control number 0970 -0389 expiration 8/31/2019</w:t>
      </w:r>
      <w:r>
        <w:rPr>
          <w:rFonts w:ascii="Arial" w:hAnsi="Arial" w:cs="Arial"/>
          <w:sz w:val="24"/>
        </w:rPr>
        <w:t>).</w:t>
      </w:r>
      <w:r w:rsidR="003C3642">
        <w:rPr>
          <w:rFonts w:ascii="Arial" w:hAnsi="Arial" w:cs="Arial"/>
          <w:sz w:val="24"/>
        </w:rPr>
        <w:t xml:space="preserve">  </w:t>
      </w:r>
    </w:p>
    <w:p w14:paraId="6EA3E433" w14:textId="77777777" w:rsidR="003C3642" w:rsidRDefault="003C3642" w:rsidP="00F441F9">
      <w:pPr>
        <w:rPr>
          <w:rFonts w:ascii="Arial" w:hAnsi="Arial" w:cs="Arial"/>
          <w:sz w:val="24"/>
        </w:rPr>
      </w:pPr>
    </w:p>
    <w:p w14:paraId="573A9773" w14:textId="33E5092E" w:rsidR="00F441F9" w:rsidRPr="00F441F9" w:rsidRDefault="00F441F9" w:rsidP="00F441F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order to continuously monitor, provide grant oversight, quality improvement guidance, and technical assistance to </w:t>
      </w:r>
      <w:r w:rsidR="005630C9">
        <w:rPr>
          <w:rFonts w:ascii="Arial" w:hAnsi="Arial" w:cs="Arial"/>
          <w:sz w:val="24"/>
        </w:rPr>
        <w:t xml:space="preserve">Tribal </w:t>
      </w:r>
      <w:r w:rsidR="002A2617">
        <w:rPr>
          <w:rFonts w:ascii="Arial" w:hAnsi="Arial" w:cs="Arial"/>
          <w:sz w:val="24"/>
        </w:rPr>
        <w:t>MIECHV grantees, ACF</w:t>
      </w:r>
      <w:r>
        <w:rPr>
          <w:rFonts w:ascii="Arial" w:hAnsi="Arial" w:cs="Arial"/>
          <w:sz w:val="24"/>
        </w:rPr>
        <w:t xml:space="preserve"> is seeking to collect </w:t>
      </w:r>
      <w:r w:rsidR="002A2617">
        <w:rPr>
          <w:rFonts w:ascii="Arial" w:hAnsi="Arial" w:cs="Arial"/>
          <w:sz w:val="24"/>
        </w:rPr>
        <w:t>services utilization data on a quarterly basis.</w:t>
      </w:r>
    </w:p>
    <w:p w14:paraId="7DD0F1A9" w14:textId="77777777" w:rsidR="009B3794" w:rsidRPr="002D12D3" w:rsidRDefault="009B3794" w:rsidP="00CA3DA6">
      <w:pPr>
        <w:numPr>
          <w:ilvl w:val="0"/>
          <w:numId w:val="2"/>
        </w:numPr>
        <w:tabs>
          <w:tab w:val="clear" w:pos="1080"/>
          <w:tab w:val="num" w:pos="360"/>
        </w:tabs>
        <w:spacing w:before="240"/>
        <w:ind w:left="360"/>
        <w:rPr>
          <w:rFonts w:ascii="Arial" w:hAnsi="Arial" w:cs="Arial"/>
          <w:b/>
          <w:sz w:val="24"/>
        </w:rPr>
      </w:pPr>
      <w:r w:rsidRPr="002D12D3">
        <w:rPr>
          <w:rFonts w:ascii="Arial" w:hAnsi="Arial" w:cs="Arial"/>
          <w:b/>
          <w:sz w:val="24"/>
          <w:u w:val="single"/>
        </w:rPr>
        <w:t>Purpose and Use of Information Collection</w:t>
      </w:r>
    </w:p>
    <w:p w14:paraId="53D3ED42" w14:textId="77777777" w:rsidR="0082193E" w:rsidRDefault="0082193E" w:rsidP="0082193E">
      <w:pPr>
        <w:ind w:left="360"/>
        <w:rPr>
          <w:rFonts w:ascii="Arial" w:hAnsi="Arial" w:cs="Arial"/>
          <w:sz w:val="24"/>
        </w:rPr>
      </w:pPr>
    </w:p>
    <w:p w14:paraId="784418DA" w14:textId="4D9F0014" w:rsidR="005644DB" w:rsidRDefault="006946BE" w:rsidP="0082193E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ACF is</w:t>
      </w:r>
      <w:r w:rsidR="0082193E">
        <w:rPr>
          <w:rFonts w:ascii="Arial" w:hAnsi="Arial" w:cs="Arial"/>
          <w:sz w:val="24"/>
        </w:rPr>
        <w:t xml:space="preserve"> seeking approval for </w:t>
      </w:r>
      <w:r>
        <w:rPr>
          <w:rFonts w:ascii="Arial" w:hAnsi="Arial" w:cs="Arial"/>
          <w:sz w:val="24"/>
        </w:rPr>
        <w:t>a form</w:t>
      </w:r>
      <w:r w:rsidR="0082193E">
        <w:rPr>
          <w:rFonts w:ascii="Arial" w:hAnsi="Arial" w:cs="Arial"/>
          <w:sz w:val="24"/>
        </w:rPr>
        <w:t xml:space="preserve"> that will be used to collect </w:t>
      </w:r>
      <w:r>
        <w:rPr>
          <w:rFonts w:ascii="Arial" w:hAnsi="Arial" w:cs="Arial"/>
          <w:sz w:val="24"/>
        </w:rPr>
        <w:t xml:space="preserve">quarterly </w:t>
      </w:r>
      <w:r w:rsidR="0082193E">
        <w:rPr>
          <w:rFonts w:ascii="Arial" w:hAnsi="Arial" w:cs="Arial"/>
          <w:sz w:val="24"/>
        </w:rPr>
        <w:t xml:space="preserve">data from </w:t>
      </w:r>
      <w:r>
        <w:rPr>
          <w:rFonts w:ascii="Arial" w:hAnsi="Arial" w:cs="Arial"/>
          <w:sz w:val="24"/>
        </w:rPr>
        <w:t xml:space="preserve">Tribal </w:t>
      </w:r>
      <w:r w:rsidR="008A28EB">
        <w:rPr>
          <w:rFonts w:ascii="Arial" w:hAnsi="Arial" w:cs="Arial"/>
          <w:sz w:val="24"/>
        </w:rPr>
        <w:t xml:space="preserve">MIECHV grantees. Quarterly </w:t>
      </w:r>
      <w:r w:rsidR="0082193E">
        <w:rPr>
          <w:rFonts w:ascii="Arial" w:hAnsi="Arial" w:cs="Arial"/>
          <w:sz w:val="24"/>
        </w:rPr>
        <w:t>Data</w:t>
      </w:r>
      <w:r w:rsidR="00426162">
        <w:rPr>
          <w:rFonts w:ascii="Arial" w:hAnsi="Arial" w:cs="Arial"/>
          <w:sz w:val="24"/>
        </w:rPr>
        <w:t xml:space="preserve"> </w:t>
      </w:r>
      <w:r w:rsidR="008A28EB">
        <w:rPr>
          <w:rFonts w:ascii="Arial" w:hAnsi="Arial" w:cs="Arial"/>
          <w:sz w:val="24"/>
        </w:rPr>
        <w:t xml:space="preserve">Reporting Form </w:t>
      </w:r>
      <w:r w:rsidR="00426162">
        <w:rPr>
          <w:rFonts w:ascii="Arial" w:hAnsi="Arial" w:cs="Arial"/>
          <w:sz w:val="24"/>
        </w:rPr>
        <w:t xml:space="preserve">(Attachment </w:t>
      </w:r>
      <w:r w:rsidR="00165DCE" w:rsidRPr="00165DCE">
        <w:rPr>
          <w:rFonts w:ascii="Arial" w:hAnsi="Arial" w:cs="Arial"/>
          <w:sz w:val="24"/>
        </w:rPr>
        <w:t>1)</w:t>
      </w:r>
      <w:r w:rsidR="008A28EB">
        <w:rPr>
          <w:rFonts w:ascii="Arial" w:hAnsi="Arial" w:cs="Arial"/>
          <w:sz w:val="24"/>
        </w:rPr>
        <w:t xml:space="preserve"> is made up of five</w:t>
      </w:r>
      <w:r w:rsidR="0082193E">
        <w:rPr>
          <w:rFonts w:ascii="Arial" w:hAnsi="Arial" w:cs="Arial"/>
          <w:sz w:val="24"/>
        </w:rPr>
        <w:t xml:space="preserve"> categories of data – Program capacity, place-based s</w:t>
      </w:r>
      <w:r w:rsidR="008A28EB">
        <w:rPr>
          <w:rFonts w:ascii="Arial" w:hAnsi="Arial" w:cs="Arial"/>
          <w:sz w:val="24"/>
        </w:rPr>
        <w:t xml:space="preserve">ervices, family engagement, </w:t>
      </w:r>
      <w:r w:rsidR="0082193E">
        <w:rPr>
          <w:rFonts w:ascii="Arial" w:hAnsi="Arial" w:cs="Arial"/>
          <w:sz w:val="24"/>
        </w:rPr>
        <w:t>staff recruitment and retention</w:t>
      </w:r>
      <w:r w:rsidR="008A28EB">
        <w:rPr>
          <w:rFonts w:ascii="Arial" w:hAnsi="Arial" w:cs="Arial"/>
          <w:sz w:val="24"/>
        </w:rPr>
        <w:t xml:space="preserve"> and staff vacancies</w:t>
      </w:r>
      <w:r w:rsidR="0082193E">
        <w:rPr>
          <w:rFonts w:ascii="Arial" w:hAnsi="Arial" w:cs="Arial"/>
          <w:sz w:val="24"/>
        </w:rPr>
        <w:t>.</w:t>
      </w:r>
      <w:r w:rsidR="008A28EB">
        <w:rPr>
          <w:rFonts w:ascii="Arial" w:hAnsi="Arial" w:cs="Arial"/>
          <w:sz w:val="24"/>
        </w:rPr>
        <w:t xml:space="preserve"> </w:t>
      </w:r>
      <w:r w:rsidR="00426162">
        <w:rPr>
          <w:rFonts w:ascii="Arial" w:hAnsi="Arial" w:cs="Arial"/>
          <w:sz w:val="24"/>
        </w:rPr>
        <w:t xml:space="preserve">This form will be used by </w:t>
      </w:r>
      <w:r w:rsidR="008A28EB">
        <w:rPr>
          <w:rFonts w:ascii="Arial" w:hAnsi="Arial" w:cs="Arial"/>
          <w:sz w:val="24"/>
        </w:rPr>
        <w:t xml:space="preserve">Tribal </w:t>
      </w:r>
      <w:r w:rsidR="00426162">
        <w:rPr>
          <w:rFonts w:ascii="Arial" w:hAnsi="Arial" w:cs="Arial"/>
          <w:sz w:val="24"/>
        </w:rPr>
        <w:t xml:space="preserve">MIECHV grantees that receive grants under the Tribal MIECHV program administered by ACF, to collect data in order to </w:t>
      </w:r>
      <w:r w:rsidR="005644DB">
        <w:rPr>
          <w:rFonts w:ascii="Arial" w:hAnsi="Arial" w:cs="Arial"/>
          <w:sz w:val="24"/>
        </w:rPr>
        <w:t>determine the caseload capacity grantees are achieving, where services are being delivered, the retention and attrition of enrolled families, and the retention and attrition of program staff</w:t>
      </w:r>
      <w:r w:rsidR="004F107F">
        <w:rPr>
          <w:rFonts w:ascii="Arial" w:hAnsi="Arial" w:cs="Arial"/>
          <w:sz w:val="24"/>
        </w:rPr>
        <w:t xml:space="preserve"> on a quarterly basis</w:t>
      </w:r>
      <w:r w:rsidR="005644DB">
        <w:rPr>
          <w:rFonts w:ascii="Arial" w:hAnsi="Arial" w:cs="Arial"/>
          <w:sz w:val="24"/>
        </w:rPr>
        <w:t>.</w:t>
      </w:r>
    </w:p>
    <w:p w14:paraId="677A680B" w14:textId="77777777" w:rsidR="005644DB" w:rsidRDefault="005644DB" w:rsidP="0082193E">
      <w:pPr>
        <w:ind w:left="360"/>
        <w:rPr>
          <w:rFonts w:ascii="Arial" w:hAnsi="Arial" w:cs="Arial"/>
          <w:sz w:val="24"/>
        </w:rPr>
      </w:pPr>
    </w:p>
    <w:p w14:paraId="690CB30D" w14:textId="17B5061B" w:rsidR="0082193E" w:rsidRPr="0082193E" w:rsidRDefault="005C3A2D" w:rsidP="0082193E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objectives for this data collection </w:t>
      </w:r>
      <w:r w:rsidR="008A28EB">
        <w:rPr>
          <w:rFonts w:ascii="Arial" w:hAnsi="Arial" w:cs="Arial"/>
          <w:sz w:val="24"/>
        </w:rPr>
        <w:t xml:space="preserve">activity is to provide </w:t>
      </w:r>
      <w:r>
        <w:rPr>
          <w:rFonts w:ascii="Arial" w:hAnsi="Arial" w:cs="Arial"/>
          <w:sz w:val="24"/>
        </w:rPr>
        <w:t xml:space="preserve">ACF with timely updates to service utilization and performance data variables that have the potential to change on a frequent basis.  </w:t>
      </w:r>
      <w:r w:rsidR="002D12D3">
        <w:rPr>
          <w:rFonts w:ascii="Arial" w:hAnsi="Arial" w:cs="Arial"/>
          <w:sz w:val="24"/>
        </w:rPr>
        <w:t xml:space="preserve">ACF will use this information to assist in grants monitoring activities and to target technical assistance resources to underperforming grantees.  </w:t>
      </w:r>
      <w:r>
        <w:rPr>
          <w:rFonts w:ascii="Arial" w:hAnsi="Arial" w:cs="Arial"/>
          <w:sz w:val="24"/>
        </w:rPr>
        <w:t xml:space="preserve"> </w:t>
      </w:r>
      <w:r w:rsidR="005644DB">
        <w:rPr>
          <w:rFonts w:ascii="Arial" w:hAnsi="Arial" w:cs="Arial"/>
          <w:sz w:val="24"/>
        </w:rPr>
        <w:t xml:space="preserve"> </w:t>
      </w:r>
      <w:r w:rsidR="0082193E">
        <w:rPr>
          <w:rFonts w:ascii="Arial" w:hAnsi="Arial" w:cs="Arial"/>
          <w:sz w:val="24"/>
        </w:rPr>
        <w:t xml:space="preserve">  </w:t>
      </w:r>
    </w:p>
    <w:p w14:paraId="273DF80E" w14:textId="77777777" w:rsidR="009B3794" w:rsidRPr="00DE4E29" w:rsidRDefault="009B3794" w:rsidP="00CA3DA6">
      <w:pPr>
        <w:numPr>
          <w:ilvl w:val="0"/>
          <w:numId w:val="2"/>
        </w:numPr>
        <w:tabs>
          <w:tab w:val="clear" w:pos="1080"/>
          <w:tab w:val="num" w:pos="360"/>
        </w:tabs>
        <w:spacing w:before="240"/>
        <w:ind w:left="360"/>
        <w:rPr>
          <w:rFonts w:ascii="Arial" w:hAnsi="Arial" w:cs="Arial"/>
          <w:sz w:val="24"/>
        </w:rPr>
      </w:pPr>
      <w:r w:rsidRPr="00C45431">
        <w:rPr>
          <w:rFonts w:ascii="Arial" w:hAnsi="Arial" w:cs="Arial"/>
          <w:b/>
          <w:sz w:val="24"/>
          <w:u w:val="single"/>
        </w:rPr>
        <w:t>Use of Improved Information Technology and Burden Reduction</w:t>
      </w:r>
    </w:p>
    <w:p w14:paraId="0F61EE02" w14:textId="7E7C8BE0" w:rsidR="00DE4E29" w:rsidRPr="00DE4E29" w:rsidRDefault="00DE4E29" w:rsidP="00DE4E29">
      <w:pPr>
        <w:spacing w:before="240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Improved information technology will be utilized, where appropriate.  Grantees will collect information from home visiting participants using their own established methods.  Grantees will aggregate and</w:t>
      </w:r>
      <w:r w:rsidR="00867C55">
        <w:rPr>
          <w:rFonts w:ascii="Arial" w:hAnsi="Arial" w:cs="Arial"/>
          <w:sz w:val="24"/>
        </w:rPr>
        <w:t xml:space="preserve"> report this information to ACF</w:t>
      </w:r>
      <w:r>
        <w:rPr>
          <w:rFonts w:ascii="Arial" w:hAnsi="Arial" w:cs="Arial"/>
          <w:sz w:val="24"/>
        </w:rPr>
        <w:t xml:space="preserve"> using the </w:t>
      </w:r>
      <w:r w:rsidR="00867C55">
        <w:rPr>
          <w:rFonts w:ascii="Arial" w:hAnsi="Arial" w:cs="Arial"/>
          <w:sz w:val="24"/>
        </w:rPr>
        <w:t>Tribal Home Visiting Reporting System (THVRS)</w:t>
      </w:r>
      <w:r>
        <w:rPr>
          <w:rFonts w:ascii="Arial" w:hAnsi="Arial" w:cs="Arial"/>
          <w:sz w:val="24"/>
        </w:rPr>
        <w:t xml:space="preserve"> which is an </w:t>
      </w:r>
      <w:r w:rsidR="00E7207F">
        <w:rPr>
          <w:rFonts w:ascii="Arial" w:hAnsi="Arial" w:cs="Arial"/>
          <w:sz w:val="24"/>
        </w:rPr>
        <w:t>electronic</w:t>
      </w:r>
      <w:r>
        <w:rPr>
          <w:rFonts w:ascii="Arial" w:hAnsi="Arial" w:cs="Arial"/>
          <w:sz w:val="24"/>
        </w:rPr>
        <w:t xml:space="preserve"> reporting tool </w:t>
      </w:r>
      <w:r w:rsidR="00E7207F">
        <w:rPr>
          <w:rFonts w:ascii="Arial" w:hAnsi="Arial" w:cs="Arial"/>
          <w:sz w:val="24"/>
        </w:rPr>
        <w:t xml:space="preserve">used by all </w:t>
      </w:r>
      <w:r w:rsidR="00867C55">
        <w:rPr>
          <w:rFonts w:ascii="Arial" w:hAnsi="Arial" w:cs="Arial"/>
          <w:sz w:val="24"/>
        </w:rPr>
        <w:t xml:space="preserve">Tribal </w:t>
      </w:r>
      <w:r w:rsidR="00E7207F">
        <w:rPr>
          <w:rFonts w:ascii="Arial" w:hAnsi="Arial" w:cs="Arial"/>
          <w:sz w:val="24"/>
        </w:rPr>
        <w:t>MIECHV program grantees for</w:t>
      </w:r>
      <w:r w:rsidR="00867C55">
        <w:rPr>
          <w:rFonts w:ascii="Arial" w:hAnsi="Arial" w:cs="Arial"/>
          <w:sz w:val="24"/>
        </w:rPr>
        <w:t xml:space="preserve"> annual performance reporting. </w:t>
      </w:r>
      <w:r w:rsidR="00E7207F">
        <w:rPr>
          <w:rFonts w:ascii="Arial" w:hAnsi="Arial" w:cs="Arial"/>
          <w:sz w:val="24"/>
        </w:rPr>
        <w:t xml:space="preserve">This system will </w:t>
      </w:r>
      <w:r w:rsidR="00867C55">
        <w:rPr>
          <w:rFonts w:ascii="Arial" w:hAnsi="Arial" w:cs="Arial"/>
          <w:sz w:val="24"/>
        </w:rPr>
        <w:t>be modified to include the form</w:t>
      </w:r>
      <w:r w:rsidR="00E7207F">
        <w:rPr>
          <w:rFonts w:ascii="Arial" w:hAnsi="Arial" w:cs="Arial"/>
          <w:sz w:val="24"/>
        </w:rPr>
        <w:t xml:space="preserve"> that constitute</w:t>
      </w:r>
      <w:r w:rsidR="00867C55">
        <w:rPr>
          <w:rFonts w:ascii="Arial" w:hAnsi="Arial" w:cs="Arial"/>
          <w:sz w:val="24"/>
        </w:rPr>
        <w:t>s</w:t>
      </w:r>
      <w:r w:rsidR="00E7207F">
        <w:rPr>
          <w:rFonts w:ascii="Arial" w:hAnsi="Arial" w:cs="Arial"/>
          <w:sz w:val="24"/>
        </w:rPr>
        <w:t xml:space="preserve"> this information collection request.</w:t>
      </w:r>
      <w:r>
        <w:rPr>
          <w:rFonts w:ascii="Arial" w:hAnsi="Arial" w:cs="Arial"/>
          <w:sz w:val="24"/>
        </w:rPr>
        <w:t xml:space="preserve"> </w:t>
      </w:r>
    </w:p>
    <w:p w14:paraId="3AF469B1" w14:textId="77777777" w:rsidR="009B3794" w:rsidRPr="00C45431" w:rsidRDefault="009B3794" w:rsidP="00CA3DA6">
      <w:pPr>
        <w:numPr>
          <w:ilvl w:val="0"/>
          <w:numId w:val="2"/>
        </w:numPr>
        <w:tabs>
          <w:tab w:val="clear" w:pos="1080"/>
          <w:tab w:val="num" w:pos="360"/>
        </w:tabs>
        <w:spacing w:before="240"/>
        <w:ind w:left="360"/>
        <w:rPr>
          <w:rFonts w:ascii="Arial" w:hAnsi="Arial" w:cs="Arial"/>
          <w:b/>
          <w:sz w:val="24"/>
        </w:rPr>
      </w:pPr>
      <w:r w:rsidRPr="00C45431">
        <w:rPr>
          <w:rFonts w:ascii="Arial" w:hAnsi="Arial" w:cs="Arial"/>
          <w:b/>
          <w:sz w:val="24"/>
          <w:u w:val="single"/>
        </w:rPr>
        <w:t>Efforts to  Identify Duplication and Use of Similar Information</w:t>
      </w:r>
    </w:p>
    <w:p w14:paraId="4D877029" w14:textId="387238F7" w:rsidR="009B3794" w:rsidRPr="00C45431" w:rsidRDefault="00F94632" w:rsidP="00165DCE">
      <w:pPr>
        <w:spacing w:before="120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The information collected through this request is not available from another source.  Only</w:t>
      </w:r>
      <w:r w:rsidR="00867C55">
        <w:rPr>
          <w:rFonts w:ascii="Arial" w:hAnsi="Arial" w:cs="Arial"/>
          <w:sz w:val="24"/>
        </w:rPr>
        <w:t xml:space="preserve"> Tribal</w:t>
      </w:r>
      <w:r>
        <w:rPr>
          <w:rFonts w:ascii="Arial" w:hAnsi="Arial" w:cs="Arial"/>
          <w:sz w:val="24"/>
        </w:rPr>
        <w:t xml:space="preserve"> MIECHV grantees can supply the requested information.</w:t>
      </w:r>
    </w:p>
    <w:p w14:paraId="5FE6ABF6" w14:textId="77777777" w:rsidR="009B3794" w:rsidRPr="00C45431" w:rsidRDefault="009B3794" w:rsidP="00CA3DA6">
      <w:pPr>
        <w:numPr>
          <w:ilvl w:val="0"/>
          <w:numId w:val="2"/>
        </w:numPr>
        <w:tabs>
          <w:tab w:val="clear" w:pos="1080"/>
          <w:tab w:val="num" w:pos="360"/>
        </w:tabs>
        <w:spacing w:before="240"/>
        <w:ind w:left="360"/>
        <w:rPr>
          <w:rFonts w:ascii="Arial" w:hAnsi="Arial" w:cs="Arial"/>
          <w:color w:val="000000"/>
          <w:sz w:val="24"/>
        </w:rPr>
      </w:pPr>
      <w:r w:rsidRPr="00C45431">
        <w:rPr>
          <w:rFonts w:ascii="Arial" w:hAnsi="Arial" w:cs="Arial"/>
          <w:b/>
          <w:sz w:val="24"/>
          <w:u w:val="single"/>
        </w:rPr>
        <w:t>Impact on Small Businesses or Other Small Entities</w:t>
      </w:r>
    </w:p>
    <w:p w14:paraId="2F5FD8C1" w14:textId="51832D3A" w:rsidR="009B3794" w:rsidRPr="00C45431" w:rsidRDefault="00F94632" w:rsidP="00F94632">
      <w:pPr>
        <w:spacing w:before="120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lastRenderedPageBreak/>
        <w:t xml:space="preserve">Information will be collected from individuals by </w:t>
      </w:r>
      <w:r w:rsidR="00867C55">
        <w:rPr>
          <w:rFonts w:ascii="Arial" w:hAnsi="Arial" w:cs="Arial"/>
          <w:sz w:val="24"/>
        </w:rPr>
        <w:t xml:space="preserve">program </w:t>
      </w:r>
      <w:r>
        <w:rPr>
          <w:rFonts w:ascii="Arial" w:hAnsi="Arial" w:cs="Arial"/>
          <w:sz w:val="24"/>
        </w:rPr>
        <w:t>staff</w:t>
      </w:r>
      <w:r w:rsidR="00867C55">
        <w:rPr>
          <w:rFonts w:ascii="Arial" w:hAnsi="Arial" w:cs="Arial"/>
          <w:sz w:val="24"/>
        </w:rPr>
        <w:t xml:space="preserve"> but may include small impacts on small businesses, such as model developers. The</w:t>
      </w:r>
      <w:r>
        <w:rPr>
          <w:rFonts w:ascii="Arial" w:hAnsi="Arial" w:cs="Arial"/>
          <w:sz w:val="24"/>
        </w:rPr>
        <w:t xml:space="preserve"> information being requested has been held to the absolute minimum necessary for the intended use of the data.  </w:t>
      </w:r>
    </w:p>
    <w:p w14:paraId="0B0B3C88" w14:textId="77777777" w:rsidR="009B3794" w:rsidRPr="00C45431" w:rsidRDefault="009B3794" w:rsidP="00CA3DA6">
      <w:pPr>
        <w:numPr>
          <w:ilvl w:val="0"/>
          <w:numId w:val="2"/>
        </w:numPr>
        <w:tabs>
          <w:tab w:val="clear" w:pos="1080"/>
          <w:tab w:val="num" w:pos="360"/>
        </w:tabs>
        <w:spacing w:before="240"/>
        <w:ind w:left="360"/>
        <w:rPr>
          <w:rFonts w:ascii="Arial" w:hAnsi="Arial" w:cs="Arial"/>
          <w:b/>
          <w:sz w:val="24"/>
        </w:rPr>
      </w:pPr>
      <w:r w:rsidRPr="00C45431">
        <w:rPr>
          <w:rFonts w:ascii="Arial" w:hAnsi="Arial" w:cs="Arial"/>
          <w:b/>
          <w:sz w:val="24"/>
          <w:u w:val="single"/>
        </w:rPr>
        <w:t>Consequences of Collecting the Information Less Frequent</w:t>
      </w:r>
      <w:r w:rsidR="001325B2" w:rsidRPr="00C45431">
        <w:rPr>
          <w:rFonts w:ascii="Arial" w:hAnsi="Arial" w:cs="Arial"/>
          <w:b/>
          <w:sz w:val="24"/>
          <w:u w:val="single"/>
        </w:rPr>
        <w:t>ly</w:t>
      </w:r>
    </w:p>
    <w:p w14:paraId="491DEDC5" w14:textId="55F3734B" w:rsidR="00573645" w:rsidRDefault="00573645" w:rsidP="00573645">
      <w:pPr>
        <w:widowControl/>
        <w:autoSpaceDE/>
        <w:autoSpaceDN/>
        <w:adjustRightInd/>
        <w:spacing w:before="120"/>
        <w:ind w:left="360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The information collected through this request will be reported on a quarterly basis.  The intended use of this in</w:t>
      </w:r>
      <w:r w:rsidR="00867C55">
        <w:rPr>
          <w:rFonts w:ascii="Arial" w:hAnsi="Arial" w:cs="Arial"/>
          <w:color w:val="000000"/>
          <w:sz w:val="24"/>
        </w:rPr>
        <w:t xml:space="preserve">formation is to assist </w:t>
      </w:r>
      <w:r>
        <w:rPr>
          <w:rFonts w:ascii="Arial" w:hAnsi="Arial" w:cs="Arial"/>
          <w:color w:val="000000"/>
          <w:sz w:val="24"/>
        </w:rPr>
        <w:t>ACF in monitoring and oversight activities and to target technical assistan</w:t>
      </w:r>
      <w:r w:rsidR="00867C55">
        <w:rPr>
          <w:rFonts w:ascii="Arial" w:hAnsi="Arial" w:cs="Arial"/>
          <w:color w:val="000000"/>
          <w:sz w:val="24"/>
        </w:rPr>
        <w:t xml:space="preserve">ce resources more efficiently. </w:t>
      </w:r>
      <w:r>
        <w:rPr>
          <w:rFonts w:ascii="Arial" w:hAnsi="Arial" w:cs="Arial"/>
          <w:color w:val="000000"/>
          <w:sz w:val="24"/>
        </w:rPr>
        <w:t>This information is also likely to change more frequently than other measures</w:t>
      </w:r>
      <w:r w:rsidR="00867C55">
        <w:rPr>
          <w:rFonts w:ascii="Arial" w:hAnsi="Arial" w:cs="Arial"/>
          <w:color w:val="000000"/>
          <w:sz w:val="24"/>
        </w:rPr>
        <w:t xml:space="preserve"> Tribal</w:t>
      </w:r>
      <w:r>
        <w:rPr>
          <w:rFonts w:ascii="Arial" w:hAnsi="Arial" w:cs="Arial"/>
          <w:color w:val="000000"/>
          <w:sz w:val="24"/>
        </w:rPr>
        <w:t xml:space="preserve"> MIECHV grantees are required to report on an annual basis.  As such, quarterly reporting is required in order to </w:t>
      </w:r>
      <w:r w:rsidR="00867C55">
        <w:rPr>
          <w:rFonts w:ascii="Arial" w:hAnsi="Arial" w:cs="Arial"/>
          <w:color w:val="000000"/>
          <w:sz w:val="24"/>
        </w:rPr>
        <w:t xml:space="preserve">for </w:t>
      </w:r>
      <w:r w:rsidR="00115BD5">
        <w:rPr>
          <w:rFonts w:ascii="Arial" w:hAnsi="Arial" w:cs="Arial"/>
          <w:color w:val="000000"/>
          <w:sz w:val="24"/>
        </w:rPr>
        <w:t>ACF to have the most accurate information possible when assessing grantee performance and making decisions about program policy and resources.</w:t>
      </w:r>
      <w:r>
        <w:rPr>
          <w:rFonts w:ascii="Arial" w:hAnsi="Arial" w:cs="Arial"/>
          <w:color w:val="000000"/>
          <w:sz w:val="24"/>
        </w:rPr>
        <w:t xml:space="preserve">  </w:t>
      </w:r>
    </w:p>
    <w:p w14:paraId="1C377988" w14:textId="77777777" w:rsidR="009B3794" w:rsidRPr="00573645" w:rsidRDefault="009B3794" w:rsidP="00573645">
      <w:pPr>
        <w:widowControl/>
        <w:autoSpaceDE/>
        <w:autoSpaceDN/>
        <w:adjustRightInd/>
        <w:spacing w:before="120"/>
        <w:ind w:left="360"/>
        <w:rPr>
          <w:rFonts w:ascii="Arial" w:hAnsi="Arial" w:cs="Arial"/>
          <w:sz w:val="24"/>
        </w:rPr>
      </w:pPr>
      <w:r w:rsidRPr="00573645">
        <w:rPr>
          <w:rFonts w:ascii="Arial" w:hAnsi="Arial" w:cs="Arial"/>
          <w:color w:val="000000"/>
          <w:sz w:val="24"/>
        </w:rPr>
        <w:t>There are no legal obstacles to reduce the burden.</w:t>
      </w:r>
      <w:r w:rsidRPr="00573645">
        <w:rPr>
          <w:rFonts w:ascii="Arial" w:hAnsi="Arial" w:cs="Arial"/>
          <w:sz w:val="24"/>
        </w:rPr>
        <w:tab/>
      </w:r>
    </w:p>
    <w:p w14:paraId="173E1D84" w14:textId="77777777" w:rsidR="009B3794" w:rsidRPr="00C45431" w:rsidRDefault="009B3794" w:rsidP="00CA3DA6">
      <w:pPr>
        <w:numPr>
          <w:ilvl w:val="0"/>
          <w:numId w:val="2"/>
        </w:numPr>
        <w:tabs>
          <w:tab w:val="clear" w:pos="1080"/>
          <w:tab w:val="num" w:pos="360"/>
        </w:tabs>
        <w:spacing w:before="240"/>
        <w:ind w:left="360"/>
        <w:rPr>
          <w:rFonts w:ascii="Arial" w:hAnsi="Arial" w:cs="Arial"/>
          <w:b/>
          <w:sz w:val="24"/>
        </w:rPr>
      </w:pPr>
      <w:r w:rsidRPr="00C45431">
        <w:rPr>
          <w:rFonts w:ascii="Arial" w:hAnsi="Arial" w:cs="Arial"/>
          <w:b/>
          <w:sz w:val="24"/>
          <w:u w:val="single"/>
        </w:rPr>
        <w:t>Special Circumstances Relating to the Guidelines of 5 CFR 1320.5</w:t>
      </w:r>
    </w:p>
    <w:p w14:paraId="44FF12E4" w14:textId="77777777" w:rsidR="009B3794" w:rsidRPr="00115BD5" w:rsidRDefault="00627FFD" w:rsidP="00115BD5">
      <w:pPr>
        <w:widowControl/>
        <w:spacing w:before="120"/>
        <w:ind w:left="360"/>
        <w:rPr>
          <w:rFonts w:ascii="Arial" w:hAnsi="Arial" w:cs="Arial"/>
          <w:sz w:val="24"/>
        </w:rPr>
      </w:pPr>
      <w:r w:rsidRPr="00115BD5">
        <w:rPr>
          <w:rFonts w:ascii="Arial" w:hAnsi="Arial" w:cs="Arial"/>
          <w:sz w:val="24"/>
        </w:rPr>
        <w:t>T</w:t>
      </w:r>
      <w:r w:rsidR="009B3794" w:rsidRPr="00115BD5">
        <w:rPr>
          <w:rFonts w:ascii="Arial" w:hAnsi="Arial" w:cs="Arial"/>
          <w:sz w:val="24"/>
        </w:rPr>
        <w:t>he request fully complies with the regulation.</w:t>
      </w:r>
    </w:p>
    <w:p w14:paraId="088488AD" w14:textId="77777777" w:rsidR="009B3794" w:rsidRPr="00637C9B" w:rsidRDefault="009B3794" w:rsidP="00CA3DA6">
      <w:pPr>
        <w:numPr>
          <w:ilvl w:val="0"/>
          <w:numId w:val="2"/>
        </w:numPr>
        <w:tabs>
          <w:tab w:val="clear" w:pos="1080"/>
          <w:tab w:val="num" w:pos="360"/>
        </w:tabs>
        <w:spacing w:before="240"/>
        <w:ind w:left="360"/>
        <w:rPr>
          <w:rFonts w:ascii="Arial" w:hAnsi="Arial" w:cs="Arial"/>
          <w:b/>
          <w:sz w:val="24"/>
        </w:rPr>
      </w:pPr>
      <w:r w:rsidRPr="00637C9B">
        <w:rPr>
          <w:rFonts w:ascii="Arial" w:hAnsi="Arial" w:cs="Arial"/>
          <w:b/>
          <w:iCs/>
          <w:sz w:val="24"/>
          <w:u w:val="single"/>
        </w:rPr>
        <w:t>Comments in Response to the Federal Register</w:t>
      </w:r>
      <w:r w:rsidRPr="00637C9B">
        <w:rPr>
          <w:rFonts w:ascii="Arial" w:hAnsi="Arial" w:cs="Arial"/>
          <w:b/>
          <w:sz w:val="24"/>
          <w:u w:val="single"/>
        </w:rPr>
        <w:t xml:space="preserve"> Notice/Outside Consultation</w:t>
      </w:r>
    </w:p>
    <w:p w14:paraId="5F7C1223" w14:textId="77777777" w:rsidR="00DE3A45" w:rsidRPr="00C45431" w:rsidRDefault="00DE3A45" w:rsidP="00CA3DA6">
      <w:pPr>
        <w:spacing w:before="120"/>
        <w:rPr>
          <w:rFonts w:ascii="Arial" w:hAnsi="Arial" w:cs="Arial"/>
          <w:b/>
          <w:sz w:val="28"/>
          <w:szCs w:val="28"/>
        </w:rPr>
      </w:pPr>
      <w:r w:rsidRPr="00C45431">
        <w:rPr>
          <w:rFonts w:ascii="Arial" w:hAnsi="Arial" w:cs="Arial"/>
          <w:b/>
          <w:sz w:val="28"/>
          <w:szCs w:val="28"/>
        </w:rPr>
        <w:t>Section 8A:</w:t>
      </w:r>
    </w:p>
    <w:p w14:paraId="35D0B8E2" w14:textId="16D4B9FA" w:rsidR="009B3794" w:rsidRPr="00115BD5" w:rsidRDefault="009B3794" w:rsidP="00115BD5">
      <w:pPr>
        <w:spacing w:before="120"/>
        <w:ind w:left="360"/>
        <w:rPr>
          <w:rFonts w:ascii="Arial" w:hAnsi="Arial" w:cs="Arial"/>
          <w:sz w:val="24"/>
        </w:rPr>
      </w:pPr>
      <w:r w:rsidRPr="00115BD5">
        <w:rPr>
          <w:rFonts w:ascii="Arial" w:hAnsi="Arial" w:cs="Arial"/>
          <w:sz w:val="24"/>
        </w:rPr>
        <w:t xml:space="preserve">A 60-day Federal Register Notice was published in the </w:t>
      </w:r>
      <w:r w:rsidRPr="00115BD5">
        <w:rPr>
          <w:rFonts w:ascii="Arial" w:hAnsi="Arial" w:cs="Arial"/>
          <w:i/>
          <w:iCs/>
          <w:sz w:val="24"/>
        </w:rPr>
        <w:t>Federal Register</w:t>
      </w:r>
      <w:r w:rsidRPr="00115BD5">
        <w:rPr>
          <w:rFonts w:ascii="Arial" w:hAnsi="Arial" w:cs="Arial"/>
          <w:sz w:val="24"/>
        </w:rPr>
        <w:t xml:space="preserve"> (</w:t>
      </w:r>
      <w:r w:rsidR="00184861">
        <w:rPr>
          <w:rFonts w:ascii="Arial" w:hAnsi="Arial" w:cs="Arial"/>
          <w:sz w:val="24"/>
        </w:rPr>
        <w:t>83, FR 45603, 9/10/18</w:t>
      </w:r>
      <w:r w:rsidR="00115BD5">
        <w:rPr>
          <w:rFonts w:ascii="Arial" w:hAnsi="Arial" w:cs="Arial"/>
          <w:sz w:val="24"/>
        </w:rPr>
        <w:t xml:space="preserve">). </w:t>
      </w:r>
      <w:r w:rsidR="00184861">
        <w:rPr>
          <w:rFonts w:ascii="Arial" w:hAnsi="Arial" w:cs="Arial"/>
          <w:sz w:val="24"/>
        </w:rPr>
        <w:t xml:space="preserve">There were no public comments. </w:t>
      </w:r>
    </w:p>
    <w:p w14:paraId="23518CB9" w14:textId="77777777" w:rsidR="00DE3A45" w:rsidRPr="00C45431" w:rsidRDefault="00DE3A45" w:rsidP="00CA3DA6">
      <w:pPr>
        <w:spacing w:before="120"/>
        <w:rPr>
          <w:rFonts w:ascii="Arial" w:hAnsi="Arial" w:cs="Arial"/>
          <w:b/>
          <w:sz w:val="28"/>
          <w:szCs w:val="28"/>
        </w:rPr>
      </w:pPr>
      <w:r w:rsidRPr="00C45431">
        <w:rPr>
          <w:rFonts w:ascii="Arial" w:hAnsi="Arial" w:cs="Arial"/>
          <w:b/>
          <w:sz w:val="28"/>
          <w:szCs w:val="28"/>
        </w:rPr>
        <w:t>Section 8B:</w:t>
      </w:r>
    </w:p>
    <w:p w14:paraId="5333F624" w14:textId="39385321" w:rsidR="00E42D2B" w:rsidRPr="00E42D2B" w:rsidRDefault="00E42D2B" w:rsidP="00E42D2B">
      <w:pPr>
        <w:spacing w:before="240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ACF worked collaboratively to define the requirements for this information collection request and to deve</w:t>
      </w:r>
      <w:r w:rsidR="005E6AC9">
        <w:rPr>
          <w:rFonts w:ascii="Arial" w:hAnsi="Arial" w:cs="Arial"/>
          <w:sz w:val="24"/>
        </w:rPr>
        <w:t xml:space="preserve">lop the data collection forms. </w:t>
      </w:r>
      <w:r>
        <w:rPr>
          <w:rFonts w:ascii="Arial" w:hAnsi="Arial" w:cs="Arial"/>
          <w:sz w:val="24"/>
        </w:rPr>
        <w:t xml:space="preserve">A number of federal staff </w:t>
      </w:r>
      <w:r w:rsidR="00867C55">
        <w:rPr>
          <w:rFonts w:ascii="Arial" w:hAnsi="Arial" w:cs="Arial"/>
          <w:sz w:val="24"/>
        </w:rPr>
        <w:t>and Tribal MIECHV Technical Assistance providers</w:t>
      </w:r>
      <w:r>
        <w:rPr>
          <w:rFonts w:ascii="Arial" w:hAnsi="Arial" w:cs="Arial"/>
          <w:sz w:val="24"/>
        </w:rPr>
        <w:t xml:space="preserve"> were consulted during the development</w:t>
      </w:r>
      <w:r w:rsidR="00867C55">
        <w:rPr>
          <w:rFonts w:ascii="Arial" w:hAnsi="Arial" w:cs="Arial"/>
          <w:sz w:val="24"/>
        </w:rPr>
        <w:t>.</w:t>
      </w:r>
      <w:r w:rsidR="005E6AC9">
        <w:rPr>
          <w:rFonts w:ascii="Arial" w:hAnsi="Arial" w:cs="Arial"/>
          <w:sz w:val="24"/>
        </w:rPr>
        <w:t xml:space="preserve"> Including the Tribal Evaluation Institute (TEI), technical assistance providers for Tribal MIECHV on performance reporting, data systems, continuous quality improvement (CQI) and rigorous evaluation.</w:t>
      </w:r>
    </w:p>
    <w:p w14:paraId="0B76A025" w14:textId="77777777" w:rsidR="009B3794" w:rsidRPr="00C45431" w:rsidRDefault="009B3794" w:rsidP="00CA3DA6">
      <w:pPr>
        <w:numPr>
          <w:ilvl w:val="0"/>
          <w:numId w:val="2"/>
        </w:numPr>
        <w:tabs>
          <w:tab w:val="clear" w:pos="1080"/>
          <w:tab w:val="num" w:pos="360"/>
        </w:tabs>
        <w:spacing w:before="240"/>
        <w:ind w:left="360"/>
        <w:rPr>
          <w:rFonts w:ascii="Arial" w:hAnsi="Arial" w:cs="Arial"/>
          <w:b/>
          <w:sz w:val="24"/>
        </w:rPr>
      </w:pPr>
      <w:r w:rsidRPr="00C45431">
        <w:rPr>
          <w:rFonts w:ascii="Arial" w:hAnsi="Arial" w:cs="Arial"/>
          <w:b/>
          <w:sz w:val="24"/>
          <w:u w:val="single"/>
        </w:rPr>
        <w:t>Explanation of any Payment/Gift to Respondents</w:t>
      </w:r>
    </w:p>
    <w:p w14:paraId="60EA4F7B" w14:textId="77777777" w:rsidR="00935E77" w:rsidRPr="009168C6" w:rsidRDefault="00935E77" w:rsidP="00E42D2B">
      <w:pPr>
        <w:spacing w:before="120"/>
        <w:ind w:left="360"/>
        <w:rPr>
          <w:rFonts w:ascii="Arial" w:hAnsi="Arial" w:cs="Arial"/>
          <w:sz w:val="24"/>
        </w:rPr>
      </w:pPr>
      <w:r w:rsidRPr="009168C6">
        <w:rPr>
          <w:rFonts w:ascii="Arial" w:hAnsi="Arial" w:cs="Arial"/>
          <w:sz w:val="24"/>
        </w:rPr>
        <w:t xml:space="preserve">Respondents will not receive </w:t>
      </w:r>
      <w:r w:rsidR="008B04CA" w:rsidRPr="009168C6">
        <w:rPr>
          <w:rFonts w:ascii="Arial" w:hAnsi="Arial" w:cs="Arial"/>
          <w:sz w:val="24"/>
        </w:rPr>
        <w:t xml:space="preserve">any </w:t>
      </w:r>
      <w:r w:rsidRPr="009168C6">
        <w:rPr>
          <w:rFonts w:ascii="Arial" w:hAnsi="Arial" w:cs="Arial"/>
          <w:sz w:val="24"/>
        </w:rPr>
        <w:t>payment</w:t>
      </w:r>
      <w:r w:rsidR="008B04CA" w:rsidRPr="009168C6">
        <w:rPr>
          <w:rFonts w:ascii="Arial" w:hAnsi="Arial" w:cs="Arial"/>
          <w:sz w:val="24"/>
        </w:rPr>
        <w:t>s</w:t>
      </w:r>
      <w:r w:rsidRPr="009168C6">
        <w:rPr>
          <w:rFonts w:ascii="Arial" w:hAnsi="Arial" w:cs="Arial"/>
          <w:sz w:val="24"/>
        </w:rPr>
        <w:t xml:space="preserve"> or gifts.</w:t>
      </w:r>
    </w:p>
    <w:p w14:paraId="17F809B0" w14:textId="77777777" w:rsidR="009B3794" w:rsidRPr="009168C6" w:rsidRDefault="009B3794" w:rsidP="00CA3DA6">
      <w:pPr>
        <w:numPr>
          <w:ilvl w:val="0"/>
          <w:numId w:val="2"/>
        </w:numPr>
        <w:tabs>
          <w:tab w:val="clear" w:pos="1080"/>
          <w:tab w:val="num" w:pos="360"/>
        </w:tabs>
        <w:spacing w:before="240"/>
        <w:ind w:left="360"/>
        <w:rPr>
          <w:rFonts w:ascii="Arial" w:hAnsi="Arial" w:cs="Arial"/>
          <w:b/>
          <w:sz w:val="24"/>
        </w:rPr>
      </w:pPr>
      <w:r w:rsidRPr="00C45431">
        <w:rPr>
          <w:rFonts w:ascii="Arial" w:hAnsi="Arial" w:cs="Arial"/>
          <w:b/>
          <w:sz w:val="24"/>
          <w:u w:val="single"/>
        </w:rPr>
        <w:t>Assurance of Confidentiality Provided to Respondents</w:t>
      </w:r>
    </w:p>
    <w:p w14:paraId="21985CE9" w14:textId="77777777" w:rsidR="009168C6" w:rsidRPr="009168C6" w:rsidRDefault="009168C6" w:rsidP="009168C6">
      <w:pPr>
        <w:spacing w:before="240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 personally identifiable information (PII) is being collected through this information collection request.  All data will be reported in aggregate by the grantee.  This project does not require IRB approval.</w:t>
      </w:r>
    </w:p>
    <w:p w14:paraId="6D31246B" w14:textId="77777777" w:rsidR="009B3794" w:rsidRPr="009168C6" w:rsidRDefault="009B3794" w:rsidP="00CA3DA6">
      <w:pPr>
        <w:numPr>
          <w:ilvl w:val="0"/>
          <w:numId w:val="2"/>
        </w:numPr>
        <w:tabs>
          <w:tab w:val="clear" w:pos="1080"/>
          <w:tab w:val="num" w:pos="360"/>
        </w:tabs>
        <w:spacing w:before="240"/>
        <w:ind w:left="360"/>
        <w:rPr>
          <w:rFonts w:ascii="Arial" w:hAnsi="Arial" w:cs="Arial"/>
          <w:b/>
          <w:sz w:val="24"/>
        </w:rPr>
      </w:pPr>
      <w:r w:rsidRPr="00C45431">
        <w:rPr>
          <w:rFonts w:ascii="Arial" w:hAnsi="Arial" w:cs="Arial"/>
          <w:b/>
          <w:sz w:val="24"/>
          <w:u w:val="single"/>
        </w:rPr>
        <w:t>Justification for Sensitive Questions</w:t>
      </w:r>
    </w:p>
    <w:p w14:paraId="114F0B8B" w14:textId="77777777" w:rsidR="009168C6" w:rsidRPr="009168C6" w:rsidRDefault="009168C6" w:rsidP="009168C6">
      <w:pPr>
        <w:spacing w:before="240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 questions of a sensitive nature will be asked of respondents.</w:t>
      </w:r>
    </w:p>
    <w:p w14:paraId="207A91EA" w14:textId="77777777" w:rsidR="009B3794" w:rsidRPr="00C45431" w:rsidRDefault="009B3794" w:rsidP="00CA3DA6">
      <w:pPr>
        <w:numPr>
          <w:ilvl w:val="0"/>
          <w:numId w:val="2"/>
        </w:numPr>
        <w:tabs>
          <w:tab w:val="clear" w:pos="1080"/>
          <w:tab w:val="num" w:pos="360"/>
        </w:tabs>
        <w:spacing w:before="240"/>
        <w:ind w:left="360"/>
        <w:rPr>
          <w:rFonts w:ascii="Arial" w:hAnsi="Arial" w:cs="Arial"/>
          <w:sz w:val="24"/>
        </w:rPr>
      </w:pPr>
      <w:r w:rsidRPr="00C45431">
        <w:rPr>
          <w:rFonts w:ascii="Arial" w:hAnsi="Arial" w:cs="Arial"/>
          <w:b/>
          <w:sz w:val="24"/>
          <w:u w:val="single"/>
        </w:rPr>
        <w:t xml:space="preserve">Estimates of Annualized Hour and Cost Burden  </w:t>
      </w:r>
    </w:p>
    <w:p w14:paraId="193C7D40" w14:textId="77777777" w:rsidR="009B3794" w:rsidRPr="00C45431" w:rsidRDefault="009B3794" w:rsidP="00CA3DA6">
      <w:pPr>
        <w:widowControl/>
        <w:tabs>
          <w:tab w:val="num" w:pos="720"/>
        </w:tabs>
        <w:spacing w:before="120"/>
        <w:rPr>
          <w:rFonts w:ascii="Arial" w:hAnsi="Arial" w:cs="Arial"/>
          <w:sz w:val="24"/>
        </w:rPr>
      </w:pPr>
      <w:r w:rsidRPr="00C45431">
        <w:rPr>
          <w:rFonts w:ascii="Arial" w:hAnsi="Arial" w:cs="Arial"/>
          <w:b/>
          <w:sz w:val="28"/>
          <w:szCs w:val="28"/>
        </w:rPr>
        <w:t>12A.</w:t>
      </w:r>
      <w:r w:rsidRPr="00C45431">
        <w:rPr>
          <w:rFonts w:ascii="Arial" w:hAnsi="Arial" w:cs="Arial"/>
          <w:sz w:val="24"/>
        </w:rPr>
        <w:t xml:space="preserve">        </w:t>
      </w:r>
      <w:r w:rsidRPr="00C45431">
        <w:rPr>
          <w:rFonts w:ascii="Arial" w:hAnsi="Arial" w:cs="Arial"/>
          <w:b/>
          <w:sz w:val="24"/>
        </w:rPr>
        <w:t>Estimated Annualized Burden Hours</w:t>
      </w:r>
    </w:p>
    <w:tbl>
      <w:tblPr>
        <w:tblpPr w:leftFromText="180" w:rightFromText="180" w:vertAnchor="text" w:horzAnchor="margin" w:tblpXSpec="center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617"/>
        <w:gridCol w:w="1737"/>
        <w:gridCol w:w="1603"/>
        <w:gridCol w:w="1364"/>
        <w:gridCol w:w="1418"/>
      </w:tblGrid>
      <w:tr w:rsidR="003B0A8A" w:rsidRPr="00C45431" w14:paraId="7B9A30B3" w14:textId="77777777" w:rsidTr="00F72B04">
        <w:trPr>
          <w:trHeight w:val="2189"/>
        </w:trPr>
        <w:tc>
          <w:tcPr>
            <w:tcW w:w="1603" w:type="dxa"/>
          </w:tcPr>
          <w:p w14:paraId="409DBF6A" w14:textId="77777777" w:rsidR="00CA3DA6" w:rsidRPr="00C45431" w:rsidRDefault="00CA3DA6" w:rsidP="00CA3DA6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Type of</w:t>
            </w:r>
          </w:p>
          <w:p w14:paraId="7EC52410" w14:textId="77777777" w:rsidR="00CA3DA6" w:rsidRPr="00C45431" w:rsidRDefault="00CA3DA6" w:rsidP="00CA3DA6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Respondent</w:t>
            </w:r>
          </w:p>
          <w:p w14:paraId="6C0582DB" w14:textId="77777777" w:rsidR="00CA3DA6" w:rsidRPr="00C45431" w:rsidRDefault="00CA3DA6" w:rsidP="00CA3DA6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17" w:type="dxa"/>
          </w:tcPr>
          <w:p w14:paraId="2A79EDF1" w14:textId="77777777" w:rsidR="00CA3DA6" w:rsidRPr="00C45431" w:rsidRDefault="00CA3DA6" w:rsidP="00CA3DA6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Form</w:t>
            </w:r>
          </w:p>
          <w:p w14:paraId="22A9FD0F" w14:textId="77777777" w:rsidR="00CA3DA6" w:rsidRPr="00C45431" w:rsidRDefault="00CA3DA6" w:rsidP="00CA3DA6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Name</w:t>
            </w:r>
          </w:p>
          <w:p w14:paraId="6E5DFF5D" w14:textId="77777777" w:rsidR="00CA3DA6" w:rsidRPr="00C45431" w:rsidRDefault="00CA3DA6" w:rsidP="00CA3DA6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37" w:type="dxa"/>
          </w:tcPr>
          <w:p w14:paraId="271A879A" w14:textId="77777777" w:rsidR="00CA3DA6" w:rsidRPr="00C45431" w:rsidRDefault="00CA3DA6" w:rsidP="00CA3DA6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No. of</w:t>
            </w:r>
          </w:p>
          <w:p w14:paraId="3FD0D951" w14:textId="77777777" w:rsidR="00CA3DA6" w:rsidRPr="00C45431" w:rsidRDefault="00CA3DA6" w:rsidP="00CA3DA6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Respondents</w:t>
            </w:r>
          </w:p>
        </w:tc>
        <w:tc>
          <w:tcPr>
            <w:tcW w:w="1603" w:type="dxa"/>
          </w:tcPr>
          <w:p w14:paraId="4A2DBF02" w14:textId="77777777" w:rsidR="00CA3DA6" w:rsidRPr="00C45431" w:rsidRDefault="00CA3DA6" w:rsidP="00CA3DA6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No.</w:t>
            </w:r>
          </w:p>
          <w:p w14:paraId="58058D9C" w14:textId="77777777" w:rsidR="00CA3DA6" w:rsidRPr="00C45431" w:rsidRDefault="00CA3DA6" w:rsidP="00CA3DA6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Responses</w:t>
            </w:r>
          </w:p>
          <w:p w14:paraId="68168A5D" w14:textId="77777777" w:rsidR="00CA3DA6" w:rsidRPr="00C45431" w:rsidRDefault="00CA3DA6" w:rsidP="00CA3DA6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per</w:t>
            </w:r>
          </w:p>
          <w:p w14:paraId="43C6F2D1" w14:textId="77777777" w:rsidR="00CA3DA6" w:rsidRPr="00C45431" w:rsidRDefault="00CA3DA6" w:rsidP="00CA3DA6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Respondent</w:t>
            </w:r>
          </w:p>
        </w:tc>
        <w:tc>
          <w:tcPr>
            <w:tcW w:w="1364" w:type="dxa"/>
          </w:tcPr>
          <w:p w14:paraId="425E1E62" w14:textId="77777777" w:rsidR="00CA3DA6" w:rsidRPr="00C45431" w:rsidRDefault="00CA3DA6" w:rsidP="00CA3DA6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Average</w:t>
            </w:r>
          </w:p>
          <w:p w14:paraId="2FC06301" w14:textId="77777777" w:rsidR="00CA3DA6" w:rsidRPr="00C45431" w:rsidRDefault="00CA3DA6" w:rsidP="00CA3DA6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Burden per</w:t>
            </w:r>
          </w:p>
          <w:p w14:paraId="02A2E932" w14:textId="77777777" w:rsidR="00CA3DA6" w:rsidRPr="00C45431" w:rsidRDefault="00CA3DA6" w:rsidP="00CA3DA6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Response</w:t>
            </w:r>
          </w:p>
          <w:p w14:paraId="3ED8CFBF" w14:textId="77777777" w:rsidR="00CA3DA6" w:rsidRPr="00C45431" w:rsidRDefault="00CA3DA6" w:rsidP="00CA3DA6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(in hours)</w:t>
            </w:r>
          </w:p>
        </w:tc>
        <w:tc>
          <w:tcPr>
            <w:tcW w:w="1418" w:type="dxa"/>
          </w:tcPr>
          <w:p w14:paraId="1EA6AF27" w14:textId="77777777" w:rsidR="00CA3DA6" w:rsidRPr="00C45431" w:rsidRDefault="00CA3DA6" w:rsidP="00CA3DA6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Total Burden Hours</w:t>
            </w:r>
          </w:p>
        </w:tc>
      </w:tr>
      <w:tr w:rsidR="003B0A8A" w:rsidRPr="00C45431" w14:paraId="40B957A0" w14:textId="77777777" w:rsidTr="00F72B04">
        <w:trPr>
          <w:trHeight w:val="679"/>
        </w:trPr>
        <w:tc>
          <w:tcPr>
            <w:tcW w:w="1603" w:type="dxa"/>
          </w:tcPr>
          <w:p w14:paraId="10DB1D27" w14:textId="5ADA5B79" w:rsidR="004E188C" w:rsidRPr="00C45431" w:rsidRDefault="003B0A8A" w:rsidP="003B0A8A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Tribal </w:t>
            </w:r>
            <w:r w:rsidR="00710FB4">
              <w:rPr>
                <w:rFonts w:ascii="Arial" w:hAnsi="Arial" w:cs="Arial"/>
                <w:b/>
                <w:bCs/>
                <w:sz w:val="24"/>
              </w:rPr>
              <w:t>MIECHV Grantees</w:t>
            </w:r>
            <w:r w:rsidR="004E188C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</w:p>
        </w:tc>
        <w:tc>
          <w:tcPr>
            <w:tcW w:w="1617" w:type="dxa"/>
          </w:tcPr>
          <w:p w14:paraId="40FA1D8F" w14:textId="67A25F74" w:rsidR="00CA3DA6" w:rsidRPr="00C45431" w:rsidRDefault="003B0A8A" w:rsidP="003B0A8A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sz w:val="24"/>
              </w:rPr>
              <w:t>Tribal MIECHV Quarterly Reporting Form</w:t>
            </w:r>
          </w:p>
        </w:tc>
        <w:tc>
          <w:tcPr>
            <w:tcW w:w="1737" w:type="dxa"/>
          </w:tcPr>
          <w:p w14:paraId="564CE039" w14:textId="7074F5ED" w:rsidR="00CA3DA6" w:rsidRPr="00C45431" w:rsidRDefault="00710FB4" w:rsidP="00CA3DA6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1603" w:type="dxa"/>
          </w:tcPr>
          <w:p w14:paraId="5E42CC69" w14:textId="77777777" w:rsidR="00CA3DA6" w:rsidRPr="00C45431" w:rsidRDefault="00710FB4" w:rsidP="00CA3DA6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364" w:type="dxa"/>
          </w:tcPr>
          <w:p w14:paraId="43A8D2F4" w14:textId="77777777" w:rsidR="00CA3DA6" w:rsidRPr="00C45431" w:rsidRDefault="00710FB4" w:rsidP="00CA3DA6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sz w:val="24"/>
              </w:rPr>
              <w:t>24</w:t>
            </w:r>
          </w:p>
        </w:tc>
        <w:tc>
          <w:tcPr>
            <w:tcW w:w="1418" w:type="dxa"/>
          </w:tcPr>
          <w:p w14:paraId="3EB1A951" w14:textId="1F6EE0C2" w:rsidR="00CA3DA6" w:rsidRPr="00C45431" w:rsidRDefault="003B0A8A" w:rsidP="00CA3DA6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sz w:val="24"/>
              </w:rPr>
              <w:t>2,400</w:t>
            </w:r>
          </w:p>
        </w:tc>
      </w:tr>
      <w:tr w:rsidR="003B0A8A" w:rsidRPr="00C45431" w14:paraId="666FCD37" w14:textId="77777777" w:rsidTr="00F72B04">
        <w:trPr>
          <w:trHeight w:val="815"/>
        </w:trPr>
        <w:tc>
          <w:tcPr>
            <w:tcW w:w="1603" w:type="dxa"/>
          </w:tcPr>
          <w:p w14:paraId="0D014651" w14:textId="77777777" w:rsidR="00CA3DA6" w:rsidRPr="00C45431" w:rsidRDefault="00CA3DA6" w:rsidP="00CA3DA6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Total</w:t>
            </w:r>
          </w:p>
        </w:tc>
        <w:tc>
          <w:tcPr>
            <w:tcW w:w="1617" w:type="dxa"/>
          </w:tcPr>
          <w:p w14:paraId="04F351B8" w14:textId="77777777" w:rsidR="00CA3DA6" w:rsidRPr="00C45431" w:rsidRDefault="00CA3DA6" w:rsidP="00CA3DA6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1737" w:type="dxa"/>
          </w:tcPr>
          <w:p w14:paraId="0592AD7B" w14:textId="77777777" w:rsidR="00CA3DA6" w:rsidRPr="00C45431" w:rsidRDefault="00CA3DA6" w:rsidP="00CA3DA6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1603" w:type="dxa"/>
          </w:tcPr>
          <w:p w14:paraId="6715EC8C" w14:textId="77777777" w:rsidR="00CA3DA6" w:rsidRPr="00C45431" w:rsidRDefault="00CA3DA6" w:rsidP="00CA3DA6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1364" w:type="dxa"/>
          </w:tcPr>
          <w:p w14:paraId="4F209EC9" w14:textId="77777777" w:rsidR="00CA3DA6" w:rsidRPr="00C45431" w:rsidRDefault="00CA3DA6" w:rsidP="00CA3DA6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14:paraId="31785C63" w14:textId="153BB4F1" w:rsidR="00CA3DA6" w:rsidRPr="00C45431" w:rsidRDefault="00604CBC" w:rsidP="00CA3DA6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2,400</w:t>
            </w:r>
          </w:p>
          <w:p w14:paraId="717D13DC" w14:textId="77777777" w:rsidR="00CA3DA6" w:rsidRPr="00C45431" w:rsidRDefault="00CA3DA6" w:rsidP="00CA3DA6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</w:tr>
    </w:tbl>
    <w:p w14:paraId="6A209F34" w14:textId="77777777" w:rsidR="009B3794" w:rsidRPr="00C45431" w:rsidRDefault="009B3794" w:rsidP="00CA3DA6">
      <w:pPr>
        <w:widowControl/>
        <w:tabs>
          <w:tab w:val="num" w:pos="1080"/>
        </w:tabs>
        <w:spacing w:before="120"/>
        <w:rPr>
          <w:rFonts w:ascii="Arial" w:hAnsi="Arial" w:cs="Arial"/>
          <w:b/>
          <w:bCs/>
          <w:sz w:val="24"/>
        </w:rPr>
      </w:pPr>
    </w:p>
    <w:p w14:paraId="00888122" w14:textId="77777777" w:rsidR="00D92E1D" w:rsidRPr="00C45431" w:rsidRDefault="009B3794" w:rsidP="00CA3DA6">
      <w:pPr>
        <w:widowControl/>
        <w:spacing w:before="120"/>
        <w:rPr>
          <w:rFonts w:ascii="Arial" w:hAnsi="Arial" w:cs="Arial"/>
          <w:sz w:val="28"/>
          <w:szCs w:val="28"/>
        </w:rPr>
      </w:pPr>
      <w:r w:rsidRPr="00C45431">
        <w:rPr>
          <w:rFonts w:ascii="Arial" w:hAnsi="Arial" w:cs="Arial"/>
          <w:b/>
          <w:sz w:val="28"/>
          <w:szCs w:val="28"/>
        </w:rPr>
        <w:t>12B</w:t>
      </w:r>
      <w:r w:rsidRPr="00C45431">
        <w:rPr>
          <w:rFonts w:ascii="Arial" w:hAnsi="Arial" w:cs="Arial"/>
          <w:sz w:val="28"/>
          <w:szCs w:val="28"/>
        </w:rPr>
        <w:t xml:space="preserve">.  </w:t>
      </w:r>
    </w:p>
    <w:p w14:paraId="0FCEB6C4" w14:textId="77777777" w:rsidR="009B3794" w:rsidRPr="00C45431" w:rsidRDefault="009B3794" w:rsidP="00CA3DA6">
      <w:pPr>
        <w:widowControl/>
        <w:spacing w:before="120"/>
        <w:ind w:left="270"/>
        <w:rPr>
          <w:rFonts w:ascii="Arial" w:hAnsi="Arial" w:cs="Arial"/>
          <w:b/>
          <w:sz w:val="24"/>
        </w:rPr>
      </w:pPr>
      <w:r w:rsidRPr="00C45431">
        <w:rPr>
          <w:rFonts w:ascii="Arial" w:hAnsi="Arial" w:cs="Arial"/>
          <w:b/>
          <w:sz w:val="24"/>
        </w:rPr>
        <w:t>Estimated Annualized Burden Costs</w:t>
      </w:r>
    </w:p>
    <w:tbl>
      <w:tblPr>
        <w:tblW w:w="9049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4"/>
        <w:gridCol w:w="1524"/>
        <w:gridCol w:w="1601"/>
        <w:gridCol w:w="2080"/>
      </w:tblGrid>
      <w:tr w:rsidR="009B3794" w:rsidRPr="00C45431" w14:paraId="0D0B2B15" w14:textId="77777777" w:rsidTr="00D96CCD">
        <w:trPr>
          <w:trHeight w:val="1466"/>
        </w:trPr>
        <w:tc>
          <w:tcPr>
            <w:tcW w:w="3844" w:type="dxa"/>
          </w:tcPr>
          <w:p w14:paraId="084646A3" w14:textId="77777777" w:rsidR="009B3794" w:rsidRPr="00C45431" w:rsidRDefault="009B3794" w:rsidP="00CE5AA9">
            <w:pPr>
              <w:widowControl/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Type of</w:t>
            </w:r>
          </w:p>
          <w:p w14:paraId="0B109A7F" w14:textId="77777777" w:rsidR="009B3794" w:rsidRPr="00C45431" w:rsidRDefault="009B3794" w:rsidP="00CE5AA9">
            <w:pPr>
              <w:widowControl/>
              <w:spacing w:before="120"/>
              <w:rPr>
                <w:rFonts w:ascii="Arial" w:hAnsi="Arial" w:cs="Arial"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Respondent</w:t>
            </w:r>
          </w:p>
          <w:p w14:paraId="1703A99B" w14:textId="77777777" w:rsidR="009B3794" w:rsidRPr="00C45431" w:rsidRDefault="009B3794" w:rsidP="00CE5AA9">
            <w:pPr>
              <w:widowControl/>
              <w:spacing w:before="12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24" w:type="dxa"/>
          </w:tcPr>
          <w:p w14:paraId="028E68A1" w14:textId="77777777" w:rsidR="009B3794" w:rsidRPr="00C45431" w:rsidRDefault="009B3794" w:rsidP="00CE5AA9">
            <w:pPr>
              <w:widowControl/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Total Burden</w:t>
            </w:r>
          </w:p>
          <w:p w14:paraId="2C50A4FF" w14:textId="77777777" w:rsidR="009B3794" w:rsidRPr="00C45431" w:rsidRDefault="009B3794" w:rsidP="00CE5AA9">
            <w:pPr>
              <w:widowControl/>
              <w:spacing w:before="120"/>
              <w:rPr>
                <w:rFonts w:ascii="Arial" w:hAnsi="Arial" w:cs="Arial"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Hours</w:t>
            </w:r>
          </w:p>
          <w:p w14:paraId="2CD684D3" w14:textId="77777777" w:rsidR="009B3794" w:rsidRPr="00C45431" w:rsidRDefault="009B3794" w:rsidP="00CE5AA9">
            <w:pPr>
              <w:widowControl/>
              <w:spacing w:before="12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01" w:type="dxa"/>
          </w:tcPr>
          <w:p w14:paraId="3CB24BA3" w14:textId="77777777" w:rsidR="009B3794" w:rsidRPr="00C45431" w:rsidRDefault="009B3794" w:rsidP="00CE5AA9">
            <w:pPr>
              <w:widowControl/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Hourly</w:t>
            </w:r>
          </w:p>
          <w:p w14:paraId="1F0C7828" w14:textId="77777777" w:rsidR="009B3794" w:rsidRPr="00C45431" w:rsidRDefault="009B3794" w:rsidP="00CE5AA9">
            <w:pPr>
              <w:widowControl/>
              <w:spacing w:before="120"/>
              <w:rPr>
                <w:rFonts w:ascii="Arial" w:hAnsi="Arial" w:cs="Arial"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Wage Rate</w:t>
            </w:r>
          </w:p>
          <w:p w14:paraId="3C6A60B6" w14:textId="77777777" w:rsidR="009B3794" w:rsidRPr="00C45431" w:rsidRDefault="009B3794" w:rsidP="00CE5AA9">
            <w:pPr>
              <w:widowControl/>
              <w:spacing w:before="12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080" w:type="dxa"/>
          </w:tcPr>
          <w:p w14:paraId="580CF936" w14:textId="77777777" w:rsidR="009B3794" w:rsidRPr="00C45431" w:rsidRDefault="009B3794" w:rsidP="00CE5AA9">
            <w:pPr>
              <w:widowControl/>
              <w:spacing w:before="120"/>
              <w:rPr>
                <w:rFonts w:ascii="Arial" w:hAnsi="Arial" w:cs="Arial"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Total Respondent Costs</w:t>
            </w:r>
          </w:p>
          <w:p w14:paraId="04C17752" w14:textId="77777777" w:rsidR="009B3794" w:rsidRPr="00C45431" w:rsidRDefault="009B3794" w:rsidP="00CE5AA9">
            <w:pPr>
              <w:widowControl/>
              <w:spacing w:before="120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B3794" w:rsidRPr="00C45431" w14:paraId="6BB2C8A3" w14:textId="77777777" w:rsidTr="00D96CCD">
        <w:trPr>
          <w:trHeight w:val="393"/>
        </w:trPr>
        <w:tc>
          <w:tcPr>
            <w:tcW w:w="3844" w:type="dxa"/>
          </w:tcPr>
          <w:p w14:paraId="00807124" w14:textId="77777777" w:rsidR="009B3794" w:rsidRPr="00C45431" w:rsidRDefault="00710FB4" w:rsidP="00CE5AA9">
            <w:pPr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MIECHV Grantees</w:t>
            </w:r>
          </w:p>
        </w:tc>
        <w:tc>
          <w:tcPr>
            <w:tcW w:w="1524" w:type="dxa"/>
          </w:tcPr>
          <w:p w14:paraId="5A812182" w14:textId="777B107E" w:rsidR="009B3794" w:rsidRPr="00C45431" w:rsidRDefault="003B0A8A" w:rsidP="00CE5AA9">
            <w:pPr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2,400</w:t>
            </w:r>
          </w:p>
        </w:tc>
        <w:tc>
          <w:tcPr>
            <w:tcW w:w="1601" w:type="dxa"/>
          </w:tcPr>
          <w:p w14:paraId="26EF513F" w14:textId="101BE999" w:rsidR="009B3794" w:rsidRPr="00C45431" w:rsidRDefault="009B3794" w:rsidP="00104F7F">
            <w:pPr>
              <w:spacing w:before="120"/>
              <w:jc w:val="right"/>
              <w:rPr>
                <w:rFonts w:ascii="Arial" w:hAnsi="Arial" w:cs="Arial"/>
                <w:sz w:val="24"/>
              </w:rPr>
            </w:pPr>
            <w:r w:rsidRPr="00C45431">
              <w:rPr>
                <w:rFonts w:ascii="Arial" w:hAnsi="Arial" w:cs="Arial"/>
                <w:sz w:val="24"/>
              </w:rPr>
              <w:t>$</w:t>
            </w:r>
            <w:r w:rsidR="00104F7F">
              <w:rPr>
                <w:rFonts w:ascii="Arial" w:hAnsi="Arial" w:cs="Arial"/>
                <w:sz w:val="24"/>
              </w:rPr>
              <w:t>28</w:t>
            </w:r>
            <w:r w:rsidRPr="00C45431">
              <w:rPr>
                <w:rFonts w:ascii="Arial" w:hAnsi="Arial" w:cs="Arial"/>
                <w:sz w:val="24"/>
              </w:rPr>
              <w:t>.</w:t>
            </w:r>
            <w:r w:rsidR="00104F7F">
              <w:rPr>
                <w:rFonts w:ascii="Arial" w:hAnsi="Arial" w:cs="Arial"/>
                <w:sz w:val="24"/>
              </w:rPr>
              <w:t>11</w:t>
            </w:r>
            <w:r w:rsidRPr="00C45431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080" w:type="dxa"/>
          </w:tcPr>
          <w:p w14:paraId="460C94BC" w14:textId="2BD36DDB" w:rsidR="009B3794" w:rsidRPr="00C45431" w:rsidRDefault="009B3794" w:rsidP="003B0A8A">
            <w:pPr>
              <w:spacing w:before="120"/>
              <w:jc w:val="right"/>
              <w:rPr>
                <w:rFonts w:ascii="Arial" w:hAnsi="Arial" w:cs="Arial"/>
                <w:sz w:val="24"/>
              </w:rPr>
            </w:pPr>
            <w:r w:rsidRPr="00C45431">
              <w:rPr>
                <w:rFonts w:ascii="Arial" w:hAnsi="Arial" w:cs="Arial"/>
                <w:sz w:val="24"/>
              </w:rPr>
              <w:t xml:space="preserve"> $</w:t>
            </w:r>
            <w:r w:rsidR="003B0A8A">
              <w:rPr>
                <w:rFonts w:ascii="Arial" w:hAnsi="Arial" w:cs="Arial"/>
                <w:sz w:val="24"/>
              </w:rPr>
              <w:t>67,464</w:t>
            </w:r>
          </w:p>
        </w:tc>
      </w:tr>
    </w:tbl>
    <w:p w14:paraId="44C7F4F9" w14:textId="77777777" w:rsidR="009B3794" w:rsidRPr="00C45431" w:rsidRDefault="009B3794" w:rsidP="00CA3DA6">
      <w:pPr>
        <w:numPr>
          <w:ilvl w:val="0"/>
          <w:numId w:val="2"/>
        </w:numPr>
        <w:tabs>
          <w:tab w:val="clear" w:pos="1080"/>
          <w:tab w:val="num" w:pos="360"/>
        </w:tabs>
        <w:spacing w:before="240"/>
        <w:ind w:left="360"/>
        <w:rPr>
          <w:rFonts w:ascii="Arial" w:hAnsi="Arial" w:cs="Arial"/>
          <w:b/>
          <w:sz w:val="24"/>
        </w:rPr>
      </w:pPr>
      <w:r w:rsidRPr="00C45431">
        <w:rPr>
          <w:rFonts w:ascii="Arial" w:hAnsi="Arial" w:cs="Arial"/>
          <w:b/>
          <w:sz w:val="24"/>
          <w:u w:val="single"/>
        </w:rPr>
        <w:t>Estimates of other Total Annual Cost Burden to Respondents or Recordkeepers/Capital Costs</w:t>
      </w:r>
    </w:p>
    <w:p w14:paraId="460DD3B1" w14:textId="77777777" w:rsidR="00D11CA3" w:rsidRPr="00104F7F" w:rsidRDefault="00D11CA3" w:rsidP="00104F7F">
      <w:pPr>
        <w:pStyle w:val="BodyTextIndent"/>
        <w:spacing w:before="120"/>
        <w:ind w:left="360"/>
        <w:rPr>
          <w:rFonts w:ascii="Arial" w:hAnsi="Arial" w:cs="Arial"/>
        </w:rPr>
      </w:pPr>
      <w:r w:rsidRPr="00104F7F">
        <w:rPr>
          <w:rFonts w:ascii="Arial" w:hAnsi="Arial" w:cs="Arial"/>
        </w:rPr>
        <w:t>Other than their time, t</w:t>
      </w:r>
      <w:r w:rsidR="00104F7F" w:rsidRPr="00104F7F">
        <w:rPr>
          <w:rFonts w:ascii="Arial" w:hAnsi="Arial" w:cs="Arial"/>
        </w:rPr>
        <w:t>here is no cost to respondents.</w:t>
      </w:r>
    </w:p>
    <w:p w14:paraId="1B7F01F9" w14:textId="77777777" w:rsidR="009B3794" w:rsidRPr="00D44E3D" w:rsidRDefault="009B3794" w:rsidP="00CA3DA6">
      <w:pPr>
        <w:numPr>
          <w:ilvl w:val="0"/>
          <w:numId w:val="2"/>
        </w:numPr>
        <w:tabs>
          <w:tab w:val="clear" w:pos="1080"/>
          <w:tab w:val="num" w:pos="360"/>
        </w:tabs>
        <w:spacing w:before="240"/>
        <w:ind w:left="360"/>
        <w:rPr>
          <w:rFonts w:ascii="Arial" w:hAnsi="Arial" w:cs="Arial"/>
          <w:b/>
          <w:sz w:val="24"/>
        </w:rPr>
      </w:pPr>
      <w:r w:rsidRPr="00D44E3D">
        <w:rPr>
          <w:rFonts w:ascii="Arial" w:hAnsi="Arial" w:cs="Arial"/>
          <w:b/>
          <w:sz w:val="24"/>
          <w:u w:val="single"/>
        </w:rPr>
        <w:t>Annualized Cost to Federal Government</w:t>
      </w:r>
    </w:p>
    <w:p w14:paraId="727B6AAC" w14:textId="43A97A53" w:rsidR="002D12D3" w:rsidRDefault="002D12D3" w:rsidP="002D12D3">
      <w:pPr>
        <w:pStyle w:val="BodyTextIndent"/>
        <w:spacing w:before="12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Costs to the federal government </w:t>
      </w:r>
      <w:r w:rsidR="008F2B17">
        <w:rPr>
          <w:rFonts w:ascii="Arial" w:hAnsi="Arial" w:cs="Arial"/>
        </w:rPr>
        <w:t xml:space="preserve">fall into two </w:t>
      </w:r>
      <w:r w:rsidR="00BE38C5">
        <w:rPr>
          <w:rFonts w:ascii="Arial" w:hAnsi="Arial" w:cs="Arial"/>
        </w:rPr>
        <w:t>categories:</w:t>
      </w:r>
    </w:p>
    <w:p w14:paraId="03B831B0" w14:textId="3823FC4F" w:rsidR="00BE38C5" w:rsidRDefault="003B0A8A" w:rsidP="00BE38C5">
      <w:pPr>
        <w:pStyle w:val="BodyTextIndent"/>
        <w:numPr>
          <w:ilvl w:val="0"/>
          <w:numId w:val="41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Cost</w:t>
      </w:r>
      <w:r w:rsidR="008F2B1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of</w:t>
      </w:r>
      <w:r w:rsidR="008F2B17">
        <w:rPr>
          <w:rFonts w:ascii="Arial" w:hAnsi="Arial" w:cs="Arial"/>
        </w:rPr>
        <w:t xml:space="preserve"> contractual support for</w:t>
      </w:r>
      <w:r>
        <w:rPr>
          <w:rFonts w:ascii="Arial" w:hAnsi="Arial" w:cs="Arial"/>
        </w:rPr>
        <w:t xml:space="preserve"> modifying</w:t>
      </w:r>
      <w:r w:rsidR="00BE38C5">
        <w:rPr>
          <w:rFonts w:ascii="Arial" w:hAnsi="Arial" w:cs="Arial"/>
        </w:rPr>
        <w:t xml:space="preserve"> the reporting system</w:t>
      </w:r>
      <w:r w:rsidR="008F2B17">
        <w:rPr>
          <w:rFonts w:ascii="Arial" w:hAnsi="Arial" w:cs="Arial"/>
        </w:rPr>
        <w:t xml:space="preserve">, maintenance, data cleaning and aggregation of data </w:t>
      </w:r>
    </w:p>
    <w:p w14:paraId="4C56E150" w14:textId="77777777" w:rsidR="00BE38C5" w:rsidRDefault="00BE38C5" w:rsidP="00BE38C5">
      <w:pPr>
        <w:pStyle w:val="BodyTextIndent"/>
        <w:numPr>
          <w:ilvl w:val="0"/>
          <w:numId w:val="41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Cost of federal staff time for project oversight and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4"/>
        <w:gridCol w:w="3126"/>
        <w:gridCol w:w="3100"/>
      </w:tblGrid>
      <w:tr w:rsidR="00BE38C5" w14:paraId="0AB01474" w14:textId="77777777" w:rsidTr="008F2B17">
        <w:tc>
          <w:tcPr>
            <w:tcW w:w="3124" w:type="dxa"/>
          </w:tcPr>
          <w:p w14:paraId="4A24301A" w14:textId="77777777" w:rsidR="00BE38C5" w:rsidRDefault="00BE38C5" w:rsidP="00BE38C5">
            <w:pPr>
              <w:pStyle w:val="BodyTextIndent"/>
              <w:spacing w:before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Cost</w:t>
            </w:r>
          </w:p>
        </w:tc>
        <w:tc>
          <w:tcPr>
            <w:tcW w:w="3126" w:type="dxa"/>
          </w:tcPr>
          <w:p w14:paraId="695643AA" w14:textId="77777777" w:rsidR="00BE38C5" w:rsidRDefault="00BE38C5" w:rsidP="00BE38C5">
            <w:pPr>
              <w:pStyle w:val="BodyTextIndent"/>
              <w:spacing w:before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 of Services</w:t>
            </w:r>
          </w:p>
        </w:tc>
        <w:tc>
          <w:tcPr>
            <w:tcW w:w="3100" w:type="dxa"/>
          </w:tcPr>
          <w:p w14:paraId="2D6EB204" w14:textId="77777777" w:rsidR="00BE38C5" w:rsidRDefault="00BE38C5" w:rsidP="00BE38C5">
            <w:pPr>
              <w:pStyle w:val="BodyTextIndent"/>
              <w:spacing w:before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Cost</w:t>
            </w:r>
          </w:p>
        </w:tc>
      </w:tr>
      <w:tr w:rsidR="00BE38C5" w14:paraId="7EA22062" w14:textId="77777777" w:rsidTr="008F2B17">
        <w:tc>
          <w:tcPr>
            <w:tcW w:w="3124" w:type="dxa"/>
          </w:tcPr>
          <w:p w14:paraId="200D672E" w14:textId="14DB3A53" w:rsidR="00BE38C5" w:rsidRDefault="00604CBC" w:rsidP="00604CBC">
            <w:pPr>
              <w:pStyle w:val="BodyTextIndent"/>
              <w:spacing w:before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Tribal Home Visiting Reporting System (THVRS)</w:t>
            </w:r>
            <w:r w:rsidR="00BE38C5">
              <w:rPr>
                <w:rFonts w:ascii="Arial" w:hAnsi="Arial" w:cs="Arial"/>
              </w:rPr>
              <w:t xml:space="preserve"> Development – Contracted</w:t>
            </w:r>
          </w:p>
        </w:tc>
        <w:tc>
          <w:tcPr>
            <w:tcW w:w="3126" w:type="dxa"/>
          </w:tcPr>
          <w:p w14:paraId="3D3C1CAA" w14:textId="5D0034B6" w:rsidR="00BE38C5" w:rsidRDefault="008F2B17" w:rsidP="008F2B17">
            <w:pPr>
              <w:pStyle w:val="BodyTextIndent"/>
              <w:spacing w:before="120"/>
              <w:ind w:left="0"/>
              <w:rPr>
                <w:rFonts w:ascii="Arial" w:hAnsi="Arial" w:cs="Arial"/>
              </w:rPr>
            </w:pPr>
            <w:r w:rsidRPr="008F2B17">
              <w:rPr>
                <w:rFonts w:ascii="Arial" w:hAnsi="Arial" w:cs="Arial"/>
              </w:rPr>
              <w:t>Modifications, maintenance, data cleaning and aggregation of the electronic reporting system for quarterly data collection</w:t>
            </w:r>
          </w:p>
        </w:tc>
        <w:tc>
          <w:tcPr>
            <w:tcW w:w="3100" w:type="dxa"/>
          </w:tcPr>
          <w:p w14:paraId="46246E23" w14:textId="03B296A2" w:rsidR="00BE38C5" w:rsidRDefault="008F2B17" w:rsidP="00BE38C5">
            <w:pPr>
              <w:pStyle w:val="BodyTextIndent"/>
              <w:spacing w:before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$75,000</w:t>
            </w:r>
          </w:p>
        </w:tc>
      </w:tr>
      <w:tr w:rsidR="00BE38C5" w14:paraId="48C58C73" w14:textId="77777777" w:rsidTr="008F2B17">
        <w:tc>
          <w:tcPr>
            <w:tcW w:w="3124" w:type="dxa"/>
          </w:tcPr>
          <w:p w14:paraId="2CC1507B" w14:textId="77777777" w:rsidR="00BE38C5" w:rsidRDefault="00BE38C5" w:rsidP="00BE38C5">
            <w:pPr>
              <w:pStyle w:val="BodyTextIndent"/>
              <w:spacing w:before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Government Program Analyst (10%)</w:t>
            </w:r>
          </w:p>
        </w:tc>
        <w:tc>
          <w:tcPr>
            <w:tcW w:w="3126" w:type="dxa"/>
          </w:tcPr>
          <w:p w14:paraId="0F394259" w14:textId="2B9C7A7A" w:rsidR="00BE38C5" w:rsidRDefault="00BE38C5" w:rsidP="008F2B17">
            <w:pPr>
              <w:pStyle w:val="BodyTextIndent"/>
              <w:spacing w:before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management and oversight, consultation, and </w:t>
            </w:r>
            <w:r w:rsidR="008F2B17">
              <w:rPr>
                <w:rFonts w:ascii="Arial" w:hAnsi="Arial" w:cs="Arial"/>
              </w:rPr>
              <w:t>analysis of data</w:t>
            </w:r>
          </w:p>
        </w:tc>
        <w:tc>
          <w:tcPr>
            <w:tcW w:w="3100" w:type="dxa"/>
          </w:tcPr>
          <w:p w14:paraId="22B304A2" w14:textId="60DE5B3C" w:rsidR="00BE38C5" w:rsidRDefault="00BE38C5" w:rsidP="008F2B17">
            <w:pPr>
              <w:pStyle w:val="BodyTextIndent"/>
              <w:spacing w:before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$9,990</w:t>
            </w:r>
            <w:r w:rsidR="008F2B17">
              <w:rPr>
                <w:rFonts w:ascii="Arial" w:hAnsi="Arial" w:cs="Arial"/>
              </w:rPr>
              <w:t xml:space="preserve"> </w:t>
            </w:r>
          </w:p>
        </w:tc>
      </w:tr>
      <w:tr w:rsidR="00605378" w14:paraId="1060E1FC" w14:textId="77777777" w:rsidTr="008F2B17">
        <w:tc>
          <w:tcPr>
            <w:tcW w:w="3124" w:type="dxa"/>
          </w:tcPr>
          <w:p w14:paraId="3AD5D929" w14:textId="77777777" w:rsidR="00605378" w:rsidRDefault="00605378" w:rsidP="00BE38C5">
            <w:pPr>
              <w:pStyle w:val="BodyTextIndent"/>
              <w:spacing w:before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Estimated Annual Cost</w:t>
            </w:r>
          </w:p>
        </w:tc>
        <w:tc>
          <w:tcPr>
            <w:tcW w:w="3126" w:type="dxa"/>
          </w:tcPr>
          <w:p w14:paraId="38F8CC8B" w14:textId="77777777" w:rsidR="00605378" w:rsidRDefault="00605378" w:rsidP="00BE38C5">
            <w:pPr>
              <w:pStyle w:val="BodyTextIndent"/>
              <w:spacing w:before="120"/>
              <w:ind w:left="0"/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3BCBB162" w14:textId="1B749D20" w:rsidR="00605378" w:rsidRDefault="008F2B17" w:rsidP="008F2B17">
            <w:pPr>
              <w:pStyle w:val="BodyTextIndent"/>
              <w:spacing w:before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$84,990</w:t>
            </w:r>
          </w:p>
        </w:tc>
      </w:tr>
    </w:tbl>
    <w:p w14:paraId="6FCA2ACE" w14:textId="77777777" w:rsidR="00BE38C5" w:rsidRDefault="00BE38C5" w:rsidP="00BE38C5">
      <w:pPr>
        <w:pStyle w:val="BodyTextIndent"/>
        <w:spacing w:before="120"/>
        <w:ind w:left="0"/>
        <w:rPr>
          <w:rFonts w:ascii="Arial" w:hAnsi="Arial" w:cs="Arial"/>
        </w:rPr>
      </w:pPr>
    </w:p>
    <w:p w14:paraId="39D90BC2" w14:textId="77777777" w:rsidR="00D44E3D" w:rsidRPr="002D12D3" w:rsidRDefault="00D44E3D" w:rsidP="00BE38C5">
      <w:pPr>
        <w:pStyle w:val="BodyTextIndent"/>
        <w:spacing w:before="12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Government costs include personnel costs for federal staff involved in project and contract oversight, instrument design, and analysis which includes approximately 10% of a GS-13 Program Analyst. </w:t>
      </w:r>
    </w:p>
    <w:p w14:paraId="56A4F31B" w14:textId="77777777" w:rsidR="009B3794" w:rsidRPr="00C45431" w:rsidRDefault="009B3794" w:rsidP="00CA3DA6">
      <w:pPr>
        <w:numPr>
          <w:ilvl w:val="0"/>
          <w:numId w:val="2"/>
        </w:numPr>
        <w:tabs>
          <w:tab w:val="clear" w:pos="1080"/>
          <w:tab w:val="num" w:pos="360"/>
        </w:tabs>
        <w:spacing w:before="240"/>
        <w:ind w:left="360"/>
        <w:rPr>
          <w:rFonts w:ascii="Arial" w:hAnsi="Arial" w:cs="Arial"/>
          <w:b/>
          <w:sz w:val="24"/>
        </w:rPr>
      </w:pPr>
      <w:r w:rsidRPr="00C45431">
        <w:rPr>
          <w:rFonts w:ascii="Arial" w:hAnsi="Arial" w:cs="Arial"/>
          <w:b/>
          <w:sz w:val="24"/>
          <w:u w:val="single"/>
        </w:rPr>
        <w:t>Explanation for Program Changes or Adjustments</w:t>
      </w:r>
    </w:p>
    <w:p w14:paraId="110F46A7" w14:textId="77777777" w:rsidR="009B3794" w:rsidRPr="00C45431" w:rsidRDefault="009B3794" w:rsidP="00CA3DA6">
      <w:pPr>
        <w:pStyle w:val="BodyTextIndent"/>
        <w:spacing w:before="120"/>
        <w:ind w:left="360"/>
        <w:rPr>
          <w:rFonts w:ascii="Arial" w:hAnsi="Arial" w:cs="Arial"/>
          <w:b/>
        </w:rPr>
      </w:pPr>
      <w:r w:rsidRPr="00C45431">
        <w:rPr>
          <w:rFonts w:ascii="Arial" w:hAnsi="Arial" w:cs="Arial"/>
        </w:rPr>
        <w:t xml:space="preserve">This is a new </w:t>
      </w:r>
      <w:r w:rsidR="00FE6C30" w:rsidRPr="00C45431">
        <w:rPr>
          <w:rFonts w:ascii="Arial" w:hAnsi="Arial" w:cs="Arial"/>
        </w:rPr>
        <w:t>information</w:t>
      </w:r>
      <w:r w:rsidRPr="00C45431">
        <w:rPr>
          <w:rFonts w:ascii="Arial" w:hAnsi="Arial" w:cs="Arial"/>
        </w:rPr>
        <w:t xml:space="preserve"> collection.</w:t>
      </w:r>
    </w:p>
    <w:p w14:paraId="1216211B" w14:textId="77777777" w:rsidR="009B3794" w:rsidRPr="00D82F0E" w:rsidRDefault="009B3794" w:rsidP="00CA3DA6">
      <w:pPr>
        <w:numPr>
          <w:ilvl w:val="0"/>
          <w:numId w:val="2"/>
        </w:numPr>
        <w:tabs>
          <w:tab w:val="clear" w:pos="1080"/>
          <w:tab w:val="num" w:pos="360"/>
        </w:tabs>
        <w:spacing w:before="240"/>
        <w:ind w:left="360"/>
        <w:rPr>
          <w:rFonts w:ascii="Arial" w:hAnsi="Arial" w:cs="Arial"/>
          <w:b/>
          <w:sz w:val="24"/>
        </w:rPr>
      </w:pPr>
      <w:r w:rsidRPr="00D82F0E">
        <w:rPr>
          <w:rFonts w:ascii="Arial" w:hAnsi="Arial" w:cs="Arial"/>
          <w:b/>
          <w:sz w:val="24"/>
          <w:u w:val="single"/>
        </w:rPr>
        <w:t>Plans for Tabulation</w:t>
      </w:r>
      <w:r w:rsidR="002118B4" w:rsidRPr="00D82F0E">
        <w:rPr>
          <w:rFonts w:ascii="Arial" w:hAnsi="Arial" w:cs="Arial"/>
          <w:b/>
          <w:sz w:val="24"/>
          <w:u w:val="single"/>
        </w:rPr>
        <w:t xml:space="preserve">, </w:t>
      </w:r>
      <w:r w:rsidRPr="00D82F0E">
        <w:rPr>
          <w:rFonts w:ascii="Arial" w:hAnsi="Arial" w:cs="Arial"/>
          <w:b/>
          <w:sz w:val="24"/>
          <w:u w:val="single"/>
        </w:rPr>
        <w:t>Publication</w:t>
      </w:r>
      <w:r w:rsidR="002118B4" w:rsidRPr="00D82F0E">
        <w:rPr>
          <w:rFonts w:ascii="Arial" w:hAnsi="Arial" w:cs="Arial"/>
          <w:b/>
          <w:sz w:val="24"/>
          <w:u w:val="single"/>
        </w:rPr>
        <w:t>,</w:t>
      </w:r>
      <w:r w:rsidRPr="00D82F0E">
        <w:rPr>
          <w:rFonts w:ascii="Arial" w:hAnsi="Arial" w:cs="Arial"/>
          <w:b/>
          <w:sz w:val="24"/>
          <w:u w:val="single"/>
        </w:rPr>
        <w:t xml:space="preserve"> and Project Time Schedule</w:t>
      </w:r>
    </w:p>
    <w:p w14:paraId="09AC7496" w14:textId="64E68EBD" w:rsidR="004806C0" w:rsidRDefault="00BE7B03" w:rsidP="004806C0">
      <w:pPr>
        <w:spacing w:before="120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Aggregation and d</w:t>
      </w:r>
      <w:r w:rsidR="00D44E3D">
        <w:rPr>
          <w:rFonts w:ascii="Arial" w:hAnsi="Arial" w:cs="Arial"/>
          <w:sz w:val="24"/>
        </w:rPr>
        <w:t xml:space="preserve">escriptive statistics on quarterly service utilization data will be conducted in order to summarize the performance of grantees, as well as the program as a whole. This summary information may be made public through data briefs, </w:t>
      </w:r>
      <w:r>
        <w:rPr>
          <w:rFonts w:ascii="Arial" w:hAnsi="Arial" w:cs="Arial"/>
          <w:sz w:val="24"/>
        </w:rPr>
        <w:t>fact sheets, professional presentations, and/or published manuscripts.</w:t>
      </w:r>
    </w:p>
    <w:p w14:paraId="1C727957" w14:textId="60E32ADD" w:rsidR="00BE7B03" w:rsidRDefault="004806C0" w:rsidP="004806C0">
      <w:pPr>
        <w:spacing w:before="120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ACF is</w:t>
      </w:r>
      <w:r w:rsidR="00BE7B03">
        <w:rPr>
          <w:rFonts w:ascii="Arial" w:hAnsi="Arial" w:cs="Arial"/>
          <w:sz w:val="24"/>
        </w:rPr>
        <w:t xml:space="preserve"> requesting a three-year clearance for this data collection activity.</w:t>
      </w:r>
    </w:p>
    <w:p w14:paraId="6EA5C316" w14:textId="77777777" w:rsidR="00BE7B03" w:rsidRDefault="00BE7B03" w:rsidP="00CA3DA6">
      <w:pPr>
        <w:spacing w:before="120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Project Timeline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75"/>
        <w:gridCol w:w="4315"/>
      </w:tblGrid>
      <w:tr w:rsidR="00D82F0E" w14:paraId="22871BE9" w14:textId="77777777" w:rsidTr="00D96CCD">
        <w:tc>
          <w:tcPr>
            <w:tcW w:w="4675" w:type="dxa"/>
          </w:tcPr>
          <w:p w14:paraId="683A23F1" w14:textId="77777777" w:rsidR="00D82F0E" w:rsidRPr="00D82F0E" w:rsidRDefault="00D82F0E" w:rsidP="00CA3DA6">
            <w:pPr>
              <w:spacing w:before="120"/>
              <w:rPr>
                <w:rFonts w:ascii="Arial" w:hAnsi="Arial" w:cs="Arial"/>
                <w:b/>
                <w:sz w:val="24"/>
              </w:rPr>
            </w:pPr>
            <w:r w:rsidRPr="00D82F0E">
              <w:rPr>
                <w:rFonts w:ascii="Arial" w:hAnsi="Arial" w:cs="Arial"/>
                <w:b/>
                <w:sz w:val="24"/>
              </w:rPr>
              <w:t>Activity</w:t>
            </w:r>
          </w:p>
        </w:tc>
        <w:tc>
          <w:tcPr>
            <w:tcW w:w="4315" w:type="dxa"/>
          </w:tcPr>
          <w:p w14:paraId="1981C59F" w14:textId="77777777" w:rsidR="00D82F0E" w:rsidRPr="00D82F0E" w:rsidRDefault="00D82F0E" w:rsidP="00CA3DA6">
            <w:pPr>
              <w:spacing w:before="120"/>
              <w:rPr>
                <w:rFonts w:ascii="Arial" w:hAnsi="Arial" w:cs="Arial"/>
                <w:b/>
                <w:sz w:val="24"/>
              </w:rPr>
            </w:pPr>
            <w:r w:rsidRPr="00D82F0E">
              <w:rPr>
                <w:rFonts w:ascii="Arial" w:hAnsi="Arial" w:cs="Arial"/>
                <w:b/>
                <w:sz w:val="24"/>
              </w:rPr>
              <w:t>Time Schedule</w:t>
            </w:r>
          </w:p>
        </w:tc>
      </w:tr>
      <w:tr w:rsidR="00D82F0E" w14:paraId="05A2B6BB" w14:textId="77777777" w:rsidTr="00D96CCD">
        <w:tc>
          <w:tcPr>
            <w:tcW w:w="4675" w:type="dxa"/>
          </w:tcPr>
          <w:p w14:paraId="3446877F" w14:textId="3B8DC433" w:rsidR="00D82F0E" w:rsidRDefault="00D82F0E" w:rsidP="00CA3DA6">
            <w:pPr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Distribute data collection forms and instructions to </w:t>
            </w:r>
            <w:r w:rsidR="004806C0">
              <w:rPr>
                <w:rFonts w:ascii="Arial" w:hAnsi="Arial" w:cs="Arial"/>
                <w:sz w:val="24"/>
              </w:rPr>
              <w:t xml:space="preserve">Tribal </w:t>
            </w:r>
            <w:r>
              <w:rPr>
                <w:rFonts w:ascii="Arial" w:hAnsi="Arial" w:cs="Arial"/>
                <w:sz w:val="24"/>
              </w:rPr>
              <w:t>MIECHV grantees</w:t>
            </w:r>
          </w:p>
        </w:tc>
        <w:tc>
          <w:tcPr>
            <w:tcW w:w="4315" w:type="dxa"/>
          </w:tcPr>
          <w:p w14:paraId="10C8E26A" w14:textId="77777777" w:rsidR="00D82F0E" w:rsidRDefault="00D82F0E" w:rsidP="00CA3DA6">
            <w:pPr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Immediately following OMB approval</w:t>
            </w:r>
          </w:p>
        </w:tc>
      </w:tr>
      <w:tr w:rsidR="00D82F0E" w14:paraId="6AEA85C1" w14:textId="77777777" w:rsidTr="00D96CCD">
        <w:tc>
          <w:tcPr>
            <w:tcW w:w="4675" w:type="dxa"/>
          </w:tcPr>
          <w:p w14:paraId="210016A5" w14:textId="304BDEE4" w:rsidR="00D82F0E" w:rsidRDefault="004806C0" w:rsidP="00D96CCD">
            <w:pPr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Quarter</w:t>
            </w:r>
            <w:r w:rsidR="00604CBC">
              <w:rPr>
                <w:rFonts w:ascii="Arial" w:hAnsi="Arial" w:cs="Arial"/>
                <w:sz w:val="24"/>
              </w:rPr>
              <w:t>ly Re</w:t>
            </w:r>
            <w:r w:rsidR="00D96CCD">
              <w:rPr>
                <w:rFonts w:ascii="Arial" w:hAnsi="Arial" w:cs="Arial"/>
                <w:sz w:val="24"/>
              </w:rPr>
              <w:t xml:space="preserve">port 1 Reporting </w:t>
            </w:r>
            <w:r w:rsidR="00604CBC">
              <w:rPr>
                <w:rFonts w:ascii="Arial" w:hAnsi="Arial" w:cs="Arial"/>
                <w:sz w:val="24"/>
              </w:rPr>
              <w:t>(</w:t>
            </w:r>
            <w:r w:rsidR="00883AFE">
              <w:rPr>
                <w:rFonts w:ascii="Arial" w:hAnsi="Arial" w:cs="Arial"/>
                <w:sz w:val="24"/>
              </w:rPr>
              <w:t>10/1</w:t>
            </w:r>
            <w:r w:rsidR="00604CBC">
              <w:rPr>
                <w:rFonts w:ascii="Arial" w:hAnsi="Arial" w:cs="Arial"/>
                <w:sz w:val="24"/>
              </w:rPr>
              <w:t>-</w:t>
            </w:r>
            <w:r w:rsidR="00F22E43">
              <w:rPr>
                <w:rFonts w:ascii="Arial" w:hAnsi="Arial" w:cs="Arial"/>
                <w:sz w:val="24"/>
              </w:rPr>
              <w:t>12/31</w:t>
            </w:r>
            <w:r w:rsidR="00D82F0E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4315" w:type="dxa"/>
          </w:tcPr>
          <w:p w14:paraId="1B7176E2" w14:textId="6A7F47E0" w:rsidR="00D82F0E" w:rsidRDefault="00F22E43" w:rsidP="00CA3DA6">
            <w:pPr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Due by 3/1/19</w:t>
            </w:r>
          </w:p>
        </w:tc>
      </w:tr>
      <w:tr w:rsidR="00D82F0E" w14:paraId="4B2B8540" w14:textId="77777777" w:rsidTr="00D96CCD">
        <w:tc>
          <w:tcPr>
            <w:tcW w:w="4675" w:type="dxa"/>
          </w:tcPr>
          <w:p w14:paraId="421A2C28" w14:textId="089DE4DB" w:rsidR="00D82F0E" w:rsidRDefault="004806C0" w:rsidP="00D96CCD">
            <w:pPr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Quarter</w:t>
            </w:r>
            <w:r w:rsidR="00604CBC">
              <w:rPr>
                <w:rFonts w:ascii="Arial" w:hAnsi="Arial" w:cs="Arial"/>
                <w:sz w:val="24"/>
              </w:rPr>
              <w:t xml:space="preserve">ly Report 2 </w:t>
            </w:r>
            <w:r w:rsidR="00D96CCD">
              <w:rPr>
                <w:rFonts w:ascii="Arial" w:hAnsi="Arial" w:cs="Arial"/>
                <w:sz w:val="24"/>
              </w:rPr>
              <w:t>Reporting</w:t>
            </w:r>
            <w:r w:rsidR="00604CBC">
              <w:rPr>
                <w:rFonts w:ascii="Arial" w:hAnsi="Arial" w:cs="Arial"/>
                <w:sz w:val="24"/>
              </w:rPr>
              <w:t xml:space="preserve"> (</w:t>
            </w:r>
            <w:r w:rsidR="00F22E43">
              <w:rPr>
                <w:rFonts w:ascii="Arial" w:hAnsi="Arial" w:cs="Arial"/>
                <w:sz w:val="24"/>
              </w:rPr>
              <w:t>1/</w:t>
            </w:r>
            <w:r w:rsidR="00604CBC">
              <w:rPr>
                <w:rFonts w:ascii="Arial" w:hAnsi="Arial" w:cs="Arial"/>
                <w:sz w:val="24"/>
              </w:rPr>
              <w:t>1-</w:t>
            </w:r>
            <w:r w:rsidR="00F22E43">
              <w:rPr>
                <w:rFonts w:ascii="Arial" w:hAnsi="Arial" w:cs="Arial"/>
                <w:sz w:val="24"/>
              </w:rPr>
              <w:t>3/31</w:t>
            </w:r>
            <w:r w:rsidR="00D82F0E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4315" w:type="dxa"/>
          </w:tcPr>
          <w:p w14:paraId="011CDBDE" w14:textId="43A240BA" w:rsidR="00D82F0E" w:rsidRDefault="00F22E43" w:rsidP="00604CBC">
            <w:pPr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Due by 5/31/19</w:t>
            </w:r>
          </w:p>
        </w:tc>
      </w:tr>
      <w:tr w:rsidR="00D82F0E" w14:paraId="5E3BD65E" w14:textId="77777777" w:rsidTr="00D96CCD">
        <w:tc>
          <w:tcPr>
            <w:tcW w:w="4675" w:type="dxa"/>
          </w:tcPr>
          <w:p w14:paraId="5FA3CB88" w14:textId="730A0A3B" w:rsidR="00D82F0E" w:rsidRDefault="004806C0" w:rsidP="00D96CCD">
            <w:pPr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Quarterly Report 3 </w:t>
            </w:r>
            <w:r w:rsidR="00D96CCD">
              <w:rPr>
                <w:rFonts w:ascii="Arial" w:hAnsi="Arial" w:cs="Arial"/>
                <w:sz w:val="24"/>
              </w:rPr>
              <w:t xml:space="preserve">Reporting </w:t>
            </w:r>
            <w:r>
              <w:rPr>
                <w:rFonts w:ascii="Arial" w:hAnsi="Arial" w:cs="Arial"/>
                <w:sz w:val="24"/>
              </w:rPr>
              <w:t>(</w:t>
            </w:r>
            <w:r w:rsidR="00F22E43">
              <w:rPr>
                <w:rFonts w:ascii="Arial" w:hAnsi="Arial" w:cs="Arial"/>
                <w:sz w:val="24"/>
              </w:rPr>
              <w:t>4/1</w:t>
            </w:r>
            <w:r>
              <w:rPr>
                <w:rFonts w:ascii="Arial" w:hAnsi="Arial" w:cs="Arial"/>
                <w:sz w:val="24"/>
              </w:rPr>
              <w:t>-</w:t>
            </w:r>
            <w:r w:rsidR="00F22E43">
              <w:rPr>
                <w:rFonts w:ascii="Arial" w:hAnsi="Arial" w:cs="Arial"/>
                <w:sz w:val="24"/>
              </w:rPr>
              <w:t>6/30</w:t>
            </w:r>
            <w:r w:rsidR="00D82F0E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4315" w:type="dxa"/>
          </w:tcPr>
          <w:p w14:paraId="29C3F933" w14:textId="3284D6E5" w:rsidR="00D82F0E" w:rsidRDefault="00F22E43" w:rsidP="00CA3DA6">
            <w:pPr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Due by 8/30/19</w:t>
            </w:r>
          </w:p>
        </w:tc>
      </w:tr>
      <w:tr w:rsidR="00D82F0E" w14:paraId="05972DF8" w14:textId="77777777" w:rsidTr="00D96CCD">
        <w:tc>
          <w:tcPr>
            <w:tcW w:w="4675" w:type="dxa"/>
          </w:tcPr>
          <w:p w14:paraId="389BC0DF" w14:textId="43526156" w:rsidR="00D82F0E" w:rsidRDefault="004806C0" w:rsidP="00D96CCD">
            <w:pPr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Quarterly Report 4 </w:t>
            </w:r>
            <w:r w:rsidR="00D96CCD">
              <w:rPr>
                <w:rFonts w:ascii="Arial" w:hAnsi="Arial" w:cs="Arial"/>
                <w:sz w:val="24"/>
              </w:rPr>
              <w:t xml:space="preserve">Reporting </w:t>
            </w:r>
            <w:r>
              <w:rPr>
                <w:rFonts w:ascii="Arial" w:hAnsi="Arial" w:cs="Arial"/>
                <w:sz w:val="24"/>
              </w:rPr>
              <w:t>(</w:t>
            </w:r>
            <w:r w:rsidR="00F22E43">
              <w:rPr>
                <w:rFonts w:ascii="Arial" w:hAnsi="Arial" w:cs="Arial"/>
                <w:sz w:val="24"/>
              </w:rPr>
              <w:t>7/1</w:t>
            </w:r>
            <w:r>
              <w:rPr>
                <w:rFonts w:ascii="Arial" w:hAnsi="Arial" w:cs="Arial"/>
                <w:sz w:val="24"/>
              </w:rPr>
              <w:t>-</w:t>
            </w:r>
            <w:r w:rsidR="00883AFE">
              <w:rPr>
                <w:rFonts w:ascii="Arial" w:hAnsi="Arial" w:cs="Arial"/>
                <w:sz w:val="24"/>
              </w:rPr>
              <w:t>9/</w:t>
            </w:r>
            <w:r w:rsidR="00F22E43">
              <w:rPr>
                <w:rFonts w:ascii="Arial" w:hAnsi="Arial" w:cs="Arial"/>
                <w:sz w:val="24"/>
              </w:rPr>
              <w:t>30</w:t>
            </w:r>
            <w:r w:rsidR="00D82F0E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4315" w:type="dxa"/>
          </w:tcPr>
          <w:p w14:paraId="4A42F3FE" w14:textId="57A04A50" w:rsidR="00D82F0E" w:rsidRDefault="00F22E43" w:rsidP="00CA3DA6">
            <w:pPr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Due by 11/30/19</w:t>
            </w:r>
          </w:p>
        </w:tc>
      </w:tr>
      <w:tr w:rsidR="00D82F0E" w14:paraId="76E2263C" w14:textId="77777777" w:rsidTr="00604CBC">
        <w:tc>
          <w:tcPr>
            <w:tcW w:w="8990" w:type="dxa"/>
            <w:gridSpan w:val="2"/>
          </w:tcPr>
          <w:p w14:paraId="13CB3CA4" w14:textId="77777777" w:rsidR="00D82F0E" w:rsidRDefault="00D82F0E" w:rsidP="00CA3DA6">
            <w:pPr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Quarterly reporting will continue on an annual schedule throughout the OMB approved clearance timeframe </w:t>
            </w:r>
          </w:p>
        </w:tc>
      </w:tr>
    </w:tbl>
    <w:p w14:paraId="5CE1B0A6" w14:textId="77777777" w:rsidR="00D44E3D" w:rsidRDefault="00BE7B03" w:rsidP="00CA3DA6">
      <w:pPr>
        <w:spacing w:before="120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</w:p>
    <w:p w14:paraId="5AB4B15F" w14:textId="77777777" w:rsidR="009B3794" w:rsidRPr="00C45431" w:rsidRDefault="009B3794" w:rsidP="00CA3DA6">
      <w:pPr>
        <w:numPr>
          <w:ilvl w:val="0"/>
          <w:numId w:val="2"/>
        </w:numPr>
        <w:tabs>
          <w:tab w:val="clear" w:pos="1080"/>
          <w:tab w:val="num" w:pos="360"/>
        </w:tabs>
        <w:spacing w:before="240"/>
        <w:ind w:left="360"/>
        <w:rPr>
          <w:rFonts w:ascii="Arial" w:hAnsi="Arial" w:cs="Arial"/>
          <w:b/>
          <w:sz w:val="24"/>
        </w:rPr>
      </w:pPr>
      <w:r w:rsidRPr="00C45431">
        <w:rPr>
          <w:rFonts w:ascii="Arial" w:hAnsi="Arial" w:cs="Arial"/>
          <w:b/>
          <w:sz w:val="24"/>
          <w:u w:val="single"/>
        </w:rPr>
        <w:t>Reason(s) Display of OMB Expiration Date is Inappropriate</w:t>
      </w:r>
    </w:p>
    <w:p w14:paraId="6105697E" w14:textId="77777777" w:rsidR="009B3794" w:rsidRPr="009B3E2C" w:rsidRDefault="00D11CA3" w:rsidP="00CA3DA6">
      <w:pPr>
        <w:pStyle w:val="BodyTextIndent"/>
        <w:spacing w:before="120"/>
        <w:ind w:left="360"/>
        <w:rPr>
          <w:rFonts w:ascii="Arial" w:hAnsi="Arial" w:cs="Arial"/>
        </w:rPr>
      </w:pPr>
      <w:r w:rsidRPr="009B3E2C">
        <w:rPr>
          <w:rFonts w:ascii="Arial" w:hAnsi="Arial" w:cs="Arial"/>
        </w:rPr>
        <w:t>The OMB number and Expiration date will be displayed on every page of every form/instrument.</w:t>
      </w:r>
    </w:p>
    <w:p w14:paraId="27ACFAC4" w14:textId="77777777" w:rsidR="009B3794" w:rsidRPr="00C45431" w:rsidRDefault="009B3794" w:rsidP="00CA3DA6">
      <w:pPr>
        <w:numPr>
          <w:ilvl w:val="0"/>
          <w:numId w:val="2"/>
        </w:numPr>
        <w:tabs>
          <w:tab w:val="clear" w:pos="1080"/>
          <w:tab w:val="num" w:pos="360"/>
        </w:tabs>
        <w:spacing w:before="240"/>
        <w:ind w:left="360"/>
        <w:rPr>
          <w:rFonts w:ascii="Arial" w:hAnsi="Arial" w:cs="Arial"/>
          <w:b/>
          <w:sz w:val="24"/>
        </w:rPr>
      </w:pPr>
      <w:r w:rsidRPr="00C45431">
        <w:rPr>
          <w:rFonts w:ascii="Arial" w:hAnsi="Arial" w:cs="Arial"/>
          <w:b/>
          <w:sz w:val="24"/>
          <w:u w:val="single"/>
        </w:rPr>
        <w:t>Exceptions to Certification for Paperwork Reduction Act Submissions</w:t>
      </w:r>
    </w:p>
    <w:p w14:paraId="321CEB93" w14:textId="77777777" w:rsidR="009B3794" w:rsidRPr="00991936" w:rsidRDefault="009B3794" w:rsidP="00CA3DA6">
      <w:pPr>
        <w:pStyle w:val="BodyTextIndent"/>
        <w:spacing w:before="120"/>
        <w:ind w:left="360"/>
        <w:rPr>
          <w:rFonts w:ascii="Arial" w:hAnsi="Arial" w:cs="Arial"/>
        </w:rPr>
      </w:pPr>
      <w:r w:rsidRPr="00991936">
        <w:rPr>
          <w:rFonts w:ascii="Arial" w:hAnsi="Arial" w:cs="Arial"/>
        </w:rPr>
        <w:t>There are no exceptions to the certification.</w:t>
      </w:r>
    </w:p>
    <w:sectPr w:rsidR="009B3794" w:rsidRPr="00991936" w:rsidSect="001D4856">
      <w:footerReference w:type="default" r:id="rId8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BD89D7" w14:textId="77777777" w:rsidR="004A3FD4" w:rsidRDefault="004A3FD4">
      <w:r>
        <w:separator/>
      </w:r>
    </w:p>
  </w:endnote>
  <w:endnote w:type="continuationSeparator" w:id="0">
    <w:p w14:paraId="327B6C17" w14:textId="77777777" w:rsidR="004A3FD4" w:rsidRDefault="004A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FF3C7" w14:textId="77777777" w:rsidR="00D92E1D" w:rsidRDefault="00D92E1D">
    <w:pPr>
      <w:spacing w:line="240" w:lineRule="exact"/>
    </w:pPr>
  </w:p>
  <w:p w14:paraId="7247CECA" w14:textId="334CEDD7" w:rsidR="00D92E1D" w:rsidRDefault="00B655C6">
    <w:pPr>
      <w:framePr w:w="9361" w:wrap="notBeside" w:vAnchor="text" w:hAnchor="text" w:x="1" w:y="1"/>
      <w:jc w:val="center"/>
      <w:rPr>
        <w:sz w:val="24"/>
      </w:rPr>
    </w:pPr>
    <w:r>
      <w:rPr>
        <w:sz w:val="24"/>
      </w:rPr>
      <w:fldChar w:fldCharType="begin"/>
    </w:r>
    <w:r w:rsidR="00D92E1D">
      <w:rPr>
        <w:sz w:val="24"/>
      </w:rPr>
      <w:instrText xml:space="preserve">PAGE </w:instrText>
    </w:r>
    <w:r>
      <w:rPr>
        <w:sz w:val="24"/>
      </w:rPr>
      <w:fldChar w:fldCharType="separate"/>
    </w:r>
    <w:r w:rsidR="00757ACE">
      <w:rPr>
        <w:noProof/>
        <w:sz w:val="24"/>
      </w:rPr>
      <w:t>1</w:t>
    </w:r>
    <w:r>
      <w:rPr>
        <w:sz w:val="24"/>
      </w:rPr>
      <w:fldChar w:fldCharType="end"/>
    </w:r>
  </w:p>
  <w:p w14:paraId="47D50FBF" w14:textId="77777777" w:rsidR="00D92E1D" w:rsidRDefault="00D92E1D">
    <w:pPr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BD6C9" w14:textId="77777777" w:rsidR="004A3FD4" w:rsidRDefault="004A3FD4">
      <w:r>
        <w:separator/>
      </w:r>
    </w:p>
  </w:footnote>
  <w:footnote w:type="continuationSeparator" w:id="0">
    <w:p w14:paraId="58AF02A9" w14:textId="77777777" w:rsidR="004A3FD4" w:rsidRDefault="004A3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0D87"/>
    <w:multiLevelType w:val="hybridMultilevel"/>
    <w:tmpl w:val="3224EF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F4DB8"/>
    <w:multiLevelType w:val="hybridMultilevel"/>
    <w:tmpl w:val="7EBEB4E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08BA0572"/>
    <w:multiLevelType w:val="hybridMultilevel"/>
    <w:tmpl w:val="211EF9C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0A342DE4"/>
    <w:multiLevelType w:val="hybridMultilevel"/>
    <w:tmpl w:val="58D44392"/>
    <w:lvl w:ilvl="0" w:tplc="0409000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0ACC676D"/>
    <w:multiLevelType w:val="hybridMultilevel"/>
    <w:tmpl w:val="19925D90"/>
    <w:lvl w:ilvl="0" w:tplc="04090015">
      <w:start w:val="1"/>
      <w:numFmt w:val="upperLetter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>
    <w:nsid w:val="0BA326D6"/>
    <w:multiLevelType w:val="hybridMultilevel"/>
    <w:tmpl w:val="10A28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F210B"/>
    <w:multiLevelType w:val="hybridMultilevel"/>
    <w:tmpl w:val="97F6408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0FBC5793"/>
    <w:multiLevelType w:val="hybridMultilevel"/>
    <w:tmpl w:val="CB66BD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16F1537B"/>
    <w:multiLevelType w:val="hybridMultilevel"/>
    <w:tmpl w:val="E03AB28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>
    <w:nsid w:val="18FA5DC3"/>
    <w:multiLevelType w:val="multilevel"/>
    <w:tmpl w:val="9E325A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124824"/>
    <w:multiLevelType w:val="hybridMultilevel"/>
    <w:tmpl w:val="AA7E308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1F66495E"/>
    <w:multiLevelType w:val="hybridMultilevel"/>
    <w:tmpl w:val="4F86193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210619A5"/>
    <w:multiLevelType w:val="hybridMultilevel"/>
    <w:tmpl w:val="E694546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27AF3169"/>
    <w:multiLevelType w:val="hybridMultilevel"/>
    <w:tmpl w:val="6BF8986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FC522A"/>
    <w:multiLevelType w:val="hybridMultilevel"/>
    <w:tmpl w:val="DC2AD4B0"/>
    <w:lvl w:ilvl="0" w:tplc="04090015">
      <w:start w:val="1"/>
      <w:numFmt w:val="upperLetter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5">
    <w:nsid w:val="2B7570F2"/>
    <w:multiLevelType w:val="multilevel"/>
    <w:tmpl w:val="78A00D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9021E7"/>
    <w:multiLevelType w:val="hybridMultilevel"/>
    <w:tmpl w:val="CB889AC4"/>
    <w:lvl w:ilvl="0" w:tplc="0409000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8"/>
        </w:tabs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8"/>
        </w:tabs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8"/>
        </w:tabs>
        <w:ind w:left="7488" w:hanging="360"/>
      </w:pPr>
      <w:rPr>
        <w:rFonts w:ascii="Wingdings" w:hAnsi="Wingdings" w:hint="default"/>
      </w:rPr>
    </w:lvl>
  </w:abstractNum>
  <w:abstractNum w:abstractNumId="17">
    <w:nsid w:val="387F1E26"/>
    <w:multiLevelType w:val="hybridMultilevel"/>
    <w:tmpl w:val="9FD0698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>
    <w:nsid w:val="3ACC71D8"/>
    <w:multiLevelType w:val="hybridMultilevel"/>
    <w:tmpl w:val="720CB386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9">
    <w:nsid w:val="40F41527"/>
    <w:multiLevelType w:val="hybridMultilevel"/>
    <w:tmpl w:val="5C5EDD1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0">
    <w:nsid w:val="42CA0CF3"/>
    <w:multiLevelType w:val="hybridMultilevel"/>
    <w:tmpl w:val="DC4AB2F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>
    <w:nsid w:val="43CD5E17"/>
    <w:multiLevelType w:val="hybridMultilevel"/>
    <w:tmpl w:val="BE9E67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1D7109"/>
    <w:multiLevelType w:val="hybridMultilevel"/>
    <w:tmpl w:val="462ED118"/>
    <w:lvl w:ilvl="0" w:tplc="17BC0A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F416FC">
      <w:start w:val="2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FF5AE7"/>
    <w:multiLevelType w:val="hybridMultilevel"/>
    <w:tmpl w:val="52B8D9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0E2065"/>
    <w:multiLevelType w:val="hybridMultilevel"/>
    <w:tmpl w:val="FDFAF3D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4DDE1051"/>
    <w:multiLevelType w:val="hybridMultilevel"/>
    <w:tmpl w:val="36AE2F4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>
    <w:nsid w:val="53E41430"/>
    <w:multiLevelType w:val="hybridMultilevel"/>
    <w:tmpl w:val="57AA6CBE"/>
    <w:lvl w:ilvl="0" w:tplc="0409000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27">
    <w:nsid w:val="593D36C3"/>
    <w:multiLevelType w:val="hybridMultilevel"/>
    <w:tmpl w:val="8B4C795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>
    <w:nsid w:val="5AA94C4C"/>
    <w:multiLevelType w:val="hybridMultilevel"/>
    <w:tmpl w:val="1AF0AC7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>
    <w:nsid w:val="5B3250AA"/>
    <w:multiLevelType w:val="hybridMultilevel"/>
    <w:tmpl w:val="BD9A3BB6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B8B2A2F"/>
    <w:multiLevelType w:val="hybridMultilevel"/>
    <w:tmpl w:val="FD184AD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1">
    <w:nsid w:val="5F0C15D3"/>
    <w:multiLevelType w:val="hybridMultilevel"/>
    <w:tmpl w:val="CEF2BD4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>
    <w:nsid w:val="5F70268D"/>
    <w:multiLevelType w:val="hybridMultilevel"/>
    <w:tmpl w:val="6CF2EA1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3">
    <w:nsid w:val="62343938"/>
    <w:multiLevelType w:val="hybridMultilevel"/>
    <w:tmpl w:val="B486FCA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4">
    <w:nsid w:val="6714352E"/>
    <w:multiLevelType w:val="hybridMultilevel"/>
    <w:tmpl w:val="E3EEDFF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5">
    <w:nsid w:val="6980224A"/>
    <w:multiLevelType w:val="multilevel"/>
    <w:tmpl w:val="FB4297CE"/>
    <w:lvl w:ilvl="0">
      <w:start w:val="1"/>
      <w:numFmt w:val="upperRoman"/>
      <w:lvlText w:val="%1."/>
      <w:lvlJc w:val="right"/>
      <w:pPr>
        <w:tabs>
          <w:tab w:val="num" w:pos="2160"/>
        </w:tabs>
        <w:ind w:left="2160" w:hanging="18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6">
    <w:nsid w:val="6F4B510B"/>
    <w:multiLevelType w:val="hybridMultilevel"/>
    <w:tmpl w:val="D2D866B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7">
    <w:nsid w:val="73D15CE9"/>
    <w:multiLevelType w:val="hybridMultilevel"/>
    <w:tmpl w:val="4FB4019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8">
    <w:nsid w:val="73ED210F"/>
    <w:multiLevelType w:val="hybridMultilevel"/>
    <w:tmpl w:val="CD48D5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75836233"/>
    <w:multiLevelType w:val="multilevel"/>
    <w:tmpl w:val="168C58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8A00CB"/>
    <w:multiLevelType w:val="hybridMultilevel"/>
    <w:tmpl w:val="1A28C5F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1">
    <w:nsid w:val="79B974A1"/>
    <w:multiLevelType w:val="hybridMultilevel"/>
    <w:tmpl w:val="BE96FD5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19D2D340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2">
    <w:nsid w:val="7E7D45FB"/>
    <w:multiLevelType w:val="hybridMultilevel"/>
    <w:tmpl w:val="FB4297CE"/>
    <w:lvl w:ilvl="0" w:tplc="04090013">
      <w:start w:val="1"/>
      <w:numFmt w:val="upperRoman"/>
      <w:lvlText w:val="%1."/>
      <w:lvlJc w:val="right"/>
      <w:pPr>
        <w:tabs>
          <w:tab w:val="num" w:pos="2160"/>
        </w:tabs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3">
    <w:nsid w:val="7EBC3CE5"/>
    <w:multiLevelType w:val="hybridMultilevel"/>
    <w:tmpl w:val="D8E2E83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3"/>
  </w:num>
  <w:num w:numId="2">
    <w:abstractNumId w:val="22"/>
  </w:num>
  <w:num w:numId="3">
    <w:abstractNumId w:val="15"/>
  </w:num>
  <w:num w:numId="4">
    <w:abstractNumId w:val="39"/>
  </w:num>
  <w:num w:numId="5">
    <w:abstractNumId w:val="42"/>
  </w:num>
  <w:num w:numId="6">
    <w:abstractNumId w:val="9"/>
  </w:num>
  <w:num w:numId="7">
    <w:abstractNumId w:val="35"/>
  </w:num>
  <w:num w:numId="8">
    <w:abstractNumId w:val="18"/>
  </w:num>
  <w:num w:numId="9">
    <w:abstractNumId w:val="26"/>
  </w:num>
  <w:num w:numId="10">
    <w:abstractNumId w:val="20"/>
  </w:num>
  <w:num w:numId="11">
    <w:abstractNumId w:val="8"/>
  </w:num>
  <w:num w:numId="12">
    <w:abstractNumId w:val="25"/>
  </w:num>
  <w:num w:numId="13">
    <w:abstractNumId w:val="21"/>
  </w:num>
  <w:num w:numId="14">
    <w:abstractNumId w:val="23"/>
  </w:num>
  <w:num w:numId="15">
    <w:abstractNumId w:val="7"/>
  </w:num>
  <w:num w:numId="16">
    <w:abstractNumId w:val="0"/>
  </w:num>
  <w:num w:numId="17">
    <w:abstractNumId w:val="1"/>
  </w:num>
  <w:num w:numId="18">
    <w:abstractNumId w:val="16"/>
  </w:num>
  <w:num w:numId="19">
    <w:abstractNumId w:val="34"/>
  </w:num>
  <w:num w:numId="20">
    <w:abstractNumId w:val="32"/>
  </w:num>
  <w:num w:numId="21">
    <w:abstractNumId w:val="19"/>
  </w:num>
  <w:num w:numId="22">
    <w:abstractNumId w:val="38"/>
  </w:num>
  <w:num w:numId="23">
    <w:abstractNumId w:val="30"/>
  </w:num>
  <w:num w:numId="24">
    <w:abstractNumId w:val="31"/>
  </w:num>
  <w:num w:numId="25">
    <w:abstractNumId w:val="41"/>
  </w:num>
  <w:num w:numId="26">
    <w:abstractNumId w:val="37"/>
  </w:num>
  <w:num w:numId="27">
    <w:abstractNumId w:val="3"/>
  </w:num>
  <w:num w:numId="28">
    <w:abstractNumId w:val="17"/>
  </w:num>
  <w:num w:numId="29">
    <w:abstractNumId w:val="40"/>
  </w:num>
  <w:num w:numId="30">
    <w:abstractNumId w:val="36"/>
  </w:num>
  <w:num w:numId="31">
    <w:abstractNumId w:val="33"/>
  </w:num>
  <w:num w:numId="32">
    <w:abstractNumId w:val="10"/>
  </w:num>
  <w:num w:numId="33">
    <w:abstractNumId w:val="2"/>
  </w:num>
  <w:num w:numId="34">
    <w:abstractNumId w:val="27"/>
  </w:num>
  <w:num w:numId="35">
    <w:abstractNumId w:val="12"/>
  </w:num>
  <w:num w:numId="36">
    <w:abstractNumId w:val="11"/>
  </w:num>
  <w:num w:numId="37">
    <w:abstractNumId w:val="14"/>
  </w:num>
  <w:num w:numId="38">
    <w:abstractNumId w:val="4"/>
  </w:num>
  <w:num w:numId="39">
    <w:abstractNumId w:val="29"/>
  </w:num>
  <w:num w:numId="40">
    <w:abstractNumId w:val="6"/>
  </w:num>
  <w:num w:numId="41">
    <w:abstractNumId w:val="28"/>
  </w:num>
  <w:num w:numId="42">
    <w:abstractNumId w:val="24"/>
  </w:num>
  <w:num w:numId="43">
    <w:abstractNumId w:val="5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CAB"/>
    <w:rsid w:val="00015505"/>
    <w:rsid w:val="000661C6"/>
    <w:rsid w:val="000B398F"/>
    <w:rsid w:val="00104F7F"/>
    <w:rsid w:val="00115BD5"/>
    <w:rsid w:val="001325B2"/>
    <w:rsid w:val="00165DCE"/>
    <w:rsid w:val="00184861"/>
    <w:rsid w:val="001920C3"/>
    <w:rsid w:val="001C7CB7"/>
    <w:rsid w:val="001D4856"/>
    <w:rsid w:val="001D66DF"/>
    <w:rsid w:val="002118B4"/>
    <w:rsid w:val="002640E7"/>
    <w:rsid w:val="002A2617"/>
    <w:rsid w:val="002D12D3"/>
    <w:rsid w:val="00322313"/>
    <w:rsid w:val="00391E16"/>
    <w:rsid w:val="003A1EE6"/>
    <w:rsid w:val="003B0A8A"/>
    <w:rsid w:val="003C182E"/>
    <w:rsid w:val="003C3642"/>
    <w:rsid w:val="003D23B1"/>
    <w:rsid w:val="00426162"/>
    <w:rsid w:val="00472847"/>
    <w:rsid w:val="004746CA"/>
    <w:rsid w:val="004806C0"/>
    <w:rsid w:val="00490720"/>
    <w:rsid w:val="004A3FD4"/>
    <w:rsid w:val="004E188C"/>
    <w:rsid w:val="004E687D"/>
    <w:rsid w:val="004F107F"/>
    <w:rsid w:val="00503BAB"/>
    <w:rsid w:val="005630C9"/>
    <w:rsid w:val="005644DB"/>
    <w:rsid w:val="00573645"/>
    <w:rsid w:val="005C3A2D"/>
    <w:rsid w:val="005D31DE"/>
    <w:rsid w:val="005D7625"/>
    <w:rsid w:val="005E1765"/>
    <w:rsid w:val="005E6AC9"/>
    <w:rsid w:val="005F6313"/>
    <w:rsid w:val="00604CBC"/>
    <w:rsid w:val="00605378"/>
    <w:rsid w:val="00624019"/>
    <w:rsid w:val="00627FFD"/>
    <w:rsid w:val="00637C9B"/>
    <w:rsid w:val="00680D76"/>
    <w:rsid w:val="006946BE"/>
    <w:rsid w:val="00710FB4"/>
    <w:rsid w:val="0073114C"/>
    <w:rsid w:val="00744B7D"/>
    <w:rsid w:val="00757ACE"/>
    <w:rsid w:val="007F047A"/>
    <w:rsid w:val="008002AB"/>
    <w:rsid w:val="0082193E"/>
    <w:rsid w:val="00867C55"/>
    <w:rsid w:val="00883AFE"/>
    <w:rsid w:val="0089795F"/>
    <w:rsid w:val="008A28EB"/>
    <w:rsid w:val="008B04CA"/>
    <w:rsid w:val="008D221E"/>
    <w:rsid w:val="008D2D67"/>
    <w:rsid w:val="008F2B17"/>
    <w:rsid w:val="009168C6"/>
    <w:rsid w:val="00935E77"/>
    <w:rsid w:val="00991936"/>
    <w:rsid w:val="009B3794"/>
    <w:rsid w:val="009B3E2C"/>
    <w:rsid w:val="009B7E4D"/>
    <w:rsid w:val="00A1688A"/>
    <w:rsid w:val="00A92CAB"/>
    <w:rsid w:val="00AD36B7"/>
    <w:rsid w:val="00AD3A7C"/>
    <w:rsid w:val="00AE7154"/>
    <w:rsid w:val="00B655C6"/>
    <w:rsid w:val="00BA1A0C"/>
    <w:rsid w:val="00BE38C5"/>
    <w:rsid w:val="00BE7B03"/>
    <w:rsid w:val="00C45431"/>
    <w:rsid w:val="00C74B86"/>
    <w:rsid w:val="00CA3DA6"/>
    <w:rsid w:val="00CD36E7"/>
    <w:rsid w:val="00CE5AA9"/>
    <w:rsid w:val="00D11CA3"/>
    <w:rsid w:val="00D44E3D"/>
    <w:rsid w:val="00D46313"/>
    <w:rsid w:val="00D56CC2"/>
    <w:rsid w:val="00D74B86"/>
    <w:rsid w:val="00D82F0E"/>
    <w:rsid w:val="00D92E1D"/>
    <w:rsid w:val="00D96CCD"/>
    <w:rsid w:val="00DC602D"/>
    <w:rsid w:val="00DE3A45"/>
    <w:rsid w:val="00DE4E29"/>
    <w:rsid w:val="00E00CEE"/>
    <w:rsid w:val="00E203FA"/>
    <w:rsid w:val="00E25000"/>
    <w:rsid w:val="00E34A1F"/>
    <w:rsid w:val="00E42D2B"/>
    <w:rsid w:val="00E7207F"/>
    <w:rsid w:val="00E87554"/>
    <w:rsid w:val="00E944F2"/>
    <w:rsid w:val="00E962DB"/>
    <w:rsid w:val="00EA3ED0"/>
    <w:rsid w:val="00EB45F0"/>
    <w:rsid w:val="00EC38CD"/>
    <w:rsid w:val="00ED18EA"/>
    <w:rsid w:val="00EE529C"/>
    <w:rsid w:val="00F2137B"/>
    <w:rsid w:val="00F22E43"/>
    <w:rsid w:val="00F4221E"/>
    <w:rsid w:val="00F441F9"/>
    <w:rsid w:val="00F72B04"/>
    <w:rsid w:val="00F94632"/>
    <w:rsid w:val="00F9652E"/>
    <w:rsid w:val="00FE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309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856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1D4856"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D4856"/>
  </w:style>
  <w:style w:type="paragraph" w:styleId="BodyTextIndent">
    <w:name w:val="Body Text Indent"/>
    <w:basedOn w:val="Normal"/>
    <w:link w:val="BodyTextIndentChar"/>
    <w:uiPriority w:val="99"/>
    <w:rsid w:val="001D4856"/>
    <w:pPr>
      <w:ind w:left="720"/>
    </w:pPr>
    <w:rPr>
      <w:rFonts w:ascii="Baskerville Old Face" w:hAnsi="Baskerville Old Face"/>
      <w:sz w:val="24"/>
    </w:rPr>
  </w:style>
  <w:style w:type="table" w:styleId="TableGrid">
    <w:name w:val="Table Grid"/>
    <w:basedOn w:val="TableNormal"/>
    <w:rsid w:val="001D485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92C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3A45"/>
    <w:pPr>
      <w:ind w:left="720"/>
    </w:pPr>
  </w:style>
  <w:style w:type="character" w:styleId="Hyperlink">
    <w:name w:val="Hyperlink"/>
    <w:basedOn w:val="DefaultParagraphFont"/>
    <w:rsid w:val="00EE529C"/>
    <w:rPr>
      <w:color w:val="0000FF"/>
      <w:u w:val="single"/>
    </w:rPr>
  </w:style>
  <w:style w:type="character" w:styleId="FollowedHyperlink">
    <w:name w:val="FollowedHyperlink"/>
    <w:basedOn w:val="DefaultParagraphFont"/>
    <w:rsid w:val="00710FB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AD3A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3A7C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D3A7C"/>
  </w:style>
  <w:style w:type="paragraph" w:styleId="CommentSubject">
    <w:name w:val="annotation subject"/>
    <w:basedOn w:val="CommentText"/>
    <w:next w:val="CommentText"/>
    <w:link w:val="CommentSubjectChar"/>
    <w:rsid w:val="00AD3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D3A7C"/>
    <w:rPr>
      <w:b/>
      <w:bCs/>
    </w:rPr>
  </w:style>
  <w:style w:type="paragraph" w:styleId="Revision">
    <w:name w:val="Revision"/>
    <w:hidden/>
    <w:uiPriority w:val="99"/>
    <w:semiHidden/>
    <w:rsid w:val="004E188C"/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F2B17"/>
    <w:rPr>
      <w:rFonts w:ascii="Baskerville Old Face" w:hAnsi="Baskerville Old Fac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856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1D4856"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D4856"/>
  </w:style>
  <w:style w:type="paragraph" w:styleId="BodyTextIndent">
    <w:name w:val="Body Text Indent"/>
    <w:basedOn w:val="Normal"/>
    <w:link w:val="BodyTextIndentChar"/>
    <w:uiPriority w:val="99"/>
    <w:rsid w:val="001D4856"/>
    <w:pPr>
      <w:ind w:left="720"/>
    </w:pPr>
    <w:rPr>
      <w:rFonts w:ascii="Baskerville Old Face" w:hAnsi="Baskerville Old Face"/>
      <w:sz w:val="24"/>
    </w:rPr>
  </w:style>
  <w:style w:type="table" w:styleId="TableGrid">
    <w:name w:val="Table Grid"/>
    <w:basedOn w:val="TableNormal"/>
    <w:rsid w:val="001D485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92C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3A45"/>
    <w:pPr>
      <w:ind w:left="720"/>
    </w:pPr>
  </w:style>
  <w:style w:type="character" w:styleId="Hyperlink">
    <w:name w:val="Hyperlink"/>
    <w:basedOn w:val="DefaultParagraphFont"/>
    <w:rsid w:val="00EE529C"/>
    <w:rPr>
      <w:color w:val="0000FF"/>
      <w:u w:val="single"/>
    </w:rPr>
  </w:style>
  <w:style w:type="character" w:styleId="FollowedHyperlink">
    <w:name w:val="FollowedHyperlink"/>
    <w:basedOn w:val="DefaultParagraphFont"/>
    <w:rsid w:val="00710FB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AD3A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3A7C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D3A7C"/>
  </w:style>
  <w:style w:type="paragraph" w:styleId="CommentSubject">
    <w:name w:val="annotation subject"/>
    <w:basedOn w:val="CommentText"/>
    <w:next w:val="CommentText"/>
    <w:link w:val="CommentSubjectChar"/>
    <w:rsid w:val="00AD3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D3A7C"/>
    <w:rPr>
      <w:b/>
      <w:bCs/>
    </w:rPr>
  </w:style>
  <w:style w:type="paragraph" w:styleId="Revision">
    <w:name w:val="Revision"/>
    <w:hidden/>
    <w:uiPriority w:val="99"/>
    <w:semiHidden/>
    <w:rsid w:val="004E188C"/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F2B17"/>
    <w:rPr>
      <w:rFonts w:ascii="Baskerville Old Face" w:hAnsi="Baskerville Old Fac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writing Supporting Statement A</vt:lpstr>
    </vt:vector>
  </TitlesOfParts>
  <Company>CMS</Company>
  <LinksUpToDate>false</LinksUpToDate>
  <CharactersWithSpaces>9253</CharactersWithSpaces>
  <SharedDoc>false</SharedDoc>
  <HLinks>
    <vt:vector size="6" baseType="variant">
      <vt:variant>
        <vt:i4>2752567</vt:i4>
      </vt:variant>
      <vt:variant>
        <vt:i4>0</vt:i4>
      </vt:variant>
      <vt:variant>
        <vt:i4>0</vt:i4>
      </vt:variant>
      <vt:variant>
        <vt:i4>5</vt:i4>
      </vt:variant>
      <vt:variant>
        <vt:lpwstr>http://www.bls.gov/bls/blswage.htm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writing Supporting Statement A</dc:title>
  <dc:creator>Jodi.Duckhorn</dc:creator>
  <cp:lastModifiedBy>SYSTEM</cp:lastModifiedBy>
  <cp:revision>2</cp:revision>
  <cp:lastPrinted>2010-10-14T13:41:00Z</cp:lastPrinted>
  <dcterms:created xsi:type="dcterms:W3CDTF">2018-11-26T19:05:00Z</dcterms:created>
  <dcterms:modified xsi:type="dcterms:W3CDTF">2018-11-26T19:05:00Z</dcterms:modified>
</cp:coreProperties>
</file>