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75E2"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B04BD2">
        <w:rPr>
          <w:b/>
          <w:bCs/>
          <w:sz w:val="24"/>
          <w:u w:val="single"/>
        </w:rPr>
        <w:t>Supporting Statement – Part B</w:t>
      </w:r>
    </w:p>
    <w:p w14:paraId="3FB420F7"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7C61709B"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14:paraId="4129D216"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D5F7E" w14:textId="0BDCBE75"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 xml:space="preserve">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w:t>
      </w:r>
      <w:r w:rsidR="00983AFF">
        <w:rPr>
          <w:b/>
          <w:sz w:val="24"/>
        </w:rPr>
        <w:t>finalized</w:t>
      </w:r>
      <w:r w:rsidR="00983AFF" w:rsidRPr="00B04BD2">
        <w:rPr>
          <w:b/>
          <w:sz w:val="24"/>
        </w:rPr>
        <w:t xml:space="preserve"> </w:t>
      </w:r>
      <w:r w:rsidRPr="00B04BD2">
        <w:rPr>
          <w:b/>
          <w:sz w:val="24"/>
        </w:rPr>
        <w:t>sample.  Indicate expected response rates for the collection as a whole.  If the collection had been conducted previously, include the actual response rate achieved during the last collection.</w:t>
      </w:r>
    </w:p>
    <w:p w14:paraId="0AF56C3F" w14:textId="77777777" w:rsidR="00EF1E58" w:rsidRPr="00215DC3" w:rsidRDefault="002571FC">
      <w:pPr>
        <w:rPr>
          <w:sz w:val="24"/>
        </w:rPr>
      </w:pPr>
    </w:p>
    <w:p w14:paraId="04466FF4" w14:textId="2FFAF7AA" w:rsidR="00215DC3" w:rsidRDefault="00215DC3">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5% of all dialysis 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in order to Meet Section 4943108(h) of the 2008 updated Conditions for Coverage for ESRD Dialysis Facilities</w:t>
      </w:r>
      <w:r w:rsidR="00CA7195">
        <w:rPr>
          <w:sz w:val="24"/>
        </w:rPr>
        <w:t>.  The 300 facilities will be asked to submit records that will be validated for CMS-designated Critical Performance Measures (CPMs). The patient sample size is limited to 10 patients per facility, as per contract and QIP rule guidelines. The Data Validation Contractor will sample 10 patients (or the maximum patients possible) from each selected facility for CPM reviews.  Historically, facility response rates have been solid. T</w:t>
      </w:r>
      <w:r w:rsidR="0041466A">
        <w:rPr>
          <w:sz w:val="24"/>
        </w:rPr>
        <w:t xml:space="preserve">he response rate for the 2017 validation study was </w:t>
      </w:r>
      <w:r w:rsidR="00F424C6">
        <w:rPr>
          <w:sz w:val="24"/>
        </w:rPr>
        <w:t>9</w:t>
      </w:r>
      <w:r w:rsidR="00234EC0">
        <w:rPr>
          <w:sz w:val="24"/>
        </w:rPr>
        <w:t>9</w:t>
      </w:r>
      <w:r w:rsidR="00F424C6">
        <w:rPr>
          <w:sz w:val="24"/>
        </w:rPr>
        <w:t>%</w:t>
      </w:r>
      <w:r w:rsidR="00CA7195">
        <w:rPr>
          <w:sz w:val="24"/>
        </w:rPr>
        <w:t xml:space="preserve"> of the </w:t>
      </w:r>
      <w:r w:rsidR="00F424C6">
        <w:rPr>
          <w:sz w:val="24"/>
        </w:rPr>
        <w:t xml:space="preserve">300 </w:t>
      </w:r>
      <w:r w:rsidR="00CA7195">
        <w:rPr>
          <w:sz w:val="24"/>
        </w:rPr>
        <w:t>facilities selected for participation.</w:t>
      </w:r>
    </w:p>
    <w:p w14:paraId="1D41868F" w14:textId="77777777" w:rsidR="00CA7195" w:rsidRPr="00B04BD2" w:rsidRDefault="00CA7195" w:rsidP="00CA7195">
      <w:pPr>
        <w:pStyle w:val="11ASTHeading2"/>
        <w:spacing w:after="160"/>
        <w:rPr>
          <w:rFonts w:ascii="Times New Roman" w:hAnsi="Times New Roman"/>
          <w:sz w:val="24"/>
          <w:szCs w:val="24"/>
        </w:rPr>
      </w:pPr>
      <w:bookmarkStart w:id="1" w:name="_Toc433189955"/>
      <w:r w:rsidRPr="00B04BD2">
        <w:rPr>
          <w:rFonts w:ascii="Times New Roman" w:hAnsi="Times New Roman"/>
          <w:sz w:val="24"/>
          <w:szCs w:val="24"/>
        </w:rPr>
        <w:t>Sample Size Estimates</w:t>
      </w:r>
      <w:bookmarkEnd w:id="1"/>
    </w:p>
    <w:p w14:paraId="75D3E826" w14:textId="77777777" w:rsidR="00736E54" w:rsidRDefault="00736E54">
      <w:pPr>
        <w:rPr>
          <w:sz w:val="24"/>
          <w:lang w:bidi="en-US"/>
        </w:rPr>
      </w:pPr>
      <w:r w:rsidRPr="00736E54">
        <w:rPr>
          <w:sz w:val="24"/>
          <w:lang w:bidi="en-US"/>
        </w:rPr>
        <w:t xml:space="preserve">Team RELI is </w:t>
      </w:r>
      <w:r w:rsidR="006459AA">
        <w:rPr>
          <w:sz w:val="24"/>
          <w:lang w:bidi="en-US"/>
        </w:rPr>
        <w:t xml:space="preserve">taking </w:t>
      </w:r>
      <w:r w:rsidRPr="00736E54">
        <w:rPr>
          <w:sz w:val="24"/>
          <w:lang w:bidi="en-US"/>
        </w:rPr>
        <w:t xml:space="preserve">a fundamentally different data stratification approach compared to what was used by the previous contractor for prior years of the study.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 and all others as Independent</w:t>
      </w:r>
      <w:r w:rsidR="00E0303B">
        <w:rPr>
          <w:sz w:val="24"/>
        </w:rPr>
        <w:t xml:space="preserve">) as shown in </w:t>
      </w:r>
      <w:r w:rsidR="00E0303B" w:rsidRPr="00DF7392">
        <w:rPr>
          <w:b/>
          <w:sz w:val="24"/>
        </w:rPr>
        <w:t>Tables 1</w:t>
      </w:r>
      <w:r w:rsidR="00E0303B">
        <w:rPr>
          <w:sz w:val="24"/>
        </w:rPr>
        <w:t xml:space="preserve"> and </w:t>
      </w:r>
      <w:r w:rsidR="00E0303B" w:rsidRPr="00DF7392">
        <w:rPr>
          <w:b/>
          <w:sz w:val="24"/>
        </w:rPr>
        <w:t>2</w:t>
      </w:r>
      <w:r w:rsidR="00E0303B" w:rsidRPr="00DF7392">
        <w:rPr>
          <w:sz w:val="24"/>
        </w:rPr>
        <w:t>,</w:t>
      </w:r>
      <w:r w:rsidR="00E0303B">
        <w:rPr>
          <w:b/>
          <w:sz w:val="24"/>
        </w:rPr>
        <w:t xml:space="preserve"> </w:t>
      </w:r>
      <w:r w:rsidR="00E0303B" w:rsidRPr="00DF7392">
        <w:rPr>
          <w:sz w:val="24"/>
        </w:rPr>
        <w:t>respectively</w:t>
      </w:r>
      <w:r w:rsidR="00114210">
        <w:rPr>
          <w:sz w:val="24"/>
        </w:rPr>
        <w:t xml:space="preserve">. </w:t>
      </w:r>
    </w:p>
    <w:p w14:paraId="5D7DEF97" w14:textId="77777777" w:rsidR="00736E54" w:rsidRDefault="00736E54">
      <w:pPr>
        <w:rPr>
          <w:sz w:val="24"/>
        </w:rPr>
      </w:pPr>
    </w:p>
    <w:p w14:paraId="435D6260" w14:textId="7614B954" w:rsidR="00CA7195" w:rsidRDefault="00CA719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14:paraId="7093D3A4" w14:textId="77777777" w:rsidR="00CA7195" w:rsidRDefault="00CA7195">
      <w:pPr>
        <w:rPr>
          <w:sz w:val="24"/>
        </w:rPr>
      </w:pPr>
    </w:p>
    <w:p w14:paraId="722B2174" w14:textId="77777777" w:rsidR="00CA7195" w:rsidRPr="00B04BD2" w:rsidRDefault="00CA7195" w:rsidP="00CA7195">
      <w:pPr>
        <w:keepNext/>
        <w:spacing w:after="120"/>
        <w:jc w:val="center"/>
        <w:rPr>
          <w:b/>
          <w:bCs/>
          <w:i/>
          <w:sz w:val="24"/>
          <w:lang w:bidi="en-US"/>
        </w:rPr>
      </w:pPr>
      <w:bookmarkStart w:id="2" w:name="_Ref425404973"/>
      <w:bookmarkStart w:id="3" w:name="_Toc425427112"/>
      <w:bookmarkStart w:id="4" w:name="_Toc433189668"/>
    </w:p>
    <w:p w14:paraId="7BAF481D" w14:textId="47B7E465" w:rsidR="00CA7195" w:rsidRPr="00B04BD2" w:rsidRDefault="00CA7195" w:rsidP="00CA719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2"/>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p>
    <w:tbl>
      <w:tblPr>
        <w:tblW w:w="482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338"/>
        <w:gridCol w:w="1878"/>
        <w:gridCol w:w="1610"/>
      </w:tblGrid>
      <w:tr w:rsidR="00E0303B" w:rsidRPr="00DF611D" w14:paraId="6BAB7B3E" w14:textId="77777777" w:rsidTr="00DF7392">
        <w:trPr>
          <w:tblHeader/>
          <w:jc w:val="center"/>
        </w:trPr>
        <w:tc>
          <w:tcPr>
            <w:tcW w:w="1338" w:type="dxa"/>
            <w:tcBorders>
              <w:top w:val="single" w:sz="8" w:space="0" w:color="4F81BD"/>
              <w:left w:val="single" w:sz="8" w:space="0" w:color="4F81BD"/>
              <w:bottom w:val="single" w:sz="18" w:space="0" w:color="4F81BD"/>
              <w:right w:val="single" w:sz="8" w:space="0" w:color="4F81BD"/>
            </w:tcBorders>
            <w:vAlign w:val="center"/>
          </w:tcPr>
          <w:p w14:paraId="0E6E6CCF" w14:textId="77777777" w:rsidR="00E0303B" w:rsidRPr="00DF611D" w:rsidRDefault="00E0303B">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D5106CF" w14:textId="489AF7E6" w:rsidR="00E0303B" w:rsidRPr="00DF611D" w:rsidRDefault="00E0303B">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87F0338" w14:textId="77777777" w:rsidR="00E0303B" w:rsidRPr="00DF611D" w:rsidRDefault="00E0303B">
            <w:pPr>
              <w:spacing w:before="60" w:after="60"/>
              <w:jc w:val="center"/>
              <w:rPr>
                <w:b/>
                <w:bCs/>
                <w:sz w:val="24"/>
                <w:lang w:bidi="en-US"/>
              </w:rPr>
            </w:pPr>
            <w:r w:rsidRPr="00DF611D">
              <w:rPr>
                <w:b/>
                <w:bCs/>
                <w:sz w:val="24"/>
                <w:lang w:bidi="en-US"/>
              </w:rPr>
              <w:t>% Total Patients</w:t>
            </w:r>
          </w:p>
        </w:tc>
      </w:tr>
      <w:tr w:rsidR="00E0303B" w:rsidRPr="00DF611D" w14:paraId="1F92F64D"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2CA3FC0D" w14:textId="77777777" w:rsidR="00E0303B" w:rsidRPr="00DF7392" w:rsidRDefault="00E0303B" w:rsidP="00E1774E">
            <w:pPr>
              <w:spacing w:after="120"/>
              <w:jc w:val="center"/>
              <w:rPr>
                <w:bCs/>
                <w:color w:val="000000"/>
                <w:sz w:val="24"/>
                <w:lang w:bidi="en-US"/>
              </w:rPr>
            </w:pPr>
            <w:r w:rsidRPr="00DF7392">
              <w:rPr>
                <w:bCs/>
                <w:color w:val="000000"/>
                <w:sz w:val="24"/>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2A094262" w14:textId="7C251754" w:rsidR="00E0303B" w:rsidRPr="00DF7392" w:rsidRDefault="00E0303B" w:rsidP="00E1774E">
            <w:pPr>
              <w:spacing w:after="120"/>
              <w:jc w:val="center"/>
              <w:rPr>
                <w:bCs/>
                <w:color w:val="000000"/>
                <w:sz w:val="24"/>
                <w:lang w:bidi="en-US"/>
              </w:rPr>
            </w:pPr>
            <w:r w:rsidRPr="00DF7392">
              <w:rPr>
                <w:sz w:val="24"/>
              </w:rPr>
              <w:t>161</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0448444" w14:textId="35FCFD7C" w:rsidR="00E0303B" w:rsidRPr="00446744" w:rsidRDefault="00E0303B" w:rsidP="00E1774E">
            <w:pPr>
              <w:spacing w:after="120" w:line="222" w:lineRule="exact"/>
              <w:ind w:left="97" w:right="-20"/>
              <w:jc w:val="center"/>
              <w:rPr>
                <w:sz w:val="24"/>
                <w:lang w:bidi="en-US"/>
              </w:rPr>
            </w:pPr>
            <w:r w:rsidRPr="00DF7392">
              <w:rPr>
                <w:color w:val="000000"/>
                <w:sz w:val="24"/>
              </w:rPr>
              <w:t>1.99</w:t>
            </w:r>
          </w:p>
        </w:tc>
      </w:tr>
      <w:tr w:rsidR="00E0303B" w:rsidRPr="00DF611D" w14:paraId="51838097"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63FFBA64" w14:textId="77777777" w:rsidR="00E0303B" w:rsidRPr="00DF7392" w:rsidRDefault="00E0303B" w:rsidP="00E1774E">
            <w:pPr>
              <w:spacing w:after="120"/>
              <w:jc w:val="center"/>
              <w:rPr>
                <w:bCs/>
                <w:color w:val="000000"/>
                <w:sz w:val="24"/>
                <w:lang w:bidi="en-US"/>
              </w:rPr>
            </w:pPr>
            <w:r w:rsidRPr="00DF7392">
              <w:rPr>
                <w:bCs/>
                <w:color w:val="000000"/>
                <w:sz w:val="24"/>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649E8709" w14:textId="45953D36" w:rsidR="00E0303B" w:rsidRPr="00DF7392" w:rsidRDefault="00E0303B" w:rsidP="00E1774E">
            <w:pPr>
              <w:spacing w:after="120"/>
              <w:jc w:val="center"/>
              <w:rPr>
                <w:bCs/>
                <w:color w:val="000000"/>
                <w:sz w:val="24"/>
                <w:lang w:bidi="en-US"/>
              </w:rPr>
            </w:pPr>
            <w:r w:rsidRPr="00DF7392">
              <w:rPr>
                <w:sz w:val="24"/>
              </w:rPr>
              <w:t>353</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0AF5603" w14:textId="095A1F2E" w:rsidR="00E0303B" w:rsidRPr="00446744" w:rsidRDefault="00E0303B" w:rsidP="00E1774E">
            <w:pPr>
              <w:spacing w:before="2" w:after="120"/>
              <w:ind w:left="97" w:right="-20"/>
              <w:jc w:val="center"/>
              <w:rPr>
                <w:sz w:val="24"/>
                <w:lang w:bidi="en-US"/>
              </w:rPr>
            </w:pPr>
            <w:r w:rsidRPr="00DF7392">
              <w:rPr>
                <w:color w:val="000000"/>
                <w:sz w:val="24"/>
              </w:rPr>
              <w:t>4.37</w:t>
            </w:r>
          </w:p>
        </w:tc>
      </w:tr>
      <w:tr w:rsidR="00E0303B" w:rsidRPr="00DF611D" w14:paraId="2BAA6415" w14:textId="77777777" w:rsidTr="00DF7392">
        <w:trPr>
          <w:jc w:val="center"/>
        </w:trPr>
        <w:tc>
          <w:tcPr>
            <w:tcW w:w="1338" w:type="dxa"/>
            <w:tcBorders>
              <w:top w:val="single" w:sz="8" w:space="0" w:color="4F81BD"/>
              <w:left w:val="single" w:sz="8" w:space="0" w:color="4F81BD"/>
              <w:bottom w:val="single" w:sz="8" w:space="0" w:color="4F81BD"/>
              <w:right w:val="single" w:sz="8" w:space="0" w:color="4F81BD"/>
            </w:tcBorders>
            <w:shd w:val="clear" w:color="auto" w:fill="auto"/>
          </w:tcPr>
          <w:p w14:paraId="3CE8EFFB" w14:textId="77777777" w:rsidR="00E0303B" w:rsidRPr="00DF7392" w:rsidRDefault="00E0303B" w:rsidP="00E1774E">
            <w:pPr>
              <w:spacing w:after="120"/>
              <w:jc w:val="center"/>
              <w:rPr>
                <w:bCs/>
                <w:color w:val="000000"/>
                <w:sz w:val="24"/>
                <w:lang w:bidi="en-US"/>
              </w:rPr>
            </w:pPr>
            <w:r w:rsidRPr="00DF7392">
              <w:rPr>
                <w:bCs/>
                <w:color w:val="000000"/>
                <w:sz w:val="24"/>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4F4B42D4" w14:textId="616AE407" w:rsidR="00E0303B" w:rsidRPr="00DF7392" w:rsidRDefault="00E0303B" w:rsidP="00E1774E">
            <w:pPr>
              <w:spacing w:after="120"/>
              <w:jc w:val="center"/>
              <w:rPr>
                <w:bCs/>
                <w:color w:val="000000"/>
                <w:sz w:val="24"/>
                <w:lang w:bidi="en-US"/>
              </w:rPr>
            </w:pPr>
            <w:r w:rsidRPr="00DF7392">
              <w:rPr>
                <w:sz w:val="24"/>
              </w:rPr>
              <w:t>208</w:t>
            </w:r>
          </w:p>
        </w:tc>
        <w:tc>
          <w:tcPr>
            <w:tcW w:w="1610"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54FA645" w14:textId="03D1E4AA" w:rsidR="00E0303B" w:rsidRPr="00DD1EC1" w:rsidRDefault="00E0303B" w:rsidP="00E1774E">
            <w:pPr>
              <w:spacing w:after="120" w:line="222" w:lineRule="exact"/>
              <w:ind w:left="97" w:right="-20"/>
              <w:jc w:val="center"/>
              <w:rPr>
                <w:sz w:val="24"/>
                <w:lang w:bidi="en-US"/>
              </w:rPr>
            </w:pPr>
            <w:r w:rsidRPr="00DF7392">
              <w:rPr>
                <w:color w:val="000000"/>
                <w:sz w:val="24"/>
              </w:rPr>
              <w:t>2.58</w:t>
            </w:r>
          </w:p>
        </w:tc>
      </w:tr>
      <w:tr w:rsidR="00E0303B" w:rsidRPr="00DF611D" w14:paraId="2BA8142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2CE4A40" w14:textId="77777777" w:rsidR="00E0303B" w:rsidRPr="00DF7392" w:rsidRDefault="00E0303B" w:rsidP="00E1774E">
            <w:pPr>
              <w:spacing w:after="120"/>
              <w:jc w:val="center"/>
              <w:rPr>
                <w:bCs/>
                <w:color w:val="000000"/>
                <w:sz w:val="24"/>
                <w:lang w:bidi="en-US"/>
              </w:rPr>
            </w:pPr>
            <w:r w:rsidRPr="00DF7392">
              <w:rPr>
                <w:bCs/>
                <w:color w:val="000000"/>
                <w:sz w:val="24"/>
                <w:lang w:bidi="en-US"/>
              </w:rPr>
              <w:lastRenderedPageBreak/>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F03642B" w14:textId="263DFB77" w:rsidR="00E0303B" w:rsidRPr="00DF7392" w:rsidRDefault="00E0303B" w:rsidP="00E1774E">
            <w:pPr>
              <w:spacing w:after="120"/>
              <w:jc w:val="center"/>
              <w:rPr>
                <w:bCs/>
                <w:color w:val="000000"/>
                <w:sz w:val="24"/>
                <w:lang w:bidi="en-US"/>
              </w:rPr>
            </w:pPr>
            <w:r w:rsidRPr="00DF7392">
              <w:rPr>
                <w:sz w:val="24"/>
              </w:rPr>
              <w:t>363</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026CD8B" w14:textId="1002F768" w:rsidR="00E0303B" w:rsidRPr="00DF7392" w:rsidRDefault="00E0303B" w:rsidP="00E1774E">
            <w:pPr>
              <w:spacing w:before="2" w:after="120"/>
              <w:ind w:left="97" w:right="-20"/>
              <w:jc w:val="center"/>
              <w:rPr>
                <w:bCs/>
                <w:sz w:val="24"/>
                <w:lang w:bidi="en-US"/>
              </w:rPr>
            </w:pPr>
            <w:r w:rsidRPr="00DF7392">
              <w:rPr>
                <w:color w:val="000000"/>
                <w:sz w:val="24"/>
              </w:rPr>
              <w:t>4.50</w:t>
            </w:r>
          </w:p>
        </w:tc>
      </w:tr>
      <w:tr w:rsidR="00E0303B" w:rsidRPr="00DF611D" w14:paraId="7158A772"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A1A0105" w14:textId="77777777" w:rsidR="00E0303B" w:rsidRPr="00DF7392" w:rsidRDefault="00E0303B" w:rsidP="00E1774E">
            <w:pPr>
              <w:spacing w:after="120"/>
              <w:jc w:val="center"/>
              <w:rPr>
                <w:bCs/>
                <w:color w:val="000000"/>
                <w:sz w:val="24"/>
                <w:lang w:bidi="en-US"/>
              </w:rPr>
            </w:pPr>
            <w:r w:rsidRPr="00DF7392">
              <w:rPr>
                <w:bCs/>
                <w:color w:val="000000"/>
                <w:sz w:val="24"/>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2A60964" w14:textId="77777777" w:rsidR="00E0303B" w:rsidRPr="00DF7392" w:rsidRDefault="00E0303B" w:rsidP="00E1774E">
            <w:pPr>
              <w:spacing w:after="120"/>
              <w:jc w:val="center"/>
              <w:rPr>
                <w:bCs/>
                <w:color w:val="000000"/>
                <w:sz w:val="24"/>
                <w:lang w:bidi="en-US"/>
              </w:rPr>
            </w:pPr>
            <w:r w:rsidRPr="00DF7392">
              <w:rPr>
                <w:sz w:val="24"/>
              </w:rPr>
              <w:t>454</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6C2FC5F"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5.62</w:t>
            </w:r>
          </w:p>
        </w:tc>
      </w:tr>
      <w:tr w:rsidR="00E0303B" w:rsidRPr="00DF611D" w14:paraId="60C9BD5A"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711CB693" w14:textId="77777777" w:rsidR="00E0303B" w:rsidRPr="00DF7392" w:rsidRDefault="00E0303B" w:rsidP="00E1774E">
            <w:pPr>
              <w:spacing w:after="120"/>
              <w:jc w:val="center"/>
              <w:rPr>
                <w:bCs/>
                <w:color w:val="000000"/>
                <w:sz w:val="24"/>
                <w:lang w:bidi="en-US"/>
              </w:rPr>
            </w:pPr>
            <w:r w:rsidRPr="00DF7392">
              <w:rPr>
                <w:bCs/>
                <w:color w:val="000000"/>
                <w:sz w:val="24"/>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5951079" w14:textId="77777777" w:rsidR="00E0303B" w:rsidRPr="00DF7392" w:rsidRDefault="00E0303B" w:rsidP="00E1774E">
            <w:pPr>
              <w:spacing w:after="120"/>
              <w:jc w:val="center"/>
              <w:rPr>
                <w:bCs/>
                <w:color w:val="000000"/>
                <w:sz w:val="24"/>
                <w:lang w:bidi="en-US"/>
              </w:rPr>
            </w:pPr>
            <w:r w:rsidRPr="00DF7392">
              <w:rPr>
                <w:sz w:val="24"/>
              </w:rPr>
              <w:t>767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2A5E186"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9.50</w:t>
            </w:r>
          </w:p>
        </w:tc>
      </w:tr>
      <w:tr w:rsidR="00E0303B" w:rsidRPr="00DF611D" w14:paraId="20F0634E"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6720049" w14:textId="77777777" w:rsidR="00E0303B" w:rsidRPr="00DF7392" w:rsidRDefault="00E0303B" w:rsidP="00E1774E">
            <w:pPr>
              <w:spacing w:after="120"/>
              <w:jc w:val="center"/>
              <w:rPr>
                <w:bCs/>
                <w:color w:val="000000"/>
                <w:sz w:val="24"/>
                <w:lang w:bidi="en-US"/>
              </w:rPr>
            </w:pPr>
            <w:r w:rsidRPr="00DF7392">
              <w:rPr>
                <w:bCs/>
                <w:color w:val="000000"/>
                <w:sz w:val="24"/>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E81BB26" w14:textId="77777777" w:rsidR="00E0303B" w:rsidRPr="00DF7392" w:rsidRDefault="00E0303B" w:rsidP="00E1774E">
            <w:pPr>
              <w:spacing w:after="120"/>
              <w:jc w:val="center"/>
              <w:rPr>
                <w:bCs/>
                <w:color w:val="000000"/>
                <w:sz w:val="24"/>
                <w:lang w:bidi="en-US"/>
              </w:rPr>
            </w:pPr>
            <w:r w:rsidRPr="00DF7392">
              <w:rPr>
                <w:sz w:val="24"/>
              </w:rPr>
              <w:t>466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1F57758"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5.77</w:t>
            </w:r>
          </w:p>
        </w:tc>
      </w:tr>
      <w:tr w:rsidR="00E0303B" w:rsidRPr="00DF611D" w14:paraId="23422BE1"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11E763C" w14:textId="77777777" w:rsidR="00E0303B" w:rsidRPr="00DF7392" w:rsidRDefault="00E0303B" w:rsidP="00E1774E">
            <w:pPr>
              <w:spacing w:after="120"/>
              <w:jc w:val="center"/>
              <w:rPr>
                <w:bCs/>
                <w:color w:val="000000"/>
                <w:sz w:val="24"/>
                <w:lang w:bidi="en-US"/>
              </w:rPr>
            </w:pPr>
            <w:r w:rsidRPr="00DF7392">
              <w:rPr>
                <w:bCs/>
                <w:color w:val="000000"/>
                <w:sz w:val="24"/>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8AABFE7" w14:textId="77777777" w:rsidR="00E0303B" w:rsidRPr="00DF7392" w:rsidRDefault="00E0303B" w:rsidP="00E1774E">
            <w:pPr>
              <w:spacing w:after="120"/>
              <w:jc w:val="center"/>
              <w:rPr>
                <w:bCs/>
                <w:color w:val="000000"/>
                <w:sz w:val="24"/>
                <w:lang w:bidi="en-US"/>
              </w:rPr>
            </w:pPr>
            <w:r w:rsidRPr="00DF7392">
              <w:rPr>
                <w:sz w:val="24"/>
              </w:rPr>
              <w:t>573</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990CE2B"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7.10</w:t>
            </w:r>
          </w:p>
        </w:tc>
      </w:tr>
      <w:tr w:rsidR="00E0303B" w:rsidRPr="00DF611D" w14:paraId="17DD0A67"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C9A0B90" w14:textId="77777777" w:rsidR="00E0303B" w:rsidRPr="00DF7392" w:rsidRDefault="00E0303B" w:rsidP="00E1774E">
            <w:pPr>
              <w:spacing w:after="120"/>
              <w:jc w:val="center"/>
              <w:rPr>
                <w:bCs/>
                <w:color w:val="000000"/>
                <w:sz w:val="24"/>
                <w:lang w:bidi="en-US"/>
              </w:rPr>
            </w:pPr>
            <w:r w:rsidRPr="00DF7392">
              <w:rPr>
                <w:bCs/>
                <w:color w:val="000000"/>
                <w:sz w:val="24"/>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CBA6F52" w14:textId="77777777" w:rsidR="00E0303B" w:rsidRPr="00DF7392" w:rsidRDefault="00E0303B" w:rsidP="00E1774E">
            <w:pPr>
              <w:spacing w:after="120"/>
              <w:jc w:val="center"/>
              <w:rPr>
                <w:bCs/>
                <w:color w:val="000000"/>
                <w:sz w:val="24"/>
                <w:lang w:bidi="en-US"/>
              </w:rPr>
            </w:pPr>
            <w:r w:rsidRPr="00DF7392">
              <w:rPr>
                <w:sz w:val="24"/>
              </w:rPr>
              <w:t>641</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74D9F18"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7.94</w:t>
            </w:r>
          </w:p>
        </w:tc>
      </w:tr>
      <w:tr w:rsidR="00E0303B" w:rsidRPr="00DF611D" w14:paraId="13F4FCE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15E4CB1E" w14:textId="77777777" w:rsidR="00E0303B" w:rsidRPr="00DF7392" w:rsidRDefault="00E0303B" w:rsidP="00E1774E">
            <w:pPr>
              <w:spacing w:after="120"/>
              <w:jc w:val="center"/>
              <w:rPr>
                <w:bCs/>
                <w:color w:val="000000"/>
                <w:sz w:val="24"/>
                <w:lang w:bidi="en-US"/>
              </w:rPr>
            </w:pPr>
            <w:r w:rsidRPr="00DF7392">
              <w:rPr>
                <w:bCs/>
                <w:color w:val="000000"/>
                <w:sz w:val="24"/>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550EC22" w14:textId="77777777" w:rsidR="00E0303B" w:rsidRPr="00DF7392" w:rsidRDefault="00E0303B" w:rsidP="00E1774E">
            <w:pPr>
              <w:spacing w:after="120"/>
              <w:jc w:val="center"/>
              <w:rPr>
                <w:bCs/>
                <w:color w:val="000000"/>
                <w:sz w:val="24"/>
                <w:lang w:bidi="en-US"/>
              </w:rPr>
            </w:pPr>
            <w:r w:rsidRPr="00DF7392">
              <w:rPr>
                <w:sz w:val="24"/>
              </w:rPr>
              <w:t>306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C7F8A9A"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3.79</w:t>
            </w:r>
          </w:p>
        </w:tc>
      </w:tr>
      <w:tr w:rsidR="00E0303B" w:rsidRPr="00DF611D" w14:paraId="340C0FCF"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8970448" w14:textId="77777777" w:rsidR="00E0303B" w:rsidRPr="00DF7392" w:rsidRDefault="00E0303B" w:rsidP="00E1774E">
            <w:pPr>
              <w:spacing w:after="120"/>
              <w:jc w:val="center"/>
              <w:rPr>
                <w:bCs/>
                <w:color w:val="000000"/>
                <w:sz w:val="24"/>
                <w:lang w:bidi="en-US"/>
              </w:rPr>
            </w:pPr>
            <w:r w:rsidRPr="00DF7392">
              <w:rPr>
                <w:bCs/>
                <w:color w:val="000000"/>
                <w:sz w:val="24"/>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48C1A3F" w14:textId="77777777" w:rsidR="00E0303B" w:rsidRPr="00DF7392" w:rsidRDefault="00E0303B" w:rsidP="00E1774E">
            <w:pPr>
              <w:spacing w:after="120"/>
              <w:jc w:val="center"/>
              <w:rPr>
                <w:bCs/>
                <w:color w:val="000000"/>
                <w:sz w:val="24"/>
                <w:lang w:bidi="en-US"/>
              </w:rPr>
            </w:pPr>
            <w:r w:rsidRPr="00DF7392">
              <w:rPr>
                <w:sz w:val="24"/>
              </w:rPr>
              <w:t>717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DD79F6D"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8.88</w:t>
            </w:r>
          </w:p>
        </w:tc>
      </w:tr>
      <w:tr w:rsidR="00E0303B" w:rsidRPr="00DF611D" w14:paraId="18EA14C9"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DC751AA" w14:textId="77777777" w:rsidR="00E0303B" w:rsidRPr="00DF7392" w:rsidRDefault="00E0303B" w:rsidP="00E1774E">
            <w:pPr>
              <w:spacing w:after="120"/>
              <w:jc w:val="center"/>
              <w:rPr>
                <w:bCs/>
                <w:color w:val="000000"/>
                <w:sz w:val="24"/>
                <w:lang w:bidi="en-US"/>
              </w:rPr>
            </w:pPr>
            <w:r w:rsidRPr="00DF7392">
              <w:rPr>
                <w:bCs/>
                <w:color w:val="000000"/>
                <w:sz w:val="24"/>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294BBF3" w14:textId="77777777" w:rsidR="00E0303B" w:rsidRPr="00DF7392" w:rsidRDefault="00E0303B" w:rsidP="00E1774E">
            <w:pPr>
              <w:spacing w:after="120"/>
              <w:jc w:val="center"/>
              <w:rPr>
                <w:bCs/>
                <w:color w:val="000000"/>
                <w:sz w:val="24"/>
                <w:lang w:bidi="en-US"/>
              </w:rPr>
            </w:pPr>
            <w:r w:rsidRPr="00DF7392">
              <w:rPr>
                <w:sz w:val="24"/>
              </w:rPr>
              <w:t>317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EFB4746"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3.93</w:t>
            </w:r>
          </w:p>
        </w:tc>
      </w:tr>
      <w:tr w:rsidR="00E0303B" w:rsidRPr="00DF611D" w14:paraId="654C9D9C"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72C1A04" w14:textId="77777777" w:rsidR="00E0303B" w:rsidRPr="00DF7392" w:rsidRDefault="00E0303B" w:rsidP="00E1774E">
            <w:pPr>
              <w:spacing w:after="120"/>
              <w:jc w:val="center"/>
              <w:rPr>
                <w:bCs/>
                <w:color w:val="000000"/>
                <w:sz w:val="24"/>
                <w:lang w:bidi="en-US"/>
              </w:rPr>
            </w:pPr>
            <w:r w:rsidRPr="00DF7392">
              <w:rPr>
                <w:bCs/>
                <w:color w:val="000000"/>
                <w:sz w:val="24"/>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1EEF1BB" w14:textId="77777777" w:rsidR="00E0303B" w:rsidRPr="00DF7392" w:rsidRDefault="00E0303B" w:rsidP="00E1774E">
            <w:pPr>
              <w:spacing w:after="120"/>
              <w:jc w:val="center"/>
              <w:rPr>
                <w:bCs/>
                <w:color w:val="000000"/>
                <w:sz w:val="24"/>
                <w:lang w:bidi="en-US"/>
              </w:rPr>
            </w:pPr>
            <w:r w:rsidRPr="00DF7392">
              <w:rPr>
                <w:sz w:val="24"/>
              </w:rPr>
              <w:t>536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6BC6A73"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6.64</w:t>
            </w:r>
          </w:p>
        </w:tc>
      </w:tr>
      <w:tr w:rsidR="00E0303B" w:rsidRPr="00DF611D" w14:paraId="49DFF636"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7474FB9" w14:textId="77777777" w:rsidR="00E0303B" w:rsidRPr="00DF7392" w:rsidRDefault="00E0303B" w:rsidP="00E1774E">
            <w:pPr>
              <w:spacing w:after="120"/>
              <w:jc w:val="center"/>
              <w:rPr>
                <w:bCs/>
                <w:color w:val="000000"/>
                <w:sz w:val="24"/>
                <w:lang w:bidi="en-US"/>
              </w:rPr>
            </w:pPr>
            <w:r w:rsidRPr="00DF7392">
              <w:rPr>
                <w:bCs/>
                <w:color w:val="000000"/>
                <w:sz w:val="24"/>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5CA552F" w14:textId="77777777" w:rsidR="00E0303B" w:rsidRPr="00DF7392" w:rsidRDefault="00E0303B" w:rsidP="00E1774E">
            <w:pPr>
              <w:spacing w:after="120"/>
              <w:jc w:val="center"/>
              <w:rPr>
                <w:bCs/>
                <w:color w:val="000000"/>
                <w:sz w:val="24"/>
                <w:lang w:bidi="en-US"/>
              </w:rPr>
            </w:pPr>
            <w:r w:rsidRPr="00DF7392">
              <w:rPr>
                <w:sz w:val="24"/>
              </w:rPr>
              <w:t>704</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E32B1E9"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8.72</w:t>
            </w:r>
          </w:p>
        </w:tc>
      </w:tr>
      <w:tr w:rsidR="00E0303B" w:rsidRPr="00DF611D" w14:paraId="38193E9E"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2FF542CB" w14:textId="77777777" w:rsidR="00E0303B" w:rsidRPr="00DF7392" w:rsidRDefault="00E0303B" w:rsidP="00E1774E">
            <w:pPr>
              <w:spacing w:after="120"/>
              <w:jc w:val="center"/>
              <w:rPr>
                <w:bCs/>
                <w:color w:val="000000"/>
                <w:sz w:val="24"/>
                <w:lang w:bidi="en-US"/>
              </w:rPr>
            </w:pPr>
            <w:r w:rsidRPr="00DF7392">
              <w:rPr>
                <w:bCs/>
                <w:color w:val="000000"/>
                <w:sz w:val="24"/>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6F104307" w14:textId="77777777" w:rsidR="00E0303B" w:rsidRPr="00DF7392" w:rsidRDefault="00E0303B" w:rsidP="00E1774E">
            <w:pPr>
              <w:spacing w:after="120"/>
              <w:jc w:val="center"/>
              <w:rPr>
                <w:bCs/>
                <w:color w:val="000000"/>
                <w:sz w:val="24"/>
                <w:lang w:bidi="en-US"/>
              </w:rPr>
            </w:pPr>
            <w:r w:rsidRPr="00DF7392">
              <w:rPr>
                <w:sz w:val="24"/>
              </w:rPr>
              <w:t>371</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5DE86937"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4.60</w:t>
            </w:r>
          </w:p>
        </w:tc>
      </w:tr>
      <w:tr w:rsidR="00E0303B" w:rsidRPr="00DF611D" w14:paraId="66BBA4FF"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3B8412DC" w14:textId="77777777" w:rsidR="00E0303B" w:rsidRPr="00DF7392" w:rsidRDefault="00E0303B" w:rsidP="00E1774E">
            <w:pPr>
              <w:spacing w:after="120"/>
              <w:jc w:val="center"/>
              <w:rPr>
                <w:bCs/>
                <w:color w:val="000000"/>
                <w:sz w:val="24"/>
                <w:lang w:bidi="en-US"/>
              </w:rPr>
            </w:pPr>
            <w:r w:rsidRPr="00DF7392">
              <w:rPr>
                <w:bCs/>
                <w:color w:val="000000"/>
                <w:sz w:val="24"/>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54D44522" w14:textId="77777777" w:rsidR="00E0303B" w:rsidRPr="00DF7392" w:rsidRDefault="00E0303B" w:rsidP="00E1774E">
            <w:pPr>
              <w:spacing w:after="120"/>
              <w:jc w:val="center"/>
              <w:rPr>
                <w:bCs/>
                <w:color w:val="000000"/>
                <w:sz w:val="24"/>
                <w:lang w:bidi="en-US"/>
              </w:rPr>
            </w:pPr>
            <w:r w:rsidRPr="00DF7392">
              <w:rPr>
                <w:sz w:val="24"/>
              </w:rPr>
              <w:t>367</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6E6D0091"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4.55</w:t>
            </w:r>
          </w:p>
        </w:tc>
      </w:tr>
      <w:tr w:rsidR="00E0303B" w:rsidRPr="00DF611D" w14:paraId="603F0FD8"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47B5C140" w14:textId="77777777" w:rsidR="00E0303B" w:rsidRPr="00DF7392" w:rsidRDefault="00E0303B" w:rsidP="00E1774E">
            <w:pPr>
              <w:spacing w:after="120"/>
              <w:jc w:val="center"/>
              <w:rPr>
                <w:bCs/>
                <w:color w:val="000000"/>
                <w:sz w:val="24"/>
                <w:lang w:bidi="en-US"/>
              </w:rPr>
            </w:pPr>
            <w:r w:rsidRPr="00DF7392">
              <w:rPr>
                <w:bCs/>
                <w:color w:val="000000"/>
                <w:sz w:val="24"/>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2C37C55" w14:textId="77777777" w:rsidR="00E0303B" w:rsidRPr="00DF7392" w:rsidRDefault="00E0303B" w:rsidP="00E1774E">
            <w:pPr>
              <w:spacing w:after="120"/>
              <w:jc w:val="center"/>
              <w:rPr>
                <w:bCs/>
                <w:color w:val="000000"/>
                <w:sz w:val="24"/>
                <w:lang w:bidi="en-US"/>
              </w:rPr>
            </w:pPr>
            <w:r w:rsidRPr="00DF7392">
              <w:rPr>
                <w:sz w:val="24"/>
              </w:rPr>
              <w:t>352</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408598AE"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4.36</w:t>
            </w:r>
          </w:p>
        </w:tc>
      </w:tr>
      <w:tr w:rsidR="00E0303B" w:rsidRPr="00DF611D" w14:paraId="282173A1" w14:textId="77777777" w:rsidTr="00DF7392">
        <w:trPr>
          <w:jc w:val="center"/>
        </w:trPr>
        <w:tc>
          <w:tcPr>
            <w:tcW w:w="1338" w:type="dxa"/>
            <w:tcBorders>
              <w:top w:val="double" w:sz="6" w:space="0" w:color="4F81BD"/>
              <w:left w:val="single" w:sz="8" w:space="0" w:color="4F81BD"/>
              <w:bottom w:val="double" w:sz="6" w:space="0" w:color="4F81BD"/>
              <w:right w:val="single" w:sz="8" w:space="0" w:color="4F81BD"/>
            </w:tcBorders>
          </w:tcPr>
          <w:p w14:paraId="6E4FB9FE" w14:textId="77777777" w:rsidR="00E0303B" w:rsidRPr="00DF7392" w:rsidRDefault="00E0303B" w:rsidP="00E1774E">
            <w:pPr>
              <w:spacing w:after="120"/>
              <w:jc w:val="center"/>
              <w:rPr>
                <w:bCs/>
                <w:color w:val="000000"/>
                <w:sz w:val="24"/>
                <w:lang w:bidi="en-US"/>
              </w:rPr>
            </w:pPr>
            <w:r w:rsidRPr="00DF7392">
              <w:rPr>
                <w:bCs/>
                <w:color w:val="000000"/>
                <w:sz w:val="24"/>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39F2E07" w14:textId="77777777" w:rsidR="00E0303B" w:rsidRPr="00DF7392" w:rsidRDefault="00E0303B" w:rsidP="00E1774E">
            <w:pPr>
              <w:spacing w:after="120"/>
              <w:jc w:val="center"/>
              <w:rPr>
                <w:bCs/>
                <w:color w:val="000000"/>
                <w:sz w:val="24"/>
                <w:lang w:bidi="en-US"/>
              </w:rPr>
            </w:pPr>
            <w:r w:rsidRPr="00DF7392">
              <w:rPr>
                <w:sz w:val="24"/>
              </w:rPr>
              <w:t>416</w:t>
            </w:r>
          </w:p>
        </w:tc>
        <w:tc>
          <w:tcPr>
            <w:tcW w:w="1610"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CB573A0" w14:textId="77777777" w:rsidR="00E0303B" w:rsidRPr="00DF7392" w:rsidRDefault="00E0303B" w:rsidP="00E1774E">
            <w:pPr>
              <w:spacing w:before="2" w:after="120"/>
              <w:ind w:left="97" w:right="-20"/>
              <w:jc w:val="center"/>
              <w:rPr>
                <w:bCs/>
                <w:spacing w:val="1"/>
                <w:sz w:val="24"/>
                <w:lang w:bidi="en-US"/>
              </w:rPr>
            </w:pPr>
            <w:r w:rsidRPr="00DF7392">
              <w:rPr>
                <w:color w:val="000000"/>
                <w:sz w:val="24"/>
              </w:rPr>
              <w:t>5.15</w:t>
            </w:r>
          </w:p>
        </w:tc>
      </w:tr>
      <w:tr w:rsidR="00E0303B" w:rsidRPr="00DF611D" w14:paraId="53A386B4" w14:textId="77777777" w:rsidTr="00DF7392">
        <w:trPr>
          <w:jc w:val="center"/>
        </w:trPr>
        <w:tc>
          <w:tcPr>
            <w:tcW w:w="1338" w:type="dxa"/>
            <w:tcBorders>
              <w:top w:val="double" w:sz="6" w:space="0" w:color="4F81BD"/>
              <w:left w:val="single" w:sz="8" w:space="0" w:color="4F81BD"/>
              <w:bottom w:val="single" w:sz="8" w:space="0" w:color="4F81BD"/>
              <w:right w:val="single" w:sz="8" w:space="0" w:color="4F81BD"/>
            </w:tcBorders>
          </w:tcPr>
          <w:p w14:paraId="265DAB4D" w14:textId="77777777" w:rsidR="00E0303B" w:rsidRPr="00DF7392" w:rsidRDefault="00E0303B" w:rsidP="00E1774E">
            <w:pPr>
              <w:spacing w:after="120"/>
              <w:jc w:val="center"/>
              <w:rPr>
                <w:bCs/>
                <w:color w:val="000000"/>
                <w:sz w:val="24"/>
                <w:lang w:bidi="en-US"/>
              </w:rPr>
            </w:pPr>
            <w:r w:rsidRPr="00DF7392">
              <w:rPr>
                <w:bCs/>
                <w:color w:val="000000"/>
                <w:sz w:val="24"/>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14:paraId="72816B35" w14:textId="77777777" w:rsidR="00E0303B" w:rsidRPr="00DF7392" w:rsidRDefault="00E0303B" w:rsidP="00E1774E">
            <w:pPr>
              <w:spacing w:after="120"/>
              <w:jc w:val="center"/>
              <w:rPr>
                <w:sz w:val="24"/>
              </w:rPr>
            </w:pPr>
            <w:r w:rsidRPr="00DF7392">
              <w:rPr>
                <w:sz w:val="24"/>
              </w:rPr>
              <w:t>8072</w:t>
            </w:r>
          </w:p>
        </w:tc>
        <w:tc>
          <w:tcPr>
            <w:tcW w:w="1610" w:type="dxa"/>
            <w:tcBorders>
              <w:top w:val="double" w:sz="6" w:space="0" w:color="4F81BD"/>
              <w:left w:val="single" w:sz="8" w:space="0" w:color="4F81BD"/>
              <w:bottom w:val="single" w:sz="8" w:space="0" w:color="4F81BD"/>
              <w:right w:val="single" w:sz="8" w:space="0" w:color="4F81BD"/>
            </w:tcBorders>
            <w:shd w:val="clear" w:color="auto" w:fill="auto"/>
            <w:vAlign w:val="bottom"/>
          </w:tcPr>
          <w:p w14:paraId="69FABFF8" w14:textId="77777777" w:rsidR="00E0303B" w:rsidRPr="00DF7392" w:rsidRDefault="00E0303B" w:rsidP="00E1774E">
            <w:pPr>
              <w:spacing w:before="2" w:after="120"/>
              <w:ind w:left="97" w:right="-20"/>
              <w:jc w:val="center"/>
              <w:rPr>
                <w:color w:val="000000"/>
                <w:sz w:val="24"/>
              </w:rPr>
            </w:pPr>
            <w:r w:rsidRPr="00DF7392">
              <w:rPr>
                <w:color w:val="000000"/>
                <w:sz w:val="24"/>
              </w:rPr>
              <w:t>100.00</w:t>
            </w:r>
          </w:p>
        </w:tc>
      </w:tr>
    </w:tbl>
    <w:p w14:paraId="437379A9" w14:textId="77777777" w:rsidR="00CA7195" w:rsidRDefault="00CA7195" w:rsidP="00CA7195">
      <w:pPr>
        <w:keepNext/>
        <w:spacing w:after="120"/>
        <w:jc w:val="center"/>
        <w:rPr>
          <w:b/>
          <w:bCs/>
          <w:i/>
          <w:sz w:val="24"/>
          <w:lang w:bidi="en-US"/>
        </w:rPr>
      </w:pPr>
      <w:bookmarkStart w:id="5" w:name="_Toc433189670"/>
    </w:p>
    <w:p w14:paraId="400F332B" w14:textId="77777777" w:rsidR="00167A1E" w:rsidRPr="00B04BD2" w:rsidRDefault="00167A1E" w:rsidP="00CA7195">
      <w:pPr>
        <w:keepNext/>
        <w:spacing w:after="120"/>
        <w:jc w:val="center"/>
        <w:rPr>
          <w:b/>
          <w:bCs/>
          <w:i/>
          <w:sz w:val="24"/>
          <w:lang w:bidi="en-US"/>
        </w:rPr>
      </w:pPr>
    </w:p>
    <w:p w14:paraId="222ACC3E" w14:textId="19B109C2" w:rsidR="00CA7195" w:rsidRDefault="00CA7195" w:rsidP="00CA7195">
      <w:pPr>
        <w:keepNext/>
        <w:spacing w:after="120"/>
        <w:jc w:val="center"/>
        <w:rPr>
          <w:b/>
          <w:bCs/>
          <w:i/>
          <w:sz w:val="24"/>
          <w:lang w:bidi="en-US"/>
        </w:rPr>
      </w:pPr>
      <w:r w:rsidRPr="00B04BD2">
        <w:rPr>
          <w:b/>
          <w:bCs/>
          <w:i/>
          <w:sz w:val="24"/>
          <w:lang w:bidi="en-US"/>
        </w:rPr>
        <w:t xml:space="preserve">Table 2: </w:t>
      </w:r>
      <w:r w:rsidR="004B1EF0">
        <w:rPr>
          <w:b/>
          <w:bCs/>
          <w:i/>
          <w:sz w:val="24"/>
          <w:lang w:bidi="en-US"/>
        </w:rPr>
        <w:t xml:space="preserve">Distribution of Patients within </w:t>
      </w:r>
      <w:r w:rsidR="004E00A5">
        <w:rPr>
          <w:b/>
          <w:bCs/>
          <w:i/>
          <w:sz w:val="24"/>
          <w:lang w:bidi="en-US"/>
        </w:rPr>
        <w:t>Affiliation</w:t>
      </w:r>
      <w:bookmarkEnd w:id="5"/>
    </w:p>
    <w:tbl>
      <w:tblPr>
        <w:tblW w:w="482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777"/>
        <w:gridCol w:w="1539"/>
      </w:tblGrid>
      <w:tr w:rsidR="009D51E8" w:rsidRPr="00DF611D" w14:paraId="3391C768" w14:textId="77777777" w:rsidTr="00167A1E">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EEA3546" w14:textId="77777777" w:rsidR="009D51E8" w:rsidRPr="00DF611D" w:rsidRDefault="00DD1EC1" w:rsidP="00930EB1">
            <w:pPr>
              <w:spacing w:before="60" w:after="60"/>
              <w:jc w:val="center"/>
              <w:rPr>
                <w:b/>
                <w:bCs/>
                <w:sz w:val="24"/>
                <w:lang w:bidi="en-US"/>
              </w:rPr>
            </w:pPr>
            <w:r>
              <w:rPr>
                <w:b/>
                <w:bCs/>
                <w:sz w:val="24"/>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A0A9499" w14:textId="77777777" w:rsidR="009D51E8" w:rsidRPr="00DF611D" w:rsidRDefault="009D51E8" w:rsidP="00930EB1">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2F38713" w14:textId="77777777" w:rsidR="009D51E8" w:rsidRPr="00DF611D" w:rsidRDefault="009D51E8" w:rsidP="00930EB1">
            <w:pPr>
              <w:spacing w:before="60" w:after="60"/>
              <w:jc w:val="center"/>
              <w:rPr>
                <w:b/>
                <w:bCs/>
                <w:sz w:val="24"/>
                <w:lang w:bidi="en-US"/>
              </w:rPr>
            </w:pPr>
            <w:r w:rsidRPr="00DF611D">
              <w:rPr>
                <w:b/>
                <w:bCs/>
                <w:sz w:val="24"/>
                <w:lang w:bidi="en-US"/>
              </w:rPr>
              <w:t>% Total Patients</w:t>
            </w:r>
          </w:p>
        </w:tc>
      </w:tr>
      <w:tr w:rsidR="00094325" w:rsidRPr="00DF611D" w14:paraId="1B79EF29"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A9BC302" w14:textId="77777777" w:rsidR="00094325" w:rsidRPr="00DF7392" w:rsidRDefault="00094325" w:rsidP="00094325">
            <w:pPr>
              <w:spacing w:after="120"/>
              <w:jc w:val="center"/>
              <w:rPr>
                <w:bCs/>
                <w:color w:val="000000"/>
                <w:sz w:val="24"/>
                <w:lang w:bidi="en-US"/>
              </w:rPr>
            </w:pPr>
            <w:r w:rsidRPr="00DF7392">
              <w:rPr>
                <w:bCs/>
                <w:color w:val="000000"/>
                <w:sz w:val="24"/>
                <w:lang w:bidi="en-US"/>
              </w:rPr>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49528F3" w14:textId="77777777" w:rsidR="00094325" w:rsidRPr="00446744" w:rsidRDefault="00094325" w:rsidP="00094325">
            <w:pPr>
              <w:spacing w:after="120"/>
              <w:jc w:val="center"/>
              <w:rPr>
                <w:b/>
                <w:bCs/>
                <w:color w:val="000000"/>
                <w:sz w:val="24"/>
                <w:lang w:bidi="en-US"/>
              </w:rPr>
            </w:pPr>
            <w:r w:rsidRPr="00DF7392">
              <w:rPr>
                <w:color w:val="000000"/>
                <w:sz w:val="24"/>
              </w:rPr>
              <w:t>2839</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950CA9F" w14:textId="77777777" w:rsidR="00094325" w:rsidRPr="00DF7392" w:rsidRDefault="00094325" w:rsidP="00094325">
            <w:pPr>
              <w:spacing w:after="120" w:line="222" w:lineRule="exact"/>
              <w:ind w:left="97" w:right="-20"/>
              <w:jc w:val="center"/>
              <w:rPr>
                <w:sz w:val="24"/>
                <w:lang w:bidi="en-US"/>
              </w:rPr>
            </w:pPr>
            <w:r w:rsidRPr="00DF7392">
              <w:rPr>
                <w:color w:val="000000"/>
                <w:sz w:val="24"/>
              </w:rPr>
              <w:t>35.17</w:t>
            </w:r>
          </w:p>
        </w:tc>
      </w:tr>
      <w:tr w:rsidR="00094325" w:rsidRPr="00DF611D" w14:paraId="2575BAA7"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2FD8B09E" w14:textId="77777777" w:rsidR="00094325" w:rsidRPr="00DF7392" w:rsidRDefault="00094325" w:rsidP="00094325">
            <w:pPr>
              <w:spacing w:after="120"/>
              <w:jc w:val="center"/>
              <w:rPr>
                <w:bCs/>
                <w:color w:val="000000"/>
                <w:sz w:val="24"/>
                <w:lang w:bidi="en-US"/>
              </w:rPr>
            </w:pPr>
            <w:r w:rsidRPr="00DF7392">
              <w:rPr>
                <w:bCs/>
                <w:color w:val="000000"/>
                <w:sz w:val="24"/>
                <w:lang w:bidi="en-US"/>
              </w:rPr>
              <w:t>DCI</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6FC6422" w14:textId="77777777" w:rsidR="00094325" w:rsidRPr="00446744" w:rsidRDefault="00094325" w:rsidP="00094325">
            <w:pPr>
              <w:spacing w:after="120"/>
              <w:jc w:val="center"/>
              <w:rPr>
                <w:b/>
                <w:bCs/>
                <w:color w:val="000000"/>
                <w:sz w:val="24"/>
                <w:lang w:bidi="en-US"/>
              </w:rPr>
            </w:pPr>
            <w:r w:rsidRPr="00DF7392">
              <w:rPr>
                <w:color w:val="000000"/>
                <w:sz w:val="24"/>
              </w:rPr>
              <w:t>297</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B9A31D0" w14:textId="77777777" w:rsidR="00094325" w:rsidRPr="00DF7392" w:rsidRDefault="00094325" w:rsidP="00094325">
            <w:pPr>
              <w:spacing w:before="2" w:after="120"/>
              <w:ind w:left="97" w:right="-20"/>
              <w:jc w:val="center"/>
              <w:rPr>
                <w:sz w:val="24"/>
                <w:lang w:bidi="en-US"/>
              </w:rPr>
            </w:pPr>
            <w:r w:rsidRPr="00DF7392">
              <w:rPr>
                <w:color w:val="000000"/>
                <w:sz w:val="24"/>
              </w:rPr>
              <w:t>3.68</w:t>
            </w:r>
          </w:p>
        </w:tc>
      </w:tr>
      <w:tr w:rsidR="00094325" w:rsidRPr="00DF611D" w14:paraId="1061D5D2" w14:textId="77777777" w:rsidTr="00DF7392">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30865416" w14:textId="77777777" w:rsidR="00094325" w:rsidRPr="00DF7392" w:rsidRDefault="00094325" w:rsidP="00094325">
            <w:pPr>
              <w:spacing w:after="120"/>
              <w:jc w:val="center"/>
              <w:rPr>
                <w:bCs/>
                <w:color w:val="000000"/>
                <w:sz w:val="24"/>
                <w:lang w:bidi="en-US"/>
              </w:rPr>
            </w:pPr>
            <w:r w:rsidRPr="00DF7392">
              <w:rPr>
                <w:bCs/>
                <w:color w:val="000000"/>
                <w:sz w:val="24"/>
                <w:lang w:bidi="en-US"/>
              </w:rPr>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C54AB68" w14:textId="77777777" w:rsidR="00094325" w:rsidRPr="00446744" w:rsidRDefault="00094325" w:rsidP="00094325">
            <w:pPr>
              <w:spacing w:after="120"/>
              <w:jc w:val="center"/>
              <w:rPr>
                <w:b/>
                <w:bCs/>
                <w:color w:val="000000"/>
                <w:sz w:val="24"/>
                <w:lang w:bidi="en-US"/>
              </w:rPr>
            </w:pPr>
            <w:r w:rsidRPr="00DF7392">
              <w:rPr>
                <w:color w:val="000000"/>
                <w:sz w:val="24"/>
              </w:rPr>
              <w:t>2529</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7407F56" w14:textId="77777777" w:rsidR="00094325" w:rsidRPr="00DF7392" w:rsidRDefault="00094325" w:rsidP="00094325">
            <w:pPr>
              <w:spacing w:after="120" w:line="222" w:lineRule="exact"/>
              <w:ind w:left="97" w:right="-20"/>
              <w:jc w:val="center"/>
              <w:rPr>
                <w:sz w:val="24"/>
                <w:lang w:bidi="en-US"/>
              </w:rPr>
            </w:pPr>
            <w:r w:rsidRPr="00DF7392">
              <w:rPr>
                <w:color w:val="000000"/>
                <w:sz w:val="24"/>
              </w:rPr>
              <w:t>31.33</w:t>
            </w:r>
          </w:p>
        </w:tc>
      </w:tr>
      <w:tr w:rsidR="00094325" w:rsidRPr="00DF611D" w14:paraId="5A71714A" w14:textId="77777777" w:rsidTr="00DF7392">
        <w:trPr>
          <w:jc w:val="center"/>
        </w:trPr>
        <w:tc>
          <w:tcPr>
            <w:tcW w:w="1510" w:type="dxa"/>
            <w:tcBorders>
              <w:top w:val="double" w:sz="6" w:space="0" w:color="4F81BD"/>
              <w:left w:val="single" w:sz="8" w:space="0" w:color="4F81BD"/>
              <w:bottom w:val="double" w:sz="6" w:space="0" w:color="4F81BD"/>
              <w:right w:val="single" w:sz="8" w:space="0" w:color="4F81BD"/>
            </w:tcBorders>
          </w:tcPr>
          <w:p w14:paraId="14548905" w14:textId="77777777" w:rsidR="00094325" w:rsidRPr="00DF7392" w:rsidRDefault="00094325" w:rsidP="00094325">
            <w:pPr>
              <w:spacing w:after="120"/>
              <w:jc w:val="center"/>
              <w:rPr>
                <w:bCs/>
                <w:color w:val="000000"/>
                <w:sz w:val="24"/>
                <w:lang w:bidi="en-US"/>
              </w:rPr>
            </w:pPr>
            <w:r w:rsidRPr="00DF7392">
              <w:rPr>
                <w:bCs/>
                <w:color w:val="000000"/>
                <w:sz w:val="24"/>
                <w:lang w:bidi="en-US"/>
              </w:rPr>
              <w:t>Independent</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A195358" w14:textId="77777777" w:rsidR="00094325" w:rsidRPr="00446744" w:rsidRDefault="00094325" w:rsidP="00094325">
            <w:pPr>
              <w:spacing w:after="120"/>
              <w:jc w:val="center"/>
              <w:rPr>
                <w:b/>
                <w:bCs/>
                <w:color w:val="000000"/>
                <w:sz w:val="24"/>
                <w:lang w:bidi="en-US"/>
              </w:rPr>
            </w:pPr>
            <w:r w:rsidRPr="00DF7392">
              <w:rPr>
                <w:color w:val="000000"/>
                <w:sz w:val="24"/>
              </w:rPr>
              <w:t>2407</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89F183C" w14:textId="77777777" w:rsidR="00094325" w:rsidRPr="00DF7392" w:rsidRDefault="00094325" w:rsidP="00094325">
            <w:pPr>
              <w:spacing w:before="2" w:after="120"/>
              <w:ind w:left="97" w:right="-20"/>
              <w:jc w:val="center"/>
              <w:rPr>
                <w:bCs/>
                <w:sz w:val="24"/>
                <w:lang w:bidi="en-US"/>
              </w:rPr>
            </w:pPr>
            <w:r w:rsidRPr="00DF7392">
              <w:rPr>
                <w:color w:val="000000"/>
                <w:sz w:val="24"/>
              </w:rPr>
              <w:t>29.82</w:t>
            </w:r>
          </w:p>
        </w:tc>
      </w:tr>
      <w:tr w:rsidR="00094325" w:rsidRPr="00DF611D" w14:paraId="39406F54" w14:textId="77777777" w:rsidTr="00DF7392">
        <w:trPr>
          <w:jc w:val="center"/>
        </w:trPr>
        <w:tc>
          <w:tcPr>
            <w:tcW w:w="1510" w:type="dxa"/>
            <w:tcBorders>
              <w:top w:val="double" w:sz="6" w:space="0" w:color="4F81BD"/>
              <w:left w:val="single" w:sz="8" w:space="0" w:color="4F81BD"/>
              <w:bottom w:val="double" w:sz="6" w:space="0" w:color="4F81BD"/>
              <w:right w:val="single" w:sz="8" w:space="0" w:color="4F81BD"/>
            </w:tcBorders>
          </w:tcPr>
          <w:p w14:paraId="4D140643" w14:textId="77777777" w:rsidR="00094325" w:rsidRPr="00DF7392" w:rsidRDefault="00094325" w:rsidP="00094325">
            <w:pPr>
              <w:spacing w:after="120"/>
              <w:jc w:val="center"/>
              <w:rPr>
                <w:bCs/>
                <w:color w:val="000000"/>
                <w:sz w:val="24"/>
                <w:lang w:bidi="en-US"/>
              </w:rPr>
            </w:pPr>
            <w:r w:rsidRPr="00DF7392">
              <w:rPr>
                <w:bCs/>
                <w:color w:val="000000"/>
                <w:sz w:val="24"/>
                <w:lang w:bidi="en-US"/>
              </w:rPr>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4412524" w14:textId="77777777" w:rsidR="00094325" w:rsidRPr="00446744" w:rsidRDefault="00094325" w:rsidP="00094325">
            <w:pPr>
              <w:spacing w:after="120"/>
              <w:jc w:val="center"/>
              <w:rPr>
                <w:b/>
                <w:bCs/>
                <w:color w:val="000000"/>
                <w:sz w:val="24"/>
                <w:lang w:bidi="en-US"/>
              </w:rPr>
            </w:pPr>
            <w:r w:rsidRPr="00DF7392">
              <w:rPr>
                <w:color w:val="000000"/>
                <w:sz w:val="24"/>
              </w:rPr>
              <w:t>8072</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223A7FAA" w14:textId="77777777" w:rsidR="00094325" w:rsidRPr="00DF7392" w:rsidRDefault="00094325" w:rsidP="00094325">
            <w:pPr>
              <w:spacing w:before="2" w:after="120"/>
              <w:ind w:left="97" w:right="-20"/>
              <w:jc w:val="center"/>
              <w:rPr>
                <w:bCs/>
                <w:spacing w:val="1"/>
                <w:sz w:val="24"/>
                <w:lang w:bidi="en-US"/>
              </w:rPr>
            </w:pPr>
            <w:r w:rsidRPr="00DF7392">
              <w:rPr>
                <w:color w:val="000000"/>
                <w:sz w:val="24"/>
              </w:rPr>
              <w:t>100.00</w:t>
            </w:r>
          </w:p>
        </w:tc>
      </w:tr>
    </w:tbl>
    <w:p w14:paraId="77FBC9CC" w14:textId="77777777" w:rsidR="009D51E8" w:rsidRDefault="009D51E8" w:rsidP="00CA7195">
      <w:pPr>
        <w:keepNext/>
        <w:spacing w:after="120"/>
        <w:jc w:val="center"/>
        <w:rPr>
          <w:b/>
          <w:bCs/>
          <w:i/>
          <w:sz w:val="24"/>
          <w:lang w:bidi="en-US"/>
        </w:rPr>
      </w:pPr>
    </w:p>
    <w:p w14:paraId="543DA3E1" w14:textId="3C6BFAF9" w:rsidR="00CA6C1B" w:rsidRDefault="00CA6C1B">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all of the patients treated at the facility during the study period for validation. </w:t>
      </w:r>
      <w:r>
        <w:rPr>
          <w:b/>
          <w:sz w:val="24"/>
        </w:rPr>
        <w:t>Table 3</w:t>
      </w:r>
      <w:r>
        <w:rPr>
          <w:sz w:val="24"/>
        </w:rPr>
        <w:t xml:space="preserve"> depicts the methodology used when sampling for patients for CPM reviews.</w:t>
      </w:r>
    </w:p>
    <w:p w14:paraId="5BC4CCFF" w14:textId="77777777" w:rsidR="007C3591" w:rsidRDefault="007C3591">
      <w:pPr>
        <w:rPr>
          <w:sz w:val="24"/>
        </w:rPr>
      </w:pPr>
    </w:p>
    <w:p w14:paraId="27F93FCF" w14:textId="77777777" w:rsidR="00CA6C1B" w:rsidRPr="00B04BD2" w:rsidRDefault="00CA6C1B" w:rsidP="00CA6C1B">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51"/>
        <w:gridCol w:w="6025"/>
      </w:tblGrid>
      <w:tr w:rsidR="00CA6C1B" w:rsidRPr="00DF611D" w14:paraId="7C413E4B" w14:textId="77777777" w:rsidTr="002925B4">
        <w:trPr>
          <w:tblHeader/>
        </w:trPr>
        <w:tc>
          <w:tcPr>
            <w:tcW w:w="3551" w:type="dxa"/>
            <w:tcBorders>
              <w:top w:val="single" w:sz="8" w:space="0" w:color="4F81BD"/>
              <w:left w:val="single" w:sz="8" w:space="0" w:color="4F81BD"/>
              <w:bottom w:val="single" w:sz="18" w:space="0" w:color="4F81BD"/>
              <w:right w:val="single" w:sz="8" w:space="0" w:color="4F81BD"/>
            </w:tcBorders>
            <w:shd w:val="clear" w:color="auto" w:fill="auto"/>
          </w:tcPr>
          <w:p w14:paraId="2011B4A1" w14:textId="77777777" w:rsidR="00CA6C1B" w:rsidRPr="00DF611D" w:rsidRDefault="00CA6C1B" w:rsidP="002925B4">
            <w:pPr>
              <w:spacing w:before="120" w:after="120"/>
              <w:rPr>
                <w:b/>
                <w:bCs/>
                <w:sz w:val="24"/>
              </w:rPr>
            </w:pPr>
            <w:r w:rsidRPr="00DF611D">
              <w:rPr>
                <w:b/>
                <w:bCs/>
                <w:sz w:val="24"/>
              </w:rPr>
              <w:t>Sampling Source</w:t>
            </w:r>
          </w:p>
        </w:tc>
        <w:tc>
          <w:tcPr>
            <w:tcW w:w="6025" w:type="dxa"/>
            <w:tcBorders>
              <w:top w:val="single" w:sz="8" w:space="0" w:color="4F81BD"/>
              <w:left w:val="single" w:sz="8" w:space="0" w:color="4F81BD"/>
              <w:bottom w:val="single" w:sz="18" w:space="0" w:color="4F81BD"/>
              <w:right w:val="single" w:sz="8" w:space="0" w:color="4F81BD"/>
            </w:tcBorders>
            <w:shd w:val="clear" w:color="auto" w:fill="auto"/>
          </w:tcPr>
          <w:p w14:paraId="624B4274" w14:textId="77777777" w:rsidR="00CA6C1B" w:rsidRPr="00DF611D" w:rsidRDefault="00CA6C1B" w:rsidP="002925B4">
            <w:pPr>
              <w:spacing w:before="120" w:after="120"/>
              <w:rPr>
                <w:b/>
                <w:bCs/>
                <w:sz w:val="24"/>
              </w:rPr>
            </w:pPr>
            <w:r w:rsidRPr="00DF611D">
              <w:rPr>
                <w:b/>
                <w:bCs/>
                <w:sz w:val="24"/>
              </w:rPr>
              <w:t>Sample to be Taken</w:t>
            </w:r>
          </w:p>
        </w:tc>
      </w:tr>
      <w:tr w:rsidR="00CA6C1B" w:rsidRPr="00DF611D" w14:paraId="659A07F4" w14:textId="77777777" w:rsidTr="00DF7392">
        <w:tc>
          <w:tcPr>
            <w:tcW w:w="3551" w:type="dxa"/>
            <w:tcBorders>
              <w:top w:val="single" w:sz="8" w:space="0" w:color="4F81BD"/>
              <w:left w:val="single" w:sz="8" w:space="0" w:color="4F81BD"/>
              <w:bottom w:val="single" w:sz="8" w:space="0" w:color="4F81BD"/>
              <w:right w:val="single" w:sz="8" w:space="0" w:color="4F81BD"/>
            </w:tcBorders>
            <w:shd w:val="clear" w:color="auto" w:fill="auto"/>
          </w:tcPr>
          <w:p w14:paraId="6DFFC17F" w14:textId="77777777" w:rsidR="00CA6C1B" w:rsidRPr="00982E6C" w:rsidRDefault="00CA6C1B" w:rsidP="002925B4">
            <w:pPr>
              <w:spacing w:before="120" w:after="120"/>
              <w:rPr>
                <w:b/>
                <w:bCs/>
                <w:sz w:val="24"/>
              </w:rPr>
            </w:pPr>
            <w:r>
              <w:rPr>
                <w:b/>
                <w:bCs/>
                <w:sz w:val="24"/>
              </w:rPr>
              <w:t xml:space="preserve">CROWNWeb </w:t>
            </w:r>
            <w:r w:rsidRPr="00982E6C">
              <w:rPr>
                <w:b/>
                <w:bCs/>
                <w:sz w:val="24"/>
              </w:rPr>
              <w:t>Extract</w:t>
            </w:r>
          </w:p>
        </w:tc>
        <w:tc>
          <w:tcPr>
            <w:tcW w:w="6025" w:type="dxa"/>
            <w:tcBorders>
              <w:top w:val="single" w:sz="8" w:space="0" w:color="4F81BD"/>
              <w:left w:val="single" w:sz="8" w:space="0" w:color="4F81BD"/>
              <w:bottom w:val="single" w:sz="8" w:space="0" w:color="4F81BD"/>
              <w:right w:val="single" w:sz="8" w:space="0" w:color="4F81BD"/>
            </w:tcBorders>
            <w:shd w:val="clear" w:color="auto" w:fill="auto"/>
          </w:tcPr>
          <w:p w14:paraId="07AF27E4" w14:textId="1587FF99" w:rsidR="00CA6C1B" w:rsidRPr="00DF611D" w:rsidRDefault="00CA349B" w:rsidP="002925B4">
            <w:pPr>
              <w:spacing w:before="120" w:after="120"/>
              <w:rPr>
                <w:sz w:val="24"/>
              </w:rPr>
            </w:pPr>
            <w:r>
              <w:rPr>
                <w:sz w:val="24"/>
              </w:rPr>
              <w:t>Random selection</w:t>
            </w:r>
            <w:r w:rsidR="00CA6C1B" w:rsidRPr="00DF611D">
              <w:rPr>
                <w:sz w:val="24"/>
              </w:rPr>
              <w:t xml:space="preserve"> of patients available, up to 10</w:t>
            </w:r>
          </w:p>
        </w:tc>
      </w:tr>
    </w:tbl>
    <w:p w14:paraId="61300955" w14:textId="77777777" w:rsidR="00CA6C1B" w:rsidRPr="00B04BD2" w:rsidRDefault="00CA6C1B" w:rsidP="00CA6C1B">
      <w:pPr>
        <w:spacing w:after="120"/>
        <w:rPr>
          <w:sz w:val="24"/>
        </w:rPr>
      </w:pPr>
    </w:p>
    <w:p w14:paraId="0AE2FF16" w14:textId="77777777" w:rsidR="00CA6C1B" w:rsidRPr="00B04BD2" w:rsidRDefault="00CA6C1B" w:rsidP="007C3591">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14:paraId="4160B679" w14:textId="4FABF3BC" w:rsidR="00CA6C1B" w:rsidRDefault="007C3591">
      <w:pPr>
        <w:rPr>
          <w:sz w:val="24"/>
        </w:rPr>
      </w:pPr>
      <w:r>
        <w:rPr>
          <w:sz w:val="24"/>
        </w:rPr>
        <w:t>The 300 facilities to be sampled for validation will be chosen within 10 days of receiving the corresponding Facility/Patient data file from CROWNWeb. The Validation Contractor will receive a CROWNWeb extract that contains all data reported into CROWNWeb during the selected second quarter time frame (April – June 201</w:t>
      </w:r>
      <w:r w:rsidR="00094325">
        <w:rPr>
          <w:sz w:val="24"/>
        </w:rPr>
        <w:t>7</w:t>
      </w:r>
      <w:r>
        <w:rPr>
          <w:sz w:val="24"/>
        </w:rPr>
        <w:t>).</w:t>
      </w:r>
    </w:p>
    <w:p w14:paraId="364524BD" w14:textId="77777777" w:rsidR="007C3591" w:rsidRDefault="007C3591">
      <w:pPr>
        <w:rPr>
          <w:sz w:val="24"/>
        </w:rPr>
      </w:pPr>
    </w:p>
    <w:p w14:paraId="159F25E7" w14:textId="3D8AB1AB" w:rsidR="007C3591" w:rsidRDefault="00271E02">
      <w:pPr>
        <w:rPr>
          <w:b/>
          <w:sz w:val="24"/>
        </w:rPr>
      </w:pPr>
      <w:r>
        <w:rPr>
          <w:sz w:val="24"/>
        </w:rPr>
        <w:t>This timeframe was selected after considering several factors. To ensure that the validation can be completed during the period of performance</w:t>
      </w:r>
      <w:r w:rsidR="008638FE">
        <w:rPr>
          <w:sz w:val="24"/>
        </w:rPr>
        <w:t>, the Validation Contractor considered the data reporting periods allowed to facilities to submit clinical data into CROWNWeb. Facilities are given 60 days from the end of any particular month to enter CROWNWeb clinical data. The mandated reporting period limits the time frame we can validate expeditiously, as we will not be able to obtain an extract until after the close of the data-reporting period. Another important consideration is that the ESRD QIP rule makes it mandatory for us to give facilities up to 60 days to submit records. Taking into consideration these factors as well as the need to ensure that there is adequate time to perform analysis and prepare reports, we decided on the second quarter of 201</w:t>
      </w:r>
      <w:r w:rsidR="00094325">
        <w:rPr>
          <w:sz w:val="24"/>
        </w:rPr>
        <w:t>7</w:t>
      </w:r>
      <w:r w:rsidR="008638FE">
        <w:rPr>
          <w:sz w:val="24"/>
        </w:rPr>
        <w:t xml:space="preserve"> validation time frame. A breakdown of the mandated reported deadlines that were taken into considera</w:t>
      </w:r>
      <w:r w:rsidR="00094325">
        <w:rPr>
          <w:sz w:val="24"/>
        </w:rPr>
        <w:t>tion</w:t>
      </w:r>
      <w:r w:rsidR="008638FE">
        <w:rPr>
          <w:sz w:val="24"/>
        </w:rPr>
        <w:t xml:space="preserve"> is displayed in </w:t>
      </w:r>
      <w:r w:rsidR="008638FE">
        <w:rPr>
          <w:b/>
          <w:sz w:val="24"/>
        </w:rPr>
        <w:t>Table 4.</w:t>
      </w:r>
    </w:p>
    <w:p w14:paraId="157DCE16" w14:textId="77777777" w:rsidR="008638FE" w:rsidRDefault="008638FE">
      <w:pPr>
        <w:rPr>
          <w:b/>
          <w:sz w:val="24"/>
        </w:rPr>
      </w:pPr>
    </w:p>
    <w:p w14:paraId="1657DA31" w14:textId="77777777" w:rsidR="008638FE" w:rsidRPr="00B04BD2" w:rsidRDefault="008638FE" w:rsidP="008638FE">
      <w:pPr>
        <w:keepNext/>
        <w:spacing w:after="120"/>
        <w:jc w:val="center"/>
        <w:rPr>
          <w:b/>
          <w:bCs/>
          <w:i/>
          <w:sz w:val="24"/>
          <w:lang w:bidi="en-US"/>
        </w:rPr>
      </w:pPr>
      <w:r w:rsidRPr="00B04BD2">
        <w:rPr>
          <w:b/>
          <w:bCs/>
          <w:i/>
          <w:sz w:val="24"/>
          <w:lang w:bidi="en-US"/>
        </w:rPr>
        <w:t>Table 4: Mandated Reporting Deadlines</w:t>
      </w:r>
    </w:p>
    <w:tbl>
      <w:tblPr>
        <w:tblW w:w="4707" w:type="pct"/>
        <w:tblCellMar>
          <w:left w:w="0" w:type="dxa"/>
          <w:right w:w="0" w:type="dxa"/>
        </w:tblCellMar>
        <w:tblLook w:val="04A0" w:firstRow="1" w:lastRow="0" w:firstColumn="1" w:lastColumn="0" w:noHBand="0" w:noVBand="1"/>
      </w:tblPr>
      <w:tblGrid>
        <w:gridCol w:w="3438"/>
        <w:gridCol w:w="5577"/>
      </w:tblGrid>
      <w:tr w:rsidR="008638FE" w:rsidRPr="00B04BD2" w14:paraId="4659E3B8" w14:textId="77777777" w:rsidTr="002925B4">
        <w:trPr>
          <w:cantSplit/>
          <w:tblHead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435A461E" w14:textId="77777777" w:rsidR="008638FE" w:rsidRPr="00B04BD2" w:rsidRDefault="008638FE" w:rsidP="002925B4">
            <w:pPr>
              <w:spacing w:before="120" w:line="276" w:lineRule="auto"/>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7940CF34" w14:textId="77777777" w:rsidR="008638FE" w:rsidRPr="00B04BD2" w:rsidRDefault="008638FE" w:rsidP="002925B4">
            <w:pPr>
              <w:spacing w:before="120" w:line="276" w:lineRule="auto"/>
              <w:rPr>
                <w:rFonts w:eastAsia="Calibri"/>
                <w:b/>
                <w:bCs/>
                <w:sz w:val="24"/>
              </w:rPr>
            </w:pPr>
            <w:r w:rsidRPr="00B04BD2">
              <w:rPr>
                <w:b/>
                <w:bCs/>
                <w:sz w:val="24"/>
              </w:rPr>
              <w:t>Mandated Reporting Deadlines</w:t>
            </w:r>
          </w:p>
        </w:tc>
      </w:tr>
      <w:tr w:rsidR="008638FE" w:rsidRPr="00B04BD2" w14:paraId="77921495" w14:textId="77777777" w:rsidTr="00DF7392">
        <w:trPr>
          <w:cantSplit/>
          <w:trHeight w:val="288"/>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0181DDFE" w14:textId="77777777" w:rsidR="008638FE" w:rsidRPr="00F5676E" w:rsidRDefault="008638FE" w:rsidP="002925B4">
            <w:pPr>
              <w:spacing w:before="120" w:line="276" w:lineRule="auto"/>
              <w:rPr>
                <w:rFonts w:eastAsia="Calibri"/>
                <w:b/>
                <w:sz w:val="24"/>
              </w:rPr>
            </w:pPr>
            <w:r w:rsidRPr="00F5676E">
              <w:rPr>
                <w:b/>
                <w:sz w:val="24"/>
              </w:rPr>
              <w:t>CROWNWeb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14:paraId="6E2E0C13" w14:textId="0CCEC098" w:rsidR="008638FE" w:rsidRPr="00B04BD2" w:rsidRDefault="008638FE" w:rsidP="002925B4">
            <w:pPr>
              <w:spacing w:before="120" w:line="276" w:lineRule="auto"/>
              <w:rPr>
                <w:rFonts w:eastAsia="Calibri"/>
                <w:sz w:val="24"/>
              </w:rPr>
            </w:pPr>
            <w:r w:rsidRPr="00B04BD2">
              <w:rPr>
                <w:sz w:val="24"/>
              </w:rPr>
              <w:t>60 days after month close (Q2 – August 31, 201</w:t>
            </w:r>
            <w:r w:rsidR="00094325">
              <w:rPr>
                <w:sz w:val="24"/>
              </w:rPr>
              <w:t>7</w:t>
            </w:r>
            <w:r w:rsidRPr="00B04BD2">
              <w:rPr>
                <w:sz w:val="24"/>
              </w:rPr>
              <w:t>)</w:t>
            </w:r>
          </w:p>
        </w:tc>
      </w:tr>
      <w:tr w:rsidR="008638FE" w:rsidRPr="00B04BD2" w14:paraId="1C0B620E" w14:textId="77777777" w:rsidTr="002925B4">
        <w:trPr>
          <w:cantSplit/>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A2CA239" w14:textId="77777777" w:rsidR="008638FE" w:rsidRPr="00F5676E" w:rsidRDefault="008638FE" w:rsidP="002925B4">
            <w:pPr>
              <w:spacing w:before="120" w:line="276" w:lineRule="auto"/>
              <w:rPr>
                <w:rFonts w:eastAsia="Calibri"/>
                <w:b/>
                <w:sz w:val="24"/>
              </w:rPr>
            </w:pPr>
            <w:r w:rsidRPr="00F5676E">
              <w:rPr>
                <w:b/>
                <w:sz w:val="24"/>
              </w:rPr>
              <w:t xml:space="preserve">Facility Record Submission Deadline </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14:paraId="5D58358E" w14:textId="77777777" w:rsidR="008638FE" w:rsidRPr="00B04BD2" w:rsidRDefault="008638FE" w:rsidP="002925B4">
            <w:pPr>
              <w:spacing w:before="120" w:line="276" w:lineRule="auto"/>
              <w:rPr>
                <w:rFonts w:eastAsia="Calibri"/>
                <w:sz w:val="24"/>
              </w:rPr>
            </w:pPr>
            <w:r w:rsidRPr="00B04BD2">
              <w:rPr>
                <w:sz w:val="24"/>
              </w:rPr>
              <w:t>60 days after request receipt per QIP rule</w:t>
            </w:r>
          </w:p>
        </w:tc>
      </w:tr>
    </w:tbl>
    <w:p w14:paraId="7BBD61EA" w14:textId="77777777" w:rsidR="008638FE" w:rsidRPr="00B04BD2" w:rsidRDefault="008638FE" w:rsidP="008638FE">
      <w:pPr>
        <w:spacing w:before="120" w:line="276" w:lineRule="auto"/>
        <w:rPr>
          <w:bCs/>
          <w:sz w:val="24"/>
          <w:lang w:bidi="en-US"/>
        </w:rPr>
      </w:pPr>
    </w:p>
    <w:p w14:paraId="2B623C01" w14:textId="72BF4807" w:rsidR="008638FE" w:rsidRDefault="008638FE">
      <w:pPr>
        <w:rPr>
          <w:sz w:val="24"/>
        </w:rPr>
      </w:pPr>
      <w:r>
        <w:rPr>
          <w:sz w:val="24"/>
        </w:rPr>
        <w:t>Assuming the CROWNWeb data team will need at least one week to export and send the data, the Validation Contractor has estimated preliminary dates for data availability</w:t>
      </w:r>
      <w:r w:rsidR="00BF651A">
        <w:rPr>
          <w:sz w:val="24"/>
        </w:rPr>
        <w:t xml:space="preserve">. </w:t>
      </w:r>
      <w:r w:rsidR="00BF651A">
        <w:rPr>
          <w:b/>
          <w:sz w:val="24"/>
        </w:rPr>
        <w:t>Table 5</w:t>
      </w:r>
      <w:r w:rsidR="00BF651A">
        <w:rPr>
          <w:sz w:val="24"/>
        </w:rPr>
        <w:t xml:space="preserve"> provides the Validation Contractor’s estimates for when the data will be received for each corresponding data set.</w:t>
      </w:r>
    </w:p>
    <w:p w14:paraId="72A4BEB6" w14:textId="77777777" w:rsidR="00BF651A" w:rsidRPr="00B04BD2" w:rsidRDefault="00BF651A" w:rsidP="00BF651A">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Mandated Reporting Deadlines</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88"/>
        <w:gridCol w:w="2984"/>
        <w:gridCol w:w="4140"/>
      </w:tblGrid>
      <w:tr w:rsidR="00BF651A" w:rsidRPr="00230FBA" w14:paraId="3AFD5684" w14:textId="77777777" w:rsidTr="002925B4">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14:paraId="35354FD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944D18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402733DC"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rsidR="00BF651A" w:rsidRPr="00230FBA" w14:paraId="32E6FDD4" w14:textId="77777777" w:rsidTr="00DF7392">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3ECC665" w14:textId="77777777" w:rsidR="00BF651A" w:rsidRPr="00564280" w:rsidRDefault="00BF651A" w:rsidP="002925B4">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D83CC42" w14:textId="2F3B3951" w:rsidR="00BF651A" w:rsidRPr="00564280" w:rsidRDefault="00BF651A" w:rsidP="002925B4">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April, May, June 201</w:t>
            </w:r>
            <w:r w:rsidR="00094325">
              <w:rPr>
                <w:rFonts w:eastAsia="Calibri"/>
                <w:spacing w:val="-5"/>
                <w:sz w:val="24"/>
                <w:szCs w:val="22"/>
                <w:lang w:bidi="en-US"/>
              </w:rPr>
              <w:t>7</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43FE953" w14:textId="77777777" w:rsidR="00BF651A" w:rsidRPr="00564280" w:rsidRDefault="00BF651A" w:rsidP="002925B4">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mid-November through beginning of December</w:t>
            </w:r>
          </w:p>
        </w:tc>
      </w:tr>
    </w:tbl>
    <w:p w14:paraId="62A47E56" w14:textId="77777777" w:rsidR="00BF651A" w:rsidRPr="00230FBA" w:rsidRDefault="00BF651A" w:rsidP="00BF651A">
      <w:pPr>
        <w:widowControl/>
        <w:autoSpaceDE/>
        <w:autoSpaceDN/>
        <w:adjustRightInd/>
        <w:spacing w:after="200" w:line="276" w:lineRule="auto"/>
        <w:rPr>
          <w:bCs/>
          <w:sz w:val="24"/>
          <w:szCs w:val="22"/>
          <w:lang w:bidi="en-US"/>
        </w:rPr>
      </w:pPr>
    </w:p>
    <w:p w14:paraId="5B8F9EA7" w14:textId="77777777" w:rsidR="00BF651A" w:rsidRDefault="00BF651A">
      <w:pPr>
        <w:rPr>
          <w:sz w:val="24"/>
        </w:rPr>
      </w:pPr>
      <w:r>
        <w:rPr>
          <w:sz w:val="24"/>
        </w:rPr>
        <w:t>Due to the tight timeframe for data abstraction, effective coordination and management as well as adherence to established schedules will be crucial to the project’s success.</w:t>
      </w:r>
    </w:p>
    <w:p w14:paraId="2FC65EB6" w14:textId="77777777" w:rsidR="00BF651A" w:rsidRDefault="00BF651A">
      <w:pPr>
        <w:rPr>
          <w:sz w:val="24"/>
        </w:rPr>
      </w:pPr>
    </w:p>
    <w:p w14:paraId="682C31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14:paraId="02657DA2"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A915DA3"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14:paraId="05C1E90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B1535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14:paraId="77A41924"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D65717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14:paraId="67BDBD29"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0EC84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14:paraId="532530D7"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4CF9008"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14:paraId="39D55A4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F50153" w14:textId="0E12AD2C"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by the hospitals with medical record requests. The period for data collection cycles is expected to be no more frequently than annually.</w:t>
      </w:r>
    </w:p>
    <w:p w14:paraId="7A40BB72" w14:textId="77777777" w:rsidR="00BF651A" w:rsidRDefault="00BF651A">
      <w:pPr>
        <w:rPr>
          <w:sz w:val="24"/>
        </w:rPr>
      </w:pPr>
    </w:p>
    <w:p w14:paraId="2063ECA4" w14:textId="77777777"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14:paraId="347A1C88" w14:textId="77777777" w:rsidR="00BF651A" w:rsidRDefault="00BF651A">
      <w:pPr>
        <w:rPr>
          <w:sz w:val="24"/>
        </w:rPr>
      </w:pPr>
    </w:p>
    <w:p w14:paraId="4BA555C9" w14:textId="35C44826" w:rsidR="001223C6" w:rsidRDefault="00537EB3"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001223C6" w:rsidRPr="00EA6EF1">
        <w:rPr>
          <w:sz w:val="24"/>
        </w:rPr>
        <w:t xml:space="preserve">acilities were contacted via certified letter in </w:t>
      </w:r>
      <w:r>
        <w:rPr>
          <w:sz w:val="24"/>
        </w:rPr>
        <w:t>March</w:t>
      </w:r>
      <w:r w:rsidRPr="00EA6EF1">
        <w:rPr>
          <w:sz w:val="24"/>
        </w:rPr>
        <w:t xml:space="preserve"> </w:t>
      </w:r>
      <w:r w:rsidR="001223C6" w:rsidRPr="00EA6EF1">
        <w:rPr>
          <w:sz w:val="24"/>
        </w:rPr>
        <w:t>201</w:t>
      </w:r>
      <w:r w:rsidR="008A2BF8">
        <w:rPr>
          <w:sz w:val="24"/>
        </w:rPr>
        <w:t>8</w:t>
      </w:r>
      <w:r w:rsidR="001223C6" w:rsidRPr="00EA6EF1">
        <w:rPr>
          <w:sz w:val="24"/>
        </w:rPr>
        <w:t xml:space="preserve"> and were asked to participate in the validation effort. The letter provided instructions on the types of records to be submitted, methods to submit records to </w:t>
      </w:r>
      <w:r w:rsidR="001223C6">
        <w:rPr>
          <w:sz w:val="24"/>
        </w:rPr>
        <w:t>the Validation Contractor</w:t>
      </w:r>
      <w:r w:rsidR="001223C6" w:rsidRPr="00EA6EF1">
        <w:rPr>
          <w:sz w:val="24"/>
        </w:rPr>
        <w:t xml:space="preserve">, and identified patients selected for validation. Facilities that did not respond to the initial request for records were contacted via phone by </w:t>
      </w:r>
      <w:r w:rsidR="001223C6">
        <w:rPr>
          <w:sz w:val="24"/>
        </w:rPr>
        <w:t>the Validation Contractor</w:t>
      </w:r>
      <w:r w:rsidR="001223C6" w:rsidRPr="00EA6EF1">
        <w:rPr>
          <w:sz w:val="24"/>
        </w:rPr>
        <w:t xml:space="preserve"> and received a final request letter in </w:t>
      </w:r>
      <w:r w:rsidR="008A2BF8">
        <w:rPr>
          <w:sz w:val="24"/>
        </w:rPr>
        <w:t>April</w:t>
      </w:r>
      <w:r w:rsidR="008A2BF8" w:rsidRPr="00EA6EF1">
        <w:rPr>
          <w:sz w:val="24"/>
        </w:rPr>
        <w:t xml:space="preserve"> </w:t>
      </w:r>
      <w:r w:rsidR="001223C6" w:rsidRPr="00EA6EF1">
        <w:rPr>
          <w:sz w:val="24"/>
        </w:rPr>
        <w:t>201</w:t>
      </w:r>
      <w:r w:rsidR="008A2BF8">
        <w:rPr>
          <w:sz w:val="24"/>
        </w:rPr>
        <w:t>8</w:t>
      </w:r>
      <w:r w:rsidR="001223C6" w:rsidRPr="00EA6EF1">
        <w:rPr>
          <w:sz w:val="24"/>
        </w:rPr>
        <w:t xml:space="preserve">. </w:t>
      </w:r>
      <w:r w:rsidR="001223C6">
        <w:rPr>
          <w:sz w:val="24"/>
        </w:rPr>
        <w:t xml:space="preserve">To aid in maximizing facility response rates, </w:t>
      </w:r>
      <w:r w:rsidR="00D21891">
        <w:rPr>
          <w:sz w:val="24"/>
        </w:rPr>
        <w:t xml:space="preserve">our team coordinated through CMS COR to send townhall notification </w:t>
      </w:r>
      <w:r w:rsidR="00C53172">
        <w:rPr>
          <w:sz w:val="24"/>
        </w:rPr>
        <w:t xml:space="preserve">on </w:t>
      </w:r>
      <w:r w:rsidR="00D21891">
        <w:rPr>
          <w:sz w:val="24"/>
        </w:rPr>
        <w:t>January 2018</w:t>
      </w:r>
      <w:r w:rsidR="001223C6">
        <w:rPr>
          <w:sz w:val="24"/>
        </w:rPr>
        <w:t xml:space="preserve"> to increase facility exposure to our validation study. We also communicated/coordinated extensively with </w:t>
      </w:r>
      <w:r w:rsidR="008A2BF8">
        <w:rPr>
          <w:sz w:val="24"/>
        </w:rPr>
        <w:t xml:space="preserve">large facilities </w:t>
      </w:r>
      <w:r w:rsidR="001223C6">
        <w:rPr>
          <w:sz w:val="24"/>
        </w:rPr>
        <w:t xml:space="preserve">to facilitate on-time medical records submission by their participating clinics. </w:t>
      </w:r>
      <w:r w:rsidR="001223C6" w:rsidRPr="00EA6EF1">
        <w:rPr>
          <w:sz w:val="24"/>
        </w:rPr>
        <w:t>Facilities that did not respond to the request for records were subject to a 10</w:t>
      </w:r>
      <w:r w:rsidR="001223C6">
        <w:rPr>
          <w:sz w:val="24"/>
        </w:rPr>
        <w:t>-</w:t>
      </w:r>
      <w:r w:rsidR="001223C6" w:rsidRPr="00EA6EF1">
        <w:rPr>
          <w:sz w:val="24"/>
        </w:rPr>
        <w:t xml:space="preserve">point reduction to their Total Performance Score (TPS).  </w:t>
      </w:r>
      <w:r w:rsidR="001223C6">
        <w:rPr>
          <w:sz w:val="24"/>
        </w:rPr>
        <w:t>T</w:t>
      </w:r>
      <w:r w:rsidR="001223C6" w:rsidRPr="002E43AA">
        <w:rPr>
          <w:sz w:val="24"/>
        </w:rPr>
        <w:t>he response rate fo</w:t>
      </w:r>
      <w:r w:rsidR="001223C6">
        <w:rPr>
          <w:sz w:val="24"/>
        </w:rPr>
        <w:t>r the 2016</w:t>
      </w:r>
      <w:r w:rsidR="001223C6" w:rsidRPr="002E43AA">
        <w:rPr>
          <w:sz w:val="24"/>
        </w:rPr>
        <w:t xml:space="preserve"> validation study was </w:t>
      </w:r>
      <w:r w:rsidR="001223C6">
        <w:rPr>
          <w:sz w:val="24"/>
        </w:rPr>
        <w:t>100%</w:t>
      </w:r>
      <w:r w:rsidR="001223C6" w:rsidRPr="002E43AA">
        <w:rPr>
          <w:sz w:val="24"/>
        </w:rPr>
        <w:t>; of the 300 facilities selected for participation, all eligi</w:t>
      </w:r>
      <w:r w:rsidR="001223C6">
        <w:rPr>
          <w:sz w:val="24"/>
        </w:rPr>
        <w:t xml:space="preserve">ble participating facilities </w:t>
      </w:r>
      <w:r w:rsidR="001223C6" w:rsidRPr="002E43AA">
        <w:rPr>
          <w:sz w:val="24"/>
        </w:rPr>
        <w:t>responded and complie</w:t>
      </w:r>
      <w:r w:rsidR="001223C6">
        <w:rPr>
          <w:sz w:val="24"/>
        </w:rPr>
        <w:t>d with our records request</w:t>
      </w:r>
      <w:r w:rsidR="001223C6" w:rsidRPr="002E43AA">
        <w:rPr>
          <w:sz w:val="24"/>
        </w:rPr>
        <w:t>.</w:t>
      </w:r>
      <w:r w:rsidR="001223C6">
        <w:rPr>
          <w:sz w:val="24"/>
        </w:rPr>
        <w:t xml:space="preserve"> For future validations, we plan to follow the same records request methodology, follow-up, and ESRD community outreach approach we’ve used in the past since it has been effective in producing desired response rates.  </w:t>
      </w:r>
    </w:p>
    <w:p w14:paraId="20D8EBB2" w14:textId="77777777" w:rsidR="001223C6" w:rsidRPr="00B04BD2" w:rsidRDefault="001223C6" w:rsidP="001223C6">
      <w:pPr>
        <w:pStyle w:val="ASTHeading1"/>
        <w:spacing w:before="200" w:after="160"/>
        <w:rPr>
          <w:sz w:val="24"/>
          <w:szCs w:val="24"/>
        </w:rPr>
      </w:pPr>
      <w:r w:rsidRPr="00B04BD2">
        <w:rPr>
          <w:sz w:val="24"/>
          <w:szCs w:val="24"/>
        </w:rPr>
        <w:t>Data Validation</w:t>
      </w:r>
    </w:p>
    <w:p w14:paraId="3CD6BFD1" w14:textId="77777777" w:rsidR="00BF651A" w:rsidRDefault="001223C6" w:rsidP="001223C6">
      <w:pPr>
        <w:rPr>
          <w:sz w:val="24"/>
        </w:rPr>
      </w:pPr>
      <w:r>
        <w:rPr>
          <w:sz w:val="24"/>
        </w:rPr>
        <w:t>The main objective of this analysis is to perform a single comparison of the CROWNWeb system data against CPM element data obtained from the facilities’ records, leading to an evaluation of the reliability (i.e. the data are reasonably complete and accurate) and validity (i.e. the data actually represent what is being measure</w:t>
      </w:r>
      <w:r w:rsidR="00864AD8">
        <w:rPr>
          <w:sz w:val="24"/>
        </w:rPr>
        <w:t>) of CROWNWeb data.</w:t>
      </w:r>
    </w:p>
    <w:p w14:paraId="194A0D51" w14:textId="77777777" w:rsidR="00512126" w:rsidRDefault="00512126" w:rsidP="00512126">
      <w:pPr>
        <w:rPr>
          <w:sz w:val="24"/>
        </w:rPr>
      </w:pPr>
    </w:p>
    <w:p w14:paraId="48ED9E10" w14:textId="77777777" w:rsidR="004A3CA2" w:rsidRPr="004A3CA2" w:rsidRDefault="004A3CA2" w:rsidP="004A3CA2">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Where:</w:t>
      </w:r>
    </w:p>
    <w:p w14:paraId="5ED5AA25" w14:textId="77777777" w:rsidR="004A3CA2" w:rsidRPr="004A3CA2" w:rsidRDefault="004A3CA2" w:rsidP="004A3CA2">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14:paraId="45ED4195" w14:textId="77777777" w:rsidR="004A3CA2" w:rsidRDefault="004A3CA2" w:rsidP="004A3CA2">
      <w:pPr>
        <w:numPr>
          <w:ilvl w:val="1"/>
          <w:numId w:val="7"/>
        </w:numPr>
        <w:rPr>
          <w:iCs/>
          <w:sz w:val="24"/>
          <w:lang w:bidi="en-US"/>
        </w:rPr>
      </w:pPr>
      <w:r w:rsidRPr="004A3CA2">
        <w:rPr>
          <w:iCs/>
          <w:sz w:val="24"/>
          <w:lang w:bidi="en-US"/>
        </w:rPr>
        <w:t>Accuracy refers to the extent recorded data reflect the actual underlying information.</w:t>
      </w:r>
    </w:p>
    <w:p w14:paraId="39F9B96F" w14:textId="77777777" w:rsidR="004F565D" w:rsidRPr="004A3CA2" w:rsidRDefault="004F565D" w:rsidP="00DF7392">
      <w:pPr>
        <w:rPr>
          <w:iCs/>
          <w:sz w:val="24"/>
          <w:lang w:bidi="en-US"/>
        </w:rPr>
      </w:pPr>
    </w:p>
    <w:p w14:paraId="3C4BBC07" w14:textId="77777777" w:rsidR="004A3CA2" w:rsidRDefault="004A3CA2" w:rsidP="004A3CA2">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14:paraId="4079372D" w14:textId="77777777" w:rsidR="004F565D" w:rsidRPr="004A3CA2" w:rsidRDefault="004F565D" w:rsidP="004A3CA2">
      <w:pPr>
        <w:rPr>
          <w:sz w:val="24"/>
          <w:lang w:bidi="en-US"/>
        </w:rPr>
      </w:pPr>
    </w:p>
    <w:p w14:paraId="0546A300" w14:textId="77777777" w:rsidR="004A3CA2" w:rsidRPr="004A3CA2" w:rsidRDefault="004A3CA2" w:rsidP="004A3CA2">
      <w:pPr>
        <w:numPr>
          <w:ilvl w:val="1"/>
          <w:numId w:val="8"/>
        </w:numPr>
        <w:rPr>
          <w:sz w:val="24"/>
          <w:lang w:bidi="en-US"/>
        </w:rPr>
      </w:pPr>
      <w:r w:rsidRPr="004A3CA2">
        <w:rPr>
          <w:sz w:val="24"/>
          <w:lang w:bidi="en-US"/>
        </w:rPr>
        <w:t>The degree to which a measurement, given repeatedly, remains the same,</w:t>
      </w:r>
    </w:p>
    <w:p w14:paraId="01E7EED3" w14:textId="77777777" w:rsidR="004A3CA2" w:rsidRPr="004A3CA2" w:rsidRDefault="004A3CA2" w:rsidP="004A3CA2">
      <w:pPr>
        <w:numPr>
          <w:ilvl w:val="1"/>
          <w:numId w:val="8"/>
        </w:numPr>
        <w:rPr>
          <w:sz w:val="24"/>
          <w:lang w:bidi="en-US"/>
        </w:rPr>
      </w:pPr>
      <w:r w:rsidRPr="004A3CA2">
        <w:rPr>
          <w:sz w:val="24"/>
          <w:lang w:bidi="en-US"/>
        </w:rPr>
        <w:t>The stability of the measurement over time, and</w:t>
      </w:r>
    </w:p>
    <w:p w14:paraId="39C1D47E" w14:textId="77777777" w:rsidR="004A3CA2" w:rsidRDefault="004A3CA2" w:rsidP="004A3CA2">
      <w:pPr>
        <w:numPr>
          <w:ilvl w:val="1"/>
          <w:numId w:val="8"/>
        </w:numPr>
        <w:rPr>
          <w:sz w:val="24"/>
          <w:lang w:bidi="en-US"/>
        </w:rPr>
      </w:pPr>
      <w:r w:rsidRPr="004A3CA2">
        <w:rPr>
          <w:sz w:val="24"/>
          <w:lang w:bidi="en-US"/>
        </w:rPr>
        <w:t>The similarity of measurements within a given time period.</w:t>
      </w:r>
    </w:p>
    <w:p w14:paraId="5C01B653" w14:textId="77777777" w:rsidR="002731DB" w:rsidRPr="004A3CA2" w:rsidRDefault="002731DB" w:rsidP="00DF7392">
      <w:pPr>
        <w:rPr>
          <w:sz w:val="24"/>
          <w:lang w:bidi="en-US"/>
        </w:rPr>
      </w:pPr>
    </w:p>
    <w:p w14:paraId="48BC62BF" w14:textId="77777777" w:rsidR="004A3CA2" w:rsidRDefault="004A3CA2" w:rsidP="004A3CA2">
      <w:pPr>
        <w:numPr>
          <w:ilvl w:val="0"/>
          <w:numId w:val="6"/>
        </w:numPr>
        <w:rPr>
          <w:iCs/>
          <w:sz w:val="24"/>
          <w:lang w:bidi="en-US"/>
        </w:rPr>
      </w:pPr>
      <w:r w:rsidRPr="004A3CA2">
        <w:rPr>
          <w:b/>
          <w:iCs/>
          <w:sz w:val="24"/>
          <w:lang w:bidi="en-US"/>
        </w:rPr>
        <w:t>Validity:</w:t>
      </w:r>
      <w:r w:rsidRPr="004A3CA2">
        <w:rPr>
          <w:iCs/>
          <w:sz w:val="24"/>
          <w:lang w:bidi="en-US"/>
        </w:rPr>
        <w:t xml:space="preserve"> (as used here) refers to whether the data actually represent what one believes is being measured. A number of measures are commonly used to assess validity of any measure.</w:t>
      </w:r>
    </w:p>
    <w:p w14:paraId="7E2515FF" w14:textId="77777777" w:rsidR="002731DB" w:rsidRPr="004A3CA2" w:rsidRDefault="002731DB" w:rsidP="00DF7392">
      <w:pPr>
        <w:ind w:left="360"/>
        <w:rPr>
          <w:iCs/>
          <w:sz w:val="24"/>
          <w:lang w:bidi="en-US"/>
        </w:rPr>
      </w:pPr>
    </w:p>
    <w:p w14:paraId="6FC9C4F4" w14:textId="77777777" w:rsidR="004A3CA2" w:rsidRDefault="004A3CA2" w:rsidP="004A3CA2">
      <w:pPr>
        <w:rPr>
          <w:sz w:val="24"/>
          <w:lang w:bidi="en-US"/>
        </w:rPr>
      </w:pPr>
      <w:bookmarkStart w:id="9" w:name="_Hlk517299521"/>
      <w:r w:rsidRPr="004A3CA2">
        <w:rPr>
          <w:sz w:val="24"/>
          <w:lang w:bidi="en-US"/>
        </w:rPr>
        <w:t>Reproducibility and Validation of the data was calculated in the earlier study using Cohen’s Kappa (</w:t>
      </w:r>
      <w:r w:rsidRPr="004A3CA2">
        <w:rPr>
          <w:sz w:val="24"/>
          <w:lang w:bidi="en-US"/>
        </w:rPr>
        <w:sym w:font="Symbol" w:char="F06B"/>
      </w:r>
      <w:r w:rsidRPr="004A3CA2">
        <w:rPr>
          <w:sz w:val="24"/>
          <w:lang w:bidi="en-US"/>
        </w:rPr>
        <w:t>) because it is an overall measure of agreement between the test and reference databases. As referenced from the 2016 report, a number of difficulties in the interpretation of Cohen’s Kappa have been pointed out and several statistical fixes have been proposed. Kappa not only measures agreement, but it is affected in complex ways by the distribution of data across categories that are used (“prevalence”) and by bias that may be inherent in the measures used. These are the problems associated with Kappa (Feinstein and Cicchetti, 1990):</w:t>
      </w:r>
    </w:p>
    <w:p w14:paraId="2A95C572" w14:textId="77777777" w:rsidR="002731DB" w:rsidRPr="004A3CA2" w:rsidRDefault="002731DB" w:rsidP="004A3CA2">
      <w:pPr>
        <w:rPr>
          <w:sz w:val="24"/>
          <w:lang w:bidi="en-US"/>
        </w:rPr>
      </w:pPr>
    </w:p>
    <w:p w14:paraId="4EC4632E" w14:textId="77777777" w:rsidR="004A3CA2" w:rsidRPr="004A3CA2" w:rsidRDefault="004A3CA2" w:rsidP="004A3CA2">
      <w:pPr>
        <w:numPr>
          <w:ilvl w:val="0"/>
          <w:numId w:val="3"/>
        </w:numPr>
        <w:rPr>
          <w:sz w:val="24"/>
          <w:lang w:bidi="en-US"/>
        </w:rPr>
      </w:pPr>
      <w:r w:rsidRPr="004A3CA2">
        <w:rPr>
          <w:sz w:val="24"/>
          <w:lang w:bidi="en-US"/>
        </w:rPr>
        <w:t>If the expected agreement (</w:t>
      </w:r>
      <w:r w:rsidRPr="004A3CA2">
        <w:rPr>
          <w:i/>
          <w:sz w:val="24"/>
          <w:lang w:bidi="en-US"/>
        </w:rPr>
        <w:t>p</w:t>
      </w:r>
      <w:r w:rsidRPr="004A3CA2">
        <w:rPr>
          <w:i/>
          <w:sz w:val="24"/>
          <w:vertAlign w:val="subscript"/>
          <w:lang w:bidi="en-US"/>
        </w:rPr>
        <w:t>e</w:t>
      </w:r>
      <w:r w:rsidRPr="004A3CA2">
        <w:rPr>
          <w:sz w:val="24"/>
          <w:lang w:bidi="en-US"/>
        </w:rPr>
        <w:t>) is large, the correction process can convert a relatively high value of the observed agreement (</w:t>
      </w:r>
      <w:r w:rsidRPr="004A3CA2">
        <w:rPr>
          <w:i/>
          <w:sz w:val="24"/>
          <w:lang w:bidi="en-US"/>
        </w:rPr>
        <w:t>p</w:t>
      </w:r>
      <w:r w:rsidRPr="004A3CA2">
        <w:rPr>
          <w:i/>
          <w:sz w:val="24"/>
          <w:vertAlign w:val="subscript"/>
          <w:lang w:bidi="en-US"/>
        </w:rPr>
        <w:t>o</w:t>
      </w:r>
      <w:r w:rsidRPr="004A3CA2">
        <w:rPr>
          <w:sz w:val="24"/>
          <w:lang w:bidi="en-US"/>
        </w:rPr>
        <w:t>) into a low value of Kappa (</w:t>
      </w:r>
      <w:r w:rsidRPr="004A3CA2">
        <w:rPr>
          <w:sz w:val="24"/>
          <w:lang w:bidi="en-US"/>
        </w:rPr>
        <w:sym w:font="Symbol" w:char="F06B"/>
      </w:r>
      <w:r w:rsidRPr="004A3CA2">
        <w:rPr>
          <w:sz w:val="24"/>
          <w:lang w:bidi="en-US"/>
        </w:rPr>
        <w:t>).</w:t>
      </w:r>
    </w:p>
    <w:p w14:paraId="5F1DC176" w14:textId="77777777" w:rsidR="004A3CA2" w:rsidRDefault="004A3CA2" w:rsidP="004A3CA2">
      <w:pPr>
        <w:numPr>
          <w:ilvl w:val="0"/>
          <w:numId w:val="3"/>
        </w:numPr>
        <w:rPr>
          <w:sz w:val="24"/>
          <w:lang w:bidi="en-US"/>
        </w:rPr>
      </w:pPr>
      <w:r w:rsidRPr="004A3CA2">
        <w:rPr>
          <w:sz w:val="24"/>
          <w:lang w:bidi="en-US"/>
        </w:rPr>
        <w:t xml:space="preserve">Unbalanced marginal totals produce higher values of </w:t>
      </w:r>
      <w:r w:rsidRPr="004A3CA2">
        <w:rPr>
          <w:sz w:val="24"/>
          <w:lang w:bidi="en-US"/>
        </w:rPr>
        <w:sym w:font="Symbol" w:char="F06B"/>
      </w:r>
      <w:r w:rsidRPr="004A3CA2">
        <w:rPr>
          <w:sz w:val="24"/>
          <w:lang w:bidi="en-US"/>
        </w:rPr>
        <w:t xml:space="preserve"> than balanced totals.</w:t>
      </w:r>
    </w:p>
    <w:p w14:paraId="1393BF56" w14:textId="77777777" w:rsidR="002731DB" w:rsidRPr="004A3CA2" w:rsidRDefault="002731DB" w:rsidP="00DF7392">
      <w:pPr>
        <w:ind w:left="360"/>
        <w:rPr>
          <w:sz w:val="24"/>
          <w:lang w:bidi="en-US"/>
        </w:rPr>
      </w:pPr>
    </w:p>
    <w:p w14:paraId="261FF633" w14:textId="77777777" w:rsidR="004A3CA2" w:rsidRPr="004A3CA2" w:rsidRDefault="004A3CA2" w:rsidP="004A3CA2">
      <w:pPr>
        <w:rPr>
          <w:sz w:val="24"/>
          <w:lang w:bidi="en-US"/>
        </w:rPr>
      </w:pPr>
      <w:r w:rsidRPr="004A3CA2">
        <w:rPr>
          <w:sz w:val="24"/>
          <w:lang w:bidi="en-US"/>
        </w:rPr>
        <w:t xml:space="preserve">Kappa is also affected both by any bias between the two (2) measures of gender and by the overall prevalence (the relative probability of the responses – the “Yes” and “No” responses). </w:t>
      </w:r>
    </w:p>
    <w:p w14:paraId="3334BF98" w14:textId="32FBA21B" w:rsidR="002731DB" w:rsidRDefault="004A3CA2" w:rsidP="004A3CA2">
      <w:pPr>
        <w:rPr>
          <w:sz w:val="24"/>
          <w:lang w:bidi="en-US"/>
        </w:rPr>
      </w:pPr>
      <w:r w:rsidRPr="004A3CA2">
        <w:rPr>
          <w:sz w:val="24"/>
          <w:lang w:bidi="en-US"/>
        </w:rPr>
        <w:t>The previous approach centered on the quantification of agreement between reviewers for example, the proportion of times two ratings of the same case agree, the proportion of times raters agree on specific categories, the proportions of times different raters use the various rating levels, etc.</w:t>
      </w:r>
    </w:p>
    <w:p w14:paraId="7A86A50B" w14:textId="77777777" w:rsidR="00983AFF" w:rsidRPr="004A3CA2" w:rsidRDefault="00983AFF" w:rsidP="004A3CA2">
      <w:pPr>
        <w:rPr>
          <w:sz w:val="24"/>
          <w:lang w:bidi="en-US"/>
        </w:rPr>
      </w:pPr>
    </w:p>
    <w:p w14:paraId="09A7057C" w14:textId="77777777" w:rsidR="004A3CA2" w:rsidRDefault="004A3CA2" w:rsidP="004A3CA2">
      <w:pPr>
        <w:rPr>
          <w:sz w:val="24"/>
          <w:lang w:bidi="en-US"/>
        </w:rPr>
      </w:pPr>
      <w:r w:rsidRPr="004A3CA2">
        <w:rPr>
          <w:sz w:val="24"/>
          <w:lang w:bidi="en-US"/>
        </w:rPr>
        <w:t>We propose in addition to the quantification of agreement, the development of a model about how ratings are made and why raters agree or disagree. This model will be explicit, as with latent structure models.</w:t>
      </w:r>
    </w:p>
    <w:p w14:paraId="678A22A9" w14:textId="77777777" w:rsidR="002731DB" w:rsidRPr="004A3CA2" w:rsidRDefault="002731DB" w:rsidP="004A3CA2">
      <w:pPr>
        <w:rPr>
          <w:sz w:val="24"/>
          <w:lang w:bidi="en-US"/>
        </w:rPr>
      </w:pPr>
    </w:p>
    <w:p w14:paraId="3960AB93" w14:textId="77777777" w:rsidR="004A3CA2" w:rsidRDefault="004A3CA2" w:rsidP="004A3CA2">
      <w:pPr>
        <w:rPr>
          <w:sz w:val="24"/>
          <w:lang w:bidi="en-US"/>
        </w:rPr>
      </w:pPr>
      <w:r w:rsidRPr="004A3CA2">
        <w:rPr>
          <w:sz w:val="24"/>
          <w:lang w:bidi="en-US"/>
        </w:rPr>
        <w:t xml:space="preserve">Analysis of variance (ANOVA) is a general statistical technique to analysis deviation and identifies other variation’s sources in a measurement system. Using ANOVA, we will estimate Common Cause Variation, which is the variance of the actual measurement, and it is the sum of four components: </w:t>
      </w:r>
    </w:p>
    <w:p w14:paraId="4CA2FBBF" w14:textId="77777777" w:rsidR="002731DB" w:rsidRPr="004A3CA2" w:rsidRDefault="002731DB" w:rsidP="004A3CA2">
      <w:pPr>
        <w:rPr>
          <w:sz w:val="24"/>
          <w:lang w:bidi="en-US"/>
        </w:rPr>
      </w:pPr>
    </w:p>
    <w:p w14:paraId="23A0A3F5" w14:textId="77777777" w:rsidR="004A3CA2" w:rsidRPr="004A3CA2" w:rsidRDefault="004A3CA2" w:rsidP="004A3CA2">
      <w:pPr>
        <w:rPr>
          <w:sz w:val="24"/>
          <w:lang w:bidi="en-US"/>
        </w:rPr>
      </w:pPr>
      <w:r w:rsidRPr="004A3CA2">
        <w:rPr>
          <w:sz w:val="24"/>
          <w:lang w:bidi="en-US"/>
        </w:rPr>
        <w:t xml:space="preserve">• The </w:t>
      </w:r>
      <w:r w:rsidRPr="004A3CA2">
        <w:rPr>
          <w:sz w:val="24"/>
          <w:u w:val="single"/>
          <w:lang w:bidi="en-US"/>
        </w:rPr>
        <w:t xml:space="preserve">true </w:t>
      </w:r>
      <w:r w:rsidRPr="004A3CA2">
        <w:rPr>
          <w:iCs/>
          <w:sz w:val="24"/>
          <w:u w:val="single"/>
          <w:lang w:bidi="en-US"/>
        </w:rPr>
        <w:t xml:space="preserve">record </w:t>
      </w:r>
      <w:r w:rsidRPr="004A3CA2">
        <w:rPr>
          <w:iCs/>
          <w:sz w:val="24"/>
          <w:lang w:bidi="en-US"/>
        </w:rPr>
        <w:t>variation;</w:t>
      </w:r>
    </w:p>
    <w:p w14:paraId="64BEB21D" w14:textId="77777777" w:rsidR="004A3CA2" w:rsidRPr="004A3CA2" w:rsidRDefault="004A3CA2" w:rsidP="004A3CA2">
      <w:pPr>
        <w:rPr>
          <w:iCs/>
          <w:sz w:val="24"/>
          <w:lang w:bidi="en-US"/>
        </w:rPr>
      </w:pPr>
      <w:r w:rsidRPr="004A3CA2">
        <w:rPr>
          <w:sz w:val="24"/>
          <w:lang w:bidi="en-US"/>
        </w:rPr>
        <w:t xml:space="preserve">• Variation due to </w:t>
      </w:r>
      <w:r w:rsidRPr="004A3CA2">
        <w:rPr>
          <w:sz w:val="24"/>
          <w:u w:val="single"/>
          <w:lang w:bidi="en-US"/>
        </w:rPr>
        <w:t xml:space="preserve">same </w:t>
      </w:r>
      <w:r w:rsidRPr="004A3CA2">
        <w:rPr>
          <w:iCs/>
          <w:sz w:val="24"/>
          <w:u w:val="single"/>
          <w:lang w:bidi="en-US"/>
        </w:rPr>
        <w:t>reviewer</w:t>
      </w:r>
      <w:r w:rsidRPr="004A3CA2">
        <w:rPr>
          <w:iCs/>
          <w:sz w:val="24"/>
          <w:lang w:bidi="en-US"/>
        </w:rPr>
        <w:t xml:space="preserve"> (reproducibility);</w:t>
      </w:r>
    </w:p>
    <w:p w14:paraId="02C3E0A6" w14:textId="77777777" w:rsidR="004A3CA2" w:rsidRPr="004A3CA2" w:rsidRDefault="004A3CA2" w:rsidP="004A3CA2">
      <w:pPr>
        <w:rPr>
          <w:iCs/>
          <w:sz w:val="24"/>
          <w:lang w:bidi="en-US"/>
        </w:rPr>
      </w:pPr>
      <w:r w:rsidRPr="004A3CA2">
        <w:rPr>
          <w:sz w:val="24"/>
          <w:lang w:bidi="en-US"/>
        </w:rPr>
        <w:t xml:space="preserve">• Variation due to </w:t>
      </w:r>
      <w:r w:rsidRPr="004A3CA2">
        <w:rPr>
          <w:sz w:val="24"/>
          <w:u w:val="single"/>
          <w:lang w:bidi="en-US"/>
        </w:rPr>
        <w:t xml:space="preserve">different </w:t>
      </w:r>
      <w:r w:rsidRPr="004A3CA2">
        <w:rPr>
          <w:iCs/>
          <w:sz w:val="24"/>
          <w:u w:val="single"/>
          <w:lang w:bidi="en-US"/>
        </w:rPr>
        <w:t>reviewers</w:t>
      </w:r>
      <w:r w:rsidRPr="004A3CA2">
        <w:rPr>
          <w:iCs/>
          <w:sz w:val="24"/>
          <w:lang w:bidi="en-US"/>
        </w:rPr>
        <w:t xml:space="preserve"> (repeatability); and</w:t>
      </w:r>
    </w:p>
    <w:p w14:paraId="2F8DF92D" w14:textId="77777777" w:rsidR="004A3CA2" w:rsidRDefault="004A3CA2" w:rsidP="004A3CA2">
      <w:pPr>
        <w:rPr>
          <w:iCs/>
          <w:sz w:val="24"/>
          <w:lang w:bidi="en-US"/>
        </w:rPr>
      </w:pPr>
      <w:r w:rsidRPr="004A3CA2">
        <w:rPr>
          <w:sz w:val="24"/>
          <w:lang w:bidi="en-US"/>
        </w:rPr>
        <w:t xml:space="preserve">• Variation due to record by </w:t>
      </w:r>
      <w:r w:rsidRPr="004A3CA2">
        <w:rPr>
          <w:iCs/>
          <w:sz w:val="24"/>
          <w:u w:val="single"/>
          <w:lang w:bidi="en-US"/>
        </w:rPr>
        <w:t>reviewer interaction</w:t>
      </w:r>
      <w:r w:rsidRPr="004A3CA2">
        <w:rPr>
          <w:iCs/>
          <w:sz w:val="24"/>
          <w:lang w:bidi="en-US"/>
        </w:rPr>
        <w:t xml:space="preserve"> (between reviewer and the “gold standard”).</w:t>
      </w:r>
    </w:p>
    <w:p w14:paraId="749D0804" w14:textId="77777777" w:rsidR="009F16D3" w:rsidRPr="004A3CA2" w:rsidRDefault="009F16D3" w:rsidP="004A3CA2">
      <w:pPr>
        <w:rPr>
          <w:sz w:val="24"/>
          <w:lang w:bidi="en-US"/>
        </w:rPr>
      </w:pPr>
    </w:p>
    <w:p w14:paraId="47497C09" w14:textId="77777777" w:rsidR="004A3CA2" w:rsidRDefault="004A3CA2" w:rsidP="004A3CA2">
      <w:pPr>
        <w:rPr>
          <w:sz w:val="24"/>
          <w:lang w:bidi="en-US"/>
        </w:rPr>
      </w:pPr>
      <w:r w:rsidRPr="004A3CA2">
        <w:rPr>
          <w:sz w:val="24"/>
          <w:lang w:bidi="en-US"/>
        </w:rPr>
        <w:t xml:space="preserve">The calculation of variance components and standard deviations using ANOVA is equivalent to calculating variance and standard deviation for a single variable but it enables multiple sources of variation to be individually quantified which are simultaneously influencing a single data set. </w:t>
      </w:r>
    </w:p>
    <w:p w14:paraId="69284566" w14:textId="77777777" w:rsidR="002731DB" w:rsidRPr="004A3CA2" w:rsidRDefault="002731DB" w:rsidP="004A3CA2">
      <w:pPr>
        <w:rPr>
          <w:sz w:val="24"/>
          <w:lang w:bidi="en-US"/>
        </w:rPr>
      </w:pPr>
    </w:p>
    <w:p w14:paraId="48FB5BFB" w14:textId="77777777" w:rsidR="004A3CA2" w:rsidRDefault="004A3CA2" w:rsidP="004A3CA2">
      <w:pPr>
        <w:rPr>
          <w:sz w:val="24"/>
          <w:lang w:bidi="en-US"/>
        </w:rPr>
      </w:pPr>
      <w:r w:rsidRPr="004A3CA2">
        <w:rPr>
          <w:sz w:val="24"/>
          <w:lang w:bidi="en-US"/>
        </w:rPr>
        <w:t xml:space="preserve">Two basic principles are evident: </w:t>
      </w:r>
    </w:p>
    <w:p w14:paraId="6E0484AC" w14:textId="77777777" w:rsidR="002731DB" w:rsidRPr="004A3CA2" w:rsidRDefault="002731DB" w:rsidP="004A3CA2">
      <w:pPr>
        <w:rPr>
          <w:sz w:val="24"/>
          <w:lang w:bidi="en-US"/>
        </w:rPr>
      </w:pPr>
    </w:p>
    <w:p w14:paraId="3E62A82E" w14:textId="77777777" w:rsidR="004A3CA2" w:rsidRPr="004A3CA2" w:rsidRDefault="004A3CA2" w:rsidP="004A3CA2">
      <w:pPr>
        <w:numPr>
          <w:ilvl w:val="0"/>
          <w:numId w:val="9"/>
        </w:numPr>
        <w:rPr>
          <w:sz w:val="24"/>
          <w:lang w:bidi="en-US"/>
        </w:rPr>
      </w:pPr>
      <w:r w:rsidRPr="004A3CA2">
        <w:rPr>
          <w:sz w:val="24"/>
          <w:lang w:bidi="en-US"/>
        </w:rPr>
        <w:t>It is better to have a model that is explicitly understood than one which is only implicit and potentially not understood.</w:t>
      </w:r>
    </w:p>
    <w:p w14:paraId="69DAC38D" w14:textId="77777777" w:rsidR="004A3CA2" w:rsidRDefault="004A3CA2" w:rsidP="004A3CA2">
      <w:pPr>
        <w:numPr>
          <w:ilvl w:val="0"/>
          <w:numId w:val="9"/>
        </w:numPr>
        <w:rPr>
          <w:sz w:val="24"/>
          <w:lang w:bidi="en-US"/>
        </w:rPr>
      </w:pPr>
      <w:r w:rsidRPr="004A3CA2">
        <w:rPr>
          <w:sz w:val="24"/>
          <w:lang w:bidi="en-US"/>
        </w:rPr>
        <w:t>The model should be testable.</w:t>
      </w:r>
    </w:p>
    <w:p w14:paraId="088CE612" w14:textId="77777777" w:rsidR="002731DB" w:rsidRPr="004A3CA2" w:rsidRDefault="002731DB" w:rsidP="00DF7392">
      <w:pPr>
        <w:rPr>
          <w:sz w:val="24"/>
          <w:lang w:bidi="en-US"/>
        </w:rPr>
      </w:pPr>
    </w:p>
    <w:p w14:paraId="2062FEF5" w14:textId="77777777" w:rsidR="004A3CA2" w:rsidRPr="004A3CA2" w:rsidRDefault="004A3CA2" w:rsidP="004A3CA2">
      <w:pPr>
        <w:rPr>
          <w:b/>
          <w:bCs/>
          <w:sz w:val="24"/>
          <w:u w:val="single"/>
          <w:lang w:bidi="en-US"/>
        </w:rPr>
      </w:pPr>
      <w:r w:rsidRPr="004A3CA2">
        <w:rPr>
          <w:sz w:val="24"/>
          <w:lang w:bidi="en-US"/>
        </w:rPr>
        <w:t>In our interpretation of these measures, we will identify the key sources of overall disagreement between the CROWNWeb and NHSN data and the “gold standard.”</w:t>
      </w:r>
      <w:bookmarkEnd w:id="9"/>
    </w:p>
    <w:p w14:paraId="4D0A22E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A721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14:paraId="75283C63"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A1A637" w14:textId="2D3AD6B0"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in order to meet Section 494.108(h) of the 2008 updated Conditions for Coverage</w:t>
      </w:r>
      <w:r>
        <w:rPr>
          <w:sz w:val="24"/>
          <w:lang w:bidi="en-US"/>
        </w:rPr>
        <w:t xml:space="preserve"> for ESRD Dialysis Facilities.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No additional </w:t>
      </w:r>
      <w:r w:rsidRPr="00E2704D">
        <w:rPr>
          <w:sz w:val="24"/>
          <w:lang w:bidi="en-US"/>
        </w:rPr>
        <w:t>tests of procedures or methods to be undertaken</w:t>
      </w:r>
      <w:r>
        <w:rPr>
          <w:sz w:val="24"/>
          <w:lang w:bidi="en-US"/>
        </w:rPr>
        <w:t xml:space="preserve"> are expected.</w:t>
      </w:r>
    </w:p>
    <w:p w14:paraId="0B725663" w14:textId="77777777" w:rsidR="00470EBC" w:rsidRPr="005D01AE"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68D59A"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CD75348"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7C99B1" w14:textId="56F6BA18" w:rsidR="00560BE4"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299684"/>
      <w:r>
        <w:rPr>
          <w:sz w:val="24"/>
        </w:rPr>
        <w:t>Khalil Abdul-Rahman</w:t>
      </w:r>
      <w:r w:rsidR="00512126">
        <w:rPr>
          <w:sz w:val="24"/>
        </w:rPr>
        <w:t xml:space="preserve">, </w:t>
      </w:r>
      <w:r>
        <w:rPr>
          <w:sz w:val="24"/>
        </w:rPr>
        <w:t>RELI Group</w:t>
      </w:r>
      <w:r w:rsidR="00512126">
        <w:rPr>
          <w:sz w:val="24"/>
        </w:rPr>
        <w:t>, (</w:t>
      </w:r>
      <w:r>
        <w:rPr>
          <w:sz w:val="24"/>
        </w:rPr>
        <w:t>410</w:t>
      </w:r>
      <w:r w:rsidR="00512126">
        <w:rPr>
          <w:sz w:val="24"/>
        </w:rPr>
        <w:t xml:space="preserve">) </w:t>
      </w:r>
      <w:r>
        <w:rPr>
          <w:sz w:val="24"/>
        </w:rPr>
        <w:t>533</w:t>
      </w:r>
      <w:r w:rsidR="00512126">
        <w:rPr>
          <w:sz w:val="24"/>
        </w:rPr>
        <w:t>-</w:t>
      </w:r>
      <w:r>
        <w:rPr>
          <w:sz w:val="24"/>
        </w:rPr>
        <w:t>2384</w:t>
      </w:r>
      <w:bookmarkEnd w:id="10"/>
    </w:p>
    <w:p w14:paraId="3C212F79" w14:textId="13BD8ADB" w:rsidR="009F16D3"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1" w:name="_Hlk517334648"/>
      <w:r>
        <w:rPr>
          <w:sz w:val="24"/>
        </w:rPr>
        <w:t>Siva Bala, RELI Group</w:t>
      </w:r>
      <w:r w:rsidR="00512126">
        <w:rPr>
          <w:sz w:val="24"/>
        </w:rPr>
        <w:t>, (</w:t>
      </w:r>
      <w:r>
        <w:rPr>
          <w:sz w:val="24"/>
        </w:rPr>
        <w:t>440</w:t>
      </w:r>
      <w:r w:rsidR="00512126">
        <w:rPr>
          <w:sz w:val="24"/>
        </w:rPr>
        <w:t xml:space="preserve">) </w:t>
      </w:r>
      <w:r>
        <w:rPr>
          <w:sz w:val="24"/>
        </w:rPr>
        <w:t>382</w:t>
      </w:r>
      <w:r w:rsidR="00512126">
        <w:rPr>
          <w:sz w:val="24"/>
        </w:rPr>
        <w:t>-</w:t>
      </w:r>
      <w:r>
        <w:rPr>
          <w:sz w:val="24"/>
        </w:rPr>
        <w:t>7415</w:t>
      </w:r>
    </w:p>
    <w:p w14:paraId="6027134A" w14:textId="6984C11B" w:rsidR="009F16D3" w:rsidRDefault="009F16D3"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RELI Group</w:t>
      </w:r>
      <w:r w:rsidR="00C53172">
        <w:rPr>
          <w:sz w:val="24"/>
        </w:rPr>
        <w:t>,</w:t>
      </w:r>
      <w:r>
        <w:rPr>
          <w:sz w:val="24"/>
        </w:rPr>
        <w:t xml:space="preserve"> (410) 504-4394</w:t>
      </w:r>
    </w:p>
    <w:bookmarkEnd w:id="11"/>
    <w:p w14:paraId="0920987D" w14:textId="77777777" w:rsidR="00512126" w:rsidRPr="00512126" w:rsidRDefault="00512126" w:rsidP="00DF73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12126" w:rsidRPr="0051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77CA8" w14:textId="77777777" w:rsidR="00BC4095" w:rsidRDefault="00BC4095" w:rsidP="00114210">
      <w:r>
        <w:separator/>
      </w:r>
    </w:p>
  </w:endnote>
  <w:endnote w:type="continuationSeparator" w:id="0">
    <w:p w14:paraId="4EC21CC8" w14:textId="77777777" w:rsidR="00BC4095" w:rsidRDefault="00BC4095"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71D1C" w14:textId="77777777" w:rsidR="00BC4095" w:rsidRDefault="00BC4095" w:rsidP="00114210">
      <w:r>
        <w:separator/>
      </w:r>
    </w:p>
  </w:footnote>
  <w:footnote w:type="continuationSeparator" w:id="0">
    <w:p w14:paraId="608565C3" w14:textId="77777777" w:rsidR="00BC4095" w:rsidRDefault="00BC4095"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3C"/>
    <w:rsid w:val="00042F97"/>
    <w:rsid w:val="00094325"/>
    <w:rsid w:val="00114210"/>
    <w:rsid w:val="00115C2E"/>
    <w:rsid w:val="001223C6"/>
    <w:rsid w:val="00167A1E"/>
    <w:rsid w:val="001A5C73"/>
    <w:rsid w:val="001F5A7B"/>
    <w:rsid w:val="00215DC3"/>
    <w:rsid w:val="00234EC0"/>
    <w:rsid w:val="002571FC"/>
    <w:rsid w:val="00271E02"/>
    <w:rsid w:val="002731DB"/>
    <w:rsid w:val="002A50CA"/>
    <w:rsid w:val="002C136C"/>
    <w:rsid w:val="00334A90"/>
    <w:rsid w:val="003501AB"/>
    <w:rsid w:val="00371264"/>
    <w:rsid w:val="003F41C1"/>
    <w:rsid w:val="0041466A"/>
    <w:rsid w:val="00446744"/>
    <w:rsid w:val="00470EBC"/>
    <w:rsid w:val="004A3CA2"/>
    <w:rsid w:val="004B1EF0"/>
    <w:rsid w:val="004E00A5"/>
    <w:rsid w:val="004F565D"/>
    <w:rsid w:val="00512126"/>
    <w:rsid w:val="00537EB3"/>
    <w:rsid w:val="00560BE4"/>
    <w:rsid w:val="005B1812"/>
    <w:rsid w:val="00643477"/>
    <w:rsid w:val="006452EB"/>
    <w:rsid w:val="006459AA"/>
    <w:rsid w:val="00657558"/>
    <w:rsid w:val="00681E79"/>
    <w:rsid w:val="006A60B7"/>
    <w:rsid w:val="00736E54"/>
    <w:rsid w:val="0075350A"/>
    <w:rsid w:val="00757F17"/>
    <w:rsid w:val="007635C1"/>
    <w:rsid w:val="007C3591"/>
    <w:rsid w:val="007D1DE8"/>
    <w:rsid w:val="008638FE"/>
    <w:rsid w:val="00864AD8"/>
    <w:rsid w:val="008A2BF8"/>
    <w:rsid w:val="00910509"/>
    <w:rsid w:val="0091602F"/>
    <w:rsid w:val="009837A8"/>
    <w:rsid w:val="00983AFF"/>
    <w:rsid w:val="009D51E8"/>
    <w:rsid w:val="009F16D3"/>
    <w:rsid w:val="00A023A1"/>
    <w:rsid w:val="00A21F03"/>
    <w:rsid w:val="00A26218"/>
    <w:rsid w:val="00AB65BA"/>
    <w:rsid w:val="00AE005B"/>
    <w:rsid w:val="00AE343C"/>
    <w:rsid w:val="00B41678"/>
    <w:rsid w:val="00B44ED1"/>
    <w:rsid w:val="00B77E9E"/>
    <w:rsid w:val="00BC4095"/>
    <w:rsid w:val="00BF651A"/>
    <w:rsid w:val="00C03358"/>
    <w:rsid w:val="00C42299"/>
    <w:rsid w:val="00C53172"/>
    <w:rsid w:val="00CA349B"/>
    <w:rsid w:val="00CA6C1B"/>
    <w:rsid w:val="00CA7195"/>
    <w:rsid w:val="00D21891"/>
    <w:rsid w:val="00DD1EC1"/>
    <w:rsid w:val="00DF7392"/>
    <w:rsid w:val="00E0303B"/>
    <w:rsid w:val="00E1774E"/>
    <w:rsid w:val="00EC1101"/>
    <w:rsid w:val="00F424C6"/>
    <w:rsid w:val="00F61B0B"/>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2018-11-15T19:52:00Z</dcterms:created>
  <dcterms:modified xsi:type="dcterms:W3CDTF">2018-11-15T19:52:00Z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