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7E29" w14:textId="77777777" w:rsidR="00E35DD1" w:rsidRPr="00436859" w:rsidRDefault="00E35DD1" w:rsidP="00767C53">
      <w:pPr>
        <w:pStyle w:val="P1-StandPara"/>
        <w:tabs>
          <w:tab w:val="left" w:pos="720"/>
          <w:tab w:val="right" w:leader="dot" w:pos="9504"/>
        </w:tabs>
        <w:spacing w:before="120" w:after="120"/>
        <w:ind w:firstLine="0"/>
        <w:jc w:val="center"/>
        <w:rPr>
          <w:rFonts w:asciiTheme="minorHAnsi" w:hAnsiTheme="minorHAnsi"/>
          <w:color w:val="FF0000"/>
          <w:szCs w:val="22"/>
        </w:rPr>
      </w:pPr>
      <w:bookmarkStart w:id="0" w:name="_GoBack"/>
      <w:bookmarkEnd w:id="0"/>
      <w:r w:rsidRPr="00436859">
        <w:rPr>
          <w:rFonts w:asciiTheme="minorHAnsi" w:hAnsiTheme="minorHAnsi"/>
          <w:szCs w:val="22"/>
        </w:rPr>
        <w:t>Supporting Statement A for</w:t>
      </w:r>
      <w:r w:rsidR="00EB1ADE" w:rsidRPr="00436859">
        <w:rPr>
          <w:rFonts w:asciiTheme="minorHAnsi" w:hAnsiTheme="minorHAnsi"/>
          <w:szCs w:val="22"/>
        </w:rPr>
        <w:t xml:space="preserve"> Clearance</w:t>
      </w:r>
      <w:r w:rsidR="00B35DF6" w:rsidRPr="00436859">
        <w:rPr>
          <w:rFonts w:asciiTheme="minorHAnsi" w:hAnsiTheme="minorHAnsi"/>
          <w:szCs w:val="22"/>
        </w:rPr>
        <w:t xml:space="preserve"> for</w:t>
      </w:r>
    </w:p>
    <w:p w14:paraId="49F4CC87" w14:textId="77777777" w:rsidR="00E35DD1" w:rsidRPr="00436859" w:rsidRDefault="00E35DD1" w:rsidP="00E35DD1">
      <w:pPr>
        <w:pStyle w:val="P1-StandPara"/>
        <w:tabs>
          <w:tab w:val="left" w:pos="720"/>
          <w:tab w:val="right" w:leader="dot" w:pos="9504"/>
        </w:tabs>
        <w:spacing w:before="120" w:after="120"/>
        <w:ind w:firstLine="0"/>
        <w:rPr>
          <w:rFonts w:asciiTheme="minorHAnsi" w:hAnsiTheme="minorHAnsi"/>
          <w:szCs w:val="22"/>
        </w:rPr>
      </w:pPr>
      <w:r w:rsidRPr="00436859">
        <w:rPr>
          <w:rFonts w:asciiTheme="minorHAnsi" w:hAnsiTheme="minorHAnsi"/>
          <w:szCs w:val="22"/>
        </w:rPr>
        <w:t xml:space="preserve">                    </w:t>
      </w:r>
    </w:p>
    <w:p w14:paraId="4F572485" w14:textId="77777777" w:rsidR="00E35DD1" w:rsidRPr="00436859" w:rsidRDefault="009F76A7" w:rsidP="002A28D1">
      <w:pPr>
        <w:pStyle w:val="P1-StandPara"/>
        <w:tabs>
          <w:tab w:val="left" w:pos="720"/>
          <w:tab w:val="right" w:leader="dot" w:pos="9504"/>
        </w:tabs>
        <w:spacing w:before="120" w:after="120"/>
        <w:ind w:firstLine="0"/>
        <w:jc w:val="center"/>
        <w:rPr>
          <w:rFonts w:asciiTheme="minorHAnsi" w:hAnsiTheme="minorHAnsi"/>
          <w:b/>
          <w:szCs w:val="22"/>
        </w:rPr>
      </w:pPr>
      <w:r w:rsidRPr="00436859">
        <w:rPr>
          <w:rFonts w:asciiTheme="minorHAnsi" w:hAnsiTheme="minorHAnsi"/>
          <w:b/>
          <w:szCs w:val="22"/>
        </w:rPr>
        <w:t>Data and Specimen Hub (DASH)</w:t>
      </w:r>
      <w:r w:rsidR="006E631F" w:rsidRPr="00436859">
        <w:rPr>
          <w:rFonts w:asciiTheme="minorHAnsi" w:hAnsiTheme="minorHAnsi"/>
          <w:b/>
          <w:szCs w:val="22"/>
        </w:rPr>
        <w:t xml:space="preserve"> (NICHD)</w:t>
      </w:r>
    </w:p>
    <w:p w14:paraId="5D20D51C" w14:textId="77777777" w:rsidR="00024899" w:rsidRPr="006E631F" w:rsidRDefault="006E631F" w:rsidP="006E631F">
      <w:pPr>
        <w:pStyle w:val="P1-StandPara"/>
        <w:tabs>
          <w:tab w:val="left" w:pos="720"/>
          <w:tab w:val="right" w:leader="dot" w:pos="9504"/>
        </w:tabs>
        <w:spacing w:before="120" w:after="120"/>
        <w:ind w:firstLine="0"/>
        <w:jc w:val="center"/>
        <w:rPr>
          <w:rFonts w:asciiTheme="minorHAnsi" w:hAnsiTheme="minorHAnsi"/>
          <w:szCs w:val="22"/>
        </w:rPr>
      </w:pPr>
      <w:r w:rsidRPr="00A627A4">
        <w:rPr>
          <w:rFonts w:asciiTheme="minorHAnsi" w:hAnsiTheme="minorHAnsi"/>
          <w:b/>
          <w:szCs w:val="22"/>
          <w:highlight w:val="yellow"/>
        </w:rPr>
        <w:t>OMB Number: 0925-0744, Expiration Date: 6/30/19</w:t>
      </w:r>
    </w:p>
    <w:p w14:paraId="5E587B8E" w14:textId="77777777" w:rsidR="005A6E7C" w:rsidRDefault="005A6E7C" w:rsidP="00E35DD1">
      <w:pPr>
        <w:pStyle w:val="P1-StandPara"/>
        <w:tabs>
          <w:tab w:val="left" w:pos="720"/>
          <w:tab w:val="right" w:leader="dot" w:pos="9504"/>
        </w:tabs>
        <w:spacing w:before="120" w:after="120"/>
        <w:ind w:firstLine="0"/>
        <w:rPr>
          <w:rFonts w:ascii="Calibri" w:hAnsi="Calibri"/>
          <w:szCs w:val="22"/>
        </w:rPr>
      </w:pPr>
    </w:p>
    <w:p w14:paraId="4F9C885C" w14:textId="637D70AD" w:rsidR="00E35DD1" w:rsidRPr="00C50C64" w:rsidRDefault="00E35DD1" w:rsidP="00E35DD1">
      <w:pPr>
        <w:pStyle w:val="P1-StandPara"/>
        <w:tabs>
          <w:tab w:val="left" w:pos="720"/>
          <w:tab w:val="right" w:leader="dot" w:pos="9504"/>
        </w:tabs>
        <w:spacing w:before="120" w:after="120"/>
        <w:ind w:firstLine="0"/>
        <w:rPr>
          <w:rFonts w:ascii="Calibri" w:hAnsi="Calibri"/>
          <w:color w:val="5B9BD5"/>
          <w:szCs w:val="22"/>
        </w:rPr>
      </w:pPr>
      <w:r w:rsidRPr="008942E9">
        <w:rPr>
          <w:rFonts w:ascii="Calibri" w:hAnsi="Calibri"/>
          <w:szCs w:val="22"/>
        </w:rPr>
        <w:t>Date</w:t>
      </w:r>
      <w:r w:rsidR="00BE76A7" w:rsidRPr="008942E9">
        <w:rPr>
          <w:rFonts w:ascii="Calibri" w:hAnsi="Calibri"/>
          <w:szCs w:val="22"/>
        </w:rPr>
        <w:t>:</w:t>
      </w:r>
      <w:r w:rsidR="00BE76A7" w:rsidRPr="0076255E">
        <w:rPr>
          <w:rFonts w:ascii="Calibri" w:hAnsi="Calibri"/>
          <w:color w:val="000000" w:themeColor="text1"/>
          <w:szCs w:val="22"/>
        </w:rPr>
        <w:t xml:space="preserve"> </w:t>
      </w:r>
      <w:r w:rsidR="005A6E7C">
        <w:rPr>
          <w:rFonts w:ascii="Calibri" w:hAnsi="Calibri"/>
          <w:color w:val="000000" w:themeColor="text1"/>
          <w:szCs w:val="22"/>
          <w:highlight w:val="yellow"/>
        </w:rPr>
        <w:t>November 1, 2018</w:t>
      </w:r>
      <w:r w:rsidRPr="0076255E">
        <w:rPr>
          <w:rFonts w:ascii="Calibri" w:hAnsi="Calibri"/>
          <w:color w:val="000000" w:themeColor="text1"/>
          <w:szCs w:val="22"/>
        </w:rPr>
        <w:t xml:space="preserve"> </w:t>
      </w:r>
    </w:p>
    <w:p w14:paraId="361A8FF5" w14:textId="77777777" w:rsidR="005A6E7C" w:rsidRDefault="005A6E7C" w:rsidP="006E631F">
      <w:pPr>
        <w:pStyle w:val="P1-StandPara"/>
        <w:tabs>
          <w:tab w:val="left" w:pos="720"/>
          <w:tab w:val="right" w:leader="dot" w:pos="9504"/>
        </w:tabs>
        <w:spacing w:before="120" w:line="240" w:lineRule="auto"/>
        <w:ind w:firstLine="0"/>
        <w:rPr>
          <w:rFonts w:ascii="Calibri" w:hAnsi="Calibri"/>
          <w:szCs w:val="22"/>
        </w:rPr>
      </w:pPr>
    </w:p>
    <w:p w14:paraId="43280E8F" w14:textId="0388E735" w:rsidR="006E631F" w:rsidRPr="008942E9" w:rsidRDefault="006E631F" w:rsidP="006E631F">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72C35552" w14:textId="77777777" w:rsidR="006E631F" w:rsidRDefault="006E631F" w:rsidP="006E631F">
      <w:pPr>
        <w:numPr>
          <w:ilvl w:val="0"/>
          <w:numId w:val="24"/>
        </w:numPr>
        <w:spacing w:after="0" w:line="240" w:lineRule="auto"/>
        <w:ind w:left="810" w:hanging="450"/>
      </w:pPr>
      <w:r>
        <w:rPr>
          <w:noProof/>
        </w:rPr>
        <mc:AlternateContent>
          <mc:Choice Requires="wps">
            <w:drawing>
              <wp:anchor distT="0" distB="0" distL="114300" distR="114300" simplePos="0" relativeHeight="251659264" behindDoc="0" locked="0" layoutInCell="1" allowOverlap="1" wp14:anchorId="12E24D1D" wp14:editId="0EB50C5B">
                <wp:simplePos x="0" y="0"/>
                <wp:positionH relativeFrom="column">
                  <wp:posOffset>180340</wp:posOffset>
                </wp:positionH>
                <wp:positionV relativeFrom="paragraph">
                  <wp:posOffset>236855</wp:posOffset>
                </wp:positionV>
                <wp:extent cx="304800" cy="241300"/>
                <wp:effectExtent l="3175" t="3175" r="0" b="317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D3A9" w14:textId="77777777" w:rsidR="00BB3097" w:rsidRPr="007D7D8B" w:rsidRDefault="00BB3097" w:rsidP="006E631F">
                            <w:pPr>
                              <w:rPr>
                                <w:color w:val="000000"/>
                              </w:rPr>
                            </w:pPr>
                            <w:r w:rsidRPr="007D7D8B">
                              <w:rPr>
                                <w:color w:val="0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14.2pt;margin-top:18.65pt;width:2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sswIAALk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" filled="f" stroked="f">
                <v:textbox>
                  <w:txbxContent>
                    <w:p w14:paraId="1C94D3A9" w14:textId="77777777" w:rsidR="00BB3097" w:rsidRPr="007D7D8B" w:rsidRDefault="00BB3097" w:rsidP="006E631F">
                      <w:pPr>
                        <w:rPr>
                          <w:color w:val="000000"/>
                        </w:rPr>
                      </w:pPr>
                      <w:r w:rsidRPr="007D7D8B">
                        <w:rPr>
                          <w:color w:val="000000"/>
                        </w:rPr>
                        <w:t>X</w:t>
                      </w:r>
                    </w:p>
                  </w:txbxContent>
                </v:textbox>
              </v:shape>
            </w:pict>
          </mc:Fallback>
        </mc:AlternateContent>
      </w:r>
      <w:r>
        <w:t xml:space="preserve">New </w:t>
      </w:r>
      <w:r>
        <w:tab/>
      </w:r>
      <w:r>
        <w:tab/>
      </w:r>
    </w:p>
    <w:p w14:paraId="4AAD0EAB" w14:textId="77777777" w:rsidR="006E631F" w:rsidRPr="00A627A4" w:rsidRDefault="006E631F" w:rsidP="006E631F">
      <w:pPr>
        <w:numPr>
          <w:ilvl w:val="0"/>
          <w:numId w:val="24"/>
        </w:numPr>
        <w:spacing w:after="0" w:line="240" w:lineRule="auto"/>
        <w:ind w:left="540" w:hanging="180"/>
        <w:rPr>
          <w:highlight w:val="yellow"/>
        </w:rPr>
      </w:pPr>
      <w:r w:rsidRPr="00A627A4">
        <w:rPr>
          <w:highlight w:val="yellow"/>
        </w:rPr>
        <w:t xml:space="preserve">Revision </w:t>
      </w:r>
    </w:p>
    <w:p w14:paraId="6C1894E7" w14:textId="77777777" w:rsidR="006E631F" w:rsidRDefault="006E631F" w:rsidP="006E631F">
      <w:pPr>
        <w:numPr>
          <w:ilvl w:val="0"/>
          <w:numId w:val="11"/>
        </w:numPr>
        <w:spacing w:after="0" w:line="240" w:lineRule="auto"/>
      </w:pPr>
      <w:r>
        <w:t>Reinstatement with Change</w:t>
      </w:r>
    </w:p>
    <w:p w14:paraId="06155982" w14:textId="77777777" w:rsidR="006E631F" w:rsidRDefault="006E631F" w:rsidP="006E631F">
      <w:pPr>
        <w:numPr>
          <w:ilvl w:val="0"/>
          <w:numId w:val="11"/>
        </w:numPr>
        <w:spacing w:after="0" w:line="240" w:lineRule="auto"/>
      </w:pPr>
      <w:r>
        <w:t>Reinstatement without Change</w:t>
      </w:r>
    </w:p>
    <w:p w14:paraId="7C177FCD" w14:textId="77777777" w:rsidR="006E631F" w:rsidRDefault="006E631F" w:rsidP="006E631F">
      <w:pPr>
        <w:numPr>
          <w:ilvl w:val="0"/>
          <w:numId w:val="11"/>
        </w:numPr>
        <w:spacing w:after="0" w:line="240" w:lineRule="auto"/>
      </w:pPr>
      <w:r>
        <w:t>Extension</w:t>
      </w:r>
    </w:p>
    <w:p w14:paraId="2C8EE8CA" w14:textId="77777777" w:rsidR="006E631F" w:rsidRDefault="006E631F" w:rsidP="006E631F">
      <w:pPr>
        <w:numPr>
          <w:ilvl w:val="0"/>
          <w:numId w:val="11"/>
        </w:numPr>
        <w:spacing w:after="0" w:line="240" w:lineRule="auto"/>
      </w:pPr>
      <w:r>
        <w:t>Emergency</w:t>
      </w:r>
    </w:p>
    <w:p w14:paraId="0185570B" w14:textId="77777777" w:rsidR="006E631F" w:rsidRDefault="006E631F" w:rsidP="006E631F">
      <w:pPr>
        <w:numPr>
          <w:ilvl w:val="0"/>
          <w:numId w:val="11"/>
        </w:numPr>
        <w:spacing w:after="0" w:line="240" w:lineRule="auto"/>
      </w:pPr>
      <w:r>
        <w:t>Existing</w:t>
      </w:r>
    </w:p>
    <w:p w14:paraId="26F84D33" w14:textId="77777777" w:rsidR="00EF71AA" w:rsidRDefault="00EF71AA" w:rsidP="00436859">
      <w:pPr>
        <w:pStyle w:val="P1-StandPara"/>
        <w:tabs>
          <w:tab w:val="left" w:pos="720"/>
          <w:tab w:val="right" w:leader="dot" w:pos="9504"/>
        </w:tabs>
        <w:spacing w:before="120" w:after="120"/>
        <w:rPr>
          <w:rFonts w:ascii="Calibri" w:hAnsi="Calibri"/>
          <w:szCs w:val="22"/>
        </w:rPr>
      </w:pPr>
    </w:p>
    <w:p w14:paraId="466E2534" w14:textId="27E5D1EF" w:rsidR="00EF71AA" w:rsidRPr="00EF71AA" w:rsidRDefault="00EF71AA" w:rsidP="00EF71AA">
      <w:pPr>
        <w:jc w:val="center"/>
        <w:rPr>
          <w:rFonts w:eastAsia="SimSun"/>
          <w:b/>
          <w:highlight w:val="yellow"/>
        </w:rPr>
      </w:pPr>
      <w:r w:rsidRPr="00EF71AA">
        <w:rPr>
          <w:rFonts w:eastAsia="SimSun"/>
          <w:b/>
          <w:highlight w:val="yellow"/>
        </w:rPr>
        <w:t xml:space="preserve">Note:  This is a revision to a previously approved </w:t>
      </w:r>
      <w:r>
        <w:rPr>
          <w:rFonts w:eastAsia="SimSun"/>
          <w:b/>
          <w:highlight w:val="yellow"/>
        </w:rPr>
        <w:t>information collection</w:t>
      </w:r>
      <w:r w:rsidRPr="00EF71AA">
        <w:rPr>
          <w:rFonts w:eastAsia="SimSun"/>
          <w:b/>
          <w:highlight w:val="yellow"/>
        </w:rPr>
        <w:t xml:space="preserve">.  </w:t>
      </w:r>
    </w:p>
    <w:p w14:paraId="0A961B5A" w14:textId="77777777" w:rsidR="00EF71AA" w:rsidRPr="00EF71AA" w:rsidRDefault="00EF71AA" w:rsidP="00EF71AA">
      <w:pPr>
        <w:jc w:val="center"/>
        <w:rPr>
          <w:rFonts w:eastAsia="SimSun"/>
          <w:b/>
        </w:rPr>
      </w:pPr>
      <w:r w:rsidRPr="00EF71AA">
        <w:rPr>
          <w:rFonts w:eastAsia="SimSun"/>
          <w:b/>
          <w:highlight w:val="yellow"/>
        </w:rPr>
        <w:t>Text highlighted in Yellow has been added or amended.</w:t>
      </w:r>
    </w:p>
    <w:p w14:paraId="7368E34F" w14:textId="6011D3D4" w:rsidR="00E35DD1" w:rsidRPr="008942E9" w:rsidRDefault="00E35DD1" w:rsidP="00EF71AA">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19E55540" w14:textId="77777777" w:rsidR="006E631F" w:rsidRPr="00E35DD1" w:rsidRDefault="006E631F" w:rsidP="006E631F">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Federal Government Employee Information:</w:t>
      </w:r>
    </w:p>
    <w:p w14:paraId="0E042788" w14:textId="77777777" w:rsidR="006163F8" w:rsidRPr="00436859" w:rsidRDefault="006163F8" w:rsidP="006163F8">
      <w:pPr>
        <w:pStyle w:val="P1-StandPara"/>
        <w:tabs>
          <w:tab w:val="right" w:leader="dot" w:pos="9504"/>
        </w:tabs>
        <w:spacing w:before="120" w:line="240" w:lineRule="auto"/>
        <w:ind w:firstLine="0"/>
        <w:rPr>
          <w:rFonts w:asciiTheme="minorHAnsi" w:hAnsiTheme="minorHAnsi"/>
          <w:szCs w:val="22"/>
        </w:rPr>
      </w:pPr>
      <w:r w:rsidRPr="00436859">
        <w:rPr>
          <w:rFonts w:asciiTheme="minorHAnsi" w:hAnsiTheme="minorHAnsi"/>
          <w:szCs w:val="22"/>
        </w:rPr>
        <w:t>Rohan Hazra, M.D., Chief, Maternal and Pediatric Infectious Disease Branch</w:t>
      </w:r>
    </w:p>
    <w:p w14:paraId="506D577C" w14:textId="77777777" w:rsidR="006163F8" w:rsidRPr="00436859" w:rsidRDefault="006163F8" w:rsidP="006163F8">
      <w:pPr>
        <w:pStyle w:val="P1-StandPara"/>
        <w:tabs>
          <w:tab w:val="left" w:pos="0"/>
          <w:tab w:val="right" w:leader="dot" w:pos="9504"/>
        </w:tabs>
        <w:spacing w:before="120" w:line="240" w:lineRule="auto"/>
        <w:ind w:firstLine="0"/>
        <w:rPr>
          <w:rFonts w:asciiTheme="minorHAnsi" w:hAnsiTheme="minorHAnsi"/>
          <w:szCs w:val="22"/>
        </w:rPr>
      </w:pPr>
      <w:r w:rsidRPr="00436859">
        <w:rPr>
          <w:rFonts w:asciiTheme="minorHAnsi" w:hAnsiTheme="minorHAnsi"/>
          <w:i/>
          <w:szCs w:val="22"/>
        </w:rPr>
        <w:t>Eunice Kennedy Shriver</w:t>
      </w:r>
      <w:r w:rsidRPr="00436859">
        <w:rPr>
          <w:rFonts w:asciiTheme="minorHAnsi" w:hAnsiTheme="minorHAnsi"/>
          <w:szCs w:val="22"/>
        </w:rPr>
        <w:t xml:space="preserve"> National Institute of Child Health and Human Development (NICHD)</w:t>
      </w:r>
    </w:p>
    <w:p w14:paraId="0DC20A0A" w14:textId="77777777" w:rsidR="006163F8" w:rsidRPr="00436859" w:rsidRDefault="006163F8" w:rsidP="006163F8">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National Institutes of Health</w:t>
      </w:r>
    </w:p>
    <w:p w14:paraId="6807DAE0" w14:textId="77777777" w:rsidR="006163F8" w:rsidRPr="00436859" w:rsidRDefault="00E04C7F" w:rsidP="006163F8">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6710B</w:t>
      </w:r>
      <w:r w:rsidR="006163F8" w:rsidRPr="00436859">
        <w:rPr>
          <w:rFonts w:asciiTheme="minorHAnsi" w:hAnsiTheme="minorHAnsi"/>
          <w:szCs w:val="22"/>
        </w:rPr>
        <w:t xml:space="preserve"> </w:t>
      </w:r>
      <w:r w:rsidRPr="00436859">
        <w:rPr>
          <w:rFonts w:asciiTheme="minorHAnsi" w:hAnsiTheme="minorHAnsi"/>
          <w:szCs w:val="22"/>
        </w:rPr>
        <w:t>Rockledge Drive, Room 2113</w:t>
      </w:r>
    </w:p>
    <w:p w14:paraId="1064BAE4" w14:textId="77777777" w:rsidR="00E35DD1" w:rsidRPr="00436859" w:rsidRDefault="00E04C7F" w:rsidP="006163F8">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Bethesda, MD 20817</w:t>
      </w:r>
    </w:p>
    <w:p w14:paraId="03626571" w14:textId="77777777" w:rsidR="00E35DD1" w:rsidRPr="00436859"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Telephone:</w:t>
      </w:r>
      <w:r w:rsidR="006163F8" w:rsidRPr="00436859">
        <w:rPr>
          <w:rFonts w:asciiTheme="minorHAnsi" w:hAnsiTheme="minorHAnsi"/>
          <w:szCs w:val="22"/>
        </w:rPr>
        <w:t xml:space="preserve"> 301-435-6868</w:t>
      </w:r>
    </w:p>
    <w:p w14:paraId="70DA64C2" w14:textId="77777777" w:rsidR="00E35DD1" w:rsidRPr="00436859"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Fax:</w:t>
      </w:r>
      <w:r w:rsidR="006163F8" w:rsidRPr="00436859">
        <w:rPr>
          <w:rFonts w:asciiTheme="minorHAnsi" w:hAnsiTheme="minorHAnsi"/>
          <w:szCs w:val="22"/>
        </w:rPr>
        <w:t xml:space="preserve"> 301-496-8678</w:t>
      </w:r>
    </w:p>
    <w:p w14:paraId="055855F9" w14:textId="77777777" w:rsidR="00E35DD1" w:rsidRPr="00436859"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436859">
        <w:rPr>
          <w:rFonts w:asciiTheme="minorHAnsi" w:hAnsiTheme="minorHAnsi"/>
          <w:szCs w:val="22"/>
        </w:rPr>
        <w:t>Email:</w:t>
      </w:r>
      <w:r w:rsidR="006163F8" w:rsidRPr="00436859">
        <w:rPr>
          <w:rFonts w:asciiTheme="minorHAnsi" w:hAnsiTheme="minorHAnsi"/>
          <w:szCs w:val="22"/>
        </w:rPr>
        <w:t xml:space="preserve"> </w:t>
      </w:r>
      <w:hyperlink r:id="rId12" w:history="1">
        <w:r w:rsidR="00E04C7F" w:rsidRPr="00436859">
          <w:rPr>
            <w:rStyle w:val="Hyperlink"/>
            <w:rFonts w:asciiTheme="minorHAnsi" w:hAnsiTheme="minorHAnsi"/>
            <w:szCs w:val="22"/>
          </w:rPr>
          <w:t>rohan.hazra@nih.gov</w:t>
        </w:r>
      </w:hyperlink>
      <w:r w:rsidR="00E04C7F" w:rsidRPr="00436859">
        <w:rPr>
          <w:rFonts w:asciiTheme="minorHAnsi" w:hAnsiTheme="minorHAnsi"/>
          <w:szCs w:val="22"/>
        </w:rPr>
        <w:t xml:space="preserve">  </w:t>
      </w:r>
    </w:p>
    <w:p w14:paraId="3E8763E0" w14:textId="34116A38" w:rsidR="006E631F" w:rsidRDefault="006E631F">
      <w:pPr>
        <w:spacing w:after="0" w:line="240" w:lineRule="auto"/>
        <w:rPr>
          <w:rFonts w:ascii="Times New Roman" w:eastAsia="Times New Roman" w:hAnsi="Times New Roman"/>
          <w:b/>
          <w:sz w:val="24"/>
        </w:rPr>
      </w:pPr>
    </w:p>
    <w:p w14:paraId="6B0F4FC8" w14:textId="77777777" w:rsidR="00E35DD1" w:rsidRPr="008907A5" w:rsidRDefault="008907A5" w:rsidP="002A28D1">
      <w:pPr>
        <w:pStyle w:val="P1-StandPara"/>
        <w:tabs>
          <w:tab w:val="left" w:pos="720"/>
          <w:tab w:val="right" w:leader="dot" w:pos="9504"/>
        </w:tabs>
        <w:spacing w:before="120" w:after="120"/>
        <w:jc w:val="center"/>
        <w:rPr>
          <w:b/>
          <w:sz w:val="24"/>
          <w:szCs w:val="22"/>
        </w:rPr>
      </w:pPr>
      <w:r w:rsidRPr="008907A5">
        <w:rPr>
          <w:b/>
          <w:sz w:val="24"/>
          <w:szCs w:val="22"/>
        </w:rPr>
        <w:t>Table of C</w:t>
      </w:r>
      <w:r w:rsidR="00E35DD1" w:rsidRPr="008907A5">
        <w:rPr>
          <w:b/>
          <w:sz w:val="24"/>
          <w:szCs w:val="22"/>
        </w:rPr>
        <w:t>ontents</w:t>
      </w:r>
    </w:p>
    <w:p w14:paraId="21984724" w14:textId="27420B46" w:rsidR="00B50B17" w:rsidRDefault="00E35DD1">
      <w:pPr>
        <w:pStyle w:val="TOC2"/>
        <w:rPr>
          <w:rFonts w:asciiTheme="minorHAnsi" w:eastAsiaTheme="minorEastAsia" w:hAnsiTheme="minorHAnsi" w:cstheme="minorBidi"/>
          <w:noProof/>
        </w:rPr>
      </w:pPr>
      <w:r w:rsidRPr="008942E9">
        <w:fldChar w:fldCharType="begin"/>
      </w:r>
      <w:r w:rsidRPr="008942E9">
        <w:instrText xml:space="preserve"> TOC \o "1-2" \u </w:instrText>
      </w:r>
      <w:r w:rsidRPr="008942E9">
        <w:fldChar w:fldCharType="separate"/>
      </w:r>
      <w:r w:rsidR="00B50B17">
        <w:rPr>
          <w:noProof/>
        </w:rPr>
        <w:t>A.</w:t>
      </w:r>
      <w:r w:rsidR="00B50B17">
        <w:rPr>
          <w:rFonts w:asciiTheme="minorHAnsi" w:eastAsiaTheme="minorEastAsia" w:hAnsiTheme="minorHAnsi" w:cstheme="minorBidi"/>
          <w:noProof/>
        </w:rPr>
        <w:tab/>
      </w:r>
      <w:r w:rsidR="00B50B17">
        <w:rPr>
          <w:noProof/>
        </w:rPr>
        <w:t>Justification</w:t>
      </w:r>
      <w:r w:rsidR="00B50B17">
        <w:rPr>
          <w:noProof/>
        </w:rPr>
        <w:tab/>
      </w:r>
      <w:r w:rsidR="00B50B17">
        <w:rPr>
          <w:noProof/>
        </w:rPr>
        <w:fldChar w:fldCharType="begin"/>
      </w:r>
      <w:r w:rsidR="00B50B17">
        <w:rPr>
          <w:noProof/>
        </w:rPr>
        <w:instrText xml:space="preserve"> PAGEREF _Toc508106935 \h </w:instrText>
      </w:r>
      <w:r w:rsidR="00B50B17">
        <w:rPr>
          <w:noProof/>
        </w:rPr>
      </w:r>
      <w:r w:rsidR="00B50B17">
        <w:rPr>
          <w:noProof/>
        </w:rPr>
        <w:fldChar w:fldCharType="separate"/>
      </w:r>
      <w:r w:rsidR="00B50B17">
        <w:rPr>
          <w:noProof/>
        </w:rPr>
        <w:t>3</w:t>
      </w:r>
      <w:r w:rsidR="00B50B17">
        <w:rPr>
          <w:noProof/>
        </w:rPr>
        <w:fldChar w:fldCharType="end"/>
      </w:r>
    </w:p>
    <w:p w14:paraId="69EDFDA0" w14:textId="2ABC198A" w:rsidR="00B50B17" w:rsidRDefault="00B50B17">
      <w:pPr>
        <w:pStyle w:val="TOC2"/>
        <w:rPr>
          <w:rFonts w:asciiTheme="minorHAnsi" w:eastAsiaTheme="minorEastAsia" w:hAnsiTheme="minorHAnsi" w:cstheme="minorBidi"/>
          <w:noProof/>
        </w:rPr>
      </w:pPr>
      <w:r>
        <w:rPr>
          <w:noProof/>
        </w:rPr>
        <w:t>A.1</w:t>
      </w:r>
      <w:r>
        <w:rPr>
          <w:rFonts w:asciiTheme="minorHAnsi" w:eastAsiaTheme="minorEastAsia" w:hAnsiTheme="minorHAnsi" w:cstheme="minorBidi"/>
          <w:noProof/>
        </w:rPr>
        <w:tab/>
      </w:r>
      <w:r>
        <w:rPr>
          <w:noProof/>
        </w:rPr>
        <w:t>Circumstances Making the Collection of Information Necessary</w:t>
      </w:r>
      <w:r>
        <w:rPr>
          <w:noProof/>
        </w:rPr>
        <w:tab/>
      </w:r>
      <w:r>
        <w:rPr>
          <w:noProof/>
        </w:rPr>
        <w:fldChar w:fldCharType="begin"/>
      </w:r>
      <w:r>
        <w:rPr>
          <w:noProof/>
        </w:rPr>
        <w:instrText xml:space="preserve"> PAGEREF _Toc508106936 \h </w:instrText>
      </w:r>
      <w:r>
        <w:rPr>
          <w:noProof/>
        </w:rPr>
      </w:r>
      <w:r>
        <w:rPr>
          <w:noProof/>
        </w:rPr>
        <w:fldChar w:fldCharType="separate"/>
      </w:r>
      <w:r>
        <w:rPr>
          <w:noProof/>
        </w:rPr>
        <w:t>3</w:t>
      </w:r>
      <w:r>
        <w:rPr>
          <w:noProof/>
        </w:rPr>
        <w:fldChar w:fldCharType="end"/>
      </w:r>
    </w:p>
    <w:p w14:paraId="6A27E340" w14:textId="2E4C39D4" w:rsidR="00B50B17" w:rsidRDefault="00B50B17">
      <w:pPr>
        <w:pStyle w:val="TOC2"/>
        <w:rPr>
          <w:rFonts w:asciiTheme="minorHAnsi" w:eastAsiaTheme="minorEastAsia" w:hAnsiTheme="minorHAnsi" w:cstheme="minorBidi"/>
          <w:noProof/>
        </w:rPr>
      </w:pPr>
      <w:r>
        <w:rPr>
          <w:noProof/>
        </w:rPr>
        <w:t>A.2</w:t>
      </w:r>
      <w:r>
        <w:rPr>
          <w:rFonts w:asciiTheme="minorHAnsi" w:eastAsiaTheme="minorEastAsia" w:hAnsiTheme="minorHAnsi" w:cstheme="minorBidi"/>
          <w:noProof/>
        </w:rPr>
        <w:tab/>
      </w:r>
      <w:r>
        <w:rPr>
          <w:noProof/>
        </w:rPr>
        <w:t>Purpose and Use of the Information Collection</w:t>
      </w:r>
      <w:r>
        <w:rPr>
          <w:noProof/>
        </w:rPr>
        <w:tab/>
      </w:r>
      <w:r>
        <w:rPr>
          <w:noProof/>
        </w:rPr>
        <w:fldChar w:fldCharType="begin"/>
      </w:r>
      <w:r>
        <w:rPr>
          <w:noProof/>
        </w:rPr>
        <w:instrText xml:space="preserve"> PAGEREF _Toc508106937 \h </w:instrText>
      </w:r>
      <w:r>
        <w:rPr>
          <w:noProof/>
        </w:rPr>
      </w:r>
      <w:r>
        <w:rPr>
          <w:noProof/>
        </w:rPr>
        <w:fldChar w:fldCharType="separate"/>
      </w:r>
      <w:r>
        <w:rPr>
          <w:noProof/>
        </w:rPr>
        <w:t>5</w:t>
      </w:r>
      <w:r>
        <w:rPr>
          <w:noProof/>
        </w:rPr>
        <w:fldChar w:fldCharType="end"/>
      </w:r>
    </w:p>
    <w:p w14:paraId="1745FF52" w14:textId="110F3058" w:rsidR="00B50B17" w:rsidRDefault="00B50B17">
      <w:pPr>
        <w:pStyle w:val="TOC2"/>
        <w:rPr>
          <w:rFonts w:asciiTheme="minorHAnsi" w:eastAsiaTheme="minorEastAsia" w:hAnsiTheme="minorHAnsi" w:cstheme="minorBidi"/>
          <w:noProof/>
        </w:rPr>
      </w:pPr>
      <w:r>
        <w:rPr>
          <w:noProof/>
        </w:rPr>
        <w:t>A.3</w:t>
      </w:r>
      <w:r>
        <w:rPr>
          <w:rFonts w:asciiTheme="minorHAnsi" w:eastAsiaTheme="minorEastAsia" w:hAnsiTheme="minorHAnsi" w:cstheme="minorBidi"/>
          <w:noProof/>
        </w:rPr>
        <w:tab/>
      </w:r>
      <w:r>
        <w:rPr>
          <w:noProof/>
        </w:rPr>
        <w:t>Use of Information Technology and Burden Reduction</w:t>
      </w:r>
      <w:r>
        <w:rPr>
          <w:noProof/>
        </w:rPr>
        <w:tab/>
      </w:r>
      <w:r>
        <w:rPr>
          <w:noProof/>
        </w:rPr>
        <w:fldChar w:fldCharType="begin"/>
      </w:r>
      <w:r>
        <w:rPr>
          <w:noProof/>
        </w:rPr>
        <w:instrText xml:space="preserve"> PAGEREF _Toc508106938 \h </w:instrText>
      </w:r>
      <w:r>
        <w:rPr>
          <w:noProof/>
        </w:rPr>
      </w:r>
      <w:r>
        <w:rPr>
          <w:noProof/>
        </w:rPr>
        <w:fldChar w:fldCharType="separate"/>
      </w:r>
      <w:r>
        <w:rPr>
          <w:noProof/>
        </w:rPr>
        <w:t>6</w:t>
      </w:r>
      <w:r>
        <w:rPr>
          <w:noProof/>
        </w:rPr>
        <w:fldChar w:fldCharType="end"/>
      </w:r>
    </w:p>
    <w:p w14:paraId="7360A3EF" w14:textId="6A95E53B" w:rsidR="00B50B17" w:rsidRDefault="00B50B17">
      <w:pPr>
        <w:pStyle w:val="TOC2"/>
        <w:rPr>
          <w:rFonts w:asciiTheme="minorHAnsi" w:eastAsiaTheme="minorEastAsia" w:hAnsiTheme="minorHAnsi" w:cstheme="minorBidi"/>
          <w:noProof/>
        </w:rPr>
      </w:pPr>
      <w:r>
        <w:rPr>
          <w:noProof/>
        </w:rPr>
        <w:t>A.4</w:t>
      </w:r>
      <w:r>
        <w:rPr>
          <w:rFonts w:asciiTheme="minorHAnsi" w:eastAsiaTheme="minorEastAsia" w:hAnsiTheme="minorHAnsi" w:cstheme="minorBidi"/>
          <w:noProof/>
        </w:rPr>
        <w:tab/>
      </w:r>
      <w:r>
        <w:rPr>
          <w:noProof/>
        </w:rPr>
        <w:t>Efforts to Identify Duplication and Use of Similar Information</w:t>
      </w:r>
      <w:r>
        <w:rPr>
          <w:noProof/>
        </w:rPr>
        <w:tab/>
      </w:r>
      <w:r>
        <w:rPr>
          <w:noProof/>
        </w:rPr>
        <w:fldChar w:fldCharType="begin"/>
      </w:r>
      <w:r>
        <w:rPr>
          <w:noProof/>
        </w:rPr>
        <w:instrText xml:space="preserve"> PAGEREF _Toc508106939 \h </w:instrText>
      </w:r>
      <w:r>
        <w:rPr>
          <w:noProof/>
        </w:rPr>
      </w:r>
      <w:r>
        <w:rPr>
          <w:noProof/>
        </w:rPr>
        <w:fldChar w:fldCharType="separate"/>
      </w:r>
      <w:r>
        <w:rPr>
          <w:noProof/>
        </w:rPr>
        <w:t>7</w:t>
      </w:r>
      <w:r>
        <w:rPr>
          <w:noProof/>
        </w:rPr>
        <w:fldChar w:fldCharType="end"/>
      </w:r>
    </w:p>
    <w:p w14:paraId="5D7DFC09" w14:textId="64A25003" w:rsidR="00B50B17" w:rsidRDefault="00B50B17">
      <w:pPr>
        <w:pStyle w:val="TOC2"/>
        <w:rPr>
          <w:rFonts w:asciiTheme="minorHAnsi" w:eastAsiaTheme="minorEastAsia" w:hAnsiTheme="minorHAnsi" w:cstheme="minorBidi"/>
          <w:noProof/>
        </w:rPr>
      </w:pPr>
      <w:r>
        <w:rPr>
          <w:noProof/>
        </w:rPr>
        <w:t>A.5</w:t>
      </w:r>
      <w:r>
        <w:rPr>
          <w:rFonts w:asciiTheme="minorHAnsi" w:eastAsiaTheme="minorEastAsia" w:hAnsiTheme="minorHAnsi" w:cstheme="minorBidi"/>
          <w:noProof/>
        </w:rPr>
        <w:tab/>
      </w:r>
      <w:r>
        <w:rPr>
          <w:noProof/>
        </w:rPr>
        <w:t>Impact on Small Businesses or Other Small Entities</w:t>
      </w:r>
      <w:r>
        <w:rPr>
          <w:noProof/>
        </w:rPr>
        <w:tab/>
      </w:r>
      <w:r>
        <w:rPr>
          <w:noProof/>
        </w:rPr>
        <w:fldChar w:fldCharType="begin"/>
      </w:r>
      <w:r>
        <w:rPr>
          <w:noProof/>
        </w:rPr>
        <w:instrText xml:space="preserve"> PAGEREF _Toc508106940 \h </w:instrText>
      </w:r>
      <w:r>
        <w:rPr>
          <w:noProof/>
        </w:rPr>
      </w:r>
      <w:r>
        <w:rPr>
          <w:noProof/>
        </w:rPr>
        <w:fldChar w:fldCharType="separate"/>
      </w:r>
      <w:r>
        <w:rPr>
          <w:noProof/>
        </w:rPr>
        <w:t>7</w:t>
      </w:r>
      <w:r>
        <w:rPr>
          <w:noProof/>
        </w:rPr>
        <w:fldChar w:fldCharType="end"/>
      </w:r>
    </w:p>
    <w:p w14:paraId="453ADAFB" w14:textId="6704718F" w:rsidR="00B50B17" w:rsidRDefault="00B50B17">
      <w:pPr>
        <w:pStyle w:val="TOC2"/>
        <w:rPr>
          <w:rFonts w:asciiTheme="minorHAnsi" w:eastAsiaTheme="minorEastAsia" w:hAnsiTheme="minorHAnsi" w:cstheme="minorBidi"/>
          <w:noProof/>
        </w:rPr>
      </w:pPr>
      <w:r>
        <w:rPr>
          <w:noProof/>
        </w:rPr>
        <w:t>A.6</w:t>
      </w:r>
      <w:r>
        <w:rPr>
          <w:rFonts w:asciiTheme="minorHAnsi" w:eastAsiaTheme="minorEastAsia" w:hAnsiTheme="minorHAnsi" w:cstheme="minorBidi"/>
          <w:noProof/>
        </w:rPr>
        <w:tab/>
      </w:r>
      <w:r>
        <w:rPr>
          <w:noProof/>
        </w:rPr>
        <w:t>Consequences of Collecting the Information Less Frequently</w:t>
      </w:r>
      <w:r>
        <w:rPr>
          <w:noProof/>
        </w:rPr>
        <w:tab/>
      </w:r>
      <w:r>
        <w:rPr>
          <w:noProof/>
        </w:rPr>
        <w:fldChar w:fldCharType="begin"/>
      </w:r>
      <w:r>
        <w:rPr>
          <w:noProof/>
        </w:rPr>
        <w:instrText xml:space="preserve"> PAGEREF _Toc508106941 \h </w:instrText>
      </w:r>
      <w:r>
        <w:rPr>
          <w:noProof/>
        </w:rPr>
      </w:r>
      <w:r>
        <w:rPr>
          <w:noProof/>
        </w:rPr>
        <w:fldChar w:fldCharType="separate"/>
      </w:r>
      <w:r>
        <w:rPr>
          <w:noProof/>
        </w:rPr>
        <w:t>7</w:t>
      </w:r>
      <w:r>
        <w:rPr>
          <w:noProof/>
        </w:rPr>
        <w:fldChar w:fldCharType="end"/>
      </w:r>
    </w:p>
    <w:p w14:paraId="7DEFB6BB" w14:textId="732DDD62" w:rsidR="00B50B17" w:rsidRDefault="00B50B17">
      <w:pPr>
        <w:pStyle w:val="TOC2"/>
        <w:rPr>
          <w:rFonts w:asciiTheme="minorHAnsi" w:eastAsiaTheme="minorEastAsia" w:hAnsiTheme="minorHAnsi" w:cstheme="minorBidi"/>
          <w:noProof/>
        </w:rPr>
      </w:pPr>
      <w:r>
        <w:rPr>
          <w:noProof/>
        </w:rPr>
        <w:t>A.7</w:t>
      </w:r>
      <w:r>
        <w:rPr>
          <w:rFonts w:asciiTheme="minorHAnsi" w:eastAsiaTheme="minorEastAsia" w:hAnsiTheme="minorHAnsi" w:cstheme="minorBidi"/>
          <w:noProof/>
        </w:rPr>
        <w:tab/>
      </w:r>
      <w:r>
        <w:rPr>
          <w:noProof/>
        </w:rPr>
        <w:t>Special Circumstances Relating to the Guidelines of 5 CFR 1320.5</w:t>
      </w:r>
      <w:r>
        <w:rPr>
          <w:noProof/>
        </w:rPr>
        <w:tab/>
      </w:r>
      <w:r>
        <w:rPr>
          <w:noProof/>
        </w:rPr>
        <w:fldChar w:fldCharType="begin"/>
      </w:r>
      <w:r>
        <w:rPr>
          <w:noProof/>
        </w:rPr>
        <w:instrText xml:space="preserve"> PAGEREF _Toc508106942 \h </w:instrText>
      </w:r>
      <w:r>
        <w:rPr>
          <w:noProof/>
        </w:rPr>
      </w:r>
      <w:r>
        <w:rPr>
          <w:noProof/>
        </w:rPr>
        <w:fldChar w:fldCharType="separate"/>
      </w:r>
      <w:r>
        <w:rPr>
          <w:noProof/>
        </w:rPr>
        <w:t>7</w:t>
      </w:r>
      <w:r>
        <w:rPr>
          <w:noProof/>
        </w:rPr>
        <w:fldChar w:fldCharType="end"/>
      </w:r>
    </w:p>
    <w:p w14:paraId="7042252F" w14:textId="0BF0E2D5" w:rsidR="00B50B17" w:rsidRDefault="00B50B17">
      <w:pPr>
        <w:pStyle w:val="TOC2"/>
        <w:rPr>
          <w:rFonts w:asciiTheme="minorHAnsi" w:eastAsiaTheme="minorEastAsia" w:hAnsiTheme="minorHAnsi" w:cstheme="minorBidi"/>
          <w:noProof/>
        </w:rPr>
      </w:pPr>
      <w:r>
        <w:rPr>
          <w:noProof/>
        </w:rPr>
        <w:t>A.8.1</w:t>
      </w:r>
      <w:r>
        <w:rPr>
          <w:rFonts w:asciiTheme="minorHAnsi" w:eastAsiaTheme="minorEastAsia" w:hAnsiTheme="minorHAnsi" w:cstheme="minorBidi"/>
          <w:noProof/>
        </w:rPr>
        <w:tab/>
      </w:r>
      <w:r>
        <w:rPr>
          <w:noProof/>
        </w:rPr>
        <w:t>Comments in Response to the Federal Register Notice</w:t>
      </w:r>
      <w:r>
        <w:rPr>
          <w:noProof/>
        </w:rPr>
        <w:tab/>
      </w:r>
      <w:r>
        <w:rPr>
          <w:noProof/>
        </w:rPr>
        <w:fldChar w:fldCharType="begin"/>
      </w:r>
      <w:r>
        <w:rPr>
          <w:noProof/>
        </w:rPr>
        <w:instrText xml:space="preserve"> PAGEREF _Toc508106943 \h </w:instrText>
      </w:r>
      <w:r>
        <w:rPr>
          <w:noProof/>
        </w:rPr>
      </w:r>
      <w:r>
        <w:rPr>
          <w:noProof/>
        </w:rPr>
        <w:fldChar w:fldCharType="separate"/>
      </w:r>
      <w:r>
        <w:rPr>
          <w:noProof/>
        </w:rPr>
        <w:t>7</w:t>
      </w:r>
      <w:r>
        <w:rPr>
          <w:noProof/>
        </w:rPr>
        <w:fldChar w:fldCharType="end"/>
      </w:r>
    </w:p>
    <w:p w14:paraId="349962A7" w14:textId="79C5A33D" w:rsidR="00B50B17" w:rsidRDefault="00B50B17">
      <w:pPr>
        <w:pStyle w:val="TOC2"/>
        <w:rPr>
          <w:rFonts w:asciiTheme="minorHAnsi" w:eastAsiaTheme="minorEastAsia" w:hAnsiTheme="minorHAnsi" w:cstheme="minorBidi"/>
          <w:noProof/>
        </w:rPr>
      </w:pPr>
      <w:r>
        <w:rPr>
          <w:noProof/>
        </w:rPr>
        <w:t>A.8.2</w:t>
      </w:r>
      <w:r>
        <w:rPr>
          <w:rFonts w:asciiTheme="minorHAnsi" w:eastAsiaTheme="minorEastAsia" w:hAnsiTheme="minorHAnsi" w:cstheme="minorBidi"/>
          <w:noProof/>
        </w:rPr>
        <w:tab/>
      </w:r>
      <w:r>
        <w:rPr>
          <w:noProof/>
        </w:rPr>
        <w:t>Efforts to Consult Outside Agency</w:t>
      </w:r>
      <w:r>
        <w:rPr>
          <w:noProof/>
        </w:rPr>
        <w:tab/>
      </w:r>
      <w:r>
        <w:rPr>
          <w:noProof/>
        </w:rPr>
        <w:fldChar w:fldCharType="begin"/>
      </w:r>
      <w:r>
        <w:rPr>
          <w:noProof/>
        </w:rPr>
        <w:instrText xml:space="preserve"> PAGEREF _Toc508106944 \h </w:instrText>
      </w:r>
      <w:r>
        <w:rPr>
          <w:noProof/>
        </w:rPr>
      </w:r>
      <w:r>
        <w:rPr>
          <w:noProof/>
        </w:rPr>
        <w:fldChar w:fldCharType="separate"/>
      </w:r>
      <w:r>
        <w:rPr>
          <w:noProof/>
        </w:rPr>
        <w:t>7</w:t>
      </w:r>
      <w:r>
        <w:rPr>
          <w:noProof/>
        </w:rPr>
        <w:fldChar w:fldCharType="end"/>
      </w:r>
    </w:p>
    <w:p w14:paraId="7B6A6DC4" w14:textId="5FA717A1" w:rsidR="00B50B17" w:rsidRDefault="00B50B17">
      <w:pPr>
        <w:pStyle w:val="TOC2"/>
        <w:rPr>
          <w:rFonts w:asciiTheme="minorHAnsi" w:eastAsiaTheme="minorEastAsia" w:hAnsiTheme="minorHAnsi" w:cstheme="minorBidi"/>
          <w:noProof/>
        </w:rPr>
      </w:pPr>
      <w:r>
        <w:rPr>
          <w:noProof/>
        </w:rPr>
        <w:t>A.9</w:t>
      </w:r>
      <w:r>
        <w:rPr>
          <w:rFonts w:asciiTheme="minorHAnsi" w:eastAsiaTheme="minorEastAsia" w:hAnsiTheme="minorHAnsi" w:cstheme="minorBidi"/>
          <w:noProof/>
        </w:rPr>
        <w:tab/>
      </w:r>
      <w:r>
        <w:rPr>
          <w:noProof/>
        </w:rPr>
        <w:t>Explanation of Any Payment of Gift to Respondents</w:t>
      </w:r>
      <w:r>
        <w:rPr>
          <w:noProof/>
        </w:rPr>
        <w:tab/>
      </w:r>
      <w:r>
        <w:rPr>
          <w:noProof/>
        </w:rPr>
        <w:fldChar w:fldCharType="begin"/>
      </w:r>
      <w:r>
        <w:rPr>
          <w:noProof/>
        </w:rPr>
        <w:instrText xml:space="preserve"> PAGEREF _Toc508106945 \h </w:instrText>
      </w:r>
      <w:r>
        <w:rPr>
          <w:noProof/>
        </w:rPr>
      </w:r>
      <w:r>
        <w:rPr>
          <w:noProof/>
        </w:rPr>
        <w:fldChar w:fldCharType="separate"/>
      </w:r>
      <w:r>
        <w:rPr>
          <w:noProof/>
        </w:rPr>
        <w:t>8</w:t>
      </w:r>
      <w:r>
        <w:rPr>
          <w:noProof/>
        </w:rPr>
        <w:fldChar w:fldCharType="end"/>
      </w:r>
    </w:p>
    <w:p w14:paraId="3D01F4E2" w14:textId="263F682F" w:rsidR="00B50B17" w:rsidRDefault="00B50B17">
      <w:pPr>
        <w:pStyle w:val="TOC2"/>
        <w:rPr>
          <w:rFonts w:asciiTheme="minorHAnsi" w:eastAsiaTheme="minorEastAsia" w:hAnsiTheme="minorHAnsi" w:cstheme="minorBidi"/>
          <w:noProof/>
        </w:rPr>
      </w:pPr>
      <w:r>
        <w:rPr>
          <w:noProof/>
        </w:rPr>
        <w:t>A.10</w:t>
      </w:r>
      <w:r>
        <w:rPr>
          <w:rFonts w:asciiTheme="minorHAnsi" w:eastAsiaTheme="minorEastAsia" w:hAnsiTheme="minorHAnsi" w:cstheme="minorBidi"/>
          <w:noProof/>
        </w:rPr>
        <w:tab/>
      </w:r>
      <w:r>
        <w:rPr>
          <w:noProof/>
        </w:rPr>
        <w:t>Assurance of Confidentiality Provided to Respondents</w:t>
      </w:r>
      <w:r>
        <w:rPr>
          <w:noProof/>
        </w:rPr>
        <w:tab/>
      </w:r>
      <w:r>
        <w:rPr>
          <w:noProof/>
        </w:rPr>
        <w:fldChar w:fldCharType="begin"/>
      </w:r>
      <w:r>
        <w:rPr>
          <w:noProof/>
        </w:rPr>
        <w:instrText xml:space="preserve"> PAGEREF _Toc508106946 \h </w:instrText>
      </w:r>
      <w:r>
        <w:rPr>
          <w:noProof/>
        </w:rPr>
      </w:r>
      <w:r>
        <w:rPr>
          <w:noProof/>
        </w:rPr>
        <w:fldChar w:fldCharType="separate"/>
      </w:r>
      <w:r>
        <w:rPr>
          <w:noProof/>
        </w:rPr>
        <w:t>8</w:t>
      </w:r>
      <w:r>
        <w:rPr>
          <w:noProof/>
        </w:rPr>
        <w:fldChar w:fldCharType="end"/>
      </w:r>
    </w:p>
    <w:p w14:paraId="0F1C6589" w14:textId="5EBFD745" w:rsidR="00B50B17" w:rsidRDefault="00B50B17">
      <w:pPr>
        <w:pStyle w:val="TOC2"/>
        <w:rPr>
          <w:rFonts w:asciiTheme="minorHAnsi" w:eastAsiaTheme="minorEastAsia" w:hAnsiTheme="minorHAnsi" w:cstheme="minorBidi"/>
          <w:noProof/>
        </w:rPr>
      </w:pPr>
      <w:r>
        <w:rPr>
          <w:noProof/>
        </w:rPr>
        <w:t>A.11</w:t>
      </w:r>
      <w:r>
        <w:rPr>
          <w:rFonts w:asciiTheme="minorHAnsi" w:eastAsiaTheme="minorEastAsia" w:hAnsiTheme="minorHAnsi" w:cstheme="minorBidi"/>
          <w:noProof/>
        </w:rPr>
        <w:tab/>
      </w:r>
      <w:r>
        <w:rPr>
          <w:noProof/>
        </w:rPr>
        <w:t>Justification for Sensitive Questions</w:t>
      </w:r>
      <w:r>
        <w:rPr>
          <w:noProof/>
        </w:rPr>
        <w:tab/>
      </w:r>
      <w:r>
        <w:rPr>
          <w:noProof/>
        </w:rPr>
        <w:fldChar w:fldCharType="begin"/>
      </w:r>
      <w:r>
        <w:rPr>
          <w:noProof/>
        </w:rPr>
        <w:instrText xml:space="preserve"> PAGEREF _Toc508106947 \h </w:instrText>
      </w:r>
      <w:r>
        <w:rPr>
          <w:noProof/>
        </w:rPr>
      </w:r>
      <w:r>
        <w:rPr>
          <w:noProof/>
        </w:rPr>
        <w:fldChar w:fldCharType="separate"/>
      </w:r>
      <w:r>
        <w:rPr>
          <w:noProof/>
        </w:rPr>
        <w:t>9</w:t>
      </w:r>
      <w:r>
        <w:rPr>
          <w:noProof/>
        </w:rPr>
        <w:fldChar w:fldCharType="end"/>
      </w:r>
    </w:p>
    <w:p w14:paraId="4F6FEDAB" w14:textId="1441F059" w:rsidR="00B50B17" w:rsidRDefault="00B50B17">
      <w:pPr>
        <w:pStyle w:val="TOC2"/>
        <w:rPr>
          <w:rFonts w:asciiTheme="minorHAnsi" w:eastAsiaTheme="minorEastAsia" w:hAnsiTheme="minorHAnsi" w:cstheme="minorBidi"/>
          <w:noProof/>
        </w:rPr>
      </w:pPr>
      <w:r>
        <w:rPr>
          <w:noProof/>
        </w:rPr>
        <w:t>A.12.1</w:t>
      </w:r>
      <w:r>
        <w:rPr>
          <w:rFonts w:asciiTheme="minorHAnsi" w:eastAsiaTheme="minorEastAsia" w:hAnsiTheme="minorHAnsi" w:cstheme="minorBidi"/>
          <w:noProof/>
        </w:rPr>
        <w:tab/>
      </w:r>
      <w:r>
        <w:rPr>
          <w:noProof/>
        </w:rPr>
        <w:t>Estimates of Hour Burden Including Annualized Hourly Costs</w:t>
      </w:r>
      <w:r>
        <w:rPr>
          <w:noProof/>
        </w:rPr>
        <w:tab/>
      </w:r>
      <w:r>
        <w:rPr>
          <w:noProof/>
        </w:rPr>
        <w:fldChar w:fldCharType="begin"/>
      </w:r>
      <w:r>
        <w:rPr>
          <w:noProof/>
        </w:rPr>
        <w:instrText xml:space="preserve"> PAGEREF _Toc508106948 \h </w:instrText>
      </w:r>
      <w:r>
        <w:rPr>
          <w:noProof/>
        </w:rPr>
      </w:r>
      <w:r>
        <w:rPr>
          <w:noProof/>
        </w:rPr>
        <w:fldChar w:fldCharType="separate"/>
      </w:r>
      <w:r>
        <w:rPr>
          <w:noProof/>
        </w:rPr>
        <w:t>10</w:t>
      </w:r>
      <w:r>
        <w:rPr>
          <w:noProof/>
        </w:rPr>
        <w:fldChar w:fldCharType="end"/>
      </w:r>
    </w:p>
    <w:p w14:paraId="13FD9C1B" w14:textId="0EB57B32" w:rsidR="00B50B17" w:rsidRDefault="00B50B17">
      <w:pPr>
        <w:pStyle w:val="TOC2"/>
        <w:rPr>
          <w:rFonts w:asciiTheme="minorHAnsi" w:eastAsiaTheme="minorEastAsia" w:hAnsiTheme="minorHAnsi" w:cstheme="minorBidi"/>
          <w:noProof/>
        </w:rPr>
      </w:pPr>
      <w:r>
        <w:rPr>
          <w:noProof/>
        </w:rPr>
        <w:t>A.12.2</w:t>
      </w:r>
      <w:r>
        <w:rPr>
          <w:rFonts w:asciiTheme="minorHAnsi" w:eastAsiaTheme="minorEastAsia" w:hAnsiTheme="minorHAnsi" w:cstheme="minorBidi"/>
          <w:noProof/>
        </w:rPr>
        <w:tab/>
      </w:r>
      <w:r>
        <w:rPr>
          <w:noProof/>
        </w:rPr>
        <w:t>Annualized Cost to Respondents</w:t>
      </w:r>
      <w:r>
        <w:rPr>
          <w:noProof/>
        </w:rPr>
        <w:tab/>
      </w:r>
      <w:r>
        <w:rPr>
          <w:noProof/>
        </w:rPr>
        <w:fldChar w:fldCharType="begin"/>
      </w:r>
      <w:r>
        <w:rPr>
          <w:noProof/>
        </w:rPr>
        <w:instrText xml:space="preserve"> PAGEREF _Toc508106949 \h </w:instrText>
      </w:r>
      <w:r>
        <w:rPr>
          <w:noProof/>
        </w:rPr>
      </w:r>
      <w:r>
        <w:rPr>
          <w:noProof/>
        </w:rPr>
        <w:fldChar w:fldCharType="separate"/>
      </w:r>
      <w:r>
        <w:rPr>
          <w:noProof/>
        </w:rPr>
        <w:t>10</w:t>
      </w:r>
      <w:r>
        <w:rPr>
          <w:noProof/>
        </w:rPr>
        <w:fldChar w:fldCharType="end"/>
      </w:r>
    </w:p>
    <w:p w14:paraId="035A6944" w14:textId="70235564" w:rsidR="00B50B17" w:rsidRDefault="00B50B17">
      <w:pPr>
        <w:pStyle w:val="TOC2"/>
        <w:rPr>
          <w:rFonts w:asciiTheme="minorHAnsi" w:eastAsiaTheme="minorEastAsia" w:hAnsiTheme="minorHAnsi" w:cstheme="minorBidi"/>
          <w:noProof/>
        </w:rPr>
      </w:pPr>
      <w:r>
        <w:rPr>
          <w:noProof/>
        </w:rPr>
        <w:t>A.13</w:t>
      </w:r>
      <w:r>
        <w:rPr>
          <w:rFonts w:asciiTheme="minorHAnsi" w:eastAsiaTheme="minorEastAsia" w:hAnsiTheme="minorHAnsi" w:cstheme="minorBidi"/>
          <w:noProof/>
        </w:rPr>
        <w:tab/>
      </w:r>
      <w:r>
        <w:rPr>
          <w:noProof/>
        </w:rPr>
        <w:t>Estimate of Other Total Annual Cost Burden to Respondents or Record Keepers</w:t>
      </w:r>
      <w:r>
        <w:rPr>
          <w:noProof/>
        </w:rPr>
        <w:tab/>
      </w:r>
      <w:r>
        <w:rPr>
          <w:noProof/>
        </w:rPr>
        <w:fldChar w:fldCharType="begin"/>
      </w:r>
      <w:r>
        <w:rPr>
          <w:noProof/>
        </w:rPr>
        <w:instrText xml:space="preserve"> PAGEREF _Toc508106950 \h </w:instrText>
      </w:r>
      <w:r>
        <w:rPr>
          <w:noProof/>
        </w:rPr>
      </w:r>
      <w:r>
        <w:rPr>
          <w:noProof/>
        </w:rPr>
        <w:fldChar w:fldCharType="separate"/>
      </w:r>
      <w:r>
        <w:rPr>
          <w:noProof/>
        </w:rPr>
        <w:t>11</w:t>
      </w:r>
      <w:r>
        <w:rPr>
          <w:noProof/>
        </w:rPr>
        <w:fldChar w:fldCharType="end"/>
      </w:r>
    </w:p>
    <w:p w14:paraId="3E8504AF" w14:textId="1C60A25B" w:rsidR="00B50B17" w:rsidRDefault="00B50B17">
      <w:pPr>
        <w:pStyle w:val="TOC2"/>
        <w:rPr>
          <w:rFonts w:asciiTheme="minorHAnsi" w:eastAsiaTheme="minorEastAsia" w:hAnsiTheme="minorHAnsi" w:cstheme="minorBidi"/>
          <w:noProof/>
        </w:rPr>
      </w:pPr>
      <w:r>
        <w:rPr>
          <w:noProof/>
        </w:rPr>
        <w:t>A.14</w:t>
      </w:r>
      <w:r>
        <w:rPr>
          <w:rFonts w:asciiTheme="minorHAnsi" w:eastAsiaTheme="minorEastAsia" w:hAnsiTheme="minorHAnsi" w:cstheme="minorBidi"/>
          <w:noProof/>
        </w:rPr>
        <w:tab/>
      </w:r>
      <w:r>
        <w:rPr>
          <w:noProof/>
        </w:rPr>
        <w:t>Annualized Cost to the Federal Government</w:t>
      </w:r>
      <w:r>
        <w:rPr>
          <w:noProof/>
        </w:rPr>
        <w:tab/>
      </w:r>
      <w:r>
        <w:rPr>
          <w:noProof/>
        </w:rPr>
        <w:fldChar w:fldCharType="begin"/>
      </w:r>
      <w:r>
        <w:rPr>
          <w:noProof/>
        </w:rPr>
        <w:instrText xml:space="preserve"> PAGEREF _Toc508106951 \h </w:instrText>
      </w:r>
      <w:r>
        <w:rPr>
          <w:noProof/>
        </w:rPr>
      </w:r>
      <w:r>
        <w:rPr>
          <w:noProof/>
        </w:rPr>
        <w:fldChar w:fldCharType="separate"/>
      </w:r>
      <w:r>
        <w:rPr>
          <w:noProof/>
        </w:rPr>
        <w:t>11</w:t>
      </w:r>
      <w:r>
        <w:rPr>
          <w:noProof/>
        </w:rPr>
        <w:fldChar w:fldCharType="end"/>
      </w:r>
    </w:p>
    <w:p w14:paraId="10118325" w14:textId="3EEDF4EC" w:rsidR="00B50B17" w:rsidRDefault="00B50B17">
      <w:pPr>
        <w:pStyle w:val="TOC2"/>
        <w:rPr>
          <w:rFonts w:asciiTheme="minorHAnsi" w:eastAsiaTheme="minorEastAsia" w:hAnsiTheme="minorHAnsi" w:cstheme="minorBidi"/>
          <w:noProof/>
        </w:rPr>
      </w:pPr>
      <w:r>
        <w:rPr>
          <w:noProof/>
        </w:rPr>
        <w:t>A.15</w:t>
      </w:r>
      <w:r>
        <w:rPr>
          <w:rFonts w:asciiTheme="minorHAnsi" w:eastAsiaTheme="minorEastAsia" w:hAnsiTheme="minorHAnsi" w:cstheme="minorBidi"/>
          <w:noProof/>
        </w:rPr>
        <w:tab/>
      </w:r>
      <w:r>
        <w:rPr>
          <w:noProof/>
        </w:rPr>
        <w:t>Explanation for Program Changes or Adjustments</w:t>
      </w:r>
      <w:r>
        <w:rPr>
          <w:noProof/>
        </w:rPr>
        <w:tab/>
      </w:r>
      <w:r>
        <w:rPr>
          <w:noProof/>
        </w:rPr>
        <w:fldChar w:fldCharType="begin"/>
      </w:r>
      <w:r>
        <w:rPr>
          <w:noProof/>
        </w:rPr>
        <w:instrText xml:space="preserve"> PAGEREF _Toc508106952 \h </w:instrText>
      </w:r>
      <w:r>
        <w:rPr>
          <w:noProof/>
        </w:rPr>
      </w:r>
      <w:r>
        <w:rPr>
          <w:noProof/>
        </w:rPr>
        <w:fldChar w:fldCharType="separate"/>
      </w:r>
      <w:r>
        <w:rPr>
          <w:noProof/>
        </w:rPr>
        <w:t>11</w:t>
      </w:r>
      <w:r>
        <w:rPr>
          <w:noProof/>
        </w:rPr>
        <w:fldChar w:fldCharType="end"/>
      </w:r>
    </w:p>
    <w:p w14:paraId="0AE0E68E" w14:textId="4EE3CA96" w:rsidR="00B50B17" w:rsidRDefault="00B50B17">
      <w:pPr>
        <w:pStyle w:val="TOC2"/>
        <w:rPr>
          <w:rFonts w:asciiTheme="minorHAnsi" w:eastAsiaTheme="minorEastAsia" w:hAnsiTheme="minorHAnsi" w:cstheme="minorBidi"/>
          <w:noProof/>
        </w:rPr>
      </w:pPr>
      <w:r>
        <w:rPr>
          <w:noProof/>
        </w:rPr>
        <w:t>A.16</w:t>
      </w:r>
      <w:r>
        <w:rPr>
          <w:rFonts w:asciiTheme="minorHAnsi" w:eastAsiaTheme="minorEastAsia" w:hAnsiTheme="minorHAnsi" w:cstheme="minorBidi"/>
          <w:noProof/>
        </w:rPr>
        <w:tab/>
      </w:r>
      <w:r>
        <w:rPr>
          <w:noProof/>
        </w:rPr>
        <w:t>Plans for Tabulation and Publication and Project Time Schedule</w:t>
      </w:r>
      <w:r>
        <w:rPr>
          <w:noProof/>
        </w:rPr>
        <w:tab/>
      </w:r>
      <w:r>
        <w:rPr>
          <w:noProof/>
        </w:rPr>
        <w:fldChar w:fldCharType="begin"/>
      </w:r>
      <w:r>
        <w:rPr>
          <w:noProof/>
        </w:rPr>
        <w:instrText xml:space="preserve"> PAGEREF _Toc508106953 \h </w:instrText>
      </w:r>
      <w:r>
        <w:rPr>
          <w:noProof/>
        </w:rPr>
      </w:r>
      <w:r>
        <w:rPr>
          <w:noProof/>
        </w:rPr>
        <w:fldChar w:fldCharType="separate"/>
      </w:r>
      <w:r>
        <w:rPr>
          <w:noProof/>
        </w:rPr>
        <w:t>11</w:t>
      </w:r>
      <w:r>
        <w:rPr>
          <w:noProof/>
        </w:rPr>
        <w:fldChar w:fldCharType="end"/>
      </w:r>
    </w:p>
    <w:p w14:paraId="70F98D54" w14:textId="59D2B30F" w:rsidR="00B50B17" w:rsidRDefault="00B50B17">
      <w:pPr>
        <w:pStyle w:val="TOC2"/>
        <w:rPr>
          <w:rFonts w:asciiTheme="minorHAnsi" w:eastAsiaTheme="minorEastAsia" w:hAnsiTheme="minorHAnsi" w:cstheme="minorBidi"/>
          <w:noProof/>
        </w:rPr>
      </w:pPr>
      <w:r>
        <w:rPr>
          <w:noProof/>
        </w:rPr>
        <w:t>A.17</w:t>
      </w:r>
      <w:r>
        <w:rPr>
          <w:rFonts w:asciiTheme="minorHAnsi" w:eastAsiaTheme="minorEastAsia" w:hAnsiTheme="minorHAnsi" w:cstheme="minorBidi"/>
          <w:noProof/>
        </w:rPr>
        <w:tab/>
      </w:r>
      <w:r>
        <w:rPr>
          <w:noProof/>
        </w:rPr>
        <w:t>Reason(s) Display of OMB Expiration Date is Inappropriate</w:t>
      </w:r>
      <w:r>
        <w:rPr>
          <w:noProof/>
        </w:rPr>
        <w:tab/>
      </w:r>
      <w:r>
        <w:rPr>
          <w:noProof/>
        </w:rPr>
        <w:fldChar w:fldCharType="begin"/>
      </w:r>
      <w:r>
        <w:rPr>
          <w:noProof/>
        </w:rPr>
        <w:instrText xml:space="preserve"> PAGEREF _Toc508106954 \h </w:instrText>
      </w:r>
      <w:r>
        <w:rPr>
          <w:noProof/>
        </w:rPr>
      </w:r>
      <w:r>
        <w:rPr>
          <w:noProof/>
        </w:rPr>
        <w:fldChar w:fldCharType="separate"/>
      </w:r>
      <w:r>
        <w:rPr>
          <w:noProof/>
        </w:rPr>
        <w:t>12</w:t>
      </w:r>
      <w:r>
        <w:rPr>
          <w:noProof/>
        </w:rPr>
        <w:fldChar w:fldCharType="end"/>
      </w:r>
    </w:p>
    <w:p w14:paraId="30AFD51D" w14:textId="54CE0A1F" w:rsidR="00B50B17" w:rsidRDefault="00B50B17">
      <w:pPr>
        <w:pStyle w:val="TOC2"/>
        <w:rPr>
          <w:rFonts w:asciiTheme="minorHAnsi" w:eastAsiaTheme="minorEastAsia" w:hAnsiTheme="minorHAnsi" w:cstheme="minorBidi"/>
          <w:noProof/>
        </w:rPr>
      </w:pPr>
      <w:r>
        <w:rPr>
          <w:noProof/>
        </w:rPr>
        <w:t>A.18</w:t>
      </w:r>
      <w:r>
        <w:rPr>
          <w:rFonts w:asciiTheme="minorHAnsi" w:eastAsiaTheme="minorEastAsia" w:hAnsiTheme="minorHAnsi" w:cstheme="minorBidi"/>
          <w:noProof/>
        </w:rPr>
        <w:tab/>
      </w:r>
      <w:r>
        <w:rPr>
          <w:noProof/>
        </w:rPr>
        <w:t>Exceptions to Certification for Paperwork Reduction Act Submissions</w:t>
      </w:r>
      <w:r>
        <w:rPr>
          <w:noProof/>
        </w:rPr>
        <w:tab/>
      </w:r>
      <w:r>
        <w:rPr>
          <w:noProof/>
        </w:rPr>
        <w:fldChar w:fldCharType="begin"/>
      </w:r>
      <w:r>
        <w:rPr>
          <w:noProof/>
        </w:rPr>
        <w:instrText xml:space="preserve"> PAGEREF _Toc508106955 \h </w:instrText>
      </w:r>
      <w:r>
        <w:rPr>
          <w:noProof/>
        </w:rPr>
      </w:r>
      <w:r>
        <w:rPr>
          <w:noProof/>
        </w:rPr>
        <w:fldChar w:fldCharType="separate"/>
      </w:r>
      <w:r>
        <w:rPr>
          <w:noProof/>
        </w:rPr>
        <w:t>12</w:t>
      </w:r>
      <w:r>
        <w:rPr>
          <w:noProof/>
        </w:rPr>
        <w:fldChar w:fldCharType="end"/>
      </w:r>
    </w:p>
    <w:p w14:paraId="108D743E" w14:textId="5630A2ED" w:rsidR="00A94851" w:rsidRDefault="00E35DD1" w:rsidP="00BA3D7A">
      <w:r w:rsidRPr="008942E9">
        <w:fldChar w:fldCharType="end"/>
      </w:r>
    </w:p>
    <w:p w14:paraId="22E73D69" w14:textId="77777777" w:rsidR="00A94851" w:rsidRDefault="00A94851">
      <w:pPr>
        <w:spacing w:after="0" w:line="240" w:lineRule="auto"/>
      </w:pPr>
      <w:r>
        <w:br w:type="page"/>
      </w:r>
    </w:p>
    <w:p w14:paraId="1C2B9A6C" w14:textId="60330681" w:rsidR="00A94851" w:rsidRPr="00151055" w:rsidRDefault="00151055" w:rsidP="00151055">
      <w:pPr>
        <w:spacing w:before="240" w:after="0"/>
        <w:jc w:val="center"/>
        <w:rPr>
          <w:rFonts w:ascii="Times New Roman" w:hAnsi="Times New Roman"/>
          <w:b/>
          <w:sz w:val="24"/>
          <w:szCs w:val="24"/>
        </w:rPr>
      </w:pPr>
      <w:r w:rsidRPr="00151055">
        <w:rPr>
          <w:rFonts w:ascii="Times New Roman" w:hAnsi="Times New Roman"/>
          <w:b/>
          <w:sz w:val="24"/>
          <w:szCs w:val="24"/>
        </w:rPr>
        <w:t>Attachments</w:t>
      </w:r>
      <w:bookmarkStart w:id="1" w:name="_Toc442286350"/>
      <w:bookmarkStart w:id="2" w:name="_Toc508106956"/>
    </w:p>
    <w:p w14:paraId="4FCFDA54" w14:textId="77777777" w:rsidR="00A94851" w:rsidRDefault="00A94851" w:rsidP="00A94851">
      <w:pPr>
        <w:spacing w:before="240" w:after="0"/>
      </w:pPr>
      <w:r>
        <w:t xml:space="preserve">Attachment A2.1: </w:t>
      </w:r>
      <w:r w:rsidRPr="00102A15">
        <w:t>NICHD DASH –</w:t>
      </w:r>
      <w:r>
        <w:t xml:space="preserve"> </w:t>
      </w:r>
      <w:bookmarkEnd w:id="1"/>
      <w:r>
        <w:t>User Registration (Approved OMB Number: 0925-0744)</w:t>
      </w:r>
      <w:bookmarkEnd w:id="2"/>
      <w:r>
        <w:t xml:space="preserve"> </w:t>
      </w:r>
      <w:bookmarkStart w:id="3" w:name="_Toc442286352"/>
      <w:bookmarkStart w:id="4" w:name="_Toc496770708"/>
      <w:bookmarkStart w:id="5" w:name="_Toc508106957"/>
    </w:p>
    <w:p w14:paraId="73F7B216" w14:textId="77777777" w:rsidR="00A94851" w:rsidRDefault="00A94851" w:rsidP="00A94851">
      <w:pPr>
        <w:spacing w:before="240" w:after="0"/>
      </w:pPr>
      <w:r>
        <w:t xml:space="preserve">Attachment A2.2: NICHD DASH </w:t>
      </w:r>
      <w:r w:rsidRPr="00102A15">
        <w:t>–</w:t>
      </w:r>
      <w:bookmarkEnd w:id="3"/>
      <w:bookmarkEnd w:id="4"/>
      <w:r>
        <w:t xml:space="preserve"> Data Submission (Approved OMB Number: 0925-0744</w:t>
      </w:r>
      <w:bookmarkStart w:id="6" w:name="_Toc508106958"/>
      <w:bookmarkEnd w:id="5"/>
    </w:p>
    <w:p w14:paraId="0077F394" w14:textId="77777777" w:rsidR="00A94851" w:rsidRDefault="00A94851" w:rsidP="00A94851">
      <w:pPr>
        <w:spacing w:before="240" w:after="0"/>
      </w:pPr>
      <w:r w:rsidRPr="00AE3B22">
        <w:rPr>
          <w:highlight w:val="yellow"/>
        </w:rPr>
        <w:t>Attachment A2.3: NICHD DASH – Institutional Certification Template</w:t>
      </w:r>
      <w:bookmarkEnd w:id="6"/>
      <w:r>
        <w:t xml:space="preserve"> </w:t>
      </w:r>
      <w:bookmarkStart w:id="7" w:name="_Toc508106959"/>
    </w:p>
    <w:p w14:paraId="14C8125E" w14:textId="77777777" w:rsidR="00A94851" w:rsidRDefault="00A94851" w:rsidP="00A94851">
      <w:pPr>
        <w:spacing w:before="240" w:after="0"/>
      </w:pPr>
      <w:r>
        <w:t xml:space="preserve">Attachment A2.4: </w:t>
      </w:r>
      <w:r w:rsidRPr="00102A15">
        <w:t>NICHD DASH –</w:t>
      </w:r>
      <w:r>
        <w:t xml:space="preserve"> Data Request (Approved OMB Number: 0925-0744)</w:t>
      </w:r>
      <w:bookmarkStart w:id="8" w:name="_Toc508106960"/>
      <w:bookmarkEnd w:id="7"/>
    </w:p>
    <w:p w14:paraId="5A7549F5" w14:textId="77777777" w:rsidR="00A94851" w:rsidRDefault="00A94851" w:rsidP="00A94851">
      <w:pPr>
        <w:spacing w:before="240" w:after="0"/>
        <w:rPr>
          <w:highlight w:val="yellow"/>
        </w:rPr>
      </w:pPr>
      <w:r w:rsidRPr="00AE3B22">
        <w:rPr>
          <w:highlight w:val="yellow"/>
        </w:rPr>
        <w:t>Attachment A2.5: NICHD DASH – Biospecimen Request Form</w:t>
      </w:r>
      <w:bookmarkStart w:id="9" w:name="_Toc508106961"/>
      <w:bookmarkEnd w:id="8"/>
    </w:p>
    <w:p w14:paraId="60A32EFB" w14:textId="77777777" w:rsidR="00A94851" w:rsidRDefault="00A94851" w:rsidP="00A94851">
      <w:pPr>
        <w:spacing w:before="240" w:after="0"/>
        <w:rPr>
          <w:highlight w:val="yellow"/>
        </w:rPr>
      </w:pPr>
      <w:r w:rsidRPr="00AE3B22">
        <w:rPr>
          <w:highlight w:val="yellow"/>
        </w:rPr>
        <w:t>Attachment A2.6: NICHD DASH – Data Use Annual Progress Report</w:t>
      </w:r>
      <w:bookmarkStart w:id="10" w:name="_Toc508106962"/>
      <w:bookmarkEnd w:id="9"/>
    </w:p>
    <w:p w14:paraId="6F4E35C9" w14:textId="529CEBBF" w:rsidR="00A94851" w:rsidRDefault="00A94851" w:rsidP="00A94851">
      <w:pPr>
        <w:spacing w:before="240" w:after="0"/>
        <w:rPr>
          <w:highlight w:val="yellow"/>
        </w:rPr>
      </w:pPr>
      <w:r w:rsidRPr="00AE3B22">
        <w:rPr>
          <w:highlight w:val="yellow"/>
        </w:rPr>
        <w:t>Attachment A2.7: NICHD DASH – Biospecimen Use Annual Progress Report</w:t>
      </w:r>
      <w:bookmarkEnd w:id="10"/>
    </w:p>
    <w:p w14:paraId="690CEC74" w14:textId="4958B2F1" w:rsidR="00151055" w:rsidRDefault="00151055" w:rsidP="00A94851">
      <w:pPr>
        <w:spacing w:before="240" w:after="0"/>
      </w:pPr>
      <w:r>
        <w:t>Attachment A3.1: DASH Privacy Impact Assessment.</w:t>
      </w:r>
    </w:p>
    <w:p w14:paraId="5BFEB9F4" w14:textId="77777777" w:rsidR="003068CC" w:rsidRDefault="003068CC" w:rsidP="00BA3D7A"/>
    <w:p w14:paraId="1DB1376F" w14:textId="77777777" w:rsidR="00EF64BB" w:rsidRDefault="00EF64BB" w:rsidP="00BA3D7A"/>
    <w:p w14:paraId="32A85230" w14:textId="77777777" w:rsidR="00EF64BB" w:rsidRDefault="00EF64BB" w:rsidP="00BA3D7A"/>
    <w:p w14:paraId="7E65C7C0" w14:textId="77777777" w:rsidR="00EF64BB" w:rsidRDefault="00EF64BB" w:rsidP="00BA3D7A"/>
    <w:p w14:paraId="21ACFDCF" w14:textId="77777777" w:rsidR="00EF64BB" w:rsidRDefault="00EF64BB" w:rsidP="00BA3D7A"/>
    <w:p w14:paraId="0491C366" w14:textId="77777777" w:rsidR="00EF64BB" w:rsidRDefault="00EF64BB" w:rsidP="00BA3D7A"/>
    <w:p w14:paraId="6701C152" w14:textId="77777777" w:rsidR="00EF64BB" w:rsidRDefault="00EF64BB" w:rsidP="00BA3D7A"/>
    <w:p w14:paraId="49625981" w14:textId="77777777" w:rsidR="00EF64BB" w:rsidRDefault="00EF64BB" w:rsidP="00BA3D7A"/>
    <w:p w14:paraId="5D108739" w14:textId="77777777" w:rsidR="00EF64BB" w:rsidRDefault="00EF64BB" w:rsidP="00BA3D7A"/>
    <w:p w14:paraId="5E207BFC" w14:textId="77777777" w:rsidR="00EF64BB" w:rsidRDefault="00EF64BB" w:rsidP="00BA3D7A"/>
    <w:p w14:paraId="1F414A11" w14:textId="77777777" w:rsidR="00EF64BB" w:rsidRDefault="00EF64BB" w:rsidP="00BA3D7A"/>
    <w:p w14:paraId="26C327A6" w14:textId="77777777" w:rsidR="00EF64BB" w:rsidRDefault="00EF64BB" w:rsidP="00BA3D7A"/>
    <w:p w14:paraId="27D4CAFF" w14:textId="77777777" w:rsidR="00EF64BB" w:rsidRDefault="00EF64BB" w:rsidP="00BA3D7A"/>
    <w:p w14:paraId="297C5B40" w14:textId="77777777" w:rsidR="00EF64BB" w:rsidRDefault="00EF64BB" w:rsidP="00BA3D7A"/>
    <w:p w14:paraId="22C56C16" w14:textId="77777777" w:rsidR="00EF64BB" w:rsidRDefault="00EF64BB" w:rsidP="00BA3D7A"/>
    <w:p w14:paraId="0AD04690" w14:textId="77777777" w:rsidR="00EF64BB" w:rsidRDefault="00EF64BB" w:rsidP="00BA3D7A"/>
    <w:p w14:paraId="5F12C62F" w14:textId="77777777" w:rsidR="006A45F9" w:rsidRPr="008942E9" w:rsidRDefault="0024646A" w:rsidP="004C5217">
      <w:pPr>
        <w:pStyle w:val="Heading2"/>
      </w:pPr>
      <w:bookmarkStart w:id="11" w:name="_Toc442286329"/>
      <w:bookmarkStart w:id="12" w:name="_Toc508106935"/>
      <w:r>
        <w:t>A.</w:t>
      </w:r>
      <w:r>
        <w:tab/>
      </w:r>
      <w:r w:rsidR="00BE76A7" w:rsidRPr="008942E9">
        <w:t>Justification</w:t>
      </w:r>
      <w:bookmarkEnd w:id="11"/>
      <w:bookmarkEnd w:id="12"/>
    </w:p>
    <w:p w14:paraId="4F718254" w14:textId="09D7BB54" w:rsidR="007E1976" w:rsidRDefault="007263F0" w:rsidP="00551F98">
      <w:r w:rsidRPr="00FF6388">
        <w:rPr>
          <w:color w:val="000000" w:themeColor="text1"/>
          <w:highlight w:val="yellow"/>
        </w:rPr>
        <w:t>This is a request to revise the previously approved</w:t>
      </w:r>
      <w:r w:rsidR="00094DBC" w:rsidRPr="00FF6388">
        <w:rPr>
          <w:color w:val="000000" w:themeColor="text1"/>
          <w:highlight w:val="yellow"/>
        </w:rPr>
        <w:t xml:space="preserve"> </w:t>
      </w:r>
      <w:r w:rsidR="00135A52" w:rsidRPr="00FF6388">
        <w:rPr>
          <w:color w:val="000000" w:themeColor="text1"/>
          <w:highlight w:val="yellow"/>
        </w:rPr>
        <w:t>submission</w:t>
      </w:r>
      <w:r w:rsidR="00094DBC" w:rsidRPr="00FF6388">
        <w:rPr>
          <w:color w:val="000000" w:themeColor="text1"/>
          <w:highlight w:val="yellow"/>
        </w:rPr>
        <w:t xml:space="preserve"> </w:t>
      </w:r>
      <w:r w:rsidRPr="00FF6388">
        <w:rPr>
          <w:color w:val="000000" w:themeColor="text1"/>
          <w:highlight w:val="yellow"/>
        </w:rPr>
        <w:t xml:space="preserve">(OMB number: 0925-0744) </w:t>
      </w:r>
      <w:r w:rsidR="000F761D" w:rsidRPr="00FF6388">
        <w:rPr>
          <w:color w:val="000000" w:themeColor="text1"/>
          <w:highlight w:val="yellow"/>
        </w:rPr>
        <w:t xml:space="preserve">to </w:t>
      </w:r>
      <w:r w:rsidR="00135A52" w:rsidRPr="00FF6388">
        <w:rPr>
          <w:color w:val="000000" w:themeColor="text1"/>
          <w:highlight w:val="yellow"/>
        </w:rPr>
        <w:t xml:space="preserve">add </w:t>
      </w:r>
      <w:r w:rsidRPr="00FF6388">
        <w:rPr>
          <w:color w:val="000000" w:themeColor="text1"/>
          <w:highlight w:val="yellow"/>
        </w:rPr>
        <w:t>the collection of</w:t>
      </w:r>
      <w:r w:rsidR="002F5F62" w:rsidRPr="00FF6388">
        <w:rPr>
          <w:color w:val="000000" w:themeColor="text1"/>
          <w:highlight w:val="yellow"/>
        </w:rPr>
        <w:t xml:space="preserve"> </w:t>
      </w:r>
      <w:r w:rsidR="00007F00" w:rsidRPr="00FF6388">
        <w:rPr>
          <w:color w:val="000000" w:themeColor="text1"/>
          <w:highlight w:val="yellow"/>
        </w:rPr>
        <w:t xml:space="preserve">additional </w:t>
      </w:r>
      <w:r w:rsidRPr="00FF6388">
        <w:rPr>
          <w:color w:val="000000" w:themeColor="text1"/>
          <w:highlight w:val="yellow"/>
        </w:rPr>
        <w:t xml:space="preserve">information </w:t>
      </w:r>
      <w:r w:rsidR="00181A46" w:rsidRPr="00FF6388">
        <w:rPr>
          <w:color w:val="000000" w:themeColor="text1"/>
          <w:highlight w:val="yellow"/>
        </w:rPr>
        <w:t>from</w:t>
      </w:r>
      <w:r w:rsidR="00C375EB" w:rsidRPr="00FF6388">
        <w:rPr>
          <w:color w:val="000000" w:themeColor="text1"/>
          <w:highlight w:val="yellow"/>
        </w:rPr>
        <w:t xml:space="preserve"> Users</w:t>
      </w:r>
      <w:r w:rsidR="00181A46" w:rsidRPr="00FF6388">
        <w:rPr>
          <w:color w:val="000000" w:themeColor="text1"/>
          <w:highlight w:val="yellow"/>
        </w:rPr>
        <w:t xml:space="preserve"> </w:t>
      </w:r>
      <w:r w:rsidR="00007F00" w:rsidRPr="00FF6388">
        <w:rPr>
          <w:color w:val="000000" w:themeColor="text1"/>
          <w:highlight w:val="yellow"/>
        </w:rPr>
        <w:t xml:space="preserve">who will </w:t>
      </w:r>
      <w:r w:rsidR="008C37AB" w:rsidRPr="00FF6388">
        <w:rPr>
          <w:color w:val="000000" w:themeColor="text1"/>
          <w:highlight w:val="yellow"/>
        </w:rPr>
        <w:t xml:space="preserve">request </w:t>
      </w:r>
      <w:r w:rsidRPr="00FF6388">
        <w:rPr>
          <w:color w:val="000000" w:themeColor="text1"/>
          <w:highlight w:val="yellow"/>
        </w:rPr>
        <w:t>biospecimen</w:t>
      </w:r>
      <w:r w:rsidR="008C37AB" w:rsidRPr="00FF6388">
        <w:rPr>
          <w:color w:val="000000" w:themeColor="text1"/>
          <w:highlight w:val="yellow"/>
        </w:rPr>
        <w:t>s</w:t>
      </w:r>
      <w:r w:rsidR="00F31452">
        <w:rPr>
          <w:color w:val="000000" w:themeColor="text1"/>
          <w:highlight w:val="yellow"/>
        </w:rPr>
        <w:t xml:space="preserve"> from the </w:t>
      </w:r>
      <w:r w:rsidR="00373426">
        <w:rPr>
          <w:color w:val="000000" w:themeColor="text1"/>
          <w:highlight w:val="yellow"/>
        </w:rPr>
        <w:t xml:space="preserve">pre-existing </w:t>
      </w:r>
      <w:r w:rsidR="00F31452">
        <w:rPr>
          <w:color w:val="000000" w:themeColor="text1"/>
          <w:highlight w:val="yellow"/>
        </w:rPr>
        <w:t>NICHD repository</w:t>
      </w:r>
      <w:r w:rsidR="00135A52" w:rsidRPr="00FF6388">
        <w:rPr>
          <w:color w:val="000000" w:themeColor="text1"/>
          <w:highlight w:val="yellow"/>
        </w:rPr>
        <w:t>,</w:t>
      </w:r>
      <w:r w:rsidR="008C37AB" w:rsidRPr="00FF6388">
        <w:rPr>
          <w:color w:val="000000" w:themeColor="text1"/>
          <w:highlight w:val="yellow"/>
        </w:rPr>
        <w:t xml:space="preserve"> submit </w:t>
      </w:r>
      <w:r w:rsidR="00D378DD" w:rsidRPr="00FF6388">
        <w:rPr>
          <w:color w:val="000000" w:themeColor="text1"/>
          <w:highlight w:val="yellow"/>
        </w:rPr>
        <w:t xml:space="preserve">the Institutional </w:t>
      </w:r>
      <w:r w:rsidR="00AB6601" w:rsidRPr="00FF6388">
        <w:rPr>
          <w:color w:val="000000" w:themeColor="text1"/>
          <w:highlight w:val="yellow"/>
        </w:rPr>
        <w:t>Certification</w:t>
      </w:r>
      <w:r w:rsidR="00D378DD" w:rsidRPr="00FF6388">
        <w:rPr>
          <w:color w:val="000000" w:themeColor="text1"/>
          <w:highlight w:val="yellow"/>
        </w:rPr>
        <w:t xml:space="preserve"> for data/biospecimen inventory</w:t>
      </w:r>
      <w:r w:rsidR="00135A52" w:rsidRPr="00FF6388">
        <w:rPr>
          <w:color w:val="000000" w:themeColor="text1"/>
          <w:highlight w:val="yellow"/>
        </w:rPr>
        <w:t>,</w:t>
      </w:r>
      <w:r w:rsidR="00D378DD" w:rsidRPr="00FF6388">
        <w:rPr>
          <w:color w:val="000000" w:themeColor="text1"/>
          <w:highlight w:val="yellow"/>
        </w:rPr>
        <w:t xml:space="preserve"> </w:t>
      </w:r>
      <w:r w:rsidR="00007F00" w:rsidRPr="00FF6388">
        <w:rPr>
          <w:color w:val="000000" w:themeColor="text1"/>
          <w:highlight w:val="yellow"/>
        </w:rPr>
        <w:t xml:space="preserve">and </w:t>
      </w:r>
      <w:r w:rsidR="00135A52" w:rsidRPr="00FF6388">
        <w:rPr>
          <w:color w:val="000000" w:themeColor="text1"/>
          <w:highlight w:val="yellow"/>
        </w:rPr>
        <w:t xml:space="preserve">submit </w:t>
      </w:r>
      <w:r w:rsidR="00D378DD" w:rsidRPr="00FF6388">
        <w:rPr>
          <w:color w:val="000000" w:themeColor="text1"/>
          <w:highlight w:val="yellow"/>
        </w:rPr>
        <w:t>DASH data/b</w:t>
      </w:r>
      <w:r w:rsidR="008C37AB" w:rsidRPr="00FF6388">
        <w:rPr>
          <w:color w:val="000000" w:themeColor="text1"/>
          <w:highlight w:val="yellow"/>
        </w:rPr>
        <w:t>iospecimen A</w:t>
      </w:r>
      <w:r w:rsidRPr="00FF6388">
        <w:rPr>
          <w:color w:val="000000" w:themeColor="text1"/>
          <w:highlight w:val="yellow"/>
        </w:rPr>
        <w:t xml:space="preserve">nnual </w:t>
      </w:r>
      <w:r w:rsidR="008C37AB" w:rsidRPr="00FF6388">
        <w:rPr>
          <w:color w:val="000000" w:themeColor="text1"/>
          <w:highlight w:val="yellow"/>
        </w:rPr>
        <w:t>P</w:t>
      </w:r>
      <w:r w:rsidRPr="00FF6388">
        <w:rPr>
          <w:color w:val="000000" w:themeColor="text1"/>
          <w:highlight w:val="yellow"/>
        </w:rPr>
        <w:t xml:space="preserve">rogress </w:t>
      </w:r>
      <w:r w:rsidR="008C37AB" w:rsidRPr="00FF6388">
        <w:rPr>
          <w:color w:val="000000" w:themeColor="text1"/>
          <w:highlight w:val="yellow"/>
        </w:rPr>
        <w:t>R</w:t>
      </w:r>
      <w:r w:rsidRPr="00FF6388">
        <w:rPr>
          <w:color w:val="000000" w:themeColor="text1"/>
          <w:highlight w:val="yellow"/>
        </w:rPr>
        <w:t>eport</w:t>
      </w:r>
      <w:r w:rsidR="008C37AB" w:rsidRPr="00FF6388">
        <w:rPr>
          <w:color w:val="000000" w:themeColor="text1"/>
          <w:highlight w:val="yellow"/>
        </w:rPr>
        <w:t xml:space="preserve"> </w:t>
      </w:r>
      <w:r w:rsidR="00135A52" w:rsidRPr="00FF6388">
        <w:rPr>
          <w:color w:val="000000" w:themeColor="text1"/>
          <w:highlight w:val="yellow"/>
        </w:rPr>
        <w:t xml:space="preserve">for the </w:t>
      </w:r>
      <w:r w:rsidRPr="00FF6388">
        <w:rPr>
          <w:color w:val="000000" w:themeColor="text1"/>
          <w:highlight w:val="yellow"/>
        </w:rPr>
        <w:t>NICHD Data and Specimen Hub (DASH).</w:t>
      </w:r>
      <w:r w:rsidRPr="00FF6388">
        <w:rPr>
          <w:color w:val="000000" w:themeColor="text1"/>
        </w:rPr>
        <w:t xml:space="preserve"> </w:t>
      </w:r>
      <w:r w:rsidR="00D727FD">
        <w:t xml:space="preserve">DASH </w:t>
      </w:r>
      <w:r w:rsidR="00F97E27" w:rsidRPr="00A627A4">
        <w:t>has been</w:t>
      </w:r>
      <w:r w:rsidR="00405DB5">
        <w:t xml:space="preserve"> e</w:t>
      </w:r>
      <w:r w:rsidR="00873C26">
        <w:t xml:space="preserve">stablished by NICHD </w:t>
      </w:r>
      <w:r w:rsidR="00405DB5">
        <w:t xml:space="preserve">as a data sharing mechanism for </w:t>
      </w:r>
      <w:r w:rsidR="00553516">
        <w:t xml:space="preserve">biomedical research </w:t>
      </w:r>
      <w:r w:rsidR="00405DB5">
        <w:t>investigators.</w:t>
      </w:r>
      <w:r>
        <w:t xml:space="preserve"> </w:t>
      </w:r>
      <w:r w:rsidR="00405DB5">
        <w:t xml:space="preserve">It </w:t>
      </w:r>
      <w:r w:rsidR="009F76A7" w:rsidRPr="00A627A4">
        <w:t>serve</w:t>
      </w:r>
      <w:r w:rsidRPr="00A627A4">
        <w:t>s</w:t>
      </w:r>
      <w:r w:rsidR="009F76A7" w:rsidRPr="009F76A7">
        <w:t xml:space="preserve"> as a </w:t>
      </w:r>
      <w:r w:rsidR="001236A8" w:rsidRPr="001236A8">
        <w:t xml:space="preserve">centralized resource for </w:t>
      </w:r>
      <w:r w:rsidR="00553516">
        <w:t>investigators</w:t>
      </w:r>
      <w:r w:rsidR="001236A8" w:rsidRPr="001236A8">
        <w:t xml:space="preserve"> to store and access de-id</w:t>
      </w:r>
      <w:r w:rsidR="008C0810">
        <w:t xml:space="preserve">entified </w:t>
      </w:r>
      <w:r w:rsidR="00027959" w:rsidRPr="004B18F8">
        <w:t xml:space="preserve">study </w:t>
      </w:r>
      <w:r w:rsidR="008C0810" w:rsidRPr="00257238">
        <w:t>data</w:t>
      </w:r>
      <w:r w:rsidR="00373426" w:rsidRPr="00373426">
        <w:t xml:space="preserve"> </w:t>
      </w:r>
      <w:r w:rsidR="00373426" w:rsidRPr="00571E07">
        <w:rPr>
          <w:highlight w:val="yellow"/>
        </w:rPr>
        <w:t>from studies funded by NICHD</w:t>
      </w:r>
      <w:r w:rsidR="00F31452" w:rsidRPr="00571E07">
        <w:rPr>
          <w:highlight w:val="yellow"/>
        </w:rPr>
        <w:t xml:space="preserve">.  </w:t>
      </w:r>
      <w:r w:rsidR="00373426" w:rsidRPr="00571E07">
        <w:rPr>
          <w:highlight w:val="yellow"/>
        </w:rPr>
        <w:t>NICHD is adding</w:t>
      </w:r>
      <w:r w:rsidR="008C0810" w:rsidRPr="00571E07">
        <w:rPr>
          <w:highlight w:val="yellow"/>
        </w:rPr>
        <w:t xml:space="preserve"> </w:t>
      </w:r>
      <w:r w:rsidR="00F31452" w:rsidRPr="00571E07">
        <w:rPr>
          <w:highlight w:val="yellow"/>
        </w:rPr>
        <w:t>a</w:t>
      </w:r>
      <w:r w:rsidR="00373426" w:rsidRPr="00571E07">
        <w:rPr>
          <w:highlight w:val="yellow"/>
        </w:rPr>
        <w:t>n</w:t>
      </w:r>
      <w:r w:rsidR="00F31452" w:rsidRPr="00571E07">
        <w:rPr>
          <w:highlight w:val="yellow"/>
        </w:rPr>
        <w:t xml:space="preserve"> </w:t>
      </w:r>
      <w:r w:rsidR="00373426" w:rsidRPr="00571E07">
        <w:rPr>
          <w:highlight w:val="yellow"/>
        </w:rPr>
        <w:t>inventory</w:t>
      </w:r>
      <w:r w:rsidR="00F31452" w:rsidRPr="00571E07">
        <w:rPr>
          <w:highlight w:val="yellow"/>
        </w:rPr>
        <w:t xml:space="preserve"> of</w:t>
      </w:r>
      <w:r w:rsidR="00F31452">
        <w:t xml:space="preserve"> </w:t>
      </w:r>
      <w:r w:rsidR="00660117" w:rsidRPr="00A627A4">
        <w:rPr>
          <w:highlight w:val="yellow"/>
        </w:rPr>
        <w:t>biospecimen</w:t>
      </w:r>
      <w:r w:rsidR="00373426">
        <w:rPr>
          <w:highlight w:val="yellow"/>
        </w:rPr>
        <w:t>s</w:t>
      </w:r>
      <w:r w:rsidR="001174F9" w:rsidRPr="00A627A4">
        <w:rPr>
          <w:highlight w:val="yellow"/>
        </w:rPr>
        <w:t xml:space="preserve"> </w:t>
      </w:r>
      <w:r w:rsidR="00F31452">
        <w:rPr>
          <w:highlight w:val="yellow"/>
        </w:rPr>
        <w:t>that are</w:t>
      </w:r>
      <w:r w:rsidR="001174F9" w:rsidRPr="00A627A4">
        <w:rPr>
          <w:highlight w:val="yellow"/>
        </w:rPr>
        <w:t xml:space="preserve"> </w:t>
      </w:r>
      <w:r w:rsidR="00027959" w:rsidRPr="00A627A4">
        <w:rPr>
          <w:highlight w:val="yellow"/>
        </w:rPr>
        <w:t xml:space="preserve">available </w:t>
      </w:r>
      <w:r w:rsidR="001174F9" w:rsidRPr="00A627A4">
        <w:rPr>
          <w:highlight w:val="yellow"/>
        </w:rPr>
        <w:t>at the NICHD Biorepository</w:t>
      </w:r>
      <w:r w:rsidR="00373426">
        <w:rPr>
          <w:highlight w:val="yellow"/>
        </w:rPr>
        <w:t xml:space="preserve">, and </w:t>
      </w:r>
      <w:r w:rsidR="00571E07">
        <w:rPr>
          <w:highlight w:val="yellow"/>
        </w:rPr>
        <w:t>will create a</w:t>
      </w:r>
      <w:r w:rsidR="00373426">
        <w:rPr>
          <w:highlight w:val="yellow"/>
        </w:rPr>
        <w:t xml:space="preserve"> committee </w:t>
      </w:r>
      <w:r w:rsidR="00571E07">
        <w:rPr>
          <w:highlight w:val="yellow"/>
        </w:rPr>
        <w:t>to</w:t>
      </w:r>
      <w:r w:rsidR="00373426">
        <w:rPr>
          <w:highlight w:val="yellow"/>
        </w:rPr>
        <w:t xml:space="preserve"> review </w:t>
      </w:r>
      <w:r w:rsidR="00571E07">
        <w:rPr>
          <w:highlight w:val="yellow"/>
        </w:rPr>
        <w:t xml:space="preserve">biospecimen </w:t>
      </w:r>
      <w:r w:rsidR="00373426">
        <w:rPr>
          <w:highlight w:val="yellow"/>
        </w:rPr>
        <w:t xml:space="preserve">requests from investigators </w:t>
      </w:r>
      <w:r w:rsidR="00571E07" w:rsidRPr="00571E07">
        <w:rPr>
          <w:highlight w:val="yellow"/>
        </w:rPr>
        <w:t>Approved requests will be forwarded to the NICHD biospecimen repository for processing.</w:t>
      </w:r>
      <w:r w:rsidR="00571E07">
        <w:t xml:space="preserve">  </w:t>
      </w:r>
    </w:p>
    <w:p w14:paraId="6E49D1A3" w14:textId="7AB6BCAF" w:rsidR="001A42A3" w:rsidRDefault="009F76A7" w:rsidP="00551F98">
      <w:r w:rsidRPr="009F76A7">
        <w:t xml:space="preserve">Anyone </w:t>
      </w:r>
      <w:r w:rsidR="008E08F7">
        <w:t>can</w:t>
      </w:r>
      <w:r w:rsidRPr="009F76A7">
        <w:t xml:space="preserve"> access </w:t>
      </w:r>
      <w:r w:rsidR="00B17D81">
        <w:t>NICHD DASH</w:t>
      </w:r>
      <w:r w:rsidRPr="009F76A7">
        <w:t xml:space="preserve"> to browse and view descriptive information about </w:t>
      </w:r>
      <w:r w:rsidR="006372C5">
        <w:t xml:space="preserve">the </w:t>
      </w:r>
      <w:r w:rsidRPr="009F76A7">
        <w:t>studies</w:t>
      </w:r>
      <w:r w:rsidR="001174F9">
        <w:t xml:space="preserve"> </w:t>
      </w:r>
      <w:r w:rsidRPr="009F76A7">
        <w:t xml:space="preserve">and </w:t>
      </w:r>
      <w:r w:rsidR="00027959" w:rsidRPr="004B18F8">
        <w:t>study</w:t>
      </w:r>
      <w:r w:rsidR="00027959">
        <w:t xml:space="preserve"> </w:t>
      </w:r>
      <w:r w:rsidRPr="009F76A7">
        <w:t xml:space="preserve">data </w:t>
      </w:r>
      <w:r w:rsidR="00553516">
        <w:t xml:space="preserve">archived </w:t>
      </w:r>
      <w:r w:rsidR="006372C5">
        <w:t xml:space="preserve">in NICHD DASH </w:t>
      </w:r>
      <w:r w:rsidRPr="009F76A7">
        <w:t xml:space="preserve">without creating an account. Users who wish to </w:t>
      </w:r>
      <w:r w:rsidR="008E08F7">
        <w:t>submit</w:t>
      </w:r>
      <w:r w:rsidRPr="009F76A7">
        <w:t xml:space="preserve"> </w:t>
      </w:r>
      <w:r w:rsidR="003068CC">
        <w:t xml:space="preserve">or request </w:t>
      </w:r>
      <w:r w:rsidR="003068CC" w:rsidRPr="004B18F8">
        <w:t>study</w:t>
      </w:r>
      <w:r w:rsidR="003068CC">
        <w:t xml:space="preserve"> </w:t>
      </w:r>
      <w:r w:rsidR="00D55544">
        <w:t xml:space="preserve">data </w:t>
      </w:r>
      <w:r w:rsidR="00F3590D" w:rsidRPr="00A627A4">
        <w:rPr>
          <w:highlight w:val="yellow"/>
        </w:rPr>
        <w:t>and/</w:t>
      </w:r>
      <w:r w:rsidR="003068CC" w:rsidRPr="00A627A4">
        <w:rPr>
          <w:highlight w:val="yellow"/>
        </w:rPr>
        <w:t xml:space="preserve">or </w:t>
      </w:r>
      <w:r w:rsidR="00660117" w:rsidRPr="00A627A4">
        <w:rPr>
          <w:highlight w:val="yellow"/>
        </w:rPr>
        <w:t>biospecimen</w:t>
      </w:r>
      <w:r w:rsidR="001174F9" w:rsidRPr="00A627A4">
        <w:rPr>
          <w:highlight w:val="yellow"/>
        </w:rPr>
        <w:t xml:space="preserve"> inventories</w:t>
      </w:r>
      <w:r w:rsidR="00D55544">
        <w:t xml:space="preserve"> </w:t>
      </w:r>
      <w:r w:rsidRPr="009F76A7">
        <w:t>must register for an account</w:t>
      </w:r>
      <w:r w:rsidR="00037032">
        <w:t>.</w:t>
      </w:r>
    </w:p>
    <w:p w14:paraId="20FC4EE1" w14:textId="77777777" w:rsidR="001A42A3" w:rsidRDefault="00914F18" w:rsidP="00E16967">
      <w:r>
        <w:t>I</w:t>
      </w:r>
      <w:r w:rsidR="00037032" w:rsidRPr="009F76A7">
        <w:t xml:space="preserve">nformation will be collected from those wishing to create an account, sufficient to identify them as unique </w:t>
      </w:r>
      <w:r w:rsidR="00037032">
        <w:t>Users</w:t>
      </w:r>
      <w:r w:rsidR="00037032" w:rsidRPr="009F76A7">
        <w:t>.</w:t>
      </w:r>
      <w:r w:rsidR="00037032">
        <w:t xml:space="preserve"> Those </w:t>
      </w:r>
      <w:r w:rsidR="00833911">
        <w:t>submitting</w:t>
      </w:r>
      <w:r w:rsidR="00D55544">
        <w:t xml:space="preserve"> </w:t>
      </w:r>
      <w:r w:rsidR="003068CC">
        <w:t>or requesting data</w:t>
      </w:r>
      <w:r w:rsidR="00833911">
        <w:t xml:space="preserve"> </w:t>
      </w:r>
      <w:r w:rsidR="00F3590D" w:rsidRPr="00A627A4">
        <w:rPr>
          <w:highlight w:val="yellow"/>
        </w:rPr>
        <w:t>and/</w:t>
      </w:r>
      <w:r w:rsidR="00065E81" w:rsidRPr="00A627A4">
        <w:rPr>
          <w:highlight w:val="yellow"/>
        </w:rPr>
        <w:t xml:space="preserve">or </w:t>
      </w:r>
      <w:r w:rsidR="00660117" w:rsidRPr="00A627A4">
        <w:rPr>
          <w:highlight w:val="yellow"/>
        </w:rPr>
        <w:t>biospecimen</w:t>
      </w:r>
      <w:r w:rsidR="001174F9" w:rsidRPr="00A627A4">
        <w:rPr>
          <w:highlight w:val="yellow"/>
        </w:rPr>
        <w:t xml:space="preserve"> inventorie</w:t>
      </w:r>
      <w:r w:rsidR="00660117" w:rsidRPr="00A627A4">
        <w:rPr>
          <w:highlight w:val="yellow"/>
        </w:rPr>
        <w:t>s</w:t>
      </w:r>
      <w:r w:rsidR="00D55544">
        <w:t xml:space="preserve"> </w:t>
      </w:r>
      <w:r w:rsidR="00037032">
        <w:t xml:space="preserve">will be required to provide </w:t>
      </w:r>
      <w:r w:rsidR="00553516">
        <w:t xml:space="preserve">additional </w:t>
      </w:r>
      <w:r w:rsidR="00037032">
        <w:t>supporting information to ensure</w:t>
      </w:r>
      <w:r w:rsidR="00037032" w:rsidRPr="00037032">
        <w:t xml:space="preserve"> proper use and security of NICHD DASH </w:t>
      </w:r>
      <w:r w:rsidR="00027959" w:rsidRPr="004B18F8">
        <w:t>study</w:t>
      </w:r>
      <w:r w:rsidR="00027959">
        <w:t xml:space="preserve"> </w:t>
      </w:r>
      <w:r w:rsidR="00037032" w:rsidRPr="00037032">
        <w:t>data</w:t>
      </w:r>
      <w:r w:rsidR="00D55544">
        <w:t xml:space="preserve"> </w:t>
      </w:r>
      <w:r w:rsidR="00D55544" w:rsidRPr="00A627A4">
        <w:rPr>
          <w:highlight w:val="yellow"/>
        </w:rPr>
        <w:t xml:space="preserve">and </w:t>
      </w:r>
      <w:r w:rsidR="005C3DE6" w:rsidRPr="00A627A4">
        <w:rPr>
          <w:highlight w:val="yellow"/>
        </w:rPr>
        <w:t>bios</w:t>
      </w:r>
      <w:r w:rsidR="00D55544" w:rsidRPr="00A627A4">
        <w:rPr>
          <w:highlight w:val="yellow"/>
        </w:rPr>
        <w:t>pecimen</w:t>
      </w:r>
      <w:r w:rsidR="001174F9" w:rsidRPr="00A627A4">
        <w:rPr>
          <w:highlight w:val="yellow"/>
        </w:rPr>
        <w:t xml:space="preserve"> inventories</w:t>
      </w:r>
      <w:r w:rsidR="00027959" w:rsidRPr="00A627A4">
        <w:rPr>
          <w:highlight w:val="yellow"/>
        </w:rPr>
        <w:t>.</w:t>
      </w:r>
      <w:r w:rsidR="00037032">
        <w:t xml:space="preserve"> </w:t>
      </w:r>
      <w:r w:rsidR="00D55544" w:rsidRPr="00A627A4">
        <w:rPr>
          <w:highlight w:val="yellow"/>
        </w:rPr>
        <w:t xml:space="preserve">Additionally, </w:t>
      </w:r>
      <w:r w:rsidR="00F3590D" w:rsidRPr="00A627A4">
        <w:rPr>
          <w:highlight w:val="yellow"/>
        </w:rPr>
        <w:t>Users</w:t>
      </w:r>
      <w:r w:rsidR="00D55544" w:rsidRPr="00A627A4">
        <w:rPr>
          <w:highlight w:val="yellow"/>
        </w:rPr>
        <w:t xml:space="preserve"> will be required to submit an annual </w:t>
      </w:r>
      <w:r w:rsidR="001174F9" w:rsidRPr="00A627A4">
        <w:rPr>
          <w:highlight w:val="yellow"/>
        </w:rPr>
        <w:t xml:space="preserve">progress </w:t>
      </w:r>
      <w:r w:rsidR="00D55544" w:rsidRPr="00A627A4">
        <w:rPr>
          <w:highlight w:val="yellow"/>
        </w:rPr>
        <w:t>report to provide data</w:t>
      </w:r>
      <w:r w:rsidR="00F3590D" w:rsidRPr="00A627A4">
        <w:rPr>
          <w:highlight w:val="yellow"/>
        </w:rPr>
        <w:t xml:space="preserve"> and/or biospecimen</w:t>
      </w:r>
      <w:r w:rsidR="00D55544" w:rsidRPr="00A627A4">
        <w:rPr>
          <w:highlight w:val="yellow"/>
        </w:rPr>
        <w:t xml:space="preserve"> usage information</w:t>
      </w:r>
      <w:r w:rsidR="00D55544">
        <w:t xml:space="preserve">. </w:t>
      </w:r>
      <w:r w:rsidR="00037032">
        <w:t xml:space="preserve">The information collected from Users who register in NICHD DASH and </w:t>
      </w:r>
      <w:r w:rsidR="00833911">
        <w:t xml:space="preserve">submit </w:t>
      </w:r>
      <w:r w:rsidR="00F3590D">
        <w:t>or</w:t>
      </w:r>
      <w:r w:rsidR="003F3AD9">
        <w:t xml:space="preserve"> </w:t>
      </w:r>
      <w:r w:rsidR="00037032">
        <w:t>request data</w:t>
      </w:r>
      <w:r w:rsidR="00F3590D">
        <w:t xml:space="preserve"> </w:t>
      </w:r>
      <w:r w:rsidR="00F3590D" w:rsidRPr="00A627A4">
        <w:rPr>
          <w:highlight w:val="yellow"/>
        </w:rPr>
        <w:t>and/or</w:t>
      </w:r>
      <w:r w:rsidR="003F3AD9" w:rsidRPr="00A627A4">
        <w:rPr>
          <w:highlight w:val="yellow"/>
        </w:rPr>
        <w:t xml:space="preserve"> </w:t>
      </w:r>
      <w:r w:rsidR="001174F9" w:rsidRPr="00A627A4">
        <w:rPr>
          <w:highlight w:val="yellow"/>
        </w:rPr>
        <w:t>biospecimen inventories</w:t>
      </w:r>
      <w:r w:rsidR="00037032">
        <w:t xml:space="preserve"> will be used to monitor</w:t>
      </w:r>
      <w:r w:rsidR="003F3AD9">
        <w:t xml:space="preserve"> </w:t>
      </w:r>
      <w:r w:rsidR="00833911">
        <w:t>submissions and requests</w:t>
      </w:r>
      <w:r w:rsidR="008C37AB">
        <w:t xml:space="preserve">, </w:t>
      </w:r>
      <w:r w:rsidR="00EB1ADE" w:rsidRPr="00505CEA">
        <w:t>Users’ experience with DASH</w:t>
      </w:r>
      <w:r w:rsidR="008C37AB">
        <w:t>,</w:t>
      </w:r>
      <w:r w:rsidR="00833911" w:rsidRPr="00505CEA">
        <w:t xml:space="preserve"> </w:t>
      </w:r>
      <w:r w:rsidR="001174F9">
        <w:t>as well as</w:t>
      </w:r>
      <w:r w:rsidR="00037032">
        <w:t xml:space="preserve"> to notify interested recipients of updates to </w:t>
      </w:r>
      <w:r w:rsidR="003F3AD9" w:rsidRPr="004B18F8">
        <w:t>study</w:t>
      </w:r>
      <w:r w:rsidR="003F3AD9">
        <w:t xml:space="preserve"> </w:t>
      </w:r>
      <w:r w:rsidR="00037032">
        <w:t>data</w:t>
      </w:r>
      <w:r w:rsidR="003F3AD9">
        <w:t xml:space="preserve"> or </w:t>
      </w:r>
      <w:r w:rsidR="00660117" w:rsidRPr="00A627A4">
        <w:rPr>
          <w:highlight w:val="yellow"/>
        </w:rPr>
        <w:t>biospecimen</w:t>
      </w:r>
      <w:r w:rsidR="001174F9" w:rsidRPr="00A627A4">
        <w:rPr>
          <w:highlight w:val="yellow"/>
        </w:rPr>
        <w:t xml:space="preserve"> inventories</w:t>
      </w:r>
      <w:r w:rsidR="003F3AD9" w:rsidRPr="00A627A4">
        <w:rPr>
          <w:highlight w:val="yellow"/>
        </w:rPr>
        <w:t xml:space="preserve"> available through</w:t>
      </w:r>
      <w:r w:rsidR="00037032">
        <w:t xml:space="preserve"> NICHD DASH.</w:t>
      </w:r>
    </w:p>
    <w:p w14:paraId="0A6AE08A" w14:textId="77777777" w:rsidR="00E16967" w:rsidRDefault="00E16967" w:rsidP="00E16967">
      <w:r w:rsidRPr="00E16967">
        <w:t>The potential for public benefit to be achieved throu</w:t>
      </w:r>
      <w:r w:rsidR="00F3590D">
        <w:t>gh sharing</w:t>
      </w:r>
      <w:r w:rsidR="00553516">
        <w:t xml:space="preserve"> </w:t>
      </w:r>
      <w:r w:rsidR="00553516" w:rsidRPr="004B18F8">
        <w:t>study</w:t>
      </w:r>
      <w:r w:rsidR="00553516">
        <w:t xml:space="preserve"> data</w:t>
      </w:r>
      <w:r w:rsidR="00F3590D">
        <w:t xml:space="preserve"> </w:t>
      </w:r>
      <w:r w:rsidR="00F3590D" w:rsidRPr="00A627A4">
        <w:rPr>
          <w:highlight w:val="yellow"/>
        </w:rPr>
        <w:t>and/or biospecimen</w:t>
      </w:r>
      <w:r w:rsidR="001174F9" w:rsidRPr="00A627A4">
        <w:rPr>
          <w:highlight w:val="yellow"/>
        </w:rPr>
        <w:t xml:space="preserve"> inventorie</w:t>
      </w:r>
      <w:r w:rsidR="00F3590D" w:rsidRPr="00A627A4">
        <w:rPr>
          <w:highlight w:val="yellow"/>
        </w:rPr>
        <w:t>s</w:t>
      </w:r>
      <w:r w:rsidR="00833911">
        <w:t xml:space="preserve"> for secondary analysis </w:t>
      </w:r>
      <w:r w:rsidRPr="00E16967">
        <w:t xml:space="preserve">is significant. </w:t>
      </w:r>
      <w:r w:rsidR="00B17D81">
        <w:t>NICHD DASH</w:t>
      </w:r>
      <w:r w:rsidRPr="00E16967">
        <w:t xml:space="preserve"> supports NICHD’s mission to ensure that every person is born healthy and wanted</w:t>
      </w:r>
      <w:r w:rsidR="005C3DE6">
        <w:t>;</w:t>
      </w:r>
      <w:r w:rsidRPr="00E16967">
        <w:t xml:space="preserve"> that women suffer no harmful effects from reproductive processes</w:t>
      </w:r>
      <w:r w:rsidR="005C3DE6">
        <w:t>;</w:t>
      </w:r>
      <w:r w:rsidRPr="00E16967">
        <w:t xml:space="preserve"> that all children have the chance to achieve their full potential for healthy and productive lives, free from disease or disability</w:t>
      </w:r>
      <w:r w:rsidR="005C3DE6">
        <w:t xml:space="preserve">; </w:t>
      </w:r>
      <w:r w:rsidRPr="00E16967">
        <w:t xml:space="preserve">and to ensure the health, productivity, independence, and well-being of all people through optimal rehabilitation. </w:t>
      </w:r>
      <w:r w:rsidR="00027959" w:rsidRPr="004B18F8">
        <w:t>Study</w:t>
      </w:r>
      <w:r w:rsidR="00027959" w:rsidRPr="00257238">
        <w:t xml:space="preserve"> d</w:t>
      </w:r>
      <w:r w:rsidRPr="00257238">
        <w:t>ata</w:t>
      </w:r>
      <w:r w:rsidR="00F3590D" w:rsidRPr="00257238">
        <w:t xml:space="preserve"> </w:t>
      </w:r>
      <w:r w:rsidR="00F3590D" w:rsidRPr="00A627A4">
        <w:rPr>
          <w:highlight w:val="yellow"/>
        </w:rPr>
        <w:t>and biospecimen</w:t>
      </w:r>
      <w:r w:rsidR="00F3590D">
        <w:t xml:space="preserve"> </w:t>
      </w:r>
      <w:r w:rsidRPr="00E16967">
        <w:t>sharing and reuse will promote testing of new hypothes</w:t>
      </w:r>
      <w:r w:rsidR="0098356E">
        <w:t>es from data</w:t>
      </w:r>
      <w:r w:rsidR="00F3590D">
        <w:t xml:space="preserve"> and biospecimens</w:t>
      </w:r>
      <w:r w:rsidR="0098356E">
        <w:t xml:space="preserve"> already collected</w:t>
      </w:r>
      <w:r w:rsidR="00833911">
        <w:t xml:space="preserve">, </w:t>
      </w:r>
      <w:r w:rsidR="00EE41AE">
        <w:t xml:space="preserve">facilitate </w:t>
      </w:r>
      <w:r w:rsidR="00EE41AE" w:rsidRPr="00EE41AE">
        <w:t>trans-disciplinary collaboration</w:t>
      </w:r>
      <w:r w:rsidR="00EE41AE">
        <w:t>,</w:t>
      </w:r>
      <w:r w:rsidR="00EE41AE" w:rsidRPr="00EE41AE">
        <w:t xml:space="preserve"> </w:t>
      </w:r>
      <w:r w:rsidR="00833911" w:rsidRPr="00833911">
        <w:t>accelerat</w:t>
      </w:r>
      <w:r w:rsidR="00833911">
        <w:t xml:space="preserve">e </w:t>
      </w:r>
      <w:r w:rsidR="00833911" w:rsidRPr="00833911">
        <w:t xml:space="preserve">scientific findings </w:t>
      </w:r>
      <w:r w:rsidR="00833911">
        <w:t xml:space="preserve">and </w:t>
      </w:r>
      <w:r w:rsidRPr="00E16967">
        <w:t xml:space="preserve">enable NICHD to maximize </w:t>
      </w:r>
      <w:r w:rsidR="00833911" w:rsidRPr="00833911">
        <w:t xml:space="preserve">the return on </w:t>
      </w:r>
      <w:r w:rsidRPr="00E16967">
        <w:t>its investments in research.</w:t>
      </w:r>
    </w:p>
    <w:p w14:paraId="4134B698" w14:textId="77777777" w:rsidR="000F3043" w:rsidRPr="008942E9" w:rsidRDefault="000F3043" w:rsidP="004C5217">
      <w:pPr>
        <w:pStyle w:val="Heading2"/>
      </w:pPr>
      <w:bookmarkStart w:id="13" w:name="_Toc442286330"/>
      <w:bookmarkStart w:id="14" w:name="_Toc508106936"/>
      <w:r w:rsidRPr="008942E9">
        <w:t>A.1</w:t>
      </w:r>
      <w:r w:rsidRPr="008942E9">
        <w:tab/>
        <w:t xml:space="preserve">Circumstances Making the Collection of Information </w:t>
      </w:r>
      <w:r w:rsidRPr="00F74737">
        <w:t>Necessary</w:t>
      </w:r>
      <w:bookmarkEnd w:id="13"/>
      <w:bookmarkEnd w:id="14"/>
    </w:p>
    <w:p w14:paraId="1E4DC25B" w14:textId="77777777" w:rsidR="00094A92" w:rsidRDefault="001F3E66" w:rsidP="001F3E66">
      <w:r>
        <w:t xml:space="preserve">This document contains information supporting a request for the </w:t>
      </w:r>
      <w:r w:rsidR="00C75AF5">
        <w:t>OMB</w:t>
      </w:r>
      <w:r>
        <w:t xml:space="preserve"> to appr</w:t>
      </w:r>
      <w:r w:rsidR="00094A92">
        <w:t xml:space="preserve">ove </w:t>
      </w:r>
      <w:r w:rsidR="00094A92" w:rsidRPr="00505CEA">
        <w:t xml:space="preserve">a clearance </w:t>
      </w:r>
      <w:r w:rsidR="004A5873" w:rsidRPr="00505CEA">
        <w:t>for the collection of</w:t>
      </w:r>
      <w:r w:rsidR="00094A92" w:rsidRPr="00505CEA">
        <w:t xml:space="preserve"> information </w:t>
      </w:r>
      <w:r w:rsidR="00F21368" w:rsidRPr="00505CEA">
        <w:t>during</w:t>
      </w:r>
      <w:r w:rsidR="006D2F15">
        <w:t xml:space="preserve"> </w:t>
      </w:r>
      <w:r w:rsidR="00C375EB">
        <w:t xml:space="preserve">user registration, data submission, </w:t>
      </w:r>
      <w:r w:rsidR="00690287" w:rsidRPr="00A627A4">
        <w:rPr>
          <w:highlight w:val="yellow"/>
        </w:rPr>
        <w:t>I</w:t>
      </w:r>
      <w:r w:rsidR="000F761D" w:rsidRPr="00A627A4">
        <w:rPr>
          <w:highlight w:val="yellow"/>
        </w:rPr>
        <w:t xml:space="preserve">nstitutional </w:t>
      </w:r>
      <w:r w:rsidR="00AB6601" w:rsidRPr="00A627A4">
        <w:rPr>
          <w:highlight w:val="yellow"/>
        </w:rPr>
        <w:t>Certification</w:t>
      </w:r>
      <w:r w:rsidR="00690287" w:rsidRPr="00A627A4">
        <w:rPr>
          <w:highlight w:val="yellow"/>
        </w:rPr>
        <w:t xml:space="preserve"> </w:t>
      </w:r>
      <w:r w:rsidR="000F761D" w:rsidRPr="00A627A4">
        <w:rPr>
          <w:highlight w:val="yellow"/>
        </w:rPr>
        <w:t>submission</w:t>
      </w:r>
      <w:r w:rsidR="000F761D">
        <w:t xml:space="preserve">, </w:t>
      </w:r>
      <w:r w:rsidR="00C375EB">
        <w:t>data request,</w:t>
      </w:r>
      <w:r w:rsidR="00F21368" w:rsidRPr="00505CEA">
        <w:t xml:space="preserve"> </w:t>
      </w:r>
      <w:r w:rsidR="00660117" w:rsidRPr="00A627A4">
        <w:rPr>
          <w:highlight w:val="yellow"/>
        </w:rPr>
        <w:t>biospecimen</w:t>
      </w:r>
      <w:r w:rsidR="003F3AD9" w:rsidRPr="00A627A4">
        <w:rPr>
          <w:highlight w:val="yellow"/>
        </w:rPr>
        <w:t xml:space="preserve"> request</w:t>
      </w:r>
      <w:r w:rsidR="00A5631D" w:rsidRPr="00A627A4">
        <w:rPr>
          <w:highlight w:val="yellow"/>
        </w:rPr>
        <w:t xml:space="preserve">, </w:t>
      </w:r>
      <w:r w:rsidR="00690287" w:rsidRPr="00A627A4">
        <w:rPr>
          <w:highlight w:val="yellow"/>
        </w:rPr>
        <w:t xml:space="preserve">and </w:t>
      </w:r>
      <w:r w:rsidR="00A5631D" w:rsidRPr="00A627A4">
        <w:rPr>
          <w:highlight w:val="yellow"/>
        </w:rPr>
        <w:t>annual progress report request</w:t>
      </w:r>
      <w:r w:rsidR="00094A92" w:rsidRPr="00505CEA">
        <w:t xml:space="preserve"> associated with </w:t>
      </w:r>
      <w:r w:rsidRPr="004B18F8">
        <w:t>NICHD</w:t>
      </w:r>
      <w:r w:rsidR="00690287" w:rsidRPr="004B18F8">
        <w:t xml:space="preserve"> </w:t>
      </w:r>
      <w:r w:rsidR="00094A92" w:rsidRPr="004B18F8">
        <w:t>DASH</w:t>
      </w:r>
      <w:r w:rsidR="007A7005">
        <w:t>.</w:t>
      </w:r>
      <w:r w:rsidR="000B213D">
        <w:t xml:space="preserve"> </w:t>
      </w:r>
      <w:hyperlink r:id="rId13" w:history="1">
        <w:r w:rsidR="000B213D" w:rsidRPr="0078633B">
          <w:rPr>
            <w:rStyle w:val="Hyperlink"/>
          </w:rPr>
          <w:t>Public Law 87-838</w:t>
        </w:r>
      </w:hyperlink>
      <w:r w:rsidR="0078633B">
        <w:t xml:space="preserve"> (enacted October 17, 1962)</w:t>
      </w:r>
      <w:r w:rsidR="000B213D" w:rsidRPr="000B213D">
        <w:t xml:space="preserve"> authorized the establishment of Institute of Chil</w:t>
      </w:r>
      <w:r w:rsidR="0078633B">
        <w:t xml:space="preserve">d Health and Human Development </w:t>
      </w:r>
      <w:r w:rsidR="000B213D" w:rsidRPr="000B213D">
        <w:t>for the conduct and support of research and training relating to maternal health, child health and human development, including research and training in the special health problems and requirements of mothers and children and in the basic sciences relating to the processes of human growth and development, i</w:t>
      </w:r>
      <w:r w:rsidR="000B213D">
        <w:t xml:space="preserve">ncluding prenatal development. The information to be collected will be used </w:t>
      </w:r>
      <w:r w:rsidR="00591523">
        <w:t>for</w:t>
      </w:r>
      <w:r w:rsidR="000B213D" w:rsidRPr="000C1415">
        <w:rPr>
          <w:lang w:val="en"/>
        </w:rPr>
        <w:t xml:space="preserve"> </w:t>
      </w:r>
      <w:r w:rsidR="000B213D">
        <w:rPr>
          <w:lang w:val="en"/>
        </w:rPr>
        <w:t xml:space="preserve">identifying Users and ensuring proper use and security of NICHD DASH </w:t>
      </w:r>
      <w:r w:rsidR="00CF132C" w:rsidRPr="004B18F8">
        <w:rPr>
          <w:lang w:val="en"/>
        </w:rPr>
        <w:t>study</w:t>
      </w:r>
      <w:r w:rsidR="00CF132C">
        <w:rPr>
          <w:lang w:val="en"/>
        </w:rPr>
        <w:t xml:space="preserve"> </w:t>
      </w:r>
      <w:r w:rsidR="000B213D">
        <w:rPr>
          <w:lang w:val="en"/>
        </w:rPr>
        <w:t>data</w:t>
      </w:r>
      <w:r w:rsidR="003F3AD9">
        <w:rPr>
          <w:lang w:val="en"/>
        </w:rPr>
        <w:t xml:space="preserve"> </w:t>
      </w:r>
      <w:r w:rsidR="003F3AD9" w:rsidRPr="00A627A4">
        <w:rPr>
          <w:highlight w:val="yellow"/>
          <w:lang w:val="en"/>
        </w:rPr>
        <w:t>and</w:t>
      </w:r>
      <w:r w:rsidR="00F3590D" w:rsidRPr="00A627A4">
        <w:rPr>
          <w:highlight w:val="yellow"/>
          <w:lang w:val="en"/>
        </w:rPr>
        <w:t>/or</w:t>
      </w:r>
      <w:r w:rsidR="003F3AD9" w:rsidRPr="00A627A4">
        <w:rPr>
          <w:highlight w:val="yellow"/>
          <w:lang w:val="en"/>
        </w:rPr>
        <w:t xml:space="preserve"> </w:t>
      </w:r>
      <w:r w:rsidR="00660117" w:rsidRPr="00A627A4">
        <w:rPr>
          <w:highlight w:val="yellow"/>
          <w:lang w:val="en"/>
        </w:rPr>
        <w:t>biospecimen</w:t>
      </w:r>
      <w:r w:rsidR="0069424D" w:rsidRPr="00A627A4">
        <w:rPr>
          <w:highlight w:val="yellow"/>
          <w:lang w:val="en"/>
        </w:rPr>
        <w:t xml:space="preserve"> inventories</w:t>
      </w:r>
      <w:r w:rsidR="000B213D" w:rsidRPr="00A627A4">
        <w:rPr>
          <w:highlight w:val="yellow"/>
        </w:rPr>
        <w:t>.</w:t>
      </w:r>
      <w:r w:rsidR="007A7005">
        <w:t xml:space="preserve"> </w:t>
      </w:r>
    </w:p>
    <w:p w14:paraId="2825EE6F" w14:textId="77777777" w:rsidR="00ED7061" w:rsidRDefault="005E0F7E" w:rsidP="001F3E66">
      <w:r w:rsidRPr="005E0F7E">
        <w:t xml:space="preserve">NICHD conducts </w:t>
      </w:r>
      <w:r w:rsidR="0080210E">
        <w:t xml:space="preserve">and funds </w:t>
      </w:r>
      <w:r w:rsidRPr="005E0F7E">
        <w:t>over 2000 clinical research studies annually</w:t>
      </w:r>
      <w:r w:rsidR="00AA343F">
        <w:t xml:space="preserve">. </w:t>
      </w:r>
      <w:r w:rsidR="00591523" w:rsidRPr="00A627A4">
        <w:t>Most</w:t>
      </w:r>
      <w:r w:rsidR="00591523">
        <w:t xml:space="preserve"> of</w:t>
      </w:r>
      <w:r w:rsidRPr="005E0F7E">
        <w:t xml:space="preserve"> the</w:t>
      </w:r>
      <w:r w:rsidR="00AA343F">
        <w:t>se</w:t>
      </w:r>
      <w:r w:rsidRPr="005E0F7E">
        <w:t xml:space="preserve"> studies are </w:t>
      </w:r>
      <w:r w:rsidR="00ED7061" w:rsidRPr="00ED7061">
        <w:t>conducted at various academic and research institutions across the U.S. as well as other countries</w:t>
      </w:r>
      <w:r w:rsidR="00ED7061">
        <w:t xml:space="preserve">. </w:t>
      </w:r>
      <w:r w:rsidR="00ED7061" w:rsidRPr="00ED7061">
        <w:t>The data</w:t>
      </w:r>
      <w:r w:rsidR="00F3590D">
        <w:t xml:space="preserve"> </w:t>
      </w:r>
      <w:r w:rsidR="00F3590D" w:rsidRPr="00A627A4">
        <w:rPr>
          <w:highlight w:val="yellow"/>
        </w:rPr>
        <w:t>and biospecimens</w:t>
      </w:r>
      <w:r w:rsidR="00ED7061" w:rsidRPr="00ED7061">
        <w:t xml:space="preserve"> generated from these studies</w:t>
      </w:r>
      <w:r w:rsidR="00ED7061">
        <w:t xml:space="preserve"> </w:t>
      </w:r>
      <w:r w:rsidR="00ED7061" w:rsidRPr="00ED7061">
        <w:t xml:space="preserve">are under the purview of the </w:t>
      </w:r>
      <w:r w:rsidR="00ED7061">
        <w:t xml:space="preserve">study </w:t>
      </w:r>
      <w:r w:rsidR="00ED7061" w:rsidRPr="00ED7061">
        <w:t>investigators</w:t>
      </w:r>
      <w:r w:rsidR="00ED7061">
        <w:t xml:space="preserve"> and </w:t>
      </w:r>
      <w:r w:rsidR="00C87449">
        <w:t>are</w:t>
      </w:r>
      <w:r w:rsidR="00ED7061">
        <w:t xml:space="preserve"> not easily accessible due to challenges with storage locations, formats and structure. To address these challenges and enable broader data</w:t>
      </w:r>
      <w:r w:rsidR="00F3590D">
        <w:t xml:space="preserve"> </w:t>
      </w:r>
      <w:r w:rsidR="00F3590D" w:rsidRPr="00A627A4">
        <w:rPr>
          <w:highlight w:val="yellow"/>
        </w:rPr>
        <w:t>and biospecimen</w:t>
      </w:r>
      <w:r w:rsidR="00ED7061">
        <w:t xml:space="preserve"> sharing, </w:t>
      </w:r>
      <w:r w:rsidR="001F3E66">
        <w:t>NICHD established DASH (</w:t>
      </w:r>
      <w:hyperlink r:id="rId14" w:history="1">
        <w:r w:rsidR="001F3E66" w:rsidRPr="001F3E66">
          <w:rPr>
            <w:rStyle w:val="Hyperlink"/>
          </w:rPr>
          <w:t>https://dash.nichd.nih.gov/</w:t>
        </w:r>
      </w:hyperlink>
      <w:r w:rsidR="00AA343F">
        <w:t xml:space="preserve">)- </w:t>
      </w:r>
      <w:r w:rsidR="001F3E66">
        <w:t xml:space="preserve">a </w:t>
      </w:r>
      <w:r w:rsidR="001236A8" w:rsidRPr="001236A8">
        <w:t xml:space="preserve">centralized resource for researchers to store and access de-identified </w:t>
      </w:r>
      <w:r w:rsidR="006D2F15" w:rsidRPr="004B18F8">
        <w:t>study</w:t>
      </w:r>
      <w:r w:rsidR="006D2F15" w:rsidRPr="00257238">
        <w:t xml:space="preserve"> </w:t>
      </w:r>
      <w:r w:rsidR="001236A8" w:rsidRPr="00257238">
        <w:t>data</w:t>
      </w:r>
      <w:r w:rsidR="003F3AD9" w:rsidRPr="00257238">
        <w:t xml:space="preserve"> </w:t>
      </w:r>
      <w:r w:rsidR="00294754" w:rsidRPr="00B64C9C">
        <w:rPr>
          <w:highlight w:val="yellow"/>
        </w:rPr>
        <w:t>and</w:t>
      </w:r>
      <w:r w:rsidR="003F3AD9" w:rsidRPr="00B64C9C">
        <w:rPr>
          <w:highlight w:val="yellow"/>
        </w:rPr>
        <w:t xml:space="preserve"> </w:t>
      </w:r>
      <w:r w:rsidR="0069424D" w:rsidRPr="00B64C9C">
        <w:rPr>
          <w:highlight w:val="yellow"/>
        </w:rPr>
        <w:t>biospecimen inventories</w:t>
      </w:r>
      <w:r w:rsidR="006D2F15" w:rsidRPr="00B64C9C">
        <w:rPr>
          <w:highlight w:val="yellow"/>
        </w:rPr>
        <w:t>-</w:t>
      </w:r>
      <w:r w:rsidR="001236A8" w:rsidRPr="00B64C9C">
        <w:rPr>
          <w:highlight w:val="yellow"/>
        </w:rPr>
        <w:t xml:space="preserve"> </w:t>
      </w:r>
      <w:r w:rsidR="006D2F15" w:rsidRPr="00B64C9C">
        <w:rPr>
          <w:highlight w:val="yellow"/>
        </w:rPr>
        <w:t>a list of biospecimens available at the NICHD Biorepository</w:t>
      </w:r>
      <w:r w:rsidR="006D2F15">
        <w:t xml:space="preserve">- </w:t>
      </w:r>
      <w:r w:rsidR="001236A8" w:rsidRPr="001236A8">
        <w:t>from studies funded by NICHD</w:t>
      </w:r>
      <w:r w:rsidR="001F3E66">
        <w:t xml:space="preserve">. </w:t>
      </w:r>
      <w:r w:rsidR="00AA343F" w:rsidRPr="004B18F8">
        <w:t>DASH</w:t>
      </w:r>
      <w:r w:rsidR="001F3E66">
        <w:t xml:space="preserve"> will allow NICHD funded extramural and intramural investigators to comply with NIH </w:t>
      </w:r>
      <w:r w:rsidR="00C87449">
        <w:t xml:space="preserve">data sharing </w:t>
      </w:r>
      <w:r w:rsidR="001F3E66">
        <w:t>policies</w:t>
      </w:r>
      <w:r w:rsidR="006D2F15" w:rsidRPr="004B18F8">
        <w:t xml:space="preserve">. </w:t>
      </w:r>
      <w:r w:rsidR="006D2F15" w:rsidRPr="004B18F8">
        <w:rPr>
          <w:highlight w:val="yellow"/>
        </w:rPr>
        <w:t>It will enable</w:t>
      </w:r>
      <w:r w:rsidR="001F3E66" w:rsidRPr="004B18F8">
        <w:rPr>
          <w:highlight w:val="yellow"/>
        </w:rPr>
        <w:t xml:space="preserve"> investigators to organize, store, mine</w:t>
      </w:r>
      <w:r w:rsidR="006D2F15" w:rsidRPr="004B18F8">
        <w:rPr>
          <w:highlight w:val="yellow"/>
        </w:rPr>
        <w:t>, and access study</w:t>
      </w:r>
      <w:r w:rsidR="001F3E66" w:rsidRPr="004B18F8">
        <w:rPr>
          <w:highlight w:val="yellow"/>
        </w:rPr>
        <w:t xml:space="preserve"> data</w:t>
      </w:r>
      <w:r w:rsidR="006D2F15" w:rsidRPr="004B18F8">
        <w:rPr>
          <w:highlight w:val="yellow"/>
        </w:rPr>
        <w:t xml:space="preserve"> in addition to biospecimens</w:t>
      </w:r>
      <w:r w:rsidR="00C906D3" w:rsidRPr="004B18F8">
        <w:rPr>
          <w:highlight w:val="yellow"/>
        </w:rPr>
        <w:t>,</w:t>
      </w:r>
      <w:r w:rsidR="006D2F15" w:rsidRPr="004B18F8">
        <w:rPr>
          <w:highlight w:val="yellow"/>
        </w:rPr>
        <w:t xml:space="preserve"> available from the NICHD Biorepository</w:t>
      </w:r>
      <w:r w:rsidR="00C906D3" w:rsidRPr="004B18F8">
        <w:rPr>
          <w:highlight w:val="yellow"/>
        </w:rPr>
        <w:t>,</w:t>
      </w:r>
      <w:r w:rsidR="006D2F15" w:rsidRPr="004B18F8">
        <w:rPr>
          <w:highlight w:val="yellow"/>
        </w:rPr>
        <w:t xml:space="preserve"> </w:t>
      </w:r>
      <w:r w:rsidR="001F3E66" w:rsidRPr="004B18F8">
        <w:rPr>
          <w:highlight w:val="yellow"/>
        </w:rPr>
        <w:t>for purposes of secondary research</w:t>
      </w:r>
      <w:r w:rsidR="001F3E66">
        <w:t>.</w:t>
      </w:r>
      <w:r w:rsidR="00ED7061">
        <w:t xml:space="preserve"> </w:t>
      </w:r>
      <w:r w:rsidR="006D2F15">
        <w:t xml:space="preserve"> </w:t>
      </w:r>
    </w:p>
    <w:p w14:paraId="5238D5D7" w14:textId="77777777" w:rsidR="00ED7061" w:rsidRDefault="00ED7061" w:rsidP="00553516">
      <w:pPr>
        <w:spacing w:after="60"/>
      </w:pPr>
      <w:r>
        <w:t xml:space="preserve">Establishing a central data </w:t>
      </w:r>
      <w:r w:rsidR="003B5110" w:rsidRPr="00B64C9C">
        <w:rPr>
          <w:highlight w:val="yellow"/>
        </w:rPr>
        <w:t>and</w:t>
      </w:r>
      <w:r w:rsidR="00294754" w:rsidRPr="00B64C9C">
        <w:rPr>
          <w:highlight w:val="yellow"/>
        </w:rPr>
        <w:t xml:space="preserve"> biospecimen </w:t>
      </w:r>
      <w:r w:rsidR="0069424D" w:rsidRPr="00B64C9C">
        <w:rPr>
          <w:highlight w:val="yellow"/>
        </w:rPr>
        <w:t>inventory</w:t>
      </w:r>
      <w:r w:rsidR="0069424D">
        <w:t xml:space="preserve"> </w:t>
      </w:r>
      <w:r>
        <w:t xml:space="preserve">sharing resource such as NICHD DASH </w:t>
      </w:r>
      <w:r w:rsidR="00CD2F83">
        <w:t xml:space="preserve">also meets the objectives of </w:t>
      </w:r>
      <w:r w:rsidR="00553516">
        <w:t>various</w:t>
      </w:r>
      <w:r>
        <w:t xml:space="preserve"> </w:t>
      </w:r>
      <w:r w:rsidR="00553516">
        <w:t xml:space="preserve">NIH and </w:t>
      </w:r>
      <w:r>
        <w:t>federal data sharing initiatives, including:</w:t>
      </w:r>
    </w:p>
    <w:p w14:paraId="697077D0" w14:textId="77777777" w:rsidR="00553516" w:rsidRDefault="00553516" w:rsidP="0039417E">
      <w:pPr>
        <w:numPr>
          <w:ilvl w:val="0"/>
          <w:numId w:val="20"/>
        </w:numPr>
        <w:spacing w:after="60"/>
      </w:pPr>
      <w:r w:rsidRPr="0080210E">
        <w:rPr>
          <w:i/>
        </w:rPr>
        <w:t>NIH Big Data to Knowledge (BD2K)</w:t>
      </w:r>
      <w:r>
        <w:rPr>
          <w:i/>
        </w:rPr>
        <w:t xml:space="preserve"> Program (2012) </w:t>
      </w:r>
      <w:r>
        <w:t>– I</w:t>
      </w:r>
      <w:r w:rsidRPr="00ED7061">
        <w:t>nc</w:t>
      </w:r>
      <w:r w:rsidR="00AA343F">
        <w:t>ludes the Data and Informatics I</w:t>
      </w:r>
      <w:r w:rsidRPr="00ED7061">
        <w:t>nitiative aimed at facilitating the use of and maximizing the value of biomedical data by improving data sharing policies, cataloging research data</w:t>
      </w:r>
    </w:p>
    <w:p w14:paraId="1AB1572F" w14:textId="77777777" w:rsidR="0080210E" w:rsidRDefault="00ED7061" w:rsidP="0039417E">
      <w:pPr>
        <w:numPr>
          <w:ilvl w:val="0"/>
          <w:numId w:val="20"/>
        </w:numPr>
        <w:spacing w:after="60"/>
      </w:pPr>
      <w:r w:rsidRPr="0080210E">
        <w:rPr>
          <w:bCs/>
          <w:i/>
        </w:rPr>
        <w:t>Federal Policy on Public Access</w:t>
      </w:r>
      <w:r w:rsidR="0080210E">
        <w:rPr>
          <w:bCs/>
          <w:i/>
        </w:rPr>
        <w:t xml:space="preserve"> (Feb 2013)</w:t>
      </w:r>
      <w:r w:rsidRPr="00ED7061">
        <w:rPr>
          <w:b/>
          <w:bCs/>
        </w:rPr>
        <w:t xml:space="preserve"> </w:t>
      </w:r>
      <w:r w:rsidR="0080210E">
        <w:rPr>
          <w:bCs/>
        </w:rPr>
        <w:t>– Th</w:t>
      </w:r>
      <w:r w:rsidRPr="00ED7061">
        <w:t>e White House Office of Science Technology and Policy Memo on increasing access to the results of federally funded scientific research includes an objective to store digitally formatted scientific data enabling search, retrieve, and analyze capabilities</w:t>
      </w:r>
    </w:p>
    <w:p w14:paraId="206A59C7" w14:textId="77777777" w:rsidR="0080210E" w:rsidRDefault="0080210E" w:rsidP="00553516">
      <w:pPr>
        <w:numPr>
          <w:ilvl w:val="0"/>
          <w:numId w:val="20"/>
        </w:numPr>
      </w:pPr>
      <w:r>
        <w:rPr>
          <w:i/>
        </w:rPr>
        <w:t xml:space="preserve">The White House </w:t>
      </w:r>
      <w:r w:rsidR="00ED7061" w:rsidRPr="0080210E">
        <w:rPr>
          <w:i/>
        </w:rPr>
        <w:t xml:space="preserve">Open Data </w:t>
      </w:r>
      <w:r>
        <w:rPr>
          <w:i/>
        </w:rPr>
        <w:t>Policy (May 2013)</w:t>
      </w:r>
      <w:r w:rsidR="00ED7061" w:rsidRPr="00ED7061">
        <w:t xml:space="preserve"> – </w:t>
      </w:r>
      <w:r>
        <w:t>M</w:t>
      </w:r>
      <w:r w:rsidR="00ED7061" w:rsidRPr="00ED7061">
        <w:t>andates that ‘data are released to the public in ways that make the data easy to find, accessible, and usable’</w:t>
      </w:r>
    </w:p>
    <w:p w14:paraId="2B02E782" w14:textId="77777777" w:rsidR="00EE41AE" w:rsidRDefault="00EE41AE" w:rsidP="003A2519">
      <w:r>
        <w:t xml:space="preserve">By facilitating </w:t>
      </w:r>
      <w:r w:rsidR="00C906D3" w:rsidRPr="004B18F8">
        <w:t>study</w:t>
      </w:r>
      <w:r w:rsidR="00C906D3">
        <w:t xml:space="preserve"> </w:t>
      </w:r>
      <w:r>
        <w:t>data</w:t>
      </w:r>
      <w:r w:rsidR="00294754">
        <w:t xml:space="preserve"> </w:t>
      </w:r>
      <w:r w:rsidR="00294754" w:rsidRPr="00B64C9C">
        <w:rPr>
          <w:highlight w:val="yellow"/>
        </w:rPr>
        <w:t>and biospecimen</w:t>
      </w:r>
      <w:r w:rsidR="0069424D" w:rsidRPr="00B64C9C">
        <w:rPr>
          <w:highlight w:val="yellow"/>
        </w:rPr>
        <w:t xml:space="preserve"> inventory</w:t>
      </w:r>
      <w:r>
        <w:t xml:space="preserve"> sharing, NICHD will promote the secondary use of </w:t>
      </w:r>
      <w:r w:rsidR="00294754" w:rsidRPr="004B18F8">
        <w:t>study</w:t>
      </w:r>
      <w:r w:rsidR="00594963">
        <w:t xml:space="preserve"> </w:t>
      </w:r>
      <w:r>
        <w:t xml:space="preserve">data </w:t>
      </w:r>
      <w:r w:rsidR="00ED70A8">
        <w:t xml:space="preserve">and </w:t>
      </w:r>
      <w:r w:rsidR="00660117" w:rsidRPr="00B64C9C">
        <w:rPr>
          <w:highlight w:val="yellow"/>
        </w:rPr>
        <w:t>biospecimens</w:t>
      </w:r>
      <w:r w:rsidR="00ED70A8">
        <w:t xml:space="preserve"> </w:t>
      </w:r>
      <w:r>
        <w:t>already collected</w:t>
      </w:r>
      <w:r w:rsidR="00C906D3">
        <w:t>;</w:t>
      </w:r>
      <w:r>
        <w:t xml:space="preserve"> </w:t>
      </w:r>
      <w:r w:rsidR="000C050C">
        <w:t>r</w:t>
      </w:r>
      <w:r w:rsidR="000C050C" w:rsidRPr="00913143">
        <w:t>einforce open scientific inquiry</w:t>
      </w:r>
      <w:r w:rsidR="00C906D3">
        <w:t>;</w:t>
      </w:r>
      <w:r w:rsidR="000C050C">
        <w:t xml:space="preserve"> </w:t>
      </w:r>
      <w:r>
        <w:t>bring together investigators from multiple disciplines</w:t>
      </w:r>
      <w:r w:rsidR="00C906D3">
        <w:t>;</w:t>
      </w:r>
      <w:r w:rsidR="000C050C">
        <w:t xml:space="preserve"> </w:t>
      </w:r>
      <w:r>
        <w:t xml:space="preserve">and </w:t>
      </w:r>
      <w:r w:rsidR="000C050C">
        <w:t>ultimately</w:t>
      </w:r>
      <w:r w:rsidR="00C906D3">
        <w:t>,</w:t>
      </w:r>
      <w:r w:rsidR="000C050C">
        <w:t xml:space="preserve"> </w:t>
      </w:r>
      <w:r>
        <w:t xml:space="preserve">advance the scientific mission of NICHD. </w:t>
      </w:r>
    </w:p>
    <w:p w14:paraId="29783341" w14:textId="77777777" w:rsidR="00FE1F36" w:rsidRDefault="00591523" w:rsidP="003A2519">
      <w:pPr>
        <w:rPr>
          <w:lang w:val="en"/>
        </w:rPr>
      </w:pPr>
      <w:r>
        <w:t>To</w:t>
      </w:r>
      <w:r w:rsidR="008548C5">
        <w:t xml:space="preserve"> </w:t>
      </w:r>
      <w:r w:rsidR="005E0F7E">
        <w:t xml:space="preserve">enable </w:t>
      </w:r>
      <w:r w:rsidR="008548C5">
        <w:t>data sharing</w:t>
      </w:r>
      <w:r w:rsidR="005E0F7E">
        <w:t xml:space="preserve"> through DASH, information</w:t>
      </w:r>
      <w:r w:rsidR="00CF132C">
        <w:t xml:space="preserve"> </w:t>
      </w:r>
      <w:r w:rsidR="00CF132C" w:rsidRPr="004162EC">
        <w:t xml:space="preserve">on Users, research studies </w:t>
      </w:r>
      <w:r w:rsidR="00CF132C" w:rsidRPr="00B64C9C">
        <w:rPr>
          <w:highlight w:val="yellow"/>
        </w:rPr>
        <w:t>and associated biospecimen</w:t>
      </w:r>
      <w:r w:rsidR="005E0F7E">
        <w:t xml:space="preserve"> will be collected</w:t>
      </w:r>
      <w:r w:rsidR="00234057">
        <w:t xml:space="preserve"> from the U</w:t>
      </w:r>
      <w:r w:rsidR="005E0F7E">
        <w:t>sers of the system.</w:t>
      </w:r>
      <w:r w:rsidR="009B152D">
        <w:t xml:space="preserve"> </w:t>
      </w:r>
      <w:r w:rsidR="005E0F7E">
        <w:t xml:space="preserve">User information </w:t>
      </w:r>
      <w:r w:rsidR="00FE1F36">
        <w:t xml:space="preserve">stored in </w:t>
      </w:r>
      <w:r w:rsidR="00B17D81">
        <w:t>NICHD DASH</w:t>
      </w:r>
      <w:r w:rsidR="00FE1F36" w:rsidRPr="00FE1F36">
        <w:t xml:space="preserve"> is protected under the</w:t>
      </w:r>
      <w:r w:rsidR="00FE1F36" w:rsidRPr="00FE1F36">
        <w:rPr>
          <w:lang w:val="en"/>
        </w:rPr>
        <w:t xml:space="preserve"> </w:t>
      </w:r>
      <w:r w:rsidR="00FE1F36" w:rsidRPr="00FE1F36">
        <w:rPr>
          <w:bCs/>
          <w:lang w:val="en"/>
        </w:rPr>
        <w:t>Privacy Act of 1974</w:t>
      </w:r>
      <w:r w:rsidR="00FE1F36" w:rsidRPr="00FE1F36">
        <w:rPr>
          <w:lang w:val="en"/>
        </w:rPr>
        <w:t xml:space="preserve"> (</w:t>
      </w:r>
      <w:hyperlink r:id="rId15" w:history="1">
        <w:r w:rsidR="00FE1F36" w:rsidRPr="00FE1F36">
          <w:rPr>
            <w:rStyle w:val="Hyperlink"/>
            <w:lang w:val="en"/>
          </w:rPr>
          <w:t>Pub.L. 93–579</w:t>
        </w:r>
      </w:hyperlink>
      <w:r w:rsidR="00FE1F36" w:rsidRPr="00FE1F36">
        <w:rPr>
          <w:lang w:val="en"/>
        </w:rPr>
        <w:t>, 88 Stat. </w:t>
      </w:r>
      <w:hyperlink r:id="rId16" w:history="1">
        <w:r w:rsidR="00FE1F36" w:rsidRPr="00FE1F36">
          <w:rPr>
            <w:rStyle w:val="Hyperlink"/>
            <w:lang w:val="en"/>
          </w:rPr>
          <w:t>1896</w:t>
        </w:r>
      </w:hyperlink>
      <w:r w:rsidR="00FE1F36" w:rsidRPr="00FE1F36">
        <w:rPr>
          <w:lang w:val="en"/>
        </w:rPr>
        <w:t>, enacted December 31, 1974, 5 U.S.C. </w:t>
      </w:r>
      <w:hyperlink r:id="rId17" w:history="1">
        <w:r w:rsidR="00FE1F36" w:rsidRPr="00FE1F36">
          <w:rPr>
            <w:rStyle w:val="Hyperlink"/>
            <w:lang w:val="en"/>
          </w:rPr>
          <w:t>§ 552a</w:t>
        </w:r>
      </w:hyperlink>
      <w:r w:rsidR="00FE1F36">
        <w:rPr>
          <w:lang w:val="en"/>
        </w:rPr>
        <w:t>)</w:t>
      </w:r>
      <w:r w:rsidR="002A28D1">
        <w:rPr>
          <w:lang w:val="en"/>
        </w:rPr>
        <w:t xml:space="preserve">, </w:t>
      </w:r>
      <w:r w:rsidR="00FE1F36" w:rsidRPr="00FE1F36">
        <w:rPr>
          <w:lang w:val="en"/>
        </w:rPr>
        <w:t>which establishes a Code of Fair Information Practice that governs the collection, maintenance, use, and dissemination of personally identifiable inform</w:t>
      </w:r>
      <w:r w:rsidR="002A28D1">
        <w:rPr>
          <w:lang w:val="en"/>
        </w:rPr>
        <w:t xml:space="preserve">ation about individuals </w:t>
      </w:r>
      <w:r w:rsidR="00FE1F36" w:rsidRPr="00FE1F36">
        <w:rPr>
          <w:lang w:val="en"/>
        </w:rPr>
        <w:t>maintained in systems of records by federal agencies.</w:t>
      </w:r>
      <w:r w:rsidR="00793F00">
        <w:rPr>
          <w:lang w:val="en"/>
        </w:rPr>
        <w:t xml:space="preserve"> Though the</w:t>
      </w:r>
      <w:r w:rsidR="00E16967">
        <w:rPr>
          <w:lang w:val="en"/>
        </w:rPr>
        <w:t xml:space="preserve"> </w:t>
      </w:r>
      <w:r w:rsidR="00294754" w:rsidRPr="004162EC">
        <w:rPr>
          <w:lang w:val="en"/>
        </w:rPr>
        <w:t>study</w:t>
      </w:r>
      <w:r w:rsidR="00793F00">
        <w:rPr>
          <w:lang w:val="en"/>
        </w:rPr>
        <w:t xml:space="preserve"> d</w:t>
      </w:r>
      <w:r w:rsidR="00FE1F36" w:rsidRPr="00FE1F36">
        <w:rPr>
          <w:lang w:val="en"/>
        </w:rPr>
        <w:t>ata</w:t>
      </w:r>
      <w:r w:rsidR="00ED70A8">
        <w:rPr>
          <w:lang w:val="en"/>
        </w:rPr>
        <w:t xml:space="preserve"> </w:t>
      </w:r>
      <w:r w:rsidR="00ED70A8" w:rsidRPr="00B64C9C">
        <w:rPr>
          <w:highlight w:val="yellow"/>
          <w:lang w:val="en"/>
        </w:rPr>
        <w:t xml:space="preserve">and </w:t>
      </w:r>
      <w:r w:rsidR="00660117" w:rsidRPr="00B64C9C">
        <w:rPr>
          <w:highlight w:val="yellow"/>
          <w:lang w:val="en"/>
        </w:rPr>
        <w:t>biospecimen</w:t>
      </w:r>
      <w:r w:rsidR="0069424D" w:rsidRPr="00B64C9C">
        <w:rPr>
          <w:highlight w:val="yellow"/>
          <w:lang w:val="en"/>
        </w:rPr>
        <w:t xml:space="preserve"> inventorie</w:t>
      </w:r>
      <w:r w:rsidR="00660117" w:rsidRPr="00B64C9C">
        <w:rPr>
          <w:highlight w:val="yellow"/>
          <w:lang w:val="en"/>
        </w:rPr>
        <w:t>s</w:t>
      </w:r>
      <w:r w:rsidR="00FE1F36" w:rsidRPr="00FE1F36">
        <w:rPr>
          <w:lang w:val="en"/>
        </w:rPr>
        <w:t xml:space="preserve"> stored in NICHD DASH will be de-iden</w:t>
      </w:r>
      <w:r w:rsidR="00793F00">
        <w:rPr>
          <w:lang w:val="en"/>
        </w:rPr>
        <w:t>tified, r</w:t>
      </w:r>
      <w:r w:rsidR="00FE1F36" w:rsidRPr="00FE1F36">
        <w:rPr>
          <w:lang w:val="en"/>
        </w:rPr>
        <w:t xml:space="preserve">isks to individuals, groups, or communities will be balanced carefully with potential benefits of the knowledge to be gained through </w:t>
      </w:r>
      <w:r w:rsidR="00B17D81">
        <w:rPr>
          <w:lang w:val="en"/>
        </w:rPr>
        <w:t>NICHD DASH</w:t>
      </w:r>
      <w:r w:rsidR="00FE1F36" w:rsidRPr="00FE1F36">
        <w:rPr>
          <w:lang w:val="en"/>
        </w:rPr>
        <w:t>.</w:t>
      </w:r>
      <w:r w:rsidR="008E32F4">
        <w:rPr>
          <w:lang w:val="en"/>
        </w:rPr>
        <w:t xml:space="preserve"> </w:t>
      </w:r>
      <w:r w:rsidR="009B152D">
        <w:t>To p</w:t>
      </w:r>
      <w:r w:rsidR="009B152D" w:rsidRPr="00234057">
        <w:t>rotect the privacy of research participants and the confidentiality of their data</w:t>
      </w:r>
      <w:r w:rsidR="00ED70A8">
        <w:t xml:space="preserve"> and</w:t>
      </w:r>
      <w:r w:rsidR="00294754">
        <w:t>/or</w:t>
      </w:r>
      <w:r w:rsidR="00ED70A8">
        <w:t xml:space="preserve"> </w:t>
      </w:r>
      <w:r w:rsidR="00660117">
        <w:t>bio</w:t>
      </w:r>
      <w:r w:rsidR="00ED70A8">
        <w:t>specimens</w:t>
      </w:r>
      <w:r w:rsidR="009B152D">
        <w:t xml:space="preserve">, the NICHD DASH </w:t>
      </w:r>
      <w:r w:rsidR="009E54F2">
        <w:t xml:space="preserve">Data Access </w:t>
      </w:r>
      <w:r w:rsidR="009B152D">
        <w:t>Committee</w:t>
      </w:r>
      <w:r w:rsidR="00C906D3">
        <w:t xml:space="preserve"> </w:t>
      </w:r>
      <w:r w:rsidR="00C906D3" w:rsidRPr="004162EC">
        <w:t>(DAC)</w:t>
      </w:r>
      <w:r w:rsidR="009B152D">
        <w:t xml:space="preserve"> </w:t>
      </w:r>
      <w:r w:rsidR="0069424D" w:rsidRPr="00B64C9C">
        <w:rPr>
          <w:highlight w:val="yellow"/>
        </w:rPr>
        <w:t>and the NICHD DASH Biospecimen Access Committee</w:t>
      </w:r>
      <w:r w:rsidR="00C906D3" w:rsidRPr="00B64C9C">
        <w:rPr>
          <w:highlight w:val="yellow"/>
        </w:rPr>
        <w:t xml:space="preserve"> (BAC)</w:t>
      </w:r>
      <w:r w:rsidR="00C906D3">
        <w:t xml:space="preserve"> </w:t>
      </w:r>
      <w:r w:rsidR="009B152D">
        <w:t xml:space="preserve">will </w:t>
      </w:r>
      <w:r w:rsidR="009E54F2">
        <w:t>review</w:t>
      </w:r>
      <w:r w:rsidR="009B152D">
        <w:t xml:space="preserve"> the request for </w:t>
      </w:r>
      <w:r w:rsidR="00163529">
        <w:t xml:space="preserve">the </w:t>
      </w:r>
      <w:r w:rsidR="009B152D">
        <w:t xml:space="preserve">proposed </w:t>
      </w:r>
      <w:r w:rsidR="009B152D" w:rsidRPr="004B18F8">
        <w:t>study</w:t>
      </w:r>
      <w:r w:rsidR="0069424D">
        <w:t xml:space="preserve"> data and </w:t>
      </w:r>
      <w:r w:rsidR="00C906D3" w:rsidRPr="00B64C9C">
        <w:rPr>
          <w:highlight w:val="yellow"/>
        </w:rPr>
        <w:t>biospecimen</w:t>
      </w:r>
      <w:r w:rsidR="009729D4">
        <w:t>,</w:t>
      </w:r>
      <w:r w:rsidR="009B152D">
        <w:t xml:space="preserve"> </w:t>
      </w:r>
      <w:r w:rsidR="009729D4" w:rsidRPr="00B64C9C">
        <w:rPr>
          <w:highlight w:val="yellow"/>
        </w:rPr>
        <w:t>as well as</w:t>
      </w:r>
      <w:r w:rsidR="009B152D">
        <w:t xml:space="preserve"> monitor </w:t>
      </w:r>
      <w:r w:rsidR="009B152D" w:rsidRPr="00234057">
        <w:t>the use of NICHD DASH data</w:t>
      </w:r>
      <w:r w:rsidR="00ED70A8">
        <w:t xml:space="preserve"> </w:t>
      </w:r>
      <w:r w:rsidR="00ED70A8" w:rsidRPr="00B64C9C">
        <w:rPr>
          <w:highlight w:val="yellow"/>
        </w:rPr>
        <w:t xml:space="preserve">and </w:t>
      </w:r>
      <w:r w:rsidR="009729D4" w:rsidRPr="00B64C9C">
        <w:rPr>
          <w:highlight w:val="yellow"/>
        </w:rPr>
        <w:t xml:space="preserve">NICHD Biorepository </w:t>
      </w:r>
      <w:r w:rsidR="00660117" w:rsidRPr="00B64C9C">
        <w:rPr>
          <w:highlight w:val="yellow"/>
        </w:rPr>
        <w:t>biospecimens</w:t>
      </w:r>
      <w:r w:rsidR="009729D4" w:rsidRPr="00B64C9C">
        <w:rPr>
          <w:highlight w:val="yellow"/>
        </w:rPr>
        <w:t>, respectively.</w:t>
      </w:r>
      <w:r w:rsidR="009729D4">
        <w:t xml:space="preserve"> </w:t>
      </w:r>
    </w:p>
    <w:p w14:paraId="035313F7" w14:textId="77777777" w:rsidR="000F3043" w:rsidRPr="008942E9" w:rsidRDefault="000F3043" w:rsidP="004C5217">
      <w:pPr>
        <w:pStyle w:val="Heading2"/>
      </w:pPr>
      <w:bookmarkStart w:id="15" w:name="_Toc443881743"/>
      <w:bookmarkStart w:id="16" w:name="_Toc451592232"/>
      <w:bookmarkStart w:id="17" w:name="_Toc5610273"/>
      <w:bookmarkStart w:id="18" w:name="_Toc99178779"/>
      <w:bookmarkStart w:id="19" w:name="_Toc442286331"/>
      <w:bookmarkStart w:id="20" w:name="_Toc508106937"/>
      <w:r w:rsidRPr="008942E9">
        <w:t>A.2</w:t>
      </w:r>
      <w:r w:rsidR="00825984">
        <w:tab/>
      </w:r>
      <w:r w:rsidRPr="008942E9">
        <w:t xml:space="preserve">Purpose and Use of the </w:t>
      </w:r>
      <w:r w:rsidRPr="00082051">
        <w:t>Information</w:t>
      </w:r>
      <w:bookmarkEnd w:id="15"/>
      <w:bookmarkEnd w:id="16"/>
      <w:bookmarkEnd w:id="17"/>
      <w:bookmarkEnd w:id="18"/>
      <w:r w:rsidRPr="008942E9">
        <w:t xml:space="preserve"> Collection</w:t>
      </w:r>
      <w:bookmarkEnd w:id="19"/>
      <w:bookmarkEnd w:id="20"/>
    </w:p>
    <w:p w14:paraId="2531ABEC" w14:textId="47F2A528" w:rsidR="005B6230" w:rsidRPr="00FF6388" w:rsidRDefault="00A160E6" w:rsidP="00E16967">
      <w:pPr>
        <w:rPr>
          <w:color w:val="000000" w:themeColor="text1"/>
        </w:rPr>
      </w:pPr>
      <w:r w:rsidRPr="00FF6388">
        <w:rPr>
          <w:color w:val="000000" w:themeColor="text1"/>
          <w:highlight w:val="yellow"/>
        </w:rPr>
        <w:t>T</w:t>
      </w:r>
      <w:r w:rsidR="00583EE7" w:rsidRPr="00FF6388">
        <w:rPr>
          <w:color w:val="000000" w:themeColor="text1"/>
          <w:highlight w:val="yellow"/>
        </w:rPr>
        <w:t xml:space="preserve">he </w:t>
      </w:r>
      <w:r w:rsidR="00D05E34" w:rsidRPr="00FF6388">
        <w:rPr>
          <w:color w:val="000000" w:themeColor="text1"/>
          <w:highlight w:val="yellow"/>
        </w:rPr>
        <w:t xml:space="preserve">initial </w:t>
      </w:r>
      <w:r w:rsidR="00135A52" w:rsidRPr="00FF6388">
        <w:rPr>
          <w:color w:val="000000" w:themeColor="text1"/>
          <w:highlight w:val="yellow"/>
        </w:rPr>
        <w:t>information collection package</w:t>
      </w:r>
      <w:r w:rsidR="00D05E34" w:rsidRPr="00FF6388">
        <w:rPr>
          <w:color w:val="000000" w:themeColor="text1"/>
          <w:highlight w:val="yellow"/>
        </w:rPr>
        <w:t xml:space="preserve"> </w:t>
      </w:r>
      <w:r w:rsidR="00690287" w:rsidRPr="00FF6388">
        <w:rPr>
          <w:color w:val="000000" w:themeColor="text1"/>
          <w:highlight w:val="yellow"/>
        </w:rPr>
        <w:t xml:space="preserve">that was approved by OMB </w:t>
      </w:r>
      <w:r w:rsidR="00135A52" w:rsidRPr="00FF6388">
        <w:rPr>
          <w:color w:val="000000" w:themeColor="text1"/>
          <w:highlight w:val="yellow"/>
        </w:rPr>
        <w:t>included forms for</w:t>
      </w:r>
      <w:r w:rsidR="00D05E34" w:rsidRPr="00FF6388">
        <w:rPr>
          <w:color w:val="000000" w:themeColor="text1"/>
          <w:highlight w:val="yellow"/>
        </w:rPr>
        <w:t xml:space="preserve"> user registration, data submission and data request </w:t>
      </w:r>
      <w:r w:rsidR="001270FA" w:rsidRPr="00FF6388">
        <w:rPr>
          <w:color w:val="000000" w:themeColor="text1"/>
          <w:highlight w:val="yellow"/>
        </w:rPr>
        <w:t>forms for</w:t>
      </w:r>
      <w:r w:rsidR="00690287" w:rsidRPr="00FF6388">
        <w:rPr>
          <w:color w:val="000000" w:themeColor="text1"/>
          <w:highlight w:val="yellow"/>
        </w:rPr>
        <w:t xml:space="preserve"> </w:t>
      </w:r>
      <w:r w:rsidR="00D05E34" w:rsidRPr="00FF6388">
        <w:rPr>
          <w:color w:val="000000" w:themeColor="text1"/>
          <w:highlight w:val="yellow"/>
        </w:rPr>
        <w:t>NICHD DASH. To date</w:t>
      </w:r>
      <w:r w:rsidR="00007F00" w:rsidRPr="00FF6388">
        <w:rPr>
          <w:color w:val="000000" w:themeColor="text1"/>
          <w:highlight w:val="yellow"/>
        </w:rPr>
        <w:t>,</w:t>
      </w:r>
      <w:r w:rsidR="00D05E34" w:rsidRPr="00FF6388">
        <w:rPr>
          <w:color w:val="000000" w:themeColor="text1"/>
          <w:highlight w:val="yellow"/>
        </w:rPr>
        <w:t xml:space="preserve"> </w:t>
      </w:r>
      <w:r w:rsidR="00007F00" w:rsidRPr="00FF6388">
        <w:rPr>
          <w:color w:val="000000" w:themeColor="text1"/>
          <w:highlight w:val="yellow"/>
        </w:rPr>
        <w:t>DASH has</w:t>
      </w:r>
      <w:r w:rsidR="00D05E34" w:rsidRPr="00FF6388">
        <w:rPr>
          <w:color w:val="000000" w:themeColor="text1"/>
          <w:highlight w:val="yellow"/>
        </w:rPr>
        <w:t xml:space="preserve"> a total of </w:t>
      </w:r>
      <w:r w:rsidR="005D7473" w:rsidRPr="00FF6388">
        <w:rPr>
          <w:color w:val="000000" w:themeColor="text1"/>
          <w:highlight w:val="yellow"/>
        </w:rPr>
        <w:t xml:space="preserve">557 </w:t>
      </w:r>
      <w:r w:rsidR="00D05E34" w:rsidRPr="00FF6388">
        <w:rPr>
          <w:color w:val="000000" w:themeColor="text1"/>
          <w:highlight w:val="yellow"/>
        </w:rPr>
        <w:t xml:space="preserve">registered users, </w:t>
      </w:r>
      <w:r w:rsidR="005D7473" w:rsidRPr="00FF6388">
        <w:rPr>
          <w:color w:val="000000" w:themeColor="text1"/>
          <w:highlight w:val="yellow"/>
        </w:rPr>
        <w:t>6</w:t>
      </w:r>
      <w:r w:rsidR="006E3B97" w:rsidRPr="00FF6388">
        <w:rPr>
          <w:color w:val="000000" w:themeColor="text1"/>
          <w:highlight w:val="yellow"/>
        </w:rPr>
        <w:t>3</w:t>
      </w:r>
      <w:r w:rsidR="00D05E34" w:rsidRPr="00FF6388">
        <w:rPr>
          <w:color w:val="000000" w:themeColor="text1"/>
          <w:highlight w:val="yellow"/>
        </w:rPr>
        <w:t xml:space="preserve"> study data submissions, and </w:t>
      </w:r>
      <w:r w:rsidR="006E3B97" w:rsidRPr="00FF6388">
        <w:rPr>
          <w:color w:val="000000" w:themeColor="text1"/>
          <w:highlight w:val="yellow"/>
        </w:rPr>
        <w:t xml:space="preserve">72 </w:t>
      </w:r>
      <w:r w:rsidR="00D05E34" w:rsidRPr="00FF6388">
        <w:rPr>
          <w:color w:val="000000" w:themeColor="text1"/>
          <w:highlight w:val="yellow"/>
        </w:rPr>
        <w:t xml:space="preserve">approved data requests. This revised </w:t>
      </w:r>
      <w:r w:rsidR="00135A52" w:rsidRPr="00FF6388">
        <w:rPr>
          <w:color w:val="000000" w:themeColor="text1"/>
          <w:highlight w:val="yellow"/>
        </w:rPr>
        <w:t>information collection</w:t>
      </w:r>
      <w:r w:rsidR="00D05E34" w:rsidRPr="00FF6388">
        <w:rPr>
          <w:color w:val="000000" w:themeColor="text1"/>
          <w:highlight w:val="yellow"/>
        </w:rPr>
        <w:t xml:space="preserve"> </w:t>
      </w:r>
      <w:r w:rsidR="00135A52" w:rsidRPr="00FF6388">
        <w:rPr>
          <w:color w:val="000000" w:themeColor="text1"/>
          <w:highlight w:val="yellow"/>
        </w:rPr>
        <w:t xml:space="preserve">package </w:t>
      </w:r>
      <w:r w:rsidR="00690287" w:rsidRPr="00FF6388">
        <w:rPr>
          <w:color w:val="000000" w:themeColor="text1"/>
          <w:highlight w:val="yellow"/>
        </w:rPr>
        <w:t xml:space="preserve">is being submitted to OMB to obtain </w:t>
      </w:r>
      <w:r w:rsidR="00D05E34" w:rsidRPr="00FF6388">
        <w:rPr>
          <w:color w:val="000000" w:themeColor="text1"/>
          <w:highlight w:val="yellow"/>
        </w:rPr>
        <w:t xml:space="preserve">clearance for the collection of information during </w:t>
      </w:r>
      <w:r w:rsidR="00690287" w:rsidRPr="00FF6388">
        <w:rPr>
          <w:color w:val="000000" w:themeColor="text1"/>
          <w:highlight w:val="yellow"/>
        </w:rPr>
        <w:t xml:space="preserve">Institutional </w:t>
      </w:r>
      <w:r w:rsidR="00AB6601" w:rsidRPr="00FF6388">
        <w:rPr>
          <w:color w:val="000000" w:themeColor="text1"/>
          <w:highlight w:val="yellow"/>
        </w:rPr>
        <w:t>Certification</w:t>
      </w:r>
      <w:r w:rsidR="00690287" w:rsidRPr="00FF6388">
        <w:rPr>
          <w:color w:val="000000" w:themeColor="text1"/>
          <w:highlight w:val="yellow"/>
        </w:rPr>
        <w:t xml:space="preserve"> submission, </w:t>
      </w:r>
      <w:r w:rsidR="00D05E34" w:rsidRPr="00FF6388">
        <w:rPr>
          <w:color w:val="000000" w:themeColor="text1"/>
          <w:highlight w:val="yellow"/>
        </w:rPr>
        <w:t xml:space="preserve">biospecimen </w:t>
      </w:r>
      <w:r w:rsidR="007B12EB" w:rsidRPr="00FF6388">
        <w:rPr>
          <w:color w:val="000000" w:themeColor="text1"/>
          <w:highlight w:val="yellow"/>
        </w:rPr>
        <w:t xml:space="preserve">submission and </w:t>
      </w:r>
      <w:r w:rsidR="00D05E34" w:rsidRPr="00FF6388">
        <w:rPr>
          <w:color w:val="000000" w:themeColor="text1"/>
          <w:highlight w:val="yellow"/>
        </w:rPr>
        <w:t xml:space="preserve">request, </w:t>
      </w:r>
      <w:r w:rsidR="00690287" w:rsidRPr="00FF6388">
        <w:rPr>
          <w:color w:val="000000" w:themeColor="text1"/>
          <w:highlight w:val="yellow"/>
        </w:rPr>
        <w:t xml:space="preserve">and </w:t>
      </w:r>
      <w:r w:rsidR="00D05E34" w:rsidRPr="00FF6388">
        <w:rPr>
          <w:color w:val="000000" w:themeColor="text1"/>
          <w:highlight w:val="yellow"/>
        </w:rPr>
        <w:t xml:space="preserve">annual progress report </w:t>
      </w:r>
      <w:r w:rsidR="00690287" w:rsidRPr="00FF6388">
        <w:rPr>
          <w:color w:val="000000" w:themeColor="text1"/>
          <w:highlight w:val="yellow"/>
        </w:rPr>
        <w:t xml:space="preserve">submission </w:t>
      </w:r>
      <w:r w:rsidR="001270FA" w:rsidRPr="00FF6388">
        <w:rPr>
          <w:color w:val="000000" w:themeColor="text1"/>
          <w:highlight w:val="yellow"/>
        </w:rPr>
        <w:t xml:space="preserve">to </w:t>
      </w:r>
      <w:r w:rsidR="00D05E34" w:rsidRPr="00FF6388">
        <w:rPr>
          <w:color w:val="000000" w:themeColor="text1"/>
          <w:highlight w:val="yellow"/>
        </w:rPr>
        <w:t>NICHD DASH.</w:t>
      </w:r>
      <w:r w:rsidR="00D05E34" w:rsidRPr="00FF6388">
        <w:rPr>
          <w:color w:val="000000" w:themeColor="text1"/>
        </w:rPr>
        <w:t xml:space="preserve"> </w:t>
      </w:r>
    </w:p>
    <w:p w14:paraId="1277AE7C" w14:textId="74AE4D9B" w:rsidR="0039417E" w:rsidRPr="000C1415" w:rsidRDefault="0039417E" w:rsidP="0039417E">
      <w:pPr>
        <w:rPr>
          <w:i/>
        </w:rPr>
      </w:pPr>
      <w:r w:rsidRPr="002A3AFC">
        <w:rPr>
          <w:b/>
        </w:rPr>
        <w:t>Users creating an account</w:t>
      </w:r>
      <w:r>
        <w:t xml:space="preserve"> </w:t>
      </w:r>
      <w:r w:rsidR="00D378DD">
        <w:t xml:space="preserve">to register </w:t>
      </w:r>
      <w:r>
        <w:t xml:space="preserve">will electronically submit essential information necessary to uniquely identify them in NICHD DASH </w:t>
      </w:r>
      <w:r w:rsidR="00831AFF">
        <w:t>(</w:t>
      </w:r>
      <w:r w:rsidR="006162D6" w:rsidRPr="00FF6388">
        <w:rPr>
          <w:i/>
          <w:color w:val="000000" w:themeColor="text1"/>
        </w:rPr>
        <w:t>Attachment A.2-</w:t>
      </w:r>
      <w:r w:rsidR="009500DA" w:rsidRPr="00FF6388">
        <w:rPr>
          <w:i/>
          <w:color w:val="000000" w:themeColor="text1"/>
        </w:rPr>
        <w:t>1</w:t>
      </w:r>
      <w:r w:rsidR="000B3512" w:rsidRPr="00FF6388">
        <w:rPr>
          <w:i/>
          <w:color w:val="000000" w:themeColor="text1"/>
        </w:rPr>
        <w:t xml:space="preserve"> </w:t>
      </w:r>
      <w:r w:rsidR="006162D6" w:rsidRPr="00FF6388">
        <w:rPr>
          <w:i/>
          <w:color w:val="000000" w:themeColor="text1"/>
        </w:rPr>
        <w:t xml:space="preserve">User </w:t>
      </w:r>
      <w:r w:rsidR="006162D6" w:rsidRPr="004162EC">
        <w:rPr>
          <w:i/>
          <w:color w:val="000000" w:themeColor="text1"/>
        </w:rPr>
        <w:t>Registration</w:t>
      </w:r>
      <w:r w:rsidR="00831AFF" w:rsidRPr="004162EC">
        <w:rPr>
          <w:i/>
        </w:rPr>
        <w:t>)</w:t>
      </w:r>
      <w:r w:rsidR="001270FA" w:rsidRPr="004162EC">
        <w:rPr>
          <w:i/>
        </w:rPr>
        <w:t>.</w:t>
      </w:r>
    </w:p>
    <w:p w14:paraId="146D881E" w14:textId="50741229" w:rsidR="007B61DF" w:rsidRPr="00FF6388" w:rsidRDefault="0039417E" w:rsidP="007B61DF">
      <w:pPr>
        <w:rPr>
          <w:color w:val="000000" w:themeColor="text1"/>
        </w:rPr>
      </w:pPr>
      <w:r w:rsidRPr="002A3AFC">
        <w:rPr>
          <w:b/>
        </w:rPr>
        <w:t xml:space="preserve">Users submitting </w:t>
      </w:r>
      <w:r w:rsidRPr="004B18F8">
        <w:rPr>
          <w:b/>
        </w:rPr>
        <w:t>study</w:t>
      </w:r>
      <w:r w:rsidRPr="002A3AFC">
        <w:rPr>
          <w:b/>
        </w:rPr>
        <w:t xml:space="preserve"> data</w:t>
      </w:r>
      <w:r w:rsidR="00115207">
        <w:rPr>
          <w:b/>
        </w:rPr>
        <w:t xml:space="preserve"> </w:t>
      </w:r>
      <w:r w:rsidR="00115207" w:rsidRPr="00B64C9C">
        <w:rPr>
          <w:b/>
          <w:highlight w:val="yellow"/>
        </w:rPr>
        <w:t>and biospecimens</w:t>
      </w:r>
      <w:r w:rsidRPr="002A3AFC">
        <w:rPr>
          <w:b/>
        </w:rPr>
        <w:t xml:space="preserve"> </w:t>
      </w:r>
      <w:r w:rsidRPr="002A3AFC">
        <w:t>to NICHD DASH</w:t>
      </w:r>
      <w:r w:rsidRPr="00E16967">
        <w:t xml:space="preserve"> will be required to provide </w:t>
      </w:r>
      <w:r>
        <w:t xml:space="preserve">information about the study investigator and </w:t>
      </w:r>
      <w:r w:rsidRPr="00E16967">
        <w:t>descriptive information about the study. They will also be required to upload study documentation</w:t>
      </w:r>
      <w:r w:rsidR="001270FA">
        <w:t xml:space="preserve"> and</w:t>
      </w:r>
      <w:r w:rsidRPr="00E16967">
        <w:t xml:space="preserve"> data</w:t>
      </w:r>
      <w:r w:rsidR="001270FA">
        <w:t xml:space="preserve"> (</w:t>
      </w:r>
      <w:r w:rsidR="001270FA" w:rsidRPr="004162EC">
        <w:rPr>
          <w:i/>
          <w:color w:val="000000" w:themeColor="text1"/>
          <w:highlight w:val="yellow"/>
        </w:rPr>
        <w:t>Attachment A.2-</w:t>
      </w:r>
      <w:r w:rsidR="000B3512" w:rsidRPr="004162EC">
        <w:rPr>
          <w:i/>
          <w:color w:val="000000" w:themeColor="text1"/>
          <w:highlight w:val="yellow"/>
        </w:rPr>
        <w:t>2</w:t>
      </w:r>
      <w:r w:rsidR="00DF471E" w:rsidRPr="004162EC">
        <w:rPr>
          <w:i/>
          <w:color w:val="000000" w:themeColor="text1"/>
          <w:highlight w:val="yellow"/>
        </w:rPr>
        <w:t xml:space="preserve"> </w:t>
      </w:r>
      <w:r w:rsidR="001270FA" w:rsidRPr="004162EC">
        <w:rPr>
          <w:i/>
          <w:color w:val="000000" w:themeColor="text1"/>
          <w:highlight w:val="yellow"/>
        </w:rPr>
        <w:t>Data Submission,</w:t>
      </w:r>
      <w:r w:rsidR="001270FA" w:rsidRPr="00FF6388">
        <w:rPr>
          <w:i/>
          <w:color w:val="000000" w:themeColor="text1"/>
        </w:rPr>
        <w:t xml:space="preserve"> </w:t>
      </w:r>
      <w:r w:rsidR="00BC6FC0" w:rsidRPr="00FF6388">
        <w:rPr>
          <w:i/>
          <w:color w:val="000000" w:themeColor="text1"/>
          <w:highlight w:val="yellow"/>
        </w:rPr>
        <w:t>one new question added to previously approved information collection form</w:t>
      </w:r>
      <w:r w:rsidR="004B18F8" w:rsidRPr="004162EC">
        <w:rPr>
          <w:i/>
          <w:color w:val="000000" w:themeColor="text1"/>
          <w:highlight w:val="yellow"/>
        </w:rPr>
        <w:t>; p. 4</w:t>
      </w:r>
      <w:r w:rsidR="004162EC">
        <w:rPr>
          <w:i/>
          <w:color w:val="000000" w:themeColor="text1"/>
          <w:highlight w:val="yellow"/>
        </w:rPr>
        <w:t>:</w:t>
      </w:r>
      <w:r w:rsidR="004162EC" w:rsidRPr="004162EC">
        <w:rPr>
          <w:i/>
          <w:color w:val="000000" w:themeColor="text1"/>
          <w:highlight w:val="yellow"/>
        </w:rPr>
        <w:t xml:space="preserve"> “Do </w:t>
      </w:r>
      <w:r w:rsidR="00EC1D0E" w:rsidRPr="004162EC">
        <w:rPr>
          <w:i/>
          <w:color w:val="000000" w:themeColor="text1"/>
          <w:highlight w:val="yellow"/>
        </w:rPr>
        <w:t>you have</w:t>
      </w:r>
      <w:r w:rsidR="004162EC" w:rsidRPr="004162EC">
        <w:rPr>
          <w:i/>
          <w:color w:val="000000" w:themeColor="text1"/>
          <w:highlight w:val="yellow"/>
        </w:rPr>
        <w:t xml:space="preserve"> any biospecimen available for sharing from this study?</w:t>
      </w:r>
      <w:r w:rsidR="00BC6FC0" w:rsidRPr="004162EC">
        <w:rPr>
          <w:i/>
          <w:color w:val="538135" w:themeColor="accent6" w:themeShade="BF"/>
          <w:highlight w:val="yellow"/>
        </w:rPr>
        <w:t>)</w:t>
      </w:r>
      <w:r w:rsidR="00C20096" w:rsidRPr="004162EC">
        <w:rPr>
          <w:i/>
          <w:color w:val="538135" w:themeColor="accent6" w:themeShade="BF"/>
          <w:highlight w:val="yellow"/>
        </w:rPr>
        <w:t>.</w:t>
      </w:r>
      <w:r w:rsidRPr="00E16967">
        <w:t xml:space="preserve"> </w:t>
      </w:r>
      <w:r w:rsidR="00C20096" w:rsidRPr="00B64C9C">
        <w:rPr>
          <w:highlight w:val="yellow"/>
        </w:rPr>
        <w:t>NICHD DASH is adding a new form for</w:t>
      </w:r>
      <w:r w:rsidR="00C20096">
        <w:t xml:space="preserve"> </w:t>
      </w:r>
      <w:r w:rsidRPr="004162EC">
        <w:rPr>
          <w:highlight w:val="yellow"/>
        </w:rPr>
        <w:t>Institutional Certification</w:t>
      </w:r>
      <w:r w:rsidR="00F0203C" w:rsidRPr="004162EC">
        <w:rPr>
          <w:i/>
          <w:highlight w:val="yellow"/>
        </w:rPr>
        <w:t xml:space="preserve"> </w:t>
      </w:r>
      <w:r w:rsidR="00B858BE" w:rsidRPr="004162EC">
        <w:rPr>
          <w:highlight w:val="yellow"/>
        </w:rPr>
        <w:t>from</w:t>
      </w:r>
      <w:r w:rsidRPr="004162EC">
        <w:rPr>
          <w:highlight w:val="yellow"/>
        </w:rPr>
        <w:t xml:space="preserve"> the submitting institution stating that the data</w:t>
      </w:r>
      <w:r w:rsidR="00BC6FC0" w:rsidRPr="00B64C9C">
        <w:rPr>
          <w:highlight w:val="yellow"/>
        </w:rPr>
        <w:t>,</w:t>
      </w:r>
      <w:r w:rsidRPr="00B64C9C">
        <w:rPr>
          <w:highlight w:val="yellow"/>
        </w:rPr>
        <w:t xml:space="preserve"> </w:t>
      </w:r>
      <w:r w:rsidR="00BC6FC0" w:rsidRPr="00B64C9C">
        <w:rPr>
          <w:highlight w:val="yellow"/>
        </w:rPr>
        <w:t>biospecimens, and the biospecimen inventory</w:t>
      </w:r>
      <w:r w:rsidR="00BC6FC0" w:rsidRPr="00BC6FC0">
        <w:t xml:space="preserve"> </w:t>
      </w:r>
      <w:r w:rsidR="00BC6FC0">
        <w:t>have</w:t>
      </w:r>
      <w:r w:rsidR="00BC6FC0" w:rsidRPr="00E16967">
        <w:t xml:space="preserve"> </w:t>
      </w:r>
      <w:r w:rsidRPr="00E16967">
        <w:t xml:space="preserve">been de-identified to the standards set forth in the HHS Regulations for the Protection of Human Subjects and that an Institutional Review Board or Privacy Committee has assessed the proposed data </w:t>
      </w:r>
      <w:r w:rsidR="00BC6FC0" w:rsidRPr="00B64C9C">
        <w:rPr>
          <w:highlight w:val="yellow"/>
        </w:rPr>
        <w:t>and/or biospecimen</w:t>
      </w:r>
      <w:r w:rsidR="00BC6FC0" w:rsidRPr="00BC6FC0">
        <w:t xml:space="preserve"> </w:t>
      </w:r>
      <w:r w:rsidRPr="00E16967">
        <w:t xml:space="preserve">sharing for risks, privacy considerations, and </w:t>
      </w:r>
      <w:r w:rsidR="001B0CE6">
        <w:t>alignment with informed consent</w:t>
      </w:r>
      <w:r w:rsidR="00831AFF">
        <w:t xml:space="preserve"> (</w:t>
      </w:r>
      <w:r w:rsidR="00DF471E" w:rsidRPr="00FF6388">
        <w:rPr>
          <w:i/>
          <w:color w:val="000000" w:themeColor="text1"/>
          <w:highlight w:val="yellow"/>
        </w:rPr>
        <w:t xml:space="preserve">New information collection form; </w:t>
      </w:r>
      <w:r w:rsidR="001270FA" w:rsidRPr="00FF6388">
        <w:rPr>
          <w:i/>
          <w:color w:val="000000" w:themeColor="text1"/>
          <w:highlight w:val="yellow"/>
        </w:rPr>
        <w:t>Attachment A.2-</w:t>
      </w:r>
      <w:r w:rsidR="000B3512" w:rsidRPr="00FF6388">
        <w:rPr>
          <w:i/>
          <w:color w:val="000000" w:themeColor="text1"/>
          <w:highlight w:val="yellow"/>
        </w:rPr>
        <w:t>3</w:t>
      </w:r>
      <w:r w:rsidR="001270FA" w:rsidRPr="00FF6388">
        <w:rPr>
          <w:i/>
          <w:color w:val="000000" w:themeColor="text1"/>
          <w:highlight w:val="yellow"/>
        </w:rPr>
        <w:t xml:space="preserve"> Institutional Certification Template</w:t>
      </w:r>
      <w:r w:rsidR="001B0CE6" w:rsidRPr="00FF6388">
        <w:rPr>
          <w:i/>
          <w:color w:val="000000" w:themeColor="text1"/>
          <w:highlight w:val="yellow"/>
        </w:rPr>
        <w:t>)</w:t>
      </w:r>
      <w:r w:rsidR="00642FAA" w:rsidRPr="00FF6388">
        <w:rPr>
          <w:i/>
          <w:color w:val="000000" w:themeColor="text1"/>
          <w:highlight w:val="yellow"/>
        </w:rPr>
        <w:t>.</w:t>
      </w:r>
      <w:r w:rsidR="007B61DF" w:rsidRPr="00FF6388">
        <w:rPr>
          <w:i/>
          <w:color w:val="000000" w:themeColor="text1"/>
        </w:rPr>
        <w:t xml:space="preserve"> </w:t>
      </w:r>
    </w:p>
    <w:p w14:paraId="490B9BCC" w14:textId="15179673" w:rsidR="004A77B0" w:rsidRPr="00FF6388" w:rsidRDefault="004A77B0" w:rsidP="007B61DF">
      <w:pPr>
        <w:rPr>
          <w:b/>
          <w:color w:val="000000" w:themeColor="text1"/>
        </w:rPr>
      </w:pPr>
      <w:r w:rsidRPr="00163529">
        <w:rPr>
          <w:b/>
        </w:rPr>
        <w:t xml:space="preserve">Users requesting </w:t>
      </w:r>
      <w:r>
        <w:rPr>
          <w:b/>
        </w:rPr>
        <w:t xml:space="preserve">de-identified </w:t>
      </w:r>
      <w:r w:rsidRPr="004162EC">
        <w:rPr>
          <w:b/>
        </w:rPr>
        <w:t>study</w:t>
      </w:r>
      <w:r>
        <w:rPr>
          <w:b/>
        </w:rPr>
        <w:t xml:space="preserve"> </w:t>
      </w:r>
      <w:r w:rsidRPr="00163529">
        <w:rPr>
          <w:b/>
        </w:rPr>
        <w:t>data</w:t>
      </w:r>
      <w:r w:rsidRPr="000C1415">
        <w:rPr>
          <w:b/>
        </w:rPr>
        <w:t xml:space="preserve"> </w:t>
      </w:r>
      <w:r w:rsidRPr="00862A18">
        <w:t xml:space="preserve">will be required to provide information about the </w:t>
      </w:r>
      <w:r w:rsidRPr="00B64C9C">
        <w:t>study</w:t>
      </w:r>
      <w:r w:rsidRPr="00862A18">
        <w:t xml:space="preserve"> </w:t>
      </w:r>
      <w:r w:rsidRPr="004162EC">
        <w:t>investigator and a brief description of the proposed research use of the study data requested from NICHD DASH. The investigator and the authorized institutional official will be required to sign a NICHD DASH Data Use Agreement stating that the recipient will use the study data only for the approved research; will not share study data with individuals’ other than the approved affiliates; will protect study data confidentiality, will not attempt to identify individual participants from whom study data were obtained; and will follow appropriate study data security</w:t>
      </w:r>
      <w:r w:rsidRPr="00862A18">
        <w:t xml:space="preserve"> protections</w:t>
      </w:r>
      <w:r>
        <w:t xml:space="preserve"> (</w:t>
      </w:r>
      <w:r w:rsidR="006162D6" w:rsidRPr="00FF6388">
        <w:rPr>
          <w:i/>
          <w:color w:val="000000" w:themeColor="text1"/>
        </w:rPr>
        <w:t>Attachment A.2-</w:t>
      </w:r>
      <w:r w:rsidR="009500DA" w:rsidRPr="00FF6388">
        <w:rPr>
          <w:i/>
          <w:color w:val="000000" w:themeColor="text1"/>
        </w:rPr>
        <w:t>4</w:t>
      </w:r>
      <w:r w:rsidR="006162D6" w:rsidRPr="00FF6388">
        <w:rPr>
          <w:i/>
          <w:color w:val="000000" w:themeColor="text1"/>
        </w:rPr>
        <w:t xml:space="preserve"> Data </w:t>
      </w:r>
      <w:r w:rsidR="006162D6" w:rsidRPr="004162EC">
        <w:rPr>
          <w:i/>
          <w:color w:val="000000" w:themeColor="text1"/>
        </w:rPr>
        <w:t>Request</w:t>
      </w:r>
      <w:r w:rsidRPr="004162EC">
        <w:rPr>
          <w:i/>
          <w:color w:val="000000" w:themeColor="text1"/>
        </w:rPr>
        <w:t>)</w:t>
      </w:r>
      <w:r w:rsidRPr="004162EC">
        <w:rPr>
          <w:color w:val="000000" w:themeColor="text1"/>
        </w:rPr>
        <w:t>.</w:t>
      </w:r>
      <w:r w:rsidRPr="00FF6388">
        <w:rPr>
          <w:color w:val="000000" w:themeColor="text1"/>
        </w:rPr>
        <w:t xml:space="preserve"> The NICHD DASH DAC will review </w:t>
      </w:r>
      <w:r w:rsidRPr="004162EC">
        <w:rPr>
          <w:color w:val="000000" w:themeColor="text1"/>
        </w:rPr>
        <w:t>the study data requests to determine whether the proposed research use is scientifically and ethically appropriate and does not conflict with constraints or study</w:t>
      </w:r>
      <w:r w:rsidRPr="00FF6388">
        <w:rPr>
          <w:color w:val="000000" w:themeColor="text1"/>
        </w:rPr>
        <w:t xml:space="preserve"> data use limitations identified by the institutions that submitted the study data to NICHD DASH. </w:t>
      </w:r>
    </w:p>
    <w:p w14:paraId="5D64C417" w14:textId="343A4C66" w:rsidR="004C5217" w:rsidRPr="00FF6388" w:rsidRDefault="004C5217" w:rsidP="004C5217">
      <w:pPr>
        <w:tabs>
          <w:tab w:val="left" w:pos="0"/>
        </w:tabs>
        <w:rPr>
          <w:color w:val="000000" w:themeColor="text1"/>
          <w:highlight w:val="yellow"/>
        </w:rPr>
      </w:pPr>
      <w:r w:rsidRPr="00FF6388">
        <w:rPr>
          <w:b/>
          <w:color w:val="000000" w:themeColor="text1"/>
          <w:highlight w:val="yellow"/>
        </w:rPr>
        <w:t xml:space="preserve">Users requesting biospecimens </w:t>
      </w:r>
      <w:r w:rsidRPr="00FF6388">
        <w:rPr>
          <w:color w:val="000000" w:themeColor="text1"/>
          <w:highlight w:val="yellow"/>
        </w:rPr>
        <w:t xml:space="preserve">through NICHD DASH from the NICHD Biorepository will be required to upload the Biospecimen Request Form and submit a Material Transfer Agreement. The Biospecimen Request Form must include a brief description of the proposed research use of the biospecimens, the funding source, and </w:t>
      </w:r>
      <w:r w:rsidR="00DB74F6">
        <w:rPr>
          <w:color w:val="000000" w:themeColor="text1"/>
          <w:highlight w:val="yellow"/>
        </w:rPr>
        <w:t xml:space="preserve">the </w:t>
      </w:r>
      <w:r w:rsidRPr="00FF6388">
        <w:rPr>
          <w:color w:val="000000" w:themeColor="text1"/>
          <w:highlight w:val="yellow"/>
        </w:rPr>
        <w:t>optimal and minimal amount required for the biospecimen (</w:t>
      </w:r>
      <w:r w:rsidR="00BC6FC0" w:rsidRPr="00FF6388">
        <w:rPr>
          <w:i/>
          <w:color w:val="000000" w:themeColor="text1"/>
          <w:highlight w:val="yellow"/>
        </w:rPr>
        <w:t xml:space="preserve">New information collection form; </w:t>
      </w:r>
      <w:r w:rsidR="002863B9" w:rsidRPr="00FF6388">
        <w:rPr>
          <w:i/>
          <w:color w:val="000000" w:themeColor="text1"/>
          <w:highlight w:val="yellow"/>
        </w:rPr>
        <w:t>Attachment A.2-</w:t>
      </w:r>
      <w:r w:rsidR="009500DA" w:rsidRPr="00FF6388">
        <w:rPr>
          <w:i/>
          <w:color w:val="000000" w:themeColor="text1"/>
          <w:highlight w:val="yellow"/>
        </w:rPr>
        <w:t xml:space="preserve">5 </w:t>
      </w:r>
      <w:r w:rsidRPr="00FF6388">
        <w:rPr>
          <w:i/>
          <w:color w:val="000000" w:themeColor="text1"/>
          <w:highlight w:val="yellow"/>
        </w:rPr>
        <w:t>Biospecimen Request</w:t>
      </w:r>
      <w:r w:rsidR="00842883" w:rsidRPr="00FF6388">
        <w:rPr>
          <w:i/>
          <w:color w:val="000000" w:themeColor="text1"/>
          <w:highlight w:val="yellow"/>
        </w:rPr>
        <w:t xml:space="preserve"> Form</w:t>
      </w:r>
      <w:r w:rsidRPr="00FF6388">
        <w:rPr>
          <w:i/>
          <w:color w:val="000000" w:themeColor="text1"/>
          <w:highlight w:val="yellow"/>
        </w:rPr>
        <w:t xml:space="preserve">). </w:t>
      </w:r>
      <w:r w:rsidRPr="00FF6388">
        <w:rPr>
          <w:color w:val="000000" w:themeColor="text1"/>
          <w:highlight w:val="yellow"/>
        </w:rPr>
        <w:t>The investigator and designated institutional official will be required to sign a NICHD DASH Material Transfer Agreement stating that the recipient will abide by appropriate laws, rules, and regulations associated with human subjects research and private information; will not share biospecimens with individuals other than the approved affiliates; will protect biospecimen confidentiality; will not attempt to identify participants from the biospecimens; will follow appropriate biospecimen security protections</w:t>
      </w:r>
      <w:r w:rsidR="00A5727F">
        <w:rPr>
          <w:color w:val="000000" w:themeColor="text1"/>
          <w:highlight w:val="yellow"/>
        </w:rPr>
        <w:t>; and will limit the use of biospecimens for the approved research plan only</w:t>
      </w:r>
      <w:r w:rsidRPr="00FF6388">
        <w:rPr>
          <w:color w:val="000000" w:themeColor="text1"/>
          <w:highlight w:val="yellow"/>
        </w:rPr>
        <w:t xml:space="preserve">. </w:t>
      </w:r>
    </w:p>
    <w:p w14:paraId="7DC37E2B" w14:textId="511BDA95" w:rsidR="004C5217" w:rsidRPr="004C5217" w:rsidRDefault="004C5217" w:rsidP="0039417E">
      <w:r w:rsidRPr="00B64C9C">
        <w:rPr>
          <w:highlight w:val="yellow"/>
        </w:rPr>
        <w:t xml:space="preserve">The DASH BAC will </w:t>
      </w:r>
      <w:r w:rsidR="00D26228">
        <w:rPr>
          <w:highlight w:val="yellow"/>
        </w:rPr>
        <w:t>evaluate the scientific and ethical appropriateness of the request as well as ensure that the research plan does not conflict with the biospecimen use limitations provided by the submitter of the biospecimens</w:t>
      </w:r>
      <w:r w:rsidR="00D26228" w:rsidRPr="00B64C9C">
        <w:rPr>
          <w:highlight w:val="yellow"/>
        </w:rPr>
        <w:t>.</w:t>
      </w:r>
      <w:r w:rsidR="00D26228" w:rsidRPr="00A51F66">
        <w:t xml:space="preserve"> </w:t>
      </w:r>
      <w:r w:rsidR="00D26228">
        <w:t xml:space="preserve"> </w:t>
      </w:r>
      <w:r w:rsidR="00D26228">
        <w:rPr>
          <w:highlight w:val="yellow"/>
        </w:rPr>
        <w:t>The DASH BAC will also</w:t>
      </w:r>
      <w:r w:rsidR="00D26228">
        <w:t xml:space="preserve"> </w:t>
      </w:r>
      <w:r w:rsidRPr="00B64C9C">
        <w:rPr>
          <w:highlight w:val="yellow"/>
        </w:rPr>
        <w:t xml:space="preserve">ensure </w:t>
      </w:r>
      <w:r w:rsidR="00D26228">
        <w:rPr>
          <w:highlight w:val="yellow"/>
        </w:rPr>
        <w:t xml:space="preserve">that </w:t>
      </w:r>
      <w:r w:rsidRPr="00B64C9C">
        <w:rPr>
          <w:highlight w:val="yellow"/>
        </w:rPr>
        <w:t>the Users requesting biospecimen(s) through NICHD DASH from the NICHD Biorepository meet the appropriate security measures (e.g., physical security, information technology security, user training)</w:t>
      </w:r>
      <w:r w:rsidR="00A5727F">
        <w:rPr>
          <w:highlight w:val="yellow"/>
        </w:rPr>
        <w:t xml:space="preserve">. </w:t>
      </w:r>
    </w:p>
    <w:p w14:paraId="11FD9D07" w14:textId="27628584" w:rsidR="00D52F20" w:rsidRDefault="00F73C10" w:rsidP="00F73C10">
      <w:r w:rsidRPr="00B64C9C">
        <w:rPr>
          <w:b/>
          <w:highlight w:val="yellow"/>
        </w:rPr>
        <w:t>U</w:t>
      </w:r>
      <w:r w:rsidR="00367819" w:rsidRPr="00B64C9C">
        <w:rPr>
          <w:b/>
          <w:highlight w:val="yellow"/>
        </w:rPr>
        <w:t xml:space="preserve">sers </w:t>
      </w:r>
      <w:r w:rsidR="004D4107" w:rsidRPr="00B64C9C">
        <w:rPr>
          <w:b/>
          <w:highlight w:val="yellow"/>
        </w:rPr>
        <w:t>of study data and/</w:t>
      </w:r>
      <w:r w:rsidRPr="00B64C9C">
        <w:rPr>
          <w:b/>
          <w:highlight w:val="yellow"/>
        </w:rPr>
        <w:t xml:space="preserve">or biospecimens </w:t>
      </w:r>
      <w:r w:rsidRPr="00B64C9C">
        <w:rPr>
          <w:highlight w:val="yellow"/>
        </w:rPr>
        <w:t xml:space="preserve">will be asked to submit an </w:t>
      </w:r>
      <w:r w:rsidR="00E87D28" w:rsidRPr="00B64C9C">
        <w:rPr>
          <w:highlight w:val="yellow"/>
        </w:rPr>
        <w:t xml:space="preserve">Annual </w:t>
      </w:r>
      <w:r w:rsidR="009500DA" w:rsidRPr="00B64C9C">
        <w:rPr>
          <w:highlight w:val="yellow"/>
        </w:rPr>
        <w:t>P</w:t>
      </w:r>
      <w:r w:rsidR="00E87D28" w:rsidRPr="00B64C9C">
        <w:rPr>
          <w:highlight w:val="yellow"/>
        </w:rPr>
        <w:t xml:space="preserve">rogress Report </w:t>
      </w:r>
      <w:r w:rsidRPr="00B64C9C">
        <w:rPr>
          <w:highlight w:val="yellow"/>
        </w:rPr>
        <w:t xml:space="preserve">summarizing research accomplishments, patent </w:t>
      </w:r>
      <w:r w:rsidRPr="00FF6388">
        <w:rPr>
          <w:color w:val="000000" w:themeColor="text1"/>
          <w:highlight w:val="yellow"/>
        </w:rPr>
        <w:t xml:space="preserve">applications (or approvals), and any updates to the list of </w:t>
      </w:r>
      <w:r w:rsidR="00DC051B" w:rsidRPr="00FF6388">
        <w:rPr>
          <w:color w:val="000000" w:themeColor="text1"/>
          <w:highlight w:val="yellow"/>
        </w:rPr>
        <w:t>affiliates (</w:t>
      </w:r>
      <w:r w:rsidR="00FB599F" w:rsidRPr="00FF6388">
        <w:rPr>
          <w:i/>
          <w:color w:val="000000" w:themeColor="text1"/>
          <w:highlight w:val="yellow"/>
        </w:rPr>
        <w:t xml:space="preserve">New information collection forms; </w:t>
      </w:r>
      <w:r w:rsidR="001B0CE6" w:rsidRPr="00FF6388">
        <w:rPr>
          <w:i/>
          <w:color w:val="000000" w:themeColor="text1"/>
          <w:highlight w:val="yellow"/>
        </w:rPr>
        <w:t>Attachment A</w:t>
      </w:r>
      <w:r w:rsidR="002863B9" w:rsidRPr="00FF6388">
        <w:rPr>
          <w:i/>
          <w:color w:val="000000" w:themeColor="text1"/>
          <w:highlight w:val="yellow"/>
        </w:rPr>
        <w:t>.2-</w:t>
      </w:r>
      <w:r w:rsidR="009500DA" w:rsidRPr="00FF6388">
        <w:rPr>
          <w:i/>
          <w:color w:val="000000" w:themeColor="text1"/>
          <w:highlight w:val="yellow"/>
        </w:rPr>
        <w:t xml:space="preserve">6 </w:t>
      </w:r>
      <w:r w:rsidR="002F0ED4" w:rsidRPr="00FF6388">
        <w:rPr>
          <w:i/>
          <w:color w:val="000000" w:themeColor="text1"/>
          <w:highlight w:val="yellow"/>
        </w:rPr>
        <w:t>Data Use Annual Progress Re</w:t>
      </w:r>
      <w:r w:rsidR="004604B1" w:rsidRPr="00FF6388">
        <w:rPr>
          <w:i/>
          <w:color w:val="000000" w:themeColor="text1"/>
          <w:highlight w:val="yellow"/>
        </w:rPr>
        <w:t>port</w:t>
      </w:r>
      <w:r w:rsidR="00FB599F" w:rsidRPr="00FF6388">
        <w:rPr>
          <w:i/>
          <w:color w:val="000000" w:themeColor="text1"/>
          <w:highlight w:val="yellow"/>
        </w:rPr>
        <w:t>;</w:t>
      </w:r>
      <w:r w:rsidR="004604B1" w:rsidRPr="00FF6388">
        <w:rPr>
          <w:i/>
          <w:color w:val="000000" w:themeColor="text1"/>
          <w:highlight w:val="yellow"/>
        </w:rPr>
        <w:t xml:space="preserve"> </w:t>
      </w:r>
      <w:r w:rsidR="004A77B0" w:rsidRPr="00FF6388">
        <w:rPr>
          <w:i/>
          <w:color w:val="000000" w:themeColor="text1"/>
          <w:highlight w:val="yellow"/>
        </w:rPr>
        <w:t>Attachment A</w:t>
      </w:r>
      <w:r w:rsidR="002863B9" w:rsidRPr="00FF6388">
        <w:rPr>
          <w:i/>
          <w:color w:val="000000" w:themeColor="text1"/>
          <w:highlight w:val="yellow"/>
        </w:rPr>
        <w:t>.2-</w:t>
      </w:r>
      <w:r w:rsidR="009500DA" w:rsidRPr="00FF6388">
        <w:rPr>
          <w:i/>
          <w:color w:val="000000" w:themeColor="text1"/>
          <w:highlight w:val="yellow"/>
        </w:rPr>
        <w:t xml:space="preserve">7 </w:t>
      </w:r>
      <w:r w:rsidR="002F0ED4" w:rsidRPr="00FF6388">
        <w:rPr>
          <w:i/>
          <w:color w:val="000000" w:themeColor="text1"/>
          <w:highlight w:val="yellow"/>
        </w:rPr>
        <w:t>Biospecimen Use Annual Progress Report</w:t>
      </w:r>
      <w:r w:rsidR="00DC051B" w:rsidRPr="00FF6388">
        <w:rPr>
          <w:i/>
          <w:color w:val="000000" w:themeColor="text1"/>
          <w:highlight w:val="yellow"/>
        </w:rPr>
        <w:t>)</w:t>
      </w:r>
      <w:r w:rsidRPr="00FF6388">
        <w:rPr>
          <w:color w:val="000000" w:themeColor="text1"/>
          <w:highlight w:val="yellow"/>
        </w:rPr>
        <w:t xml:space="preserve">. </w:t>
      </w:r>
      <w:r w:rsidR="00A66654" w:rsidRPr="00A66654">
        <w:rPr>
          <w:highlight w:val="yellow"/>
        </w:rPr>
        <w:t>Annual reports are a standard reporting tool used by NIH with grants and contracts, and for use of NIH resources such as data and biospecimens.  This requirement will be specified in the material transfer agreement.</w:t>
      </w:r>
      <w:r w:rsidR="00A66654">
        <w:t xml:space="preserve">  </w:t>
      </w:r>
      <w:r w:rsidR="007E1976">
        <w:rPr>
          <w:color w:val="000000" w:themeColor="text1"/>
          <w:highlight w:val="yellow"/>
        </w:rPr>
        <w:t xml:space="preserve"> </w:t>
      </w:r>
      <w:r w:rsidR="00E87D28" w:rsidRPr="00FF6388">
        <w:rPr>
          <w:color w:val="000000" w:themeColor="text1"/>
          <w:highlight w:val="yellow"/>
        </w:rPr>
        <w:t xml:space="preserve">Many of the fields in </w:t>
      </w:r>
      <w:r w:rsidR="00E87D28" w:rsidRPr="00B64C9C">
        <w:rPr>
          <w:highlight w:val="yellow"/>
        </w:rPr>
        <w:t>the Annual Progress Report will be auto-populated by the system.</w:t>
      </w:r>
    </w:p>
    <w:p w14:paraId="497DC054" w14:textId="77777777" w:rsidR="009A49A3" w:rsidRPr="00F73C10" w:rsidRDefault="009A49A3" w:rsidP="00F73C10">
      <w:bookmarkStart w:id="21" w:name="_Hlk497726618"/>
      <w:r w:rsidRPr="00F73C10">
        <w:t xml:space="preserve">The information collected is limited to the essential data required to ensure the management of Users in NICHD DASH is efficient and the sharing of data </w:t>
      </w:r>
      <w:r w:rsidRPr="00B64C9C">
        <w:rPr>
          <w:highlight w:val="yellow"/>
        </w:rPr>
        <w:t>and biospecimens</w:t>
      </w:r>
      <w:r w:rsidRPr="00F73C10">
        <w:t xml:space="preserve"> among investigators is effective. The primary uses of the information collected </w:t>
      </w:r>
      <w:r w:rsidR="00D52F20">
        <w:t>from Users</w:t>
      </w:r>
      <w:r w:rsidR="004D4107">
        <w:t xml:space="preserve"> </w:t>
      </w:r>
      <w:r w:rsidRPr="00F73C10">
        <w:t>by NICHD will be to:</w:t>
      </w:r>
      <w:bookmarkEnd w:id="21"/>
    </w:p>
    <w:p w14:paraId="78483325" w14:textId="77777777" w:rsidR="009A49A3" w:rsidRPr="00862A18" w:rsidRDefault="009A49A3" w:rsidP="009A49A3">
      <w:pPr>
        <w:pStyle w:val="Caption"/>
        <w:numPr>
          <w:ilvl w:val="0"/>
          <w:numId w:val="21"/>
        </w:numPr>
        <w:spacing w:after="0"/>
        <w:rPr>
          <w:b w:val="0"/>
          <w:sz w:val="22"/>
        </w:rPr>
      </w:pPr>
      <w:bookmarkStart w:id="22" w:name="_Hlk497726634"/>
      <w:r w:rsidRPr="00862A18">
        <w:rPr>
          <w:b w:val="0"/>
          <w:sz w:val="22"/>
        </w:rPr>
        <w:t xml:space="preserve">Communicate with the Users </w:t>
      </w:r>
      <w:r w:rsidR="00F73C10">
        <w:rPr>
          <w:b w:val="0"/>
          <w:sz w:val="22"/>
        </w:rPr>
        <w:t>regarding</w:t>
      </w:r>
      <w:r w:rsidRPr="00862A18">
        <w:rPr>
          <w:b w:val="0"/>
          <w:sz w:val="22"/>
        </w:rPr>
        <w:t xml:space="preserve"> data submission</w:t>
      </w:r>
      <w:r>
        <w:rPr>
          <w:b w:val="0"/>
          <w:sz w:val="22"/>
        </w:rPr>
        <w:t xml:space="preserve">, </w:t>
      </w:r>
      <w:r w:rsidRPr="004162EC">
        <w:rPr>
          <w:b w:val="0"/>
          <w:sz w:val="22"/>
        </w:rPr>
        <w:t>data requests</w:t>
      </w:r>
      <w:r w:rsidR="00EB16FC" w:rsidRPr="004162EC">
        <w:rPr>
          <w:b w:val="0"/>
          <w:sz w:val="22"/>
        </w:rPr>
        <w:t xml:space="preserve"> </w:t>
      </w:r>
      <w:r w:rsidR="00F73C10" w:rsidRPr="00B64C9C">
        <w:rPr>
          <w:b w:val="0"/>
          <w:sz w:val="22"/>
          <w:highlight w:val="yellow"/>
        </w:rPr>
        <w:t>and</w:t>
      </w:r>
      <w:r w:rsidRPr="00B64C9C">
        <w:rPr>
          <w:b w:val="0"/>
          <w:sz w:val="22"/>
          <w:highlight w:val="yellow"/>
        </w:rPr>
        <w:t xml:space="preserve"> biospecimen requests</w:t>
      </w:r>
      <w:r w:rsidRPr="00862A18">
        <w:rPr>
          <w:b w:val="0"/>
          <w:sz w:val="22"/>
        </w:rPr>
        <w:t xml:space="preserve"> </w:t>
      </w:r>
    </w:p>
    <w:p w14:paraId="04DEF7E6" w14:textId="77777777" w:rsidR="009A49A3" w:rsidRPr="00862A18" w:rsidRDefault="009A49A3" w:rsidP="009A49A3">
      <w:pPr>
        <w:pStyle w:val="Caption"/>
        <w:numPr>
          <w:ilvl w:val="0"/>
          <w:numId w:val="21"/>
        </w:numPr>
        <w:spacing w:after="0"/>
        <w:rPr>
          <w:b w:val="0"/>
          <w:sz w:val="22"/>
        </w:rPr>
      </w:pPr>
      <w:r w:rsidRPr="00862A18">
        <w:rPr>
          <w:b w:val="0"/>
          <w:sz w:val="22"/>
        </w:rPr>
        <w:t>Monitor data submissions</w:t>
      </w:r>
      <w:r>
        <w:rPr>
          <w:b w:val="0"/>
          <w:sz w:val="22"/>
        </w:rPr>
        <w:t xml:space="preserve">, </w:t>
      </w:r>
      <w:r w:rsidRPr="00862A18">
        <w:rPr>
          <w:b w:val="0"/>
          <w:sz w:val="22"/>
        </w:rPr>
        <w:t>data requests</w:t>
      </w:r>
      <w:r>
        <w:rPr>
          <w:b w:val="0"/>
          <w:sz w:val="22"/>
        </w:rPr>
        <w:t xml:space="preserve"> </w:t>
      </w:r>
      <w:r w:rsidRPr="00B64C9C">
        <w:rPr>
          <w:b w:val="0"/>
          <w:sz w:val="22"/>
          <w:highlight w:val="yellow"/>
        </w:rPr>
        <w:t>and biospecimen requests</w:t>
      </w:r>
    </w:p>
    <w:p w14:paraId="78D8E3EE" w14:textId="77777777" w:rsidR="009A49A3" w:rsidRDefault="009A49A3" w:rsidP="009A49A3">
      <w:pPr>
        <w:pStyle w:val="Caption"/>
        <w:numPr>
          <w:ilvl w:val="0"/>
          <w:numId w:val="21"/>
        </w:numPr>
        <w:spacing w:after="0"/>
        <w:rPr>
          <w:b w:val="0"/>
          <w:sz w:val="22"/>
        </w:rPr>
      </w:pPr>
      <w:r w:rsidRPr="00862A18">
        <w:rPr>
          <w:b w:val="0"/>
          <w:sz w:val="22"/>
        </w:rPr>
        <w:t xml:space="preserve">Notify interested </w:t>
      </w:r>
      <w:r w:rsidR="00F73C10">
        <w:rPr>
          <w:b w:val="0"/>
          <w:sz w:val="22"/>
        </w:rPr>
        <w:t xml:space="preserve">Users </w:t>
      </w:r>
      <w:r w:rsidRPr="00862A18">
        <w:rPr>
          <w:b w:val="0"/>
          <w:sz w:val="22"/>
        </w:rPr>
        <w:t xml:space="preserve">of updates to data </w:t>
      </w:r>
      <w:r w:rsidRPr="00B64C9C">
        <w:rPr>
          <w:b w:val="0"/>
          <w:sz w:val="22"/>
          <w:highlight w:val="yellow"/>
        </w:rPr>
        <w:t>and biospecimen</w:t>
      </w:r>
      <w:r w:rsidR="00DC051B" w:rsidRPr="00B64C9C">
        <w:rPr>
          <w:b w:val="0"/>
          <w:sz w:val="22"/>
          <w:highlight w:val="yellow"/>
        </w:rPr>
        <w:t xml:space="preserve"> inventories</w:t>
      </w:r>
      <w:r w:rsidR="00DC051B">
        <w:rPr>
          <w:b w:val="0"/>
          <w:sz w:val="22"/>
        </w:rPr>
        <w:t xml:space="preserve"> </w:t>
      </w:r>
      <w:r w:rsidRPr="00862A18">
        <w:rPr>
          <w:b w:val="0"/>
          <w:sz w:val="22"/>
        </w:rPr>
        <w:t>stored in NICHD DASH</w:t>
      </w:r>
    </w:p>
    <w:p w14:paraId="33AD1633" w14:textId="77777777" w:rsidR="009A49A3" w:rsidRPr="004A77B0" w:rsidRDefault="009A49A3" w:rsidP="009A49A3">
      <w:pPr>
        <w:pStyle w:val="Caption"/>
        <w:numPr>
          <w:ilvl w:val="0"/>
          <w:numId w:val="21"/>
        </w:numPr>
        <w:rPr>
          <w:rFonts w:asciiTheme="minorHAnsi" w:hAnsiTheme="minorHAnsi"/>
          <w:b w:val="0"/>
          <w:sz w:val="22"/>
        </w:rPr>
      </w:pPr>
      <w:r>
        <w:rPr>
          <w:b w:val="0"/>
          <w:sz w:val="22"/>
        </w:rPr>
        <w:t>Help</w:t>
      </w:r>
      <w:r w:rsidRPr="002A0651">
        <w:rPr>
          <w:b w:val="0"/>
          <w:sz w:val="22"/>
        </w:rPr>
        <w:t xml:space="preserve"> NI</w:t>
      </w:r>
      <w:r>
        <w:rPr>
          <w:b w:val="0"/>
          <w:sz w:val="22"/>
        </w:rPr>
        <w:t>C</w:t>
      </w:r>
      <w:r w:rsidRPr="002A0651">
        <w:rPr>
          <w:b w:val="0"/>
          <w:sz w:val="22"/>
        </w:rPr>
        <w:t>H</w:t>
      </w:r>
      <w:r>
        <w:rPr>
          <w:b w:val="0"/>
          <w:sz w:val="22"/>
        </w:rPr>
        <w:t>D</w:t>
      </w:r>
      <w:r w:rsidRPr="002A0651">
        <w:rPr>
          <w:b w:val="0"/>
          <w:sz w:val="22"/>
        </w:rPr>
        <w:t xml:space="preserve"> understand the use of NICHD DASH </w:t>
      </w:r>
      <w:r w:rsidR="00EB16FC">
        <w:rPr>
          <w:b w:val="0"/>
          <w:sz w:val="22"/>
        </w:rPr>
        <w:t xml:space="preserve">study </w:t>
      </w:r>
      <w:r w:rsidRPr="002A0651">
        <w:rPr>
          <w:b w:val="0"/>
          <w:sz w:val="22"/>
        </w:rPr>
        <w:t>data</w:t>
      </w:r>
      <w:r w:rsidR="00DC051B">
        <w:rPr>
          <w:b w:val="0"/>
          <w:sz w:val="22"/>
        </w:rPr>
        <w:t xml:space="preserve"> </w:t>
      </w:r>
      <w:r w:rsidR="00DC051B" w:rsidRPr="00B64C9C">
        <w:rPr>
          <w:b w:val="0"/>
          <w:sz w:val="22"/>
          <w:highlight w:val="yellow"/>
        </w:rPr>
        <w:t>and biospecimen inventories</w:t>
      </w:r>
      <w:r w:rsidRPr="002A0651">
        <w:rPr>
          <w:b w:val="0"/>
          <w:sz w:val="22"/>
        </w:rPr>
        <w:t xml:space="preserve"> by the research community</w:t>
      </w:r>
      <w:bookmarkEnd w:id="22"/>
    </w:p>
    <w:p w14:paraId="12397C5F" w14:textId="3B91B873" w:rsidR="009A49A3" w:rsidRPr="004A77B0" w:rsidRDefault="004A77B0" w:rsidP="000C1415">
      <w:pPr>
        <w:pStyle w:val="P1-StandPara"/>
        <w:spacing w:line="276" w:lineRule="auto"/>
        <w:ind w:firstLine="0"/>
        <w:rPr>
          <w:rFonts w:asciiTheme="minorHAnsi" w:hAnsiTheme="minorHAnsi"/>
        </w:rPr>
      </w:pPr>
      <w:r w:rsidRPr="00B64C9C">
        <w:rPr>
          <w:rFonts w:asciiTheme="minorHAnsi" w:hAnsiTheme="minorHAnsi"/>
          <w:color w:val="000000"/>
          <w:highlight w:val="yellow"/>
        </w:rPr>
        <w:t>All the data collected from use of NICHD DASH except for</w:t>
      </w:r>
      <w:r w:rsidR="00190BB3">
        <w:rPr>
          <w:rFonts w:asciiTheme="minorHAnsi" w:hAnsiTheme="minorHAnsi"/>
          <w:color w:val="000000"/>
          <w:highlight w:val="yellow"/>
        </w:rPr>
        <w:t xml:space="preserve"> certain </w:t>
      </w:r>
      <w:r w:rsidRPr="00B64C9C">
        <w:rPr>
          <w:rFonts w:asciiTheme="minorHAnsi" w:hAnsiTheme="minorHAnsi"/>
          <w:color w:val="000000"/>
          <w:highlight w:val="yellow"/>
        </w:rPr>
        <w:t xml:space="preserve">information provided in the </w:t>
      </w:r>
      <w:r w:rsidR="00341560" w:rsidRPr="00B64C9C">
        <w:rPr>
          <w:rFonts w:asciiTheme="minorHAnsi" w:hAnsiTheme="minorHAnsi"/>
          <w:color w:val="000000"/>
          <w:highlight w:val="yellow"/>
        </w:rPr>
        <w:t xml:space="preserve">Annual Progress Reports </w:t>
      </w:r>
      <w:r w:rsidR="003A45F1">
        <w:rPr>
          <w:rFonts w:asciiTheme="minorHAnsi" w:hAnsiTheme="minorHAnsi"/>
          <w:color w:val="000000"/>
          <w:highlight w:val="yellow"/>
        </w:rPr>
        <w:t xml:space="preserve">such as </w:t>
      </w:r>
      <w:r w:rsidR="00190BB3">
        <w:rPr>
          <w:rFonts w:asciiTheme="minorHAnsi" w:hAnsiTheme="minorHAnsi"/>
          <w:color w:val="000000"/>
          <w:highlight w:val="yellow"/>
        </w:rPr>
        <w:t xml:space="preserve">aggregate </w:t>
      </w:r>
      <w:r w:rsidR="003A45F1">
        <w:rPr>
          <w:rFonts w:asciiTheme="minorHAnsi" w:hAnsiTheme="minorHAnsi"/>
          <w:color w:val="000000"/>
          <w:highlight w:val="yellow"/>
        </w:rPr>
        <w:t xml:space="preserve">number of publications or </w:t>
      </w:r>
      <w:r w:rsidR="00190BB3">
        <w:rPr>
          <w:rFonts w:asciiTheme="minorHAnsi" w:hAnsiTheme="minorHAnsi"/>
          <w:color w:val="000000"/>
          <w:highlight w:val="yellow"/>
        </w:rPr>
        <w:t xml:space="preserve">any </w:t>
      </w:r>
      <w:r w:rsidR="003A45F1">
        <w:rPr>
          <w:rFonts w:asciiTheme="minorHAnsi" w:hAnsiTheme="minorHAnsi"/>
          <w:color w:val="000000"/>
          <w:highlight w:val="yellow"/>
        </w:rPr>
        <w:t xml:space="preserve">significant findings from data and biospecimen use, </w:t>
      </w:r>
      <w:r w:rsidRPr="00B64C9C">
        <w:rPr>
          <w:rFonts w:asciiTheme="minorHAnsi" w:hAnsiTheme="minorHAnsi"/>
          <w:color w:val="000000"/>
          <w:highlight w:val="yellow"/>
        </w:rPr>
        <w:t>are for the purposes of internal administrative management of NICHD DASH.</w:t>
      </w:r>
      <w:r w:rsidRPr="0097787B">
        <w:rPr>
          <w:rFonts w:asciiTheme="minorHAnsi" w:hAnsiTheme="minorHAnsi"/>
          <w:color w:val="000000"/>
          <w:highlight w:val="yellow"/>
        </w:rPr>
        <w:t xml:space="preserve"> </w:t>
      </w:r>
      <w:r w:rsidR="003A45F1" w:rsidRPr="0097787B">
        <w:rPr>
          <w:rFonts w:asciiTheme="minorHAnsi" w:hAnsiTheme="minorHAnsi"/>
          <w:color w:val="000000"/>
          <w:highlight w:val="yellow"/>
        </w:rPr>
        <w:t xml:space="preserve">The </w:t>
      </w:r>
      <w:r w:rsidR="00190BB3" w:rsidRPr="0097787B">
        <w:rPr>
          <w:rFonts w:asciiTheme="minorHAnsi" w:hAnsiTheme="minorHAnsi"/>
          <w:color w:val="000000"/>
          <w:highlight w:val="yellow"/>
        </w:rPr>
        <w:t xml:space="preserve">aggregate </w:t>
      </w:r>
      <w:r w:rsidR="003A45F1" w:rsidRPr="0097787B">
        <w:rPr>
          <w:rFonts w:asciiTheme="minorHAnsi" w:hAnsiTheme="minorHAnsi"/>
          <w:color w:val="000000"/>
          <w:highlight w:val="yellow"/>
        </w:rPr>
        <w:t xml:space="preserve">number of publications or significant findings from DASH data or biospecimen reuse </w:t>
      </w:r>
      <w:r w:rsidRPr="0097787B">
        <w:rPr>
          <w:rFonts w:asciiTheme="minorHAnsi" w:hAnsiTheme="minorHAnsi"/>
          <w:color w:val="000000"/>
          <w:highlight w:val="yellow"/>
        </w:rPr>
        <w:t xml:space="preserve">may be used in publications describing </w:t>
      </w:r>
      <w:r w:rsidR="00190BB3" w:rsidRPr="0097787B">
        <w:rPr>
          <w:rFonts w:asciiTheme="minorHAnsi" w:hAnsiTheme="minorHAnsi"/>
          <w:color w:val="000000"/>
          <w:highlight w:val="yellow"/>
        </w:rPr>
        <w:t>value</w:t>
      </w:r>
      <w:r w:rsidRPr="0097787B">
        <w:rPr>
          <w:rFonts w:asciiTheme="minorHAnsi" w:hAnsiTheme="minorHAnsi"/>
          <w:color w:val="000000"/>
          <w:highlight w:val="yellow"/>
        </w:rPr>
        <w:t xml:space="preserve"> of the DASH system</w:t>
      </w:r>
      <w:r w:rsidR="00190BB3" w:rsidRPr="0097787B">
        <w:rPr>
          <w:rFonts w:asciiTheme="minorHAnsi" w:hAnsiTheme="minorHAnsi"/>
          <w:color w:val="000000"/>
          <w:highlight w:val="yellow"/>
        </w:rPr>
        <w:t xml:space="preserve"> for the broader scientific community</w:t>
      </w:r>
      <w:r w:rsidRPr="0097787B">
        <w:rPr>
          <w:rFonts w:asciiTheme="minorHAnsi" w:hAnsiTheme="minorHAnsi"/>
          <w:color w:val="000000"/>
          <w:highlight w:val="yellow"/>
        </w:rPr>
        <w:t>.</w:t>
      </w:r>
      <w:r w:rsidRPr="0097787B">
        <w:rPr>
          <w:rFonts w:asciiTheme="minorHAnsi" w:hAnsiTheme="minorHAnsi"/>
          <w:color w:val="000000"/>
        </w:rPr>
        <w:t xml:space="preserve"> </w:t>
      </w:r>
      <w:r w:rsidR="009A49A3" w:rsidRPr="0097787B">
        <w:rPr>
          <w:rFonts w:asciiTheme="minorHAnsi" w:hAnsiTheme="minorHAnsi"/>
        </w:rPr>
        <w:t xml:space="preserve"> </w:t>
      </w:r>
    </w:p>
    <w:p w14:paraId="4264F3D2" w14:textId="77777777" w:rsidR="00A00CF8" w:rsidRPr="00082051" w:rsidRDefault="00A00CF8" w:rsidP="004C5217">
      <w:pPr>
        <w:pStyle w:val="Heading2"/>
      </w:pPr>
      <w:bookmarkStart w:id="23" w:name="_Toc442286332"/>
      <w:bookmarkStart w:id="24" w:name="_Toc508106938"/>
      <w:r w:rsidRPr="00082051">
        <w:t>A.3</w:t>
      </w:r>
      <w:r w:rsidR="00825984">
        <w:tab/>
      </w:r>
      <w:r w:rsidRPr="00082051">
        <w:t>Use of Information Technology and Burden Reduction</w:t>
      </w:r>
      <w:bookmarkEnd w:id="23"/>
      <w:bookmarkEnd w:id="24"/>
    </w:p>
    <w:p w14:paraId="35EA98AE" w14:textId="3150D6E4" w:rsidR="00417BD6" w:rsidRDefault="00D41B9F" w:rsidP="00AE7879">
      <w:pPr>
        <w:ind w:left="45"/>
      </w:pPr>
      <w:bookmarkStart w:id="25" w:name="_Toc443881745"/>
      <w:bookmarkStart w:id="26" w:name="_Toc451592234"/>
      <w:bookmarkStart w:id="27" w:name="_Toc5610275"/>
      <w:bookmarkStart w:id="28" w:name="_Toc99178781"/>
      <w:r>
        <w:t xml:space="preserve">User information collected in </w:t>
      </w:r>
      <w:r w:rsidR="00AE7879" w:rsidRPr="00AE7879">
        <w:t>NIC</w:t>
      </w:r>
      <w:r w:rsidR="004C3851">
        <w:t>HD DASH will</w:t>
      </w:r>
      <w:r>
        <w:t xml:space="preserve"> be through the </w:t>
      </w:r>
      <w:r w:rsidR="00AE7879" w:rsidRPr="00AE7879">
        <w:t xml:space="preserve">web-based portal that enables Users to </w:t>
      </w:r>
      <w:r w:rsidR="004C3851">
        <w:t xml:space="preserve">electronically register for an account, </w:t>
      </w:r>
      <w:r w:rsidR="00AE7879" w:rsidRPr="00AE7879">
        <w:t>request data access</w:t>
      </w:r>
      <w:r w:rsidR="004C3851">
        <w:t>,</w:t>
      </w:r>
      <w:r w:rsidR="00EF18A7">
        <w:t xml:space="preserve"> </w:t>
      </w:r>
      <w:r w:rsidR="00EF18A7" w:rsidRPr="00B64C9C">
        <w:rPr>
          <w:highlight w:val="yellow"/>
        </w:rPr>
        <w:t xml:space="preserve">request </w:t>
      </w:r>
      <w:r w:rsidR="00660117" w:rsidRPr="00B64C9C">
        <w:rPr>
          <w:highlight w:val="yellow"/>
        </w:rPr>
        <w:t>biospecimens</w:t>
      </w:r>
      <w:r w:rsidR="00EF18A7">
        <w:t>,</w:t>
      </w:r>
      <w:r w:rsidR="004C3851">
        <w:t xml:space="preserve"> submit data</w:t>
      </w:r>
      <w:r w:rsidR="004D4107" w:rsidRPr="00B64C9C">
        <w:rPr>
          <w:highlight w:val="yellow"/>
        </w:rPr>
        <w:t>, and submit biospecimen inventories</w:t>
      </w:r>
      <w:r w:rsidR="00AE7879" w:rsidRPr="00B64C9C">
        <w:rPr>
          <w:highlight w:val="yellow"/>
        </w:rPr>
        <w:t>.</w:t>
      </w:r>
      <w:r w:rsidR="00AE7879" w:rsidRPr="00AE7879">
        <w:t xml:space="preserve"> </w:t>
      </w:r>
      <w:r w:rsidR="009C79AD">
        <w:t xml:space="preserve">User accounts will be automatically </w:t>
      </w:r>
      <w:r w:rsidR="00E31200">
        <w:t>generated.</w:t>
      </w:r>
      <w:r w:rsidR="00417BD6">
        <w:t xml:space="preserve"> If the User who registers in the system is </w:t>
      </w:r>
      <w:r w:rsidR="00DC051B">
        <w:t xml:space="preserve">the </w:t>
      </w:r>
      <w:r w:rsidR="00417BD6">
        <w:t xml:space="preserve">same as the Submitter or Requestor, the system will auto-populate the User information fields from the registration page minimizing the burden on the User. Similarly, any study information field that recurs in the system will be auto-populated from prior entry. </w:t>
      </w:r>
      <w:r w:rsidR="002E63F4" w:rsidRPr="00B64C9C">
        <w:rPr>
          <w:highlight w:val="yellow"/>
        </w:rPr>
        <w:t xml:space="preserve">For the annual progress reports, </w:t>
      </w:r>
      <w:r w:rsidR="00A068DF" w:rsidRPr="00B64C9C">
        <w:rPr>
          <w:highlight w:val="yellow"/>
        </w:rPr>
        <w:t>t</w:t>
      </w:r>
      <w:r w:rsidR="00D571C2" w:rsidRPr="00B64C9C">
        <w:rPr>
          <w:highlight w:val="yellow"/>
        </w:rPr>
        <w:t>he system will auto-populate the research plan, affiliates, collaborators and associates fields from the data or specimen request to minimize the burden on the User</w:t>
      </w:r>
      <w:r w:rsidR="00D571C2">
        <w:t>. NICHD DASH is designed such that Users will not be asked to enter information more than once in the system.</w:t>
      </w:r>
    </w:p>
    <w:p w14:paraId="03F01971" w14:textId="77777777" w:rsidR="00F74737" w:rsidRDefault="00417BD6" w:rsidP="00F74737">
      <w:r>
        <w:t xml:space="preserve">A </w:t>
      </w:r>
      <w:r w:rsidRPr="00417BD6">
        <w:t>Privacy Impact Assessment</w:t>
      </w:r>
      <w:r>
        <w:t xml:space="preserve"> (PIA) has been completed for NICHD DASH by the</w:t>
      </w:r>
      <w:r w:rsidR="002A3AFC">
        <w:t xml:space="preserve"> NICHD Privacy Office</w:t>
      </w:r>
      <w:r>
        <w:t xml:space="preserve">. </w:t>
      </w:r>
      <w:r w:rsidR="00F74737">
        <w:t xml:space="preserve">NICHD DASH </w:t>
      </w:r>
      <w:r w:rsidR="00F74737" w:rsidRPr="00AE7879">
        <w:t>will operate in accordance with existing NIH policies and the Federal Privacy Act t</w:t>
      </w:r>
      <w:r w:rsidR="00F74737">
        <w:t>o e</w:t>
      </w:r>
      <w:r w:rsidR="00F74737" w:rsidRPr="00AE7879">
        <w:t>nsure that no sensitive or personally identifiable information, located in federal systems of records</w:t>
      </w:r>
      <w:r w:rsidR="00F74737">
        <w:t xml:space="preserve"> is being shared in violation of these policies. </w:t>
      </w:r>
    </w:p>
    <w:p w14:paraId="2D0CA971" w14:textId="77777777" w:rsidR="00685B30" w:rsidRPr="008942E9" w:rsidRDefault="00685B30" w:rsidP="004C5217">
      <w:pPr>
        <w:pStyle w:val="Heading2"/>
      </w:pPr>
      <w:bookmarkStart w:id="29" w:name="_Toc442286333"/>
      <w:bookmarkStart w:id="30" w:name="_Toc508106939"/>
      <w:r w:rsidRPr="008942E9">
        <w:t>A.4</w:t>
      </w:r>
      <w:r w:rsidRPr="008942E9">
        <w:tab/>
        <w:t xml:space="preserve">Efforts to </w:t>
      </w:r>
      <w:r w:rsidRPr="00082051">
        <w:t>Identify</w:t>
      </w:r>
      <w:r w:rsidRPr="008942E9">
        <w:t xml:space="preserve"> Duplication and Use of Similar Information</w:t>
      </w:r>
      <w:bookmarkEnd w:id="25"/>
      <w:bookmarkEnd w:id="26"/>
      <w:bookmarkEnd w:id="27"/>
      <w:bookmarkEnd w:id="28"/>
      <w:bookmarkEnd w:id="29"/>
      <w:bookmarkEnd w:id="30"/>
    </w:p>
    <w:p w14:paraId="59CD2007" w14:textId="77777777" w:rsidR="00AE7879" w:rsidRPr="00AE7879" w:rsidRDefault="00C80EC5" w:rsidP="00AE7879">
      <w:bookmarkStart w:id="31" w:name="_Toc443881746"/>
      <w:bookmarkStart w:id="32" w:name="_Toc451592235"/>
      <w:bookmarkStart w:id="33" w:name="_Toc5610276"/>
      <w:bookmarkStart w:id="34" w:name="_Toc99178782"/>
      <w:r>
        <w:t>NICHD DASH is primarily a resource for the biomedical research community that includes both NICHD funded and non-funded investigators. Information collected from these Users is not available in any other systems or federal records; hence this data collection is unique.</w:t>
      </w:r>
      <w:r w:rsidR="00234057">
        <w:t xml:space="preserve">  </w:t>
      </w:r>
    </w:p>
    <w:p w14:paraId="2D528D6D" w14:textId="77777777" w:rsidR="00685B30" w:rsidRPr="00082051" w:rsidRDefault="00685B30" w:rsidP="004C5217">
      <w:pPr>
        <w:pStyle w:val="Heading2"/>
      </w:pPr>
      <w:bookmarkStart w:id="35" w:name="_Toc442286334"/>
      <w:bookmarkStart w:id="36" w:name="_Toc508106940"/>
      <w:r w:rsidRPr="00082051">
        <w:t>A.5</w:t>
      </w:r>
      <w:r w:rsidRPr="00082051">
        <w:tab/>
        <w:t>Impact on Small Businesses or Other Small Entities</w:t>
      </w:r>
      <w:bookmarkEnd w:id="31"/>
      <w:bookmarkEnd w:id="32"/>
      <w:bookmarkEnd w:id="33"/>
      <w:bookmarkEnd w:id="34"/>
      <w:bookmarkEnd w:id="35"/>
      <w:bookmarkEnd w:id="36"/>
    </w:p>
    <w:p w14:paraId="5308631E" w14:textId="77777777" w:rsidR="004231A6" w:rsidRPr="00953199" w:rsidRDefault="004231A6" w:rsidP="004231A6">
      <w:bookmarkStart w:id="37" w:name="_Toc443881747"/>
      <w:bookmarkStart w:id="38" w:name="_Toc451592236"/>
      <w:bookmarkStart w:id="39" w:name="_Toc5610277"/>
      <w:bookmarkStart w:id="40" w:name="_Toc99178783"/>
      <w:r w:rsidRPr="00953199">
        <w:t>No small businesses will be involved in this study.</w:t>
      </w:r>
    </w:p>
    <w:p w14:paraId="03CF4B8C" w14:textId="77777777" w:rsidR="00685B30" w:rsidRPr="00082051" w:rsidRDefault="00685B30" w:rsidP="004C5217">
      <w:pPr>
        <w:pStyle w:val="Heading2"/>
      </w:pPr>
      <w:bookmarkStart w:id="41" w:name="_Toc442286335"/>
      <w:bookmarkStart w:id="42" w:name="_Toc508106941"/>
      <w:r w:rsidRPr="00082051">
        <w:t>A.6</w:t>
      </w:r>
      <w:r w:rsidRPr="00082051">
        <w:tab/>
        <w:t>Consequences of Collecting the Information Less Frequently</w:t>
      </w:r>
      <w:bookmarkEnd w:id="37"/>
      <w:bookmarkEnd w:id="38"/>
      <w:bookmarkEnd w:id="39"/>
      <w:bookmarkEnd w:id="40"/>
      <w:bookmarkEnd w:id="41"/>
      <w:bookmarkEnd w:id="42"/>
    </w:p>
    <w:p w14:paraId="4291DE93" w14:textId="77777777" w:rsidR="00617864" w:rsidRDefault="004B4683" w:rsidP="00663B49">
      <w:r>
        <w:t>Information</w:t>
      </w:r>
      <w:r w:rsidR="00663B49">
        <w:t xml:space="preserve"> will be collected</w:t>
      </w:r>
      <w:r w:rsidR="002F7A78">
        <w:t xml:space="preserve"> only once from</w:t>
      </w:r>
      <w:r w:rsidR="00663B49">
        <w:t xml:space="preserve"> each</w:t>
      </w:r>
      <w:r w:rsidR="00A85FC8">
        <w:t xml:space="preserve"> </w:t>
      </w:r>
      <w:r w:rsidR="00CB4500">
        <w:t>User</w:t>
      </w:r>
      <w:r w:rsidR="00617864">
        <w:t xml:space="preserve"> for each </w:t>
      </w:r>
      <w:r w:rsidR="00617864" w:rsidRPr="004162EC">
        <w:t>study</w:t>
      </w:r>
      <w:r w:rsidR="00DC051B">
        <w:t xml:space="preserve"> data</w:t>
      </w:r>
      <w:r w:rsidR="00617864">
        <w:t xml:space="preserve"> </w:t>
      </w:r>
      <w:r w:rsidR="004D4107" w:rsidRPr="00AE3B22">
        <w:rPr>
          <w:highlight w:val="yellow"/>
        </w:rPr>
        <w:t xml:space="preserve">and biospecimen inventory </w:t>
      </w:r>
      <w:r w:rsidR="00617864" w:rsidRPr="00AE3B22">
        <w:rPr>
          <w:highlight w:val="yellow"/>
        </w:rPr>
        <w:t>submission</w:t>
      </w:r>
      <w:r w:rsidR="00820245">
        <w:t>,</w:t>
      </w:r>
      <w:r w:rsidR="004D4107">
        <w:t xml:space="preserve"> and </w:t>
      </w:r>
      <w:r w:rsidR="00DC051B" w:rsidRPr="004162EC">
        <w:t>study</w:t>
      </w:r>
      <w:r w:rsidR="00DC051B">
        <w:t xml:space="preserve"> </w:t>
      </w:r>
      <w:r w:rsidR="00820245">
        <w:t xml:space="preserve">data </w:t>
      </w:r>
      <w:r w:rsidR="004D4107">
        <w:t>or</w:t>
      </w:r>
      <w:r w:rsidR="00820245">
        <w:t xml:space="preserve"> </w:t>
      </w:r>
      <w:r w:rsidR="00660117">
        <w:t>biospecimen</w:t>
      </w:r>
      <w:r w:rsidR="00820245">
        <w:t xml:space="preserve"> request</w:t>
      </w:r>
      <w:r w:rsidR="00663B49">
        <w:t>.</w:t>
      </w:r>
      <w:r w:rsidR="00617864">
        <w:t xml:space="preserve"> Once entered into NICHD DASH, the system will store the data and </w:t>
      </w:r>
      <w:r w:rsidR="00A15D80">
        <w:t xml:space="preserve">auto-populate </w:t>
      </w:r>
      <w:r w:rsidR="00617864">
        <w:t>when</w:t>
      </w:r>
      <w:r w:rsidR="00CE28B4">
        <w:t xml:space="preserve"> </w:t>
      </w:r>
      <w:r w:rsidR="00617864">
        <w:t xml:space="preserve">the User performs other functions related to the specific study.   </w:t>
      </w:r>
    </w:p>
    <w:p w14:paraId="71148763" w14:textId="2F665F1C" w:rsidR="00663B49" w:rsidRPr="00FF6388" w:rsidRDefault="00663B49" w:rsidP="00663B49">
      <w:pPr>
        <w:rPr>
          <w:color w:val="000000" w:themeColor="text1"/>
        </w:rPr>
      </w:pPr>
      <w:r w:rsidRPr="005A0690">
        <w:t>T</w:t>
      </w:r>
      <w:r>
        <w:t xml:space="preserve">he information requested in NICHD DASH </w:t>
      </w:r>
      <w:r w:rsidR="004B4683">
        <w:t xml:space="preserve">electronic </w:t>
      </w:r>
      <w:r>
        <w:t>forms do</w:t>
      </w:r>
      <w:r w:rsidR="004D4107">
        <w:t>es</w:t>
      </w:r>
      <w:r>
        <w:t xml:space="preserve"> not ask Users</w:t>
      </w:r>
      <w:r w:rsidRPr="005A0690">
        <w:t xml:space="preserve"> to generate any </w:t>
      </w:r>
      <w:r w:rsidR="00CE28B4">
        <w:t xml:space="preserve">new </w:t>
      </w:r>
      <w:r w:rsidR="00591523" w:rsidRPr="005A0690">
        <w:t>information</w:t>
      </w:r>
      <w:r w:rsidR="002F7A78">
        <w:t xml:space="preserve"> other than what they already have available and is </w:t>
      </w:r>
      <w:r w:rsidRPr="005A0690">
        <w:t>fundamental to conducting any research study.</w:t>
      </w:r>
      <w:r w:rsidR="004B4683">
        <w:t xml:space="preserve"> Th</w:t>
      </w:r>
      <w:r w:rsidR="002F7A78">
        <w:t xml:space="preserve">e </w:t>
      </w:r>
      <w:r w:rsidR="004B4683">
        <w:t>information is gathered following a User initiated</w:t>
      </w:r>
      <w:r w:rsidR="00CF661F">
        <w:t>-</w:t>
      </w:r>
      <w:r w:rsidR="004B4683">
        <w:t>request and</w:t>
      </w:r>
      <w:r>
        <w:t xml:space="preserve"> </w:t>
      </w:r>
      <w:r w:rsidR="004B4683">
        <w:t>is</w:t>
      </w:r>
      <w:r>
        <w:t xml:space="preserve"> collected on </w:t>
      </w:r>
      <w:r w:rsidR="00CE28B4">
        <w:t>a</w:t>
      </w:r>
      <w:r>
        <w:t xml:space="preserve"> needed basis. </w:t>
      </w:r>
      <w:r w:rsidR="002B34F4">
        <w:t xml:space="preserve"> </w:t>
      </w:r>
      <w:r w:rsidR="009500DA" w:rsidRPr="00A42BDD">
        <w:rPr>
          <w:color w:val="538135" w:themeColor="accent6" w:themeShade="BF"/>
        </w:rPr>
        <w:t xml:space="preserve"> </w:t>
      </w:r>
      <w:r w:rsidR="002E63F4" w:rsidRPr="00FF6388">
        <w:rPr>
          <w:color w:val="000000" w:themeColor="text1"/>
          <w:highlight w:val="yellow"/>
        </w:rPr>
        <w:t>A</w:t>
      </w:r>
      <w:r w:rsidR="009500DA" w:rsidRPr="00FF6388">
        <w:rPr>
          <w:color w:val="000000" w:themeColor="text1"/>
          <w:highlight w:val="yellow"/>
        </w:rPr>
        <w:t>n Annual Progress Report</w:t>
      </w:r>
      <w:r w:rsidR="00A42BDD" w:rsidRPr="00FF6388">
        <w:rPr>
          <w:color w:val="000000" w:themeColor="text1"/>
          <w:highlight w:val="yellow"/>
        </w:rPr>
        <w:t xml:space="preserve"> </w:t>
      </w:r>
      <w:r w:rsidR="002E63F4" w:rsidRPr="00FF6388">
        <w:rPr>
          <w:color w:val="000000" w:themeColor="text1"/>
          <w:highlight w:val="yellow"/>
        </w:rPr>
        <w:t xml:space="preserve">is necessary to keep track of progress of study data and biospecimen use from NICHD DASH to ensure that research conducted with DASH data and NICHD biospecimens conforms to the </w:t>
      </w:r>
      <w:r w:rsidR="006949BB" w:rsidRPr="00FF6388">
        <w:rPr>
          <w:color w:val="000000" w:themeColor="text1"/>
          <w:highlight w:val="yellow"/>
        </w:rPr>
        <w:t>D</w:t>
      </w:r>
      <w:r w:rsidR="002E63F4" w:rsidRPr="00FF6388">
        <w:rPr>
          <w:color w:val="000000" w:themeColor="text1"/>
          <w:highlight w:val="yellow"/>
        </w:rPr>
        <w:t xml:space="preserve">ata </w:t>
      </w:r>
      <w:r w:rsidR="006949BB" w:rsidRPr="00FF6388">
        <w:rPr>
          <w:color w:val="000000" w:themeColor="text1"/>
          <w:highlight w:val="yellow"/>
        </w:rPr>
        <w:t>U</w:t>
      </w:r>
      <w:r w:rsidR="002E63F4" w:rsidRPr="00FF6388">
        <w:rPr>
          <w:color w:val="000000" w:themeColor="text1"/>
          <w:highlight w:val="yellow"/>
        </w:rPr>
        <w:t xml:space="preserve">se </w:t>
      </w:r>
      <w:r w:rsidR="006949BB" w:rsidRPr="00FF6388">
        <w:rPr>
          <w:color w:val="000000" w:themeColor="text1"/>
          <w:highlight w:val="yellow"/>
        </w:rPr>
        <w:t>A</w:t>
      </w:r>
      <w:r w:rsidR="002E63F4" w:rsidRPr="00FF6388">
        <w:rPr>
          <w:color w:val="000000" w:themeColor="text1"/>
          <w:highlight w:val="yellow"/>
        </w:rPr>
        <w:t>greement</w:t>
      </w:r>
      <w:r w:rsidR="006949BB" w:rsidRPr="00FF6388">
        <w:rPr>
          <w:color w:val="000000" w:themeColor="text1"/>
          <w:highlight w:val="yellow"/>
        </w:rPr>
        <w:t xml:space="preserve"> and the Material Transfer Agreement, respectively</w:t>
      </w:r>
      <w:r w:rsidR="002E63F4" w:rsidRPr="00FF6388">
        <w:rPr>
          <w:color w:val="000000" w:themeColor="text1"/>
        </w:rPr>
        <w:t xml:space="preserve">. </w:t>
      </w:r>
    </w:p>
    <w:p w14:paraId="3B9AE6F0" w14:textId="77777777" w:rsidR="00685B30" w:rsidRPr="00082051" w:rsidRDefault="00E67B10" w:rsidP="004C5217">
      <w:pPr>
        <w:pStyle w:val="Heading2"/>
      </w:pPr>
      <w:bookmarkStart w:id="43" w:name="_Toc443881748"/>
      <w:bookmarkStart w:id="44" w:name="_Toc451592237"/>
      <w:bookmarkStart w:id="45" w:name="_Toc5610278"/>
      <w:bookmarkStart w:id="46" w:name="_Toc99178784"/>
      <w:bookmarkStart w:id="47" w:name="_Toc442286336"/>
      <w:bookmarkStart w:id="48" w:name="_Toc508106942"/>
      <w:r w:rsidRPr="00082051">
        <w:t>A.7</w:t>
      </w:r>
      <w:r w:rsidRPr="00082051">
        <w:tab/>
      </w:r>
      <w:r w:rsidR="00685B30" w:rsidRPr="00082051">
        <w:t xml:space="preserve">Special Circumstances Relating to the Guidelines of 5 </w:t>
      </w:r>
      <w:smartTag w:uri="urn:schemas-microsoft-com:office:smarttags" w:element="stockticker">
        <w:r w:rsidR="00685B30" w:rsidRPr="00082051">
          <w:t>CFR</w:t>
        </w:r>
      </w:smartTag>
      <w:r w:rsidR="00685B30" w:rsidRPr="00082051">
        <w:t xml:space="preserve"> 1320.5</w:t>
      </w:r>
      <w:bookmarkEnd w:id="43"/>
      <w:bookmarkEnd w:id="44"/>
      <w:bookmarkEnd w:id="45"/>
      <w:bookmarkEnd w:id="46"/>
      <w:bookmarkEnd w:id="47"/>
      <w:bookmarkEnd w:id="48"/>
    </w:p>
    <w:p w14:paraId="409A5656" w14:textId="77777777" w:rsidR="00685B30" w:rsidRPr="008942E9" w:rsidRDefault="00443F2D" w:rsidP="00443F2D">
      <w:r>
        <w:t>Not Applicable.</w:t>
      </w:r>
    </w:p>
    <w:p w14:paraId="7BEEF037" w14:textId="77777777" w:rsidR="0036208F" w:rsidRPr="00082051" w:rsidRDefault="00685B30" w:rsidP="004C5217">
      <w:pPr>
        <w:pStyle w:val="Heading2"/>
      </w:pPr>
      <w:bookmarkStart w:id="49" w:name="_Toc442286337"/>
      <w:bookmarkStart w:id="50" w:name="_Toc508106943"/>
      <w:bookmarkStart w:id="51" w:name="_Toc443881749"/>
      <w:bookmarkStart w:id="52" w:name="_Toc451592238"/>
      <w:bookmarkStart w:id="53" w:name="_Toc5610279"/>
      <w:bookmarkStart w:id="54" w:name="_Toc99178785"/>
      <w:r w:rsidRPr="00082051">
        <w:t>A.8</w:t>
      </w:r>
      <w:r w:rsidR="0036208F" w:rsidRPr="00082051">
        <w:t>.1</w:t>
      </w:r>
      <w:r w:rsidR="00825984">
        <w:tab/>
      </w:r>
      <w:r w:rsidRPr="00082051">
        <w:t>Comments in Response to the Federal Register Notice</w:t>
      </w:r>
      <w:bookmarkEnd w:id="49"/>
      <w:bookmarkEnd w:id="50"/>
      <w:r w:rsidRPr="00082051">
        <w:t xml:space="preserve"> </w:t>
      </w:r>
    </w:p>
    <w:bookmarkEnd w:id="51"/>
    <w:bookmarkEnd w:id="52"/>
    <w:bookmarkEnd w:id="53"/>
    <w:bookmarkEnd w:id="54"/>
    <w:p w14:paraId="1882590E" w14:textId="42F8C9C5" w:rsidR="00A3363E" w:rsidRPr="00443F2D" w:rsidRDefault="00443F2D" w:rsidP="00443F2D">
      <w:r w:rsidRPr="00443F2D">
        <w:t>The 60-Day Federal Register notice was published on</w:t>
      </w:r>
      <w:r w:rsidR="006D5837">
        <w:t xml:space="preserve"> </w:t>
      </w:r>
      <w:r w:rsidR="006D5837" w:rsidRPr="006E0FB4">
        <w:rPr>
          <w:highlight w:val="yellow"/>
        </w:rPr>
        <w:t>April 27, 2018</w:t>
      </w:r>
      <w:r w:rsidR="00310766">
        <w:rPr>
          <w:highlight w:val="yellow"/>
        </w:rPr>
        <w:t>, Vol. 83, pg. 18575</w:t>
      </w:r>
      <w:r w:rsidR="00505CEA" w:rsidRPr="006E0FB4">
        <w:rPr>
          <w:highlight w:val="yellow"/>
        </w:rPr>
        <w:t>.  No</w:t>
      </w:r>
      <w:r w:rsidRPr="006E0FB4">
        <w:rPr>
          <w:highlight w:val="yellow"/>
        </w:rPr>
        <w:t xml:space="preserve"> public comments were received</w:t>
      </w:r>
      <w:r w:rsidRPr="00505CEA">
        <w:t>.</w:t>
      </w:r>
      <w:r w:rsidR="00505CEA">
        <w:t xml:space="preserve"> </w:t>
      </w:r>
    </w:p>
    <w:p w14:paraId="5B9F374A" w14:textId="77777777" w:rsidR="0036208F" w:rsidRDefault="0036208F" w:rsidP="004C5217">
      <w:pPr>
        <w:pStyle w:val="Heading2"/>
      </w:pPr>
      <w:bookmarkStart w:id="55" w:name="_Toc442286338"/>
      <w:bookmarkStart w:id="56" w:name="_Toc508106944"/>
      <w:r w:rsidRPr="00082051">
        <w:t>A.8.2</w:t>
      </w:r>
      <w:r w:rsidRPr="00082051">
        <w:tab/>
        <w:t>Efforts to Consult Outside Agency</w:t>
      </w:r>
      <w:bookmarkEnd w:id="55"/>
      <w:bookmarkEnd w:id="56"/>
    </w:p>
    <w:p w14:paraId="0618FD7C" w14:textId="77777777" w:rsidR="00DC504C" w:rsidRDefault="0018396C" w:rsidP="00CD2523">
      <w:r>
        <w:t>During the planning phase of establishing a data archive, t</w:t>
      </w:r>
      <w:r w:rsidR="00CD2523">
        <w:t xml:space="preserve">he NICHD DASH Committee conducted an extensive </w:t>
      </w:r>
      <w:r w:rsidR="00DC504C">
        <w:t xml:space="preserve">feasibility </w:t>
      </w:r>
      <w:r w:rsidR="00CD2523">
        <w:t>analysis of</w:t>
      </w:r>
      <w:r w:rsidR="00016B37">
        <w:t xml:space="preserve"> over 18 </w:t>
      </w:r>
      <w:r w:rsidR="00CD2523">
        <w:t>NIH and external data archives to</w:t>
      </w:r>
      <w:r>
        <w:t xml:space="preserve"> </w:t>
      </w:r>
      <w:r w:rsidR="009E54F2">
        <w:t>determine</w:t>
      </w:r>
      <w:r>
        <w:t xml:space="preserve"> if any of the existing archives would be adequate to meet </w:t>
      </w:r>
      <w:r w:rsidR="00016B37">
        <w:t xml:space="preserve">NICHD’s </w:t>
      </w:r>
      <w:r>
        <w:t xml:space="preserve">data sharing goals. </w:t>
      </w:r>
      <w:r w:rsidR="00016B37">
        <w:t>The NICHD DASH Committee consulted e</w:t>
      </w:r>
      <w:r>
        <w:t xml:space="preserve">xperts </w:t>
      </w:r>
      <w:r w:rsidR="00A15D80">
        <w:t xml:space="preserve">and viewed demonstrations </w:t>
      </w:r>
      <w:r>
        <w:t>from many of the archives</w:t>
      </w:r>
      <w:r w:rsidR="00A15D80">
        <w:t xml:space="preserve">, including </w:t>
      </w:r>
      <w:r w:rsidR="00016B37">
        <w:t>the</w:t>
      </w:r>
      <w:r>
        <w:t xml:space="preserve"> </w:t>
      </w:r>
      <w:r w:rsidRPr="0018396C">
        <w:t>N</w:t>
      </w:r>
      <w:r>
        <w:t>ational Heart Lung and Blood Institute (N</w:t>
      </w:r>
      <w:r w:rsidRPr="0018396C">
        <w:t>HLBI</w:t>
      </w:r>
      <w:r>
        <w:t xml:space="preserve">) </w:t>
      </w:r>
      <w:r w:rsidR="00DC504C" w:rsidRPr="00DC504C">
        <w:t>Biologic Specimen and Data Repository Information Coordinating Center</w:t>
      </w:r>
      <w:r>
        <w:t xml:space="preserve"> (</w:t>
      </w:r>
      <w:r w:rsidRPr="0018396C">
        <w:t>BioLINCC</w:t>
      </w:r>
      <w:r>
        <w:t xml:space="preserve">), </w:t>
      </w:r>
      <w:r w:rsidR="00DC504C">
        <w:t xml:space="preserve">the </w:t>
      </w:r>
      <w:r w:rsidRPr="0018396C">
        <w:t>National Children’s Study</w:t>
      </w:r>
      <w:r>
        <w:t xml:space="preserve"> (NCS</w:t>
      </w:r>
      <w:r w:rsidR="00016B37">
        <w:t xml:space="preserve">), NICHD’s </w:t>
      </w:r>
      <w:r w:rsidR="00016B37" w:rsidRPr="00016B37">
        <w:t>Biospecimen Repository Access and Data Sharing program (BRAD</w:t>
      </w:r>
      <w:r w:rsidR="00016B37">
        <w:t xml:space="preserve">S) and CDC’s </w:t>
      </w:r>
      <w:r w:rsidR="00016B37" w:rsidRPr="00016B37">
        <w:t>National Health and Nutrition Examination Survey (NHANES</w:t>
      </w:r>
      <w:r w:rsidR="00DC504C">
        <w:t xml:space="preserve">). The feasibility analysis included evaluations of the breadth of research data topics and types, ease of data submission and discovery, policies and governance, system scalability and flexibility, </w:t>
      </w:r>
      <w:r w:rsidR="00A15D80">
        <w:t xml:space="preserve">and </w:t>
      </w:r>
      <w:r w:rsidR="00DC504C">
        <w:t xml:space="preserve">advanced functionality such as data analytics and linkage to biospecimens.   </w:t>
      </w:r>
    </w:p>
    <w:p w14:paraId="07C12B3B" w14:textId="77777777" w:rsidR="00685B30" w:rsidRPr="00082051" w:rsidRDefault="00685B30" w:rsidP="004C5217">
      <w:pPr>
        <w:pStyle w:val="Heading2"/>
      </w:pPr>
      <w:bookmarkStart w:id="57" w:name="_Toc442286339"/>
      <w:bookmarkStart w:id="58" w:name="_Toc508106945"/>
      <w:r w:rsidRPr="00082051">
        <w:t>A.9</w:t>
      </w:r>
      <w:r w:rsidRPr="00082051">
        <w:tab/>
        <w:t>Explanation of Any Payment of Gift to Respondents</w:t>
      </w:r>
      <w:bookmarkEnd w:id="57"/>
      <w:bookmarkEnd w:id="58"/>
    </w:p>
    <w:p w14:paraId="18A43E38" w14:textId="77777777" w:rsidR="00443F2D" w:rsidRPr="00953199" w:rsidRDefault="00443F2D" w:rsidP="00443F2D">
      <w:r w:rsidRPr="00953199">
        <w:t xml:space="preserve">No </w:t>
      </w:r>
      <w:r>
        <w:t>incentives</w:t>
      </w:r>
      <w:r w:rsidRPr="00953199">
        <w:t xml:space="preserve"> will be provided to respondents.</w:t>
      </w:r>
    </w:p>
    <w:p w14:paraId="6FF39E44" w14:textId="77777777" w:rsidR="00685B30" w:rsidRPr="00082051" w:rsidRDefault="0024646A" w:rsidP="004C5217">
      <w:pPr>
        <w:pStyle w:val="Heading2"/>
      </w:pPr>
      <w:bookmarkStart w:id="59" w:name="_Toc442286340"/>
      <w:bookmarkStart w:id="60" w:name="_Toc508106946"/>
      <w:r>
        <w:t>A.10</w:t>
      </w:r>
      <w:r>
        <w:tab/>
      </w:r>
      <w:r w:rsidR="00685B30" w:rsidRPr="00082051">
        <w:t>Assurance of Confidentiality Provided to Respondents</w:t>
      </w:r>
      <w:bookmarkEnd w:id="59"/>
      <w:bookmarkEnd w:id="60"/>
    </w:p>
    <w:p w14:paraId="700B922F" w14:textId="77777777" w:rsidR="006646B7" w:rsidRDefault="00443F2D" w:rsidP="00FB5625">
      <w:r>
        <w:t xml:space="preserve">Data collected </w:t>
      </w:r>
      <w:r w:rsidR="000F5819">
        <w:t xml:space="preserve">in </w:t>
      </w:r>
      <w:r w:rsidR="00B17D81">
        <w:t>NICHD DASH</w:t>
      </w:r>
      <w:r>
        <w:t xml:space="preserve"> will be stored and used according to the </w:t>
      </w:r>
      <w:r w:rsidRPr="00FA2D25">
        <w:t>Federal Privacy Act</w:t>
      </w:r>
      <w:r w:rsidR="000F5819">
        <w:t xml:space="preserve"> of 1974</w:t>
      </w:r>
      <w:r>
        <w:t xml:space="preserve">. The Federal Privacy Act ensures that no sensitive or personally identifiable information, located in federal systems of records (e.g., Recipient NIH records), is being shared. </w:t>
      </w:r>
      <w:r w:rsidRPr="00041CEE">
        <w:t>A system of records is any group of records under the control of a federal agency from which information is retrieved by the name of the individual or by some identifying number, symbol, or other identif</w:t>
      </w:r>
      <w:r w:rsidR="009F4144">
        <w:t>ying</w:t>
      </w:r>
      <w:r w:rsidRPr="00041CEE">
        <w:t xml:space="preserve"> particular assigned to the individual. </w:t>
      </w:r>
    </w:p>
    <w:p w14:paraId="06F3FC1B" w14:textId="77777777" w:rsidR="00BB5FE0" w:rsidRDefault="00443F2D" w:rsidP="00FB5625">
      <w:r w:rsidRPr="00041CEE">
        <w:t>The information requested from the</w:t>
      </w:r>
      <w:r>
        <w:t xml:space="preserve"> </w:t>
      </w:r>
      <w:r w:rsidR="004B4683">
        <w:t>User</w:t>
      </w:r>
      <w:r w:rsidR="00B170E1">
        <w:t xml:space="preserve"> seeking to</w:t>
      </w:r>
      <w:r w:rsidR="000F5819">
        <w:t xml:space="preserve"> submit </w:t>
      </w:r>
      <w:r w:rsidR="00CF661F" w:rsidRPr="005A6071">
        <w:t>study</w:t>
      </w:r>
      <w:r w:rsidR="00CF661F">
        <w:t xml:space="preserve"> </w:t>
      </w:r>
      <w:r w:rsidR="00820245">
        <w:t>data</w:t>
      </w:r>
      <w:r w:rsidR="009F4144">
        <w:t xml:space="preserve"> </w:t>
      </w:r>
      <w:r w:rsidR="009F4144" w:rsidRPr="00AE3B22">
        <w:rPr>
          <w:highlight w:val="yellow"/>
        </w:rPr>
        <w:t>and/or biospecimen inventories</w:t>
      </w:r>
      <w:r w:rsidR="00820245" w:rsidRPr="00AE3B22">
        <w:rPr>
          <w:highlight w:val="yellow"/>
        </w:rPr>
        <w:t>,</w:t>
      </w:r>
      <w:r w:rsidR="00820245">
        <w:t xml:space="preserve"> </w:t>
      </w:r>
      <w:r w:rsidR="000F5819">
        <w:t xml:space="preserve">request </w:t>
      </w:r>
      <w:r w:rsidR="00CF661F" w:rsidRPr="005A6071">
        <w:t>study</w:t>
      </w:r>
      <w:r w:rsidR="00CF661F">
        <w:t xml:space="preserve"> </w:t>
      </w:r>
      <w:r w:rsidR="00B170E1">
        <w:t>data</w:t>
      </w:r>
      <w:r w:rsidR="00D817FB">
        <w:t xml:space="preserve"> in NICHD DASH,</w:t>
      </w:r>
      <w:r w:rsidR="009F4144">
        <w:t xml:space="preserve"> and</w:t>
      </w:r>
      <w:r w:rsidR="00D817FB">
        <w:t xml:space="preserve"> </w:t>
      </w:r>
      <w:r w:rsidR="00D817FB" w:rsidRPr="00AE3B22">
        <w:rPr>
          <w:highlight w:val="yellow"/>
        </w:rPr>
        <w:t>request</w:t>
      </w:r>
      <w:r w:rsidR="009F4144" w:rsidRPr="00AE3B22">
        <w:rPr>
          <w:highlight w:val="yellow"/>
        </w:rPr>
        <w:t xml:space="preserve"> </w:t>
      </w:r>
      <w:r w:rsidR="00660117" w:rsidRPr="00AE3B22">
        <w:rPr>
          <w:highlight w:val="yellow"/>
        </w:rPr>
        <w:t>biospecimens</w:t>
      </w:r>
      <w:r w:rsidR="00B170E1" w:rsidRPr="00AE3B22">
        <w:rPr>
          <w:highlight w:val="yellow"/>
        </w:rPr>
        <w:t xml:space="preserve"> </w:t>
      </w:r>
      <w:r w:rsidR="00D817FB" w:rsidRPr="00AE3B22">
        <w:rPr>
          <w:highlight w:val="yellow"/>
        </w:rPr>
        <w:t>through</w:t>
      </w:r>
      <w:r w:rsidR="000F5819" w:rsidRPr="00AE3B22">
        <w:rPr>
          <w:highlight w:val="yellow"/>
        </w:rPr>
        <w:t xml:space="preserve"> </w:t>
      </w:r>
      <w:r w:rsidR="00B170E1" w:rsidRPr="00AE3B22">
        <w:rPr>
          <w:highlight w:val="yellow"/>
        </w:rPr>
        <w:t xml:space="preserve">NICHD DASH </w:t>
      </w:r>
      <w:r w:rsidR="00F0203C" w:rsidRPr="00AE3B22">
        <w:rPr>
          <w:highlight w:val="yellow"/>
        </w:rPr>
        <w:t xml:space="preserve">available from the </w:t>
      </w:r>
      <w:r w:rsidR="00D817FB" w:rsidRPr="00AE3B22">
        <w:rPr>
          <w:highlight w:val="yellow"/>
        </w:rPr>
        <w:t xml:space="preserve">NICHD </w:t>
      </w:r>
      <w:r w:rsidR="00F0203C" w:rsidRPr="00AE3B22">
        <w:rPr>
          <w:highlight w:val="yellow"/>
        </w:rPr>
        <w:t>B</w:t>
      </w:r>
      <w:r w:rsidR="00D817FB" w:rsidRPr="00AE3B22">
        <w:rPr>
          <w:highlight w:val="yellow"/>
        </w:rPr>
        <w:t>iorepository</w:t>
      </w:r>
      <w:r w:rsidR="00D817FB">
        <w:t xml:space="preserve"> </w:t>
      </w:r>
      <w:r w:rsidRPr="00041CEE">
        <w:t xml:space="preserve">may be </w:t>
      </w:r>
      <w:r w:rsidR="00655F26" w:rsidRPr="00655F26">
        <w:t xml:space="preserve">made public in part or in whole </w:t>
      </w:r>
      <w:r w:rsidRPr="00041CEE">
        <w:t>for tracking and reporting purposes.</w:t>
      </w:r>
      <w:r w:rsidR="009F4144">
        <w:t xml:space="preserve"> A </w:t>
      </w:r>
      <w:r w:rsidR="00DD3BB8" w:rsidRPr="00DD3BB8">
        <w:t>Privacy Impact Assessment (PIA) has been completed for NICHD DASH by the NICHD Privacy Office. NICHD DASH will operate in accordance with existing NIH policies and the Federal Privacy Act to ensure that no sensitive or personally identifiable information, located in federal systems of records is being shared in violation of these policies.</w:t>
      </w:r>
      <w:r w:rsidRPr="00041CEE">
        <w:t xml:space="preserve"> </w:t>
      </w:r>
    </w:p>
    <w:p w14:paraId="591B41FE" w14:textId="77777777" w:rsidR="00D23B35" w:rsidRDefault="00D817FB" w:rsidP="00FB5625">
      <w:r w:rsidRPr="005A6071">
        <w:rPr>
          <w:b/>
        </w:rPr>
        <w:t>Study</w:t>
      </w:r>
      <w:r>
        <w:rPr>
          <w:b/>
        </w:rPr>
        <w:t xml:space="preserve"> d</w:t>
      </w:r>
      <w:r w:rsidR="00BB5FE0" w:rsidRPr="00BB5FE0">
        <w:rPr>
          <w:b/>
        </w:rPr>
        <w:t xml:space="preserve">ata </w:t>
      </w:r>
      <w:r w:rsidR="0022205C" w:rsidRPr="00AE3B22">
        <w:rPr>
          <w:b/>
          <w:highlight w:val="yellow"/>
        </w:rPr>
        <w:t>and/</w:t>
      </w:r>
      <w:r w:rsidR="009F4144" w:rsidRPr="00AE3B22">
        <w:rPr>
          <w:b/>
          <w:highlight w:val="yellow"/>
        </w:rPr>
        <w:t>or biospecimen inventory</w:t>
      </w:r>
      <w:r w:rsidR="009F4144">
        <w:rPr>
          <w:b/>
        </w:rPr>
        <w:t xml:space="preserve"> </w:t>
      </w:r>
      <w:r w:rsidR="00BB5FE0" w:rsidRPr="00BB5FE0">
        <w:rPr>
          <w:b/>
        </w:rPr>
        <w:t>submitt</w:t>
      </w:r>
      <w:r w:rsidR="00BB5FE0">
        <w:rPr>
          <w:b/>
        </w:rPr>
        <w:t>ers</w:t>
      </w:r>
      <w:r w:rsidR="00BB5FE0">
        <w:t xml:space="preserve"> </w:t>
      </w:r>
      <w:r w:rsidR="00BB5FE0" w:rsidRPr="00BB5FE0">
        <w:t xml:space="preserve">through an Institutional Certification </w:t>
      </w:r>
      <w:r w:rsidR="00306B7C">
        <w:t xml:space="preserve">are </w:t>
      </w:r>
      <w:r w:rsidR="00BB5FE0">
        <w:t xml:space="preserve">required to </w:t>
      </w:r>
      <w:r w:rsidR="00BB5FE0" w:rsidRPr="00BB5FE0">
        <w:t xml:space="preserve">provide assurance that the </w:t>
      </w:r>
      <w:r w:rsidRPr="005A6071">
        <w:t>study</w:t>
      </w:r>
      <w:r>
        <w:t xml:space="preserve"> </w:t>
      </w:r>
      <w:r w:rsidR="00BB5FE0" w:rsidRPr="00BB5FE0">
        <w:t>data</w:t>
      </w:r>
      <w:r>
        <w:t>,</w:t>
      </w:r>
      <w:r w:rsidR="009F4144">
        <w:t xml:space="preserve"> </w:t>
      </w:r>
      <w:r w:rsidR="009F4144" w:rsidRPr="00AE3B22">
        <w:rPr>
          <w:highlight w:val="yellow"/>
        </w:rPr>
        <w:t>biospecimen</w:t>
      </w:r>
      <w:r w:rsidR="0022205C" w:rsidRPr="00AE3B22">
        <w:rPr>
          <w:highlight w:val="yellow"/>
        </w:rPr>
        <w:t xml:space="preserve"> inventory</w:t>
      </w:r>
      <w:r w:rsidRPr="00AE3B22">
        <w:rPr>
          <w:highlight w:val="yellow"/>
        </w:rPr>
        <w:t>, and biospecimen(s)</w:t>
      </w:r>
      <w:r w:rsidR="00BB5FE0" w:rsidRPr="00AE3B22">
        <w:rPr>
          <w:highlight w:val="yellow"/>
        </w:rPr>
        <w:t xml:space="preserve"> ha</w:t>
      </w:r>
      <w:r w:rsidRPr="00AE3B22">
        <w:rPr>
          <w:highlight w:val="yellow"/>
        </w:rPr>
        <w:t>ve</w:t>
      </w:r>
      <w:r w:rsidR="00BB5FE0" w:rsidRPr="00BB5FE0">
        <w:t xml:space="preserve"> been de-identified to the standards set forth in the HHS Regulations for the Protection of Human Subjects and that an Institutional Review Board or Privacy Committe</w:t>
      </w:r>
      <w:r w:rsidR="009F4144">
        <w:t>e has a</w:t>
      </w:r>
      <w:r>
        <w:t xml:space="preserve">ssessed the proposed </w:t>
      </w:r>
      <w:r w:rsidRPr="005A6071">
        <w:t>study</w:t>
      </w:r>
      <w:r>
        <w:t xml:space="preserve"> data, </w:t>
      </w:r>
      <w:r w:rsidR="009F4144" w:rsidRPr="00AE3B22">
        <w:rPr>
          <w:highlight w:val="yellow"/>
        </w:rPr>
        <w:t>biospecimen inventory</w:t>
      </w:r>
      <w:r w:rsidRPr="00AE3B22">
        <w:rPr>
          <w:highlight w:val="yellow"/>
        </w:rPr>
        <w:t>, and biospecimen(s)</w:t>
      </w:r>
      <w:r w:rsidR="00BB5FE0" w:rsidRPr="00BB5FE0">
        <w:t xml:space="preserve"> sharing for risks, privacy considerations, and alignment with </w:t>
      </w:r>
      <w:r w:rsidR="009F4144">
        <w:t xml:space="preserve">the </w:t>
      </w:r>
      <w:r w:rsidR="00BB5FE0" w:rsidRPr="00BB5FE0">
        <w:t xml:space="preserve">informed consent. </w:t>
      </w:r>
      <w:r w:rsidR="009F4144" w:rsidRPr="005A6071">
        <w:t>Study</w:t>
      </w:r>
      <w:r w:rsidR="00BB5FE0" w:rsidRPr="00BB5FE0">
        <w:t xml:space="preserve"> data</w:t>
      </w:r>
      <w:r w:rsidR="0022205C">
        <w:t xml:space="preserve"> </w:t>
      </w:r>
      <w:r w:rsidR="0022205C" w:rsidRPr="00AE3B22">
        <w:rPr>
          <w:highlight w:val="yellow"/>
        </w:rPr>
        <w:t>and/</w:t>
      </w:r>
      <w:r w:rsidR="009F4144" w:rsidRPr="00AE3B22">
        <w:rPr>
          <w:highlight w:val="yellow"/>
        </w:rPr>
        <w:t>or biospecimen inventor</w:t>
      </w:r>
      <w:r w:rsidRPr="00AE3B22">
        <w:rPr>
          <w:highlight w:val="yellow"/>
        </w:rPr>
        <w:t>ies</w:t>
      </w:r>
      <w:r w:rsidR="0022205C">
        <w:t xml:space="preserve"> </w:t>
      </w:r>
      <w:r w:rsidR="00BB5FE0" w:rsidRPr="00BB5FE0">
        <w:t xml:space="preserve">submitted to NICHD DASH will be stored initially in a staging area until the de-identification status is verified by the archive staff and approved by the respective NICHD Division/Branch/Center Chief of the study. Only </w:t>
      </w:r>
      <w:r w:rsidR="00D04A14" w:rsidRPr="005A6071">
        <w:t>study</w:t>
      </w:r>
      <w:r w:rsidR="00D04A14">
        <w:t xml:space="preserve"> </w:t>
      </w:r>
      <w:r w:rsidR="00BB5FE0" w:rsidRPr="00BB5FE0">
        <w:t>data</w:t>
      </w:r>
      <w:r w:rsidR="0022205C">
        <w:t xml:space="preserve"> </w:t>
      </w:r>
      <w:r w:rsidR="0022205C" w:rsidRPr="00AE3B22">
        <w:rPr>
          <w:highlight w:val="yellow"/>
        </w:rPr>
        <w:t>and/or biospecimen inventor</w:t>
      </w:r>
      <w:r w:rsidR="00A443D5" w:rsidRPr="00AE3B22">
        <w:rPr>
          <w:highlight w:val="yellow"/>
        </w:rPr>
        <w:t>ies</w:t>
      </w:r>
      <w:r w:rsidR="00BB5FE0" w:rsidRPr="00BB5FE0">
        <w:t xml:space="preserve"> that ha</w:t>
      </w:r>
      <w:r w:rsidR="00A443D5">
        <w:t>ve</w:t>
      </w:r>
      <w:r w:rsidR="00BB5FE0" w:rsidRPr="00BB5FE0">
        <w:t xml:space="preserve"> been approved</w:t>
      </w:r>
      <w:r w:rsidR="00A15D80">
        <w:t xml:space="preserve"> will be shared </w:t>
      </w:r>
      <w:r w:rsidR="00BB5FE0" w:rsidRPr="00BB5FE0">
        <w:t>with the research community.</w:t>
      </w:r>
    </w:p>
    <w:p w14:paraId="05BF913B" w14:textId="77777777" w:rsidR="00D23B35" w:rsidRDefault="00D817FB" w:rsidP="00D06428">
      <w:r w:rsidRPr="005A6071">
        <w:rPr>
          <w:b/>
        </w:rPr>
        <w:t>Study</w:t>
      </w:r>
      <w:r>
        <w:rPr>
          <w:b/>
        </w:rPr>
        <w:t xml:space="preserve"> d</w:t>
      </w:r>
      <w:r w:rsidR="00156166" w:rsidRPr="00156166">
        <w:rPr>
          <w:b/>
        </w:rPr>
        <w:t>ata</w:t>
      </w:r>
      <w:r w:rsidR="0022205C">
        <w:rPr>
          <w:b/>
        </w:rPr>
        <w:t xml:space="preserve"> </w:t>
      </w:r>
      <w:r w:rsidR="0022205C" w:rsidRPr="00AE3B22">
        <w:rPr>
          <w:b/>
          <w:highlight w:val="yellow"/>
        </w:rPr>
        <w:t>and/or biospecimen</w:t>
      </w:r>
      <w:r w:rsidR="00156166" w:rsidRPr="00AE3B22">
        <w:rPr>
          <w:b/>
          <w:highlight w:val="yellow"/>
        </w:rPr>
        <w:t xml:space="preserve"> requestors</w:t>
      </w:r>
      <w:r w:rsidR="00156166">
        <w:t xml:space="preserve"> through t</w:t>
      </w:r>
      <w:r w:rsidR="00D76656">
        <w:t xml:space="preserve">he NICHD DASH </w:t>
      </w:r>
      <w:r w:rsidR="00443F2D" w:rsidRPr="00041CEE">
        <w:t>D</w:t>
      </w:r>
      <w:r w:rsidR="00D76656">
        <w:t xml:space="preserve">ata Use Agreement </w:t>
      </w:r>
      <w:r w:rsidR="0022205C">
        <w:t>or</w:t>
      </w:r>
      <w:r w:rsidR="00A2286C">
        <w:rPr>
          <w:b/>
        </w:rPr>
        <w:t xml:space="preserve"> </w:t>
      </w:r>
      <w:r w:rsidR="00A2286C">
        <w:t xml:space="preserve">through the </w:t>
      </w:r>
      <w:r w:rsidR="00A2286C" w:rsidRPr="00AE3B22">
        <w:rPr>
          <w:highlight w:val="yellow"/>
        </w:rPr>
        <w:t>NICHD DASH</w:t>
      </w:r>
      <w:r w:rsidR="00A2286C">
        <w:t xml:space="preserve"> </w:t>
      </w:r>
      <w:r w:rsidR="00A2286C" w:rsidRPr="00AE3B22">
        <w:rPr>
          <w:highlight w:val="yellow"/>
        </w:rPr>
        <w:t>Material Transfer Agreement</w:t>
      </w:r>
      <w:r w:rsidR="0022205C">
        <w:t xml:space="preserve"> are</w:t>
      </w:r>
      <w:r w:rsidR="00D76656">
        <w:t xml:space="preserve"> </w:t>
      </w:r>
      <w:r w:rsidR="00443F2D" w:rsidRPr="00041CEE">
        <w:t>provide</w:t>
      </w:r>
      <w:r w:rsidR="0022205C">
        <w:t>d</w:t>
      </w:r>
      <w:r w:rsidR="00443F2D" w:rsidRPr="00041CEE">
        <w:t xml:space="preserve"> a Privacy Act Notification pursuant to Public Law 93-579, Privacy Act of 1974, 5 U.S.C. Section 552a.</w:t>
      </w:r>
      <w:r w:rsidR="00655F26">
        <w:t xml:space="preserve"> </w:t>
      </w:r>
      <w:r w:rsidR="00443F2D" w:rsidRPr="00041CEE">
        <w:t xml:space="preserve">Authority for the collection of the information requested from </w:t>
      </w:r>
      <w:r w:rsidR="004B4683">
        <w:t>Users</w:t>
      </w:r>
      <w:r w:rsidR="00443F2D" w:rsidRPr="00041CEE">
        <w:t xml:space="preserve">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w:t>
      </w:r>
      <w:r w:rsidR="008B57CE">
        <w:t xml:space="preserve">the Public Health Service Act. </w:t>
      </w:r>
      <w:r w:rsidR="00443F2D" w:rsidRPr="00041CEE">
        <w:t>These records will be maintained in accordance with the Privacy Act System of Record Notice 09-25-0200 (</w:t>
      </w:r>
      <w:hyperlink r:id="rId18" w:history="1">
        <w:r w:rsidR="00443F2D" w:rsidRPr="008B57CE">
          <w:rPr>
            <w:rStyle w:val="Hyperlink"/>
          </w:rPr>
          <w:t>http://oma.od.nih.gov/public/ms/privacy/pafiles/0200.htm</w:t>
        </w:r>
      </w:hyperlink>
      <w:r w:rsidR="00443F2D" w:rsidRPr="00041CEE">
        <w:t>) covering “Clinical, Basic and Population-based Research Studies of the National Institutes of Health (N</w:t>
      </w:r>
      <w:r w:rsidR="008B57CE">
        <w:t>IH), HHS/NIH/OD”.</w:t>
      </w:r>
      <w:r w:rsidR="00685B30" w:rsidRPr="008942E9">
        <w:tab/>
      </w:r>
    </w:p>
    <w:p w14:paraId="213343C0" w14:textId="77777777" w:rsidR="00685B30" w:rsidRPr="008942E9" w:rsidRDefault="00D23B35" w:rsidP="004C5217">
      <w:pPr>
        <w:pStyle w:val="Heading2"/>
      </w:pPr>
      <w:bookmarkStart w:id="61" w:name="_Toc442286341"/>
      <w:bookmarkStart w:id="62" w:name="_Toc508106947"/>
      <w:r>
        <w:t>A.11</w:t>
      </w:r>
      <w:r>
        <w:tab/>
      </w:r>
      <w:r w:rsidR="00685B30" w:rsidRPr="008942E9">
        <w:t>Justification for Sensitive Questions</w:t>
      </w:r>
      <w:bookmarkEnd w:id="61"/>
      <w:bookmarkEnd w:id="62"/>
    </w:p>
    <w:p w14:paraId="46BAE2E2" w14:textId="77777777" w:rsidR="00106518" w:rsidRDefault="00106518" w:rsidP="008B57CE">
      <w:r>
        <w:t>T</w:t>
      </w:r>
      <w:r w:rsidRPr="00106518">
        <w:t xml:space="preserve">he ‘multi-race’ category </w:t>
      </w:r>
      <w:r w:rsidR="00F82137">
        <w:t xml:space="preserve">question </w:t>
      </w:r>
      <w:r>
        <w:t>in the Data Submission Form</w:t>
      </w:r>
      <w:r w:rsidR="0022205C">
        <w:t xml:space="preserve"> </w:t>
      </w:r>
      <w:r w:rsidR="00F82137">
        <w:t xml:space="preserve">is of </w:t>
      </w:r>
      <w:r>
        <w:t xml:space="preserve">sensitive nature but </w:t>
      </w:r>
      <w:r w:rsidR="00187A1E">
        <w:t xml:space="preserve">it is included </w:t>
      </w:r>
      <w:r w:rsidRPr="00106518">
        <w:t xml:space="preserve">because DASH is an archive for </w:t>
      </w:r>
      <w:r>
        <w:t xml:space="preserve">storing </w:t>
      </w:r>
      <w:r w:rsidR="005B3897" w:rsidRPr="005A6071">
        <w:t>study</w:t>
      </w:r>
      <w:r w:rsidR="005B3897">
        <w:t xml:space="preserve"> </w:t>
      </w:r>
      <w:r w:rsidRPr="00106518">
        <w:t>data</w:t>
      </w:r>
      <w:r w:rsidR="005B3897">
        <w:t xml:space="preserve"> </w:t>
      </w:r>
      <w:r w:rsidR="005B3897" w:rsidRPr="00AE3B22">
        <w:rPr>
          <w:highlight w:val="yellow"/>
        </w:rPr>
        <w:t>and biospecimen inventories</w:t>
      </w:r>
      <w:r w:rsidRPr="00106518">
        <w:t xml:space="preserve"> from</w:t>
      </w:r>
      <w:r>
        <w:t xml:space="preserve"> NICHD funded</w:t>
      </w:r>
      <w:r w:rsidRPr="00106518">
        <w:t xml:space="preserve"> studies</w:t>
      </w:r>
      <w:r>
        <w:t xml:space="preserve"> that have been completed, including those </w:t>
      </w:r>
      <w:r w:rsidRPr="00106518">
        <w:t>conducted prior to 1977</w:t>
      </w:r>
      <w:r>
        <w:t>,</w:t>
      </w:r>
      <w:r w:rsidR="00FB0D59">
        <w:t xml:space="preserve"> when </w:t>
      </w:r>
      <w:r w:rsidR="00FB0D59" w:rsidRPr="00106518">
        <w:t>OMB defined new race standards and eliminated the ‘multi-race’ category</w:t>
      </w:r>
      <w:r w:rsidR="00FB0D59">
        <w:t xml:space="preserve">. NICHD </w:t>
      </w:r>
      <w:r w:rsidR="00FB0D59" w:rsidRPr="00106518">
        <w:t xml:space="preserve">DASH preserves the originally collected </w:t>
      </w:r>
      <w:r w:rsidR="0022205C">
        <w:t xml:space="preserve">study </w:t>
      </w:r>
      <w:r w:rsidR="00FB0D59" w:rsidRPr="00106518">
        <w:t>data</w:t>
      </w:r>
      <w:r w:rsidR="0022205C">
        <w:t xml:space="preserve"> </w:t>
      </w:r>
      <w:r w:rsidR="0022205C" w:rsidRPr="00AE3B22">
        <w:rPr>
          <w:highlight w:val="yellow"/>
        </w:rPr>
        <w:t>and/or biospecimen</w:t>
      </w:r>
      <w:r w:rsidR="00FB0D59" w:rsidRPr="00106518">
        <w:t xml:space="preserve"> </w:t>
      </w:r>
      <w:r w:rsidR="00187A1E">
        <w:t>‘</w:t>
      </w:r>
      <w:r w:rsidR="00FB0D59" w:rsidRPr="00106518">
        <w:t>as is</w:t>
      </w:r>
      <w:r w:rsidR="00187A1E">
        <w:t>’</w:t>
      </w:r>
      <w:r w:rsidR="00FB0D59" w:rsidRPr="00106518">
        <w:t xml:space="preserve"> and does not manipulate any of the fields</w:t>
      </w:r>
      <w:r w:rsidR="00FB0D59">
        <w:t xml:space="preserve">. Therefore, NICHD DASH system will </w:t>
      </w:r>
      <w:r w:rsidR="00187A1E">
        <w:t xml:space="preserve">need to </w:t>
      </w:r>
      <w:r w:rsidR="00FB0D59">
        <w:t>reflect race categories that these older studies used.</w:t>
      </w:r>
    </w:p>
    <w:p w14:paraId="153A06C4" w14:textId="77777777" w:rsidR="00EF71AA" w:rsidRDefault="00FB0D59" w:rsidP="00EF71AA">
      <w:r>
        <w:t>None of the other i</w:t>
      </w:r>
      <w:r w:rsidR="004412E3">
        <w:t xml:space="preserve">nformation </w:t>
      </w:r>
      <w:r w:rsidR="006A2603">
        <w:t xml:space="preserve">collected </w:t>
      </w:r>
      <w:r w:rsidR="00591523">
        <w:t xml:space="preserve">during </w:t>
      </w:r>
      <w:r w:rsidR="005B3897" w:rsidRPr="005A6071">
        <w:t>study</w:t>
      </w:r>
      <w:r w:rsidR="005B3897">
        <w:t xml:space="preserve"> </w:t>
      </w:r>
      <w:r w:rsidR="00591523">
        <w:t>data</w:t>
      </w:r>
      <w:r w:rsidR="0022205C">
        <w:t xml:space="preserve"> </w:t>
      </w:r>
      <w:r w:rsidR="0022205C" w:rsidRPr="00AE3B22">
        <w:rPr>
          <w:highlight w:val="yellow"/>
        </w:rPr>
        <w:t>and/or biospecimen inventory</w:t>
      </w:r>
      <w:r w:rsidR="004412E3" w:rsidRPr="00AE3B22">
        <w:rPr>
          <w:highlight w:val="yellow"/>
        </w:rPr>
        <w:t xml:space="preserve"> submission</w:t>
      </w:r>
      <w:r w:rsidR="00A2286C">
        <w:t xml:space="preserve">, </w:t>
      </w:r>
      <w:r w:rsidR="00591523">
        <w:t>data</w:t>
      </w:r>
      <w:r w:rsidR="0022205C">
        <w:t xml:space="preserve"> </w:t>
      </w:r>
      <w:r w:rsidR="006A2603">
        <w:t xml:space="preserve">request in </w:t>
      </w:r>
      <w:r w:rsidR="008B57CE" w:rsidRPr="008B57CE">
        <w:t>NICHD DASH</w:t>
      </w:r>
      <w:r w:rsidR="005B3897">
        <w:t xml:space="preserve">, </w:t>
      </w:r>
      <w:r w:rsidR="005B3897" w:rsidRPr="00AE3B22">
        <w:rPr>
          <w:highlight w:val="yellow"/>
        </w:rPr>
        <w:t>or biospecimen request through DASH for biospecimens available in the NICHD Biorepository</w:t>
      </w:r>
      <w:r w:rsidR="008B57CE" w:rsidRPr="008B57CE">
        <w:t xml:space="preserve"> </w:t>
      </w:r>
      <w:r w:rsidR="006A2603">
        <w:t xml:space="preserve">include </w:t>
      </w:r>
      <w:r w:rsidR="008B57CE" w:rsidRPr="008B57CE">
        <w:t xml:space="preserve">questions of a sensitive nature, such as </w:t>
      </w:r>
      <w:r w:rsidR="00D154F9">
        <w:t xml:space="preserve">salary, Social Security number, use of alcohol or drugs, </w:t>
      </w:r>
      <w:r w:rsidR="008B57CE" w:rsidRPr="008B57CE">
        <w:t>sexual behavior and attitudes, religious beliefs, and other matters that are commonly considered private</w:t>
      </w:r>
      <w:r w:rsidR="00D154F9">
        <w:t>.</w:t>
      </w:r>
      <w:r w:rsidR="008B57CE" w:rsidRPr="008B57CE">
        <w:t xml:space="preserve"> </w:t>
      </w:r>
      <w:bookmarkStart w:id="63" w:name="_Toc442286342"/>
      <w:bookmarkStart w:id="64" w:name="_Toc508106948"/>
    </w:p>
    <w:p w14:paraId="321B3044" w14:textId="77777777" w:rsidR="00EF71AA" w:rsidRDefault="00EF71AA" w:rsidP="00EF71AA"/>
    <w:p w14:paraId="09FFDB31" w14:textId="6E223A15" w:rsidR="00D04A14" w:rsidRDefault="00685B30" w:rsidP="00EF71AA">
      <w:r w:rsidRPr="00E35DD1">
        <w:t>A.12</w:t>
      </w:r>
      <w:r w:rsidR="00BF491C">
        <w:t>.1</w:t>
      </w:r>
      <w:r w:rsidRPr="00E35DD1">
        <w:tab/>
      </w:r>
      <w:r w:rsidR="000C005A" w:rsidRPr="00AE3B22">
        <w:rPr>
          <w:highlight w:val="yellow"/>
        </w:rPr>
        <w:t>Estimates of Hour Burden Including Annualized Hourly Costs</w:t>
      </w:r>
      <w:bookmarkEnd w:id="63"/>
      <w:bookmarkEnd w:id="64"/>
    </w:p>
    <w:p w14:paraId="37889F39" w14:textId="77777777" w:rsidR="008907A5" w:rsidRPr="008907A5" w:rsidRDefault="008907A5" w:rsidP="008907A5">
      <w:pPr>
        <w:pStyle w:val="P1-StandPara"/>
        <w:rPr>
          <w:sz w:val="10"/>
        </w:rPr>
      </w:pPr>
    </w:p>
    <w:tbl>
      <w:tblPr>
        <w:tblW w:w="9753" w:type="dxa"/>
        <w:jc w:val="center"/>
        <w:tblCellMar>
          <w:left w:w="100" w:type="dxa"/>
          <w:right w:w="100" w:type="dxa"/>
        </w:tblCellMar>
        <w:tblLook w:val="0000" w:firstRow="0" w:lastRow="0" w:firstColumn="0" w:lastColumn="0" w:noHBand="0" w:noVBand="0"/>
      </w:tblPr>
      <w:tblGrid>
        <w:gridCol w:w="3927"/>
        <w:gridCol w:w="1388"/>
        <w:gridCol w:w="1385"/>
        <w:gridCol w:w="1572"/>
        <w:gridCol w:w="1481"/>
      </w:tblGrid>
      <w:tr w:rsidR="00FB5625" w:rsidRPr="00026BE6" w14:paraId="361C6668" w14:textId="77777777" w:rsidTr="00C91560">
        <w:trPr>
          <w:cantSplit/>
          <w:trHeight w:val="336"/>
          <w:jc w:val="center"/>
        </w:trPr>
        <w:tc>
          <w:tcPr>
            <w:tcW w:w="9753" w:type="dxa"/>
            <w:gridSpan w:val="5"/>
            <w:tcBorders>
              <w:top w:val="single" w:sz="6" w:space="0" w:color="auto"/>
              <w:left w:val="single" w:sz="6" w:space="0" w:color="auto"/>
              <w:right w:val="single" w:sz="6" w:space="0" w:color="auto"/>
            </w:tcBorders>
            <w:shd w:val="clear" w:color="auto" w:fill="F2F2F2"/>
            <w:vAlign w:val="center"/>
          </w:tcPr>
          <w:p w14:paraId="0F511EEF" w14:textId="77777777" w:rsidR="00FB5625" w:rsidRPr="005E2BD5" w:rsidRDefault="00FB5625" w:rsidP="00723118">
            <w:pPr>
              <w:spacing w:after="0" w:line="240" w:lineRule="auto"/>
              <w:ind w:left="360"/>
              <w:jc w:val="center"/>
              <w:rPr>
                <w:b/>
              </w:rPr>
            </w:pPr>
            <w:r w:rsidRPr="005E2BD5">
              <w:rPr>
                <w:b/>
              </w:rPr>
              <w:t>Annual Burden Hours</w:t>
            </w:r>
            <w:r w:rsidR="009946BB" w:rsidRPr="005E2BD5">
              <w:rPr>
                <w:b/>
              </w:rPr>
              <w:t xml:space="preserve"> Estimate</w:t>
            </w:r>
          </w:p>
        </w:tc>
      </w:tr>
      <w:tr w:rsidR="00FB5625" w:rsidRPr="004954BE" w14:paraId="240E41F0" w14:textId="77777777" w:rsidTr="00CC4710">
        <w:trPr>
          <w:cantSplit/>
          <w:trHeight w:val="403"/>
          <w:jc w:val="center"/>
        </w:trPr>
        <w:tc>
          <w:tcPr>
            <w:tcW w:w="3927" w:type="dxa"/>
            <w:tcBorders>
              <w:top w:val="single" w:sz="6" w:space="0" w:color="auto"/>
              <w:left w:val="single" w:sz="6" w:space="0" w:color="auto"/>
            </w:tcBorders>
            <w:vAlign w:val="center"/>
          </w:tcPr>
          <w:p w14:paraId="7A91645E" w14:textId="77777777" w:rsidR="00FB5625" w:rsidRPr="004954BE" w:rsidRDefault="00FB5625" w:rsidP="005E2BD5">
            <w:pPr>
              <w:spacing w:after="0"/>
              <w:rPr>
                <w:b/>
              </w:rPr>
            </w:pPr>
            <w:r w:rsidRPr="004954BE">
              <w:rPr>
                <w:b/>
              </w:rPr>
              <w:t>Form</w:t>
            </w:r>
          </w:p>
        </w:tc>
        <w:tc>
          <w:tcPr>
            <w:tcW w:w="1388" w:type="dxa"/>
            <w:tcBorders>
              <w:top w:val="single" w:sz="6" w:space="0" w:color="auto"/>
              <w:left w:val="single" w:sz="6" w:space="0" w:color="auto"/>
            </w:tcBorders>
            <w:vAlign w:val="center"/>
          </w:tcPr>
          <w:p w14:paraId="36C45A04" w14:textId="77777777" w:rsidR="00FB5625" w:rsidRPr="005E2BD5" w:rsidRDefault="00FB5625" w:rsidP="005E2BD5">
            <w:pPr>
              <w:spacing w:after="0"/>
              <w:jc w:val="center"/>
              <w:rPr>
                <w:b/>
              </w:rPr>
            </w:pPr>
            <w:r w:rsidRPr="005E2BD5">
              <w:rPr>
                <w:b/>
              </w:rPr>
              <w:t>Number of Respondents</w:t>
            </w:r>
          </w:p>
        </w:tc>
        <w:tc>
          <w:tcPr>
            <w:tcW w:w="1385" w:type="dxa"/>
            <w:tcBorders>
              <w:top w:val="single" w:sz="6" w:space="0" w:color="auto"/>
              <w:left w:val="single" w:sz="6" w:space="0" w:color="auto"/>
            </w:tcBorders>
            <w:vAlign w:val="center"/>
          </w:tcPr>
          <w:p w14:paraId="25BE2CA3" w14:textId="2D7DD396" w:rsidR="00FB5625" w:rsidRPr="004954BE" w:rsidRDefault="00EF2D14" w:rsidP="005E2BD5">
            <w:pPr>
              <w:spacing w:after="0"/>
              <w:jc w:val="center"/>
              <w:rPr>
                <w:b/>
              </w:rPr>
            </w:pPr>
            <w:r>
              <w:rPr>
                <w:b/>
              </w:rPr>
              <w:t>Number of Responses per Respondent</w:t>
            </w:r>
            <w:r w:rsidR="00FB5625" w:rsidRPr="004954BE">
              <w:rPr>
                <w:b/>
              </w:rPr>
              <w:t xml:space="preserve"> </w:t>
            </w:r>
          </w:p>
        </w:tc>
        <w:tc>
          <w:tcPr>
            <w:tcW w:w="1572" w:type="dxa"/>
            <w:tcBorders>
              <w:top w:val="single" w:sz="6" w:space="0" w:color="auto"/>
              <w:left w:val="single" w:sz="6" w:space="0" w:color="auto"/>
            </w:tcBorders>
            <w:vAlign w:val="center"/>
          </w:tcPr>
          <w:p w14:paraId="0BC3333F" w14:textId="77777777" w:rsidR="00FB5625" w:rsidRPr="004954BE" w:rsidRDefault="009946BB" w:rsidP="005E2BD5">
            <w:pPr>
              <w:spacing w:after="0"/>
              <w:jc w:val="center"/>
              <w:rPr>
                <w:b/>
              </w:rPr>
            </w:pPr>
            <w:r>
              <w:rPr>
                <w:b/>
              </w:rPr>
              <w:t>Average Time Per Response (in H</w:t>
            </w:r>
            <w:r w:rsidR="00FB5625" w:rsidRPr="004954BE">
              <w:rPr>
                <w:b/>
              </w:rPr>
              <w:t>ours)</w:t>
            </w:r>
          </w:p>
        </w:tc>
        <w:tc>
          <w:tcPr>
            <w:tcW w:w="1481" w:type="dxa"/>
            <w:tcBorders>
              <w:top w:val="single" w:sz="6" w:space="0" w:color="auto"/>
              <w:left w:val="single" w:sz="6" w:space="0" w:color="auto"/>
              <w:right w:val="single" w:sz="6" w:space="0" w:color="auto"/>
            </w:tcBorders>
            <w:vAlign w:val="center"/>
          </w:tcPr>
          <w:p w14:paraId="5A91BD0B" w14:textId="77777777" w:rsidR="00FB5625" w:rsidRPr="004954BE" w:rsidRDefault="00FB5625" w:rsidP="005E2BD5">
            <w:pPr>
              <w:spacing w:after="0"/>
              <w:jc w:val="center"/>
              <w:rPr>
                <w:b/>
              </w:rPr>
            </w:pPr>
            <w:r w:rsidRPr="004954BE">
              <w:rPr>
                <w:b/>
              </w:rPr>
              <w:t>Total Annual Burden Hour</w:t>
            </w:r>
          </w:p>
        </w:tc>
      </w:tr>
      <w:tr w:rsidR="00FB5625" w:rsidRPr="00026BE6" w14:paraId="01B858E4" w14:textId="77777777" w:rsidTr="00CC4710">
        <w:trPr>
          <w:cantSplit/>
          <w:trHeight w:val="65"/>
          <w:jc w:val="center"/>
        </w:trPr>
        <w:tc>
          <w:tcPr>
            <w:tcW w:w="3927" w:type="dxa"/>
            <w:tcBorders>
              <w:top w:val="single" w:sz="6" w:space="0" w:color="auto"/>
              <w:left w:val="single" w:sz="6" w:space="0" w:color="auto"/>
              <w:bottom w:val="single" w:sz="6" w:space="0" w:color="auto"/>
            </w:tcBorders>
            <w:vAlign w:val="center"/>
          </w:tcPr>
          <w:p w14:paraId="52046017" w14:textId="77777777" w:rsidR="00FB5625" w:rsidRPr="004604B1" w:rsidRDefault="006F1B10" w:rsidP="005E2BD5">
            <w:pPr>
              <w:spacing w:after="0"/>
            </w:pPr>
            <w:r w:rsidRPr="004604B1">
              <w:t>User Registration</w:t>
            </w:r>
          </w:p>
        </w:tc>
        <w:tc>
          <w:tcPr>
            <w:tcW w:w="1388" w:type="dxa"/>
            <w:tcBorders>
              <w:top w:val="single" w:sz="6" w:space="0" w:color="auto"/>
              <w:left w:val="single" w:sz="6" w:space="0" w:color="auto"/>
              <w:bottom w:val="single" w:sz="6" w:space="0" w:color="auto"/>
            </w:tcBorders>
            <w:vAlign w:val="center"/>
          </w:tcPr>
          <w:p w14:paraId="0CE72C46" w14:textId="77777777" w:rsidR="00FB5625" w:rsidRPr="004604B1" w:rsidRDefault="00D52F20" w:rsidP="005E2BD5">
            <w:pPr>
              <w:spacing w:after="0"/>
              <w:jc w:val="center"/>
            </w:pPr>
            <w:r>
              <w:t>200</w:t>
            </w:r>
          </w:p>
        </w:tc>
        <w:tc>
          <w:tcPr>
            <w:tcW w:w="1385" w:type="dxa"/>
            <w:tcBorders>
              <w:top w:val="single" w:sz="6" w:space="0" w:color="auto"/>
              <w:left w:val="single" w:sz="6" w:space="0" w:color="auto"/>
              <w:bottom w:val="single" w:sz="6" w:space="0" w:color="auto"/>
            </w:tcBorders>
            <w:vAlign w:val="center"/>
          </w:tcPr>
          <w:p w14:paraId="1B9A2BB6" w14:textId="77777777" w:rsidR="00FB5625" w:rsidRPr="004604B1" w:rsidRDefault="00FB5625" w:rsidP="005E2BD5">
            <w:pPr>
              <w:spacing w:after="0"/>
              <w:jc w:val="center"/>
            </w:pPr>
            <w:r w:rsidRPr="004604B1">
              <w:t>1</w:t>
            </w:r>
          </w:p>
        </w:tc>
        <w:tc>
          <w:tcPr>
            <w:tcW w:w="1572" w:type="dxa"/>
            <w:tcBorders>
              <w:top w:val="single" w:sz="6" w:space="0" w:color="auto"/>
              <w:left w:val="single" w:sz="6" w:space="0" w:color="auto"/>
              <w:bottom w:val="single" w:sz="6" w:space="0" w:color="auto"/>
            </w:tcBorders>
            <w:vAlign w:val="center"/>
          </w:tcPr>
          <w:p w14:paraId="048B9407" w14:textId="77777777" w:rsidR="00FB5625" w:rsidRPr="004604B1" w:rsidRDefault="00FB5625" w:rsidP="005E2BD5">
            <w:pPr>
              <w:spacing w:after="0"/>
              <w:jc w:val="center"/>
            </w:pPr>
            <w:r w:rsidRPr="004604B1">
              <w:t>5/60</w:t>
            </w:r>
          </w:p>
        </w:tc>
        <w:tc>
          <w:tcPr>
            <w:tcW w:w="1481" w:type="dxa"/>
            <w:tcBorders>
              <w:top w:val="single" w:sz="6" w:space="0" w:color="auto"/>
              <w:left w:val="single" w:sz="6" w:space="0" w:color="auto"/>
              <w:bottom w:val="single" w:sz="6" w:space="0" w:color="auto"/>
              <w:right w:val="single" w:sz="6" w:space="0" w:color="auto"/>
            </w:tcBorders>
            <w:vAlign w:val="center"/>
          </w:tcPr>
          <w:p w14:paraId="79BA78C7" w14:textId="77777777" w:rsidR="00FB5625" w:rsidRPr="004604B1" w:rsidRDefault="006162D6" w:rsidP="005E2BD5">
            <w:pPr>
              <w:spacing w:after="0"/>
              <w:jc w:val="center"/>
            </w:pPr>
            <w:r>
              <w:t>17</w:t>
            </w:r>
          </w:p>
        </w:tc>
      </w:tr>
      <w:tr w:rsidR="00FB5625" w:rsidRPr="00026BE6" w14:paraId="2DCF689A" w14:textId="77777777" w:rsidTr="00CC4710">
        <w:trPr>
          <w:cantSplit/>
          <w:trHeight w:val="228"/>
          <w:jc w:val="center"/>
        </w:trPr>
        <w:tc>
          <w:tcPr>
            <w:tcW w:w="3927" w:type="dxa"/>
            <w:tcBorders>
              <w:top w:val="single" w:sz="6" w:space="0" w:color="auto"/>
              <w:left w:val="single" w:sz="6" w:space="0" w:color="auto"/>
              <w:bottom w:val="single" w:sz="6" w:space="0" w:color="auto"/>
            </w:tcBorders>
            <w:vAlign w:val="center"/>
          </w:tcPr>
          <w:p w14:paraId="1836DA34" w14:textId="77777777" w:rsidR="00FB5625" w:rsidRPr="004604B1" w:rsidRDefault="00FB5625" w:rsidP="005E2BD5">
            <w:pPr>
              <w:spacing w:after="0"/>
            </w:pPr>
            <w:r w:rsidRPr="004604B1">
              <w:t>Data</w:t>
            </w:r>
            <w:r w:rsidR="006F1B10" w:rsidRPr="004604B1">
              <w:t xml:space="preserve"> </w:t>
            </w:r>
            <w:r w:rsidR="00D27D68">
              <w:t xml:space="preserve">and Biospecimen Inventory </w:t>
            </w:r>
            <w:r w:rsidR="006F1B10" w:rsidRPr="004604B1">
              <w:t>Submission</w:t>
            </w:r>
          </w:p>
        </w:tc>
        <w:tc>
          <w:tcPr>
            <w:tcW w:w="1388" w:type="dxa"/>
            <w:tcBorders>
              <w:top w:val="single" w:sz="6" w:space="0" w:color="auto"/>
              <w:left w:val="single" w:sz="6" w:space="0" w:color="auto"/>
              <w:bottom w:val="single" w:sz="6" w:space="0" w:color="auto"/>
            </w:tcBorders>
            <w:vAlign w:val="center"/>
          </w:tcPr>
          <w:p w14:paraId="0B5DB94A" w14:textId="77777777" w:rsidR="00FB5625" w:rsidRPr="004604B1" w:rsidRDefault="00FB5625" w:rsidP="005E2BD5">
            <w:pPr>
              <w:spacing w:after="0"/>
              <w:jc w:val="center"/>
            </w:pPr>
            <w:r w:rsidRPr="004604B1">
              <w:t>36</w:t>
            </w:r>
          </w:p>
        </w:tc>
        <w:tc>
          <w:tcPr>
            <w:tcW w:w="1385" w:type="dxa"/>
            <w:tcBorders>
              <w:top w:val="single" w:sz="6" w:space="0" w:color="auto"/>
              <w:left w:val="single" w:sz="6" w:space="0" w:color="auto"/>
              <w:bottom w:val="single" w:sz="6" w:space="0" w:color="auto"/>
            </w:tcBorders>
            <w:vAlign w:val="center"/>
          </w:tcPr>
          <w:p w14:paraId="2599FF6F" w14:textId="77777777" w:rsidR="00FB5625" w:rsidRPr="004604B1" w:rsidRDefault="00FB5625" w:rsidP="005E2BD5">
            <w:pPr>
              <w:spacing w:after="0"/>
              <w:jc w:val="center"/>
            </w:pPr>
            <w:r w:rsidRPr="004604B1">
              <w:t>1</w:t>
            </w:r>
          </w:p>
        </w:tc>
        <w:tc>
          <w:tcPr>
            <w:tcW w:w="1572" w:type="dxa"/>
            <w:tcBorders>
              <w:top w:val="single" w:sz="6" w:space="0" w:color="auto"/>
              <w:left w:val="single" w:sz="6" w:space="0" w:color="auto"/>
              <w:bottom w:val="single" w:sz="6" w:space="0" w:color="auto"/>
            </w:tcBorders>
            <w:vAlign w:val="center"/>
          </w:tcPr>
          <w:p w14:paraId="1FE91DF7" w14:textId="77777777" w:rsidR="00FB5625" w:rsidRPr="004604B1" w:rsidRDefault="00FB5625" w:rsidP="005E2BD5">
            <w:pPr>
              <w:spacing w:after="0"/>
              <w:jc w:val="center"/>
            </w:pPr>
            <w:r w:rsidRPr="004604B1">
              <w:t>2</w:t>
            </w:r>
          </w:p>
        </w:tc>
        <w:tc>
          <w:tcPr>
            <w:tcW w:w="1481" w:type="dxa"/>
            <w:tcBorders>
              <w:top w:val="single" w:sz="6" w:space="0" w:color="auto"/>
              <w:left w:val="single" w:sz="6" w:space="0" w:color="auto"/>
              <w:bottom w:val="single" w:sz="6" w:space="0" w:color="auto"/>
              <w:right w:val="single" w:sz="6" w:space="0" w:color="auto"/>
            </w:tcBorders>
            <w:vAlign w:val="center"/>
          </w:tcPr>
          <w:p w14:paraId="4D2F6200" w14:textId="77777777" w:rsidR="00FB5625" w:rsidRPr="004604B1" w:rsidRDefault="00453A78" w:rsidP="005E2BD5">
            <w:pPr>
              <w:spacing w:after="0"/>
              <w:jc w:val="center"/>
            </w:pPr>
            <w:r>
              <w:t>72</w:t>
            </w:r>
          </w:p>
        </w:tc>
      </w:tr>
      <w:tr w:rsidR="00FB5625" w:rsidRPr="00026BE6" w14:paraId="744E24B9" w14:textId="77777777" w:rsidTr="00CC4710">
        <w:trPr>
          <w:cantSplit/>
          <w:trHeight w:val="282"/>
          <w:jc w:val="center"/>
        </w:trPr>
        <w:tc>
          <w:tcPr>
            <w:tcW w:w="3927" w:type="dxa"/>
            <w:tcBorders>
              <w:top w:val="single" w:sz="6" w:space="0" w:color="auto"/>
              <w:left w:val="single" w:sz="6" w:space="0" w:color="auto"/>
              <w:bottom w:val="single" w:sz="6" w:space="0" w:color="auto"/>
            </w:tcBorders>
            <w:vAlign w:val="center"/>
          </w:tcPr>
          <w:p w14:paraId="08ECA42E" w14:textId="77777777" w:rsidR="00FB5625" w:rsidRPr="004604B1" w:rsidRDefault="006F1B10" w:rsidP="006F1B10">
            <w:pPr>
              <w:spacing w:after="0"/>
            </w:pPr>
            <w:r w:rsidRPr="004604B1">
              <w:t xml:space="preserve">Data </w:t>
            </w:r>
            <w:r w:rsidR="00FB5625" w:rsidRPr="004604B1">
              <w:t>Request</w:t>
            </w:r>
            <w:r w:rsidR="004604B1">
              <w:t xml:space="preserve"> </w:t>
            </w:r>
          </w:p>
        </w:tc>
        <w:tc>
          <w:tcPr>
            <w:tcW w:w="1388" w:type="dxa"/>
            <w:tcBorders>
              <w:top w:val="single" w:sz="6" w:space="0" w:color="auto"/>
              <w:left w:val="single" w:sz="6" w:space="0" w:color="auto"/>
              <w:bottom w:val="single" w:sz="6" w:space="0" w:color="auto"/>
            </w:tcBorders>
            <w:vAlign w:val="center"/>
          </w:tcPr>
          <w:p w14:paraId="79633014" w14:textId="77777777" w:rsidR="00FB5625" w:rsidRPr="004604B1" w:rsidRDefault="00FB5625" w:rsidP="005E2BD5">
            <w:pPr>
              <w:spacing w:after="0"/>
              <w:jc w:val="center"/>
            </w:pPr>
            <w:r w:rsidRPr="004604B1">
              <w:t>60</w:t>
            </w:r>
          </w:p>
        </w:tc>
        <w:tc>
          <w:tcPr>
            <w:tcW w:w="1385" w:type="dxa"/>
            <w:tcBorders>
              <w:top w:val="single" w:sz="6" w:space="0" w:color="auto"/>
              <w:left w:val="single" w:sz="6" w:space="0" w:color="auto"/>
              <w:bottom w:val="single" w:sz="6" w:space="0" w:color="auto"/>
            </w:tcBorders>
            <w:vAlign w:val="center"/>
          </w:tcPr>
          <w:p w14:paraId="6D387862" w14:textId="77777777" w:rsidR="00FB5625" w:rsidRPr="004604B1" w:rsidRDefault="00FB5625" w:rsidP="005E2BD5">
            <w:pPr>
              <w:spacing w:after="0"/>
              <w:jc w:val="center"/>
            </w:pPr>
            <w:r w:rsidRPr="004604B1">
              <w:t>1</w:t>
            </w:r>
          </w:p>
        </w:tc>
        <w:tc>
          <w:tcPr>
            <w:tcW w:w="1572" w:type="dxa"/>
            <w:tcBorders>
              <w:top w:val="single" w:sz="6" w:space="0" w:color="auto"/>
              <w:left w:val="single" w:sz="6" w:space="0" w:color="auto"/>
              <w:bottom w:val="single" w:sz="6" w:space="0" w:color="auto"/>
            </w:tcBorders>
            <w:vAlign w:val="center"/>
          </w:tcPr>
          <w:p w14:paraId="2A6F3107" w14:textId="77777777" w:rsidR="00FB5625" w:rsidRPr="004604B1" w:rsidRDefault="00370E35" w:rsidP="005E2BD5">
            <w:pPr>
              <w:spacing w:after="0"/>
              <w:jc w:val="center"/>
            </w:pPr>
            <w:r w:rsidRPr="004604B1">
              <w:t>1</w:t>
            </w:r>
          </w:p>
        </w:tc>
        <w:tc>
          <w:tcPr>
            <w:tcW w:w="1481" w:type="dxa"/>
            <w:tcBorders>
              <w:top w:val="single" w:sz="6" w:space="0" w:color="auto"/>
              <w:left w:val="single" w:sz="6" w:space="0" w:color="auto"/>
              <w:bottom w:val="single" w:sz="6" w:space="0" w:color="auto"/>
              <w:right w:val="single" w:sz="6" w:space="0" w:color="auto"/>
            </w:tcBorders>
            <w:vAlign w:val="center"/>
          </w:tcPr>
          <w:p w14:paraId="06B8A2E7" w14:textId="77777777" w:rsidR="00FB5625" w:rsidRPr="004604B1" w:rsidRDefault="00453A78" w:rsidP="005E2BD5">
            <w:pPr>
              <w:spacing w:after="0"/>
              <w:jc w:val="center"/>
            </w:pPr>
            <w:r>
              <w:t>60</w:t>
            </w:r>
          </w:p>
        </w:tc>
      </w:tr>
      <w:tr w:rsidR="00472C23" w:rsidRPr="00026BE6" w14:paraId="51E6AEEF" w14:textId="77777777" w:rsidTr="00CC4710">
        <w:trPr>
          <w:cantSplit/>
          <w:trHeight w:val="309"/>
          <w:jc w:val="center"/>
        </w:trPr>
        <w:tc>
          <w:tcPr>
            <w:tcW w:w="3927" w:type="dxa"/>
            <w:tcBorders>
              <w:top w:val="single" w:sz="6" w:space="0" w:color="auto"/>
              <w:left w:val="single" w:sz="6" w:space="0" w:color="auto"/>
              <w:bottom w:val="single" w:sz="4" w:space="0" w:color="auto"/>
            </w:tcBorders>
            <w:shd w:val="clear" w:color="auto" w:fill="auto"/>
            <w:vAlign w:val="center"/>
          </w:tcPr>
          <w:p w14:paraId="74E3BEDF" w14:textId="77777777" w:rsidR="00472C23" w:rsidRDefault="00472C23" w:rsidP="00472C23">
            <w:pPr>
              <w:spacing w:after="0"/>
            </w:pPr>
            <w:r>
              <w:t>Biospecimen Request</w:t>
            </w:r>
            <w:r w:rsidR="00E01DA2">
              <w:t xml:space="preserve"> </w:t>
            </w:r>
          </w:p>
        </w:tc>
        <w:tc>
          <w:tcPr>
            <w:tcW w:w="1388" w:type="dxa"/>
            <w:tcBorders>
              <w:top w:val="single" w:sz="6" w:space="0" w:color="auto"/>
              <w:left w:val="single" w:sz="6" w:space="0" w:color="auto"/>
              <w:bottom w:val="single" w:sz="4" w:space="0" w:color="auto"/>
            </w:tcBorders>
            <w:shd w:val="clear" w:color="auto" w:fill="auto"/>
            <w:vAlign w:val="center"/>
          </w:tcPr>
          <w:p w14:paraId="601E5FFB" w14:textId="77777777" w:rsidR="00472C23" w:rsidRPr="00026BE6" w:rsidRDefault="00BF4F1B" w:rsidP="00472C23">
            <w:pPr>
              <w:spacing w:after="0"/>
              <w:jc w:val="center"/>
            </w:pPr>
            <w:r>
              <w:t>36</w:t>
            </w:r>
          </w:p>
        </w:tc>
        <w:tc>
          <w:tcPr>
            <w:tcW w:w="1385" w:type="dxa"/>
            <w:tcBorders>
              <w:top w:val="single" w:sz="6" w:space="0" w:color="auto"/>
              <w:left w:val="single" w:sz="6" w:space="0" w:color="auto"/>
              <w:bottom w:val="single" w:sz="4" w:space="0" w:color="auto"/>
            </w:tcBorders>
            <w:shd w:val="clear" w:color="auto" w:fill="auto"/>
            <w:vAlign w:val="center"/>
          </w:tcPr>
          <w:p w14:paraId="0854FA7A" w14:textId="77777777" w:rsidR="00472C23" w:rsidRPr="00026BE6" w:rsidRDefault="00472C23" w:rsidP="00472C23">
            <w:pPr>
              <w:spacing w:after="0"/>
              <w:jc w:val="center"/>
            </w:pPr>
            <w:r>
              <w:t>1</w:t>
            </w:r>
          </w:p>
        </w:tc>
        <w:tc>
          <w:tcPr>
            <w:tcW w:w="1572" w:type="dxa"/>
            <w:tcBorders>
              <w:top w:val="single" w:sz="6" w:space="0" w:color="auto"/>
              <w:left w:val="single" w:sz="6" w:space="0" w:color="auto"/>
              <w:bottom w:val="single" w:sz="4" w:space="0" w:color="auto"/>
            </w:tcBorders>
            <w:shd w:val="clear" w:color="auto" w:fill="auto"/>
            <w:vAlign w:val="center"/>
          </w:tcPr>
          <w:p w14:paraId="3F19C913" w14:textId="77777777" w:rsidR="00472C23" w:rsidRDefault="00472C23" w:rsidP="00472C23">
            <w:pPr>
              <w:spacing w:after="0"/>
              <w:jc w:val="center"/>
            </w:pPr>
            <w:r>
              <w:t>1</w:t>
            </w:r>
          </w:p>
        </w:tc>
        <w:tc>
          <w:tcPr>
            <w:tcW w:w="1481" w:type="dxa"/>
            <w:tcBorders>
              <w:top w:val="single" w:sz="6" w:space="0" w:color="auto"/>
              <w:left w:val="single" w:sz="6" w:space="0" w:color="auto"/>
              <w:bottom w:val="single" w:sz="4" w:space="0" w:color="auto"/>
              <w:right w:val="single" w:sz="6" w:space="0" w:color="auto"/>
            </w:tcBorders>
            <w:shd w:val="clear" w:color="auto" w:fill="auto"/>
            <w:vAlign w:val="center"/>
          </w:tcPr>
          <w:p w14:paraId="5B43C4ED" w14:textId="77777777" w:rsidR="00472C23" w:rsidRPr="00026BE6" w:rsidRDefault="00453A78" w:rsidP="00472C23">
            <w:pPr>
              <w:spacing w:after="0"/>
              <w:jc w:val="center"/>
            </w:pPr>
            <w:r>
              <w:t>36</w:t>
            </w:r>
          </w:p>
        </w:tc>
      </w:tr>
      <w:tr w:rsidR="00472C23" w:rsidRPr="00026BE6" w14:paraId="23F8C489" w14:textId="77777777" w:rsidTr="00CC4710">
        <w:trPr>
          <w:cantSplit/>
          <w:trHeight w:val="309"/>
          <w:jc w:val="center"/>
        </w:trPr>
        <w:tc>
          <w:tcPr>
            <w:tcW w:w="3927" w:type="dxa"/>
            <w:tcBorders>
              <w:top w:val="single" w:sz="6" w:space="0" w:color="auto"/>
              <w:left w:val="single" w:sz="6" w:space="0" w:color="auto"/>
              <w:bottom w:val="single" w:sz="4" w:space="0" w:color="auto"/>
            </w:tcBorders>
            <w:shd w:val="clear" w:color="auto" w:fill="auto"/>
            <w:vAlign w:val="center"/>
          </w:tcPr>
          <w:p w14:paraId="19D1E3D0" w14:textId="77777777" w:rsidR="00472C23" w:rsidRDefault="00472C23" w:rsidP="00472C23">
            <w:pPr>
              <w:spacing w:after="0"/>
            </w:pPr>
            <w:r>
              <w:t>Data Use Annual Progress Report</w:t>
            </w:r>
          </w:p>
        </w:tc>
        <w:tc>
          <w:tcPr>
            <w:tcW w:w="1388" w:type="dxa"/>
            <w:tcBorders>
              <w:top w:val="single" w:sz="6" w:space="0" w:color="auto"/>
              <w:left w:val="single" w:sz="6" w:space="0" w:color="auto"/>
              <w:bottom w:val="single" w:sz="4" w:space="0" w:color="auto"/>
            </w:tcBorders>
            <w:shd w:val="clear" w:color="auto" w:fill="auto"/>
            <w:vAlign w:val="center"/>
          </w:tcPr>
          <w:p w14:paraId="241D6600" w14:textId="77777777" w:rsidR="00472C23" w:rsidRDefault="00D27D68" w:rsidP="00472C23">
            <w:pPr>
              <w:spacing w:after="0"/>
              <w:jc w:val="center"/>
            </w:pPr>
            <w:r>
              <w:t>60</w:t>
            </w:r>
          </w:p>
        </w:tc>
        <w:tc>
          <w:tcPr>
            <w:tcW w:w="1385" w:type="dxa"/>
            <w:tcBorders>
              <w:top w:val="single" w:sz="6" w:space="0" w:color="auto"/>
              <w:left w:val="single" w:sz="6" w:space="0" w:color="auto"/>
              <w:bottom w:val="single" w:sz="4" w:space="0" w:color="auto"/>
            </w:tcBorders>
            <w:shd w:val="clear" w:color="auto" w:fill="auto"/>
            <w:vAlign w:val="center"/>
          </w:tcPr>
          <w:p w14:paraId="16DED3C3" w14:textId="77777777" w:rsidR="00472C23" w:rsidRDefault="00472C23" w:rsidP="00472C23">
            <w:pPr>
              <w:spacing w:after="0"/>
              <w:jc w:val="center"/>
            </w:pPr>
            <w:r>
              <w:t>1</w:t>
            </w:r>
          </w:p>
        </w:tc>
        <w:tc>
          <w:tcPr>
            <w:tcW w:w="1572" w:type="dxa"/>
            <w:tcBorders>
              <w:top w:val="single" w:sz="6" w:space="0" w:color="auto"/>
              <w:left w:val="single" w:sz="6" w:space="0" w:color="auto"/>
              <w:bottom w:val="single" w:sz="4" w:space="0" w:color="auto"/>
            </w:tcBorders>
            <w:shd w:val="clear" w:color="auto" w:fill="auto"/>
            <w:vAlign w:val="center"/>
          </w:tcPr>
          <w:p w14:paraId="7D6E976F" w14:textId="77777777" w:rsidR="00472C23" w:rsidRDefault="00472C23" w:rsidP="00472C23">
            <w:pPr>
              <w:spacing w:after="0"/>
              <w:jc w:val="center"/>
            </w:pPr>
            <w:r>
              <w:t>10/60</w:t>
            </w:r>
          </w:p>
        </w:tc>
        <w:tc>
          <w:tcPr>
            <w:tcW w:w="1481" w:type="dxa"/>
            <w:tcBorders>
              <w:top w:val="single" w:sz="6" w:space="0" w:color="auto"/>
              <w:left w:val="single" w:sz="6" w:space="0" w:color="auto"/>
              <w:bottom w:val="single" w:sz="4" w:space="0" w:color="auto"/>
              <w:right w:val="single" w:sz="6" w:space="0" w:color="auto"/>
            </w:tcBorders>
            <w:shd w:val="clear" w:color="auto" w:fill="auto"/>
            <w:vAlign w:val="center"/>
          </w:tcPr>
          <w:p w14:paraId="16B474FD" w14:textId="77777777" w:rsidR="00472C23" w:rsidRDefault="00453A78" w:rsidP="00472C23">
            <w:pPr>
              <w:spacing w:after="0"/>
              <w:jc w:val="center"/>
            </w:pPr>
            <w:r>
              <w:t>10</w:t>
            </w:r>
          </w:p>
        </w:tc>
      </w:tr>
      <w:tr w:rsidR="00472C23" w:rsidRPr="00026BE6" w14:paraId="5A17C145" w14:textId="77777777" w:rsidTr="00CC4710">
        <w:trPr>
          <w:cantSplit/>
          <w:trHeight w:val="309"/>
          <w:jc w:val="center"/>
        </w:trPr>
        <w:tc>
          <w:tcPr>
            <w:tcW w:w="3927" w:type="dxa"/>
            <w:tcBorders>
              <w:top w:val="single" w:sz="6" w:space="0" w:color="auto"/>
              <w:left w:val="single" w:sz="6" w:space="0" w:color="auto"/>
              <w:bottom w:val="single" w:sz="4" w:space="0" w:color="auto"/>
            </w:tcBorders>
            <w:shd w:val="clear" w:color="auto" w:fill="auto"/>
            <w:vAlign w:val="center"/>
          </w:tcPr>
          <w:p w14:paraId="19987F35" w14:textId="77777777" w:rsidR="00472C23" w:rsidRPr="00D06428" w:rsidRDefault="00472C23" w:rsidP="00472C23">
            <w:pPr>
              <w:spacing w:after="0"/>
            </w:pPr>
            <w:r>
              <w:t>Biospecimen Use Annual Progress Report</w:t>
            </w:r>
          </w:p>
        </w:tc>
        <w:tc>
          <w:tcPr>
            <w:tcW w:w="1388" w:type="dxa"/>
            <w:tcBorders>
              <w:top w:val="single" w:sz="6" w:space="0" w:color="auto"/>
              <w:left w:val="single" w:sz="6" w:space="0" w:color="auto"/>
              <w:bottom w:val="single" w:sz="4" w:space="0" w:color="auto"/>
            </w:tcBorders>
            <w:shd w:val="clear" w:color="auto" w:fill="auto"/>
            <w:vAlign w:val="center"/>
          </w:tcPr>
          <w:p w14:paraId="0A54DA04" w14:textId="77777777" w:rsidR="00472C23" w:rsidRPr="00D06428" w:rsidRDefault="00D27D68" w:rsidP="00472C23">
            <w:pPr>
              <w:spacing w:after="0"/>
              <w:jc w:val="center"/>
            </w:pPr>
            <w:r>
              <w:t>36</w:t>
            </w:r>
          </w:p>
        </w:tc>
        <w:tc>
          <w:tcPr>
            <w:tcW w:w="1385" w:type="dxa"/>
            <w:tcBorders>
              <w:top w:val="single" w:sz="6" w:space="0" w:color="auto"/>
              <w:left w:val="single" w:sz="6" w:space="0" w:color="auto"/>
              <w:bottom w:val="single" w:sz="4" w:space="0" w:color="auto"/>
            </w:tcBorders>
            <w:shd w:val="clear" w:color="auto" w:fill="auto"/>
            <w:vAlign w:val="center"/>
          </w:tcPr>
          <w:p w14:paraId="743C830C" w14:textId="77777777" w:rsidR="00472C23" w:rsidRPr="00D06428" w:rsidRDefault="00472C23" w:rsidP="00472C23">
            <w:pPr>
              <w:spacing w:after="0"/>
              <w:jc w:val="center"/>
            </w:pPr>
            <w:r>
              <w:t>1</w:t>
            </w:r>
          </w:p>
        </w:tc>
        <w:tc>
          <w:tcPr>
            <w:tcW w:w="1572" w:type="dxa"/>
            <w:tcBorders>
              <w:top w:val="single" w:sz="6" w:space="0" w:color="auto"/>
              <w:left w:val="single" w:sz="6" w:space="0" w:color="auto"/>
              <w:bottom w:val="single" w:sz="4" w:space="0" w:color="auto"/>
            </w:tcBorders>
            <w:shd w:val="clear" w:color="auto" w:fill="auto"/>
            <w:vAlign w:val="center"/>
          </w:tcPr>
          <w:p w14:paraId="507C5B05" w14:textId="77777777" w:rsidR="00472C23" w:rsidRPr="00D06428" w:rsidRDefault="00472C23" w:rsidP="00472C23">
            <w:pPr>
              <w:spacing w:after="0"/>
              <w:jc w:val="center"/>
            </w:pPr>
            <w:r>
              <w:t>10/60</w:t>
            </w:r>
          </w:p>
        </w:tc>
        <w:tc>
          <w:tcPr>
            <w:tcW w:w="1481" w:type="dxa"/>
            <w:tcBorders>
              <w:top w:val="single" w:sz="6" w:space="0" w:color="auto"/>
              <w:left w:val="single" w:sz="6" w:space="0" w:color="auto"/>
              <w:bottom w:val="single" w:sz="4" w:space="0" w:color="auto"/>
              <w:right w:val="single" w:sz="6" w:space="0" w:color="auto"/>
            </w:tcBorders>
            <w:shd w:val="clear" w:color="auto" w:fill="auto"/>
            <w:vAlign w:val="center"/>
          </w:tcPr>
          <w:p w14:paraId="4DBCABCD" w14:textId="77777777" w:rsidR="00472C23" w:rsidRPr="00D06428" w:rsidRDefault="00453A78" w:rsidP="00472C23">
            <w:pPr>
              <w:spacing w:after="0"/>
              <w:jc w:val="center"/>
            </w:pPr>
            <w:r>
              <w:t>6</w:t>
            </w:r>
          </w:p>
        </w:tc>
      </w:tr>
      <w:tr w:rsidR="00472C23" w:rsidRPr="00026BE6" w14:paraId="7F0839F4" w14:textId="77777777" w:rsidTr="00CC4710">
        <w:trPr>
          <w:cantSplit/>
          <w:trHeight w:val="309"/>
          <w:jc w:val="center"/>
        </w:trPr>
        <w:tc>
          <w:tcPr>
            <w:tcW w:w="3927" w:type="dxa"/>
            <w:tcBorders>
              <w:top w:val="single" w:sz="6" w:space="0" w:color="auto"/>
              <w:left w:val="single" w:sz="6" w:space="0" w:color="auto"/>
              <w:bottom w:val="single" w:sz="4" w:space="0" w:color="auto"/>
            </w:tcBorders>
            <w:shd w:val="clear" w:color="auto" w:fill="auto"/>
            <w:vAlign w:val="center"/>
          </w:tcPr>
          <w:p w14:paraId="5C5E6030" w14:textId="77777777" w:rsidR="00472C23" w:rsidRDefault="00472C23" w:rsidP="00472C23">
            <w:pPr>
              <w:spacing w:after="0"/>
            </w:pPr>
            <w:r>
              <w:t>I</w:t>
            </w:r>
            <w:r w:rsidR="00AE1599">
              <w:t xml:space="preserve">nstitutional Certification </w:t>
            </w:r>
            <w:r w:rsidR="005B027C">
              <w:t>Template</w:t>
            </w:r>
            <w:r>
              <w:t xml:space="preserve"> </w:t>
            </w:r>
          </w:p>
        </w:tc>
        <w:tc>
          <w:tcPr>
            <w:tcW w:w="1388" w:type="dxa"/>
            <w:tcBorders>
              <w:top w:val="single" w:sz="6" w:space="0" w:color="auto"/>
              <w:left w:val="single" w:sz="6" w:space="0" w:color="auto"/>
              <w:bottom w:val="single" w:sz="4" w:space="0" w:color="auto"/>
            </w:tcBorders>
            <w:shd w:val="clear" w:color="auto" w:fill="auto"/>
            <w:vAlign w:val="center"/>
          </w:tcPr>
          <w:p w14:paraId="2B9CEF66" w14:textId="77777777" w:rsidR="00472C23" w:rsidRDefault="00472C23" w:rsidP="00472C23">
            <w:pPr>
              <w:spacing w:after="0"/>
              <w:jc w:val="center"/>
            </w:pPr>
            <w:r>
              <w:t>36</w:t>
            </w:r>
          </w:p>
        </w:tc>
        <w:tc>
          <w:tcPr>
            <w:tcW w:w="1385" w:type="dxa"/>
            <w:tcBorders>
              <w:top w:val="single" w:sz="6" w:space="0" w:color="auto"/>
              <w:left w:val="single" w:sz="6" w:space="0" w:color="auto"/>
              <w:bottom w:val="single" w:sz="4" w:space="0" w:color="auto"/>
            </w:tcBorders>
            <w:shd w:val="clear" w:color="auto" w:fill="auto"/>
            <w:vAlign w:val="center"/>
          </w:tcPr>
          <w:p w14:paraId="3E98ED5A" w14:textId="77777777" w:rsidR="00472C23" w:rsidRDefault="00472C23" w:rsidP="00472C23">
            <w:pPr>
              <w:spacing w:after="0"/>
              <w:jc w:val="center"/>
            </w:pPr>
            <w:r>
              <w:t>1</w:t>
            </w:r>
          </w:p>
        </w:tc>
        <w:tc>
          <w:tcPr>
            <w:tcW w:w="1572" w:type="dxa"/>
            <w:tcBorders>
              <w:top w:val="single" w:sz="6" w:space="0" w:color="auto"/>
              <w:left w:val="single" w:sz="6" w:space="0" w:color="auto"/>
              <w:bottom w:val="single" w:sz="4" w:space="0" w:color="auto"/>
            </w:tcBorders>
            <w:shd w:val="clear" w:color="auto" w:fill="auto"/>
            <w:vAlign w:val="center"/>
          </w:tcPr>
          <w:p w14:paraId="0BD6729C" w14:textId="77777777" w:rsidR="00472C23" w:rsidRDefault="00472C23" w:rsidP="00472C23">
            <w:pPr>
              <w:spacing w:after="0"/>
              <w:jc w:val="center"/>
            </w:pPr>
            <w:r>
              <w:t>5/60</w:t>
            </w:r>
          </w:p>
        </w:tc>
        <w:tc>
          <w:tcPr>
            <w:tcW w:w="1481" w:type="dxa"/>
            <w:tcBorders>
              <w:top w:val="single" w:sz="6" w:space="0" w:color="auto"/>
              <w:left w:val="single" w:sz="6" w:space="0" w:color="auto"/>
              <w:bottom w:val="single" w:sz="4" w:space="0" w:color="auto"/>
              <w:right w:val="single" w:sz="6" w:space="0" w:color="auto"/>
            </w:tcBorders>
            <w:shd w:val="clear" w:color="auto" w:fill="auto"/>
            <w:vAlign w:val="center"/>
          </w:tcPr>
          <w:p w14:paraId="3CF78724" w14:textId="77777777" w:rsidR="00472C23" w:rsidRDefault="00453A78" w:rsidP="00472C23">
            <w:pPr>
              <w:spacing w:after="0"/>
              <w:jc w:val="center"/>
            </w:pPr>
            <w:r>
              <w:t>3</w:t>
            </w:r>
          </w:p>
        </w:tc>
      </w:tr>
      <w:tr w:rsidR="00472C23" w:rsidRPr="00026BE6" w14:paraId="1C7176DF" w14:textId="77777777" w:rsidTr="00CC4710">
        <w:trPr>
          <w:cantSplit/>
          <w:trHeight w:val="309"/>
          <w:jc w:val="center"/>
        </w:trPr>
        <w:tc>
          <w:tcPr>
            <w:tcW w:w="3927" w:type="dxa"/>
            <w:tcBorders>
              <w:top w:val="single" w:sz="6" w:space="0" w:color="auto"/>
              <w:left w:val="single" w:sz="6" w:space="0" w:color="auto"/>
              <w:bottom w:val="single" w:sz="4" w:space="0" w:color="auto"/>
            </w:tcBorders>
            <w:shd w:val="clear" w:color="auto" w:fill="F2F2F2"/>
            <w:vAlign w:val="center"/>
          </w:tcPr>
          <w:p w14:paraId="79A44996" w14:textId="77777777" w:rsidR="00472C23" w:rsidRPr="00723118" w:rsidRDefault="00472C23" w:rsidP="00472C23">
            <w:pPr>
              <w:spacing w:after="0"/>
              <w:rPr>
                <w:b/>
              </w:rPr>
            </w:pPr>
            <w:r>
              <w:rPr>
                <w:b/>
              </w:rPr>
              <w:t xml:space="preserve">Total </w:t>
            </w:r>
          </w:p>
        </w:tc>
        <w:tc>
          <w:tcPr>
            <w:tcW w:w="1388" w:type="dxa"/>
            <w:tcBorders>
              <w:top w:val="single" w:sz="6" w:space="0" w:color="auto"/>
              <w:left w:val="single" w:sz="6" w:space="0" w:color="auto"/>
              <w:bottom w:val="single" w:sz="4" w:space="0" w:color="auto"/>
            </w:tcBorders>
            <w:shd w:val="clear" w:color="auto" w:fill="F2F2F2"/>
            <w:vAlign w:val="center"/>
          </w:tcPr>
          <w:p w14:paraId="2EA7FAC0" w14:textId="77777777" w:rsidR="00472C23" w:rsidRPr="00723118" w:rsidRDefault="00453A78" w:rsidP="00472C23">
            <w:pPr>
              <w:spacing w:after="0"/>
              <w:jc w:val="center"/>
              <w:rPr>
                <w:b/>
              </w:rPr>
            </w:pPr>
            <w:r>
              <w:rPr>
                <w:b/>
              </w:rPr>
              <w:t>200</w:t>
            </w:r>
          </w:p>
        </w:tc>
        <w:tc>
          <w:tcPr>
            <w:tcW w:w="1385" w:type="dxa"/>
            <w:tcBorders>
              <w:top w:val="single" w:sz="6" w:space="0" w:color="auto"/>
              <w:left w:val="single" w:sz="6" w:space="0" w:color="auto"/>
              <w:bottom w:val="single" w:sz="4" w:space="0" w:color="auto"/>
            </w:tcBorders>
            <w:shd w:val="clear" w:color="auto" w:fill="F2F2F2"/>
            <w:vAlign w:val="center"/>
          </w:tcPr>
          <w:p w14:paraId="7D4B69F1" w14:textId="00505E4E" w:rsidR="00472C23" w:rsidRPr="00723118" w:rsidRDefault="00E02AA3" w:rsidP="00472C23">
            <w:pPr>
              <w:spacing w:after="0"/>
              <w:jc w:val="center"/>
              <w:rPr>
                <w:b/>
              </w:rPr>
            </w:pPr>
            <w:r>
              <w:rPr>
                <w:b/>
              </w:rPr>
              <w:t>464</w:t>
            </w:r>
          </w:p>
        </w:tc>
        <w:tc>
          <w:tcPr>
            <w:tcW w:w="1572" w:type="dxa"/>
            <w:tcBorders>
              <w:top w:val="single" w:sz="6" w:space="0" w:color="auto"/>
              <w:left w:val="single" w:sz="6" w:space="0" w:color="auto"/>
              <w:bottom w:val="single" w:sz="4" w:space="0" w:color="auto"/>
            </w:tcBorders>
            <w:shd w:val="clear" w:color="auto" w:fill="F2F2F2"/>
            <w:vAlign w:val="center"/>
          </w:tcPr>
          <w:p w14:paraId="512C4CB8" w14:textId="77777777" w:rsidR="00472C23" w:rsidRPr="00723118" w:rsidRDefault="00472C23" w:rsidP="00472C23">
            <w:pPr>
              <w:spacing w:after="0"/>
              <w:jc w:val="center"/>
              <w:rPr>
                <w:b/>
              </w:rPr>
            </w:pPr>
          </w:p>
        </w:tc>
        <w:tc>
          <w:tcPr>
            <w:tcW w:w="1481" w:type="dxa"/>
            <w:tcBorders>
              <w:top w:val="single" w:sz="6" w:space="0" w:color="auto"/>
              <w:left w:val="single" w:sz="6" w:space="0" w:color="auto"/>
              <w:bottom w:val="single" w:sz="4" w:space="0" w:color="auto"/>
              <w:right w:val="single" w:sz="6" w:space="0" w:color="auto"/>
            </w:tcBorders>
            <w:shd w:val="clear" w:color="auto" w:fill="F2F2F2"/>
            <w:vAlign w:val="center"/>
          </w:tcPr>
          <w:p w14:paraId="2B880696" w14:textId="77777777" w:rsidR="00472C23" w:rsidRPr="00752C31" w:rsidRDefault="006162D6" w:rsidP="00472C23">
            <w:pPr>
              <w:spacing w:after="0"/>
              <w:jc w:val="center"/>
              <w:rPr>
                <w:b/>
              </w:rPr>
            </w:pPr>
            <w:r>
              <w:rPr>
                <w:b/>
              </w:rPr>
              <w:t>204</w:t>
            </w:r>
          </w:p>
        </w:tc>
      </w:tr>
    </w:tbl>
    <w:p w14:paraId="47E9FC56" w14:textId="77777777" w:rsidR="00F226AB" w:rsidRPr="00761FFF" w:rsidRDefault="00F226AB" w:rsidP="00F226AB">
      <w:pPr>
        <w:pStyle w:val="P1-StandPara"/>
        <w:spacing w:before="240" w:line="276" w:lineRule="auto"/>
        <w:ind w:firstLine="0"/>
        <w:rPr>
          <w:rFonts w:ascii="Calibri" w:hAnsi="Calibri"/>
          <w:sz w:val="18"/>
        </w:rPr>
      </w:pPr>
      <w:r w:rsidRPr="00761FFF">
        <w:rPr>
          <w:rFonts w:ascii="Calibri" w:hAnsi="Calibri"/>
          <w:sz w:val="18"/>
        </w:rPr>
        <w:t xml:space="preserve">*The total number of respondents </w:t>
      </w:r>
      <w:r w:rsidR="00C7086A" w:rsidRPr="00761FFF">
        <w:rPr>
          <w:rFonts w:ascii="Calibri" w:hAnsi="Calibri"/>
          <w:sz w:val="18"/>
        </w:rPr>
        <w:t xml:space="preserve">of </w:t>
      </w:r>
      <w:r w:rsidR="00AE1599">
        <w:rPr>
          <w:rFonts w:ascii="Calibri" w:hAnsi="Calibri"/>
          <w:sz w:val="18"/>
        </w:rPr>
        <w:t>200</w:t>
      </w:r>
      <w:r w:rsidR="005A3DB8" w:rsidRPr="00761FFF">
        <w:rPr>
          <w:rFonts w:ascii="Calibri" w:hAnsi="Calibri"/>
          <w:sz w:val="18"/>
        </w:rPr>
        <w:t xml:space="preserve"> </w:t>
      </w:r>
      <w:r w:rsidRPr="00761FFF">
        <w:rPr>
          <w:rFonts w:ascii="Calibri" w:hAnsi="Calibri"/>
          <w:sz w:val="18"/>
        </w:rPr>
        <w:t xml:space="preserve">include all respondents who are </w:t>
      </w:r>
      <w:r w:rsidR="0004300B" w:rsidRPr="00761FFF">
        <w:rPr>
          <w:rFonts w:ascii="Calibri" w:hAnsi="Calibri"/>
          <w:sz w:val="18"/>
        </w:rPr>
        <w:t xml:space="preserve">required to </w:t>
      </w:r>
      <w:r w:rsidRPr="00761FFF">
        <w:rPr>
          <w:rFonts w:ascii="Calibri" w:hAnsi="Calibri"/>
          <w:sz w:val="18"/>
        </w:rPr>
        <w:t>complete registration (</w:t>
      </w:r>
      <w:r w:rsidR="00147044">
        <w:rPr>
          <w:rFonts w:ascii="Calibri" w:hAnsi="Calibri"/>
          <w:sz w:val="18"/>
        </w:rPr>
        <w:t>200</w:t>
      </w:r>
      <w:r w:rsidRPr="00761FFF">
        <w:rPr>
          <w:rFonts w:ascii="Calibri" w:hAnsi="Calibri"/>
          <w:sz w:val="18"/>
        </w:rPr>
        <w:t xml:space="preserve">) and a subset of those registered respondents who perform data </w:t>
      </w:r>
      <w:r w:rsidR="00AE1599">
        <w:rPr>
          <w:rFonts w:ascii="Calibri" w:hAnsi="Calibri"/>
          <w:sz w:val="18"/>
        </w:rPr>
        <w:t xml:space="preserve">and biospecimen inventory </w:t>
      </w:r>
      <w:r w:rsidRPr="00761FFF">
        <w:rPr>
          <w:rFonts w:ascii="Calibri" w:hAnsi="Calibri"/>
          <w:sz w:val="18"/>
        </w:rPr>
        <w:t>submission (36)</w:t>
      </w:r>
      <w:r w:rsidR="009E29A1">
        <w:rPr>
          <w:rFonts w:ascii="Calibri" w:hAnsi="Calibri"/>
          <w:sz w:val="18"/>
        </w:rPr>
        <w:t xml:space="preserve">, </w:t>
      </w:r>
      <w:r w:rsidRPr="00761FFF">
        <w:rPr>
          <w:rFonts w:ascii="Calibri" w:hAnsi="Calibri"/>
          <w:sz w:val="18"/>
        </w:rPr>
        <w:t>data request (60)</w:t>
      </w:r>
      <w:r w:rsidR="009E29A1">
        <w:rPr>
          <w:rFonts w:ascii="Calibri" w:hAnsi="Calibri"/>
          <w:sz w:val="18"/>
        </w:rPr>
        <w:t>,</w:t>
      </w:r>
      <w:r w:rsidR="00C36B5C">
        <w:rPr>
          <w:rFonts w:ascii="Calibri" w:hAnsi="Calibri"/>
          <w:sz w:val="18"/>
        </w:rPr>
        <w:t xml:space="preserve"> </w:t>
      </w:r>
      <w:r w:rsidR="00E01DA2">
        <w:rPr>
          <w:rFonts w:ascii="Calibri" w:hAnsi="Calibri"/>
          <w:sz w:val="18"/>
        </w:rPr>
        <w:t>and</w:t>
      </w:r>
      <w:r w:rsidR="00AE420C">
        <w:rPr>
          <w:rFonts w:ascii="Calibri" w:hAnsi="Calibri"/>
          <w:sz w:val="18"/>
        </w:rPr>
        <w:t xml:space="preserve"> </w:t>
      </w:r>
      <w:r w:rsidR="009E29A1">
        <w:rPr>
          <w:rFonts w:ascii="Calibri" w:hAnsi="Calibri"/>
          <w:sz w:val="18"/>
        </w:rPr>
        <w:t>biospecimen request (</w:t>
      </w:r>
      <w:r w:rsidR="00C36B5C">
        <w:rPr>
          <w:rFonts w:ascii="Calibri" w:hAnsi="Calibri"/>
          <w:sz w:val="18"/>
        </w:rPr>
        <w:t>6</w:t>
      </w:r>
      <w:r w:rsidR="009E29A1">
        <w:rPr>
          <w:rFonts w:ascii="Calibri" w:hAnsi="Calibri"/>
          <w:sz w:val="18"/>
        </w:rPr>
        <w:t>0)</w:t>
      </w:r>
      <w:r w:rsidR="00E01DA2">
        <w:rPr>
          <w:rFonts w:ascii="Calibri" w:hAnsi="Calibri"/>
          <w:sz w:val="18"/>
        </w:rPr>
        <w:t xml:space="preserve"> process</w:t>
      </w:r>
      <w:r w:rsidRPr="00761FFF">
        <w:rPr>
          <w:rFonts w:ascii="Calibri" w:hAnsi="Calibri"/>
          <w:sz w:val="18"/>
        </w:rPr>
        <w:t>. The total frequency of response</w:t>
      </w:r>
      <w:r w:rsidR="00C7086A" w:rsidRPr="00761FFF">
        <w:rPr>
          <w:rFonts w:ascii="Calibri" w:hAnsi="Calibri"/>
          <w:sz w:val="18"/>
        </w:rPr>
        <w:t xml:space="preserve"> </w:t>
      </w:r>
      <w:r w:rsidRPr="00761FFF">
        <w:rPr>
          <w:rFonts w:ascii="Calibri" w:hAnsi="Calibri"/>
          <w:sz w:val="18"/>
        </w:rPr>
        <w:t>include</w:t>
      </w:r>
      <w:r w:rsidR="009E29A1">
        <w:rPr>
          <w:rFonts w:ascii="Calibri" w:hAnsi="Calibri"/>
          <w:sz w:val="18"/>
        </w:rPr>
        <w:t>s</w:t>
      </w:r>
      <w:r w:rsidRPr="00761FFF">
        <w:rPr>
          <w:rFonts w:ascii="Calibri" w:hAnsi="Calibri"/>
          <w:sz w:val="18"/>
        </w:rPr>
        <w:t xml:space="preserve"> </w:t>
      </w:r>
      <w:r w:rsidR="007340DE" w:rsidRPr="00761FFF">
        <w:rPr>
          <w:rFonts w:ascii="Calibri" w:hAnsi="Calibri"/>
          <w:sz w:val="18"/>
        </w:rPr>
        <w:t xml:space="preserve">the </w:t>
      </w:r>
      <w:r w:rsidR="00C7086A" w:rsidRPr="00761FFF">
        <w:rPr>
          <w:rFonts w:ascii="Calibri" w:hAnsi="Calibri"/>
          <w:sz w:val="18"/>
        </w:rPr>
        <w:t xml:space="preserve">frequency </w:t>
      </w:r>
      <w:r w:rsidR="007340DE" w:rsidRPr="00761FFF">
        <w:rPr>
          <w:rFonts w:ascii="Calibri" w:hAnsi="Calibri"/>
          <w:sz w:val="18"/>
        </w:rPr>
        <w:t xml:space="preserve">for </w:t>
      </w:r>
      <w:r w:rsidR="00C7086A" w:rsidRPr="00761FFF">
        <w:rPr>
          <w:rFonts w:ascii="Calibri" w:hAnsi="Calibri"/>
          <w:sz w:val="18"/>
        </w:rPr>
        <w:t>registration (</w:t>
      </w:r>
      <w:r w:rsidR="00147044">
        <w:rPr>
          <w:rFonts w:ascii="Calibri" w:hAnsi="Calibri"/>
          <w:sz w:val="18"/>
        </w:rPr>
        <w:t>200</w:t>
      </w:r>
      <w:r w:rsidR="00C7086A" w:rsidRPr="00761FFF">
        <w:rPr>
          <w:rFonts w:ascii="Calibri" w:hAnsi="Calibri"/>
          <w:sz w:val="18"/>
        </w:rPr>
        <w:t>*1)</w:t>
      </w:r>
      <w:r w:rsidR="009E29A1">
        <w:rPr>
          <w:rFonts w:ascii="Calibri" w:hAnsi="Calibri"/>
          <w:sz w:val="18"/>
        </w:rPr>
        <w:t>,</w:t>
      </w:r>
      <w:r w:rsidR="00C36B5C">
        <w:rPr>
          <w:rFonts w:ascii="Calibri" w:hAnsi="Calibri"/>
          <w:sz w:val="18"/>
        </w:rPr>
        <w:t xml:space="preserve"> </w:t>
      </w:r>
      <w:r w:rsidR="00C7086A" w:rsidRPr="00761FFF">
        <w:rPr>
          <w:rFonts w:ascii="Calibri" w:hAnsi="Calibri"/>
          <w:sz w:val="18"/>
        </w:rPr>
        <w:t xml:space="preserve">data </w:t>
      </w:r>
      <w:r w:rsidR="00AE1599">
        <w:rPr>
          <w:rFonts w:ascii="Calibri" w:hAnsi="Calibri"/>
          <w:sz w:val="18"/>
        </w:rPr>
        <w:t xml:space="preserve">and biospecimen inventory </w:t>
      </w:r>
      <w:r w:rsidR="00C7086A" w:rsidRPr="00761FFF">
        <w:rPr>
          <w:rFonts w:ascii="Calibri" w:hAnsi="Calibri"/>
          <w:sz w:val="18"/>
        </w:rPr>
        <w:t>submissions (36*1)</w:t>
      </w:r>
      <w:r w:rsidR="009E29A1">
        <w:rPr>
          <w:rFonts w:ascii="Calibri" w:hAnsi="Calibri"/>
          <w:sz w:val="18"/>
        </w:rPr>
        <w:t>, data</w:t>
      </w:r>
      <w:r w:rsidR="00C36B5C">
        <w:rPr>
          <w:rFonts w:ascii="Calibri" w:hAnsi="Calibri"/>
          <w:sz w:val="18"/>
        </w:rPr>
        <w:t xml:space="preserve"> </w:t>
      </w:r>
      <w:r w:rsidR="00C7086A" w:rsidRPr="00761FFF">
        <w:rPr>
          <w:rFonts w:ascii="Calibri" w:hAnsi="Calibri"/>
          <w:sz w:val="18"/>
        </w:rPr>
        <w:t>requests (60*1)</w:t>
      </w:r>
      <w:r w:rsidR="009E29A1">
        <w:rPr>
          <w:rFonts w:ascii="Calibri" w:hAnsi="Calibri"/>
          <w:sz w:val="18"/>
        </w:rPr>
        <w:t>, biospecimen request</w:t>
      </w:r>
      <w:r w:rsidR="006D32F0">
        <w:rPr>
          <w:rFonts w:ascii="Calibri" w:hAnsi="Calibri"/>
          <w:sz w:val="18"/>
        </w:rPr>
        <w:t>s</w:t>
      </w:r>
      <w:r w:rsidR="009E29A1">
        <w:rPr>
          <w:rFonts w:ascii="Calibri" w:hAnsi="Calibri"/>
          <w:sz w:val="18"/>
        </w:rPr>
        <w:t xml:space="preserve"> (</w:t>
      </w:r>
      <w:r w:rsidR="00AE1599">
        <w:rPr>
          <w:rFonts w:ascii="Calibri" w:hAnsi="Calibri"/>
          <w:sz w:val="18"/>
        </w:rPr>
        <w:t>36</w:t>
      </w:r>
      <w:r w:rsidR="009E29A1">
        <w:rPr>
          <w:rFonts w:ascii="Calibri" w:hAnsi="Calibri"/>
          <w:sz w:val="18"/>
        </w:rPr>
        <w:t>*1)</w:t>
      </w:r>
      <w:r w:rsidR="006D32F0">
        <w:rPr>
          <w:rFonts w:ascii="Calibri" w:hAnsi="Calibri"/>
          <w:sz w:val="18"/>
        </w:rPr>
        <w:t xml:space="preserve">, </w:t>
      </w:r>
      <w:r w:rsidR="005A3DB8">
        <w:rPr>
          <w:rFonts w:ascii="Calibri" w:hAnsi="Calibri"/>
          <w:sz w:val="18"/>
        </w:rPr>
        <w:t xml:space="preserve">data use </w:t>
      </w:r>
      <w:r w:rsidR="006D32F0">
        <w:rPr>
          <w:rFonts w:ascii="Calibri" w:hAnsi="Calibri"/>
          <w:sz w:val="18"/>
        </w:rPr>
        <w:t>annual reports (</w:t>
      </w:r>
      <w:r w:rsidR="00AE1599">
        <w:rPr>
          <w:rFonts w:ascii="Calibri" w:hAnsi="Calibri"/>
          <w:sz w:val="18"/>
        </w:rPr>
        <w:t>60</w:t>
      </w:r>
      <w:r w:rsidR="006D32F0">
        <w:rPr>
          <w:rFonts w:ascii="Calibri" w:hAnsi="Calibri"/>
          <w:sz w:val="18"/>
        </w:rPr>
        <w:t>*1)</w:t>
      </w:r>
      <w:r w:rsidR="00C36B5C">
        <w:rPr>
          <w:rFonts w:ascii="Calibri" w:hAnsi="Calibri"/>
          <w:sz w:val="18"/>
        </w:rPr>
        <w:t xml:space="preserve">, </w:t>
      </w:r>
      <w:r w:rsidR="005A3DB8">
        <w:rPr>
          <w:rFonts w:ascii="Calibri" w:hAnsi="Calibri"/>
          <w:sz w:val="18"/>
        </w:rPr>
        <w:t>bi</w:t>
      </w:r>
      <w:r w:rsidR="00AE1599">
        <w:rPr>
          <w:rFonts w:ascii="Calibri" w:hAnsi="Calibri"/>
          <w:sz w:val="18"/>
        </w:rPr>
        <w:t xml:space="preserve">ospecimen use annual report (36*1) and </w:t>
      </w:r>
      <w:r w:rsidR="00A42BDD">
        <w:rPr>
          <w:rFonts w:ascii="Calibri" w:hAnsi="Calibri"/>
          <w:sz w:val="18"/>
        </w:rPr>
        <w:t>I</w:t>
      </w:r>
      <w:r w:rsidR="004604B1">
        <w:rPr>
          <w:rFonts w:ascii="Calibri" w:hAnsi="Calibri"/>
          <w:sz w:val="18"/>
        </w:rPr>
        <w:t xml:space="preserve">nstitutional </w:t>
      </w:r>
      <w:r w:rsidR="00A42BDD">
        <w:rPr>
          <w:rFonts w:ascii="Calibri" w:hAnsi="Calibri"/>
          <w:sz w:val="18"/>
        </w:rPr>
        <w:t>C</w:t>
      </w:r>
      <w:r w:rsidR="004604B1">
        <w:rPr>
          <w:rFonts w:ascii="Calibri" w:hAnsi="Calibri"/>
          <w:sz w:val="18"/>
        </w:rPr>
        <w:t>ertification</w:t>
      </w:r>
      <w:r w:rsidR="00AE1599">
        <w:rPr>
          <w:rFonts w:ascii="Calibri" w:hAnsi="Calibri"/>
          <w:sz w:val="18"/>
        </w:rPr>
        <w:t>, data and biospecimen inventory, if applicable (36*1</w:t>
      </w:r>
      <w:r w:rsidR="00C36B5C">
        <w:rPr>
          <w:rFonts w:ascii="Calibri" w:hAnsi="Calibri"/>
          <w:sz w:val="18"/>
        </w:rPr>
        <w:t>)</w:t>
      </w:r>
      <w:r w:rsidR="00C7086A" w:rsidRPr="00761FFF">
        <w:rPr>
          <w:rFonts w:ascii="Calibri" w:hAnsi="Calibri"/>
          <w:sz w:val="18"/>
        </w:rPr>
        <w:t>.</w:t>
      </w:r>
      <w:r w:rsidRPr="00761FFF">
        <w:rPr>
          <w:rFonts w:ascii="Calibri" w:hAnsi="Calibri"/>
          <w:sz w:val="18"/>
        </w:rPr>
        <w:t xml:space="preserve">    </w:t>
      </w:r>
    </w:p>
    <w:p w14:paraId="394486BD" w14:textId="77777777" w:rsidR="006E0FB4" w:rsidRDefault="006E0FB4">
      <w:pPr>
        <w:spacing w:after="0" w:line="240" w:lineRule="auto"/>
        <w:rPr>
          <w:rFonts w:ascii="Times New Roman" w:eastAsia="Times New Roman" w:hAnsi="Times New Roman"/>
          <w:b/>
          <w:szCs w:val="20"/>
        </w:rPr>
      </w:pPr>
      <w:bookmarkStart w:id="65" w:name="_Toc442286343"/>
      <w:bookmarkStart w:id="66" w:name="_Toc508106949"/>
      <w:r>
        <w:br w:type="page"/>
      </w:r>
    </w:p>
    <w:p w14:paraId="76825956" w14:textId="1906E9D0" w:rsidR="006F1B10" w:rsidRDefault="006F1B10" w:rsidP="004C5217">
      <w:pPr>
        <w:pStyle w:val="Heading2"/>
      </w:pPr>
      <w:r>
        <w:t>A.12.</w:t>
      </w:r>
      <w:r w:rsidRPr="008942E9">
        <w:t>2</w:t>
      </w:r>
      <w:r w:rsidRPr="008942E9">
        <w:tab/>
      </w:r>
      <w:r w:rsidRPr="00AE3B22">
        <w:rPr>
          <w:highlight w:val="yellow"/>
        </w:rPr>
        <w:t>Annualized Cost to Respondents</w:t>
      </w:r>
      <w:bookmarkEnd w:id="65"/>
      <w:bookmarkEnd w:id="66"/>
    </w:p>
    <w:p w14:paraId="01AA403E" w14:textId="77777777" w:rsidR="006F1B10" w:rsidRPr="006F1B10" w:rsidRDefault="006F1B10" w:rsidP="006F1B10">
      <w:pPr>
        <w:pStyle w:val="P1-StandPara"/>
        <w:rPr>
          <w:sz w:val="1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1643"/>
        <w:gridCol w:w="1800"/>
        <w:gridCol w:w="2340"/>
      </w:tblGrid>
      <w:tr w:rsidR="00FB5625" w:rsidRPr="00862A18" w14:paraId="73D2ECE1" w14:textId="77777777" w:rsidTr="00C91560">
        <w:trPr>
          <w:trHeight w:val="296"/>
        </w:trPr>
        <w:tc>
          <w:tcPr>
            <w:tcW w:w="9720" w:type="dxa"/>
            <w:gridSpan w:val="4"/>
            <w:shd w:val="clear" w:color="auto" w:fill="F2F2F2"/>
          </w:tcPr>
          <w:p w14:paraId="7B6F31B5" w14:textId="77777777" w:rsidR="00FB5625" w:rsidRPr="00862A18" w:rsidRDefault="009946BB" w:rsidP="00723118">
            <w:pPr>
              <w:tabs>
                <w:tab w:val="left" w:pos="1583"/>
              </w:tabs>
              <w:spacing w:after="0" w:line="240" w:lineRule="auto"/>
              <w:ind w:left="360"/>
              <w:jc w:val="center"/>
              <w:rPr>
                <w:b/>
              </w:rPr>
            </w:pPr>
            <w:r w:rsidRPr="00862A18">
              <w:rPr>
                <w:b/>
              </w:rPr>
              <w:t>T</w:t>
            </w:r>
            <w:r w:rsidR="00FB5625" w:rsidRPr="00862A18">
              <w:rPr>
                <w:b/>
              </w:rPr>
              <w:t>otal Annual Cost Burden</w:t>
            </w:r>
            <w:r w:rsidRPr="00862A18">
              <w:rPr>
                <w:b/>
              </w:rPr>
              <w:t xml:space="preserve"> Estimate</w:t>
            </w:r>
          </w:p>
        </w:tc>
      </w:tr>
      <w:tr w:rsidR="00FB5625" w:rsidRPr="00862A18" w14:paraId="671945FB" w14:textId="77777777" w:rsidTr="00CC4710">
        <w:tc>
          <w:tcPr>
            <w:tcW w:w="3937" w:type="dxa"/>
          </w:tcPr>
          <w:p w14:paraId="7DD67057" w14:textId="77777777" w:rsidR="00FB5625" w:rsidRPr="00862A18" w:rsidRDefault="00FB5625" w:rsidP="00026BE6">
            <w:pPr>
              <w:spacing w:after="0"/>
              <w:rPr>
                <w:b/>
              </w:rPr>
            </w:pPr>
            <w:r w:rsidRPr="00862A18">
              <w:rPr>
                <w:b/>
              </w:rPr>
              <w:t>Form</w:t>
            </w:r>
          </w:p>
        </w:tc>
        <w:tc>
          <w:tcPr>
            <w:tcW w:w="1643" w:type="dxa"/>
          </w:tcPr>
          <w:p w14:paraId="26A0BC82" w14:textId="77777777" w:rsidR="00FB5625" w:rsidRPr="00862A18" w:rsidRDefault="00FB5625" w:rsidP="009946BB">
            <w:pPr>
              <w:spacing w:after="0"/>
              <w:jc w:val="center"/>
              <w:rPr>
                <w:b/>
              </w:rPr>
            </w:pPr>
            <w:r w:rsidRPr="00862A18">
              <w:rPr>
                <w:b/>
              </w:rPr>
              <w:t>Total Annual Burden Hours</w:t>
            </w:r>
          </w:p>
        </w:tc>
        <w:tc>
          <w:tcPr>
            <w:tcW w:w="1800" w:type="dxa"/>
            <w:tcBorders>
              <w:bottom w:val="single" w:sz="4" w:space="0" w:color="auto"/>
            </w:tcBorders>
          </w:tcPr>
          <w:p w14:paraId="7F6C8749" w14:textId="77777777" w:rsidR="00FB5625" w:rsidRPr="00862A18" w:rsidRDefault="00FB5625" w:rsidP="009946BB">
            <w:pPr>
              <w:spacing w:after="0"/>
              <w:jc w:val="center"/>
              <w:rPr>
                <w:b/>
              </w:rPr>
            </w:pPr>
            <w:r w:rsidRPr="00862A18">
              <w:rPr>
                <w:b/>
              </w:rPr>
              <w:t>Wage rate</w:t>
            </w:r>
          </w:p>
        </w:tc>
        <w:tc>
          <w:tcPr>
            <w:tcW w:w="2340" w:type="dxa"/>
            <w:tcBorders>
              <w:bottom w:val="single" w:sz="4" w:space="0" w:color="auto"/>
            </w:tcBorders>
          </w:tcPr>
          <w:p w14:paraId="018F0757" w14:textId="77777777" w:rsidR="00FB5625" w:rsidRPr="00862A18" w:rsidRDefault="00FB5625" w:rsidP="009946BB">
            <w:pPr>
              <w:spacing w:after="0"/>
              <w:jc w:val="center"/>
              <w:rPr>
                <w:b/>
              </w:rPr>
            </w:pPr>
            <w:r w:rsidRPr="00862A18">
              <w:rPr>
                <w:b/>
              </w:rPr>
              <w:t>Total Costs</w:t>
            </w:r>
          </w:p>
        </w:tc>
      </w:tr>
      <w:tr w:rsidR="00AE1599" w:rsidRPr="00862A18" w14:paraId="4165BA17" w14:textId="77777777" w:rsidTr="00F97E27">
        <w:tc>
          <w:tcPr>
            <w:tcW w:w="3937" w:type="dxa"/>
          </w:tcPr>
          <w:p w14:paraId="4F9EA2EC" w14:textId="77777777" w:rsidR="00AE1599" w:rsidRPr="00862A18" w:rsidRDefault="00AE1599" w:rsidP="00AE1599">
            <w:pPr>
              <w:spacing w:after="0"/>
              <w:rPr>
                <w:b/>
              </w:rPr>
            </w:pPr>
            <w:r>
              <w:t>User Registration</w:t>
            </w:r>
          </w:p>
        </w:tc>
        <w:tc>
          <w:tcPr>
            <w:tcW w:w="1643" w:type="dxa"/>
            <w:tcBorders>
              <w:right w:val="single" w:sz="4" w:space="0" w:color="auto"/>
            </w:tcBorders>
            <w:vAlign w:val="center"/>
          </w:tcPr>
          <w:p w14:paraId="13DD1CE4" w14:textId="77777777" w:rsidR="00AE1599" w:rsidRPr="00862A18" w:rsidRDefault="006162D6" w:rsidP="00AE1599">
            <w:pPr>
              <w:spacing w:after="0"/>
              <w:jc w:val="center"/>
            </w:pPr>
            <w: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4AA128C"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9655C9"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Pr>
                <w:rFonts w:ascii="Calibri" w:hAnsi="Calibri" w:cs="Arial"/>
                <w:sz w:val="22"/>
                <w:szCs w:val="22"/>
              </w:rPr>
              <w:t>$</w:t>
            </w:r>
            <w:r w:rsidR="006162D6">
              <w:rPr>
                <w:rFonts w:ascii="Calibri" w:hAnsi="Calibri" w:cs="Arial"/>
                <w:sz w:val="22"/>
                <w:szCs w:val="22"/>
              </w:rPr>
              <w:t>776.56</w:t>
            </w:r>
          </w:p>
        </w:tc>
      </w:tr>
      <w:tr w:rsidR="00AE1599" w:rsidRPr="00862A18" w14:paraId="2913CF3D" w14:textId="77777777" w:rsidTr="00F97E27">
        <w:tc>
          <w:tcPr>
            <w:tcW w:w="3937" w:type="dxa"/>
          </w:tcPr>
          <w:p w14:paraId="76A0D56D" w14:textId="77777777" w:rsidR="00AE1599" w:rsidRPr="00862A18" w:rsidRDefault="00AE1599" w:rsidP="00AE1599">
            <w:pPr>
              <w:spacing w:after="0"/>
              <w:rPr>
                <w:b/>
              </w:rPr>
            </w:pPr>
            <w:r>
              <w:t>Data and Biospecimen Inventory Submission</w:t>
            </w:r>
          </w:p>
        </w:tc>
        <w:tc>
          <w:tcPr>
            <w:tcW w:w="1643" w:type="dxa"/>
            <w:tcBorders>
              <w:right w:val="single" w:sz="4" w:space="0" w:color="auto"/>
            </w:tcBorders>
            <w:vAlign w:val="center"/>
          </w:tcPr>
          <w:p w14:paraId="1328A4F8" w14:textId="77777777" w:rsidR="00AE1599" w:rsidRPr="00862A18" w:rsidRDefault="00AE1599" w:rsidP="00AE1599">
            <w:pPr>
              <w:spacing w:after="0"/>
              <w:jc w:val="center"/>
            </w:pPr>
            <w:r>
              <w:t>72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4D8700"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40DAB9"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Pr>
                <w:rFonts w:ascii="Calibri" w:hAnsi="Calibri" w:cs="Arial"/>
                <w:sz w:val="22"/>
                <w:szCs w:val="22"/>
              </w:rPr>
              <w:t>$3,288.96</w:t>
            </w:r>
          </w:p>
        </w:tc>
      </w:tr>
      <w:tr w:rsidR="00AE1599" w:rsidRPr="00862A18" w14:paraId="48202648" w14:textId="77777777" w:rsidTr="00F97E27">
        <w:tc>
          <w:tcPr>
            <w:tcW w:w="3937" w:type="dxa"/>
          </w:tcPr>
          <w:p w14:paraId="78021D71" w14:textId="77777777" w:rsidR="00AE1599" w:rsidRPr="00862A18" w:rsidRDefault="00AE1599" w:rsidP="00AE1599">
            <w:pPr>
              <w:spacing w:after="0"/>
              <w:rPr>
                <w:b/>
              </w:rPr>
            </w:pPr>
            <w:r>
              <w:t xml:space="preserve">Data </w:t>
            </w:r>
            <w:r w:rsidRPr="00862A18">
              <w:t xml:space="preserve">Request </w:t>
            </w:r>
          </w:p>
        </w:tc>
        <w:tc>
          <w:tcPr>
            <w:tcW w:w="1643" w:type="dxa"/>
            <w:tcBorders>
              <w:right w:val="single" w:sz="4" w:space="0" w:color="auto"/>
            </w:tcBorders>
            <w:vAlign w:val="center"/>
          </w:tcPr>
          <w:p w14:paraId="0430606E" w14:textId="77777777" w:rsidR="00AE1599" w:rsidRPr="00862A18" w:rsidRDefault="00AE1599" w:rsidP="00AE1599">
            <w:pPr>
              <w:spacing w:after="0"/>
              <w:jc w:val="center"/>
            </w:pPr>
            <w: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EF0107C"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AB54B8C" w14:textId="77777777" w:rsidR="00AE1599" w:rsidRPr="00862A18" w:rsidRDefault="00AE1599" w:rsidP="00AE1599">
            <w:pPr>
              <w:pStyle w:val="NormalWeb"/>
              <w:spacing w:before="0" w:beforeAutospacing="0" w:after="0" w:afterAutospacing="0" w:line="276" w:lineRule="auto"/>
              <w:jc w:val="center"/>
              <w:rPr>
                <w:rFonts w:ascii="Calibri" w:hAnsi="Calibri" w:cs="Arial"/>
                <w:sz w:val="22"/>
                <w:szCs w:val="22"/>
              </w:rPr>
            </w:pPr>
            <w:r>
              <w:rPr>
                <w:rFonts w:ascii="Calibri" w:hAnsi="Calibri" w:cs="Arial"/>
                <w:sz w:val="22"/>
                <w:szCs w:val="22"/>
              </w:rPr>
              <w:t>$2,740.80</w:t>
            </w:r>
          </w:p>
        </w:tc>
      </w:tr>
      <w:tr w:rsidR="00AE1599" w:rsidRPr="00862A18" w14:paraId="2B407685" w14:textId="77777777" w:rsidTr="00F97E27">
        <w:tc>
          <w:tcPr>
            <w:tcW w:w="3937" w:type="dxa"/>
          </w:tcPr>
          <w:p w14:paraId="14696BA1" w14:textId="77777777" w:rsidR="00AE1599" w:rsidRDefault="00AE1599" w:rsidP="00AE1599">
            <w:pPr>
              <w:spacing w:after="0"/>
            </w:pPr>
            <w:r>
              <w:t>Biospecimen Request</w:t>
            </w:r>
          </w:p>
        </w:tc>
        <w:tc>
          <w:tcPr>
            <w:tcW w:w="1643" w:type="dxa"/>
            <w:tcBorders>
              <w:right w:val="single" w:sz="4" w:space="0" w:color="auto"/>
            </w:tcBorders>
            <w:vAlign w:val="center"/>
          </w:tcPr>
          <w:p w14:paraId="2B52C04E" w14:textId="77777777" w:rsidR="00AE1599" w:rsidRPr="00862A18" w:rsidRDefault="00AE1599" w:rsidP="00AE1599">
            <w:pPr>
              <w:spacing w:after="0"/>
              <w:jc w:val="center"/>
            </w:pPr>
            <w:r>
              <w:t>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A82862" w14:textId="77777777" w:rsidR="00AE1599" w:rsidRPr="006F1B10"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220C58" w14:textId="77777777" w:rsidR="00AE1599" w:rsidRPr="00862A18"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Pr>
                <w:rFonts w:ascii="Calibri" w:eastAsia="Calibri" w:hAnsi="Calibri" w:cs="Arial"/>
                <w:color w:val="000000"/>
                <w:kern w:val="24"/>
                <w:sz w:val="22"/>
                <w:szCs w:val="22"/>
              </w:rPr>
              <w:t>$1,644.48</w:t>
            </w:r>
          </w:p>
        </w:tc>
      </w:tr>
      <w:tr w:rsidR="00AE1599" w:rsidRPr="00862A18" w14:paraId="12C63085" w14:textId="77777777" w:rsidTr="00F97E27">
        <w:tc>
          <w:tcPr>
            <w:tcW w:w="3937" w:type="dxa"/>
          </w:tcPr>
          <w:p w14:paraId="630F8B2E" w14:textId="77777777" w:rsidR="00AE1599" w:rsidRDefault="00AE1599" w:rsidP="00AE1599">
            <w:pPr>
              <w:spacing w:after="0"/>
            </w:pPr>
            <w:r>
              <w:t>Data Use Annual Progress Report</w:t>
            </w:r>
          </w:p>
        </w:tc>
        <w:tc>
          <w:tcPr>
            <w:tcW w:w="1643" w:type="dxa"/>
            <w:tcBorders>
              <w:right w:val="single" w:sz="4" w:space="0" w:color="auto"/>
            </w:tcBorders>
            <w:vAlign w:val="center"/>
          </w:tcPr>
          <w:p w14:paraId="665B4CC2" w14:textId="77777777" w:rsidR="00AE1599" w:rsidRPr="00862A18" w:rsidRDefault="00AE1599" w:rsidP="00AE1599">
            <w:pPr>
              <w:spacing w:after="0"/>
              <w:jc w:val="center"/>
            </w:pPr>
            <w: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79CA1A4" w14:textId="77777777" w:rsidR="00AE1599" w:rsidRPr="006F1B10"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EF1F163" w14:textId="77777777" w:rsidR="00AE1599" w:rsidRPr="00862A18"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Pr>
                <w:rFonts w:ascii="Calibri" w:eastAsia="Calibri" w:hAnsi="Calibri" w:cs="Arial"/>
                <w:color w:val="000000"/>
                <w:kern w:val="24"/>
                <w:sz w:val="22"/>
                <w:szCs w:val="22"/>
              </w:rPr>
              <w:t>$456.80</w:t>
            </w:r>
          </w:p>
        </w:tc>
      </w:tr>
      <w:tr w:rsidR="00AE1599" w:rsidRPr="00862A18" w14:paraId="140AAB10" w14:textId="77777777" w:rsidTr="00F97E27">
        <w:tc>
          <w:tcPr>
            <w:tcW w:w="3937" w:type="dxa"/>
          </w:tcPr>
          <w:p w14:paraId="584011B7" w14:textId="77777777" w:rsidR="00AE1599" w:rsidRDefault="00AE1599" w:rsidP="00AE1599">
            <w:pPr>
              <w:spacing w:after="0"/>
            </w:pPr>
            <w:r>
              <w:t>Biospecimen Use Annual Progress Report</w:t>
            </w:r>
          </w:p>
        </w:tc>
        <w:tc>
          <w:tcPr>
            <w:tcW w:w="1643" w:type="dxa"/>
            <w:tcBorders>
              <w:right w:val="single" w:sz="4" w:space="0" w:color="auto"/>
            </w:tcBorders>
            <w:vAlign w:val="center"/>
          </w:tcPr>
          <w:p w14:paraId="2CF48A8C" w14:textId="77777777" w:rsidR="00AE1599" w:rsidRDefault="00AE1599" w:rsidP="00AE1599">
            <w:pPr>
              <w:spacing w:after="0"/>
              <w:jc w:val="center"/>
            </w:pPr>
            <w: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C73FA5F" w14:textId="77777777" w:rsidR="00AE1599" w:rsidRPr="006F1B10"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858DC5D" w14:textId="77777777" w:rsidR="00AE1599"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Pr>
                <w:rFonts w:ascii="Calibri" w:eastAsia="Calibri" w:hAnsi="Calibri" w:cs="Arial"/>
                <w:color w:val="000000"/>
                <w:kern w:val="24"/>
                <w:sz w:val="22"/>
                <w:szCs w:val="22"/>
              </w:rPr>
              <w:t>$274.08</w:t>
            </w:r>
          </w:p>
        </w:tc>
      </w:tr>
      <w:tr w:rsidR="00AE1599" w:rsidRPr="00862A18" w14:paraId="7B14C078" w14:textId="77777777" w:rsidTr="00F97E27">
        <w:tc>
          <w:tcPr>
            <w:tcW w:w="3937" w:type="dxa"/>
          </w:tcPr>
          <w:p w14:paraId="78513F07" w14:textId="77777777" w:rsidR="00AE1599" w:rsidRDefault="006934E2" w:rsidP="00AE1599">
            <w:pPr>
              <w:spacing w:after="0"/>
            </w:pPr>
            <w:r>
              <w:t xml:space="preserve">Institutional Certification </w:t>
            </w:r>
            <w:r w:rsidR="00AE1599">
              <w:t>for Study Data and Biospecimen Inventory, if applicable</w:t>
            </w:r>
          </w:p>
        </w:tc>
        <w:tc>
          <w:tcPr>
            <w:tcW w:w="1643" w:type="dxa"/>
            <w:tcBorders>
              <w:right w:val="single" w:sz="4" w:space="0" w:color="auto"/>
            </w:tcBorders>
            <w:vAlign w:val="center"/>
          </w:tcPr>
          <w:p w14:paraId="5FEBF4EA" w14:textId="77777777" w:rsidR="00AE1599" w:rsidRDefault="00AE1599" w:rsidP="00AE1599">
            <w:pPr>
              <w:tabs>
                <w:tab w:val="left" w:pos="1395"/>
              </w:tabs>
              <w:spacing w:after="0"/>
              <w:jc w:val="center"/>
            </w:pPr>
            <w: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A1F9B22" w14:textId="77777777" w:rsidR="00AE1599"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sidRPr="006F1B10">
              <w:rPr>
                <w:rFonts w:ascii="Calibri" w:eastAsia="Calibri" w:hAnsi="Calibri" w:cs="Arial"/>
                <w:color w:val="000000"/>
                <w:kern w:val="24"/>
                <w:sz w:val="22"/>
                <w:szCs w:val="22"/>
              </w:rPr>
              <w:t>$</w:t>
            </w:r>
            <w:r>
              <w:rPr>
                <w:rFonts w:ascii="Calibri" w:eastAsia="Calibri" w:hAnsi="Calibri" w:cs="Arial"/>
                <w:color w:val="000000"/>
                <w:kern w:val="24"/>
                <w:sz w:val="22"/>
                <w:szCs w:val="22"/>
              </w:rPr>
              <w:t>45.68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8F574C" w14:textId="77777777" w:rsidR="00AE1599" w:rsidRDefault="00AE1599" w:rsidP="00AE1599">
            <w:pPr>
              <w:pStyle w:val="NormalWeb"/>
              <w:spacing w:before="0" w:beforeAutospacing="0" w:after="0" w:afterAutospacing="0" w:line="276" w:lineRule="auto"/>
              <w:jc w:val="center"/>
              <w:rPr>
                <w:rFonts w:ascii="Calibri" w:eastAsia="Calibri" w:hAnsi="Calibri" w:cs="Arial"/>
                <w:color w:val="000000"/>
                <w:kern w:val="24"/>
                <w:sz w:val="22"/>
                <w:szCs w:val="22"/>
              </w:rPr>
            </w:pPr>
            <w:r>
              <w:rPr>
                <w:rFonts w:ascii="Calibri" w:eastAsia="Calibri" w:hAnsi="Calibri" w:cs="Arial"/>
                <w:color w:val="000000"/>
                <w:kern w:val="24"/>
                <w:sz w:val="22"/>
                <w:szCs w:val="22"/>
              </w:rPr>
              <w:t>$137.04</w:t>
            </w:r>
          </w:p>
        </w:tc>
      </w:tr>
      <w:tr w:rsidR="004604B1" w:rsidRPr="00862A18" w14:paraId="3219CCB4" w14:textId="77777777" w:rsidTr="000C1415">
        <w:tc>
          <w:tcPr>
            <w:tcW w:w="7380" w:type="dxa"/>
            <w:gridSpan w:val="3"/>
            <w:tcBorders>
              <w:right w:val="single" w:sz="4" w:space="0" w:color="auto"/>
            </w:tcBorders>
            <w:shd w:val="clear" w:color="auto" w:fill="F2F2F2"/>
          </w:tcPr>
          <w:p w14:paraId="6628AED5" w14:textId="77777777" w:rsidR="004604B1" w:rsidRPr="00862A18" w:rsidRDefault="004604B1" w:rsidP="004604B1">
            <w:pPr>
              <w:pStyle w:val="NormalWeb"/>
              <w:spacing w:before="0" w:beforeAutospacing="0" w:after="0" w:afterAutospacing="0" w:line="276" w:lineRule="auto"/>
              <w:rPr>
                <w:rFonts w:ascii="Calibri" w:hAnsi="Calibri"/>
                <w:b/>
                <w:sz w:val="22"/>
                <w:szCs w:val="22"/>
              </w:rPr>
            </w:pPr>
            <w:r>
              <w:rPr>
                <w:rFonts w:ascii="Calibri" w:hAnsi="Calibri"/>
                <w:b/>
                <w:sz w:val="22"/>
                <w:szCs w:val="22"/>
              </w:rPr>
              <w:t>Total Cost</w:t>
            </w:r>
          </w:p>
        </w:tc>
        <w:tc>
          <w:tcPr>
            <w:tcW w:w="2340" w:type="dxa"/>
            <w:tcBorders>
              <w:top w:val="single" w:sz="4" w:space="0" w:color="auto"/>
              <w:left w:val="single" w:sz="4" w:space="0" w:color="auto"/>
              <w:bottom w:val="single" w:sz="4" w:space="0" w:color="auto"/>
              <w:right w:val="single" w:sz="4" w:space="0" w:color="auto"/>
            </w:tcBorders>
            <w:shd w:val="clear" w:color="auto" w:fill="F2F2F2"/>
            <w:vAlign w:val="center"/>
          </w:tcPr>
          <w:p w14:paraId="41C8094E" w14:textId="54EC219B" w:rsidR="004604B1" w:rsidRPr="006C1DB1" w:rsidRDefault="006C1DB1" w:rsidP="006C1DB1">
            <w:pPr>
              <w:spacing w:after="0" w:line="240" w:lineRule="auto"/>
              <w:jc w:val="center"/>
              <w:rPr>
                <w:b/>
                <w:color w:val="000000"/>
              </w:rPr>
            </w:pPr>
            <w:r w:rsidRPr="006C1DB1">
              <w:rPr>
                <w:b/>
                <w:color w:val="000000"/>
              </w:rPr>
              <w:t xml:space="preserve">$9,318.72 </w:t>
            </w:r>
          </w:p>
        </w:tc>
      </w:tr>
    </w:tbl>
    <w:p w14:paraId="22CEE74A" w14:textId="77777777" w:rsidR="009810A0" w:rsidRPr="004513E3" w:rsidRDefault="00FB5625" w:rsidP="00F226AB">
      <w:pPr>
        <w:spacing w:before="240"/>
        <w:rPr>
          <w:sz w:val="18"/>
        </w:rPr>
      </w:pPr>
      <w:r w:rsidRPr="004513E3">
        <w:rPr>
          <w:sz w:val="18"/>
        </w:rPr>
        <w:t>Salary/Wage Source: Bureau of Labor Statistics/Occupational Employment</w:t>
      </w:r>
      <w:r w:rsidR="006F1B10">
        <w:rPr>
          <w:sz w:val="18"/>
        </w:rPr>
        <w:t xml:space="preserve"> and Wages, May 201</w:t>
      </w:r>
      <w:r w:rsidR="00E7652D">
        <w:rPr>
          <w:sz w:val="18"/>
        </w:rPr>
        <w:t>6</w:t>
      </w:r>
      <w:r w:rsidR="006F1B10">
        <w:rPr>
          <w:sz w:val="18"/>
        </w:rPr>
        <w:t xml:space="preserve">: </w:t>
      </w:r>
      <w:r w:rsidR="002E63F4">
        <w:rPr>
          <w:sz w:val="18"/>
        </w:rPr>
        <w:t xml:space="preserve">Occupational Code </w:t>
      </w:r>
      <w:r w:rsidR="006F1B10" w:rsidRPr="006F1B10">
        <w:rPr>
          <w:sz w:val="18"/>
        </w:rPr>
        <w:t>19-1042</w:t>
      </w:r>
      <w:r w:rsidR="002E63F4">
        <w:rPr>
          <w:sz w:val="18"/>
        </w:rPr>
        <w:t>,</w:t>
      </w:r>
      <w:r w:rsidR="006F1B10" w:rsidRPr="006F1B10">
        <w:rPr>
          <w:sz w:val="18"/>
        </w:rPr>
        <w:t xml:space="preserve"> Medical Scientists</w:t>
      </w:r>
      <w:r w:rsidR="002E63F4">
        <w:rPr>
          <w:sz w:val="18"/>
        </w:rPr>
        <w:t>,</w:t>
      </w:r>
      <w:r w:rsidR="006F1B10" w:rsidRPr="006F1B10">
        <w:rPr>
          <w:sz w:val="18"/>
        </w:rPr>
        <w:t xml:space="preserve"> national estimates:</w:t>
      </w:r>
      <w:r w:rsidR="006F1B10">
        <w:rPr>
          <w:sz w:val="18"/>
        </w:rPr>
        <w:t xml:space="preserve"> </w:t>
      </w:r>
      <w:hyperlink r:id="rId19" w:history="1">
        <w:r w:rsidR="006F1B10" w:rsidRPr="0037748B">
          <w:rPr>
            <w:rStyle w:val="Hyperlink"/>
            <w:sz w:val="18"/>
          </w:rPr>
          <w:t>http://www.bls.gov/oes/current/oes191042.htm</w:t>
        </w:r>
      </w:hyperlink>
      <w:r w:rsidR="006F1B10">
        <w:rPr>
          <w:sz w:val="18"/>
        </w:rPr>
        <w:t xml:space="preserve"> </w:t>
      </w:r>
    </w:p>
    <w:p w14:paraId="768BC9D0" w14:textId="77777777" w:rsidR="00FF72FC" w:rsidRPr="00E35DD1" w:rsidRDefault="00FF72FC" w:rsidP="004C5217">
      <w:pPr>
        <w:pStyle w:val="Heading2"/>
      </w:pPr>
      <w:bookmarkStart w:id="67" w:name="_Toc442286344"/>
      <w:bookmarkStart w:id="68" w:name="_Toc508106950"/>
      <w:r w:rsidRPr="00E35DD1">
        <w:t>A.13</w:t>
      </w:r>
      <w:r w:rsidRPr="00E35DD1">
        <w:tab/>
        <w:t>Estimate of Other Total Annual Cost Burden to Respondents or Record Keepers</w:t>
      </w:r>
      <w:bookmarkEnd w:id="67"/>
      <w:bookmarkEnd w:id="68"/>
    </w:p>
    <w:p w14:paraId="6BCA18C9" w14:textId="77777777" w:rsidR="00FB5625" w:rsidRDefault="00FB5625" w:rsidP="00FB5625">
      <w:r>
        <w:t>There are no additional costs other than the respondents’ burden given in A12</w:t>
      </w:r>
      <w:r w:rsidR="00914F18">
        <w:t>.</w:t>
      </w:r>
    </w:p>
    <w:p w14:paraId="4325CA56" w14:textId="77777777" w:rsidR="00FF72FC" w:rsidRDefault="00FF72FC" w:rsidP="004C5217">
      <w:pPr>
        <w:pStyle w:val="Heading2"/>
      </w:pPr>
      <w:bookmarkStart w:id="69" w:name="_Toc442286345"/>
      <w:bookmarkStart w:id="70" w:name="_Toc508106951"/>
      <w:r w:rsidRPr="008942E9">
        <w:t>A.14</w:t>
      </w:r>
      <w:r w:rsidRPr="008942E9">
        <w:tab/>
      </w:r>
      <w:r w:rsidRPr="00AE3B22">
        <w:rPr>
          <w:highlight w:val="yellow"/>
        </w:rPr>
        <w:t>Annualized Cost to the Federal Government</w:t>
      </w:r>
      <w:bookmarkEnd w:id="69"/>
      <w:bookmarkEnd w:id="70"/>
      <w:r w:rsidRPr="008942E9">
        <w:t xml:space="preserve">  </w:t>
      </w:r>
    </w:p>
    <w:p w14:paraId="1BD00DB3" w14:textId="4C677345" w:rsidR="004C617C" w:rsidRPr="00BD19F7" w:rsidRDefault="004C617C" w:rsidP="004C617C">
      <w:pPr>
        <w:pStyle w:val="P1-StandPara"/>
        <w:ind w:firstLine="0"/>
        <w:rPr>
          <w:rFonts w:ascii="Calibri" w:hAnsi="Calibri"/>
        </w:rPr>
      </w:pPr>
      <w:r w:rsidRPr="00BD19F7">
        <w:rPr>
          <w:rFonts w:ascii="Calibri" w:hAnsi="Calibri"/>
        </w:rPr>
        <w:t>The annualized cost to the federal government is $ 14,</w:t>
      </w:r>
      <w:r w:rsidR="0011528C">
        <w:rPr>
          <w:rFonts w:ascii="Calibri" w:hAnsi="Calibri"/>
        </w:rPr>
        <w:t>781</w:t>
      </w:r>
    </w:p>
    <w:p w14:paraId="17AA584F" w14:textId="77777777" w:rsidR="008907A5" w:rsidRPr="008907A5" w:rsidRDefault="008907A5" w:rsidP="008907A5">
      <w:pPr>
        <w:pStyle w:val="P1-StandPara"/>
        <w:rPr>
          <w:sz w:val="10"/>
          <w:szCs w:val="10"/>
        </w:rPr>
      </w:pPr>
    </w:p>
    <w:tbl>
      <w:tblPr>
        <w:tblW w:w="9522" w:type="dxa"/>
        <w:tblInd w:w="108"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531918" w:rsidRPr="00931710" w14:paraId="27D19B51" w14:textId="77777777" w:rsidTr="008B6DAE">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7D0A7EBA" w14:textId="77777777" w:rsidR="00531918" w:rsidRPr="00931710" w:rsidRDefault="00531918" w:rsidP="008B6DAE">
            <w:pPr>
              <w:jc w:val="center"/>
              <w:rPr>
                <w:b/>
                <w:bCs/>
                <w:color w:val="000000"/>
              </w:rPr>
            </w:pPr>
            <w:r w:rsidRPr="00931710">
              <w:rPr>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tcPr>
          <w:p w14:paraId="16AC8FF9" w14:textId="77777777" w:rsidR="00531918" w:rsidRPr="00931710" w:rsidRDefault="00531918" w:rsidP="008B6DAE">
            <w:pPr>
              <w:jc w:val="center"/>
              <w:rPr>
                <w:b/>
                <w:bCs/>
                <w:color w:val="000000"/>
              </w:rPr>
            </w:pPr>
            <w:r w:rsidRPr="00931710">
              <w:rPr>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1BF43C" w14:textId="77777777" w:rsidR="00531918" w:rsidRPr="00931710" w:rsidRDefault="00531918" w:rsidP="008B6DAE">
            <w:pPr>
              <w:jc w:val="center"/>
              <w:rPr>
                <w:b/>
                <w:bCs/>
              </w:rPr>
            </w:pPr>
            <w:r w:rsidRPr="00931710">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758527" w14:textId="77777777" w:rsidR="00531918" w:rsidRPr="00931710" w:rsidRDefault="00531918" w:rsidP="008B6DAE">
            <w:pPr>
              <w:jc w:val="center"/>
              <w:rPr>
                <w:b/>
                <w:bCs/>
              </w:rPr>
            </w:pPr>
            <w:r w:rsidRPr="00931710">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5381FD9C" w14:textId="77777777" w:rsidR="00531918" w:rsidRPr="00931710" w:rsidRDefault="00531918" w:rsidP="008B6DAE">
            <w:pPr>
              <w:jc w:val="center"/>
              <w:rPr>
                <w:b/>
                <w:bCs/>
              </w:rPr>
            </w:pPr>
            <w:r w:rsidRPr="00931710">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CEB3EB6" w14:textId="77777777" w:rsidR="00531918" w:rsidRPr="00931710" w:rsidRDefault="00531918" w:rsidP="008B6DAE">
            <w:pPr>
              <w:jc w:val="center"/>
              <w:rPr>
                <w:b/>
                <w:bCs/>
              </w:rPr>
            </w:pPr>
            <w:r w:rsidRPr="00931710">
              <w:rPr>
                <w:b/>
                <w:bCs/>
              </w:rPr>
              <w:t>Total Cost to Gov’t</w:t>
            </w:r>
          </w:p>
        </w:tc>
      </w:tr>
      <w:tr w:rsidR="00531918" w:rsidRPr="00931710" w14:paraId="652788CC" w14:textId="77777777" w:rsidTr="008B6DAE">
        <w:trPr>
          <w:trHeight w:val="871"/>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F404C0B" w14:textId="77777777" w:rsidR="00531918" w:rsidRPr="00931710" w:rsidRDefault="008B6DAE" w:rsidP="008B6DAE">
            <w:pPr>
              <w:spacing w:after="0"/>
              <w:rPr>
                <w:b/>
                <w:color w:val="000000"/>
                <w:highlight w:val="yellow"/>
              </w:rPr>
            </w:pPr>
            <w:r w:rsidRPr="00931710">
              <w:rPr>
                <w:b/>
                <w:color w:val="000000"/>
              </w:rPr>
              <w:t xml:space="preserve">Federal Oversight - </w:t>
            </w:r>
            <w:r w:rsidRPr="00862A18">
              <w:rPr>
                <w:rFonts w:cs="Arial"/>
                <w:color w:val="000000"/>
                <w:kern w:val="24"/>
              </w:rPr>
              <w:t xml:space="preserve"> Application Lead/ Program Officer</w:t>
            </w:r>
          </w:p>
        </w:tc>
        <w:tc>
          <w:tcPr>
            <w:tcW w:w="1440" w:type="dxa"/>
            <w:tcBorders>
              <w:top w:val="nil"/>
              <w:left w:val="nil"/>
              <w:bottom w:val="single" w:sz="8" w:space="0" w:color="auto"/>
              <w:right w:val="single" w:sz="8" w:space="0" w:color="auto"/>
            </w:tcBorders>
          </w:tcPr>
          <w:p w14:paraId="50B1FEC3" w14:textId="77777777" w:rsidR="00531918" w:rsidRPr="00931710" w:rsidRDefault="008B6DAE" w:rsidP="008B6DAE">
            <w:pPr>
              <w:jc w:val="center"/>
              <w:rPr>
                <w:color w:val="000000"/>
                <w:highlight w:val="yellow"/>
              </w:rPr>
            </w:pPr>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57876497" w14:textId="77777777" w:rsidR="00531918" w:rsidRPr="00931710" w:rsidRDefault="008B6DAE" w:rsidP="008B6DAE">
            <w:pPr>
              <w:jc w:val="center"/>
            </w:pPr>
            <w:r w:rsidRPr="00862A18">
              <w:rPr>
                <w:rFonts w:cs="Arial"/>
                <w:color w:val="000000"/>
                <w:kern w:val="24"/>
              </w:rPr>
              <w:t xml:space="preserve">$ </w:t>
            </w:r>
            <w:r w:rsidR="00E7652D">
              <w:rPr>
                <w:rFonts w:cs="Arial"/>
                <w:color w:val="000000"/>
                <w:kern w:val="24"/>
              </w:rPr>
              <w:t>1</w:t>
            </w:r>
            <w:r w:rsidR="00BA6170">
              <w:rPr>
                <w:rFonts w:cs="Arial"/>
                <w:color w:val="000000"/>
                <w:kern w:val="24"/>
              </w:rPr>
              <w:t>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002AE853" w14:textId="77777777" w:rsidR="00531918" w:rsidRPr="00931710" w:rsidRDefault="004C617C" w:rsidP="008B6DAE">
            <w:pPr>
              <w:jc w:val="center"/>
            </w:pPr>
            <w:r>
              <w:t>2.0</w:t>
            </w:r>
          </w:p>
        </w:tc>
        <w:tc>
          <w:tcPr>
            <w:tcW w:w="1363" w:type="dxa"/>
            <w:tcBorders>
              <w:top w:val="nil"/>
              <w:left w:val="nil"/>
              <w:bottom w:val="single" w:sz="8" w:space="0" w:color="auto"/>
              <w:right w:val="single" w:sz="8" w:space="0" w:color="auto"/>
            </w:tcBorders>
            <w:shd w:val="clear" w:color="auto" w:fill="BFBFBF"/>
          </w:tcPr>
          <w:p w14:paraId="091F681C" w14:textId="77777777" w:rsidR="00531918" w:rsidRPr="00931710" w:rsidRDefault="00531918" w:rsidP="008B6DAE">
            <w:pPr>
              <w:jc w:val="center"/>
            </w:pPr>
          </w:p>
        </w:tc>
        <w:tc>
          <w:tcPr>
            <w:tcW w:w="1363" w:type="dxa"/>
            <w:tcBorders>
              <w:top w:val="nil"/>
              <w:left w:val="nil"/>
              <w:bottom w:val="single" w:sz="8" w:space="0" w:color="auto"/>
              <w:right w:val="single" w:sz="8" w:space="0" w:color="auto"/>
            </w:tcBorders>
          </w:tcPr>
          <w:p w14:paraId="14E9B73E" w14:textId="77777777" w:rsidR="00531918" w:rsidRPr="00931710" w:rsidRDefault="008B6DAE" w:rsidP="00BB2499">
            <w:pPr>
              <w:jc w:val="center"/>
            </w:pPr>
            <w:r w:rsidRPr="00862A18">
              <w:rPr>
                <w:rFonts w:cs="Arial"/>
                <w:color w:val="000000"/>
                <w:kern w:val="24"/>
              </w:rPr>
              <w:t xml:space="preserve">$ </w:t>
            </w:r>
            <w:r w:rsidR="004C617C">
              <w:rPr>
                <w:rFonts w:cs="Arial"/>
                <w:color w:val="000000"/>
                <w:kern w:val="24"/>
              </w:rPr>
              <w:t>2,</w:t>
            </w:r>
            <w:r w:rsidR="00210406">
              <w:rPr>
                <w:rFonts w:cs="Arial"/>
                <w:color w:val="000000"/>
                <w:kern w:val="24"/>
              </w:rPr>
              <w:t>898.90</w:t>
            </w:r>
          </w:p>
        </w:tc>
      </w:tr>
      <w:tr w:rsidR="00531918" w:rsidRPr="00931710" w14:paraId="18533D95" w14:textId="77777777" w:rsidTr="008B6D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8B7EF69" w14:textId="77777777" w:rsidR="008B6DAE" w:rsidRDefault="00531918" w:rsidP="008B6DAE">
            <w:pPr>
              <w:spacing w:after="0"/>
              <w:rPr>
                <w:rFonts w:cs="Arial"/>
                <w:color w:val="000000"/>
                <w:kern w:val="24"/>
              </w:rPr>
            </w:pPr>
            <w:r w:rsidRPr="00931710">
              <w:rPr>
                <w:b/>
              </w:rPr>
              <w:t>Contractor Cost</w:t>
            </w:r>
            <w:r w:rsidR="008B6DAE">
              <w:rPr>
                <w:rFonts w:cs="Arial"/>
                <w:color w:val="000000"/>
                <w:kern w:val="24"/>
              </w:rPr>
              <w:t xml:space="preserve"> – </w:t>
            </w:r>
          </w:p>
          <w:p w14:paraId="03686385" w14:textId="77777777" w:rsidR="00531918" w:rsidRPr="00931710" w:rsidRDefault="008B6DAE" w:rsidP="008B6DAE">
            <w:pPr>
              <w:rPr>
                <w:b/>
              </w:rPr>
            </w:pPr>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shd w:val="clear" w:color="auto" w:fill="BFBFBF"/>
          </w:tcPr>
          <w:p w14:paraId="56BE86A9" w14:textId="77777777" w:rsidR="00531918" w:rsidRPr="00931710" w:rsidRDefault="00531918" w:rsidP="008B6DAE">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14:paraId="6640D4B6" w14:textId="77777777" w:rsidR="00531918" w:rsidRPr="00931710" w:rsidRDefault="008B6DAE" w:rsidP="002D17CA">
            <w:pPr>
              <w:jc w:val="center"/>
            </w:pPr>
            <w:r w:rsidRPr="00931710">
              <w:t xml:space="preserve">$ </w:t>
            </w:r>
            <w:r w:rsidR="004C5217">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602D49B8" w14:textId="77777777" w:rsidR="00531918" w:rsidRPr="00931710" w:rsidRDefault="00D272C7" w:rsidP="008B6DAE">
            <w:pPr>
              <w:jc w:val="center"/>
            </w:pPr>
            <w:r w:rsidRPr="00931710">
              <w:t>10</w:t>
            </w:r>
            <w:r w:rsidR="002D17CA" w:rsidRPr="00931710">
              <w:t>.0</w:t>
            </w:r>
          </w:p>
        </w:tc>
        <w:tc>
          <w:tcPr>
            <w:tcW w:w="1363" w:type="dxa"/>
            <w:tcBorders>
              <w:top w:val="nil"/>
              <w:left w:val="nil"/>
              <w:bottom w:val="single" w:sz="8" w:space="0" w:color="auto"/>
              <w:right w:val="single" w:sz="8" w:space="0" w:color="auto"/>
            </w:tcBorders>
          </w:tcPr>
          <w:p w14:paraId="4471FE7F" w14:textId="77777777" w:rsidR="00531918" w:rsidRPr="00931710" w:rsidRDefault="003D7FAB" w:rsidP="008B6DAE">
            <w:pPr>
              <w:jc w:val="center"/>
            </w:pPr>
            <w:r w:rsidRPr="00931710">
              <w:t>N/A</w:t>
            </w:r>
          </w:p>
        </w:tc>
        <w:tc>
          <w:tcPr>
            <w:tcW w:w="1363" w:type="dxa"/>
            <w:tcBorders>
              <w:top w:val="nil"/>
              <w:left w:val="nil"/>
              <w:bottom w:val="single" w:sz="8" w:space="0" w:color="auto"/>
              <w:right w:val="single" w:sz="8" w:space="0" w:color="auto"/>
            </w:tcBorders>
          </w:tcPr>
          <w:p w14:paraId="643D2221" w14:textId="77777777" w:rsidR="00531918" w:rsidRPr="00931710" w:rsidRDefault="002D17CA" w:rsidP="00D272C7">
            <w:pPr>
              <w:jc w:val="center"/>
            </w:pPr>
            <w:r w:rsidRPr="00931710">
              <w:t xml:space="preserve">$ </w:t>
            </w:r>
            <w:r w:rsidR="004C5217">
              <w:t>11,883.00</w:t>
            </w:r>
          </w:p>
        </w:tc>
      </w:tr>
      <w:tr w:rsidR="00102A15" w:rsidRPr="00931710" w14:paraId="7895E904" w14:textId="77777777" w:rsidTr="00931710">
        <w:trPr>
          <w:trHeight w:val="300"/>
        </w:trPr>
        <w:tc>
          <w:tcPr>
            <w:tcW w:w="815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6E3EB1" w14:textId="77777777" w:rsidR="00102A15" w:rsidRPr="00931710" w:rsidRDefault="00102A15" w:rsidP="00102A15">
            <w:r w:rsidRPr="00931710">
              <w:rPr>
                <w:b/>
              </w:rPr>
              <w:t>Total Cost</w:t>
            </w:r>
          </w:p>
        </w:tc>
        <w:tc>
          <w:tcPr>
            <w:tcW w:w="1363" w:type="dxa"/>
            <w:tcBorders>
              <w:top w:val="nil"/>
              <w:left w:val="nil"/>
              <w:bottom w:val="single" w:sz="8" w:space="0" w:color="auto"/>
              <w:right w:val="single" w:sz="8" w:space="0" w:color="auto"/>
            </w:tcBorders>
          </w:tcPr>
          <w:p w14:paraId="3C67E3AB" w14:textId="77777777" w:rsidR="00102A15" w:rsidRPr="00931710" w:rsidRDefault="00102A15" w:rsidP="004C617C">
            <w:pPr>
              <w:jc w:val="center"/>
              <w:rPr>
                <w:b/>
              </w:rPr>
            </w:pPr>
            <w:r w:rsidRPr="00931710">
              <w:rPr>
                <w:b/>
              </w:rPr>
              <w:t>$ 1</w:t>
            </w:r>
            <w:r w:rsidR="004C617C">
              <w:rPr>
                <w:b/>
              </w:rPr>
              <w:t>4,</w:t>
            </w:r>
            <w:r w:rsidR="004C5217">
              <w:rPr>
                <w:b/>
              </w:rPr>
              <w:t>781.90</w:t>
            </w:r>
            <w:r w:rsidRPr="00931710">
              <w:rPr>
                <w:b/>
              </w:rPr>
              <w:t xml:space="preserve"> </w:t>
            </w:r>
          </w:p>
        </w:tc>
      </w:tr>
    </w:tbl>
    <w:p w14:paraId="2A192CC0" w14:textId="77777777" w:rsidR="00531918" w:rsidRPr="00A70E41" w:rsidRDefault="00102A15" w:rsidP="00A70E41">
      <w:pPr>
        <w:spacing w:before="240"/>
        <w:rPr>
          <w:sz w:val="18"/>
          <w:szCs w:val="18"/>
        </w:rPr>
      </w:pPr>
      <w:r w:rsidRPr="00102A15">
        <w:rPr>
          <w:sz w:val="18"/>
          <w:szCs w:val="18"/>
        </w:rPr>
        <w:t>Salary/Wage Source: Office of Personnel Management 201</w:t>
      </w:r>
      <w:r w:rsidR="00E7652D">
        <w:rPr>
          <w:sz w:val="18"/>
          <w:szCs w:val="18"/>
        </w:rPr>
        <w:t>7</w:t>
      </w:r>
      <w:r w:rsidRPr="00102A15">
        <w:rPr>
          <w:sz w:val="18"/>
          <w:szCs w:val="18"/>
        </w:rPr>
        <w:t xml:space="preserve"> General Schedule Locality Salary Table for various GS-levels; contractor rates based on GSA IT schedules.</w:t>
      </w:r>
    </w:p>
    <w:p w14:paraId="22D6839D" w14:textId="77777777" w:rsidR="00FF72FC" w:rsidRPr="00E35DD1" w:rsidRDefault="00FF72FC" w:rsidP="004C5217">
      <w:pPr>
        <w:pStyle w:val="Heading2"/>
      </w:pPr>
      <w:bookmarkStart w:id="71" w:name="_Toc442286346"/>
      <w:bookmarkStart w:id="72" w:name="_Toc508106952"/>
      <w:r w:rsidRPr="00E35DD1">
        <w:t>A.15</w:t>
      </w:r>
      <w:r w:rsidRPr="00E35DD1">
        <w:tab/>
        <w:t>Explanation for Program Changes or Adjustments</w:t>
      </w:r>
      <w:bookmarkEnd w:id="71"/>
      <w:bookmarkEnd w:id="72"/>
    </w:p>
    <w:p w14:paraId="1A83EAEA" w14:textId="1C062C08" w:rsidR="00FB5625" w:rsidRPr="00AE3B22" w:rsidRDefault="00F02DE5" w:rsidP="00F02DE5">
      <w:pPr>
        <w:rPr>
          <w:highlight w:val="yellow"/>
        </w:rPr>
      </w:pPr>
      <w:bookmarkStart w:id="73" w:name="_Toc443881759"/>
      <w:bookmarkStart w:id="74" w:name="_Toc451592246"/>
      <w:bookmarkStart w:id="75" w:name="_Toc5610287"/>
      <w:bookmarkStart w:id="76" w:name="_Toc99178793"/>
      <w:r w:rsidRPr="00AE3B22">
        <w:rPr>
          <w:highlight w:val="yellow"/>
        </w:rPr>
        <w:t xml:space="preserve">NICHD DASH is expanding its functionality to </w:t>
      </w:r>
      <w:r w:rsidR="00EE6ED4">
        <w:rPr>
          <w:highlight w:val="yellow"/>
        </w:rPr>
        <w:t>facilitate</w:t>
      </w:r>
      <w:r w:rsidRPr="00AE3B22">
        <w:rPr>
          <w:highlight w:val="yellow"/>
        </w:rPr>
        <w:t xml:space="preserve"> biospecimen sharing</w:t>
      </w:r>
      <w:r w:rsidR="00FB5625" w:rsidRPr="00AE3B22">
        <w:rPr>
          <w:highlight w:val="yellow"/>
        </w:rPr>
        <w:t>.</w:t>
      </w:r>
      <w:r w:rsidRPr="00AE3B22">
        <w:rPr>
          <w:highlight w:val="yellow"/>
        </w:rPr>
        <w:t xml:space="preserve"> The new functionality will enable investigators to access biospecimens, available from the NICHD Biorepository, for purposes of secondary research. Establishing a central biospecimen inventory sharing resource through NICHD DASH also helps address the objectives of various NIH and federal data sharing initiatives. Enabling these new functionalities, however, will necessitate additional information gathering, as described in section A.2, Purpose and Use of the Information Collection.</w:t>
      </w:r>
    </w:p>
    <w:p w14:paraId="10951E80" w14:textId="77777777" w:rsidR="006949BB" w:rsidRPr="00FF6388" w:rsidRDefault="006949BB" w:rsidP="006949BB">
      <w:pPr>
        <w:rPr>
          <w:color w:val="000000" w:themeColor="text1"/>
        </w:rPr>
      </w:pPr>
      <w:r w:rsidRPr="00FF6388">
        <w:rPr>
          <w:color w:val="000000" w:themeColor="text1"/>
          <w:highlight w:val="yellow"/>
        </w:rPr>
        <w:t>An Annual Progress Report is necessary to keep track of progress of study data and biospecimen use from NICHD DASH to ensure that research conducted with DASH data and NICHD biospecimens conforms to the Data Use Agreement and the Material Transfer Agreement, respectively.</w:t>
      </w:r>
      <w:r w:rsidRPr="00FF6388">
        <w:rPr>
          <w:color w:val="000000" w:themeColor="text1"/>
        </w:rPr>
        <w:t xml:space="preserve"> </w:t>
      </w:r>
    </w:p>
    <w:p w14:paraId="51D7D46B" w14:textId="77777777" w:rsidR="00FF72FC" w:rsidRPr="00FB5625" w:rsidRDefault="00FF72FC" w:rsidP="004C5217">
      <w:pPr>
        <w:pStyle w:val="Heading2"/>
      </w:pPr>
      <w:bookmarkStart w:id="77" w:name="_Toc442286347"/>
      <w:bookmarkStart w:id="78" w:name="_Toc508106953"/>
      <w:r w:rsidRPr="00FB5625">
        <w:t>A.16</w:t>
      </w:r>
      <w:r w:rsidRPr="00FB5625">
        <w:tab/>
        <w:t>Plans for Tabulation and Publication and Project Time Schedule</w:t>
      </w:r>
      <w:bookmarkEnd w:id="73"/>
      <w:bookmarkEnd w:id="74"/>
      <w:bookmarkEnd w:id="75"/>
      <w:bookmarkEnd w:id="76"/>
      <w:bookmarkEnd w:id="77"/>
      <w:bookmarkEnd w:id="78"/>
    </w:p>
    <w:p w14:paraId="5FFCFCAA" w14:textId="7455E0F1" w:rsidR="007D54C0" w:rsidRDefault="004A77B0" w:rsidP="007D54C0">
      <w:r w:rsidRPr="00EF71AA">
        <w:rPr>
          <w:color w:val="000000"/>
        </w:rPr>
        <w:t>All</w:t>
      </w:r>
      <w:r w:rsidR="00D362E0" w:rsidRPr="00EF71AA">
        <w:rPr>
          <w:color w:val="000000"/>
        </w:rPr>
        <w:t xml:space="preserve"> the data collected from use of NICHD</w:t>
      </w:r>
      <w:r w:rsidR="00D362E0">
        <w:rPr>
          <w:color w:val="000000"/>
        </w:rPr>
        <w:t xml:space="preserve"> DASH </w:t>
      </w:r>
      <w:r w:rsidR="00D362E0" w:rsidRPr="00AE3B22">
        <w:rPr>
          <w:color w:val="000000"/>
          <w:highlight w:val="yellow"/>
        </w:rPr>
        <w:t xml:space="preserve">except for information provided in the </w:t>
      </w:r>
      <w:r w:rsidR="00AE3B22">
        <w:rPr>
          <w:color w:val="000000"/>
          <w:highlight w:val="yellow"/>
        </w:rPr>
        <w:t>A</w:t>
      </w:r>
      <w:r w:rsidR="00D362E0" w:rsidRPr="00AE3B22">
        <w:rPr>
          <w:color w:val="000000"/>
          <w:highlight w:val="yellow"/>
        </w:rPr>
        <w:t xml:space="preserve">nnual </w:t>
      </w:r>
      <w:r w:rsidR="00AE3B22">
        <w:rPr>
          <w:color w:val="000000"/>
          <w:highlight w:val="yellow"/>
        </w:rPr>
        <w:t>P</w:t>
      </w:r>
      <w:r w:rsidR="00D362E0" w:rsidRPr="00AE3B22">
        <w:rPr>
          <w:color w:val="000000"/>
          <w:highlight w:val="yellow"/>
        </w:rPr>
        <w:t>rogress</w:t>
      </w:r>
      <w:r w:rsidR="00AE3B22">
        <w:rPr>
          <w:color w:val="000000"/>
        </w:rPr>
        <w:t xml:space="preserve"> </w:t>
      </w:r>
      <w:r w:rsidR="00AE3B22" w:rsidRPr="00AE3B22">
        <w:rPr>
          <w:color w:val="000000"/>
          <w:highlight w:val="yellow"/>
        </w:rPr>
        <w:t>Report</w:t>
      </w:r>
      <w:r w:rsidR="00AE3B22">
        <w:rPr>
          <w:color w:val="000000"/>
        </w:rPr>
        <w:t xml:space="preserve"> </w:t>
      </w:r>
      <w:r w:rsidR="00D362E0">
        <w:rPr>
          <w:color w:val="000000"/>
        </w:rPr>
        <w:t xml:space="preserve">are for the purposes of internal administrative management of NICHD DASH. </w:t>
      </w:r>
      <w:r w:rsidR="00D362E0" w:rsidRPr="00AE3B22">
        <w:rPr>
          <w:highlight w:val="yellow"/>
        </w:rPr>
        <w:t xml:space="preserve">Information gathered through the </w:t>
      </w:r>
      <w:r w:rsidR="00AE3B22">
        <w:rPr>
          <w:highlight w:val="yellow"/>
        </w:rPr>
        <w:t>A</w:t>
      </w:r>
      <w:r w:rsidR="00D362E0" w:rsidRPr="00AE3B22">
        <w:rPr>
          <w:highlight w:val="yellow"/>
        </w:rPr>
        <w:t xml:space="preserve">nnual </w:t>
      </w:r>
      <w:r w:rsidR="00AE3B22">
        <w:rPr>
          <w:highlight w:val="yellow"/>
        </w:rPr>
        <w:t>P</w:t>
      </w:r>
      <w:r w:rsidR="00D362E0" w:rsidRPr="00AE3B22">
        <w:rPr>
          <w:highlight w:val="yellow"/>
        </w:rPr>
        <w:t xml:space="preserve">rogress </w:t>
      </w:r>
      <w:r w:rsidR="00AE3B22">
        <w:rPr>
          <w:color w:val="000000"/>
          <w:highlight w:val="yellow"/>
        </w:rPr>
        <w:t>R</w:t>
      </w:r>
      <w:r w:rsidR="00D362E0" w:rsidRPr="00AE3B22">
        <w:rPr>
          <w:color w:val="000000"/>
          <w:highlight w:val="yellow"/>
        </w:rPr>
        <w:t>eport may be used in publications describing performance of the DASH system.</w:t>
      </w:r>
      <w:r w:rsidR="00D362E0">
        <w:rPr>
          <w:color w:val="000000"/>
        </w:rPr>
        <w:t xml:space="preserve"> </w:t>
      </w:r>
    </w:p>
    <w:p w14:paraId="0775DFE6" w14:textId="77777777" w:rsidR="00FF72FC" w:rsidRPr="00E35DD1" w:rsidRDefault="00FF72FC" w:rsidP="004C5217">
      <w:pPr>
        <w:pStyle w:val="Heading2"/>
      </w:pPr>
      <w:bookmarkStart w:id="79" w:name="_Toc442286348"/>
      <w:bookmarkStart w:id="80" w:name="_Toc508106954"/>
      <w:r w:rsidRPr="00E35DD1">
        <w:t>A.17</w:t>
      </w:r>
      <w:r w:rsidRPr="00E35DD1">
        <w:tab/>
        <w:t>Reason(s) Display of OMB Expiration Date is Inappropriate</w:t>
      </w:r>
      <w:bookmarkEnd w:id="79"/>
      <w:bookmarkEnd w:id="80"/>
    </w:p>
    <w:p w14:paraId="501B41BC" w14:textId="77777777" w:rsidR="007D54C0" w:rsidRPr="005275E9" w:rsidRDefault="007D54C0" w:rsidP="007D54C0">
      <w:r>
        <w:t>Not applicable.</w:t>
      </w:r>
    </w:p>
    <w:p w14:paraId="40B5B891" w14:textId="77777777" w:rsidR="00FF72FC" w:rsidRPr="00E35DD1" w:rsidRDefault="00FF72FC" w:rsidP="004C5217">
      <w:pPr>
        <w:pStyle w:val="Heading2"/>
      </w:pPr>
      <w:bookmarkStart w:id="81" w:name="_Toc442286349"/>
      <w:bookmarkStart w:id="82" w:name="_Toc508106955"/>
      <w:r w:rsidRPr="00024899">
        <w:t>A.18</w:t>
      </w:r>
      <w:r w:rsidRPr="00024899">
        <w:tab/>
        <w:t>Exceptions to Certification for Paperwork Reduction Act Submissions</w:t>
      </w:r>
      <w:bookmarkEnd w:id="81"/>
      <w:bookmarkEnd w:id="82"/>
    </w:p>
    <w:p w14:paraId="16766267" w14:textId="77777777" w:rsidR="004C5217" w:rsidRDefault="007D54C0" w:rsidP="00767C53">
      <w:bookmarkStart w:id="83" w:name="_Toc425378799"/>
      <w:r w:rsidRPr="00AF2770">
        <w:t>The data</w:t>
      </w:r>
      <w:r w:rsidR="00DF434B">
        <w:t xml:space="preserve"> in NICHD DASH</w:t>
      </w:r>
      <w:r w:rsidRPr="00AF2770">
        <w:t xml:space="preserve"> are collected in a manner consistent with the certification statement. No exceptions are requested.</w:t>
      </w:r>
      <w:bookmarkEnd w:id="83"/>
    </w:p>
    <w:p w14:paraId="6E2EC256" w14:textId="77777777" w:rsidR="00F02DE5" w:rsidRPr="00F02DE5" w:rsidRDefault="00F02DE5" w:rsidP="00F02DE5">
      <w:pPr>
        <w:pStyle w:val="P1-StandPara"/>
        <w:ind w:firstLine="0"/>
      </w:pPr>
    </w:p>
    <w:sectPr w:rsidR="00F02DE5" w:rsidRPr="00F02DE5" w:rsidSect="00FE6EA5">
      <w:headerReference w:type="even" r:id="rId20"/>
      <w:headerReference w:type="default" r:id="rId21"/>
      <w:footerReference w:type="even" r:id="rId22"/>
      <w:footerReference w:type="default" r:id="rId23"/>
      <w:headerReference w:type="first" r:id="rId24"/>
      <w:footerReference w:type="first" r:id="rId25"/>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7C3A7" w14:textId="77777777" w:rsidR="0067266F" w:rsidRDefault="0067266F">
      <w:pPr>
        <w:spacing w:after="0" w:line="240" w:lineRule="auto"/>
      </w:pPr>
      <w:r>
        <w:separator/>
      </w:r>
    </w:p>
  </w:endnote>
  <w:endnote w:type="continuationSeparator" w:id="0">
    <w:p w14:paraId="0C987600" w14:textId="77777777" w:rsidR="0067266F" w:rsidRDefault="0067266F">
      <w:pPr>
        <w:spacing w:after="0" w:line="240" w:lineRule="auto"/>
      </w:pPr>
      <w:r>
        <w:continuationSeparator/>
      </w:r>
    </w:p>
  </w:endnote>
  <w:endnote w:type="continuationNotice" w:id="1">
    <w:p w14:paraId="4C633B0A" w14:textId="77777777" w:rsidR="0067266F" w:rsidRDefault="00672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06CB" w14:textId="77777777" w:rsidR="00BB3097" w:rsidRDefault="00BB3097"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E5DB4" w14:textId="77777777" w:rsidR="00BB3097" w:rsidRDefault="00BB3097">
    <w:pPr>
      <w:pStyle w:val="Footer"/>
    </w:pPr>
  </w:p>
  <w:p w14:paraId="7D6DB8EC" w14:textId="77777777" w:rsidR="00BB3097" w:rsidRDefault="00BB3097" w:rsidP="000C14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EF223" w14:textId="273EB7BA" w:rsidR="00BB3097" w:rsidRDefault="00BB3097" w:rsidP="00862A18">
    <w:pPr>
      <w:pStyle w:val="Footer"/>
      <w:pBdr>
        <w:top w:val="single" w:sz="4" w:space="1" w:color="D9D9D9"/>
      </w:pBdr>
      <w:jc w:val="right"/>
    </w:pPr>
    <w:r>
      <w:fldChar w:fldCharType="begin"/>
    </w:r>
    <w:r>
      <w:instrText xml:space="preserve"> PAGE   \* MERGEFORMAT </w:instrText>
    </w:r>
    <w:r>
      <w:fldChar w:fldCharType="separate"/>
    </w:r>
    <w:r w:rsidR="00EA7E74">
      <w:rPr>
        <w:noProof/>
      </w:rPr>
      <w:t>11</w:t>
    </w:r>
    <w:r>
      <w:rPr>
        <w:noProof/>
      </w:rPr>
      <w:fldChar w:fldCharType="end"/>
    </w:r>
  </w:p>
  <w:p w14:paraId="3FBC1224" w14:textId="77777777" w:rsidR="00BB3097" w:rsidRDefault="00BB3097" w:rsidP="000C1415">
    <w:pPr>
      <w:pStyle w:val="Footer"/>
      <w:jc w:val="center"/>
    </w:pPr>
  </w:p>
  <w:p w14:paraId="2D10B86F" w14:textId="77777777" w:rsidR="00BB3097" w:rsidRDefault="00BB3097" w:rsidP="000C14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FB67B" w14:textId="77777777" w:rsidR="00EA7E74" w:rsidRDefault="00EA7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9D67C" w14:textId="77777777" w:rsidR="0067266F" w:rsidRDefault="0067266F">
      <w:pPr>
        <w:spacing w:after="0" w:line="240" w:lineRule="auto"/>
      </w:pPr>
      <w:r>
        <w:separator/>
      </w:r>
    </w:p>
  </w:footnote>
  <w:footnote w:type="continuationSeparator" w:id="0">
    <w:p w14:paraId="71CCF11E" w14:textId="77777777" w:rsidR="0067266F" w:rsidRDefault="0067266F">
      <w:pPr>
        <w:spacing w:after="0" w:line="240" w:lineRule="auto"/>
      </w:pPr>
      <w:r>
        <w:continuationSeparator/>
      </w:r>
    </w:p>
  </w:footnote>
  <w:footnote w:type="continuationNotice" w:id="1">
    <w:p w14:paraId="7C19E16F" w14:textId="77777777" w:rsidR="0067266F" w:rsidRDefault="006726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77D9" w14:textId="77777777" w:rsidR="00EA7E74" w:rsidRDefault="00EA7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E9D9" w14:textId="77777777" w:rsidR="00EA7E74" w:rsidRDefault="00EA7E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2378" w14:textId="77777777" w:rsidR="00EA7E74" w:rsidRDefault="00EA7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9A2DBD"/>
    <w:multiLevelType w:val="hybridMultilevel"/>
    <w:tmpl w:val="D554AC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24B7B"/>
    <w:multiLevelType w:val="hybridMultilevel"/>
    <w:tmpl w:val="01B867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82D20"/>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42DAF"/>
    <w:multiLevelType w:val="hybridMultilevel"/>
    <w:tmpl w:val="8D1E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00A61"/>
    <w:multiLevelType w:val="hybridMultilevel"/>
    <w:tmpl w:val="43B26F68"/>
    <w:lvl w:ilvl="0" w:tplc="EDC44010">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442D96"/>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C17E4"/>
    <w:multiLevelType w:val="hybridMultilevel"/>
    <w:tmpl w:val="6C4CFF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02E1E9F"/>
    <w:multiLevelType w:val="hybridMultilevel"/>
    <w:tmpl w:val="278C9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890EB9"/>
    <w:multiLevelType w:val="hybridMultilevel"/>
    <w:tmpl w:val="8E6C6C7E"/>
    <w:lvl w:ilvl="0" w:tplc="D610B378">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CCD4224"/>
    <w:multiLevelType w:val="hybridMultilevel"/>
    <w:tmpl w:val="8F52C31E"/>
    <w:lvl w:ilvl="0" w:tplc="03C62C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AA389D"/>
    <w:multiLevelType w:val="hybridMultilevel"/>
    <w:tmpl w:val="3D82F2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7A0440D5"/>
    <w:multiLevelType w:val="hybridMultilevel"/>
    <w:tmpl w:val="C7C8F776"/>
    <w:lvl w:ilvl="0" w:tplc="EA7E9A1E">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187D0E"/>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6"/>
  </w:num>
  <w:num w:numId="4">
    <w:abstractNumId w:val="0"/>
  </w:num>
  <w:num w:numId="5">
    <w:abstractNumId w:val="6"/>
  </w:num>
  <w:num w:numId="6">
    <w:abstractNumId w:val="5"/>
  </w:num>
  <w:num w:numId="7">
    <w:abstractNumId w:val="9"/>
  </w:num>
  <w:num w:numId="8">
    <w:abstractNumId w:val="11"/>
  </w:num>
  <w:num w:numId="9">
    <w:abstractNumId w:val="10"/>
  </w:num>
  <w:num w:numId="10">
    <w:abstractNumId w:val="17"/>
  </w:num>
  <w:num w:numId="11">
    <w:abstractNumId w:val="1"/>
  </w:num>
  <w:num w:numId="12">
    <w:abstractNumId w:val="21"/>
  </w:num>
  <w:num w:numId="13">
    <w:abstractNumId w:val="15"/>
  </w:num>
  <w:num w:numId="14">
    <w:abstractNumId w:val="13"/>
  </w:num>
  <w:num w:numId="15">
    <w:abstractNumId w:val="7"/>
  </w:num>
  <w:num w:numId="16">
    <w:abstractNumId w:val="2"/>
  </w:num>
  <w:num w:numId="17">
    <w:abstractNumId w:val="14"/>
  </w:num>
  <w:num w:numId="18">
    <w:abstractNumId w:val="19"/>
  </w:num>
  <w:num w:numId="19">
    <w:abstractNumId w:val="23"/>
  </w:num>
  <w:num w:numId="20">
    <w:abstractNumId w:val="8"/>
  </w:num>
  <w:num w:numId="21">
    <w:abstractNumId w:val="4"/>
  </w:num>
  <w:num w:numId="22">
    <w:abstractNumId w:val="22"/>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5525"/>
    <w:rsid w:val="00007F00"/>
    <w:rsid w:val="000110B0"/>
    <w:rsid w:val="00016B37"/>
    <w:rsid w:val="00024899"/>
    <w:rsid w:val="00026BE6"/>
    <w:rsid w:val="00027959"/>
    <w:rsid w:val="00037032"/>
    <w:rsid w:val="00037EF1"/>
    <w:rsid w:val="000400C5"/>
    <w:rsid w:val="0004300B"/>
    <w:rsid w:val="00051406"/>
    <w:rsid w:val="00061843"/>
    <w:rsid w:val="0006441A"/>
    <w:rsid w:val="00065E81"/>
    <w:rsid w:val="00082051"/>
    <w:rsid w:val="00082EA7"/>
    <w:rsid w:val="00082F46"/>
    <w:rsid w:val="00083A5E"/>
    <w:rsid w:val="00084845"/>
    <w:rsid w:val="00094A92"/>
    <w:rsid w:val="00094DBC"/>
    <w:rsid w:val="000A21E0"/>
    <w:rsid w:val="000A461D"/>
    <w:rsid w:val="000A6A84"/>
    <w:rsid w:val="000B109E"/>
    <w:rsid w:val="000B1CF7"/>
    <w:rsid w:val="000B213D"/>
    <w:rsid w:val="000B2D02"/>
    <w:rsid w:val="000B3512"/>
    <w:rsid w:val="000B5B32"/>
    <w:rsid w:val="000C005A"/>
    <w:rsid w:val="000C050C"/>
    <w:rsid w:val="000C1415"/>
    <w:rsid w:val="000C23CD"/>
    <w:rsid w:val="000C5BBC"/>
    <w:rsid w:val="000D0639"/>
    <w:rsid w:val="000D5395"/>
    <w:rsid w:val="000E33E4"/>
    <w:rsid w:val="000F2E87"/>
    <w:rsid w:val="000F3043"/>
    <w:rsid w:val="000F3B99"/>
    <w:rsid w:val="000F5819"/>
    <w:rsid w:val="000F761D"/>
    <w:rsid w:val="00102A15"/>
    <w:rsid w:val="00104F51"/>
    <w:rsid w:val="00106518"/>
    <w:rsid w:val="00115207"/>
    <w:rsid w:val="0011528C"/>
    <w:rsid w:val="001174F9"/>
    <w:rsid w:val="00117843"/>
    <w:rsid w:val="0012007B"/>
    <w:rsid w:val="00120B31"/>
    <w:rsid w:val="001236A8"/>
    <w:rsid w:val="001270FA"/>
    <w:rsid w:val="0012716A"/>
    <w:rsid w:val="001272AF"/>
    <w:rsid w:val="00131868"/>
    <w:rsid w:val="001329AA"/>
    <w:rsid w:val="00133494"/>
    <w:rsid w:val="00135A52"/>
    <w:rsid w:val="00142B34"/>
    <w:rsid w:val="00147044"/>
    <w:rsid w:val="00150DD2"/>
    <w:rsid w:val="00151055"/>
    <w:rsid w:val="00152D24"/>
    <w:rsid w:val="00153669"/>
    <w:rsid w:val="0015585D"/>
    <w:rsid w:val="00156166"/>
    <w:rsid w:val="00163529"/>
    <w:rsid w:val="00170EC9"/>
    <w:rsid w:val="00175B9A"/>
    <w:rsid w:val="00181A46"/>
    <w:rsid w:val="001836DA"/>
    <w:rsid w:val="0018396C"/>
    <w:rsid w:val="00187A1E"/>
    <w:rsid w:val="00190BB3"/>
    <w:rsid w:val="0019785B"/>
    <w:rsid w:val="001A42A3"/>
    <w:rsid w:val="001A528A"/>
    <w:rsid w:val="001A7708"/>
    <w:rsid w:val="001B0CE6"/>
    <w:rsid w:val="001B1209"/>
    <w:rsid w:val="001C6F86"/>
    <w:rsid w:val="001C7F0F"/>
    <w:rsid w:val="001D4A69"/>
    <w:rsid w:val="001D5FB4"/>
    <w:rsid w:val="001E130D"/>
    <w:rsid w:val="001F329B"/>
    <w:rsid w:val="001F3E66"/>
    <w:rsid w:val="001F52A8"/>
    <w:rsid w:val="00200602"/>
    <w:rsid w:val="002068AE"/>
    <w:rsid w:val="00210406"/>
    <w:rsid w:val="00211B1D"/>
    <w:rsid w:val="002210C7"/>
    <w:rsid w:val="00221C6F"/>
    <w:rsid w:val="0022205C"/>
    <w:rsid w:val="002239A3"/>
    <w:rsid w:val="0022456F"/>
    <w:rsid w:val="00226362"/>
    <w:rsid w:val="00234057"/>
    <w:rsid w:val="00245089"/>
    <w:rsid w:val="0024646A"/>
    <w:rsid w:val="00255F7C"/>
    <w:rsid w:val="00257238"/>
    <w:rsid w:val="00257567"/>
    <w:rsid w:val="00257F03"/>
    <w:rsid w:val="0026437D"/>
    <w:rsid w:val="00265C64"/>
    <w:rsid w:val="002670CD"/>
    <w:rsid w:val="002863B9"/>
    <w:rsid w:val="002877DB"/>
    <w:rsid w:val="0029364F"/>
    <w:rsid w:val="00294754"/>
    <w:rsid w:val="00296CF5"/>
    <w:rsid w:val="002A044E"/>
    <w:rsid w:val="002A0651"/>
    <w:rsid w:val="002A28D1"/>
    <w:rsid w:val="002A3AFC"/>
    <w:rsid w:val="002B0030"/>
    <w:rsid w:val="002B0C85"/>
    <w:rsid w:val="002B23C3"/>
    <w:rsid w:val="002B2616"/>
    <w:rsid w:val="002B2FF7"/>
    <w:rsid w:val="002B34F4"/>
    <w:rsid w:val="002D17CA"/>
    <w:rsid w:val="002E1F03"/>
    <w:rsid w:val="002E5D8F"/>
    <w:rsid w:val="002E63F4"/>
    <w:rsid w:val="002E798D"/>
    <w:rsid w:val="002F0ED4"/>
    <w:rsid w:val="002F4317"/>
    <w:rsid w:val="002F5F62"/>
    <w:rsid w:val="002F7A78"/>
    <w:rsid w:val="003068CC"/>
    <w:rsid w:val="00306992"/>
    <w:rsid w:val="00306B7C"/>
    <w:rsid w:val="003101B5"/>
    <w:rsid w:val="00310766"/>
    <w:rsid w:val="00312856"/>
    <w:rsid w:val="00313B28"/>
    <w:rsid w:val="00323BF2"/>
    <w:rsid w:val="003353E1"/>
    <w:rsid w:val="00341560"/>
    <w:rsid w:val="00347F7D"/>
    <w:rsid w:val="00356D9D"/>
    <w:rsid w:val="0036208F"/>
    <w:rsid w:val="00367819"/>
    <w:rsid w:val="00370E35"/>
    <w:rsid w:val="00373426"/>
    <w:rsid w:val="0037555B"/>
    <w:rsid w:val="003765B2"/>
    <w:rsid w:val="00387552"/>
    <w:rsid w:val="0039417E"/>
    <w:rsid w:val="003A2519"/>
    <w:rsid w:val="003A45F1"/>
    <w:rsid w:val="003A4E25"/>
    <w:rsid w:val="003A6E71"/>
    <w:rsid w:val="003A7D4F"/>
    <w:rsid w:val="003B5110"/>
    <w:rsid w:val="003B56AC"/>
    <w:rsid w:val="003C05B1"/>
    <w:rsid w:val="003C4064"/>
    <w:rsid w:val="003D0D7F"/>
    <w:rsid w:val="003D1B1B"/>
    <w:rsid w:val="003D28E7"/>
    <w:rsid w:val="003D7386"/>
    <w:rsid w:val="003D7FAB"/>
    <w:rsid w:val="003E3254"/>
    <w:rsid w:val="003E5C04"/>
    <w:rsid w:val="003E7734"/>
    <w:rsid w:val="003F22FF"/>
    <w:rsid w:val="003F3AD9"/>
    <w:rsid w:val="003F677D"/>
    <w:rsid w:val="003F7B52"/>
    <w:rsid w:val="00405DB5"/>
    <w:rsid w:val="004141A9"/>
    <w:rsid w:val="00414A7F"/>
    <w:rsid w:val="004162EC"/>
    <w:rsid w:val="00417BD6"/>
    <w:rsid w:val="00422725"/>
    <w:rsid w:val="00422B2C"/>
    <w:rsid w:val="004231A6"/>
    <w:rsid w:val="00431A19"/>
    <w:rsid w:val="0043321C"/>
    <w:rsid w:val="00436859"/>
    <w:rsid w:val="004412E3"/>
    <w:rsid w:val="00443F2D"/>
    <w:rsid w:val="0044659A"/>
    <w:rsid w:val="004513E3"/>
    <w:rsid w:val="00453A78"/>
    <w:rsid w:val="00457433"/>
    <w:rsid w:val="004604B1"/>
    <w:rsid w:val="00461E97"/>
    <w:rsid w:val="004716CF"/>
    <w:rsid w:val="00472C23"/>
    <w:rsid w:val="00477B13"/>
    <w:rsid w:val="00480CE0"/>
    <w:rsid w:val="00482B01"/>
    <w:rsid w:val="0048552B"/>
    <w:rsid w:val="004859B9"/>
    <w:rsid w:val="0049539B"/>
    <w:rsid w:val="004954BE"/>
    <w:rsid w:val="0049754B"/>
    <w:rsid w:val="00497B81"/>
    <w:rsid w:val="004A5873"/>
    <w:rsid w:val="004A77B0"/>
    <w:rsid w:val="004B18F8"/>
    <w:rsid w:val="004B27F3"/>
    <w:rsid w:val="004B4683"/>
    <w:rsid w:val="004B4CBB"/>
    <w:rsid w:val="004B6DD4"/>
    <w:rsid w:val="004C3851"/>
    <w:rsid w:val="004C5217"/>
    <w:rsid w:val="004C617C"/>
    <w:rsid w:val="004C6921"/>
    <w:rsid w:val="004D1E99"/>
    <w:rsid w:val="004D4107"/>
    <w:rsid w:val="004F062A"/>
    <w:rsid w:val="00500441"/>
    <w:rsid w:val="00502E7C"/>
    <w:rsid w:val="00505CEA"/>
    <w:rsid w:val="005150E7"/>
    <w:rsid w:val="00515F7D"/>
    <w:rsid w:val="00531918"/>
    <w:rsid w:val="005410EA"/>
    <w:rsid w:val="00541340"/>
    <w:rsid w:val="00542C28"/>
    <w:rsid w:val="0054555C"/>
    <w:rsid w:val="00547159"/>
    <w:rsid w:val="00551F98"/>
    <w:rsid w:val="00553516"/>
    <w:rsid w:val="00553911"/>
    <w:rsid w:val="005634FB"/>
    <w:rsid w:val="00564CC0"/>
    <w:rsid w:val="00567D2E"/>
    <w:rsid w:val="00571E07"/>
    <w:rsid w:val="00572CD8"/>
    <w:rsid w:val="00583568"/>
    <w:rsid w:val="00583697"/>
    <w:rsid w:val="00583EE7"/>
    <w:rsid w:val="00591523"/>
    <w:rsid w:val="00594422"/>
    <w:rsid w:val="00594963"/>
    <w:rsid w:val="00597368"/>
    <w:rsid w:val="005A0738"/>
    <w:rsid w:val="005A172E"/>
    <w:rsid w:val="005A3DB8"/>
    <w:rsid w:val="005A6071"/>
    <w:rsid w:val="005A6E7C"/>
    <w:rsid w:val="005B027C"/>
    <w:rsid w:val="005B3897"/>
    <w:rsid w:val="005B3E48"/>
    <w:rsid w:val="005B6230"/>
    <w:rsid w:val="005C3DE6"/>
    <w:rsid w:val="005C5F75"/>
    <w:rsid w:val="005D7473"/>
    <w:rsid w:val="005E0F7E"/>
    <w:rsid w:val="005E2BD5"/>
    <w:rsid w:val="005E313A"/>
    <w:rsid w:val="005E3E43"/>
    <w:rsid w:val="005E550F"/>
    <w:rsid w:val="005F262B"/>
    <w:rsid w:val="005F334D"/>
    <w:rsid w:val="005F4A54"/>
    <w:rsid w:val="005F6254"/>
    <w:rsid w:val="0060307D"/>
    <w:rsid w:val="00603E74"/>
    <w:rsid w:val="0060695C"/>
    <w:rsid w:val="006162D6"/>
    <w:rsid w:val="006163F8"/>
    <w:rsid w:val="00617864"/>
    <w:rsid w:val="00627DA3"/>
    <w:rsid w:val="006335E4"/>
    <w:rsid w:val="00635A17"/>
    <w:rsid w:val="006372C5"/>
    <w:rsid w:val="00642FAA"/>
    <w:rsid w:val="00655F26"/>
    <w:rsid w:val="00660117"/>
    <w:rsid w:val="006613C2"/>
    <w:rsid w:val="006625EF"/>
    <w:rsid w:val="00663B49"/>
    <w:rsid w:val="006646B7"/>
    <w:rsid w:val="00667F69"/>
    <w:rsid w:val="006704F5"/>
    <w:rsid w:val="0067266F"/>
    <w:rsid w:val="006729F7"/>
    <w:rsid w:val="00674025"/>
    <w:rsid w:val="006743D0"/>
    <w:rsid w:val="006760FD"/>
    <w:rsid w:val="00684D32"/>
    <w:rsid w:val="00685B30"/>
    <w:rsid w:val="00690287"/>
    <w:rsid w:val="00692892"/>
    <w:rsid w:val="006934E2"/>
    <w:rsid w:val="0069424D"/>
    <w:rsid w:val="006949BB"/>
    <w:rsid w:val="006A2603"/>
    <w:rsid w:val="006A45F9"/>
    <w:rsid w:val="006C1DB1"/>
    <w:rsid w:val="006D2F15"/>
    <w:rsid w:val="006D32F0"/>
    <w:rsid w:val="006D5837"/>
    <w:rsid w:val="006E0FB4"/>
    <w:rsid w:val="006E3B97"/>
    <w:rsid w:val="006E52F8"/>
    <w:rsid w:val="006E631F"/>
    <w:rsid w:val="006F0867"/>
    <w:rsid w:val="006F1B10"/>
    <w:rsid w:val="006F4DE0"/>
    <w:rsid w:val="007063F8"/>
    <w:rsid w:val="00717158"/>
    <w:rsid w:val="00723118"/>
    <w:rsid w:val="00724D4E"/>
    <w:rsid w:val="007263F0"/>
    <w:rsid w:val="007340DE"/>
    <w:rsid w:val="00737CE2"/>
    <w:rsid w:val="007428F6"/>
    <w:rsid w:val="00752C31"/>
    <w:rsid w:val="00754AB0"/>
    <w:rsid w:val="00761FFF"/>
    <w:rsid w:val="0076255E"/>
    <w:rsid w:val="00767C53"/>
    <w:rsid w:val="007756A1"/>
    <w:rsid w:val="00776CCA"/>
    <w:rsid w:val="00782C39"/>
    <w:rsid w:val="00783079"/>
    <w:rsid w:val="0078633B"/>
    <w:rsid w:val="0079118C"/>
    <w:rsid w:val="00793F00"/>
    <w:rsid w:val="007A24C3"/>
    <w:rsid w:val="007A7005"/>
    <w:rsid w:val="007A7C1C"/>
    <w:rsid w:val="007B12EB"/>
    <w:rsid w:val="007B1830"/>
    <w:rsid w:val="007B61DF"/>
    <w:rsid w:val="007C1F7B"/>
    <w:rsid w:val="007D11BF"/>
    <w:rsid w:val="007D54C0"/>
    <w:rsid w:val="007D7D8B"/>
    <w:rsid w:val="007E0F97"/>
    <w:rsid w:val="007E1976"/>
    <w:rsid w:val="007E4CEA"/>
    <w:rsid w:val="007F3988"/>
    <w:rsid w:val="00800D8A"/>
    <w:rsid w:val="0080210E"/>
    <w:rsid w:val="00804E6E"/>
    <w:rsid w:val="008151F7"/>
    <w:rsid w:val="00816504"/>
    <w:rsid w:val="0081650D"/>
    <w:rsid w:val="00820245"/>
    <w:rsid w:val="00820E8D"/>
    <w:rsid w:val="00824D7E"/>
    <w:rsid w:val="00825984"/>
    <w:rsid w:val="008316C6"/>
    <w:rsid w:val="00831AFF"/>
    <w:rsid w:val="00833342"/>
    <w:rsid w:val="00833911"/>
    <w:rsid w:val="008359FA"/>
    <w:rsid w:val="0084176E"/>
    <w:rsid w:val="00842883"/>
    <w:rsid w:val="008548C5"/>
    <w:rsid w:val="0086248B"/>
    <w:rsid w:val="00862A18"/>
    <w:rsid w:val="0086397A"/>
    <w:rsid w:val="00871EF6"/>
    <w:rsid w:val="00873C26"/>
    <w:rsid w:val="0088563E"/>
    <w:rsid w:val="008907A5"/>
    <w:rsid w:val="008942E9"/>
    <w:rsid w:val="00894FF4"/>
    <w:rsid w:val="008A5D80"/>
    <w:rsid w:val="008A67D2"/>
    <w:rsid w:val="008B57CE"/>
    <w:rsid w:val="008B5AC7"/>
    <w:rsid w:val="008B6057"/>
    <w:rsid w:val="008B6DAE"/>
    <w:rsid w:val="008B7517"/>
    <w:rsid w:val="008C0215"/>
    <w:rsid w:val="008C0810"/>
    <w:rsid w:val="008C34A2"/>
    <w:rsid w:val="008C37AB"/>
    <w:rsid w:val="008C4770"/>
    <w:rsid w:val="008C4DF2"/>
    <w:rsid w:val="008D3913"/>
    <w:rsid w:val="008D54CF"/>
    <w:rsid w:val="008E08F7"/>
    <w:rsid w:val="008E32F4"/>
    <w:rsid w:val="008E5C41"/>
    <w:rsid w:val="008F109B"/>
    <w:rsid w:val="008F7DB8"/>
    <w:rsid w:val="00913143"/>
    <w:rsid w:val="00913AB0"/>
    <w:rsid w:val="00914F18"/>
    <w:rsid w:val="0091730D"/>
    <w:rsid w:val="00922CC2"/>
    <w:rsid w:val="00924F05"/>
    <w:rsid w:val="00926BCC"/>
    <w:rsid w:val="00931710"/>
    <w:rsid w:val="00936B07"/>
    <w:rsid w:val="00941822"/>
    <w:rsid w:val="009463AA"/>
    <w:rsid w:val="009500DA"/>
    <w:rsid w:val="00953843"/>
    <w:rsid w:val="0096557C"/>
    <w:rsid w:val="00965616"/>
    <w:rsid w:val="00965F3A"/>
    <w:rsid w:val="009667B2"/>
    <w:rsid w:val="009729D4"/>
    <w:rsid w:val="00972E2A"/>
    <w:rsid w:val="00973562"/>
    <w:rsid w:val="0097531C"/>
    <w:rsid w:val="009760BD"/>
    <w:rsid w:val="0097787B"/>
    <w:rsid w:val="009810A0"/>
    <w:rsid w:val="0098280F"/>
    <w:rsid w:val="0098356E"/>
    <w:rsid w:val="00992B97"/>
    <w:rsid w:val="009946BB"/>
    <w:rsid w:val="0099719E"/>
    <w:rsid w:val="009A49A3"/>
    <w:rsid w:val="009A69D6"/>
    <w:rsid w:val="009A7068"/>
    <w:rsid w:val="009A79BD"/>
    <w:rsid w:val="009B152D"/>
    <w:rsid w:val="009B5C6D"/>
    <w:rsid w:val="009C3E9D"/>
    <w:rsid w:val="009C49A0"/>
    <w:rsid w:val="009C579A"/>
    <w:rsid w:val="009C75C7"/>
    <w:rsid w:val="009C79AD"/>
    <w:rsid w:val="009D35B5"/>
    <w:rsid w:val="009D4A16"/>
    <w:rsid w:val="009D7CEC"/>
    <w:rsid w:val="009E29A1"/>
    <w:rsid w:val="009E4720"/>
    <w:rsid w:val="009E54F2"/>
    <w:rsid w:val="009F4144"/>
    <w:rsid w:val="009F488A"/>
    <w:rsid w:val="009F68D7"/>
    <w:rsid w:val="009F76A7"/>
    <w:rsid w:val="00A00CF8"/>
    <w:rsid w:val="00A04725"/>
    <w:rsid w:val="00A065ED"/>
    <w:rsid w:val="00A068DF"/>
    <w:rsid w:val="00A13510"/>
    <w:rsid w:val="00A15D80"/>
    <w:rsid w:val="00A160E6"/>
    <w:rsid w:val="00A2286C"/>
    <w:rsid w:val="00A27455"/>
    <w:rsid w:val="00A3363E"/>
    <w:rsid w:val="00A42BDD"/>
    <w:rsid w:val="00A437FA"/>
    <w:rsid w:val="00A443D5"/>
    <w:rsid w:val="00A51F66"/>
    <w:rsid w:val="00A54D89"/>
    <w:rsid w:val="00A5631D"/>
    <w:rsid w:val="00A5727F"/>
    <w:rsid w:val="00A627A4"/>
    <w:rsid w:val="00A66654"/>
    <w:rsid w:val="00A70E41"/>
    <w:rsid w:val="00A726AD"/>
    <w:rsid w:val="00A75509"/>
    <w:rsid w:val="00A84D28"/>
    <w:rsid w:val="00A85FC8"/>
    <w:rsid w:val="00A86220"/>
    <w:rsid w:val="00A86BCA"/>
    <w:rsid w:val="00A94851"/>
    <w:rsid w:val="00AA343F"/>
    <w:rsid w:val="00AB4532"/>
    <w:rsid w:val="00AB5D88"/>
    <w:rsid w:val="00AB6601"/>
    <w:rsid w:val="00AB6626"/>
    <w:rsid w:val="00AC5E11"/>
    <w:rsid w:val="00AD2E4E"/>
    <w:rsid w:val="00AD656C"/>
    <w:rsid w:val="00AE1599"/>
    <w:rsid w:val="00AE2321"/>
    <w:rsid w:val="00AE36B7"/>
    <w:rsid w:val="00AE3A44"/>
    <w:rsid w:val="00AE3B22"/>
    <w:rsid w:val="00AE420C"/>
    <w:rsid w:val="00AE7879"/>
    <w:rsid w:val="00AF73AC"/>
    <w:rsid w:val="00B00A57"/>
    <w:rsid w:val="00B00EB3"/>
    <w:rsid w:val="00B02897"/>
    <w:rsid w:val="00B03736"/>
    <w:rsid w:val="00B039F7"/>
    <w:rsid w:val="00B10575"/>
    <w:rsid w:val="00B16AB5"/>
    <w:rsid w:val="00B170E1"/>
    <w:rsid w:val="00B17D81"/>
    <w:rsid w:val="00B20768"/>
    <w:rsid w:val="00B234DC"/>
    <w:rsid w:val="00B23C72"/>
    <w:rsid w:val="00B35DF6"/>
    <w:rsid w:val="00B50B17"/>
    <w:rsid w:val="00B613BF"/>
    <w:rsid w:val="00B61623"/>
    <w:rsid w:val="00B64C9C"/>
    <w:rsid w:val="00B65A88"/>
    <w:rsid w:val="00B67391"/>
    <w:rsid w:val="00B73F2E"/>
    <w:rsid w:val="00B83113"/>
    <w:rsid w:val="00B858BE"/>
    <w:rsid w:val="00B87FAD"/>
    <w:rsid w:val="00B91BA8"/>
    <w:rsid w:val="00BA3D7A"/>
    <w:rsid w:val="00BA4E88"/>
    <w:rsid w:val="00BA585D"/>
    <w:rsid w:val="00BA6170"/>
    <w:rsid w:val="00BA789F"/>
    <w:rsid w:val="00BB2499"/>
    <w:rsid w:val="00BB3097"/>
    <w:rsid w:val="00BB41ED"/>
    <w:rsid w:val="00BB5FE0"/>
    <w:rsid w:val="00BC0A78"/>
    <w:rsid w:val="00BC1D48"/>
    <w:rsid w:val="00BC5F57"/>
    <w:rsid w:val="00BC6FC0"/>
    <w:rsid w:val="00BD087B"/>
    <w:rsid w:val="00BD19F7"/>
    <w:rsid w:val="00BD63BA"/>
    <w:rsid w:val="00BD6C39"/>
    <w:rsid w:val="00BE37F5"/>
    <w:rsid w:val="00BE5EFA"/>
    <w:rsid w:val="00BE76A7"/>
    <w:rsid w:val="00BE7F6A"/>
    <w:rsid w:val="00BF0C39"/>
    <w:rsid w:val="00BF317A"/>
    <w:rsid w:val="00BF491C"/>
    <w:rsid w:val="00BF4F1B"/>
    <w:rsid w:val="00C14A68"/>
    <w:rsid w:val="00C20096"/>
    <w:rsid w:val="00C2456D"/>
    <w:rsid w:val="00C25DCA"/>
    <w:rsid w:val="00C3560A"/>
    <w:rsid w:val="00C36B5C"/>
    <w:rsid w:val="00C375EB"/>
    <w:rsid w:val="00C37E21"/>
    <w:rsid w:val="00C50C64"/>
    <w:rsid w:val="00C52812"/>
    <w:rsid w:val="00C6188B"/>
    <w:rsid w:val="00C7086A"/>
    <w:rsid w:val="00C73867"/>
    <w:rsid w:val="00C75AF5"/>
    <w:rsid w:val="00C76458"/>
    <w:rsid w:val="00C80EC5"/>
    <w:rsid w:val="00C8182F"/>
    <w:rsid w:val="00C87449"/>
    <w:rsid w:val="00C906D3"/>
    <w:rsid w:val="00C91560"/>
    <w:rsid w:val="00C953D4"/>
    <w:rsid w:val="00CA5318"/>
    <w:rsid w:val="00CA7A28"/>
    <w:rsid w:val="00CB1213"/>
    <w:rsid w:val="00CB4500"/>
    <w:rsid w:val="00CC3375"/>
    <w:rsid w:val="00CC4710"/>
    <w:rsid w:val="00CD16EC"/>
    <w:rsid w:val="00CD2523"/>
    <w:rsid w:val="00CD2F83"/>
    <w:rsid w:val="00CE28B4"/>
    <w:rsid w:val="00CE3DEE"/>
    <w:rsid w:val="00CE5196"/>
    <w:rsid w:val="00CF0449"/>
    <w:rsid w:val="00CF132C"/>
    <w:rsid w:val="00CF446D"/>
    <w:rsid w:val="00CF661F"/>
    <w:rsid w:val="00CF71E4"/>
    <w:rsid w:val="00D00178"/>
    <w:rsid w:val="00D04A14"/>
    <w:rsid w:val="00D05BEA"/>
    <w:rsid w:val="00D05E34"/>
    <w:rsid w:val="00D06428"/>
    <w:rsid w:val="00D1496A"/>
    <w:rsid w:val="00D154F9"/>
    <w:rsid w:val="00D15892"/>
    <w:rsid w:val="00D233BF"/>
    <w:rsid w:val="00D23B35"/>
    <w:rsid w:val="00D25D2B"/>
    <w:rsid w:val="00D26228"/>
    <w:rsid w:val="00D27061"/>
    <w:rsid w:val="00D272C7"/>
    <w:rsid w:val="00D27D68"/>
    <w:rsid w:val="00D3289B"/>
    <w:rsid w:val="00D34BE5"/>
    <w:rsid w:val="00D362E0"/>
    <w:rsid w:val="00D378DD"/>
    <w:rsid w:val="00D41B9F"/>
    <w:rsid w:val="00D44757"/>
    <w:rsid w:val="00D52F20"/>
    <w:rsid w:val="00D55544"/>
    <w:rsid w:val="00D571C2"/>
    <w:rsid w:val="00D6222B"/>
    <w:rsid w:val="00D63C82"/>
    <w:rsid w:val="00D65643"/>
    <w:rsid w:val="00D673ED"/>
    <w:rsid w:val="00D727FD"/>
    <w:rsid w:val="00D7280E"/>
    <w:rsid w:val="00D76656"/>
    <w:rsid w:val="00D77FA5"/>
    <w:rsid w:val="00D817FB"/>
    <w:rsid w:val="00D94946"/>
    <w:rsid w:val="00DA2F19"/>
    <w:rsid w:val="00DA46B4"/>
    <w:rsid w:val="00DA75B0"/>
    <w:rsid w:val="00DB1217"/>
    <w:rsid w:val="00DB3FBE"/>
    <w:rsid w:val="00DB5947"/>
    <w:rsid w:val="00DB61ED"/>
    <w:rsid w:val="00DB74F6"/>
    <w:rsid w:val="00DC051B"/>
    <w:rsid w:val="00DC100D"/>
    <w:rsid w:val="00DC39B8"/>
    <w:rsid w:val="00DC504C"/>
    <w:rsid w:val="00DC6BAF"/>
    <w:rsid w:val="00DD3BB8"/>
    <w:rsid w:val="00DE19DC"/>
    <w:rsid w:val="00DE4E2D"/>
    <w:rsid w:val="00DE5570"/>
    <w:rsid w:val="00DF434B"/>
    <w:rsid w:val="00DF471E"/>
    <w:rsid w:val="00E01DA2"/>
    <w:rsid w:val="00E02AA3"/>
    <w:rsid w:val="00E03967"/>
    <w:rsid w:val="00E04C7F"/>
    <w:rsid w:val="00E059AB"/>
    <w:rsid w:val="00E05AA6"/>
    <w:rsid w:val="00E06B04"/>
    <w:rsid w:val="00E10555"/>
    <w:rsid w:val="00E14A06"/>
    <w:rsid w:val="00E155A7"/>
    <w:rsid w:val="00E16967"/>
    <w:rsid w:val="00E21221"/>
    <w:rsid w:val="00E26338"/>
    <w:rsid w:val="00E26BE6"/>
    <w:rsid w:val="00E31200"/>
    <w:rsid w:val="00E35DD1"/>
    <w:rsid w:val="00E414C1"/>
    <w:rsid w:val="00E46187"/>
    <w:rsid w:val="00E54E64"/>
    <w:rsid w:val="00E56374"/>
    <w:rsid w:val="00E57808"/>
    <w:rsid w:val="00E67B10"/>
    <w:rsid w:val="00E72390"/>
    <w:rsid w:val="00E725F5"/>
    <w:rsid w:val="00E7652D"/>
    <w:rsid w:val="00E77ADA"/>
    <w:rsid w:val="00E8521A"/>
    <w:rsid w:val="00E866C2"/>
    <w:rsid w:val="00E87D28"/>
    <w:rsid w:val="00E92A55"/>
    <w:rsid w:val="00E92D7A"/>
    <w:rsid w:val="00E93393"/>
    <w:rsid w:val="00EA011D"/>
    <w:rsid w:val="00EA4615"/>
    <w:rsid w:val="00EA782F"/>
    <w:rsid w:val="00EA7E37"/>
    <w:rsid w:val="00EA7E74"/>
    <w:rsid w:val="00EB16FC"/>
    <w:rsid w:val="00EB1ADE"/>
    <w:rsid w:val="00EC1D0E"/>
    <w:rsid w:val="00EC44AE"/>
    <w:rsid w:val="00ED7061"/>
    <w:rsid w:val="00ED70A8"/>
    <w:rsid w:val="00EE1722"/>
    <w:rsid w:val="00EE245F"/>
    <w:rsid w:val="00EE41AE"/>
    <w:rsid w:val="00EE47BA"/>
    <w:rsid w:val="00EE6ED4"/>
    <w:rsid w:val="00EF18A7"/>
    <w:rsid w:val="00EF2BF1"/>
    <w:rsid w:val="00EF2D14"/>
    <w:rsid w:val="00EF3477"/>
    <w:rsid w:val="00EF64BB"/>
    <w:rsid w:val="00EF71AA"/>
    <w:rsid w:val="00EF7F62"/>
    <w:rsid w:val="00F0203C"/>
    <w:rsid w:val="00F02DE5"/>
    <w:rsid w:val="00F10F61"/>
    <w:rsid w:val="00F20070"/>
    <w:rsid w:val="00F210BD"/>
    <w:rsid w:val="00F21368"/>
    <w:rsid w:val="00F226AB"/>
    <w:rsid w:val="00F24244"/>
    <w:rsid w:val="00F31452"/>
    <w:rsid w:val="00F33485"/>
    <w:rsid w:val="00F3590D"/>
    <w:rsid w:val="00F40517"/>
    <w:rsid w:val="00F43467"/>
    <w:rsid w:val="00F44164"/>
    <w:rsid w:val="00F52557"/>
    <w:rsid w:val="00F6157F"/>
    <w:rsid w:val="00F64167"/>
    <w:rsid w:val="00F73C10"/>
    <w:rsid w:val="00F74737"/>
    <w:rsid w:val="00F82137"/>
    <w:rsid w:val="00F93C61"/>
    <w:rsid w:val="00F94952"/>
    <w:rsid w:val="00F97E27"/>
    <w:rsid w:val="00FA0B2B"/>
    <w:rsid w:val="00FA1E72"/>
    <w:rsid w:val="00FA6FEA"/>
    <w:rsid w:val="00FB0D59"/>
    <w:rsid w:val="00FB346E"/>
    <w:rsid w:val="00FB5625"/>
    <w:rsid w:val="00FB599F"/>
    <w:rsid w:val="00FC2E8A"/>
    <w:rsid w:val="00FD26C0"/>
    <w:rsid w:val="00FD3CEA"/>
    <w:rsid w:val="00FE1F36"/>
    <w:rsid w:val="00FE6EA5"/>
    <w:rsid w:val="00FF6388"/>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7625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AB6626"/>
    <w:pPr>
      <w:keepNext/>
      <w:spacing w:before="240" w:after="60"/>
      <w:outlineLvl w:val="0"/>
    </w:pPr>
    <w:rPr>
      <w:rFonts w:ascii="Calibri Light" w:eastAsia="Times New Roman" w:hAnsi="Calibri Light"/>
      <w:b/>
      <w:bCs/>
      <w:kern w:val="32"/>
      <w:sz w:val="32"/>
      <w:szCs w:val="32"/>
    </w:rPr>
  </w:style>
  <w:style w:type="paragraph" w:styleId="Heading2">
    <w:name w:val="heading 2"/>
    <w:aliases w:val="H2-Sec. Head"/>
    <w:basedOn w:val="Normal"/>
    <w:next w:val="P1-StandPara"/>
    <w:link w:val="Heading2Char"/>
    <w:autoRedefine/>
    <w:qFormat/>
    <w:rsid w:val="004C5217"/>
    <w:pPr>
      <w:keepNext/>
      <w:tabs>
        <w:tab w:val="left" w:pos="720"/>
      </w:tabs>
      <w:spacing w:before="240" w:after="160" w:line="360" w:lineRule="atLeast"/>
      <w:ind w:left="720" w:hanging="720"/>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4C5217"/>
    <w:rPr>
      <w:rFonts w:ascii="Times New Roman" w:eastAsia="Times New Roman" w:hAnsi="Times New Roman"/>
      <w:b/>
      <w:sz w:val="22"/>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157F"/>
    <w:rPr>
      <w:sz w:val="16"/>
      <w:szCs w:val="16"/>
    </w:rPr>
  </w:style>
  <w:style w:type="paragraph" w:styleId="CommentText">
    <w:name w:val="annotation text"/>
    <w:basedOn w:val="Normal"/>
    <w:link w:val="CommentTextChar"/>
    <w:unhideWhenUsed/>
    <w:rsid w:val="00F6157F"/>
    <w:rPr>
      <w:sz w:val="20"/>
      <w:szCs w:val="20"/>
    </w:rPr>
  </w:style>
  <w:style w:type="character" w:customStyle="1" w:styleId="CommentTextChar">
    <w:name w:val="Comment Text Char"/>
    <w:basedOn w:val="DefaultParagraphFont"/>
    <w:link w:val="CommentText"/>
    <w:rsid w:val="00F6157F"/>
  </w:style>
  <w:style w:type="paragraph" w:styleId="CommentSubject">
    <w:name w:val="annotation subject"/>
    <w:basedOn w:val="CommentText"/>
    <w:next w:val="CommentText"/>
    <w:link w:val="CommentSubjectChar"/>
    <w:uiPriority w:val="99"/>
    <w:semiHidden/>
    <w:unhideWhenUsed/>
    <w:rsid w:val="00F6157F"/>
    <w:rPr>
      <w:b/>
      <w:bCs/>
    </w:rPr>
  </w:style>
  <w:style w:type="character" w:customStyle="1" w:styleId="CommentSubjectChar">
    <w:name w:val="Comment Subject Char"/>
    <w:link w:val="CommentSubject"/>
    <w:uiPriority w:val="99"/>
    <w:semiHidden/>
    <w:rsid w:val="00F6157F"/>
    <w:rPr>
      <w:b/>
      <w:bCs/>
    </w:rPr>
  </w:style>
  <w:style w:type="paragraph" w:styleId="TOC2">
    <w:name w:val="toc 2"/>
    <w:basedOn w:val="Normal"/>
    <w:next w:val="Normal"/>
    <w:autoRedefine/>
    <w:uiPriority w:val="39"/>
    <w:unhideWhenUsed/>
    <w:rsid w:val="00BA3D7A"/>
    <w:pPr>
      <w:tabs>
        <w:tab w:val="left" w:pos="660"/>
        <w:tab w:val="right" w:pos="9638"/>
      </w:tabs>
      <w:spacing w:line="240" w:lineRule="auto"/>
    </w:pPr>
  </w:style>
  <w:style w:type="paragraph" w:styleId="NormalWeb">
    <w:name w:val="Normal (Web)"/>
    <w:basedOn w:val="Normal"/>
    <w:uiPriority w:val="99"/>
    <w:unhideWhenUsed/>
    <w:rsid w:val="00E414C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0B5B32"/>
    <w:rPr>
      <w:color w:val="954F72"/>
      <w:u w:val="single"/>
    </w:rPr>
  </w:style>
  <w:style w:type="paragraph" w:styleId="Caption">
    <w:name w:val="caption"/>
    <w:basedOn w:val="Normal"/>
    <w:next w:val="Normal"/>
    <w:uiPriority w:val="35"/>
    <w:unhideWhenUsed/>
    <w:qFormat/>
    <w:rsid w:val="003101B5"/>
    <w:rPr>
      <w:b/>
      <w:bCs/>
      <w:sz w:val="20"/>
      <w:szCs w:val="20"/>
    </w:rPr>
  </w:style>
  <w:style w:type="character" w:customStyle="1" w:styleId="Heading1Char">
    <w:name w:val="Heading 1 Char"/>
    <w:link w:val="Heading1"/>
    <w:uiPriority w:val="9"/>
    <w:rsid w:val="00AB662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862A18"/>
    <w:pPr>
      <w:tabs>
        <w:tab w:val="center" w:pos="4680"/>
        <w:tab w:val="right" w:pos="9360"/>
      </w:tabs>
    </w:pPr>
  </w:style>
  <w:style w:type="character" w:customStyle="1" w:styleId="HeaderChar">
    <w:name w:val="Header Char"/>
    <w:link w:val="Header"/>
    <w:uiPriority w:val="99"/>
    <w:rsid w:val="00862A18"/>
    <w:rPr>
      <w:sz w:val="22"/>
      <w:szCs w:val="22"/>
    </w:rPr>
  </w:style>
  <w:style w:type="paragraph" w:styleId="Revision">
    <w:name w:val="Revision"/>
    <w:hidden/>
    <w:uiPriority w:val="99"/>
    <w:semiHidden/>
    <w:rsid w:val="00F94952"/>
    <w:rPr>
      <w:sz w:val="22"/>
      <w:szCs w:val="22"/>
    </w:rPr>
  </w:style>
  <w:style w:type="paragraph" w:styleId="BodyText">
    <w:name w:val="Body Text"/>
    <w:basedOn w:val="Normal"/>
    <w:link w:val="BodyTextChar"/>
    <w:autoRedefine/>
    <w:uiPriority w:val="1"/>
    <w:qFormat/>
    <w:rsid w:val="00DC6BAF"/>
    <w:pPr>
      <w:widowControl w:val="0"/>
      <w:numPr>
        <w:numId w:val="22"/>
      </w:numPr>
      <w:contextualSpacing/>
    </w:pPr>
    <w:rPr>
      <w:rFonts w:ascii="Century Gothic" w:eastAsia="Arial" w:hAnsi="Century Gothic"/>
      <w:sz w:val="20"/>
      <w:szCs w:val="20"/>
    </w:rPr>
  </w:style>
  <w:style w:type="character" w:customStyle="1" w:styleId="BodyTextChar">
    <w:name w:val="Body Text Char"/>
    <w:link w:val="BodyText"/>
    <w:uiPriority w:val="1"/>
    <w:rsid w:val="00DC6BAF"/>
    <w:rPr>
      <w:rFonts w:ascii="Century Gothic" w:eastAsia="Arial" w:hAnsi="Century Gothic"/>
    </w:rPr>
  </w:style>
  <w:style w:type="character" w:customStyle="1" w:styleId="UnresolvedMention1">
    <w:name w:val="Unresolved Mention1"/>
    <w:basedOn w:val="DefaultParagraphFont"/>
    <w:uiPriority w:val="99"/>
    <w:semiHidden/>
    <w:unhideWhenUsed/>
    <w:rsid w:val="00E04C7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AB6626"/>
    <w:pPr>
      <w:keepNext/>
      <w:spacing w:before="240" w:after="60"/>
      <w:outlineLvl w:val="0"/>
    </w:pPr>
    <w:rPr>
      <w:rFonts w:ascii="Calibri Light" w:eastAsia="Times New Roman" w:hAnsi="Calibri Light"/>
      <w:b/>
      <w:bCs/>
      <w:kern w:val="32"/>
      <w:sz w:val="32"/>
      <w:szCs w:val="32"/>
    </w:rPr>
  </w:style>
  <w:style w:type="paragraph" w:styleId="Heading2">
    <w:name w:val="heading 2"/>
    <w:aliases w:val="H2-Sec. Head"/>
    <w:basedOn w:val="Normal"/>
    <w:next w:val="P1-StandPara"/>
    <w:link w:val="Heading2Char"/>
    <w:autoRedefine/>
    <w:qFormat/>
    <w:rsid w:val="004C5217"/>
    <w:pPr>
      <w:keepNext/>
      <w:tabs>
        <w:tab w:val="left" w:pos="720"/>
      </w:tabs>
      <w:spacing w:before="240" w:after="160" w:line="360" w:lineRule="atLeast"/>
      <w:ind w:left="720" w:hanging="720"/>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4C5217"/>
    <w:rPr>
      <w:rFonts w:ascii="Times New Roman" w:eastAsia="Times New Roman" w:hAnsi="Times New Roman"/>
      <w:b/>
      <w:sz w:val="22"/>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157F"/>
    <w:rPr>
      <w:sz w:val="16"/>
      <w:szCs w:val="16"/>
    </w:rPr>
  </w:style>
  <w:style w:type="paragraph" w:styleId="CommentText">
    <w:name w:val="annotation text"/>
    <w:basedOn w:val="Normal"/>
    <w:link w:val="CommentTextChar"/>
    <w:unhideWhenUsed/>
    <w:rsid w:val="00F6157F"/>
    <w:rPr>
      <w:sz w:val="20"/>
      <w:szCs w:val="20"/>
    </w:rPr>
  </w:style>
  <w:style w:type="character" w:customStyle="1" w:styleId="CommentTextChar">
    <w:name w:val="Comment Text Char"/>
    <w:basedOn w:val="DefaultParagraphFont"/>
    <w:link w:val="CommentText"/>
    <w:rsid w:val="00F6157F"/>
  </w:style>
  <w:style w:type="paragraph" w:styleId="CommentSubject">
    <w:name w:val="annotation subject"/>
    <w:basedOn w:val="CommentText"/>
    <w:next w:val="CommentText"/>
    <w:link w:val="CommentSubjectChar"/>
    <w:uiPriority w:val="99"/>
    <w:semiHidden/>
    <w:unhideWhenUsed/>
    <w:rsid w:val="00F6157F"/>
    <w:rPr>
      <w:b/>
      <w:bCs/>
    </w:rPr>
  </w:style>
  <w:style w:type="character" w:customStyle="1" w:styleId="CommentSubjectChar">
    <w:name w:val="Comment Subject Char"/>
    <w:link w:val="CommentSubject"/>
    <w:uiPriority w:val="99"/>
    <w:semiHidden/>
    <w:rsid w:val="00F6157F"/>
    <w:rPr>
      <w:b/>
      <w:bCs/>
    </w:rPr>
  </w:style>
  <w:style w:type="paragraph" w:styleId="TOC2">
    <w:name w:val="toc 2"/>
    <w:basedOn w:val="Normal"/>
    <w:next w:val="Normal"/>
    <w:autoRedefine/>
    <w:uiPriority w:val="39"/>
    <w:unhideWhenUsed/>
    <w:rsid w:val="00BA3D7A"/>
    <w:pPr>
      <w:tabs>
        <w:tab w:val="left" w:pos="660"/>
        <w:tab w:val="right" w:pos="9638"/>
      </w:tabs>
      <w:spacing w:line="240" w:lineRule="auto"/>
    </w:pPr>
  </w:style>
  <w:style w:type="paragraph" w:styleId="NormalWeb">
    <w:name w:val="Normal (Web)"/>
    <w:basedOn w:val="Normal"/>
    <w:uiPriority w:val="99"/>
    <w:unhideWhenUsed/>
    <w:rsid w:val="00E414C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0B5B32"/>
    <w:rPr>
      <w:color w:val="954F72"/>
      <w:u w:val="single"/>
    </w:rPr>
  </w:style>
  <w:style w:type="paragraph" w:styleId="Caption">
    <w:name w:val="caption"/>
    <w:basedOn w:val="Normal"/>
    <w:next w:val="Normal"/>
    <w:uiPriority w:val="35"/>
    <w:unhideWhenUsed/>
    <w:qFormat/>
    <w:rsid w:val="003101B5"/>
    <w:rPr>
      <w:b/>
      <w:bCs/>
      <w:sz w:val="20"/>
      <w:szCs w:val="20"/>
    </w:rPr>
  </w:style>
  <w:style w:type="character" w:customStyle="1" w:styleId="Heading1Char">
    <w:name w:val="Heading 1 Char"/>
    <w:link w:val="Heading1"/>
    <w:uiPriority w:val="9"/>
    <w:rsid w:val="00AB662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862A18"/>
    <w:pPr>
      <w:tabs>
        <w:tab w:val="center" w:pos="4680"/>
        <w:tab w:val="right" w:pos="9360"/>
      </w:tabs>
    </w:pPr>
  </w:style>
  <w:style w:type="character" w:customStyle="1" w:styleId="HeaderChar">
    <w:name w:val="Header Char"/>
    <w:link w:val="Header"/>
    <w:uiPriority w:val="99"/>
    <w:rsid w:val="00862A18"/>
    <w:rPr>
      <w:sz w:val="22"/>
      <w:szCs w:val="22"/>
    </w:rPr>
  </w:style>
  <w:style w:type="paragraph" w:styleId="Revision">
    <w:name w:val="Revision"/>
    <w:hidden/>
    <w:uiPriority w:val="99"/>
    <w:semiHidden/>
    <w:rsid w:val="00F94952"/>
    <w:rPr>
      <w:sz w:val="22"/>
      <w:szCs w:val="22"/>
    </w:rPr>
  </w:style>
  <w:style w:type="paragraph" w:styleId="BodyText">
    <w:name w:val="Body Text"/>
    <w:basedOn w:val="Normal"/>
    <w:link w:val="BodyTextChar"/>
    <w:autoRedefine/>
    <w:uiPriority w:val="1"/>
    <w:qFormat/>
    <w:rsid w:val="00DC6BAF"/>
    <w:pPr>
      <w:widowControl w:val="0"/>
      <w:numPr>
        <w:numId w:val="22"/>
      </w:numPr>
      <w:contextualSpacing/>
    </w:pPr>
    <w:rPr>
      <w:rFonts w:ascii="Century Gothic" w:eastAsia="Arial" w:hAnsi="Century Gothic"/>
      <w:sz w:val="20"/>
      <w:szCs w:val="20"/>
    </w:rPr>
  </w:style>
  <w:style w:type="character" w:customStyle="1" w:styleId="BodyTextChar">
    <w:name w:val="Body Text Char"/>
    <w:link w:val="BodyText"/>
    <w:uiPriority w:val="1"/>
    <w:rsid w:val="00DC6BAF"/>
    <w:rPr>
      <w:rFonts w:ascii="Century Gothic" w:eastAsia="Arial" w:hAnsi="Century Gothic"/>
    </w:rPr>
  </w:style>
  <w:style w:type="character" w:customStyle="1" w:styleId="UnresolvedMention1">
    <w:name w:val="Unresolved Mention1"/>
    <w:basedOn w:val="DefaultParagraphFont"/>
    <w:uiPriority w:val="99"/>
    <w:semiHidden/>
    <w:unhideWhenUsed/>
    <w:rsid w:val="00E04C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88367">
      <w:bodyDiv w:val="1"/>
      <w:marLeft w:val="0"/>
      <w:marRight w:val="0"/>
      <w:marTop w:val="0"/>
      <w:marBottom w:val="0"/>
      <w:divBdr>
        <w:top w:val="none" w:sz="0" w:space="0" w:color="auto"/>
        <w:left w:val="none" w:sz="0" w:space="0" w:color="auto"/>
        <w:bottom w:val="none" w:sz="0" w:space="0" w:color="auto"/>
        <w:right w:val="none" w:sz="0" w:space="0" w:color="auto"/>
      </w:divBdr>
    </w:div>
    <w:div w:id="742482767">
      <w:bodyDiv w:val="1"/>
      <w:marLeft w:val="0"/>
      <w:marRight w:val="0"/>
      <w:marTop w:val="0"/>
      <w:marBottom w:val="0"/>
      <w:divBdr>
        <w:top w:val="none" w:sz="0" w:space="0" w:color="auto"/>
        <w:left w:val="none" w:sz="0" w:space="0" w:color="auto"/>
        <w:bottom w:val="none" w:sz="0" w:space="0" w:color="auto"/>
        <w:right w:val="none" w:sz="0" w:space="0" w:color="auto"/>
      </w:divBdr>
    </w:div>
    <w:div w:id="1024206742">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story.nih.gov/research/downloads/PL87-838.pdf" TargetMode="External"/><Relationship Id="rId18" Type="http://schemas.openxmlformats.org/officeDocument/2006/relationships/hyperlink" Target="http://oma.od.nih.gov/public/ms/privacy/pafiles/0200.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rohan.hazra@nih.gov" TargetMode="External"/><Relationship Id="rId17" Type="http://schemas.openxmlformats.org/officeDocument/2006/relationships/hyperlink" Target="http://www.law.cornell.edu/uscode/5/552a.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legislink.org/us/stat-88-18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legislink.org/us/pl-93-579"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ls.gov/oes/current/oes191042.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h.nichd.nih.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9DF15F168429A97E982871E13B6" ma:contentTypeVersion="3" ma:contentTypeDescription="Create a new document." ma:contentTypeScope="" ma:versionID="304012c438a04bd6ed77230f93bc2600">
  <xsd:schema xmlns:xsd="http://www.w3.org/2001/XMLSchema" xmlns:xs="http://www.w3.org/2001/XMLSchema" xmlns:p="http://schemas.microsoft.com/office/2006/metadata/properties" xmlns:ns2="6202a5a8-9baa-435f-9f20-fc33cc55f284" targetNamespace="http://schemas.microsoft.com/office/2006/metadata/properties" ma:root="true" ma:fieldsID="f4064d8de29e24a6d7b0b11e33988195" ns2:_="">
    <xsd:import namespace="6202a5a8-9baa-435f-9f20-fc33cc55f284"/>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2a5a8-9baa-435f-9f20-fc33cc55f2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3.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D37D2F3-7092-4C5F-8D3D-55B80F46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2a5a8-9baa-435f-9f20-fc33cc55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05DBF-5A96-41A7-BDA1-D129EFD2F942}">
  <ds:schemaRefs>
    <ds:schemaRef ds:uri="http://schemas.microsoft.com/office/2006/coverPageProps"/>
  </ds:schemaRefs>
</ds:datastoreItem>
</file>

<file path=customXml/itemProps3.xml><?xml version="1.0" encoding="utf-8"?>
<ds:datastoreItem xmlns:ds="http://schemas.openxmlformats.org/officeDocument/2006/customXml" ds:itemID="{7A692DA5-1EC5-4C26-9AA3-9B3B36AA723F}">
  <ds:schemaRefs>
    <ds:schemaRef ds:uri="http://schemas.microsoft.com/office/2006/coverPageProps"/>
  </ds:schemaRefs>
</ds:datastoreItem>
</file>

<file path=customXml/itemProps4.xml><?xml version="1.0" encoding="utf-8"?>
<ds:datastoreItem xmlns:ds="http://schemas.openxmlformats.org/officeDocument/2006/customXml" ds:itemID="{618B2DCF-26AA-4EA2-A991-E280F688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29210</CharactersWithSpaces>
  <SharedDoc>false</SharedDoc>
  <HLinks>
    <vt:vector size="48" baseType="variant">
      <vt:variant>
        <vt:i4>1376341</vt:i4>
      </vt:variant>
      <vt:variant>
        <vt:i4>96</vt:i4>
      </vt:variant>
      <vt:variant>
        <vt:i4>0</vt:i4>
      </vt:variant>
      <vt:variant>
        <vt:i4>5</vt:i4>
      </vt:variant>
      <vt:variant>
        <vt:lpwstr>http://www.bls.gov/oes/current/oes191042.htm</vt:lpwstr>
      </vt:variant>
      <vt:variant>
        <vt:lpwstr/>
      </vt:variant>
      <vt:variant>
        <vt:i4>5636172</vt:i4>
      </vt:variant>
      <vt:variant>
        <vt:i4>93</vt:i4>
      </vt:variant>
      <vt:variant>
        <vt:i4>0</vt:i4>
      </vt:variant>
      <vt:variant>
        <vt:i4>5</vt:i4>
      </vt:variant>
      <vt:variant>
        <vt:lpwstr>http://oma.od.nih.gov/public/ms/privacy/pafiles/0200.htm</vt:lpwstr>
      </vt:variant>
      <vt:variant>
        <vt:lpwstr/>
      </vt:variant>
      <vt:variant>
        <vt:i4>1769478</vt:i4>
      </vt:variant>
      <vt:variant>
        <vt:i4>90</vt:i4>
      </vt:variant>
      <vt:variant>
        <vt:i4>0</vt:i4>
      </vt:variant>
      <vt:variant>
        <vt:i4>5</vt:i4>
      </vt:variant>
      <vt:variant>
        <vt:lpwstr>http://www.law.cornell.edu/uscode/5/552a.html</vt:lpwstr>
      </vt:variant>
      <vt:variant>
        <vt:lpwstr/>
      </vt:variant>
      <vt:variant>
        <vt:i4>1572872</vt:i4>
      </vt:variant>
      <vt:variant>
        <vt:i4>87</vt:i4>
      </vt:variant>
      <vt:variant>
        <vt:i4>0</vt:i4>
      </vt:variant>
      <vt:variant>
        <vt:i4>5</vt:i4>
      </vt:variant>
      <vt:variant>
        <vt:lpwstr>http://legislink.org/us/stat-88-1896</vt:lpwstr>
      </vt:variant>
      <vt:variant>
        <vt:lpwstr/>
      </vt:variant>
      <vt:variant>
        <vt:i4>4980828</vt:i4>
      </vt:variant>
      <vt:variant>
        <vt:i4>84</vt:i4>
      </vt:variant>
      <vt:variant>
        <vt:i4>0</vt:i4>
      </vt:variant>
      <vt:variant>
        <vt:i4>5</vt:i4>
      </vt:variant>
      <vt:variant>
        <vt:lpwstr>http://legislink.org/us/pl-93-579</vt:lpwstr>
      </vt:variant>
      <vt:variant>
        <vt:lpwstr/>
      </vt:variant>
      <vt:variant>
        <vt:i4>6684798</vt:i4>
      </vt:variant>
      <vt:variant>
        <vt:i4>81</vt:i4>
      </vt:variant>
      <vt:variant>
        <vt:i4>0</vt:i4>
      </vt:variant>
      <vt:variant>
        <vt:i4>5</vt:i4>
      </vt:variant>
      <vt:variant>
        <vt:lpwstr>https://dash.nichd.nih.gov/</vt:lpwstr>
      </vt:variant>
      <vt:variant>
        <vt:lpwstr/>
      </vt:variant>
      <vt:variant>
        <vt:i4>3932280</vt:i4>
      </vt:variant>
      <vt:variant>
        <vt:i4>78</vt:i4>
      </vt:variant>
      <vt:variant>
        <vt:i4>0</vt:i4>
      </vt:variant>
      <vt:variant>
        <vt:i4>5</vt:i4>
      </vt:variant>
      <vt:variant>
        <vt:lpwstr>https://history.nih.gov/research/downloads/PL87-838.pdf</vt:lpwstr>
      </vt:variant>
      <vt:variant>
        <vt:lpwstr/>
      </vt:variant>
      <vt:variant>
        <vt:i4>4915241</vt:i4>
      </vt:variant>
      <vt:variant>
        <vt:i4>0</vt:i4>
      </vt:variant>
      <vt:variant>
        <vt:i4>0</vt:i4>
      </vt:variant>
      <vt:variant>
        <vt:i4>5</vt:i4>
      </vt:variant>
      <vt:variant>
        <vt:lpwstr>mailto:hazrar@mail.nih.gov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2019-01-08T18:03:00Z</dcterms:created>
  <dcterms:modified xsi:type="dcterms:W3CDTF">2019-01-08T18:03:00Z</dcterms:modified>
</cp:coreProperties>
</file>