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A7" w:rsidRDefault="008541A7" w:rsidP="008541A7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8541A7" w:rsidRDefault="008541A7" w:rsidP="008541A7">
      <w:pPr>
        <w:rPr>
          <w:rFonts w:ascii="Courier New" w:hAnsi="Courier New" w:cs="Courier New"/>
          <w:sz w:val="24"/>
          <w:szCs w:val="24"/>
        </w:rPr>
      </w:pPr>
    </w:p>
    <w:p w:rsidR="008541A7" w:rsidRDefault="008541A7" w:rsidP="008541A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Identification of Behavioral and Clinical Predictors of Early HIV Infection </w:t>
      </w:r>
    </w:p>
    <w:p w:rsidR="008541A7" w:rsidRDefault="008541A7" w:rsidP="008541A7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4"/>
          <w:szCs w:val="24"/>
        </w:rPr>
        <w:t>(Project DETECT)</w:t>
      </w:r>
    </w:p>
    <w:p w:rsidR="0062658B" w:rsidRDefault="0062658B" w:rsidP="008541A7">
      <w:pPr>
        <w:jc w:val="center"/>
        <w:rPr>
          <w:rFonts w:ascii="Courier New" w:hAnsi="Courier New" w:cs="Courier New"/>
          <w:sz w:val="24"/>
          <w:szCs w:val="24"/>
        </w:rPr>
      </w:pPr>
    </w:p>
    <w:p w:rsidR="0062658B" w:rsidRDefault="0062658B" w:rsidP="008541A7">
      <w:pPr>
        <w:jc w:val="center"/>
        <w:rPr>
          <w:rFonts w:ascii="Courier New" w:hAnsi="Courier New" w:cs="Courier New"/>
          <w:sz w:val="24"/>
          <w:szCs w:val="24"/>
        </w:rPr>
      </w:pPr>
    </w:p>
    <w:p w:rsidR="008541A7" w:rsidRPr="0062658B" w:rsidRDefault="008541A7" w:rsidP="008541A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2658B">
        <w:rPr>
          <w:rFonts w:ascii="Courier New" w:hAnsi="Courier New" w:cs="Courier New"/>
          <w:b/>
          <w:sz w:val="24"/>
          <w:szCs w:val="24"/>
        </w:rPr>
        <w:t>Attachment 13: Supplemental Study Information</w:t>
      </w:r>
    </w:p>
    <w:p w:rsidR="008541A7" w:rsidRDefault="008541A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8541A7" w:rsidRPr="008541A7" w:rsidRDefault="008541A7" w:rsidP="008541A7">
      <w:pPr>
        <w:rPr>
          <w:b/>
          <w:noProof/>
        </w:rPr>
      </w:pPr>
    </w:p>
    <w:p w:rsidR="008541A7" w:rsidRDefault="008541A7">
      <w:pPr>
        <w:rPr>
          <w:b/>
          <w:noProof/>
        </w:rPr>
      </w:pPr>
    </w:p>
    <w:p w:rsidR="00DC57CC" w:rsidRDefault="00B24E92">
      <w:pPr>
        <w:rPr>
          <w:noProof/>
        </w:rPr>
      </w:pPr>
      <w:r>
        <w:rPr>
          <w:b/>
          <w:noProof/>
        </w:rPr>
        <w:t>Figure A:</w:t>
      </w:r>
      <w:r w:rsidR="006D4D29" w:rsidRPr="0064162E">
        <w:rPr>
          <w:b/>
          <w:noProof/>
        </w:rPr>
        <w:t xml:space="preserve"> </w:t>
      </w:r>
      <w:r w:rsidR="0064162E" w:rsidRPr="0064162E">
        <w:rPr>
          <w:b/>
          <w:noProof/>
        </w:rPr>
        <w:t>Project DETECT data flow diagram</w:t>
      </w:r>
    </w:p>
    <w:p w:rsidR="0064162E" w:rsidRDefault="00525193">
      <w:pPr>
        <w:rPr>
          <w:noProof/>
        </w:rPr>
      </w:pPr>
      <w:r>
        <w:rPr>
          <w:noProof/>
        </w:rPr>
        <w:drawing>
          <wp:inline distT="0" distB="0" distL="0" distR="0" wp14:anchorId="4B09B3C7" wp14:editId="4E42A366">
            <wp:extent cx="6400800" cy="4904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EA1" w:rsidRDefault="0064162E">
      <w:pPr>
        <w:rPr>
          <w:noProof/>
        </w:rPr>
      </w:pPr>
      <w:r>
        <w:rPr>
          <w:noProof/>
        </w:rPr>
        <w:t xml:space="preserve">Phase 0 consists of data collected as part of routine </w:t>
      </w:r>
      <w:r w:rsidR="001244FB">
        <w:rPr>
          <w:noProof/>
        </w:rPr>
        <w:t xml:space="preserve">medical </w:t>
      </w:r>
      <w:r>
        <w:rPr>
          <w:noProof/>
        </w:rPr>
        <w:t xml:space="preserve">care from the PHSKC clinic, including clinical exam data, lab results, and behavioral data obtained during clinic intake. Phase 0 data will be </w:t>
      </w:r>
      <w:r w:rsidR="00463EA1">
        <w:rPr>
          <w:noProof/>
        </w:rPr>
        <w:t xml:space="preserve">de-identified, </w:t>
      </w:r>
      <w:r>
        <w:rPr>
          <w:noProof/>
        </w:rPr>
        <w:t xml:space="preserve">aggregated </w:t>
      </w:r>
      <w:r w:rsidR="00463EA1">
        <w:rPr>
          <w:noProof/>
        </w:rPr>
        <w:t xml:space="preserve">and sent to CDC to compare project participants to the overall clinic population. Phase 1 data will be collected as part of </w:t>
      </w:r>
      <w:r w:rsidR="00525193">
        <w:rPr>
          <w:noProof/>
        </w:rPr>
        <w:t>study participation and include</w:t>
      </w:r>
      <w:r w:rsidR="00463EA1">
        <w:rPr>
          <w:noProof/>
        </w:rPr>
        <w:t xml:space="preserve"> consent, </w:t>
      </w:r>
      <w:r w:rsidR="00974092">
        <w:rPr>
          <w:noProof/>
        </w:rPr>
        <w:t>study test results</w:t>
      </w:r>
      <w:r w:rsidR="00463EA1">
        <w:rPr>
          <w:noProof/>
        </w:rPr>
        <w:t xml:space="preserve">, and enrollment survey data (enrollment survey A or B, depending upon whether or not the participant was referred to the study or came through the STD clinic). Phase 2 data will be collected as part of study participation among persons with discordant HIV test results. Data collected in this phase include consent, </w:t>
      </w:r>
      <w:r w:rsidR="00974092">
        <w:rPr>
          <w:noProof/>
        </w:rPr>
        <w:t>study test results and the HIV symp</w:t>
      </w:r>
      <w:r w:rsidR="00463EA1">
        <w:rPr>
          <w:noProof/>
        </w:rPr>
        <w:t xml:space="preserve">tom and care survey at each visit, and a behavioral survey. All data are de-identified (no PII), linked by study ID, and transmitted securely to CDC in de-identified form. </w:t>
      </w:r>
    </w:p>
    <w:p w:rsidR="00064E6A" w:rsidRDefault="00064E6A">
      <w:pPr>
        <w:rPr>
          <w:noProof/>
        </w:rPr>
      </w:pPr>
    </w:p>
    <w:p w:rsidR="00064E6A" w:rsidRPr="00064E6A" w:rsidRDefault="00064E6A" w:rsidP="00064E6A">
      <w:pPr>
        <w:keepNext/>
        <w:keepLines/>
        <w:spacing w:before="480" w:after="0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bookmarkStart w:id="1" w:name="_Toc412124612"/>
      <w:r w:rsidRPr="00064E6A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lastRenderedPageBreak/>
        <w:t>Table</w:t>
      </w:r>
      <w:r w:rsidR="008E3A9B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 xml:space="preserve"> 1</w:t>
      </w:r>
      <w:r w:rsidRPr="00064E6A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: POC and Laboratory Tests</w:t>
      </w:r>
      <w:bookmarkEnd w:id="1"/>
      <w:r w:rsidRPr="00064E6A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 xml:space="preserve"> Used in Phase 1 and 2</w:t>
      </w:r>
    </w:p>
    <w:p w:rsidR="00064E6A" w:rsidRPr="00064E6A" w:rsidRDefault="00064E6A" w:rsidP="00064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0"/>
        <w:gridCol w:w="2628"/>
        <w:gridCol w:w="2252"/>
      </w:tblGrid>
      <w:tr w:rsidR="00064E6A" w:rsidRPr="00064E6A" w:rsidTr="00AF4715">
        <w:trPr>
          <w:trHeight w:val="548"/>
        </w:trPr>
        <w:tc>
          <w:tcPr>
            <w:tcW w:w="447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64E6A" w:rsidRPr="00064E6A" w:rsidRDefault="00064E6A" w:rsidP="00064E6A">
            <w:pPr>
              <w:rPr>
                <w:b/>
                <w:color w:val="FFFFFF" w:themeColor="background1"/>
                <w:sz w:val="28"/>
              </w:rPr>
            </w:pPr>
            <w:r w:rsidRPr="00064E6A">
              <w:rPr>
                <w:b/>
                <w:color w:val="FFFFFF" w:themeColor="background1"/>
                <w:sz w:val="28"/>
              </w:rPr>
              <w:t>Test technology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64E6A" w:rsidRPr="00064E6A" w:rsidRDefault="00064E6A" w:rsidP="00064E6A">
            <w:pPr>
              <w:rPr>
                <w:b/>
                <w:color w:val="FFFFFF" w:themeColor="background1"/>
                <w:sz w:val="28"/>
              </w:rPr>
            </w:pPr>
            <w:r w:rsidRPr="00064E6A">
              <w:rPr>
                <w:b/>
                <w:color w:val="FFFFFF" w:themeColor="background1"/>
                <w:sz w:val="28"/>
              </w:rPr>
              <w:t>Specimen Type(s) for Phase 1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064E6A" w:rsidRPr="00064E6A" w:rsidRDefault="00064E6A" w:rsidP="00064E6A">
            <w:pPr>
              <w:rPr>
                <w:b/>
                <w:color w:val="FFFFFF" w:themeColor="background1"/>
                <w:sz w:val="28"/>
              </w:rPr>
            </w:pPr>
            <w:r w:rsidRPr="00064E6A">
              <w:rPr>
                <w:b/>
                <w:color w:val="FFFFFF" w:themeColor="background1"/>
                <w:sz w:val="28"/>
              </w:rPr>
              <w:t>Specimen Type(s) for Phase 2</w:t>
            </w:r>
          </w:p>
        </w:tc>
      </w:tr>
      <w:tr w:rsidR="00064E6A" w:rsidRPr="00064E6A" w:rsidTr="00AF4715">
        <w:trPr>
          <w:trHeight w:val="432"/>
        </w:trPr>
        <w:tc>
          <w:tcPr>
            <w:tcW w:w="7098" w:type="dxa"/>
            <w:gridSpan w:val="2"/>
            <w:shd w:val="clear" w:color="auto" w:fill="C6D9F1" w:themeFill="text2" w:themeFillTint="33"/>
            <w:vAlign w:val="center"/>
          </w:tcPr>
          <w:p w:rsidR="00064E6A" w:rsidRPr="00064E6A" w:rsidRDefault="00064E6A" w:rsidP="00064E6A">
            <w:r w:rsidRPr="00064E6A">
              <w:t>Point-of-Care Screening tests</w:t>
            </w:r>
          </w:p>
        </w:tc>
        <w:tc>
          <w:tcPr>
            <w:tcW w:w="2252" w:type="dxa"/>
            <w:shd w:val="clear" w:color="auto" w:fill="C6D9F1" w:themeFill="text2" w:themeFillTint="33"/>
          </w:tcPr>
          <w:p w:rsidR="00064E6A" w:rsidRPr="00064E6A" w:rsidRDefault="00064E6A" w:rsidP="00064E6A"/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DPP® HIV 1/2 Assay (ChemBio Diagnostic Systems)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Oral fluid and venous whole blood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Oral fluid and venous whole blood; fingerstick whole blood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OraQuick ADVANCE® Rapid HIV-1/2 Antibody (OraSure Technologies)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Oral fluid and venous whole blood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Oral fluid and venous whole blood; fingerstick whole blood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INSTI</w:t>
            </w:r>
            <w:r w:rsidRPr="00064E6A">
              <w:rPr>
                <w:sz w:val="20"/>
                <w:vertAlign w:val="superscript"/>
              </w:rPr>
              <w:t>TM</w:t>
            </w:r>
            <w:r w:rsidRPr="00064E6A">
              <w:rPr>
                <w:sz w:val="20"/>
              </w:rPr>
              <w:t xml:space="preserve"> HIV-1/HIV-2 Rapid Antibody Test (bioLytical Laboratories)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blood; fingerstick whole blood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Determine</w:t>
            </w:r>
            <w:r w:rsidRPr="00064E6A">
              <w:rPr>
                <w:sz w:val="20"/>
                <w:vertAlign w:val="superscript"/>
              </w:rPr>
              <w:t>TM</w:t>
            </w:r>
            <w:r w:rsidRPr="00064E6A">
              <w:rPr>
                <w:sz w:val="20"/>
              </w:rPr>
              <w:t xml:space="preserve"> HIV-1/2 Ag/Ab Combo (Alere)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blood; fingerstick whole blood</w:t>
            </w:r>
          </w:p>
        </w:tc>
      </w:tr>
      <w:tr w:rsidR="00064E6A" w:rsidRPr="00064E6A" w:rsidTr="00AF4715">
        <w:trPr>
          <w:trHeight w:val="432"/>
        </w:trPr>
        <w:tc>
          <w:tcPr>
            <w:tcW w:w="7098" w:type="dxa"/>
            <w:gridSpan w:val="2"/>
            <w:shd w:val="clear" w:color="auto" w:fill="C6D9F1" w:themeFill="text2" w:themeFillTint="33"/>
            <w:vAlign w:val="center"/>
          </w:tcPr>
          <w:p w:rsidR="00064E6A" w:rsidRPr="00064E6A" w:rsidRDefault="00064E6A" w:rsidP="00064E6A">
            <w:r w:rsidRPr="00064E6A">
              <w:t>Point-of-care supplemental test(s)</w:t>
            </w:r>
          </w:p>
        </w:tc>
        <w:tc>
          <w:tcPr>
            <w:tcW w:w="2252" w:type="dxa"/>
            <w:shd w:val="clear" w:color="auto" w:fill="C6D9F1" w:themeFill="text2" w:themeFillTint="33"/>
          </w:tcPr>
          <w:p w:rsidR="00064E6A" w:rsidRPr="00064E6A" w:rsidRDefault="00064E6A" w:rsidP="00064E6A"/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Geenius</w:t>
            </w:r>
            <w:r w:rsidRPr="00064E6A">
              <w:rPr>
                <w:sz w:val="20"/>
                <w:vertAlign w:val="superscript"/>
              </w:rPr>
              <w:t>TM</w:t>
            </w:r>
            <w:r w:rsidRPr="00064E6A">
              <w:rPr>
                <w:sz w:val="20"/>
              </w:rPr>
              <w:t xml:space="preserve"> HIV 1/2 Confirmatory System (Bio-Rad Laboratories)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blood; fingerstick whole blood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POC NAAT Confirmatory Test</w:t>
            </w:r>
            <w:r w:rsidRPr="00064E6A">
              <w:rPr>
                <w:b/>
                <w:sz w:val="20"/>
              </w:rPr>
              <w:t>*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Venous whole blood; fingerstick whole blood</w:t>
            </w:r>
          </w:p>
        </w:tc>
      </w:tr>
      <w:tr w:rsidR="00064E6A" w:rsidRPr="00064E6A" w:rsidTr="00AF4715">
        <w:trPr>
          <w:trHeight w:val="432"/>
        </w:trPr>
        <w:tc>
          <w:tcPr>
            <w:tcW w:w="7098" w:type="dxa"/>
            <w:gridSpan w:val="2"/>
            <w:shd w:val="clear" w:color="auto" w:fill="C6D9F1" w:themeFill="text2" w:themeFillTint="33"/>
            <w:vAlign w:val="center"/>
          </w:tcPr>
          <w:p w:rsidR="00064E6A" w:rsidRPr="00064E6A" w:rsidRDefault="00064E6A" w:rsidP="00064E6A">
            <w:r w:rsidRPr="00064E6A">
              <w:t>Laboratory tests to be conducted through PHSKC Laboratory</w:t>
            </w:r>
          </w:p>
        </w:tc>
        <w:tc>
          <w:tcPr>
            <w:tcW w:w="2252" w:type="dxa"/>
            <w:shd w:val="clear" w:color="auto" w:fill="C6D9F1" w:themeFill="text2" w:themeFillTint="33"/>
          </w:tcPr>
          <w:p w:rsidR="00064E6A" w:rsidRPr="00064E6A" w:rsidRDefault="00064E6A" w:rsidP="00064E6A"/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Genetic Systems HIV-1/HIV-2 Plus O EIA (Bio-Rad Laboratories)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Serum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Serum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Multispot HIV-1/2 Rapid Test (Bio-Rad Laboratories)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Serum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Serum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RealTi</w:t>
            </w:r>
            <w:r w:rsidRPr="00064E6A">
              <w:rPr>
                <w:i/>
                <w:sz w:val="20"/>
              </w:rPr>
              <w:t>m</w:t>
            </w:r>
            <w:r w:rsidRPr="00064E6A">
              <w:rPr>
                <w:sz w:val="20"/>
              </w:rPr>
              <w:t>e HIV-1 (Abbott)</w:t>
            </w:r>
          </w:p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Pooled testing (27-member pools) if negative Geenius, POC and EIA tests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Serum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N/A</w:t>
            </w:r>
          </w:p>
        </w:tc>
      </w:tr>
      <w:tr w:rsidR="00064E6A" w:rsidRPr="00064E6A" w:rsidTr="00AF4715">
        <w:trPr>
          <w:trHeight w:val="360"/>
        </w:trPr>
        <w:tc>
          <w:tcPr>
            <w:tcW w:w="4470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RealTi</w:t>
            </w:r>
            <w:r w:rsidRPr="00064E6A">
              <w:rPr>
                <w:i/>
                <w:sz w:val="20"/>
              </w:rPr>
              <w:t>m</w:t>
            </w:r>
            <w:r w:rsidRPr="00064E6A">
              <w:rPr>
                <w:sz w:val="20"/>
              </w:rPr>
              <w:t xml:space="preserve">e HIV-1 (Abbott) </w:t>
            </w:r>
          </w:p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Individual HIV-1 viral load if at least one reactive result</w:t>
            </w:r>
          </w:p>
        </w:tc>
        <w:tc>
          <w:tcPr>
            <w:tcW w:w="2628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Plasma</w:t>
            </w:r>
          </w:p>
        </w:tc>
        <w:tc>
          <w:tcPr>
            <w:tcW w:w="2252" w:type="dxa"/>
            <w:vAlign w:val="center"/>
          </w:tcPr>
          <w:p w:rsidR="00064E6A" w:rsidRPr="00064E6A" w:rsidRDefault="00064E6A" w:rsidP="00064E6A">
            <w:pPr>
              <w:rPr>
                <w:sz w:val="20"/>
              </w:rPr>
            </w:pPr>
            <w:r w:rsidRPr="00064E6A">
              <w:rPr>
                <w:sz w:val="20"/>
              </w:rPr>
              <w:t>Plasma</w:t>
            </w:r>
          </w:p>
        </w:tc>
      </w:tr>
    </w:tbl>
    <w:p w:rsidR="00064E6A" w:rsidRPr="00064E6A" w:rsidRDefault="00064E6A" w:rsidP="00064E6A">
      <w:pPr>
        <w:rPr>
          <w:sz w:val="20"/>
        </w:rPr>
      </w:pPr>
      <w:r w:rsidRPr="00064E6A">
        <w:rPr>
          <w:b/>
        </w:rPr>
        <w:t>*</w:t>
      </w:r>
      <w:r w:rsidRPr="00064E6A">
        <w:t xml:space="preserve"> </w:t>
      </w:r>
      <w:r w:rsidRPr="00064E6A">
        <w:rPr>
          <w:sz w:val="20"/>
        </w:rPr>
        <w:t>This test may be added to the study later. It is not approved by the FDA at this time.</w:t>
      </w:r>
    </w:p>
    <w:p w:rsidR="00064E6A" w:rsidRPr="00064E6A" w:rsidRDefault="00064E6A" w:rsidP="00064E6A">
      <w:pPr>
        <w:rPr>
          <w:sz w:val="20"/>
        </w:rPr>
      </w:pPr>
    </w:p>
    <w:p w:rsidR="00064E6A" w:rsidRDefault="00064E6A" w:rsidP="00DA5E82">
      <w:pPr>
        <w:rPr>
          <w:noProof/>
        </w:rPr>
      </w:pPr>
    </w:p>
    <w:sectPr w:rsidR="00064E6A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2F" w:rsidRDefault="00672D2F" w:rsidP="008B5D54">
      <w:pPr>
        <w:spacing w:after="0" w:line="240" w:lineRule="auto"/>
      </w:pPr>
      <w:r>
        <w:separator/>
      </w:r>
    </w:p>
  </w:endnote>
  <w:endnote w:type="continuationSeparator" w:id="0">
    <w:p w:rsidR="00672D2F" w:rsidRDefault="00672D2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2F" w:rsidRDefault="00672D2F" w:rsidP="008B5D54">
      <w:pPr>
        <w:spacing w:after="0" w:line="240" w:lineRule="auto"/>
      </w:pPr>
      <w:r>
        <w:separator/>
      </w:r>
    </w:p>
  </w:footnote>
  <w:footnote w:type="continuationSeparator" w:id="0">
    <w:p w:rsidR="00672D2F" w:rsidRDefault="00672D2F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935"/>
    <w:multiLevelType w:val="hybridMultilevel"/>
    <w:tmpl w:val="D826ED1E"/>
    <w:lvl w:ilvl="0" w:tplc="76505A84">
      <w:start w:val="1"/>
      <w:numFmt w:val="decimal"/>
      <w:lvlText w:val="%1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47"/>
    <w:rsid w:val="00064E6A"/>
    <w:rsid w:val="000C64A8"/>
    <w:rsid w:val="001244FB"/>
    <w:rsid w:val="00142EB2"/>
    <w:rsid w:val="002B1C62"/>
    <w:rsid w:val="00420110"/>
    <w:rsid w:val="004344D7"/>
    <w:rsid w:val="00463EA1"/>
    <w:rsid w:val="004836B8"/>
    <w:rsid w:val="00525193"/>
    <w:rsid w:val="0057282C"/>
    <w:rsid w:val="0062658B"/>
    <w:rsid w:val="0064162E"/>
    <w:rsid w:val="00672D2F"/>
    <w:rsid w:val="00674C97"/>
    <w:rsid w:val="006C6578"/>
    <w:rsid w:val="006D4D29"/>
    <w:rsid w:val="00843870"/>
    <w:rsid w:val="008541A7"/>
    <w:rsid w:val="008B5D54"/>
    <w:rsid w:val="008E3A9B"/>
    <w:rsid w:val="00974092"/>
    <w:rsid w:val="00976047"/>
    <w:rsid w:val="00B24E92"/>
    <w:rsid w:val="00B55735"/>
    <w:rsid w:val="00B608AC"/>
    <w:rsid w:val="00CA6A0F"/>
    <w:rsid w:val="00DA5E82"/>
    <w:rsid w:val="00DC57CC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06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1A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06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1A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D874-6F3E-4F7B-B634-317B395C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Bowles, Kristina E. (CDC/OID/NCHHSTP)</dc:creator>
  <cp:keywords/>
  <dc:description/>
  <cp:lastModifiedBy>SYSTEM</cp:lastModifiedBy>
  <cp:revision>2</cp:revision>
  <dcterms:created xsi:type="dcterms:W3CDTF">2018-11-16T22:12:00Z</dcterms:created>
  <dcterms:modified xsi:type="dcterms:W3CDTF">2018-11-16T22:12:00Z</dcterms:modified>
</cp:coreProperties>
</file>