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74128" w14:textId="77777777" w:rsidR="00EE2E62" w:rsidRPr="007C36F3" w:rsidRDefault="00EE2E62" w:rsidP="00EE2E62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Information Collection Request </w:t>
      </w:r>
    </w:p>
    <w:p w14:paraId="173B8DBA" w14:textId="77777777" w:rsidR="00EE2E62" w:rsidRPr="007C36F3" w:rsidRDefault="00EE2E62" w:rsidP="00EE2E62">
      <w:pPr>
        <w:spacing w:line="360" w:lineRule="auto"/>
        <w:jc w:val="center"/>
        <w:rPr>
          <w:b/>
        </w:rPr>
      </w:pPr>
      <w:r>
        <w:rPr>
          <w:b/>
        </w:rPr>
        <w:t>New</w:t>
      </w:r>
    </w:p>
    <w:p w14:paraId="62B8C527" w14:textId="7EF43FB9" w:rsidR="00EE2E62" w:rsidRDefault="00E963FE" w:rsidP="00EE2E62">
      <w:pPr>
        <w:spacing w:line="360" w:lineRule="auto"/>
        <w:jc w:val="center"/>
        <w:rPr>
          <w:b/>
        </w:rPr>
      </w:pPr>
      <w:r>
        <w:rPr>
          <w:b/>
        </w:rPr>
        <w:t>Assessment</w:t>
      </w:r>
      <w:r w:rsidR="00EE2E62" w:rsidRPr="00FE1C04">
        <w:rPr>
          <w:b/>
        </w:rPr>
        <w:t xml:space="preserve"> of the Cancer Survivorship Demonstration Project</w:t>
      </w:r>
    </w:p>
    <w:p w14:paraId="1F37905B" w14:textId="77777777" w:rsidR="00EE2E62" w:rsidRDefault="00EE2E62" w:rsidP="00EE2E62">
      <w:pPr>
        <w:spacing w:line="360" w:lineRule="auto"/>
        <w:jc w:val="center"/>
        <w:rPr>
          <w:b/>
        </w:rPr>
      </w:pPr>
    </w:p>
    <w:p w14:paraId="31A9C52E" w14:textId="3907E475" w:rsidR="00EE2E62" w:rsidRPr="00FE1C04" w:rsidRDefault="00EE2E62" w:rsidP="00EE2E62">
      <w:pPr>
        <w:spacing w:line="360" w:lineRule="auto"/>
        <w:jc w:val="center"/>
        <w:rPr>
          <w:b/>
        </w:rPr>
      </w:pPr>
      <w:r>
        <w:rPr>
          <w:b/>
        </w:rPr>
        <w:t>Supporting Statement: Part B</w:t>
      </w:r>
    </w:p>
    <w:p w14:paraId="58FE528C" w14:textId="77777777" w:rsidR="00EE2E62" w:rsidRPr="007C36F3" w:rsidRDefault="00EE2E62" w:rsidP="00EE2E62">
      <w:pPr>
        <w:jc w:val="center"/>
        <w:rPr>
          <w:color w:val="000000"/>
        </w:rPr>
      </w:pPr>
    </w:p>
    <w:p w14:paraId="2FB1A0B9" w14:textId="77777777" w:rsidR="00EE2E62" w:rsidRPr="007C36F3" w:rsidRDefault="00EE2E62" w:rsidP="00EE2E62">
      <w:pPr>
        <w:jc w:val="center"/>
        <w:rPr>
          <w:color w:val="000000"/>
        </w:rPr>
      </w:pPr>
    </w:p>
    <w:p w14:paraId="4C6FA735" w14:textId="77777777" w:rsidR="00EE2E62" w:rsidRPr="007C36F3" w:rsidRDefault="00EE2E62" w:rsidP="00EE2E62">
      <w:pPr>
        <w:jc w:val="center"/>
        <w:rPr>
          <w:color w:val="000000"/>
        </w:rPr>
      </w:pPr>
    </w:p>
    <w:p w14:paraId="726E7976" w14:textId="77777777" w:rsidR="00EE2E62" w:rsidRPr="007C36F3" w:rsidRDefault="00EE2E62" w:rsidP="00EE2E62">
      <w:pPr>
        <w:jc w:val="center"/>
        <w:rPr>
          <w:color w:val="000000"/>
        </w:rPr>
      </w:pPr>
    </w:p>
    <w:p w14:paraId="1336A293" w14:textId="77777777" w:rsidR="00EE2E62" w:rsidRPr="007C36F3" w:rsidRDefault="00EE2E62" w:rsidP="00EE2E62">
      <w:pPr>
        <w:jc w:val="center"/>
        <w:rPr>
          <w:color w:val="000000"/>
        </w:rPr>
      </w:pPr>
    </w:p>
    <w:p w14:paraId="32079AE0" w14:textId="77777777" w:rsidR="00EE2E62" w:rsidRPr="007C36F3" w:rsidRDefault="00EE2E62" w:rsidP="00EE2E62">
      <w:pPr>
        <w:jc w:val="center"/>
        <w:rPr>
          <w:color w:val="000000"/>
        </w:rPr>
      </w:pPr>
    </w:p>
    <w:p w14:paraId="68CD4310" w14:textId="77777777" w:rsidR="00EE2E62" w:rsidRPr="007C36F3" w:rsidRDefault="00EE2E62" w:rsidP="00EE2E62">
      <w:pPr>
        <w:jc w:val="center"/>
        <w:rPr>
          <w:color w:val="000000"/>
        </w:rPr>
      </w:pPr>
    </w:p>
    <w:p w14:paraId="2592A5CA" w14:textId="77777777" w:rsidR="00EE2E62" w:rsidRPr="007C36F3" w:rsidRDefault="00EE2E62" w:rsidP="00EE2E62">
      <w:pPr>
        <w:jc w:val="center"/>
        <w:rPr>
          <w:color w:val="000000"/>
        </w:rPr>
      </w:pPr>
    </w:p>
    <w:p w14:paraId="05EEFC38" w14:textId="77777777" w:rsidR="00EE2E62" w:rsidRPr="007C36F3" w:rsidRDefault="00EE2E62" w:rsidP="00EE2E62">
      <w:pPr>
        <w:jc w:val="center"/>
        <w:rPr>
          <w:color w:val="000000"/>
        </w:rPr>
      </w:pPr>
    </w:p>
    <w:p w14:paraId="3C4EAEE9" w14:textId="77777777" w:rsidR="00EE2E62" w:rsidRPr="00C84CF5" w:rsidRDefault="00EE2E62" w:rsidP="00EE2E62">
      <w:pPr>
        <w:spacing w:line="360" w:lineRule="auto"/>
        <w:jc w:val="center"/>
        <w:rPr>
          <w:b/>
          <w:u w:val="single"/>
        </w:rPr>
      </w:pPr>
      <w:r w:rsidRPr="00C84CF5">
        <w:rPr>
          <w:b/>
          <w:u w:val="single"/>
        </w:rPr>
        <w:t>Program Official/Contact</w:t>
      </w:r>
    </w:p>
    <w:p w14:paraId="3198EDD2" w14:textId="77777777" w:rsidR="00EE2E62" w:rsidRPr="007C36F3" w:rsidRDefault="00EE2E62" w:rsidP="00EE2E62">
      <w:pPr>
        <w:spacing w:line="360" w:lineRule="auto"/>
        <w:jc w:val="center"/>
      </w:pPr>
      <w:r w:rsidRPr="007C36F3">
        <w:t>Angela Moore, MPH</w:t>
      </w:r>
    </w:p>
    <w:p w14:paraId="52E86E93" w14:textId="77777777" w:rsidR="00EE2E62" w:rsidRPr="007C36F3" w:rsidRDefault="00EE2E62" w:rsidP="00EE2E62">
      <w:pPr>
        <w:spacing w:line="360" w:lineRule="auto"/>
        <w:jc w:val="center"/>
      </w:pPr>
      <w:r w:rsidRPr="007C36F3">
        <w:t>Lead Public Health Advisor</w:t>
      </w:r>
    </w:p>
    <w:p w14:paraId="39E6DCB6" w14:textId="77777777" w:rsidR="00EE2E62" w:rsidRPr="007C36F3" w:rsidRDefault="00EE2E62" w:rsidP="00EE2E62">
      <w:pPr>
        <w:spacing w:line="360" w:lineRule="auto"/>
        <w:jc w:val="center"/>
      </w:pPr>
      <w:r w:rsidRPr="007C36F3">
        <w:t>Division of Cancer Prevention and Control</w:t>
      </w:r>
    </w:p>
    <w:p w14:paraId="68AE0DC1" w14:textId="77777777" w:rsidR="00EE2E62" w:rsidRPr="007C36F3" w:rsidRDefault="00EE2E62" w:rsidP="00EE2E62">
      <w:pPr>
        <w:spacing w:line="360" w:lineRule="auto"/>
        <w:jc w:val="center"/>
      </w:pPr>
      <w:r w:rsidRPr="007C36F3">
        <w:t>National Center for Chronic Disease Prevention and Health Promotion</w:t>
      </w:r>
    </w:p>
    <w:p w14:paraId="78528492" w14:textId="77777777" w:rsidR="00EE2E62" w:rsidRPr="007C36F3" w:rsidRDefault="00EE2E62" w:rsidP="00EE2E62">
      <w:pPr>
        <w:spacing w:line="360" w:lineRule="auto"/>
        <w:jc w:val="center"/>
      </w:pPr>
      <w:r w:rsidRPr="007C36F3">
        <w:t>Centers for Disease Control and Prevention</w:t>
      </w:r>
    </w:p>
    <w:p w14:paraId="10B4BE9E" w14:textId="77777777" w:rsidR="00EE2E62" w:rsidRPr="007C36F3" w:rsidRDefault="00EE2E62" w:rsidP="00EE2E62">
      <w:pPr>
        <w:spacing w:line="360" w:lineRule="auto"/>
        <w:jc w:val="center"/>
      </w:pPr>
      <w:r w:rsidRPr="007C36F3">
        <w:t>Atlanta, GA 30341-3717</w:t>
      </w:r>
    </w:p>
    <w:p w14:paraId="01016455" w14:textId="77777777" w:rsidR="00EE2E62" w:rsidRPr="007C36F3" w:rsidRDefault="00EE2E62" w:rsidP="00EE2E62">
      <w:pPr>
        <w:spacing w:line="360" w:lineRule="auto"/>
        <w:jc w:val="center"/>
      </w:pPr>
      <w:r w:rsidRPr="007C36F3">
        <w:t>OFFICE: 770-488-3094</w:t>
      </w:r>
    </w:p>
    <w:p w14:paraId="2D72B572" w14:textId="77777777" w:rsidR="00EE2E62" w:rsidRDefault="00EE2E62" w:rsidP="00EE2E62">
      <w:pPr>
        <w:pStyle w:val="TOC0"/>
        <w:rPr>
          <w:b w:val="0"/>
          <w:sz w:val="24"/>
          <w:szCs w:val="24"/>
        </w:rPr>
      </w:pPr>
      <w:r w:rsidRPr="007C36F3">
        <w:rPr>
          <w:b w:val="0"/>
          <w:sz w:val="24"/>
          <w:szCs w:val="24"/>
        </w:rPr>
        <w:t>FAX: 770-488-4335</w:t>
      </w:r>
    </w:p>
    <w:p w14:paraId="24A7A278" w14:textId="77777777" w:rsidR="00EE2E62" w:rsidRDefault="00D63E47" w:rsidP="00EE2E62">
      <w:pPr>
        <w:pStyle w:val="TOC0"/>
        <w:rPr>
          <w:b w:val="0"/>
          <w:sz w:val="24"/>
          <w:szCs w:val="24"/>
        </w:rPr>
      </w:pPr>
      <w:hyperlink r:id="rId8" w:history="1">
        <w:r w:rsidR="00EE2E62" w:rsidRPr="00B51546">
          <w:rPr>
            <w:rStyle w:val="Hyperlink"/>
            <w:b w:val="0"/>
            <w:sz w:val="24"/>
            <w:szCs w:val="24"/>
          </w:rPr>
          <w:t>cyq6@cdc.gov</w:t>
        </w:r>
      </w:hyperlink>
    </w:p>
    <w:p w14:paraId="26E452A6" w14:textId="77777777" w:rsidR="00262CE5" w:rsidRDefault="00262CE5" w:rsidP="00262CE5">
      <w:pPr>
        <w:rPr>
          <w:b/>
          <w:bCs/>
          <w:caps/>
          <w:color w:val="000000"/>
        </w:rPr>
      </w:pPr>
    </w:p>
    <w:p w14:paraId="5799237A" w14:textId="77777777" w:rsidR="00262CE5" w:rsidRDefault="00262CE5" w:rsidP="00262CE5">
      <w:pPr>
        <w:rPr>
          <w:b/>
          <w:bCs/>
          <w:caps/>
          <w:color w:val="000000"/>
        </w:rPr>
      </w:pPr>
    </w:p>
    <w:p w14:paraId="08E63B89" w14:textId="77777777" w:rsidR="00262CE5" w:rsidRDefault="00262CE5" w:rsidP="00262CE5">
      <w:pPr>
        <w:rPr>
          <w:b/>
          <w:bCs/>
          <w:caps/>
          <w:color w:val="000000"/>
        </w:rPr>
      </w:pPr>
    </w:p>
    <w:p w14:paraId="5E555A8B" w14:textId="77777777" w:rsidR="00262CE5" w:rsidRDefault="00262CE5" w:rsidP="00262CE5">
      <w:pPr>
        <w:rPr>
          <w:b/>
          <w:bCs/>
          <w:caps/>
          <w:color w:val="000000"/>
        </w:rPr>
      </w:pPr>
    </w:p>
    <w:p w14:paraId="320F845D" w14:textId="77777777" w:rsidR="00262CE5" w:rsidRDefault="00262CE5" w:rsidP="00262CE5">
      <w:pPr>
        <w:rPr>
          <w:b/>
          <w:bCs/>
          <w:caps/>
          <w:color w:val="000000"/>
        </w:rPr>
      </w:pPr>
    </w:p>
    <w:p w14:paraId="27F7673C" w14:textId="77777777" w:rsidR="00262CE5" w:rsidRDefault="00262CE5" w:rsidP="00262CE5">
      <w:pPr>
        <w:rPr>
          <w:b/>
          <w:bCs/>
          <w:caps/>
          <w:color w:val="000000"/>
        </w:rPr>
      </w:pPr>
    </w:p>
    <w:p w14:paraId="109CC0A6" w14:textId="77777777" w:rsidR="00262CE5" w:rsidRDefault="00262CE5" w:rsidP="00262CE5">
      <w:pPr>
        <w:rPr>
          <w:b/>
          <w:bCs/>
          <w:caps/>
          <w:color w:val="000000"/>
        </w:rPr>
      </w:pPr>
    </w:p>
    <w:p w14:paraId="24CCB9BE" w14:textId="77777777" w:rsidR="00262CE5" w:rsidRDefault="00262CE5" w:rsidP="00262CE5">
      <w:pPr>
        <w:rPr>
          <w:b/>
          <w:bCs/>
          <w:caps/>
          <w:color w:val="000000"/>
        </w:rPr>
      </w:pPr>
    </w:p>
    <w:p w14:paraId="3A7D23D8" w14:textId="16973B33" w:rsidR="00262CE5" w:rsidRPr="00262CE5" w:rsidRDefault="00262CE5" w:rsidP="00262CE5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                                                               </w:t>
      </w:r>
      <w:r>
        <w:rPr>
          <w:b/>
        </w:rPr>
        <w:t>October 26, 2018</w:t>
      </w:r>
    </w:p>
    <w:p w14:paraId="0D0F51F5" w14:textId="7C17DCC3" w:rsidR="00A14087" w:rsidRPr="00262CE5" w:rsidRDefault="00A14087" w:rsidP="00832BA3">
      <w:pPr>
        <w:rPr>
          <w:bCs/>
          <w:caps/>
          <w:color w:val="000000"/>
        </w:rPr>
        <w:sectPr w:rsidR="00A14087" w:rsidRPr="00262CE5" w:rsidSect="00782650"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C7DF33" w14:textId="3E5CAC89" w:rsidR="00C65FD6" w:rsidRPr="00C00133" w:rsidRDefault="00E9714A" w:rsidP="00F72F56">
      <w:pPr>
        <w:pStyle w:val="TOC0"/>
        <w:rPr>
          <w:bCs/>
          <w:sz w:val="24"/>
          <w:szCs w:val="24"/>
        </w:rPr>
      </w:pPr>
      <w:r>
        <w:rPr>
          <w:lang w:val="en-CA"/>
        </w:rPr>
        <w:lastRenderedPageBreak/>
        <w:t xml:space="preserve"> </w:t>
      </w:r>
      <w:r w:rsidR="00C65FD6" w:rsidRPr="00C00133">
        <w:rPr>
          <w:sz w:val="24"/>
          <w:szCs w:val="24"/>
          <w:lang w:val="en-CA"/>
        </w:rPr>
        <w:fldChar w:fldCharType="begin"/>
      </w:r>
      <w:r w:rsidR="00C65FD6" w:rsidRPr="00C00133">
        <w:rPr>
          <w:sz w:val="24"/>
          <w:szCs w:val="24"/>
          <w:lang w:val="en-CA"/>
        </w:rPr>
        <w:instrText xml:space="preserve"> SEQ CHAPTER \h \r 1</w:instrText>
      </w:r>
      <w:r w:rsidR="00C65FD6" w:rsidRPr="00C00133">
        <w:rPr>
          <w:sz w:val="24"/>
          <w:szCs w:val="24"/>
          <w:lang w:val="en-CA"/>
        </w:rPr>
        <w:fldChar w:fldCharType="end"/>
      </w:r>
      <w:r w:rsidR="00C65FD6" w:rsidRPr="00C00133">
        <w:rPr>
          <w:bCs/>
          <w:sz w:val="24"/>
          <w:szCs w:val="24"/>
        </w:rPr>
        <w:t>TABLE OF CONTENTS</w:t>
      </w:r>
    </w:p>
    <w:p w14:paraId="442A419E" w14:textId="77777777" w:rsidR="004160F3" w:rsidRPr="00C00133" w:rsidRDefault="004160F3" w:rsidP="00F72F56">
      <w:pPr>
        <w:pStyle w:val="TOC0"/>
        <w:rPr>
          <w:bCs/>
          <w:sz w:val="24"/>
          <w:szCs w:val="24"/>
        </w:rPr>
      </w:pPr>
    </w:p>
    <w:p w14:paraId="408DE95B" w14:textId="4A327D24" w:rsidR="004160F3" w:rsidRPr="00C00133" w:rsidRDefault="004160F3" w:rsidP="00E9714A">
      <w:pPr>
        <w:pStyle w:val="TOC0"/>
        <w:spacing w:after="0"/>
        <w:ind w:right="-180"/>
        <w:jc w:val="left"/>
        <w:rPr>
          <w:sz w:val="24"/>
          <w:szCs w:val="24"/>
        </w:rPr>
      </w:pPr>
      <w:r w:rsidRPr="00C00133">
        <w:rPr>
          <w:bCs/>
          <w:sz w:val="24"/>
          <w:szCs w:val="24"/>
        </w:rPr>
        <w:t>B. COLLECTION OF INFORMATION</w:t>
      </w:r>
      <w:r w:rsidR="00900150" w:rsidRPr="00C00133">
        <w:rPr>
          <w:bCs/>
          <w:sz w:val="24"/>
          <w:szCs w:val="24"/>
        </w:rPr>
        <w:t xml:space="preserve"> </w:t>
      </w:r>
      <w:r w:rsidRPr="00C00133">
        <w:rPr>
          <w:bCs/>
          <w:sz w:val="24"/>
          <w:szCs w:val="24"/>
        </w:rPr>
        <w:t xml:space="preserve">EMPLOYING STATISTICAL </w:t>
      </w:r>
      <w:r w:rsidR="00900150" w:rsidRPr="00C00133">
        <w:rPr>
          <w:bCs/>
          <w:sz w:val="24"/>
          <w:szCs w:val="24"/>
        </w:rPr>
        <w:t>METHODS</w:t>
      </w:r>
    </w:p>
    <w:p w14:paraId="33843688" w14:textId="77777777" w:rsidR="004160F3" w:rsidRPr="004160F3" w:rsidRDefault="004160F3" w:rsidP="00E9714A">
      <w:pPr>
        <w:keepLines/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autoSpaceDE w:val="0"/>
        <w:autoSpaceDN w:val="0"/>
        <w:adjustRightInd w:val="0"/>
      </w:pPr>
      <w:bookmarkStart w:id="1" w:name="_Toc79980788"/>
      <w:r w:rsidRPr="004160F3">
        <w:t>B1.</w:t>
      </w:r>
      <w:r w:rsidRPr="004160F3">
        <w:tab/>
        <w:t>Respondent Universe and Sampling Methods</w:t>
      </w:r>
    </w:p>
    <w:p w14:paraId="722CBDE5" w14:textId="77777777" w:rsidR="004160F3" w:rsidRPr="004160F3" w:rsidRDefault="004160F3" w:rsidP="00E9714A">
      <w:pPr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autoSpaceDE w:val="0"/>
        <w:autoSpaceDN w:val="0"/>
        <w:adjustRightInd w:val="0"/>
      </w:pPr>
      <w:r w:rsidRPr="004160F3">
        <w:t>B2.</w:t>
      </w:r>
      <w:r w:rsidRPr="004160F3">
        <w:tab/>
        <w:t xml:space="preserve">Procedures for the Collection of Information                                       </w:t>
      </w:r>
    </w:p>
    <w:p w14:paraId="397DE6C3" w14:textId="77777777" w:rsidR="004160F3" w:rsidRPr="004160F3" w:rsidRDefault="004160F3" w:rsidP="00E9714A">
      <w:pPr>
        <w:tabs>
          <w:tab w:val="left" w:pos="-1440"/>
          <w:tab w:val="left" w:pos="-720"/>
          <w:tab w:val="left" w:pos="0"/>
          <w:tab w:val="left" w:pos="720"/>
          <w:tab w:val="right" w:leader="dot" w:pos="9360"/>
        </w:tabs>
        <w:autoSpaceDE w:val="0"/>
        <w:autoSpaceDN w:val="0"/>
        <w:adjustRightInd w:val="0"/>
      </w:pPr>
      <w:r w:rsidRPr="004160F3">
        <w:t>B3.</w:t>
      </w:r>
      <w:r w:rsidRPr="004160F3">
        <w:tab/>
        <w:t>Methods to Maximize Response Rates and Deal with No response</w:t>
      </w:r>
    </w:p>
    <w:p w14:paraId="2E0AA853" w14:textId="77777777" w:rsidR="004160F3" w:rsidRPr="004160F3" w:rsidRDefault="004160F3" w:rsidP="00E9714A">
      <w:pPr>
        <w:tabs>
          <w:tab w:val="left" w:pos="-1440"/>
          <w:tab w:val="left" w:pos="-720"/>
          <w:tab w:val="left" w:pos="0"/>
          <w:tab w:val="left" w:pos="720"/>
          <w:tab w:val="left" w:pos="7560"/>
          <w:tab w:val="right" w:leader="dot" w:pos="9360"/>
        </w:tabs>
        <w:autoSpaceDE w:val="0"/>
        <w:autoSpaceDN w:val="0"/>
        <w:adjustRightInd w:val="0"/>
      </w:pPr>
      <w:r w:rsidRPr="004160F3">
        <w:t>B4.</w:t>
      </w:r>
      <w:r w:rsidRPr="004160F3">
        <w:tab/>
        <w:t>Tests of Procedures or Methods to be Undertaken</w:t>
      </w:r>
    </w:p>
    <w:p w14:paraId="69E837B0" w14:textId="77777777" w:rsidR="004160F3" w:rsidRPr="004160F3" w:rsidRDefault="004160F3" w:rsidP="00E9714A">
      <w:pPr>
        <w:tabs>
          <w:tab w:val="left" w:pos="-1440"/>
          <w:tab w:val="left" w:pos="720"/>
        </w:tabs>
        <w:autoSpaceDE w:val="0"/>
        <w:autoSpaceDN w:val="0"/>
        <w:adjustRightInd w:val="0"/>
        <w:ind w:left="8640" w:hanging="8640"/>
      </w:pPr>
      <w:r w:rsidRPr="004160F3">
        <w:t>B5.</w:t>
      </w:r>
      <w:r w:rsidRPr="004160F3">
        <w:tab/>
        <w:t xml:space="preserve">Individuals Consulted on Statistical Aspects and Individuals Collecting and/or </w:t>
      </w:r>
      <w:r w:rsidRPr="004160F3">
        <w:tab/>
      </w:r>
    </w:p>
    <w:p w14:paraId="0CAD5C58" w14:textId="77777777" w:rsidR="004160F3" w:rsidRPr="004160F3" w:rsidRDefault="004160F3" w:rsidP="00E9714A">
      <w:pPr>
        <w:tabs>
          <w:tab w:val="right" w:leader="dot" w:pos="9360"/>
        </w:tabs>
        <w:autoSpaceDE w:val="0"/>
        <w:autoSpaceDN w:val="0"/>
        <w:adjustRightInd w:val="0"/>
        <w:ind w:left="720"/>
      </w:pPr>
      <w:r w:rsidRPr="004160F3">
        <w:t>Analyzing Data</w:t>
      </w:r>
    </w:p>
    <w:p w14:paraId="24AC85F5" w14:textId="038E6C0E" w:rsidR="00F72F56" w:rsidRDefault="00F72F56" w:rsidP="00A935D1">
      <w:pPr>
        <w:rPr>
          <w:noProof/>
        </w:rPr>
      </w:pPr>
    </w:p>
    <w:p w14:paraId="099BD8B5" w14:textId="21DAA0E1" w:rsidR="00A935D1" w:rsidRDefault="00A935D1" w:rsidP="00A935D1"/>
    <w:p w14:paraId="5B5A93D4" w14:textId="77777777" w:rsidR="00E9714A" w:rsidRPr="00A935D1" w:rsidRDefault="00E9714A" w:rsidP="00A935D1"/>
    <w:p w14:paraId="6ECEF506" w14:textId="7974557E" w:rsidR="00F72F56" w:rsidRDefault="00F72F56" w:rsidP="00F72F56">
      <w:pPr>
        <w:rPr>
          <w:noProof/>
        </w:rPr>
      </w:pPr>
    </w:p>
    <w:p w14:paraId="523E871A" w14:textId="77777777" w:rsidR="00E9714A" w:rsidRPr="00FC203C" w:rsidRDefault="00E9714A" w:rsidP="00E9714A">
      <w:pPr>
        <w:rPr>
          <w:b/>
          <w:noProof/>
        </w:rPr>
      </w:pPr>
      <w:r w:rsidRPr="00FC203C">
        <w:rPr>
          <w:b/>
          <w:noProof/>
        </w:rPr>
        <w:t>REFERENCES</w:t>
      </w:r>
    </w:p>
    <w:p w14:paraId="43D1D227" w14:textId="0ABD492B" w:rsidR="00E9714A" w:rsidRDefault="00E9714A" w:rsidP="00E9714A"/>
    <w:p w14:paraId="1AACA262" w14:textId="4B56D15A" w:rsidR="00E9714A" w:rsidRDefault="00E9714A" w:rsidP="00E9714A"/>
    <w:p w14:paraId="5CAA54D7" w14:textId="77777777" w:rsidR="00E9714A" w:rsidRDefault="00E9714A" w:rsidP="00E9714A"/>
    <w:p w14:paraId="6377F69C" w14:textId="77777777" w:rsidR="00E9714A" w:rsidRPr="007C36F3" w:rsidRDefault="00E9714A" w:rsidP="00E9714A"/>
    <w:p w14:paraId="12C46DB6" w14:textId="77777777" w:rsidR="00262CE5" w:rsidRDefault="00262CE5" w:rsidP="00262CE5">
      <w:pPr>
        <w:rPr>
          <w:b/>
        </w:rPr>
      </w:pPr>
      <w:r w:rsidRPr="00DC36A3">
        <w:rPr>
          <w:b/>
        </w:rPr>
        <w:t>ATTACHMENTS</w:t>
      </w:r>
    </w:p>
    <w:p w14:paraId="14B196A4" w14:textId="77777777" w:rsidR="00262CE5" w:rsidRPr="00DA33C2" w:rsidRDefault="00262CE5" w:rsidP="00262CE5">
      <w:pPr>
        <w:rPr>
          <w:b/>
        </w:rPr>
      </w:pPr>
      <w:r>
        <w:t xml:space="preserve">1        </w:t>
      </w:r>
      <w:r w:rsidRPr="00DA33C2">
        <w:t>Section 301 of the Public Health Service Act (42 U.S.C. 241)</w:t>
      </w:r>
    </w:p>
    <w:p w14:paraId="7BECDBE7" w14:textId="77777777" w:rsidR="00262CE5" w:rsidRPr="007C36F3" w:rsidRDefault="00262CE5" w:rsidP="00262CE5">
      <w:r>
        <w:t xml:space="preserve">2        </w:t>
      </w:r>
      <w:r w:rsidRPr="007C36F3">
        <w:t>Federal Register Notice</w:t>
      </w:r>
    </w:p>
    <w:p w14:paraId="48BD3450" w14:textId="77777777" w:rsidR="00262CE5" w:rsidRPr="007C36F3" w:rsidRDefault="00262CE5" w:rsidP="00262CE5">
      <w:r>
        <w:t xml:space="preserve">3a      </w:t>
      </w:r>
      <w:r w:rsidRPr="007C36F3">
        <w:t>Web-based Grantee Survey</w:t>
      </w:r>
    </w:p>
    <w:p w14:paraId="1D8CC398" w14:textId="77777777" w:rsidR="00262CE5" w:rsidRPr="007C36F3" w:rsidRDefault="00262CE5" w:rsidP="00262CE5">
      <w:r>
        <w:t xml:space="preserve">3b      </w:t>
      </w:r>
      <w:r w:rsidRPr="007C36F3">
        <w:t>Screenshots of Web-based Grantee Survey</w:t>
      </w:r>
    </w:p>
    <w:p w14:paraId="3C387297" w14:textId="77777777" w:rsidR="00262CE5" w:rsidRPr="007C36F3" w:rsidRDefault="00262CE5" w:rsidP="00262CE5">
      <w:r>
        <w:t xml:space="preserve">3c      </w:t>
      </w:r>
      <w:r w:rsidRPr="007C36F3">
        <w:t>Web-based Partner Survey</w:t>
      </w:r>
    </w:p>
    <w:p w14:paraId="5C90D28F" w14:textId="77777777" w:rsidR="00262CE5" w:rsidRPr="007C36F3" w:rsidRDefault="00262CE5" w:rsidP="00262CE5">
      <w:r>
        <w:t xml:space="preserve">3d </w:t>
      </w:r>
      <w:r w:rsidRPr="007C36F3">
        <w:t xml:space="preserve"> </w:t>
      </w:r>
      <w:r>
        <w:t xml:space="preserve">    </w:t>
      </w:r>
      <w:r w:rsidRPr="007C36F3">
        <w:t>Screenshots of Web-based Partner Survey</w:t>
      </w:r>
    </w:p>
    <w:p w14:paraId="3AEAB1A2" w14:textId="77777777" w:rsidR="00262CE5" w:rsidRPr="007C36F3" w:rsidRDefault="00262CE5" w:rsidP="00262CE5">
      <w:r w:rsidRPr="007C36F3">
        <w:t xml:space="preserve">3e </w:t>
      </w:r>
      <w:r>
        <w:t xml:space="preserve">     </w:t>
      </w:r>
      <w:r w:rsidRPr="007C36F3">
        <w:t>Introductory E-mail for Web-based Survey Participants</w:t>
      </w:r>
    </w:p>
    <w:p w14:paraId="58AD6D17" w14:textId="77777777" w:rsidR="00262CE5" w:rsidRPr="007C36F3" w:rsidRDefault="00262CE5" w:rsidP="00262CE5">
      <w:r w:rsidRPr="007C36F3">
        <w:t>3f</w:t>
      </w:r>
      <w:r>
        <w:t xml:space="preserve">       </w:t>
      </w:r>
      <w:r w:rsidRPr="007C36F3">
        <w:t>Reminder E-mail for Web-based Survey Participants</w:t>
      </w:r>
    </w:p>
    <w:p w14:paraId="103EF203" w14:textId="77777777" w:rsidR="00262CE5" w:rsidRPr="007C36F3" w:rsidRDefault="00262CE5" w:rsidP="00262CE5">
      <w:r w:rsidRPr="007C36F3">
        <w:t>3g</w:t>
      </w:r>
      <w:r>
        <w:t xml:space="preserve">      </w:t>
      </w:r>
      <w:r w:rsidRPr="007C36F3">
        <w:t>Follow-up Reminder E-mail for Web-based Survey Participants</w:t>
      </w:r>
    </w:p>
    <w:p w14:paraId="59D70AB8" w14:textId="77777777" w:rsidR="00262CE5" w:rsidRPr="007C36F3" w:rsidRDefault="00262CE5" w:rsidP="00262CE5">
      <w:r w:rsidRPr="007C36F3">
        <w:t>3h</w:t>
      </w:r>
      <w:r>
        <w:t xml:space="preserve">      </w:t>
      </w:r>
      <w:r w:rsidRPr="007C36F3">
        <w:t>Thank You E-mail for Web-based Survey Participants</w:t>
      </w:r>
    </w:p>
    <w:p w14:paraId="29C32670" w14:textId="77777777" w:rsidR="00262CE5" w:rsidRPr="007C36F3" w:rsidRDefault="00262CE5" w:rsidP="00262CE5">
      <w:r>
        <w:t xml:space="preserve">3i       </w:t>
      </w:r>
      <w:r w:rsidRPr="007C36F3">
        <w:t>Web-based Survey Items by Respondent Type</w:t>
      </w:r>
    </w:p>
    <w:p w14:paraId="3EA65840" w14:textId="77777777" w:rsidR="00262CE5" w:rsidRPr="007C36F3" w:rsidRDefault="00262CE5" w:rsidP="00262CE5">
      <w:r>
        <w:t xml:space="preserve">4        </w:t>
      </w:r>
      <w:r w:rsidRPr="007C36F3">
        <w:t>Interview Guide</w:t>
      </w:r>
    </w:p>
    <w:p w14:paraId="0E94669F" w14:textId="77777777" w:rsidR="00262CE5" w:rsidRPr="007C36F3" w:rsidRDefault="00262CE5" w:rsidP="00262CE5">
      <w:r w:rsidRPr="007C36F3">
        <w:t>4a</w:t>
      </w:r>
      <w:r>
        <w:t xml:space="preserve">      </w:t>
      </w:r>
      <w:r w:rsidRPr="007C36F3">
        <w:t>Introductory E-mail for Interviewees</w:t>
      </w:r>
    </w:p>
    <w:p w14:paraId="6E318D4B" w14:textId="77777777" w:rsidR="00262CE5" w:rsidRPr="007C36F3" w:rsidRDefault="00262CE5" w:rsidP="00262CE5">
      <w:r w:rsidRPr="007C36F3">
        <w:t>4b</w:t>
      </w:r>
      <w:r>
        <w:t xml:space="preserve">      </w:t>
      </w:r>
      <w:r w:rsidRPr="007C36F3">
        <w:t>Follow-Up E-mail for Interviewees</w:t>
      </w:r>
    </w:p>
    <w:p w14:paraId="7E066489" w14:textId="77777777" w:rsidR="00262CE5" w:rsidRDefault="00262CE5" w:rsidP="00262CE5">
      <w:r w:rsidRPr="007C36F3">
        <w:t>4c</w:t>
      </w:r>
      <w:r>
        <w:t xml:space="preserve">      </w:t>
      </w:r>
      <w:r w:rsidRPr="007C36F3">
        <w:t>Second Fo</w:t>
      </w:r>
      <w:r>
        <w:t>llow-Up E-mail for Interviewees</w:t>
      </w:r>
    </w:p>
    <w:p w14:paraId="564BEA5B" w14:textId="77777777" w:rsidR="00262CE5" w:rsidRPr="007C36F3" w:rsidRDefault="00262CE5" w:rsidP="00262CE5">
      <w:r w:rsidRPr="007C36F3">
        <w:t xml:space="preserve">4d </w:t>
      </w:r>
      <w:r>
        <w:t xml:space="preserve">     </w:t>
      </w:r>
      <w:r w:rsidRPr="007C36F3">
        <w:t>Thank You E-mail for Interviewees</w:t>
      </w:r>
    </w:p>
    <w:p w14:paraId="396A9860" w14:textId="77777777" w:rsidR="00262CE5" w:rsidRPr="007C36F3" w:rsidRDefault="00262CE5" w:rsidP="00262CE5">
      <w:r>
        <w:t>5</w:t>
      </w:r>
      <w:r w:rsidRPr="007C36F3">
        <w:t xml:space="preserve"> </w:t>
      </w:r>
      <w:r>
        <w:t xml:space="preserve">       </w:t>
      </w:r>
      <w:r w:rsidRPr="007C36F3">
        <w:t>Introductory Data Collection Email to DP15-1501 Grantees</w:t>
      </w:r>
    </w:p>
    <w:p w14:paraId="49646341" w14:textId="77777777" w:rsidR="00262CE5" w:rsidRDefault="00262CE5" w:rsidP="00262CE5">
      <w:r w:rsidRPr="007C36F3">
        <w:t>6</w:t>
      </w:r>
      <w:r>
        <w:t xml:space="preserve">        </w:t>
      </w:r>
      <w:r w:rsidRPr="007C36F3">
        <w:t>RTI IRB Decision Memo</w:t>
      </w:r>
    </w:p>
    <w:p w14:paraId="2B40A049" w14:textId="77777777" w:rsidR="00262CE5" w:rsidRPr="007C36F3" w:rsidRDefault="00262CE5" w:rsidP="00262CE5">
      <w:r>
        <w:t xml:space="preserve">7        Privacy Impact Assessment </w:t>
      </w:r>
    </w:p>
    <w:p w14:paraId="0836369B" w14:textId="6951EB08" w:rsidR="00F72F56" w:rsidRDefault="00262CE5" w:rsidP="00262CE5">
      <w:pPr>
        <w:pStyle w:val="Heading1"/>
        <w:rPr>
          <w:color w:val="000000"/>
        </w:rPr>
        <w:sectPr w:rsidR="00F72F56" w:rsidSect="00E9714A">
          <w:footerReference w:type="default" r:id="rId12"/>
          <w:pgSz w:w="12240" w:h="15840"/>
          <w:pgMar w:top="1440" w:right="900" w:bottom="1440" w:left="1170" w:header="720" w:footer="720" w:gutter="0"/>
          <w:pgNumType w:fmt="lowerRoman" w:start="3"/>
          <w:cols w:space="720"/>
        </w:sectPr>
      </w:pPr>
      <w:r w:rsidRPr="007C36F3">
        <w:rPr>
          <w:noProof/>
        </w:rPr>
        <w:br w:type="page"/>
      </w:r>
    </w:p>
    <w:p w14:paraId="22D986C4" w14:textId="77777777" w:rsidR="00F46FE6" w:rsidRPr="0071572F" w:rsidRDefault="00F46FE6" w:rsidP="0071572F">
      <w:pPr>
        <w:pStyle w:val="Heading1"/>
        <w:spacing w:before="0" w:after="0"/>
        <w:rPr>
          <w:rFonts w:ascii="Times New Roman" w:hAnsi="Times New Roman"/>
        </w:rPr>
      </w:pPr>
      <w:bookmarkStart w:id="2" w:name="_Toc475705028"/>
      <w:bookmarkEnd w:id="1"/>
      <w:r w:rsidRPr="0071572F">
        <w:rPr>
          <w:rFonts w:ascii="Times New Roman" w:hAnsi="Times New Roman"/>
        </w:rPr>
        <w:lastRenderedPageBreak/>
        <w:t>B.</w:t>
      </w:r>
      <w:r w:rsidRPr="0071572F">
        <w:rPr>
          <w:rFonts w:ascii="Times New Roman" w:hAnsi="Times New Roman"/>
        </w:rPr>
        <w:tab/>
        <w:t>Collection of Information Employing Statistical Methods</w:t>
      </w:r>
      <w:bookmarkEnd w:id="2"/>
    </w:p>
    <w:p w14:paraId="0E13D85C" w14:textId="1030D900" w:rsidR="00F46FE6" w:rsidRDefault="00F46FE6" w:rsidP="0071572F">
      <w:pPr>
        <w:pStyle w:val="Heading2"/>
        <w:spacing w:before="0" w:after="0"/>
        <w:rPr>
          <w:rFonts w:cs="Times New Roman"/>
        </w:rPr>
      </w:pPr>
      <w:bookmarkStart w:id="3" w:name="_Toc475705029"/>
      <w:r w:rsidRPr="0071572F">
        <w:rPr>
          <w:rFonts w:cs="Times New Roman"/>
        </w:rPr>
        <w:t>B.1</w:t>
      </w:r>
      <w:r w:rsidRPr="0071572F">
        <w:rPr>
          <w:rFonts w:cs="Times New Roman"/>
        </w:rPr>
        <w:tab/>
        <w:t>Respondent Universe and Sampling Methods</w:t>
      </w:r>
      <w:bookmarkEnd w:id="3"/>
    </w:p>
    <w:p w14:paraId="3D019357" w14:textId="77777777" w:rsidR="0071572F" w:rsidRPr="0071572F" w:rsidRDefault="0071572F" w:rsidP="0071572F"/>
    <w:p w14:paraId="2A5FFC04" w14:textId="6F0B0F59" w:rsidR="00F46FE6" w:rsidRDefault="00F46FE6" w:rsidP="0071572F">
      <w:pPr>
        <w:pStyle w:val="BodyText1"/>
        <w:spacing w:after="0" w:line="240" w:lineRule="auto"/>
      </w:pPr>
      <w:r w:rsidRPr="0071572F">
        <w:t>This information will be collected from National Comprehensive Cancer Control</w:t>
      </w:r>
      <w:r w:rsidR="00DE0390" w:rsidRPr="0071572F">
        <w:t xml:space="preserve"> Program</w:t>
      </w:r>
      <w:r w:rsidRPr="0071572F">
        <w:t xml:space="preserve"> (NCCCP) DP15-1501grantee program staff and their partners. </w:t>
      </w:r>
      <w:r w:rsidR="00F94E5C" w:rsidRPr="0071572F">
        <w:t xml:space="preserve">We </w:t>
      </w:r>
      <w:r w:rsidRPr="0071572F">
        <w:t xml:space="preserve">will ask NCCCP DP15-1501 program directors, program managers, and their key partners to respond at two time points to a </w:t>
      </w:r>
      <w:r w:rsidR="00F94E5C" w:rsidRPr="0071572F">
        <w:t>Web</w:t>
      </w:r>
      <w:r w:rsidRPr="0071572F">
        <w:t xml:space="preserve">-based </w:t>
      </w:r>
      <w:r w:rsidR="00E72FB8" w:rsidRPr="0071572F">
        <w:t xml:space="preserve">Grantee </w:t>
      </w:r>
      <w:r w:rsidRPr="0071572F">
        <w:t xml:space="preserve">survey </w:t>
      </w:r>
      <w:r w:rsidR="00AB08A4" w:rsidRPr="0071572F">
        <w:t>(</w:t>
      </w:r>
      <w:r w:rsidR="00AB08A4" w:rsidRPr="0071572F">
        <w:rPr>
          <w:b/>
        </w:rPr>
        <w:t>Attachment 3a</w:t>
      </w:r>
      <w:r w:rsidR="00AB08A4" w:rsidRPr="0071572F">
        <w:t xml:space="preserve">) </w:t>
      </w:r>
      <w:r w:rsidR="00E72FB8" w:rsidRPr="0071572F">
        <w:t>or Web-based Partner Survey (</w:t>
      </w:r>
      <w:r w:rsidR="00E72FB8" w:rsidRPr="0071572F">
        <w:rPr>
          <w:b/>
        </w:rPr>
        <w:t>Attachment 3c</w:t>
      </w:r>
      <w:r w:rsidR="00E72FB8" w:rsidRPr="0071572F">
        <w:t xml:space="preserve">) </w:t>
      </w:r>
      <w:r w:rsidRPr="0071572F">
        <w:t>about their cancer survivorship program activities.</w:t>
      </w:r>
      <w:r w:rsidR="005E42B3" w:rsidRPr="0071572F">
        <w:t xml:space="preserve"> </w:t>
      </w:r>
      <w:r w:rsidRPr="0071572F">
        <w:t xml:space="preserve">We anticipate approximately </w:t>
      </w:r>
      <w:r w:rsidR="00E72FB8" w:rsidRPr="0071572F">
        <w:t>12 respondents (i.e., NCCCP DP15-1501 grantee program directors and program managers) to the Web-based Grantee Survey and 60</w:t>
      </w:r>
      <w:r w:rsidRPr="0071572F">
        <w:t xml:space="preserve"> respondents </w:t>
      </w:r>
      <w:r w:rsidR="00E72FB8" w:rsidRPr="0071572F">
        <w:t>(e.g.,</w:t>
      </w:r>
      <w:r w:rsidR="00A140CE" w:rsidRPr="0071572F">
        <w:t xml:space="preserve"> </w:t>
      </w:r>
      <w:r w:rsidR="00E72FB8" w:rsidRPr="0071572F">
        <w:t xml:space="preserve">patient navigators, providers, coalition members) </w:t>
      </w:r>
      <w:r w:rsidRPr="0071572F">
        <w:t xml:space="preserve">to the </w:t>
      </w:r>
      <w:r w:rsidR="00F94E5C" w:rsidRPr="0071572F">
        <w:t>Web</w:t>
      </w:r>
      <w:r w:rsidRPr="0071572F">
        <w:t xml:space="preserve">-based </w:t>
      </w:r>
      <w:r w:rsidR="00E72FB8" w:rsidRPr="0071572F">
        <w:t xml:space="preserve">Partner </w:t>
      </w:r>
      <w:r w:rsidRPr="0071572F">
        <w:t>survey at each time point.</w:t>
      </w:r>
      <w:r w:rsidR="005E42B3" w:rsidRPr="0071572F">
        <w:t xml:space="preserve"> </w:t>
      </w:r>
      <w:r w:rsidR="005607F9" w:rsidRPr="0071572F">
        <w:t xml:space="preserve">Because of the small number of awardees funded through DP15-1501 (n=6), we are proposing to include </w:t>
      </w:r>
      <w:r w:rsidR="00601178" w:rsidRPr="0071572F">
        <w:t xml:space="preserve">both </w:t>
      </w:r>
      <w:r w:rsidR="005607F9" w:rsidRPr="0071572F">
        <w:t xml:space="preserve">the program director and program manager from every awardee in our data collection sample. Potential partner respondents represent a convenience sample identified by DP15-1501 </w:t>
      </w:r>
      <w:r w:rsidR="00601178" w:rsidRPr="0071572F">
        <w:t>grant</w:t>
      </w:r>
      <w:r w:rsidR="005607F9" w:rsidRPr="0071572F">
        <w:t xml:space="preserve">ee program staff. </w:t>
      </w:r>
      <w:r w:rsidR="00F94E5C" w:rsidRPr="0071572F">
        <w:t xml:space="preserve">We </w:t>
      </w:r>
      <w:r w:rsidRPr="0071572F">
        <w:t xml:space="preserve">will distribute the surveys and supporting documentation via </w:t>
      </w:r>
      <w:r w:rsidR="00F94E5C" w:rsidRPr="0071572F">
        <w:t>e-mail</w:t>
      </w:r>
      <w:r w:rsidRPr="0071572F">
        <w:t xml:space="preserve"> and the Internet.</w:t>
      </w:r>
      <w:r w:rsidR="005E42B3" w:rsidRPr="0071572F">
        <w:t xml:space="preserve"> </w:t>
      </w:r>
    </w:p>
    <w:p w14:paraId="20EE6C5E" w14:textId="77777777" w:rsidR="0071572F" w:rsidRPr="0071572F" w:rsidRDefault="0071572F" w:rsidP="0071572F">
      <w:pPr>
        <w:pStyle w:val="BodyText1"/>
        <w:spacing w:after="0" w:line="240" w:lineRule="auto"/>
      </w:pPr>
    </w:p>
    <w:p w14:paraId="3F5400F1" w14:textId="75B4E35F" w:rsidR="00F46FE6" w:rsidRDefault="00F94E5C" w:rsidP="0071572F">
      <w:pPr>
        <w:pStyle w:val="BodyText1"/>
        <w:spacing w:after="0" w:line="240" w:lineRule="auto"/>
      </w:pPr>
      <w:r w:rsidRPr="0071572F" w:rsidDel="00D539AF">
        <w:t xml:space="preserve">We </w:t>
      </w:r>
      <w:r w:rsidR="00F46FE6" w:rsidRPr="0071572F" w:rsidDel="00D539AF">
        <w:t xml:space="preserve">will ask NCCCP DP15-1501 program directors and program managers to participate in 30- to 60-minute </w:t>
      </w:r>
      <w:r w:rsidRPr="0071572F" w:rsidDel="00D539AF">
        <w:t>semi</w:t>
      </w:r>
      <w:r w:rsidR="00891D03" w:rsidRPr="0071572F">
        <w:t>-</w:t>
      </w:r>
      <w:r w:rsidRPr="0071572F" w:rsidDel="00D539AF">
        <w:t>structured</w:t>
      </w:r>
      <w:r w:rsidR="00F46FE6" w:rsidRPr="0071572F" w:rsidDel="00D539AF">
        <w:t xml:space="preserve"> interviews </w:t>
      </w:r>
      <w:r w:rsidR="00AB08A4" w:rsidRPr="0071572F">
        <w:t>(</w:t>
      </w:r>
      <w:r w:rsidR="00AB08A4" w:rsidRPr="0071572F">
        <w:rPr>
          <w:b/>
        </w:rPr>
        <w:t>Attachment 4</w:t>
      </w:r>
      <w:r w:rsidR="00AB08A4" w:rsidRPr="0071572F">
        <w:t xml:space="preserve">) </w:t>
      </w:r>
      <w:r w:rsidR="00F46FE6" w:rsidRPr="0071572F" w:rsidDel="00D539AF">
        <w:t xml:space="preserve">at two time points. We anticipate approximately 12 interview respondents: one program director and one program manager from each of the six grantees. </w:t>
      </w:r>
    </w:p>
    <w:p w14:paraId="109060A0" w14:textId="77777777" w:rsidR="0071572F" w:rsidRPr="0071572F" w:rsidDel="00D539AF" w:rsidRDefault="0071572F" w:rsidP="0071572F">
      <w:pPr>
        <w:pStyle w:val="BodyText1"/>
        <w:spacing w:after="0" w:line="240" w:lineRule="auto"/>
      </w:pPr>
    </w:p>
    <w:p w14:paraId="14B4EF13" w14:textId="77777777" w:rsidR="00F46FE6" w:rsidRPr="0071572F" w:rsidRDefault="00F46FE6" w:rsidP="0071572F">
      <w:pPr>
        <w:pStyle w:val="BodyText1"/>
        <w:spacing w:after="0" w:line="240" w:lineRule="auto"/>
      </w:pPr>
      <w:r w:rsidRPr="0071572F">
        <w:t>Exhibit 1 shows the distribution of respondents by type, data collection type, and wave.</w:t>
      </w:r>
      <w:r w:rsidR="005E42B3" w:rsidRPr="0071572F">
        <w:t xml:space="preserve"> </w:t>
      </w:r>
      <w:r w:rsidRPr="0071572F">
        <w:t xml:space="preserve">There will be two waves of data collection. </w:t>
      </w:r>
    </w:p>
    <w:p w14:paraId="7C44775A" w14:textId="77777777" w:rsidR="00F46FE6" w:rsidRPr="007F406E" w:rsidRDefault="00F46FE6" w:rsidP="005E42B3">
      <w:pPr>
        <w:pStyle w:val="FigureTitle"/>
      </w:pPr>
      <w:bookmarkStart w:id="4" w:name="_Toc475704958"/>
      <w:r>
        <w:t xml:space="preserve">Exhibit </w:t>
      </w:r>
      <w:r w:rsidRPr="007F406E">
        <w:t>1</w:t>
      </w:r>
      <w:r>
        <w:t>.</w:t>
      </w:r>
      <w:r w:rsidRPr="007F406E">
        <w:t xml:space="preserve"> Respondent Universe, by </w:t>
      </w:r>
      <w:r>
        <w:t>Data Collection Type and Wave</w:t>
      </w:r>
      <w:bookmarkEnd w:id="4"/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112"/>
        <w:gridCol w:w="296"/>
        <w:gridCol w:w="1111"/>
        <w:gridCol w:w="260"/>
        <w:gridCol w:w="1145"/>
        <w:gridCol w:w="1143"/>
        <w:gridCol w:w="228"/>
        <w:gridCol w:w="1143"/>
        <w:gridCol w:w="1373"/>
      </w:tblGrid>
      <w:tr w:rsidR="00F5274B" w:rsidRPr="007F406E" w14:paraId="1A0DC059" w14:textId="77777777" w:rsidTr="00F5274B">
        <w:trPr>
          <w:cantSplit/>
          <w:tblHeader/>
        </w:trPr>
        <w:tc>
          <w:tcPr>
            <w:tcW w:w="921" w:type="pct"/>
            <w:vMerge w:val="restart"/>
            <w:vAlign w:val="bottom"/>
          </w:tcPr>
          <w:p w14:paraId="69A3B486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 w:rsidRPr="007F406E">
              <w:rPr>
                <w:b/>
                <w:sz w:val="22"/>
                <w:szCs w:val="20"/>
              </w:rPr>
              <w:t>Respondent Type</w:t>
            </w:r>
          </w:p>
        </w:tc>
        <w:tc>
          <w:tcPr>
            <w:tcW w:w="734" w:type="pct"/>
            <w:gridSpan w:val="2"/>
          </w:tcPr>
          <w:p w14:paraId="48516A32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16" w:type="pct"/>
            <w:gridSpan w:val="2"/>
          </w:tcPr>
          <w:p w14:paraId="7663E11E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2628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bottom"/>
          </w:tcPr>
          <w:p w14:paraId="70C03DBF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 w:rsidRPr="007F406E">
              <w:rPr>
                <w:b/>
                <w:sz w:val="22"/>
                <w:szCs w:val="20"/>
              </w:rPr>
              <w:t>Data Collection Method</w:t>
            </w:r>
          </w:p>
        </w:tc>
      </w:tr>
      <w:tr w:rsidR="00F5274B" w:rsidRPr="007F406E" w14:paraId="5A1500E8" w14:textId="77777777" w:rsidTr="00F5274B">
        <w:trPr>
          <w:cantSplit/>
          <w:tblHeader/>
        </w:trPr>
        <w:tc>
          <w:tcPr>
            <w:tcW w:w="921" w:type="pct"/>
            <w:vMerge/>
            <w:vAlign w:val="bottom"/>
          </w:tcPr>
          <w:p w14:paraId="1C98E8D5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34" w:type="pct"/>
            <w:gridSpan w:val="2"/>
          </w:tcPr>
          <w:p w14:paraId="3128E655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31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9191224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 w:rsidRPr="007F406E">
              <w:rPr>
                <w:b/>
                <w:sz w:val="22"/>
                <w:szCs w:val="20"/>
              </w:rPr>
              <w:t>Wave 1</w:t>
            </w:r>
          </w:p>
        </w:tc>
        <w:tc>
          <w:tcPr>
            <w:tcW w:w="71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1D99897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31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3BFA476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 w:rsidRPr="007F406E">
              <w:rPr>
                <w:b/>
                <w:sz w:val="22"/>
                <w:szCs w:val="20"/>
              </w:rPr>
              <w:t>Wave 2</w:t>
            </w:r>
          </w:p>
        </w:tc>
      </w:tr>
      <w:tr w:rsidR="00F5274B" w:rsidRPr="007F406E" w14:paraId="3880C606" w14:textId="77777777" w:rsidTr="00F5274B">
        <w:trPr>
          <w:cantSplit/>
          <w:tblHeader/>
        </w:trPr>
        <w:tc>
          <w:tcPr>
            <w:tcW w:w="921" w:type="pct"/>
            <w:vMerge/>
            <w:tcBorders>
              <w:top w:val="single" w:sz="6" w:space="0" w:color="auto"/>
            </w:tcBorders>
            <w:vAlign w:val="bottom"/>
          </w:tcPr>
          <w:p w14:paraId="72D0AD67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A99428D" w14:textId="18E62A38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Web</w:t>
            </w:r>
            <w:r w:rsidRPr="007F406E">
              <w:rPr>
                <w:b/>
                <w:sz w:val="22"/>
                <w:szCs w:val="20"/>
              </w:rPr>
              <w:t>-</w:t>
            </w:r>
            <w:r>
              <w:rPr>
                <w:b/>
                <w:sz w:val="22"/>
                <w:szCs w:val="20"/>
              </w:rPr>
              <w:t>B</w:t>
            </w:r>
            <w:r w:rsidRPr="007F406E">
              <w:rPr>
                <w:b/>
                <w:sz w:val="22"/>
                <w:szCs w:val="20"/>
              </w:rPr>
              <w:t xml:space="preserve">ased </w:t>
            </w:r>
            <w:r>
              <w:rPr>
                <w:b/>
                <w:sz w:val="22"/>
                <w:szCs w:val="20"/>
              </w:rPr>
              <w:t xml:space="preserve">Grantee </w:t>
            </w:r>
            <w:r w:rsidRPr="007F406E">
              <w:rPr>
                <w:b/>
                <w:sz w:val="22"/>
                <w:szCs w:val="20"/>
              </w:rPr>
              <w:t>Survey (n</w:t>
            </w:r>
            <w:r>
              <w:rPr>
                <w:b/>
                <w:sz w:val="22"/>
                <w:szCs w:val="20"/>
              </w:rPr>
              <w:t> </w:t>
            </w:r>
            <w:r w:rsidRPr="007F406E">
              <w:rPr>
                <w:b/>
                <w:sz w:val="22"/>
                <w:szCs w:val="20"/>
              </w:rPr>
              <w:t>=</w:t>
            </w:r>
            <w:r>
              <w:rPr>
                <w:b/>
                <w:sz w:val="22"/>
                <w:szCs w:val="20"/>
              </w:rPr>
              <w:t> 1</w:t>
            </w:r>
            <w:r w:rsidRPr="007F406E">
              <w:rPr>
                <w:b/>
                <w:sz w:val="22"/>
                <w:szCs w:val="20"/>
              </w:rPr>
              <w:t>2)</w:t>
            </w:r>
          </w:p>
        </w:tc>
        <w:tc>
          <w:tcPr>
            <w:tcW w:w="734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49AF80E" w14:textId="77777777" w:rsidR="00F5274B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</w:p>
          <w:p w14:paraId="782B334F" w14:textId="77777777" w:rsidR="00F5274B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Web-based Partner Survey</w:t>
            </w:r>
          </w:p>
          <w:p w14:paraId="2C5C5237" w14:textId="77777777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(n=60)</w:t>
            </w:r>
          </w:p>
        </w:tc>
        <w:tc>
          <w:tcPr>
            <w:tcW w:w="73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CCACCD6" w14:textId="28104B2D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 w:rsidRPr="007F406E">
              <w:rPr>
                <w:b/>
                <w:sz w:val="22"/>
                <w:szCs w:val="20"/>
              </w:rPr>
              <w:t>Semi</w:t>
            </w:r>
            <w:r w:rsidR="00601178">
              <w:rPr>
                <w:b/>
                <w:sz w:val="22"/>
                <w:szCs w:val="20"/>
              </w:rPr>
              <w:t>-</w:t>
            </w:r>
            <w:r w:rsidRPr="007F406E">
              <w:rPr>
                <w:b/>
                <w:sz w:val="22"/>
                <w:szCs w:val="20"/>
              </w:rPr>
              <w:t>structured Telephone Interviews (n</w:t>
            </w:r>
            <w:r>
              <w:rPr>
                <w:b/>
                <w:sz w:val="22"/>
                <w:szCs w:val="20"/>
              </w:rPr>
              <w:t> </w:t>
            </w:r>
            <w:r w:rsidRPr="007F406E">
              <w:rPr>
                <w:b/>
                <w:sz w:val="22"/>
                <w:szCs w:val="20"/>
              </w:rPr>
              <w:t>=</w:t>
            </w:r>
            <w:r>
              <w:rPr>
                <w:b/>
                <w:sz w:val="22"/>
                <w:szCs w:val="20"/>
              </w:rPr>
              <w:t> </w:t>
            </w:r>
            <w:r w:rsidRPr="007F406E">
              <w:rPr>
                <w:b/>
                <w:sz w:val="22"/>
                <w:szCs w:val="20"/>
              </w:rPr>
              <w:t>12)</w:t>
            </w:r>
          </w:p>
        </w:tc>
        <w:tc>
          <w:tcPr>
            <w:tcW w:w="597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B212B2C" w14:textId="50EE6D86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Web</w:t>
            </w:r>
            <w:r w:rsidRPr="007F406E">
              <w:rPr>
                <w:b/>
                <w:sz w:val="22"/>
                <w:szCs w:val="20"/>
              </w:rPr>
              <w:t>-</w:t>
            </w:r>
            <w:r>
              <w:rPr>
                <w:b/>
                <w:sz w:val="22"/>
                <w:szCs w:val="20"/>
              </w:rPr>
              <w:t>B</w:t>
            </w:r>
            <w:r w:rsidRPr="007F406E">
              <w:rPr>
                <w:b/>
                <w:sz w:val="22"/>
                <w:szCs w:val="20"/>
              </w:rPr>
              <w:t xml:space="preserve">ased </w:t>
            </w:r>
            <w:r>
              <w:rPr>
                <w:b/>
                <w:sz w:val="22"/>
                <w:szCs w:val="20"/>
              </w:rPr>
              <w:t xml:space="preserve">Grantee </w:t>
            </w:r>
            <w:r w:rsidRPr="007F406E">
              <w:rPr>
                <w:b/>
                <w:sz w:val="22"/>
                <w:szCs w:val="20"/>
              </w:rPr>
              <w:t>Survey (n</w:t>
            </w:r>
            <w:r>
              <w:rPr>
                <w:b/>
                <w:sz w:val="22"/>
                <w:szCs w:val="20"/>
              </w:rPr>
              <w:t> </w:t>
            </w:r>
            <w:r w:rsidRPr="007F406E">
              <w:rPr>
                <w:b/>
                <w:sz w:val="22"/>
                <w:szCs w:val="20"/>
              </w:rPr>
              <w:t>=</w:t>
            </w:r>
            <w:r>
              <w:rPr>
                <w:b/>
                <w:sz w:val="22"/>
                <w:szCs w:val="20"/>
              </w:rPr>
              <w:t> 1</w:t>
            </w:r>
            <w:r w:rsidRPr="007F406E">
              <w:rPr>
                <w:b/>
                <w:sz w:val="22"/>
                <w:szCs w:val="20"/>
              </w:rPr>
              <w:t>2)</w:t>
            </w:r>
          </w:p>
        </w:tc>
        <w:tc>
          <w:tcPr>
            <w:tcW w:w="716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2821386" w14:textId="77777777" w:rsidR="00F5274B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</w:p>
          <w:p w14:paraId="5333BBAB" w14:textId="77777777" w:rsidR="00F5274B" w:rsidRPr="00DB68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Web-based Partner Survey (n=60)</w:t>
            </w:r>
          </w:p>
        </w:tc>
        <w:tc>
          <w:tcPr>
            <w:tcW w:w="717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2B36D9D" w14:textId="66360A43" w:rsidR="00F5274B" w:rsidRPr="007F406E" w:rsidRDefault="00F5274B" w:rsidP="00F46FE6">
            <w:pPr>
              <w:spacing w:before="80" w:after="80"/>
              <w:jc w:val="center"/>
              <w:rPr>
                <w:b/>
                <w:sz w:val="22"/>
                <w:szCs w:val="20"/>
              </w:rPr>
            </w:pPr>
            <w:r w:rsidRPr="00DB686E">
              <w:rPr>
                <w:b/>
                <w:sz w:val="22"/>
                <w:szCs w:val="20"/>
              </w:rPr>
              <w:t>Semi</w:t>
            </w:r>
            <w:r w:rsidR="00601178">
              <w:rPr>
                <w:b/>
                <w:sz w:val="22"/>
                <w:szCs w:val="20"/>
              </w:rPr>
              <w:t>-</w:t>
            </w:r>
            <w:r w:rsidRPr="00DB686E">
              <w:rPr>
                <w:b/>
                <w:sz w:val="22"/>
                <w:szCs w:val="20"/>
              </w:rPr>
              <w:t>structure</w:t>
            </w:r>
            <w:r w:rsidRPr="007F406E">
              <w:rPr>
                <w:b/>
                <w:sz w:val="22"/>
                <w:szCs w:val="20"/>
              </w:rPr>
              <w:t>d Telephone Interviews (n</w:t>
            </w:r>
            <w:r>
              <w:rPr>
                <w:b/>
                <w:sz w:val="22"/>
                <w:szCs w:val="20"/>
              </w:rPr>
              <w:t> </w:t>
            </w:r>
            <w:r w:rsidRPr="007F406E">
              <w:rPr>
                <w:b/>
                <w:sz w:val="22"/>
                <w:szCs w:val="20"/>
              </w:rPr>
              <w:t>=</w:t>
            </w:r>
            <w:r>
              <w:rPr>
                <w:b/>
                <w:sz w:val="22"/>
                <w:szCs w:val="20"/>
              </w:rPr>
              <w:t> </w:t>
            </w:r>
            <w:r w:rsidRPr="007F406E">
              <w:rPr>
                <w:b/>
                <w:sz w:val="22"/>
                <w:szCs w:val="20"/>
              </w:rPr>
              <w:t>12)</w:t>
            </w:r>
          </w:p>
        </w:tc>
      </w:tr>
      <w:tr w:rsidR="00F5274B" w:rsidRPr="007F406E" w14:paraId="07A22DA0" w14:textId="77777777" w:rsidTr="00F5274B">
        <w:trPr>
          <w:cantSplit/>
        </w:trPr>
        <w:tc>
          <w:tcPr>
            <w:tcW w:w="921" w:type="pct"/>
            <w:tcBorders>
              <w:top w:val="single" w:sz="6" w:space="0" w:color="auto"/>
            </w:tcBorders>
          </w:tcPr>
          <w:p w14:paraId="3F39B18B" w14:textId="77777777" w:rsidR="00F5274B" w:rsidRPr="007F406E" w:rsidRDefault="00F5274B" w:rsidP="00F46FE6">
            <w:pPr>
              <w:spacing w:before="80" w:after="80"/>
              <w:rPr>
                <w:rFonts w:eastAsia="MS Mincho"/>
                <w:sz w:val="22"/>
                <w:szCs w:val="20"/>
              </w:rPr>
            </w:pPr>
            <w:r>
              <w:rPr>
                <w:rFonts w:eastAsia="MS Mincho"/>
                <w:sz w:val="22"/>
                <w:szCs w:val="20"/>
              </w:rPr>
              <w:t>Comprehensive Cancer Control (</w:t>
            </w:r>
            <w:r w:rsidRPr="007F406E">
              <w:rPr>
                <w:rFonts w:eastAsia="MS Mincho"/>
                <w:sz w:val="22"/>
                <w:szCs w:val="20"/>
              </w:rPr>
              <w:t>CCC</w:t>
            </w:r>
            <w:r>
              <w:rPr>
                <w:rFonts w:eastAsia="MS Mincho"/>
                <w:sz w:val="22"/>
                <w:szCs w:val="20"/>
              </w:rPr>
              <w:t>)</w:t>
            </w:r>
            <w:r w:rsidRPr="007F406E">
              <w:rPr>
                <w:rFonts w:eastAsia="MS Mincho"/>
                <w:sz w:val="22"/>
                <w:szCs w:val="20"/>
              </w:rPr>
              <w:t xml:space="preserve"> Program Director</w:t>
            </w:r>
          </w:p>
        </w:tc>
        <w:tc>
          <w:tcPr>
            <w:tcW w:w="580" w:type="pct"/>
            <w:tcBorders>
              <w:top w:val="single" w:sz="6" w:space="0" w:color="auto"/>
            </w:tcBorders>
          </w:tcPr>
          <w:p w14:paraId="235CF86A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  <w:tc>
          <w:tcPr>
            <w:tcW w:w="734" w:type="pct"/>
            <w:gridSpan w:val="2"/>
            <w:tcBorders>
              <w:top w:val="single" w:sz="6" w:space="0" w:color="auto"/>
            </w:tcBorders>
          </w:tcPr>
          <w:p w14:paraId="40B2C8F5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734" w:type="pct"/>
            <w:gridSpan w:val="2"/>
            <w:tcBorders>
              <w:top w:val="single" w:sz="6" w:space="0" w:color="auto"/>
            </w:tcBorders>
          </w:tcPr>
          <w:p w14:paraId="25D43FAA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  <w:tc>
          <w:tcPr>
            <w:tcW w:w="597" w:type="pct"/>
            <w:tcBorders>
              <w:top w:val="single" w:sz="6" w:space="0" w:color="auto"/>
            </w:tcBorders>
          </w:tcPr>
          <w:p w14:paraId="5A9B1C5F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  <w:tc>
          <w:tcPr>
            <w:tcW w:w="716" w:type="pct"/>
            <w:gridSpan w:val="2"/>
            <w:tcBorders>
              <w:top w:val="single" w:sz="6" w:space="0" w:color="auto"/>
            </w:tcBorders>
          </w:tcPr>
          <w:p w14:paraId="0B9C4A85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717" w:type="pct"/>
            <w:tcBorders>
              <w:top w:val="single" w:sz="6" w:space="0" w:color="auto"/>
            </w:tcBorders>
          </w:tcPr>
          <w:p w14:paraId="05E39A46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</w:tr>
      <w:tr w:rsidR="00F5274B" w:rsidRPr="007F406E" w14:paraId="5F02D56B" w14:textId="77777777" w:rsidTr="00F5274B">
        <w:trPr>
          <w:cantSplit/>
        </w:trPr>
        <w:tc>
          <w:tcPr>
            <w:tcW w:w="921" w:type="pct"/>
            <w:tcBorders>
              <w:bottom w:val="nil"/>
            </w:tcBorders>
          </w:tcPr>
          <w:p w14:paraId="73BCFD75" w14:textId="77777777" w:rsidR="00F5274B" w:rsidRPr="007F406E" w:rsidRDefault="00F5274B" w:rsidP="00F46FE6">
            <w:pPr>
              <w:spacing w:before="80" w:after="80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CCC Program Manager</w:t>
            </w:r>
          </w:p>
        </w:tc>
        <w:tc>
          <w:tcPr>
            <w:tcW w:w="580" w:type="pct"/>
            <w:tcBorders>
              <w:bottom w:val="nil"/>
            </w:tcBorders>
          </w:tcPr>
          <w:p w14:paraId="34546365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  <w:tc>
          <w:tcPr>
            <w:tcW w:w="734" w:type="pct"/>
            <w:gridSpan w:val="2"/>
            <w:tcBorders>
              <w:bottom w:val="nil"/>
            </w:tcBorders>
          </w:tcPr>
          <w:p w14:paraId="2475F721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734" w:type="pct"/>
            <w:gridSpan w:val="2"/>
            <w:tcBorders>
              <w:bottom w:val="nil"/>
            </w:tcBorders>
          </w:tcPr>
          <w:p w14:paraId="5C9673DE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  <w:tc>
          <w:tcPr>
            <w:tcW w:w="597" w:type="pct"/>
            <w:tcBorders>
              <w:bottom w:val="nil"/>
            </w:tcBorders>
          </w:tcPr>
          <w:p w14:paraId="12E80569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  <w:tc>
          <w:tcPr>
            <w:tcW w:w="716" w:type="pct"/>
            <w:gridSpan w:val="2"/>
            <w:tcBorders>
              <w:bottom w:val="nil"/>
            </w:tcBorders>
          </w:tcPr>
          <w:p w14:paraId="6A2446FD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717" w:type="pct"/>
            <w:tcBorders>
              <w:bottom w:val="nil"/>
            </w:tcBorders>
          </w:tcPr>
          <w:p w14:paraId="0CC43A72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</w:tr>
      <w:tr w:rsidR="00F5274B" w:rsidRPr="007F406E" w14:paraId="5A4D4692" w14:textId="77777777" w:rsidTr="00F5274B">
        <w:trPr>
          <w:cantSplit/>
        </w:trPr>
        <w:tc>
          <w:tcPr>
            <w:tcW w:w="921" w:type="pct"/>
            <w:tcBorders>
              <w:top w:val="nil"/>
              <w:bottom w:val="single" w:sz="12" w:space="0" w:color="auto"/>
            </w:tcBorders>
          </w:tcPr>
          <w:p w14:paraId="0AC257F2" w14:textId="77777777" w:rsidR="00F5274B" w:rsidRPr="007F406E" w:rsidRDefault="00F5274B" w:rsidP="00F46FE6">
            <w:pPr>
              <w:spacing w:before="80" w:after="80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CCC Program Survivorship Partners</w:t>
            </w:r>
          </w:p>
        </w:tc>
        <w:tc>
          <w:tcPr>
            <w:tcW w:w="580" w:type="pct"/>
            <w:tcBorders>
              <w:top w:val="nil"/>
              <w:bottom w:val="single" w:sz="12" w:space="0" w:color="auto"/>
            </w:tcBorders>
          </w:tcPr>
          <w:p w14:paraId="5CB48BDF" w14:textId="65EC9CF2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734" w:type="pct"/>
            <w:gridSpan w:val="2"/>
            <w:tcBorders>
              <w:top w:val="nil"/>
              <w:bottom w:val="single" w:sz="12" w:space="0" w:color="auto"/>
            </w:tcBorders>
          </w:tcPr>
          <w:p w14:paraId="1566C341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  <w:tc>
          <w:tcPr>
            <w:tcW w:w="734" w:type="pct"/>
            <w:gridSpan w:val="2"/>
            <w:tcBorders>
              <w:top w:val="nil"/>
              <w:bottom w:val="single" w:sz="12" w:space="0" w:color="auto"/>
            </w:tcBorders>
          </w:tcPr>
          <w:p w14:paraId="225D54E7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597" w:type="pct"/>
            <w:tcBorders>
              <w:top w:val="nil"/>
              <w:bottom w:val="single" w:sz="12" w:space="0" w:color="auto"/>
            </w:tcBorders>
          </w:tcPr>
          <w:p w14:paraId="718EF5E9" w14:textId="414DE600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</w:p>
        </w:tc>
        <w:tc>
          <w:tcPr>
            <w:tcW w:w="716" w:type="pct"/>
            <w:gridSpan w:val="2"/>
            <w:tcBorders>
              <w:top w:val="nil"/>
              <w:bottom w:val="single" w:sz="12" w:space="0" w:color="auto"/>
            </w:tcBorders>
          </w:tcPr>
          <w:p w14:paraId="147CDD3D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  <w:r w:rsidRPr="007F406E">
              <w:rPr>
                <w:rFonts w:eastAsia="MS Mincho"/>
                <w:sz w:val="22"/>
                <w:szCs w:val="20"/>
              </w:rPr>
              <w:t>●</w:t>
            </w:r>
          </w:p>
        </w:tc>
        <w:tc>
          <w:tcPr>
            <w:tcW w:w="717" w:type="pct"/>
            <w:tcBorders>
              <w:top w:val="nil"/>
              <w:bottom w:val="single" w:sz="12" w:space="0" w:color="auto"/>
            </w:tcBorders>
          </w:tcPr>
          <w:p w14:paraId="15402EBA" w14:textId="77777777" w:rsidR="00F5274B" w:rsidRPr="007F406E" w:rsidRDefault="00F5274B" w:rsidP="00F46FE6">
            <w:pPr>
              <w:spacing w:before="80" w:after="80"/>
              <w:jc w:val="center"/>
              <w:rPr>
                <w:rFonts w:eastAsia="MS Mincho"/>
                <w:sz w:val="22"/>
                <w:szCs w:val="20"/>
              </w:rPr>
            </w:pPr>
          </w:p>
        </w:tc>
      </w:tr>
    </w:tbl>
    <w:p w14:paraId="6199474C" w14:textId="77777777" w:rsidR="00F46FE6" w:rsidRDefault="00F46FE6" w:rsidP="00F46FE6">
      <w:pPr>
        <w:pStyle w:val="exhibitsource"/>
      </w:pPr>
    </w:p>
    <w:p w14:paraId="50511CE7" w14:textId="1D40F236" w:rsidR="00F46FE6" w:rsidRDefault="00F46FE6" w:rsidP="0006307A">
      <w:pPr>
        <w:pStyle w:val="Heading2"/>
        <w:spacing w:before="0" w:after="0"/>
      </w:pPr>
      <w:bookmarkStart w:id="5" w:name="_Toc475705030"/>
      <w:r w:rsidRPr="002B6C0A">
        <w:t>B.</w:t>
      </w:r>
      <w:r>
        <w:t>2</w:t>
      </w:r>
      <w:r w:rsidRPr="002B6C0A">
        <w:tab/>
        <w:t xml:space="preserve">Procedures for </w:t>
      </w:r>
      <w:r>
        <w:t xml:space="preserve">the </w:t>
      </w:r>
      <w:r w:rsidRPr="002B6C0A">
        <w:t>Collection of Information</w:t>
      </w:r>
      <w:bookmarkEnd w:id="5"/>
    </w:p>
    <w:p w14:paraId="5F98BE02" w14:textId="77777777" w:rsidR="0006307A" w:rsidRPr="0006307A" w:rsidRDefault="0006307A" w:rsidP="0006307A"/>
    <w:p w14:paraId="52CEB224" w14:textId="1EA41497" w:rsidR="009B6D5C" w:rsidRDefault="009B6D5C" w:rsidP="0006307A">
      <w:pPr>
        <w:pStyle w:val="BodyText2"/>
        <w:tabs>
          <w:tab w:val="left" w:pos="720"/>
        </w:tabs>
        <w:spacing w:after="0" w:line="240" w:lineRule="auto"/>
      </w:pPr>
      <w:r>
        <w:t xml:space="preserve"> </w:t>
      </w:r>
      <w:r w:rsidR="008222CB">
        <w:t xml:space="preserve"> </w:t>
      </w:r>
      <w:r>
        <w:t>The proposed information collection will be conducted during two cycles of the program: (1) interim period (</w:t>
      </w:r>
      <w:r w:rsidR="009B42DD">
        <w:t>09</w:t>
      </w:r>
      <w:r>
        <w:t>/1</w:t>
      </w:r>
      <w:r w:rsidR="00DD4786">
        <w:t>8) and (2) final period (0</w:t>
      </w:r>
      <w:r w:rsidR="009B42DD">
        <w:t>5</w:t>
      </w:r>
      <w:r>
        <w:t>/</w:t>
      </w:r>
      <w:r w:rsidR="009B42DD">
        <w:t>20</w:t>
      </w:r>
      <w:r>
        <w:t>). Both waves will include a Web-based</w:t>
      </w:r>
      <w:r w:rsidR="00F5274B">
        <w:t xml:space="preserve"> Grantee</w:t>
      </w:r>
      <w:r>
        <w:t xml:space="preserve"> survey (</w:t>
      </w:r>
      <w:r w:rsidRPr="008E24FD">
        <w:rPr>
          <w:b/>
        </w:rPr>
        <w:t>Attachment 3a</w:t>
      </w:r>
      <w:r>
        <w:t>) to NCCCP DP15-1501 grantee program directors</w:t>
      </w:r>
      <w:r w:rsidR="00F5274B">
        <w:t xml:space="preserve"> and </w:t>
      </w:r>
      <w:r>
        <w:t xml:space="preserve">program managers, </w:t>
      </w:r>
      <w:r w:rsidR="00F5274B">
        <w:t>a Web-based Partner survey (</w:t>
      </w:r>
      <w:r w:rsidR="00F5274B">
        <w:rPr>
          <w:b/>
        </w:rPr>
        <w:t xml:space="preserve">Attachment </w:t>
      </w:r>
      <w:r w:rsidR="00F5274B" w:rsidRPr="00A140CE">
        <w:rPr>
          <w:b/>
        </w:rPr>
        <w:t>3c</w:t>
      </w:r>
      <w:r w:rsidR="00F5274B">
        <w:t xml:space="preserve">) to grantees’ </w:t>
      </w:r>
      <w:r>
        <w:t xml:space="preserve">self-identified key partners </w:t>
      </w:r>
      <w:r w:rsidRPr="00C82264">
        <w:t>(e.g., coalition members, providers</w:t>
      </w:r>
      <w:r w:rsidR="00F734FC">
        <w:t xml:space="preserve"> and</w:t>
      </w:r>
      <w:r w:rsidR="00F734FC" w:rsidRPr="00C82264">
        <w:t xml:space="preserve"> </w:t>
      </w:r>
      <w:r w:rsidRPr="00C82264">
        <w:t>patient navigators</w:t>
      </w:r>
      <w:r w:rsidR="00F734FC">
        <w:t xml:space="preserve"> whose contact information is available in public domains such as organizations’ websites</w:t>
      </w:r>
      <w:r w:rsidRPr="00C82264">
        <w:t>)</w:t>
      </w:r>
      <w:r>
        <w:t>, as well as semi</w:t>
      </w:r>
      <w:r w:rsidR="00891D03">
        <w:t>-</w:t>
      </w:r>
      <w:r>
        <w:t>structured telephone interviews (</w:t>
      </w:r>
      <w:r>
        <w:rPr>
          <w:b/>
        </w:rPr>
        <w:t>Attachment 4</w:t>
      </w:r>
      <w:r>
        <w:t xml:space="preserve">) with NCCCP DP15-1501 grantee program directors and program managers. </w:t>
      </w:r>
    </w:p>
    <w:p w14:paraId="0489A8A6" w14:textId="77777777" w:rsidR="0006307A" w:rsidRDefault="0006307A" w:rsidP="0006307A">
      <w:pPr>
        <w:pStyle w:val="BodyText2"/>
        <w:tabs>
          <w:tab w:val="left" w:pos="720"/>
        </w:tabs>
        <w:spacing w:after="0" w:line="240" w:lineRule="auto"/>
      </w:pPr>
    </w:p>
    <w:p w14:paraId="5E950251" w14:textId="41EF389B" w:rsidR="008222CB" w:rsidRDefault="008222CB" w:rsidP="0006307A">
      <w:pPr>
        <w:pStyle w:val="BodyText1"/>
        <w:spacing w:after="0" w:line="240" w:lineRule="auto"/>
      </w:pPr>
      <w:r>
        <w:t>We</w:t>
      </w:r>
      <w:r w:rsidRPr="00A21FFB">
        <w:t xml:space="preserve"> will contact </w:t>
      </w:r>
      <w:r>
        <w:t>each</w:t>
      </w:r>
      <w:r w:rsidRPr="00A21FFB">
        <w:t xml:space="preserve"> individual </w:t>
      </w:r>
      <w:r>
        <w:t xml:space="preserve">during Wave 1 and Wave 2 data collection </w:t>
      </w:r>
      <w:r w:rsidRPr="00A21FFB">
        <w:t xml:space="preserve">to </w:t>
      </w:r>
      <w:r>
        <w:t xml:space="preserve">complete </w:t>
      </w:r>
      <w:r w:rsidRPr="00A21FFB">
        <w:t>the</w:t>
      </w:r>
      <w:r>
        <w:t xml:space="preserve"> appropriate Web-based</w:t>
      </w:r>
      <w:r w:rsidRPr="00A21FFB">
        <w:t xml:space="preserve"> survey.</w:t>
      </w:r>
      <w:r>
        <w:t xml:space="preserve"> Up to f</w:t>
      </w:r>
      <w:r w:rsidRPr="0080584E">
        <w:t xml:space="preserve">our rounds of communication will be sent to the </w:t>
      </w:r>
      <w:r>
        <w:t xml:space="preserve">Web-based survey respondents </w:t>
      </w:r>
      <w:r w:rsidRPr="00A04F82">
        <w:t xml:space="preserve">during each wave of data collection: an initial </w:t>
      </w:r>
      <w:r>
        <w:t>e-mail</w:t>
      </w:r>
      <w:r w:rsidRPr="00A04F82">
        <w:t xml:space="preserve"> </w:t>
      </w:r>
      <w:r w:rsidRPr="00A04F82">
        <w:rPr>
          <w:szCs w:val="22"/>
        </w:rPr>
        <w:t>with embedded link</w:t>
      </w:r>
      <w:r w:rsidRPr="00A04F82">
        <w:t xml:space="preserve"> to the </w:t>
      </w:r>
      <w:r w:rsidR="00F5274B">
        <w:t xml:space="preserve">relevant </w:t>
      </w:r>
      <w:r w:rsidRPr="00A04F82">
        <w:t>survey instrument (</w:t>
      </w:r>
      <w:r w:rsidRPr="00D31B7D">
        <w:rPr>
          <w:b/>
        </w:rPr>
        <w:t>Attachment 3</w:t>
      </w:r>
      <w:r w:rsidR="00BE777A">
        <w:rPr>
          <w:b/>
        </w:rPr>
        <w:t>e</w:t>
      </w:r>
      <w:r w:rsidRPr="00A04F82">
        <w:t xml:space="preserve">); a reminder </w:t>
      </w:r>
      <w:r>
        <w:t>e-mail</w:t>
      </w:r>
      <w:r w:rsidRPr="00A04F82">
        <w:t xml:space="preserve"> (to non</w:t>
      </w:r>
      <w:r w:rsidR="00891D03">
        <w:t>-r</w:t>
      </w:r>
      <w:r w:rsidRPr="00A04F82">
        <w:t xml:space="preserve">espondents) </w:t>
      </w:r>
      <w:r w:rsidRPr="00A04F82">
        <w:rPr>
          <w:szCs w:val="22"/>
        </w:rPr>
        <w:t>with</w:t>
      </w:r>
      <w:r>
        <w:rPr>
          <w:szCs w:val="22"/>
        </w:rPr>
        <w:t xml:space="preserve"> an</w:t>
      </w:r>
      <w:r w:rsidRPr="00A04F82">
        <w:rPr>
          <w:szCs w:val="22"/>
        </w:rPr>
        <w:t xml:space="preserve"> embedded assessment link</w:t>
      </w:r>
      <w:r>
        <w:rPr>
          <w:szCs w:val="22"/>
        </w:rPr>
        <w:t>,</w:t>
      </w:r>
      <w:r w:rsidRPr="00A04F82">
        <w:t xml:space="preserve"> sent </w:t>
      </w:r>
      <w:r>
        <w:t>1 </w:t>
      </w:r>
      <w:r w:rsidRPr="00A04F82">
        <w:t xml:space="preserve">week after the initial </w:t>
      </w:r>
      <w:r>
        <w:t>e-mail</w:t>
      </w:r>
      <w:r w:rsidRPr="00A04F82">
        <w:t xml:space="preserve"> (see </w:t>
      </w:r>
      <w:r w:rsidRPr="00D31B7D">
        <w:rPr>
          <w:b/>
        </w:rPr>
        <w:t xml:space="preserve">Attachment </w:t>
      </w:r>
      <w:r>
        <w:rPr>
          <w:b/>
        </w:rPr>
        <w:t>3</w:t>
      </w:r>
      <w:r w:rsidR="00BE777A">
        <w:rPr>
          <w:b/>
        </w:rPr>
        <w:t>f</w:t>
      </w:r>
      <w:r w:rsidRPr="00A04F82">
        <w:t>); a final reminder (to non</w:t>
      </w:r>
      <w:r w:rsidR="00891D03">
        <w:t>-</w:t>
      </w:r>
      <w:r w:rsidRPr="00A04F82">
        <w:t>respondents)</w:t>
      </w:r>
      <w:r>
        <w:t>, sent</w:t>
      </w:r>
      <w:r w:rsidRPr="00A04F82">
        <w:t xml:space="preserve"> </w:t>
      </w:r>
      <w:r>
        <w:t>1</w:t>
      </w:r>
      <w:r w:rsidRPr="00A04F82">
        <w:t xml:space="preserve"> week after the follow-up </w:t>
      </w:r>
      <w:r>
        <w:t>e-mail</w:t>
      </w:r>
      <w:r w:rsidRPr="00A04F82">
        <w:t xml:space="preserve"> (see </w:t>
      </w:r>
      <w:r w:rsidRPr="00D31B7D">
        <w:rPr>
          <w:b/>
        </w:rPr>
        <w:t xml:space="preserve">Attachment </w:t>
      </w:r>
      <w:r>
        <w:rPr>
          <w:b/>
        </w:rPr>
        <w:t>3</w:t>
      </w:r>
      <w:r w:rsidR="00BE777A">
        <w:rPr>
          <w:b/>
        </w:rPr>
        <w:t>g</w:t>
      </w:r>
      <w:r w:rsidRPr="00A04F82">
        <w:t xml:space="preserve">); and a thank you </w:t>
      </w:r>
      <w:r>
        <w:t>e-mail,</w:t>
      </w:r>
      <w:r w:rsidRPr="00A04F82">
        <w:t xml:space="preserve"> sent </w:t>
      </w:r>
      <w:r>
        <w:t>1</w:t>
      </w:r>
      <w:r w:rsidRPr="00A04F82">
        <w:t xml:space="preserve"> week after survey responses are received (see </w:t>
      </w:r>
      <w:r w:rsidRPr="00D31B7D">
        <w:rPr>
          <w:b/>
        </w:rPr>
        <w:t xml:space="preserve">Attachment </w:t>
      </w:r>
      <w:r>
        <w:rPr>
          <w:b/>
        </w:rPr>
        <w:t>3</w:t>
      </w:r>
      <w:r w:rsidR="00BE777A">
        <w:rPr>
          <w:b/>
        </w:rPr>
        <w:t>h</w:t>
      </w:r>
      <w:r w:rsidRPr="00A04F82">
        <w:t xml:space="preserve">). </w:t>
      </w:r>
      <w:r>
        <w:t>On the basis of</w:t>
      </w:r>
      <w:r w:rsidRPr="00A04F82">
        <w:t xml:space="preserve"> RTI’s experience administering a </w:t>
      </w:r>
      <w:r>
        <w:t>Web</w:t>
      </w:r>
      <w:r w:rsidRPr="00A04F82">
        <w:t>-based survey to all NCCCP program director</w:t>
      </w:r>
      <w:r>
        <w:t>s, a 60% response rate within 2 </w:t>
      </w:r>
      <w:r w:rsidRPr="00A04F82">
        <w:t>weeks of the initial</w:t>
      </w:r>
      <w:r w:rsidRPr="00C82264">
        <w:t xml:space="preserve"> e-mail invitation</w:t>
      </w:r>
      <w:r>
        <w:t xml:space="preserve"> is expected</w:t>
      </w:r>
      <w:r w:rsidRPr="00C82264">
        <w:t>.</w:t>
      </w:r>
    </w:p>
    <w:p w14:paraId="115B755E" w14:textId="77777777" w:rsidR="0006307A" w:rsidRDefault="0006307A" w:rsidP="0006307A">
      <w:pPr>
        <w:pStyle w:val="BodyText1"/>
        <w:spacing w:after="0" w:line="240" w:lineRule="auto"/>
      </w:pPr>
    </w:p>
    <w:p w14:paraId="10EE9F7F" w14:textId="17B6AA04" w:rsidR="009B6D5C" w:rsidRDefault="009B6D5C" w:rsidP="0006307A">
      <w:pPr>
        <w:pStyle w:val="BodyText2"/>
        <w:spacing w:after="0" w:line="240" w:lineRule="auto"/>
      </w:pPr>
      <w:r w:rsidRPr="003F0ACB">
        <w:t xml:space="preserve">The </w:t>
      </w:r>
      <w:r>
        <w:t xml:space="preserve">Web-based </w:t>
      </w:r>
      <w:r w:rsidR="00F5274B">
        <w:t xml:space="preserve">Grantee </w:t>
      </w:r>
      <w:r>
        <w:t>survey</w:t>
      </w:r>
      <w:r w:rsidRPr="003F0ACB">
        <w:t xml:space="preserve"> </w:t>
      </w:r>
      <w:r>
        <w:t>instrument</w:t>
      </w:r>
      <w:r w:rsidRPr="003F0ACB">
        <w:t xml:space="preserve"> contain</w:t>
      </w:r>
      <w:r>
        <w:t>s</w:t>
      </w:r>
      <w:r w:rsidRPr="003F0ACB">
        <w:t xml:space="preserve"> </w:t>
      </w:r>
      <w:r w:rsidR="009B0FD7">
        <w:t xml:space="preserve">29 </w:t>
      </w:r>
      <w:r w:rsidRPr="003F0ACB">
        <w:t>questions</w:t>
      </w:r>
      <w:r w:rsidR="00F5274B">
        <w:t>, and the Web-based Partner survey instrument contains 2</w:t>
      </w:r>
      <w:r w:rsidR="00A140CE">
        <w:t>3</w:t>
      </w:r>
      <w:r w:rsidR="00F5274B">
        <w:t xml:space="preserve"> questions. Both surveys include</w:t>
      </w:r>
      <w:r w:rsidR="00A140CE">
        <w:t xml:space="preserve"> a mix of open- and close-ended</w:t>
      </w:r>
      <w:r w:rsidR="00F5274B">
        <w:t xml:space="preserve"> questions</w:t>
      </w:r>
      <w:r w:rsidRPr="003F0ACB">
        <w:t xml:space="preserve">. </w:t>
      </w:r>
      <w:r w:rsidRPr="00F30A43">
        <w:t xml:space="preserve">The surveys will display the appropriate questions depending on the respondent’s answers to previous questions. </w:t>
      </w:r>
      <w:r>
        <w:t xml:space="preserve"> </w:t>
      </w:r>
    </w:p>
    <w:p w14:paraId="51C7572A" w14:textId="77777777" w:rsidR="00E963FE" w:rsidRPr="00811869" w:rsidRDefault="00E963FE" w:rsidP="0006307A">
      <w:pPr>
        <w:pStyle w:val="BodyText2"/>
        <w:spacing w:after="0" w:line="240" w:lineRule="auto"/>
        <w:rPr>
          <w:lang w:eastAsia="x-none"/>
        </w:rPr>
      </w:pPr>
    </w:p>
    <w:p w14:paraId="2D698176" w14:textId="78385CBE" w:rsidR="009B6D5C" w:rsidRDefault="008222CB" w:rsidP="0006307A">
      <w:pPr>
        <w:pStyle w:val="BodyText1"/>
        <w:spacing w:after="0" w:line="240" w:lineRule="auto"/>
        <w:ind w:firstLine="360"/>
      </w:pPr>
      <w:r>
        <w:t>I</w:t>
      </w:r>
      <w:r w:rsidR="009B6D5C">
        <w:t>nformation</w:t>
      </w:r>
      <w:r w:rsidR="009B6D5C" w:rsidRPr="0080584E">
        <w:t xml:space="preserve"> will be collected and stored in </w:t>
      </w:r>
      <w:r w:rsidR="009B6D5C">
        <w:t>SurveyMonkey, a survey processing website, and downloaded and stored on secure servers</w:t>
      </w:r>
      <w:r w:rsidR="009B6D5C" w:rsidRPr="0080584E">
        <w:t xml:space="preserve">. </w:t>
      </w:r>
      <w:r w:rsidR="009B6D5C" w:rsidRPr="008F2C2E">
        <w:t>Both quantitative and qualitative analyses will be performed. Quantitative analyses</w:t>
      </w:r>
      <w:r w:rsidR="009B6D5C">
        <w:t xml:space="preserve"> </w:t>
      </w:r>
      <w:r w:rsidR="009B6D5C" w:rsidRPr="008F2C2E">
        <w:t xml:space="preserve">will involve using descriptive statistics to determine frequency distributions and corresponding variances for responses to each assessment question. Qualitative thematic analyses will be conducted on open-ended questions. Analysis will focus on </w:t>
      </w:r>
      <w:r w:rsidR="009B6D5C">
        <w:t>the program activities</w:t>
      </w:r>
      <w:r w:rsidR="009B6D5C" w:rsidRPr="00C82264">
        <w:t xml:space="preserve"> and short-term outcomes achieved to date</w:t>
      </w:r>
      <w:r w:rsidR="009B6D5C">
        <w:t>, as well as challenges encountered and overcome, factors that facilitated program activities, and lessons learned</w:t>
      </w:r>
      <w:r w:rsidR="009B6D5C" w:rsidRPr="00C82264">
        <w:t>.</w:t>
      </w:r>
    </w:p>
    <w:p w14:paraId="254ACCA7" w14:textId="77777777" w:rsidR="0006307A" w:rsidRDefault="0006307A" w:rsidP="0006307A">
      <w:pPr>
        <w:pStyle w:val="BodyText1"/>
        <w:spacing w:after="0" w:line="240" w:lineRule="auto"/>
        <w:ind w:firstLine="360"/>
      </w:pPr>
    </w:p>
    <w:p w14:paraId="439859CB" w14:textId="6F4FA748" w:rsidR="009B6D5C" w:rsidRDefault="009B6D5C" w:rsidP="0006307A">
      <w:pPr>
        <w:pStyle w:val="BodyText1"/>
        <w:spacing w:after="0" w:line="240" w:lineRule="auto"/>
        <w:ind w:firstLine="360"/>
      </w:pPr>
      <w:r>
        <w:t>S</w:t>
      </w:r>
      <w:r w:rsidRPr="008F2C2E">
        <w:t>taff trained in the appropriate qualitative and/or quantitative research methods will conduct all analyses.</w:t>
      </w:r>
      <w:r>
        <w:t xml:space="preserve"> Information</w:t>
      </w:r>
      <w:r w:rsidRPr="0080584E">
        <w:t xml:space="preserve"> will be stored on a secure shared drive with access limited to project team members.</w:t>
      </w:r>
    </w:p>
    <w:p w14:paraId="5DD15536" w14:textId="77777777" w:rsidR="0006307A" w:rsidRDefault="0006307A" w:rsidP="0006307A">
      <w:pPr>
        <w:pStyle w:val="BodyText1"/>
        <w:spacing w:after="0" w:line="240" w:lineRule="auto"/>
        <w:ind w:firstLine="360"/>
      </w:pPr>
    </w:p>
    <w:p w14:paraId="46B996FD" w14:textId="7EA914BB" w:rsidR="008222CB" w:rsidRDefault="008222CB" w:rsidP="0006307A">
      <w:pPr>
        <w:pStyle w:val="BodyText1"/>
        <w:spacing w:after="0" w:line="240" w:lineRule="auto"/>
      </w:pPr>
      <w:r>
        <w:t>Interview respondents will receive a maximum of four rounds of communication: an initial introductory e-mail asking for their availability to schedule a 30- to 60-minute interview (</w:t>
      </w:r>
      <w:r w:rsidRPr="00A04F82">
        <w:rPr>
          <w:b/>
        </w:rPr>
        <w:t xml:space="preserve">Attachment </w:t>
      </w:r>
      <w:r>
        <w:rPr>
          <w:b/>
        </w:rPr>
        <w:t>4</w:t>
      </w:r>
      <w:r w:rsidR="00196EB0">
        <w:rPr>
          <w:b/>
        </w:rPr>
        <w:t>a</w:t>
      </w:r>
      <w:r>
        <w:t>); a scheduling reminder e-mail, sent 1 week after the initial e-mail (</w:t>
      </w:r>
      <w:r w:rsidRPr="00A04F82">
        <w:rPr>
          <w:b/>
        </w:rPr>
        <w:t>Attachment</w:t>
      </w:r>
      <w:r w:rsidR="00196EB0">
        <w:rPr>
          <w:b/>
        </w:rPr>
        <w:t> 4b</w:t>
      </w:r>
      <w:r>
        <w:t>); a final scheduling reminder e-mail, sent 1 week after the follow-up e-mail (</w:t>
      </w:r>
      <w:r w:rsidRPr="00A04F82">
        <w:rPr>
          <w:b/>
        </w:rPr>
        <w:t xml:space="preserve">Attachment </w:t>
      </w:r>
      <w:r w:rsidR="00196EB0">
        <w:rPr>
          <w:b/>
        </w:rPr>
        <w:t>4c</w:t>
      </w:r>
      <w:r>
        <w:t xml:space="preserve">); and a thank you e-mail, sent 1 week after the </w:t>
      </w:r>
      <w:r w:rsidRPr="00A04F82">
        <w:t>interview (</w:t>
      </w:r>
      <w:r w:rsidRPr="00A04F82">
        <w:rPr>
          <w:b/>
        </w:rPr>
        <w:t xml:space="preserve">Attachment </w:t>
      </w:r>
      <w:r>
        <w:rPr>
          <w:b/>
        </w:rPr>
        <w:t>4</w:t>
      </w:r>
      <w:r w:rsidR="00196EB0">
        <w:rPr>
          <w:b/>
        </w:rPr>
        <w:t>d</w:t>
      </w:r>
      <w:r w:rsidRPr="00A04F82">
        <w:t>).</w:t>
      </w:r>
      <w:r>
        <w:t xml:space="preserve"> </w:t>
      </w:r>
    </w:p>
    <w:p w14:paraId="0FB2E8D2" w14:textId="604E7BD2" w:rsidR="0006307A" w:rsidRDefault="00DF5954" w:rsidP="00DF5954">
      <w:pPr>
        <w:pStyle w:val="BodyText1"/>
        <w:tabs>
          <w:tab w:val="left" w:pos="3345"/>
          <w:tab w:val="left" w:pos="4485"/>
        </w:tabs>
        <w:spacing w:after="0" w:line="240" w:lineRule="auto"/>
      </w:pPr>
      <w:r>
        <w:tab/>
      </w:r>
      <w:r>
        <w:tab/>
      </w:r>
    </w:p>
    <w:p w14:paraId="433112CE" w14:textId="55A52807" w:rsidR="009B6D5C" w:rsidRDefault="009B6D5C" w:rsidP="0006307A">
      <w:pPr>
        <w:pStyle w:val="BodyText2"/>
        <w:spacing w:after="0" w:line="240" w:lineRule="auto"/>
      </w:pPr>
      <w:r w:rsidRPr="00AB7335">
        <w:t>The semi</w:t>
      </w:r>
      <w:r w:rsidR="00891D03">
        <w:t>-</w:t>
      </w:r>
      <w:r w:rsidRPr="00AB7335">
        <w:t>structured telephone interview instrument contains 1</w:t>
      </w:r>
      <w:r w:rsidR="009B0FD7">
        <w:t>5</w:t>
      </w:r>
      <w:r w:rsidRPr="00AB7335">
        <w:t xml:space="preserve"> questions. Interview questions will be open-ended in nature (e.g., </w:t>
      </w:r>
      <w:r>
        <w:t>“</w:t>
      </w:r>
      <w:r w:rsidRPr="00AB7335">
        <w:t>how are awardees implementing cancer survivorship strategies?</w:t>
      </w:r>
      <w:r>
        <w:t>”</w:t>
      </w:r>
      <w:r w:rsidRPr="00AB7335">
        <w:t>) and capture challenges and lessons learned regarding implementation of cancer survivorship strategies.</w:t>
      </w:r>
      <w:r>
        <w:t xml:space="preserve"> The same telephone interview guide will be used for the interim and final data collection periods.  </w:t>
      </w:r>
      <w:r w:rsidRPr="00AB7335">
        <w:t xml:space="preserve"> </w:t>
      </w:r>
    </w:p>
    <w:p w14:paraId="16B8CC6E" w14:textId="77777777" w:rsidR="0006307A" w:rsidRDefault="0006307A" w:rsidP="0006307A">
      <w:pPr>
        <w:pStyle w:val="BodyText2"/>
        <w:spacing w:after="0" w:line="240" w:lineRule="auto"/>
        <w:rPr>
          <w:lang w:eastAsia="x-none"/>
        </w:rPr>
      </w:pPr>
    </w:p>
    <w:p w14:paraId="4CAB339D" w14:textId="30C9FC58" w:rsidR="008222CB" w:rsidRDefault="008222CB" w:rsidP="0006307A">
      <w:pPr>
        <w:pStyle w:val="BodyText1"/>
        <w:spacing w:after="0" w:line="240" w:lineRule="auto"/>
        <w:ind w:left="360" w:firstLine="360"/>
      </w:pPr>
      <w:r>
        <w:t xml:space="preserve">Audio recordings and interview transcripts will be stored on a secured server. Qualitative analyses will be performed on the interview data, focusing on common themes across grantees. </w:t>
      </w:r>
      <w:r w:rsidRPr="008F2C2E">
        <w:t xml:space="preserve">Analysis will focus on </w:t>
      </w:r>
      <w:r>
        <w:t>the program activities</w:t>
      </w:r>
      <w:r w:rsidRPr="00C82264">
        <w:t xml:space="preserve"> and short-term outcomes achieved to date</w:t>
      </w:r>
      <w:r>
        <w:t>, as well as challenges encountered and overcome, factors that facilitated program activities, and lessons learned</w:t>
      </w:r>
      <w:r w:rsidRPr="00C82264">
        <w:t>.</w:t>
      </w:r>
    </w:p>
    <w:p w14:paraId="4FE28ADE" w14:textId="77777777" w:rsidR="0006307A" w:rsidRDefault="0006307A" w:rsidP="0006307A">
      <w:pPr>
        <w:pStyle w:val="BodyText1"/>
        <w:spacing w:after="0" w:line="240" w:lineRule="auto"/>
        <w:ind w:left="360" w:firstLine="360"/>
      </w:pPr>
    </w:p>
    <w:p w14:paraId="58323F7D" w14:textId="6BB02E6A" w:rsidR="00F46FE6" w:rsidRDefault="00F46FE6" w:rsidP="0006307A">
      <w:pPr>
        <w:pStyle w:val="Heading2"/>
        <w:spacing w:before="0" w:after="0"/>
      </w:pPr>
      <w:bookmarkStart w:id="6" w:name="_Toc475705031"/>
      <w:r w:rsidRPr="002B6C0A">
        <w:t>B</w:t>
      </w:r>
      <w:r>
        <w:t>.3</w:t>
      </w:r>
      <w:r w:rsidRPr="002B6C0A">
        <w:tab/>
        <w:t xml:space="preserve">Methods to Maximize Response Rates and Deal with </w:t>
      </w:r>
      <w:r>
        <w:t>Nonresponse</w:t>
      </w:r>
      <w:bookmarkEnd w:id="6"/>
    </w:p>
    <w:p w14:paraId="60F18095" w14:textId="77777777" w:rsidR="0006307A" w:rsidRPr="0006307A" w:rsidRDefault="0006307A" w:rsidP="0006307A"/>
    <w:p w14:paraId="1ABA831E" w14:textId="2F77A487" w:rsidR="00F46FE6" w:rsidRDefault="00F46FE6" w:rsidP="0006307A">
      <w:pPr>
        <w:pStyle w:val="BodyText1"/>
        <w:spacing w:after="0" w:line="240" w:lineRule="auto"/>
      </w:pPr>
      <w:r w:rsidRPr="0080584E">
        <w:t>Multiple strategies</w:t>
      </w:r>
      <w:r>
        <w:t xml:space="preserve"> will be used to maximize </w:t>
      </w:r>
      <w:r w:rsidRPr="0080584E">
        <w:t xml:space="preserve">response rates. </w:t>
      </w:r>
      <w:r w:rsidRPr="00FD6193">
        <w:t xml:space="preserve">Drafts of the </w:t>
      </w:r>
      <w:r w:rsidR="00F94E5C">
        <w:t>Web</w:t>
      </w:r>
      <w:r>
        <w:t xml:space="preserve">-based </w:t>
      </w:r>
      <w:r w:rsidRPr="00FD6193">
        <w:t>survey data collection instrument and</w:t>
      </w:r>
      <w:r>
        <w:t xml:space="preserve"> </w:t>
      </w:r>
      <w:r w:rsidR="00F94E5C">
        <w:t>semi</w:t>
      </w:r>
      <w:r w:rsidR="00F65442">
        <w:t>-</w:t>
      </w:r>
      <w:r w:rsidR="00F94E5C">
        <w:t>structured</w:t>
      </w:r>
      <w:r>
        <w:t xml:space="preserve"> interview</w:t>
      </w:r>
      <w:r w:rsidRPr="00FD6193">
        <w:t xml:space="preserve"> protocol were shared with internal CDC stakeholders </w:t>
      </w:r>
      <w:r>
        <w:t xml:space="preserve">and an </w:t>
      </w:r>
      <w:r w:rsidR="00E963FE">
        <w:t>Assessment</w:t>
      </w:r>
      <w:r>
        <w:t xml:space="preserve"> Stakeholder Group comprised of cancer survivorship experts </w:t>
      </w:r>
      <w:r w:rsidRPr="00FD6193">
        <w:t xml:space="preserve">for review and feedback throughout the development process. </w:t>
      </w:r>
    </w:p>
    <w:p w14:paraId="10B09B3D" w14:textId="77777777" w:rsidR="0006307A" w:rsidRPr="0080584E" w:rsidRDefault="0006307A" w:rsidP="0006307A">
      <w:pPr>
        <w:pStyle w:val="BodyText1"/>
        <w:spacing w:after="0" w:line="240" w:lineRule="auto"/>
      </w:pPr>
    </w:p>
    <w:p w14:paraId="0044CE2C" w14:textId="295E026A" w:rsidR="00F46FE6" w:rsidRDefault="00F46FE6" w:rsidP="0006307A">
      <w:pPr>
        <w:pStyle w:val="BodyText1"/>
        <w:spacing w:after="0" w:line="240" w:lineRule="auto"/>
      </w:pPr>
      <w:r w:rsidRPr="0080584E">
        <w:t xml:space="preserve">The </w:t>
      </w:r>
      <w:r w:rsidR="00F94E5C">
        <w:t>Web</w:t>
      </w:r>
      <w:r w:rsidRPr="0080584E">
        <w:t xml:space="preserve">-based mode of </w:t>
      </w:r>
      <w:r>
        <w:t>survey</w:t>
      </w:r>
      <w:r w:rsidRPr="0080584E">
        <w:t xml:space="preserve"> was selected to minimize burden.</w:t>
      </w:r>
      <w:r w:rsidR="005E42B3">
        <w:t xml:space="preserve"> </w:t>
      </w:r>
      <w:r>
        <w:t>The survey</w:t>
      </w:r>
      <w:r w:rsidR="00F5274B">
        <w:t>s</w:t>
      </w:r>
      <w:r>
        <w:t xml:space="preserve"> will take the respondent approximately 20 minutes to complete, and the survey</w:t>
      </w:r>
      <w:r w:rsidR="00A140CE">
        <w:t>s</w:t>
      </w:r>
      <w:r>
        <w:t xml:space="preserve"> will be accessible across multiple browsers </w:t>
      </w:r>
      <w:r w:rsidR="00BC7850">
        <w:t xml:space="preserve">(e.g., Internet Explorer, Google Chrome, Mozilla Firefox) </w:t>
      </w:r>
      <w:r>
        <w:t>and devices</w:t>
      </w:r>
      <w:r w:rsidR="00BC7850">
        <w:t xml:space="preserve"> (e.g., smartphones, tablets, laptops)</w:t>
      </w:r>
      <w:r>
        <w:t>.</w:t>
      </w:r>
    </w:p>
    <w:p w14:paraId="168F742D" w14:textId="77777777" w:rsidR="0006307A" w:rsidRDefault="0006307A" w:rsidP="0006307A">
      <w:pPr>
        <w:pStyle w:val="BodyText1"/>
        <w:spacing w:after="0" w:line="240" w:lineRule="auto"/>
      </w:pPr>
    </w:p>
    <w:p w14:paraId="6AA63145" w14:textId="238428B0" w:rsidR="00F46FE6" w:rsidRDefault="00F46FE6" w:rsidP="0006307A">
      <w:pPr>
        <w:pStyle w:val="BodyText1"/>
        <w:spacing w:after="0" w:line="240" w:lineRule="auto"/>
      </w:pPr>
      <w:r w:rsidRPr="00001197">
        <w:rPr>
          <w:rFonts w:eastAsia="Calibri"/>
        </w:rPr>
        <w:t xml:space="preserve">Telephone interviews </w:t>
      </w:r>
      <w:r>
        <w:rPr>
          <w:rFonts w:eastAsia="Calibri"/>
        </w:rPr>
        <w:t>are being employed</w:t>
      </w:r>
      <w:r w:rsidRPr="00001197">
        <w:rPr>
          <w:rFonts w:eastAsia="Calibri"/>
        </w:rPr>
        <w:t xml:space="preserve"> collect qualitative data without the costs </w:t>
      </w:r>
      <w:r>
        <w:rPr>
          <w:rFonts w:eastAsia="Calibri"/>
        </w:rPr>
        <w:t xml:space="preserve">and respondent burden </w:t>
      </w:r>
      <w:r w:rsidRPr="00001197">
        <w:rPr>
          <w:rFonts w:eastAsia="Calibri"/>
        </w:rPr>
        <w:t>associated with traditional face-to-face site visits</w:t>
      </w:r>
      <w:r>
        <w:t xml:space="preserve">. </w:t>
      </w:r>
    </w:p>
    <w:p w14:paraId="2019A11C" w14:textId="77777777" w:rsidR="0006307A" w:rsidRDefault="0006307A" w:rsidP="0006307A">
      <w:pPr>
        <w:pStyle w:val="BodyText1"/>
        <w:spacing w:after="0" w:line="240" w:lineRule="auto"/>
      </w:pPr>
    </w:p>
    <w:p w14:paraId="04BD0242" w14:textId="1EE0513C" w:rsidR="00F46FE6" w:rsidRDefault="00F46FE6" w:rsidP="0006307A">
      <w:pPr>
        <w:pStyle w:val="BodyText1"/>
        <w:spacing w:after="0" w:line="240" w:lineRule="auto"/>
      </w:pPr>
      <w:r w:rsidRPr="0080584E">
        <w:t xml:space="preserve">Procedures are also put in place, including the </w:t>
      </w:r>
      <w:r w:rsidR="00BC7850">
        <w:t xml:space="preserve">introductory </w:t>
      </w:r>
      <w:r w:rsidR="00F94E5C">
        <w:t>e-mail</w:t>
      </w:r>
      <w:r w:rsidRPr="0080584E">
        <w:t xml:space="preserve"> notification and </w:t>
      </w:r>
      <w:r w:rsidR="003F1512">
        <w:t xml:space="preserve">two </w:t>
      </w:r>
      <w:r w:rsidRPr="0080584E">
        <w:t xml:space="preserve">reminder </w:t>
      </w:r>
      <w:r w:rsidR="00F94E5C">
        <w:t>e-mail</w:t>
      </w:r>
      <w:r w:rsidRPr="0080584E">
        <w:t xml:space="preserve">s </w:t>
      </w:r>
      <w:r w:rsidRPr="00D31B7D">
        <w:t>(</w:t>
      </w:r>
      <w:r w:rsidRPr="00D31B7D">
        <w:rPr>
          <w:b/>
        </w:rPr>
        <w:t>Attachments 3</w:t>
      </w:r>
      <w:r w:rsidR="009B0FD7">
        <w:rPr>
          <w:b/>
        </w:rPr>
        <w:t>e</w:t>
      </w:r>
      <w:r w:rsidRPr="00D31B7D">
        <w:rPr>
          <w:b/>
        </w:rPr>
        <w:t>–</w:t>
      </w:r>
      <w:r w:rsidR="00BC7850">
        <w:rPr>
          <w:b/>
        </w:rPr>
        <w:t>3</w:t>
      </w:r>
      <w:r w:rsidR="009B0FD7">
        <w:rPr>
          <w:b/>
        </w:rPr>
        <w:t>g</w:t>
      </w:r>
      <w:r w:rsidR="00BC7850" w:rsidRPr="00D31B7D">
        <w:rPr>
          <w:b/>
        </w:rPr>
        <w:t xml:space="preserve"> </w:t>
      </w:r>
      <w:r w:rsidRPr="00D31B7D">
        <w:rPr>
          <w:b/>
        </w:rPr>
        <w:t xml:space="preserve">and </w:t>
      </w:r>
      <w:r w:rsidR="00BC7850">
        <w:rPr>
          <w:b/>
        </w:rPr>
        <w:t>4</w:t>
      </w:r>
      <w:r w:rsidR="009B0FD7">
        <w:rPr>
          <w:b/>
        </w:rPr>
        <w:t>a</w:t>
      </w:r>
      <w:r>
        <w:rPr>
          <w:b/>
        </w:rPr>
        <w:t>–</w:t>
      </w:r>
      <w:r w:rsidR="00BC7850">
        <w:rPr>
          <w:b/>
        </w:rPr>
        <w:t>4</w:t>
      </w:r>
      <w:r w:rsidR="009B0FD7">
        <w:rPr>
          <w:b/>
        </w:rPr>
        <w:t>c</w:t>
      </w:r>
      <w:r w:rsidRPr="00FD7A70">
        <w:t>), to assist</w:t>
      </w:r>
      <w:r w:rsidRPr="0080584E">
        <w:t xml:space="preserve"> in maximizing response</w:t>
      </w:r>
      <w:r w:rsidR="00BC7850">
        <w:t xml:space="preserve"> with the goal of achieving an 80% response rate</w:t>
      </w:r>
      <w:r w:rsidRPr="0080584E">
        <w:t xml:space="preserve">. </w:t>
      </w:r>
      <w:r w:rsidR="00BC7850">
        <w:t xml:space="preserve"> </w:t>
      </w:r>
      <w:r w:rsidR="00DF0E28">
        <w:t xml:space="preserve">DCPC staff will send an initial e-mail to DP15-1501 </w:t>
      </w:r>
      <w:r w:rsidR="00601178">
        <w:t>grant</w:t>
      </w:r>
      <w:r w:rsidR="00DF0E28">
        <w:t xml:space="preserve">ee program directors and program managers letting them know they will be receiving an e-mail invitation </w:t>
      </w:r>
      <w:r w:rsidR="00A438F6">
        <w:t xml:space="preserve">to participate in a survey; based on previous experience with web-based surveys, we expect </w:t>
      </w:r>
      <w:r w:rsidR="00DF0E28">
        <w:t xml:space="preserve">awardees </w:t>
      </w:r>
      <w:r w:rsidR="00A438F6">
        <w:t>to</w:t>
      </w:r>
      <w:r w:rsidR="00DF0E28">
        <w:t xml:space="preserve"> be more likely to open an e-mail from DCPC staff and also more likely to respond to the survey. </w:t>
      </w:r>
      <w:r w:rsidR="00BC7850">
        <w:t xml:space="preserve">We will use a </w:t>
      </w:r>
      <w:r w:rsidR="009A0B2C">
        <w:t xml:space="preserve">tailored, </w:t>
      </w:r>
      <w:r w:rsidR="00BC7850">
        <w:t xml:space="preserve">recognizable email </w:t>
      </w:r>
      <w:r w:rsidR="009A0B2C">
        <w:t>address (e.g., DP15-1501</w:t>
      </w:r>
      <w:hyperlink r:id="rId13" w:history="1">
        <w:r w:rsidR="0071776A" w:rsidRPr="0071776A">
          <w:rPr>
            <w:rStyle w:val="Hyperlink"/>
          </w:rPr>
          <w:t>CancerSurvivorship</w:t>
        </w:r>
        <w:r w:rsidR="0071776A" w:rsidRPr="0071776A" w:rsidDel="00601178">
          <w:rPr>
            <w:rStyle w:val="Hyperlink"/>
          </w:rPr>
          <w:t xml:space="preserve"> </w:t>
        </w:r>
        <w:r w:rsidR="0071776A" w:rsidRPr="0071776A">
          <w:rPr>
            <w:rStyle w:val="Hyperlink"/>
          </w:rPr>
          <w:t>Survey@rti.org</w:t>
        </w:r>
      </w:hyperlink>
      <w:r w:rsidR="009A0B2C">
        <w:t xml:space="preserve">) to send the survey-related emails, so respondents are more likely to open the email.  </w:t>
      </w:r>
      <w:r w:rsidR="00A438F6">
        <w:t xml:space="preserve">We plan to keep the survey open for three weeks, sending the first reminder e-mail one week after launching the survey and the second reminder e-mail two weeks after launching the survey. </w:t>
      </w:r>
      <w:r w:rsidR="0071776A">
        <w:t>R</w:t>
      </w:r>
      <w:r w:rsidR="00BC7850">
        <w:t xml:space="preserve">espondents will have the opportunity to enter themselves into a raffle for an incentive; this is another mechanism which may improve response rate. </w:t>
      </w:r>
    </w:p>
    <w:p w14:paraId="0570E918" w14:textId="77777777" w:rsidR="0006307A" w:rsidRPr="0080584E" w:rsidRDefault="0006307A" w:rsidP="0006307A">
      <w:pPr>
        <w:pStyle w:val="BodyText1"/>
        <w:spacing w:after="0" w:line="240" w:lineRule="auto"/>
      </w:pPr>
    </w:p>
    <w:p w14:paraId="620C45D6" w14:textId="039CCA07" w:rsidR="00F46FE6" w:rsidRDefault="00F46FE6" w:rsidP="0006307A">
      <w:pPr>
        <w:pStyle w:val="Heading2"/>
        <w:spacing w:before="0" w:after="0"/>
      </w:pPr>
      <w:bookmarkStart w:id="7" w:name="_Toc475705032"/>
      <w:r w:rsidRPr="00DE081F">
        <w:t>B</w:t>
      </w:r>
      <w:r>
        <w:t>.4</w:t>
      </w:r>
      <w:r w:rsidRPr="00DE081F">
        <w:tab/>
        <w:t>Tests of Procedures or Methods to Be Undertaken</w:t>
      </w:r>
      <w:bookmarkEnd w:id="7"/>
    </w:p>
    <w:p w14:paraId="30FF25D7" w14:textId="77777777" w:rsidR="0006307A" w:rsidRPr="0006307A" w:rsidRDefault="0006307A" w:rsidP="0006307A"/>
    <w:p w14:paraId="0BE014DD" w14:textId="30DC70A2" w:rsidR="00F46FE6" w:rsidRDefault="00F46FE6" w:rsidP="0006307A">
      <w:pPr>
        <w:pStyle w:val="BodyText1"/>
        <w:spacing w:after="0" w:line="240" w:lineRule="auto"/>
      </w:pPr>
      <w:r w:rsidRPr="0080584E">
        <w:t xml:space="preserve">To ensure that items and responses </w:t>
      </w:r>
      <w:r>
        <w:t>can be</w:t>
      </w:r>
      <w:r w:rsidRPr="0080584E">
        <w:t xml:space="preserve"> underst</w:t>
      </w:r>
      <w:r>
        <w:t>ood</w:t>
      </w:r>
      <w:r w:rsidRPr="0080584E">
        <w:t xml:space="preserve"> by </w:t>
      </w:r>
      <w:r>
        <w:t xml:space="preserve">respondents on the </w:t>
      </w:r>
      <w:r w:rsidR="00F94E5C">
        <w:t>Web</w:t>
      </w:r>
      <w:r>
        <w:t>-based survey</w:t>
      </w:r>
      <w:r w:rsidR="00F5274B">
        <w:t>s</w:t>
      </w:r>
      <w:r>
        <w:t xml:space="preserve"> and </w:t>
      </w:r>
      <w:r w:rsidR="00F94E5C">
        <w:t>semi</w:t>
      </w:r>
      <w:r w:rsidR="00763043">
        <w:t>-</w:t>
      </w:r>
      <w:r w:rsidR="00F94E5C">
        <w:t>structured</w:t>
      </w:r>
      <w:r>
        <w:t xml:space="preserve"> interview protocol, CDC and RTI staff who have experience with cancer survivorship expertise reviewed both data collection instruments. Edits were based on feedback provided by subject matter experts. </w:t>
      </w:r>
    </w:p>
    <w:p w14:paraId="5D50C4C7" w14:textId="77777777" w:rsidR="00F65442" w:rsidRDefault="00F65442" w:rsidP="0006307A">
      <w:pPr>
        <w:pStyle w:val="BodyText1"/>
        <w:spacing w:after="0" w:line="240" w:lineRule="auto"/>
      </w:pPr>
    </w:p>
    <w:p w14:paraId="2E8D07E7" w14:textId="0521B368" w:rsidR="00F46FE6" w:rsidRDefault="00F46FE6" w:rsidP="0006307A">
      <w:pPr>
        <w:pStyle w:val="BodyText1"/>
        <w:spacing w:after="0" w:line="240" w:lineRule="auto"/>
      </w:pPr>
      <w:r>
        <w:t xml:space="preserve">The </w:t>
      </w:r>
      <w:r w:rsidR="00F94E5C">
        <w:t>Web</w:t>
      </w:r>
      <w:r>
        <w:t>-based survey</w:t>
      </w:r>
      <w:r w:rsidR="00F5274B">
        <w:t>s</w:t>
      </w:r>
      <w:r>
        <w:t xml:space="preserve"> w</w:t>
      </w:r>
      <w:r w:rsidR="00F5274B">
        <w:t>ere</w:t>
      </w:r>
      <w:r>
        <w:t xml:space="preserve"> tested to ensure accessibility across multiple browsers and devices and to confirm that content and skip patterns were programmed correctly. </w:t>
      </w:r>
    </w:p>
    <w:p w14:paraId="7374E36F" w14:textId="7F890AD9" w:rsidR="00F46FE6" w:rsidRDefault="00F46FE6" w:rsidP="0006307A">
      <w:pPr>
        <w:pStyle w:val="BodyText1"/>
        <w:spacing w:after="0" w:line="240" w:lineRule="auto"/>
      </w:pPr>
      <w:r>
        <w:t xml:space="preserve">According to the results from these tests, the average time to complete the </w:t>
      </w:r>
      <w:r w:rsidR="00F94E5C">
        <w:t>Web</w:t>
      </w:r>
      <w:r>
        <w:t>-based data collection tool</w:t>
      </w:r>
      <w:r w:rsidR="00F5274B">
        <w:t>s</w:t>
      </w:r>
      <w:r>
        <w:t xml:space="preserve"> was approximately </w:t>
      </w:r>
      <w:r w:rsidR="000B3B5D">
        <w:t xml:space="preserve">18 </w:t>
      </w:r>
      <w:r>
        <w:t>minutes</w:t>
      </w:r>
      <w:r w:rsidRPr="00281C85">
        <w:t xml:space="preserve">, </w:t>
      </w:r>
      <w:r>
        <w:t xml:space="preserve">and </w:t>
      </w:r>
      <w:r w:rsidRPr="00281C85">
        <w:t xml:space="preserve">the estimated time range for actual respondents to complete the instrument </w:t>
      </w:r>
      <w:r w:rsidRPr="00D87B94">
        <w:t xml:space="preserve">is </w:t>
      </w:r>
      <w:r w:rsidR="000B3B5D" w:rsidRPr="00344244">
        <w:t>15</w:t>
      </w:r>
      <w:r w:rsidRPr="00344244">
        <w:t>-</w:t>
      </w:r>
      <w:r w:rsidR="000B3B5D">
        <w:t>20</w:t>
      </w:r>
      <w:r w:rsidR="000B3B5D" w:rsidRPr="00281C85">
        <w:t xml:space="preserve"> </w:t>
      </w:r>
      <w:r w:rsidRPr="00281C85">
        <w:t>minutes.</w:t>
      </w:r>
      <w:r>
        <w:t xml:space="preserve"> </w:t>
      </w:r>
    </w:p>
    <w:p w14:paraId="4772210A" w14:textId="77777777" w:rsidR="00F65442" w:rsidRPr="0080584E" w:rsidRDefault="00F65442" w:rsidP="0006307A">
      <w:pPr>
        <w:pStyle w:val="BodyText1"/>
        <w:spacing w:after="0" w:line="240" w:lineRule="auto"/>
      </w:pPr>
    </w:p>
    <w:p w14:paraId="66461434" w14:textId="45C30291" w:rsidR="00F46FE6" w:rsidRDefault="00F46FE6" w:rsidP="0006307A">
      <w:pPr>
        <w:pStyle w:val="Heading2"/>
        <w:spacing w:before="0" w:after="0"/>
      </w:pPr>
      <w:bookmarkStart w:id="8" w:name="_Toc475705033"/>
      <w:r w:rsidRPr="0014096A">
        <w:t>B</w:t>
      </w:r>
      <w:r>
        <w:t>.5</w:t>
      </w:r>
      <w:r w:rsidRPr="0014096A">
        <w:tab/>
        <w:t>Individuals Consulted on Statistical Aspects and Individual Collecting and/or Analyzing Data</w:t>
      </w:r>
      <w:bookmarkEnd w:id="8"/>
    </w:p>
    <w:p w14:paraId="65464958" w14:textId="77777777" w:rsidR="00F65442" w:rsidRPr="00F65442" w:rsidRDefault="00F65442" w:rsidP="00F65442"/>
    <w:p w14:paraId="29820AE6" w14:textId="611278D8" w:rsidR="00F46FE6" w:rsidRDefault="00F46FE6" w:rsidP="0006307A">
      <w:pPr>
        <w:pStyle w:val="BodyText1"/>
        <w:spacing w:after="0" w:line="240" w:lineRule="auto"/>
      </w:pPr>
      <w:r w:rsidRPr="00B80BA5">
        <w:t>DC</w:t>
      </w:r>
      <w:r>
        <w:t>PC</w:t>
      </w:r>
      <w:r w:rsidRPr="00B80BA5">
        <w:t xml:space="preserve"> </w:t>
      </w:r>
      <w:r>
        <w:t xml:space="preserve">assumes oversight </w:t>
      </w:r>
      <w:r w:rsidRPr="00B80BA5">
        <w:t>responsibility for the development of the overall assessment design</w:t>
      </w:r>
      <w:r>
        <w:t xml:space="preserve">, </w:t>
      </w:r>
      <w:r w:rsidRPr="00B80BA5">
        <w:t>data collection</w:t>
      </w:r>
      <w:r>
        <w:t>,</w:t>
      </w:r>
      <w:r w:rsidRPr="00B80BA5">
        <w:t xml:space="preserve"> and analysis. </w:t>
      </w:r>
      <w:r>
        <w:t xml:space="preserve">Nikie Sarris Esquivel, RTI Project Director, is the person primarily responsible for collecting the information and interpreting the findings. </w:t>
      </w:r>
      <w:r w:rsidRPr="00B80BA5">
        <w:t>The individuals responsible for overseeing instrument design, data collection, and analysis are the following:</w:t>
      </w:r>
    </w:p>
    <w:p w14:paraId="1CB2EAAF" w14:textId="77777777" w:rsidR="00F65442" w:rsidRPr="00B80BA5" w:rsidRDefault="00F65442" w:rsidP="0006307A">
      <w:pPr>
        <w:pStyle w:val="BodyText1"/>
        <w:spacing w:after="0" w:line="240" w:lineRule="auto"/>
      </w:pPr>
    </w:p>
    <w:p w14:paraId="7CE8E4A1" w14:textId="77777777" w:rsidR="00F46FE6" w:rsidRDefault="00F46FE6" w:rsidP="00F46FE6">
      <w:pPr>
        <w:ind w:left="720"/>
      </w:pPr>
      <w:r>
        <w:t>Nikie Sarris Esquivel, Project Director</w:t>
      </w:r>
    </w:p>
    <w:p w14:paraId="0D97F4D8" w14:textId="77777777" w:rsidR="00F46FE6" w:rsidRPr="002155E7" w:rsidRDefault="00F46FE6" w:rsidP="00F46FE6">
      <w:pPr>
        <w:ind w:left="720"/>
      </w:pPr>
      <w:r w:rsidRPr="002155E7">
        <w:t>RTI International</w:t>
      </w:r>
    </w:p>
    <w:p w14:paraId="1998BBCB" w14:textId="77777777" w:rsidR="00F46FE6" w:rsidRDefault="00F46FE6" w:rsidP="00F46FE6">
      <w:pPr>
        <w:ind w:left="720"/>
      </w:pPr>
      <w:r>
        <w:t>3040 East Cornwallis Road</w:t>
      </w:r>
      <w:r>
        <w:br/>
        <w:t>Post Office Box 12194</w:t>
      </w:r>
      <w:r>
        <w:br/>
        <w:t>Research Triangle Park, NC 27709-2194</w:t>
      </w:r>
    </w:p>
    <w:p w14:paraId="13690C80" w14:textId="77777777" w:rsidR="00F46FE6" w:rsidRDefault="00F46FE6" w:rsidP="00F46FE6">
      <w:pPr>
        <w:ind w:left="720"/>
      </w:pPr>
      <w:r>
        <w:t>Tel.</w:t>
      </w:r>
      <w:r w:rsidR="005E42B3">
        <w:t xml:space="preserve"> </w:t>
      </w:r>
      <w:r>
        <w:t>919-541-1248</w:t>
      </w:r>
    </w:p>
    <w:p w14:paraId="4011555B" w14:textId="77777777" w:rsidR="00F46FE6" w:rsidRDefault="00F94E5C" w:rsidP="00F46FE6">
      <w:pPr>
        <w:ind w:left="720"/>
      </w:pPr>
      <w:r>
        <w:t>E-mail</w:t>
      </w:r>
      <w:r w:rsidR="00F46FE6">
        <w:t xml:space="preserve">. </w:t>
      </w:r>
      <w:hyperlink r:id="rId14" w:history="1">
        <w:r w:rsidR="00F46FE6" w:rsidRPr="003A2FCA">
          <w:rPr>
            <w:rStyle w:val="Hyperlink"/>
          </w:rPr>
          <w:t>nsarris@rti.org</w:t>
        </w:r>
      </w:hyperlink>
    </w:p>
    <w:p w14:paraId="1FC35887" w14:textId="23D8AA26" w:rsidR="00F65442" w:rsidRDefault="00F65442" w:rsidP="00F46FE6">
      <w:pPr>
        <w:ind w:left="720"/>
      </w:pPr>
    </w:p>
    <w:p w14:paraId="6376D60C" w14:textId="77777777" w:rsidR="00F46FE6" w:rsidRDefault="00F46FE6" w:rsidP="00F46FE6">
      <w:pPr>
        <w:ind w:left="720"/>
      </w:pPr>
      <w:r>
        <w:t>Laura Arena, Associate Project Director</w:t>
      </w:r>
    </w:p>
    <w:p w14:paraId="60FE80D2" w14:textId="77777777" w:rsidR="00F46FE6" w:rsidRPr="002155E7" w:rsidRDefault="00F46FE6" w:rsidP="00F46FE6">
      <w:pPr>
        <w:ind w:left="720"/>
      </w:pPr>
      <w:r w:rsidRPr="002155E7">
        <w:t>RTI International</w:t>
      </w:r>
    </w:p>
    <w:p w14:paraId="1EA0D8CD" w14:textId="77777777" w:rsidR="00F46FE6" w:rsidRDefault="00F46FE6" w:rsidP="00F46FE6">
      <w:pPr>
        <w:ind w:left="720"/>
      </w:pPr>
      <w:r>
        <w:t>3040 East Cornwallis Road</w:t>
      </w:r>
      <w:r>
        <w:br/>
        <w:t>Post Office Box 12194</w:t>
      </w:r>
      <w:r>
        <w:br/>
        <w:t>Research Triangle Park, NC 27709-2194</w:t>
      </w:r>
    </w:p>
    <w:p w14:paraId="1BA9E227" w14:textId="77777777" w:rsidR="00F46FE6" w:rsidRDefault="00F46FE6" w:rsidP="00F46FE6">
      <w:pPr>
        <w:ind w:left="720"/>
      </w:pPr>
      <w:r>
        <w:t>Tel.</w:t>
      </w:r>
      <w:r w:rsidR="005E42B3">
        <w:t xml:space="preserve"> </w:t>
      </w:r>
      <w:r>
        <w:t>919-541-6449</w:t>
      </w:r>
    </w:p>
    <w:p w14:paraId="5F55B60D" w14:textId="77777777" w:rsidR="00F46FE6" w:rsidRDefault="00F94E5C" w:rsidP="00F46FE6">
      <w:pPr>
        <w:ind w:left="720"/>
      </w:pPr>
      <w:r>
        <w:t>E-mail</w:t>
      </w:r>
      <w:r w:rsidR="00F46FE6">
        <w:t xml:space="preserve">. </w:t>
      </w:r>
      <w:hyperlink r:id="rId15" w:history="1">
        <w:r w:rsidR="00F46FE6" w:rsidRPr="008F7422">
          <w:rPr>
            <w:rStyle w:val="Hyperlink"/>
          </w:rPr>
          <w:t>larena@rti.org</w:t>
        </w:r>
      </w:hyperlink>
    </w:p>
    <w:p w14:paraId="7636004A" w14:textId="03C8DFB8" w:rsidR="00F46FE6" w:rsidRDefault="00F46FE6" w:rsidP="00F46FE6">
      <w:pPr>
        <w:ind w:left="720"/>
      </w:pPr>
    </w:p>
    <w:p w14:paraId="10B6027C" w14:textId="77777777" w:rsidR="00F46FE6" w:rsidRDefault="00F46FE6" w:rsidP="00F46FE6">
      <w:pPr>
        <w:ind w:left="720"/>
      </w:pPr>
      <w:r>
        <w:t xml:space="preserve">Cindy Soloe, Senior Scientific Advisor </w:t>
      </w:r>
    </w:p>
    <w:p w14:paraId="3189FC3B" w14:textId="77777777" w:rsidR="00F46FE6" w:rsidRPr="002155E7" w:rsidRDefault="00F46FE6" w:rsidP="00F46FE6">
      <w:pPr>
        <w:ind w:left="720"/>
      </w:pPr>
      <w:r w:rsidRPr="002155E7">
        <w:t>RTI International</w:t>
      </w:r>
    </w:p>
    <w:p w14:paraId="159E2B38" w14:textId="77777777" w:rsidR="00F46FE6" w:rsidRDefault="00F46FE6" w:rsidP="00F46FE6">
      <w:pPr>
        <w:ind w:left="720"/>
      </w:pPr>
      <w:r>
        <w:t>3040 East Cornwallis Road</w:t>
      </w:r>
      <w:r>
        <w:br/>
        <w:t>Post Office Box 12194</w:t>
      </w:r>
      <w:r>
        <w:br/>
        <w:t>Research Triangle Park, NC 27709-2194</w:t>
      </w:r>
    </w:p>
    <w:p w14:paraId="6FECB744" w14:textId="77777777" w:rsidR="00F46FE6" w:rsidRDefault="00F46FE6" w:rsidP="00F46FE6">
      <w:pPr>
        <w:ind w:left="720"/>
      </w:pPr>
      <w:r>
        <w:t>Tel.</w:t>
      </w:r>
      <w:r w:rsidR="005E42B3">
        <w:t xml:space="preserve"> </w:t>
      </w:r>
      <w:r>
        <w:t>919-316-3363</w:t>
      </w:r>
    </w:p>
    <w:p w14:paraId="673FA72F" w14:textId="77777777" w:rsidR="00F46FE6" w:rsidRDefault="00F94E5C" w:rsidP="00F46FE6">
      <w:pPr>
        <w:ind w:left="720"/>
      </w:pPr>
      <w:r>
        <w:t>E-mail</w:t>
      </w:r>
      <w:r w:rsidR="00F46FE6">
        <w:t xml:space="preserve">. </w:t>
      </w:r>
      <w:hyperlink r:id="rId16" w:history="1">
        <w:r w:rsidR="00F46FE6" w:rsidRPr="008F7422">
          <w:rPr>
            <w:rStyle w:val="Hyperlink"/>
          </w:rPr>
          <w:t>csoloe@rti.org</w:t>
        </w:r>
      </w:hyperlink>
    </w:p>
    <w:p w14:paraId="053FA49F" w14:textId="77777777" w:rsidR="00763043" w:rsidRPr="00FD6193" w:rsidRDefault="00763043" w:rsidP="00F46FE6">
      <w:pPr>
        <w:ind w:left="720"/>
      </w:pPr>
    </w:p>
    <w:p w14:paraId="0F80BEEC" w14:textId="77777777" w:rsidR="00F46FE6" w:rsidRPr="0080584E" w:rsidRDefault="00F46FE6" w:rsidP="00F46FE6">
      <w:pPr>
        <w:ind w:left="720"/>
      </w:pPr>
      <w:r>
        <w:t>Angela Moore, Task Order Contracting Officer’s Representative</w:t>
      </w:r>
    </w:p>
    <w:p w14:paraId="59291A5B" w14:textId="77777777" w:rsidR="00F46FE6" w:rsidRPr="00DB686E" w:rsidRDefault="00F46FE6" w:rsidP="00F46FE6">
      <w:pPr>
        <w:ind w:left="720"/>
      </w:pPr>
      <w:r w:rsidRPr="00DB686E">
        <w:t>Program Evaluation and Partnership Team Lead</w:t>
      </w:r>
    </w:p>
    <w:p w14:paraId="18E4FEDC" w14:textId="77777777" w:rsidR="00F46FE6" w:rsidRPr="00DB686E" w:rsidRDefault="00F46FE6" w:rsidP="00F46FE6">
      <w:pPr>
        <w:ind w:left="720"/>
      </w:pPr>
      <w:r w:rsidRPr="00DB686E">
        <w:t>Division of Cancer Prevention and Control</w:t>
      </w:r>
    </w:p>
    <w:p w14:paraId="241203AF" w14:textId="77777777" w:rsidR="00F46FE6" w:rsidRPr="00DB686E" w:rsidRDefault="00F46FE6" w:rsidP="00F46FE6">
      <w:pPr>
        <w:ind w:left="720"/>
      </w:pPr>
      <w:r w:rsidRPr="00DB686E">
        <w:t>Comprehensive Cancer Control Branch</w:t>
      </w:r>
    </w:p>
    <w:p w14:paraId="6224082B" w14:textId="77777777" w:rsidR="00F46FE6" w:rsidRDefault="00F46FE6" w:rsidP="00F46FE6">
      <w:pPr>
        <w:ind w:left="720"/>
      </w:pPr>
      <w:r w:rsidRPr="0050043F">
        <w:t xml:space="preserve">National Center of Chronic Disease Prevention and Health Promotion </w:t>
      </w:r>
    </w:p>
    <w:p w14:paraId="1B5A5149" w14:textId="77777777" w:rsidR="00F46FE6" w:rsidRPr="0080584E" w:rsidRDefault="00F46FE6" w:rsidP="00F46FE6">
      <w:pPr>
        <w:ind w:left="720"/>
      </w:pPr>
      <w:r w:rsidRPr="0080584E">
        <w:t>Centers for Disease Control and Prevention</w:t>
      </w:r>
    </w:p>
    <w:p w14:paraId="72ED1411" w14:textId="77777777" w:rsidR="00F46FE6" w:rsidRDefault="00F46FE6" w:rsidP="00F46FE6">
      <w:pPr>
        <w:ind w:left="720"/>
      </w:pPr>
      <w:r w:rsidRPr="0050043F">
        <w:t xml:space="preserve">4770 </w:t>
      </w:r>
      <w:r>
        <w:t>Buford Highway</w:t>
      </w:r>
      <w:r w:rsidRPr="0050043F">
        <w:t xml:space="preserve"> NE</w:t>
      </w:r>
      <w:r w:rsidR="005E42B3">
        <w:t xml:space="preserve"> </w:t>
      </w:r>
    </w:p>
    <w:p w14:paraId="0C27B302" w14:textId="77777777" w:rsidR="00F46FE6" w:rsidRPr="0080584E" w:rsidRDefault="00F46FE6" w:rsidP="00F46FE6">
      <w:pPr>
        <w:ind w:left="720"/>
      </w:pPr>
      <w:r w:rsidRPr="0080584E">
        <w:t>Chamblee, Bldg. 107, Rm. 01404, MS F-73</w:t>
      </w:r>
    </w:p>
    <w:p w14:paraId="6A0B1DAE" w14:textId="77777777" w:rsidR="00F46FE6" w:rsidRPr="0080584E" w:rsidRDefault="00F46FE6" w:rsidP="00F46FE6">
      <w:pPr>
        <w:ind w:left="720"/>
      </w:pPr>
      <w:r w:rsidRPr="0080584E">
        <w:t>Atlanta, GA</w:t>
      </w:r>
      <w:r w:rsidR="005E42B3">
        <w:t xml:space="preserve"> </w:t>
      </w:r>
      <w:r w:rsidRPr="0080584E">
        <w:t>30341</w:t>
      </w:r>
    </w:p>
    <w:p w14:paraId="477E80C4" w14:textId="77777777" w:rsidR="00F46FE6" w:rsidRPr="0080584E" w:rsidRDefault="00F46FE6" w:rsidP="00F46FE6">
      <w:pPr>
        <w:ind w:left="720"/>
      </w:pPr>
      <w:r w:rsidRPr="0080584E">
        <w:t>Tel. 770-488-5772</w:t>
      </w:r>
    </w:p>
    <w:p w14:paraId="5B1EAFE6" w14:textId="77777777" w:rsidR="00F46FE6" w:rsidRPr="0080584E" w:rsidRDefault="00F94E5C" w:rsidP="00F46FE6">
      <w:pPr>
        <w:ind w:left="720"/>
      </w:pPr>
      <w:r>
        <w:t>E-mail</w:t>
      </w:r>
      <w:r w:rsidR="00F46FE6" w:rsidRPr="0080584E">
        <w:t xml:space="preserve">: </w:t>
      </w:r>
      <w:hyperlink r:id="rId17" w:history="1">
        <w:r w:rsidR="00F46FE6" w:rsidRPr="0080584E">
          <w:rPr>
            <w:color w:val="0000FF"/>
            <w:u w:val="single"/>
          </w:rPr>
          <w:t>tnl4@cdc.gov</w:t>
        </w:r>
      </w:hyperlink>
    </w:p>
    <w:sectPr w:rsidR="00F46FE6" w:rsidRPr="0080584E" w:rsidSect="00763043">
      <w:footerReference w:type="default" r:id="rId18"/>
      <w:footerReference w:type="first" r:id="rId19"/>
      <w:pgSz w:w="12240" w:h="15840" w:code="1"/>
      <w:pgMar w:top="117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F5705" w14:textId="77777777" w:rsidR="00AA6663" w:rsidRDefault="00AA6663">
      <w:r>
        <w:separator/>
      </w:r>
    </w:p>
  </w:endnote>
  <w:endnote w:type="continuationSeparator" w:id="0">
    <w:p w14:paraId="2BBF3596" w14:textId="77777777" w:rsidR="00AA6663" w:rsidRDefault="00AA6663">
      <w:r>
        <w:continuationSeparator/>
      </w:r>
    </w:p>
  </w:endnote>
  <w:endnote w:type="continuationNotice" w:id="1">
    <w:p w14:paraId="544C2824" w14:textId="77777777" w:rsidR="00AA6663" w:rsidRDefault="00AA6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83917" w14:textId="77777777" w:rsidR="0006128E" w:rsidRDefault="0006128E" w:rsidP="00FA70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D30970" w14:textId="77777777" w:rsidR="0006128E" w:rsidRDefault="000612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26A34" w14:textId="3DD12AFF" w:rsidR="00BE2DC6" w:rsidRDefault="00BE2DC6">
    <w:pPr>
      <w:pStyle w:val="Footer"/>
    </w:pPr>
    <w:r>
      <w:tab/>
      <w:t>1</w:t>
    </w:r>
  </w:p>
  <w:p w14:paraId="57F64B41" w14:textId="77777777" w:rsidR="00BE2DC6" w:rsidRDefault="00BE2D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4C6F9" w14:textId="46217ACD" w:rsidR="0006128E" w:rsidRDefault="00C00133" w:rsidP="00C00133">
    <w:pPr>
      <w:pStyle w:val="Footer"/>
    </w:pPr>
    <w:r>
      <w:rPr>
        <w:rStyle w:val="PageNumber"/>
      </w:rPr>
      <w:tab/>
      <w:t>2</w:t>
    </w:r>
    <w:r>
      <w:rPr>
        <w:rStyle w:val="PageNumber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C414F" w14:textId="7BF01466" w:rsidR="0006128E" w:rsidRPr="00906F6F" w:rsidRDefault="0006128E" w:rsidP="0092440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2CE5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19A06" w14:textId="642D9E5B" w:rsidR="0006128E" w:rsidRDefault="0006128E" w:rsidP="00906F6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2CE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4BCEB" w14:textId="77777777" w:rsidR="00AA6663" w:rsidRDefault="00AA6663">
      <w:r>
        <w:separator/>
      </w:r>
    </w:p>
  </w:footnote>
  <w:footnote w:type="continuationSeparator" w:id="0">
    <w:p w14:paraId="4EB5A0A5" w14:textId="77777777" w:rsidR="00AA6663" w:rsidRDefault="00AA6663">
      <w:r>
        <w:continuationSeparator/>
      </w:r>
    </w:p>
  </w:footnote>
  <w:footnote w:type="continuationNotice" w:id="1">
    <w:p w14:paraId="4016157E" w14:textId="77777777" w:rsidR="00AA6663" w:rsidRDefault="00AA66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27635" w14:textId="77777777" w:rsidR="00AA6663" w:rsidRDefault="00AA66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44D4"/>
    <w:multiLevelType w:val="hybridMultilevel"/>
    <w:tmpl w:val="6706BC2E"/>
    <w:lvl w:ilvl="0" w:tplc="FFFFFFFF">
      <w:start w:val="1"/>
      <w:numFmt w:val="bullet"/>
      <w:pStyle w:val="NumberBullets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D91D50"/>
    <w:multiLevelType w:val="hybridMultilevel"/>
    <w:tmpl w:val="DEA02ED0"/>
    <w:lvl w:ilvl="0" w:tplc="37D08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609AF"/>
    <w:multiLevelType w:val="hybridMultilevel"/>
    <w:tmpl w:val="DEA02ED0"/>
    <w:lvl w:ilvl="0" w:tplc="37D08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43E68"/>
    <w:multiLevelType w:val="hybridMultilevel"/>
    <w:tmpl w:val="E2AA3702"/>
    <w:lvl w:ilvl="0" w:tplc="FFFFFFFF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671AA6"/>
    <w:multiLevelType w:val="hybridMultilevel"/>
    <w:tmpl w:val="CC9C15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en-US" w:vendorID="64" w:dllVersion="0" w:nlCheck="1" w:checkStyle="1"/>
  <w:activeWritingStyle w:appName="MSWord" w:lang="en-CA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131078" w:nlCheck="1" w:checkStyle="1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56"/>
    <w:rsid w:val="00010285"/>
    <w:rsid w:val="00016E5D"/>
    <w:rsid w:val="0001715E"/>
    <w:rsid w:val="00021B81"/>
    <w:rsid w:val="00023A61"/>
    <w:rsid w:val="00053D33"/>
    <w:rsid w:val="00055BD4"/>
    <w:rsid w:val="00056850"/>
    <w:rsid w:val="00056CAB"/>
    <w:rsid w:val="0006128E"/>
    <w:rsid w:val="0006307A"/>
    <w:rsid w:val="00071E0F"/>
    <w:rsid w:val="00072C63"/>
    <w:rsid w:val="00073B57"/>
    <w:rsid w:val="00076442"/>
    <w:rsid w:val="00095B10"/>
    <w:rsid w:val="000965F4"/>
    <w:rsid w:val="000A1BC4"/>
    <w:rsid w:val="000A3D71"/>
    <w:rsid w:val="000A609C"/>
    <w:rsid w:val="000B3B5D"/>
    <w:rsid w:val="000B5B19"/>
    <w:rsid w:val="000C0BF4"/>
    <w:rsid w:val="000E395A"/>
    <w:rsid w:val="000E6546"/>
    <w:rsid w:val="000F158C"/>
    <w:rsid w:val="000F3D28"/>
    <w:rsid w:val="00112C2B"/>
    <w:rsid w:val="0011387B"/>
    <w:rsid w:val="0011486A"/>
    <w:rsid w:val="001302E1"/>
    <w:rsid w:val="00151395"/>
    <w:rsid w:val="00152DFC"/>
    <w:rsid w:val="00155573"/>
    <w:rsid w:val="00162E9D"/>
    <w:rsid w:val="0017124A"/>
    <w:rsid w:val="00171303"/>
    <w:rsid w:val="00175EE3"/>
    <w:rsid w:val="00176584"/>
    <w:rsid w:val="00180162"/>
    <w:rsid w:val="00182ED7"/>
    <w:rsid w:val="001832DE"/>
    <w:rsid w:val="0018563E"/>
    <w:rsid w:val="00194A21"/>
    <w:rsid w:val="00196926"/>
    <w:rsid w:val="00196EB0"/>
    <w:rsid w:val="001A1A89"/>
    <w:rsid w:val="001A2036"/>
    <w:rsid w:val="001B2F93"/>
    <w:rsid w:val="001B6122"/>
    <w:rsid w:val="001B78C1"/>
    <w:rsid w:val="001C4E6E"/>
    <w:rsid w:val="001D33C9"/>
    <w:rsid w:val="001D3F98"/>
    <w:rsid w:val="001D5EC8"/>
    <w:rsid w:val="001E2C0E"/>
    <w:rsid w:val="001E63EF"/>
    <w:rsid w:val="001E736B"/>
    <w:rsid w:val="001F5E03"/>
    <w:rsid w:val="002037BC"/>
    <w:rsid w:val="00207E8F"/>
    <w:rsid w:val="00213567"/>
    <w:rsid w:val="002179E0"/>
    <w:rsid w:val="00221D72"/>
    <w:rsid w:val="00223327"/>
    <w:rsid w:val="00223CDD"/>
    <w:rsid w:val="00236BC0"/>
    <w:rsid w:val="00237321"/>
    <w:rsid w:val="00242D2C"/>
    <w:rsid w:val="00245B35"/>
    <w:rsid w:val="00246CCD"/>
    <w:rsid w:val="0025209F"/>
    <w:rsid w:val="00262CE5"/>
    <w:rsid w:val="002677ED"/>
    <w:rsid w:val="00274C42"/>
    <w:rsid w:val="002772A2"/>
    <w:rsid w:val="0029307A"/>
    <w:rsid w:val="002A1235"/>
    <w:rsid w:val="002A38E7"/>
    <w:rsid w:val="002C3412"/>
    <w:rsid w:val="002C60A4"/>
    <w:rsid w:val="002C78C3"/>
    <w:rsid w:val="002E39B8"/>
    <w:rsid w:val="002F13DB"/>
    <w:rsid w:val="002F3B3B"/>
    <w:rsid w:val="002F48EC"/>
    <w:rsid w:val="002F6523"/>
    <w:rsid w:val="00302FC2"/>
    <w:rsid w:val="00302FDA"/>
    <w:rsid w:val="00305805"/>
    <w:rsid w:val="003270D3"/>
    <w:rsid w:val="00327FF0"/>
    <w:rsid w:val="00331E3B"/>
    <w:rsid w:val="00334B7A"/>
    <w:rsid w:val="003378A5"/>
    <w:rsid w:val="00341FFE"/>
    <w:rsid w:val="00343192"/>
    <w:rsid w:val="00344244"/>
    <w:rsid w:val="00347889"/>
    <w:rsid w:val="00347EBC"/>
    <w:rsid w:val="003506F4"/>
    <w:rsid w:val="00353D07"/>
    <w:rsid w:val="003540A9"/>
    <w:rsid w:val="00354255"/>
    <w:rsid w:val="00354793"/>
    <w:rsid w:val="00357746"/>
    <w:rsid w:val="00357AF0"/>
    <w:rsid w:val="0037320E"/>
    <w:rsid w:val="003B4C9B"/>
    <w:rsid w:val="003D5F0F"/>
    <w:rsid w:val="003D6352"/>
    <w:rsid w:val="003D6EC3"/>
    <w:rsid w:val="003E0A59"/>
    <w:rsid w:val="003E5576"/>
    <w:rsid w:val="003F02AD"/>
    <w:rsid w:val="003F1512"/>
    <w:rsid w:val="00400488"/>
    <w:rsid w:val="00402BAD"/>
    <w:rsid w:val="004059D1"/>
    <w:rsid w:val="004160F3"/>
    <w:rsid w:val="0041691A"/>
    <w:rsid w:val="00423334"/>
    <w:rsid w:val="00427554"/>
    <w:rsid w:val="004316FE"/>
    <w:rsid w:val="00434BC5"/>
    <w:rsid w:val="00434DFE"/>
    <w:rsid w:val="00451757"/>
    <w:rsid w:val="00453377"/>
    <w:rsid w:val="0045406A"/>
    <w:rsid w:val="00463AEE"/>
    <w:rsid w:val="00463DD1"/>
    <w:rsid w:val="00466CA9"/>
    <w:rsid w:val="0047358D"/>
    <w:rsid w:val="00475CDB"/>
    <w:rsid w:val="00475E78"/>
    <w:rsid w:val="0047674A"/>
    <w:rsid w:val="004920B6"/>
    <w:rsid w:val="00492F67"/>
    <w:rsid w:val="00495ADF"/>
    <w:rsid w:val="00495BF9"/>
    <w:rsid w:val="004A2778"/>
    <w:rsid w:val="004A2F0F"/>
    <w:rsid w:val="004B3E35"/>
    <w:rsid w:val="004C0743"/>
    <w:rsid w:val="004C0E0E"/>
    <w:rsid w:val="004C2601"/>
    <w:rsid w:val="004C439D"/>
    <w:rsid w:val="004C56A3"/>
    <w:rsid w:val="004D0161"/>
    <w:rsid w:val="004D3C37"/>
    <w:rsid w:val="004E0E8D"/>
    <w:rsid w:val="004E330F"/>
    <w:rsid w:val="004F167F"/>
    <w:rsid w:val="0050115D"/>
    <w:rsid w:val="00504DCF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75D0"/>
    <w:rsid w:val="00541CA2"/>
    <w:rsid w:val="00542B61"/>
    <w:rsid w:val="005453DD"/>
    <w:rsid w:val="00546209"/>
    <w:rsid w:val="00551F4D"/>
    <w:rsid w:val="00557329"/>
    <w:rsid w:val="0055752E"/>
    <w:rsid w:val="005607F9"/>
    <w:rsid w:val="005749DD"/>
    <w:rsid w:val="0057707D"/>
    <w:rsid w:val="0058360B"/>
    <w:rsid w:val="005909A3"/>
    <w:rsid w:val="00590C43"/>
    <w:rsid w:val="005A6C84"/>
    <w:rsid w:val="005A7F97"/>
    <w:rsid w:val="005B21C5"/>
    <w:rsid w:val="005B4154"/>
    <w:rsid w:val="005B53CB"/>
    <w:rsid w:val="005C255F"/>
    <w:rsid w:val="005E1462"/>
    <w:rsid w:val="005E1843"/>
    <w:rsid w:val="005E217C"/>
    <w:rsid w:val="005E42B3"/>
    <w:rsid w:val="005E62F2"/>
    <w:rsid w:val="005F3E92"/>
    <w:rsid w:val="00601178"/>
    <w:rsid w:val="006040A6"/>
    <w:rsid w:val="006048A8"/>
    <w:rsid w:val="00605B8B"/>
    <w:rsid w:val="00613A18"/>
    <w:rsid w:val="00622A6F"/>
    <w:rsid w:val="006269EB"/>
    <w:rsid w:val="00626DBA"/>
    <w:rsid w:val="00632AAE"/>
    <w:rsid w:val="00635CB0"/>
    <w:rsid w:val="00637EF3"/>
    <w:rsid w:val="00657935"/>
    <w:rsid w:val="0065799B"/>
    <w:rsid w:val="00662A81"/>
    <w:rsid w:val="00662BD9"/>
    <w:rsid w:val="00663D09"/>
    <w:rsid w:val="006713F3"/>
    <w:rsid w:val="006763FF"/>
    <w:rsid w:val="00682082"/>
    <w:rsid w:val="006A10BF"/>
    <w:rsid w:val="006A2387"/>
    <w:rsid w:val="006A604F"/>
    <w:rsid w:val="006B14CF"/>
    <w:rsid w:val="006B3CB0"/>
    <w:rsid w:val="006B4955"/>
    <w:rsid w:val="006D3678"/>
    <w:rsid w:val="006D4600"/>
    <w:rsid w:val="006E2440"/>
    <w:rsid w:val="006E5049"/>
    <w:rsid w:val="006E78E7"/>
    <w:rsid w:val="006F42BC"/>
    <w:rsid w:val="00706653"/>
    <w:rsid w:val="00707527"/>
    <w:rsid w:val="00707F96"/>
    <w:rsid w:val="00712259"/>
    <w:rsid w:val="0071443E"/>
    <w:rsid w:val="0071572F"/>
    <w:rsid w:val="00717571"/>
    <w:rsid w:val="0071776A"/>
    <w:rsid w:val="00720E5F"/>
    <w:rsid w:val="00722078"/>
    <w:rsid w:val="00726255"/>
    <w:rsid w:val="00736695"/>
    <w:rsid w:val="00737857"/>
    <w:rsid w:val="00743CD7"/>
    <w:rsid w:val="00747F72"/>
    <w:rsid w:val="0075331E"/>
    <w:rsid w:val="00755297"/>
    <w:rsid w:val="00763043"/>
    <w:rsid w:val="00763C5F"/>
    <w:rsid w:val="0076448A"/>
    <w:rsid w:val="00764529"/>
    <w:rsid w:val="00773689"/>
    <w:rsid w:val="00775802"/>
    <w:rsid w:val="00782650"/>
    <w:rsid w:val="007838EC"/>
    <w:rsid w:val="00786C85"/>
    <w:rsid w:val="00787D03"/>
    <w:rsid w:val="007B18BA"/>
    <w:rsid w:val="007B5258"/>
    <w:rsid w:val="007C3C05"/>
    <w:rsid w:val="007C47F1"/>
    <w:rsid w:val="007C4A4E"/>
    <w:rsid w:val="007C5DCF"/>
    <w:rsid w:val="007C7074"/>
    <w:rsid w:val="007D23E8"/>
    <w:rsid w:val="007D3125"/>
    <w:rsid w:val="007E15BB"/>
    <w:rsid w:val="007E16F1"/>
    <w:rsid w:val="007E4A5C"/>
    <w:rsid w:val="007E6753"/>
    <w:rsid w:val="007F293F"/>
    <w:rsid w:val="007F50C9"/>
    <w:rsid w:val="007F576C"/>
    <w:rsid w:val="007F7D99"/>
    <w:rsid w:val="00804E98"/>
    <w:rsid w:val="00807E0E"/>
    <w:rsid w:val="00810192"/>
    <w:rsid w:val="0081656F"/>
    <w:rsid w:val="008222CB"/>
    <w:rsid w:val="008241F7"/>
    <w:rsid w:val="00832BA3"/>
    <w:rsid w:val="008357CC"/>
    <w:rsid w:val="008423C2"/>
    <w:rsid w:val="00847929"/>
    <w:rsid w:val="00856CF5"/>
    <w:rsid w:val="0086043F"/>
    <w:rsid w:val="00870307"/>
    <w:rsid w:val="0087417D"/>
    <w:rsid w:val="008807B7"/>
    <w:rsid w:val="008808FA"/>
    <w:rsid w:val="008815DF"/>
    <w:rsid w:val="00891D03"/>
    <w:rsid w:val="008A0231"/>
    <w:rsid w:val="008A0A0F"/>
    <w:rsid w:val="008A3CF6"/>
    <w:rsid w:val="008A4C91"/>
    <w:rsid w:val="008B3BC8"/>
    <w:rsid w:val="008B61A1"/>
    <w:rsid w:val="008B79CD"/>
    <w:rsid w:val="008C3FC1"/>
    <w:rsid w:val="008C6456"/>
    <w:rsid w:val="008C69E0"/>
    <w:rsid w:val="008D0635"/>
    <w:rsid w:val="008D1165"/>
    <w:rsid w:val="008D43BE"/>
    <w:rsid w:val="008E0EF2"/>
    <w:rsid w:val="008E7D6E"/>
    <w:rsid w:val="008F5037"/>
    <w:rsid w:val="008F55FE"/>
    <w:rsid w:val="00900150"/>
    <w:rsid w:val="00900586"/>
    <w:rsid w:val="00906F6F"/>
    <w:rsid w:val="009164CC"/>
    <w:rsid w:val="0092164B"/>
    <w:rsid w:val="00924407"/>
    <w:rsid w:val="00926D45"/>
    <w:rsid w:val="00930261"/>
    <w:rsid w:val="00932612"/>
    <w:rsid w:val="00932B36"/>
    <w:rsid w:val="00937302"/>
    <w:rsid w:val="00944BB4"/>
    <w:rsid w:val="00946D72"/>
    <w:rsid w:val="00947647"/>
    <w:rsid w:val="00947A84"/>
    <w:rsid w:val="00954575"/>
    <w:rsid w:val="009752B7"/>
    <w:rsid w:val="00975B68"/>
    <w:rsid w:val="00981374"/>
    <w:rsid w:val="009875AE"/>
    <w:rsid w:val="00997B58"/>
    <w:rsid w:val="009A0B2C"/>
    <w:rsid w:val="009A230F"/>
    <w:rsid w:val="009A41A4"/>
    <w:rsid w:val="009A5D09"/>
    <w:rsid w:val="009A703B"/>
    <w:rsid w:val="009A7DB5"/>
    <w:rsid w:val="009B0FD7"/>
    <w:rsid w:val="009B42DD"/>
    <w:rsid w:val="009B66BB"/>
    <w:rsid w:val="009B6D5C"/>
    <w:rsid w:val="009C6EA2"/>
    <w:rsid w:val="009C7C64"/>
    <w:rsid w:val="009D0E6A"/>
    <w:rsid w:val="009E0FB3"/>
    <w:rsid w:val="009E335E"/>
    <w:rsid w:val="009E4DC5"/>
    <w:rsid w:val="009F1792"/>
    <w:rsid w:val="009F448A"/>
    <w:rsid w:val="009F6C56"/>
    <w:rsid w:val="00A00226"/>
    <w:rsid w:val="00A00CAE"/>
    <w:rsid w:val="00A14087"/>
    <w:rsid w:val="00A140CE"/>
    <w:rsid w:val="00A15F7A"/>
    <w:rsid w:val="00A234D4"/>
    <w:rsid w:val="00A24170"/>
    <w:rsid w:val="00A32B08"/>
    <w:rsid w:val="00A40208"/>
    <w:rsid w:val="00A438F6"/>
    <w:rsid w:val="00A45B43"/>
    <w:rsid w:val="00A47838"/>
    <w:rsid w:val="00A531F7"/>
    <w:rsid w:val="00A53954"/>
    <w:rsid w:val="00A61241"/>
    <w:rsid w:val="00A65419"/>
    <w:rsid w:val="00A861AA"/>
    <w:rsid w:val="00A86AB6"/>
    <w:rsid w:val="00A935D1"/>
    <w:rsid w:val="00A95E62"/>
    <w:rsid w:val="00AA295A"/>
    <w:rsid w:val="00AA573E"/>
    <w:rsid w:val="00AA6663"/>
    <w:rsid w:val="00AB08A4"/>
    <w:rsid w:val="00AB26EE"/>
    <w:rsid w:val="00AB6D73"/>
    <w:rsid w:val="00AC6ACE"/>
    <w:rsid w:val="00AE5483"/>
    <w:rsid w:val="00AE6202"/>
    <w:rsid w:val="00AF376C"/>
    <w:rsid w:val="00B14DA8"/>
    <w:rsid w:val="00B20569"/>
    <w:rsid w:val="00B231F5"/>
    <w:rsid w:val="00B234E3"/>
    <w:rsid w:val="00B26EC9"/>
    <w:rsid w:val="00B379F0"/>
    <w:rsid w:val="00B37A70"/>
    <w:rsid w:val="00B432D0"/>
    <w:rsid w:val="00B4410E"/>
    <w:rsid w:val="00B53E72"/>
    <w:rsid w:val="00B76002"/>
    <w:rsid w:val="00B77A91"/>
    <w:rsid w:val="00B80442"/>
    <w:rsid w:val="00B854D4"/>
    <w:rsid w:val="00B86A7A"/>
    <w:rsid w:val="00BA52EC"/>
    <w:rsid w:val="00BB4C7A"/>
    <w:rsid w:val="00BB5EAA"/>
    <w:rsid w:val="00BB7CFA"/>
    <w:rsid w:val="00BC27F0"/>
    <w:rsid w:val="00BC378F"/>
    <w:rsid w:val="00BC7850"/>
    <w:rsid w:val="00BD60B3"/>
    <w:rsid w:val="00BE2D02"/>
    <w:rsid w:val="00BE2DC6"/>
    <w:rsid w:val="00BE3A37"/>
    <w:rsid w:val="00BE4187"/>
    <w:rsid w:val="00BE4639"/>
    <w:rsid w:val="00BE777A"/>
    <w:rsid w:val="00C00133"/>
    <w:rsid w:val="00C056FE"/>
    <w:rsid w:val="00C149ED"/>
    <w:rsid w:val="00C156AA"/>
    <w:rsid w:val="00C162E9"/>
    <w:rsid w:val="00C207AD"/>
    <w:rsid w:val="00C32C39"/>
    <w:rsid w:val="00C40D2F"/>
    <w:rsid w:val="00C54030"/>
    <w:rsid w:val="00C54B62"/>
    <w:rsid w:val="00C56316"/>
    <w:rsid w:val="00C57DB3"/>
    <w:rsid w:val="00C57DF3"/>
    <w:rsid w:val="00C606F0"/>
    <w:rsid w:val="00C62587"/>
    <w:rsid w:val="00C62900"/>
    <w:rsid w:val="00C65FD6"/>
    <w:rsid w:val="00C74528"/>
    <w:rsid w:val="00C764DD"/>
    <w:rsid w:val="00C81A36"/>
    <w:rsid w:val="00C832AD"/>
    <w:rsid w:val="00C844D6"/>
    <w:rsid w:val="00C93F07"/>
    <w:rsid w:val="00CA1153"/>
    <w:rsid w:val="00CA4F62"/>
    <w:rsid w:val="00CA6A7F"/>
    <w:rsid w:val="00CB0350"/>
    <w:rsid w:val="00CB6FA9"/>
    <w:rsid w:val="00CC2139"/>
    <w:rsid w:val="00CD0CA0"/>
    <w:rsid w:val="00CD3575"/>
    <w:rsid w:val="00CD5B39"/>
    <w:rsid w:val="00CD6A6D"/>
    <w:rsid w:val="00CF22F5"/>
    <w:rsid w:val="00D03C09"/>
    <w:rsid w:val="00D10004"/>
    <w:rsid w:val="00D34D18"/>
    <w:rsid w:val="00D358C3"/>
    <w:rsid w:val="00D428B5"/>
    <w:rsid w:val="00D43F13"/>
    <w:rsid w:val="00D4534A"/>
    <w:rsid w:val="00D46A91"/>
    <w:rsid w:val="00D46D1A"/>
    <w:rsid w:val="00D47208"/>
    <w:rsid w:val="00D526B8"/>
    <w:rsid w:val="00D539AF"/>
    <w:rsid w:val="00D557BC"/>
    <w:rsid w:val="00D63E47"/>
    <w:rsid w:val="00D6798C"/>
    <w:rsid w:val="00D70C31"/>
    <w:rsid w:val="00D70D55"/>
    <w:rsid w:val="00D7688C"/>
    <w:rsid w:val="00D820DC"/>
    <w:rsid w:val="00D87B94"/>
    <w:rsid w:val="00D901E3"/>
    <w:rsid w:val="00D924E3"/>
    <w:rsid w:val="00D946CC"/>
    <w:rsid w:val="00D96218"/>
    <w:rsid w:val="00DA0C0D"/>
    <w:rsid w:val="00DA4D26"/>
    <w:rsid w:val="00DB5E1A"/>
    <w:rsid w:val="00DC143C"/>
    <w:rsid w:val="00DC304E"/>
    <w:rsid w:val="00DC69D5"/>
    <w:rsid w:val="00DD248A"/>
    <w:rsid w:val="00DD3188"/>
    <w:rsid w:val="00DD4786"/>
    <w:rsid w:val="00DD549C"/>
    <w:rsid w:val="00DE0390"/>
    <w:rsid w:val="00DE2328"/>
    <w:rsid w:val="00DE25A1"/>
    <w:rsid w:val="00DE445B"/>
    <w:rsid w:val="00DE5245"/>
    <w:rsid w:val="00DE722D"/>
    <w:rsid w:val="00DF0E28"/>
    <w:rsid w:val="00DF4417"/>
    <w:rsid w:val="00DF5954"/>
    <w:rsid w:val="00DF693C"/>
    <w:rsid w:val="00DF6E59"/>
    <w:rsid w:val="00E07659"/>
    <w:rsid w:val="00E1300D"/>
    <w:rsid w:val="00E2137E"/>
    <w:rsid w:val="00E30954"/>
    <w:rsid w:val="00E311FA"/>
    <w:rsid w:val="00E5341B"/>
    <w:rsid w:val="00E62A23"/>
    <w:rsid w:val="00E65D46"/>
    <w:rsid w:val="00E666E3"/>
    <w:rsid w:val="00E66F29"/>
    <w:rsid w:val="00E67EB8"/>
    <w:rsid w:val="00E717B2"/>
    <w:rsid w:val="00E719CF"/>
    <w:rsid w:val="00E72FB8"/>
    <w:rsid w:val="00E81C80"/>
    <w:rsid w:val="00E8217C"/>
    <w:rsid w:val="00E82257"/>
    <w:rsid w:val="00E87A1C"/>
    <w:rsid w:val="00E90293"/>
    <w:rsid w:val="00E93544"/>
    <w:rsid w:val="00E96025"/>
    <w:rsid w:val="00E963FE"/>
    <w:rsid w:val="00E9714A"/>
    <w:rsid w:val="00E97BAB"/>
    <w:rsid w:val="00EA25A2"/>
    <w:rsid w:val="00EA6BB6"/>
    <w:rsid w:val="00EB4CBA"/>
    <w:rsid w:val="00EC13CD"/>
    <w:rsid w:val="00EC2E8F"/>
    <w:rsid w:val="00EC4C91"/>
    <w:rsid w:val="00ED16CD"/>
    <w:rsid w:val="00ED69DB"/>
    <w:rsid w:val="00ED7602"/>
    <w:rsid w:val="00EE2E62"/>
    <w:rsid w:val="00EE3E63"/>
    <w:rsid w:val="00EE42E3"/>
    <w:rsid w:val="00EE682A"/>
    <w:rsid w:val="00EE7763"/>
    <w:rsid w:val="00EF2984"/>
    <w:rsid w:val="00EF3F85"/>
    <w:rsid w:val="00F177AE"/>
    <w:rsid w:val="00F17889"/>
    <w:rsid w:val="00F17979"/>
    <w:rsid w:val="00F20A34"/>
    <w:rsid w:val="00F22932"/>
    <w:rsid w:val="00F26C05"/>
    <w:rsid w:val="00F30967"/>
    <w:rsid w:val="00F34137"/>
    <w:rsid w:val="00F35E39"/>
    <w:rsid w:val="00F41479"/>
    <w:rsid w:val="00F430D3"/>
    <w:rsid w:val="00F441D7"/>
    <w:rsid w:val="00F46FE6"/>
    <w:rsid w:val="00F47939"/>
    <w:rsid w:val="00F512D4"/>
    <w:rsid w:val="00F5274B"/>
    <w:rsid w:val="00F553C3"/>
    <w:rsid w:val="00F563BE"/>
    <w:rsid w:val="00F65442"/>
    <w:rsid w:val="00F66166"/>
    <w:rsid w:val="00F6655A"/>
    <w:rsid w:val="00F72F56"/>
    <w:rsid w:val="00F734FC"/>
    <w:rsid w:val="00F80186"/>
    <w:rsid w:val="00F82D5A"/>
    <w:rsid w:val="00F84D13"/>
    <w:rsid w:val="00F86544"/>
    <w:rsid w:val="00F87497"/>
    <w:rsid w:val="00F94E5C"/>
    <w:rsid w:val="00F97687"/>
    <w:rsid w:val="00FA525B"/>
    <w:rsid w:val="00FA7085"/>
    <w:rsid w:val="00FB2E0C"/>
    <w:rsid w:val="00FC28BA"/>
    <w:rsid w:val="00FD4747"/>
    <w:rsid w:val="00FD7883"/>
    <w:rsid w:val="00FE3C52"/>
    <w:rsid w:val="00FE75FE"/>
    <w:rsid w:val="00FF423C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D4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E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BC378F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qFormat/>
    <w:rsid w:val="00BC378F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BC378F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36695"/>
    <w:pPr>
      <w:spacing w:after="120" w:line="240" w:lineRule="exact"/>
      <w:ind w:left="1080" w:hanging="360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TitleContinued">
    <w:name w:val="Figure Title Continued"/>
    <w:basedOn w:val="FigureTitle"/>
    <w:qFormat/>
    <w:rsid w:val="00775802"/>
  </w:style>
  <w:style w:type="character" w:styleId="FollowedHyperlink">
    <w:name w:val="FollowedHyperlink"/>
    <w:rsid w:val="00682082"/>
    <w:rPr>
      <w:color w:val="6F57B5"/>
      <w:u w:val="none"/>
    </w:rPr>
  </w:style>
  <w:style w:type="paragraph" w:customStyle="1" w:styleId="paragraph">
    <w:name w:val="paragraph"/>
    <w:basedOn w:val="Normal"/>
    <w:rsid w:val="00BC378F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semiHidden/>
    <w:rsid w:val="00BC378F"/>
    <w:pPr>
      <w:widowControl w:val="0"/>
    </w:pPr>
    <w:rPr>
      <w:rFonts w:ascii="Courier New" w:hAnsi="Courier New" w:cs="Courier New"/>
    </w:rPr>
  </w:style>
  <w:style w:type="character" w:styleId="FootnoteReference">
    <w:name w:val="footnote reference"/>
    <w:rsid w:val="00176584"/>
    <w:rPr>
      <w:rFonts w:ascii="Times New Roman" w:hAnsi="Times New Roman" w:cs="Courier New"/>
      <w:color w:val="auto"/>
      <w:sz w:val="24"/>
      <w:szCs w:val="24"/>
    </w:rPr>
  </w:style>
  <w:style w:type="paragraph" w:customStyle="1" w:styleId="heading10">
    <w:name w:val="heading1"/>
    <w:basedOn w:val="Normal"/>
    <w:next w:val="Normal"/>
    <w:semiHidden/>
    <w:rsid w:val="00BC378F"/>
    <w:pPr>
      <w:spacing w:before="120" w:after="120"/>
    </w:pPr>
    <w:rPr>
      <w:b/>
      <w:bCs/>
      <w:sz w:val="22"/>
      <w:szCs w:val="22"/>
    </w:rPr>
  </w:style>
  <w:style w:type="paragraph" w:customStyle="1" w:styleId="heading20">
    <w:name w:val="heading2"/>
    <w:basedOn w:val="Heading3"/>
    <w:next w:val="Normal"/>
    <w:semiHidden/>
    <w:rsid w:val="00BC378F"/>
    <w:pPr>
      <w:spacing w:before="120"/>
    </w:pPr>
    <w:rPr>
      <w:rFonts w:cs="Times New Roman"/>
    </w:rPr>
  </w:style>
  <w:style w:type="paragraph" w:styleId="BalloonText">
    <w:name w:val="Balloon Text"/>
    <w:basedOn w:val="Normal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rsid w:val="00BC378F"/>
    <w:rPr>
      <w:rFonts w:ascii="Times New Roman" w:hAnsi="Times New Roman"/>
      <w:sz w:val="24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semiHidden/>
    <w:rsid w:val="00BC378F"/>
    <w:rPr>
      <w:vertAlign w:val="superscript"/>
    </w:rPr>
  </w:style>
  <w:style w:type="paragraph" w:styleId="Title">
    <w:name w:val="Title"/>
    <w:basedOn w:val="Normal"/>
    <w:qFormat/>
    <w:rsid w:val="00BC378F"/>
    <w:pPr>
      <w:ind w:left="-270"/>
      <w:jc w:val="center"/>
    </w:pPr>
    <w:rPr>
      <w:b/>
      <w:bCs/>
    </w:rPr>
  </w:style>
  <w:style w:type="paragraph" w:customStyle="1" w:styleId="Level1">
    <w:name w:val="Level 1"/>
    <w:basedOn w:val="Normal"/>
    <w:rsid w:val="00BC378F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071E0F"/>
    <w:rPr>
      <w:color w:val="3333FF"/>
      <w:u w:val="none"/>
    </w:rPr>
  </w:style>
  <w:style w:type="paragraph" w:customStyle="1" w:styleId="bibliogrpahy">
    <w:name w:val="bibliogrpahy"/>
    <w:rsid w:val="00BC378F"/>
    <w:pPr>
      <w:spacing w:after="110"/>
      <w:ind w:left="720" w:hanging="720"/>
    </w:pPr>
    <w:rPr>
      <w:sz w:val="24"/>
      <w:szCs w:val="24"/>
    </w:rPr>
  </w:style>
  <w:style w:type="paragraph" w:styleId="E-mailSignature">
    <w:name w:val="E-mail Signature"/>
    <w:basedOn w:val="Normal"/>
    <w:rsid w:val="00BC378F"/>
  </w:style>
  <w:style w:type="paragraph" w:customStyle="1" w:styleId="footnotetex">
    <w:name w:val="footnote tex"/>
    <w:rsid w:val="00BC378F"/>
    <w:pPr>
      <w:autoSpaceDE w:val="0"/>
      <w:autoSpaceDN w:val="0"/>
      <w:adjustRightInd w:val="0"/>
    </w:pPr>
  </w:style>
  <w:style w:type="paragraph" w:styleId="NormalWeb">
    <w:name w:val="Normal (Web)"/>
    <w:basedOn w:val="Normal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BC378F"/>
    <w:rPr>
      <w:b/>
      <w:bCs/>
    </w:rPr>
  </w:style>
  <w:style w:type="character" w:styleId="Emphasis">
    <w:name w:val="Emphasis"/>
    <w:qFormat/>
    <w:rsid w:val="00BC378F"/>
    <w:rPr>
      <w:i/>
      <w:iCs/>
    </w:rPr>
  </w:style>
  <w:style w:type="paragraph" w:styleId="HTMLPreformatted">
    <w:name w:val="HTML Preformatted"/>
    <w:basedOn w:val="Normal"/>
    <w:semiHidden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BC378F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customStyle="1" w:styleId="BodyText1">
    <w:name w:val="Body Text1"/>
    <w:basedOn w:val="Normal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BC378F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l4 Char Char,l4 Char1"/>
    <w:rsid w:val="00495ADF"/>
    <w:rPr>
      <w:i/>
      <w:noProof w:val="0"/>
      <w:sz w:val="24"/>
      <w:lang w:val="en-US" w:eastAsia="en-US" w:bidi="ar-SA"/>
    </w:r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semiHidden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character" w:customStyle="1" w:styleId="Heading7Char">
    <w:name w:val="Heading 7 Char"/>
    <w:semiHidden/>
    <w:rsid w:val="00495ADF"/>
    <w:rPr>
      <w:b/>
      <w:noProof w:val="0"/>
      <w:snapToGrid w:val="0"/>
      <w:sz w:val="24"/>
      <w:u w:val="single"/>
      <w:lang w:val="en-US" w:eastAsia="en-US" w:bidi="ar-SA"/>
    </w:rPr>
  </w:style>
  <w:style w:type="paragraph" w:styleId="TOC5">
    <w:name w:val="toc 5"/>
    <w:basedOn w:val="Normal"/>
    <w:next w:val="Normal"/>
    <w:uiPriority w:val="3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F72F56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495ADF"/>
    <w:pPr>
      <w:numPr>
        <w:numId w:val="1"/>
      </w:numPr>
      <w:tabs>
        <w:tab w:val="left" w:pos="720"/>
      </w:tabs>
    </w:pPr>
    <w:rPr>
      <w:szCs w:val="20"/>
    </w:r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FigureTitle">
    <w:name w:val="Figure Title"/>
    <w:basedOn w:val="Normal"/>
    <w:rsid w:val="00736695"/>
    <w:pPr>
      <w:keepNext/>
      <w:keepLines/>
      <w:spacing w:before="240" w:after="240"/>
    </w:pPr>
    <w:rPr>
      <w:b/>
      <w:szCs w:val="20"/>
    </w:rPr>
  </w:style>
  <w:style w:type="character" w:styleId="CommentReference">
    <w:name w:val="annotation reference"/>
    <w:uiPriority w:val="99"/>
    <w:rsid w:val="006F4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4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2BC"/>
  </w:style>
  <w:style w:type="paragraph" w:customStyle="1" w:styleId="NoSpacing1">
    <w:name w:val="No Spacing1"/>
    <w:basedOn w:val="Normal"/>
    <w:link w:val="NoSpacingChar"/>
    <w:uiPriority w:val="1"/>
    <w:qFormat/>
    <w:rsid w:val="00F46FE6"/>
    <w:pPr>
      <w:ind w:left="720" w:hanging="360"/>
    </w:pPr>
    <w:rPr>
      <w:rFonts w:ascii="Calibri" w:eastAsia="Calibri" w:hAnsi="Calibri"/>
      <w:sz w:val="20"/>
      <w:szCs w:val="20"/>
      <w:lang w:bidi="en-US"/>
    </w:rPr>
  </w:style>
  <w:style w:type="character" w:customStyle="1" w:styleId="NoSpacingChar">
    <w:name w:val="No Spacing Char"/>
    <w:link w:val="NoSpacing1"/>
    <w:uiPriority w:val="1"/>
    <w:rsid w:val="00F46FE6"/>
    <w:rPr>
      <w:rFonts w:ascii="Calibri" w:eastAsia="Calibri" w:hAnsi="Calibr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rsid w:val="00D87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7B94"/>
    <w:rPr>
      <w:b/>
      <w:bCs/>
    </w:rPr>
  </w:style>
  <w:style w:type="paragraph" w:styleId="Revision">
    <w:name w:val="Revision"/>
    <w:hidden/>
    <w:uiPriority w:val="99"/>
    <w:semiHidden/>
    <w:rsid w:val="00D87B94"/>
    <w:rPr>
      <w:sz w:val="24"/>
      <w:szCs w:val="24"/>
    </w:rPr>
  </w:style>
  <w:style w:type="paragraph" w:customStyle="1" w:styleId="BodyText2">
    <w:name w:val="Body Text2"/>
    <w:basedOn w:val="Normal"/>
    <w:rsid w:val="00D539AF"/>
    <w:pPr>
      <w:spacing w:after="120" w:line="360" w:lineRule="auto"/>
      <w:ind w:firstLine="720"/>
    </w:pPr>
    <w:rPr>
      <w:szCs w:val="20"/>
    </w:rPr>
  </w:style>
  <w:style w:type="paragraph" w:styleId="ListParagraph">
    <w:name w:val="List Paragraph"/>
    <w:basedOn w:val="Normal"/>
    <w:uiPriority w:val="34"/>
    <w:qFormat/>
    <w:rsid w:val="009B6D5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bleText">
    <w:name w:val="Table Text"/>
    <w:basedOn w:val="Normal"/>
    <w:qFormat/>
    <w:rsid w:val="009B6D5C"/>
    <w:pPr>
      <w:spacing w:before="60" w:after="60"/>
    </w:pPr>
    <w:rPr>
      <w:rFonts w:ascii="Verdana" w:eastAsia="MS Mincho" w:hAnsi="Verdana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E2DC6"/>
  </w:style>
  <w:style w:type="character" w:customStyle="1" w:styleId="Heading1Char">
    <w:name w:val="Heading 1 Char"/>
    <w:link w:val="Heading1"/>
    <w:rsid w:val="00262CE5"/>
    <w:rPr>
      <w:rFonts w:ascii="Times New Roman Bold" w:hAnsi="Times New Roman Bold"/>
      <w:b/>
      <w:bCs/>
      <w:cap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5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E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BC378F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qFormat/>
    <w:rsid w:val="00BC378F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BC378F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736695"/>
    <w:pPr>
      <w:spacing w:after="120" w:line="240" w:lineRule="exact"/>
      <w:ind w:left="1080" w:hanging="360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TitleContinued">
    <w:name w:val="Figure Title Continued"/>
    <w:basedOn w:val="FigureTitle"/>
    <w:qFormat/>
    <w:rsid w:val="00775802"/>
  </w:style>
  <w:style w:type="character" w:styleId="FollowedHyperlink">
    <w:name w:val="FollowedHyperlink"/>
    <w:rsid w:val="00682082"/>
    <w:rPr>
      <w:color w:val="6F57B5"/>
      <w:u w:val="none"/>
    </w:rPr>
  </w:style>
  <w:style w:type="paragraph" w:customStyle="1" w:styleId="paragraph">
    <w:name w:val="paragraph"/>
    <w:basedOn w:val="Normal"/>
    <w:rsid w:val="00BC378F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semiHidden/>
    <w:rsid w:val="00BC378F"/>
    <w:pPr>
      <w:widowControl w:val="0"/>
    </w:pPr>
    <w:rPr>
      <w:rFonts w:ascii="Courier New" w:hAnsi="Courier New" w:cs="Courier New"/>
    </w:rPr>
  </w:style>
  <w:style w:type="character" w:styleId="FootnoteReference">
    <w:name w:val="footnote reference"/>
    <w:rsid w:val="00176584"/>
    <w:rPr>
      <w:rFonts w:ascii="Times New Roman" w:hAnsi="Times New Roman" w:cs="Courier New"/>
      <w:color w:val="auto"/>
      <w:sz w:val="24"/>
      <w:szCs w:val="24"/>
    </w:rPr>
  </w:style>
  <w:style w:type="paragraph" w:customStyle="1" w:styleId="heading10">
    <w:name w:val="heading1"/>
    <w:basedOn w:val="Normal"/>
    <w:next w:val="Normal"/>
    <w:semiHidden/>
    <w:rsid w:val="00BC378F"/>
    <w:pPr>
      <w:spacing w:before="120" w:after="120"/>
    </w:pPr>
    <w:rPr>
      <w:b/>
      <w:bCs/>
      <w:sz w:val="22"/>
      <w:szCs w:val="22"/>
    </w:rPr>
  </w:style>
  <w:style w:type="paragraph" w:customStyle="1" w:styleId="heading20">
    <w:name w:val="heading2"/>
    <w:basedOn w:val="Heading3"/>
    <w:next w:val="Normal"/>
    <w:semiHidden/>
    <w:rsid w:val="00BC378F"/>
    <w:pPr>
      <w:spacing w:before="120"/>
    </w:pPr>
    <w:rPr>
      <w:rFonts w:cs="Times New Roman"/>
    </w:rPr>
  </w:style>
  <w:style w:type="paragraph" w:styleId="BalloonText">
    <w:name w:val="Balloon Text"/>
    <w:basedOn w:val="Normal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rsid w:val="00BC378F"/>
    <w:rPr>
      <w:rFonts w:ascii="Times New Roman" w:hAnsi="Times New Roman"/>
      <w:sz w:val="24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semiHidden/>
    <w:rsid w:val="00BC378F"/>
    <w:rPr>
      <w:vertAlign w:val="superscript"/>
    </w:rPr>
  </w:style>
  <w:style w:type="paragraph" w:styleId="Title">
    <w:name w:val="Title"/>
    <w:basedOn w:val="Normal"/>
    <w:qFormat/>
    <w:rsid w:val="00BC378F"/>
    <w:pPr>
      <w:ind w:left="-270"/>
      <w:jc w:val="center"/>
    </w:pPr>
    <w:rPr>
      <w:b/>
      <w:bCs/>
    </w:rPr>
  </w:style>
  <w:style w:type="paragraph" w:customStyle="1" w:styleId="Level1">
    <w:name w:val="Level 1"/>
    <w:basedOn w:val="Normal"/>
    <w:rsid w:val="00BC378F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071E0F"/>
    <w:rPr>
      <w:color w:val="3333FF"/>
      <w:u w:val="none"/>
    </w:rPr>
  </w:style>
  <w:style w:type="paragraph" w:customStyle="1" w:styleId="bibliogrpahy">
    <w:name w:val="bibliogrpahy"/>
    <w:rsid w:val="00BC378F"/>
    <w:pPr>
      <w:spacing w:after="110"/>
      <w:ind w:left="720" w:hanging="720"/>
    </w:pPr>
    <w:rPr>
      <w:sz w:val="24"/>
      <w:szCs w:val="24"/>
    </w:rPr>
  </w:style>
  <w:style w:type="paragraph" w:styleId="E-mailSignature">
    <w:name w:val="E-mail Signature"/>
    <w:basedOn w:val="Normal"/>
    <w:rsid w:val="00BC378F"/>
  </w:style>
  <w:style w:type="paragraph" w:customStyle="1" w:styleId="footnotetex">
    <w:name w:val="footnote tex"/>
    <w:rsid w:val="00BC378F"/>
    <w:pPr>
      <w:autoSpaceDE w:val="0"/>
      <w:autoSpaceDN w:val="0"/>
      <w:adjustRightInd w:val="0"/>
    </w:pPr>
  </w:style>
  <w:style w:type="paragraph" w:styleId="NormalWeb">
    <w:name w:val="Normal (Web)"/>
    <w:basedOn w:val="Normal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BC378F"/>
    <w:rPr>
      <w:b/>
      <w:bCs/>
    </w:rPr>
  </w:style>
  <w:style w:type="character" w:styleId="Emphasis">
    <w:name w:val="Emphasis"/>
    <w:qFormat/>
    <w:rsid w:val="00BC378F"/>
    <w:rPr>
      <w:i/>
      <w:iCs/>
    </w:rPr>
  </w:style>
  <w:style w:type="paragraph" w:styleId="HTMLPreformatted">
    <w:name w:val="HTML Preformatted"/>
    <w:basedOn w:val="Normal"/>
    <w:semiHidden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BC378F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customStyle="1" w:styleId="BodyText1">
    <w:name w:val="Body Text1"/>
    <w:basedOn w:val="Normal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BC378F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l4 Char Char,l4 Char1"/>
    <w:rsid w:val="00495ADF"/>
    <w:rPr>
      <w:i/>
      <w:noProof w:val="0"/>
      <w:sz w:val="24"/>
      <w:lang w:val="en-US" w:eastAsia="en-US" w:bidi="ar-SA"/>
    </w:r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semiHidden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character" w:customStyle="1" w:styleId="Heading7Char">
    <w:name w:val="Heading 7 Char"/>
    <w:semiHidden/>
    <w:rsid w:val="00495ADF"/>
    <w:rPr>
      <w:b/>
      <w:noProof w:val="0"/>
      <w:snapToGrid w:val="0"/>
      <w:sz w:val="24"/>
      <w:u w:val="single"/>
      <w:lang w:val="en-US" w:eastAsia="en-US" w:bidi="ar-SA"/>
    </w:rPr>
  </w:style>
  <w:style w:type="paragraph" w:styleId="TOC5">
    <w:name w:val="toc 5"/>
    <w:basedOn w:val="Normal"/>
    <w:next w:val="Normal"/>
    <w:uiPriority w:val="3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F72F56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495ADF"/>
    <w:pPr>
      <w:numPr>
        <w:numId w:val="1"/>
      </w:numPr>
      <w:tabs>
        <w:tab w:val="left" w:pos="720"/>
      </w:tabs>
    </w:pPr>
    <w:rPr>
      <w:szCs w:val="20"/>
    </w:r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FigureTitle">
    <w:name w:val="Figure Title"/>
    <w:basedOn w:val="Normal"/>
    <w:rsid w:val="00736695"/>
    <w:pPr>
      <w:keepNext/>
      <w:keepLines/>
      <w:spacing w:before="240" w:after="240"/>
    </w:pPr>
    <w:rPr>
      <w:b/>
      <w:szCs w:val="20"/>
    </w:rPr>
  </w:style>
  <w:style w:type="character" w:styleId="CommentReference">
    <w:name w:val="annotation reference"/>
    <w:uiPriority w:val="99"/>
    <w:rsid w:val="006F4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4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2BC"/>
  </w:style>
  <w:style w:type="paragraph" w:customStyle="1" w:styleId="NoSpacing1">
    <w:name w:val="No Spacing1"/>
    <w:basedOn w:val="Normal"/>
    <w:link w:val="NoSpacingChar"/>
    <w:uiPriority w:val="1"/>
    <w:qFormat/>
    <w:rsid w:val="00F46FE6"/>
    <w:pPr>
      <w:ind w:left="720" w:hanging="360"/>
    </w:pPr>
    <w:rPr>
      <w:rFonts w:ascii="Calibri" w:eastAsia="Calibri" w:hAnsi="Calibri"/>
      <w:sz w:val="20"/>
      <w:szCs w:val="20"/>
      <w:lang w:bidi="en-US"/>
    </w:rPr>
  </w:style>
  <w:style w:type="character" w:customStyle="1" w:styleId="NoSpacingChar">
    <w:name w:val="No Spacing Char"/>
    <w:link w:val="NoSpacing1"/>
    <w:uiPriority w:val="1"/>
    <w:rsid w:val="00F46FE6"/>
    <w:rPr>
      <w:rFonts w:ascii="Calibri" w:eastAsia="Calibri" w:hAnsi="Calibr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rsid w:val="00D87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7B94"/>
    <w:rPr>
      <w:b/>
      <w:bCs/>
    </w:rPr>
  </w:style>
  <w:style w:type="paragraph" w:styleId="Revision">
    <w:name w:val="Revision"/>
    <w:hidden/>
    <w:uiPriority w:val="99"/>
    <w:semiHidden/>
    <w:rsid w:val="00D87B94"/>
    <w:rPr>
      <w:sz w:val="24"/>
      <w:szCs w:val="24"/>
    </w:rPr>
  </w:style>
  <w:style w:type="paragraph" w:customStyle="1" w:styleId="BodyText2">
    <w:name w:val="Body Text2"/>
    <w:basedOn w:val="Normal"/>
    <w:rsid w:val="00D539AF"/>
    <w:pPr>
      <w:spacing w:after="120" w:line="360" w:lineRule="auto"/>
      <w:ind w:firstLine="720"/>
    </w:pPr>
    <w:rPr>
      <w:szCs w:val="20"/>
    </w:rPr>
  </w:style>
  <w:style w:type="paragraph" w:styleId="ListParagraph">
    <w:name w:val="List Paragraph"/>
    <w:basedOn w:val="Normal"/>
    <w:uiPriority w:val="34"/>
    <w:qFormat/>
    <w:rsid w:val="009B6D5C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ableText">
    <w:name w:val="Table Text"/>
    <w:basedOn w:val="Normal"/>
    <w:qFormat/>
    <w:rsid w:val="009B6D5C"/>
    <w:pPr>
      <w:spacing w:before="60" w:after="60"/>
    </w:pPr>
    <w:rPr>
      <w:rFonts w:ascii="Verdana" w:eastAsia="MS Mincho" w:hAnsi="Verdana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E2DC6"/>
  </w:style>
  <w:style w:type="character" w:customStyle="1" w:styleId="Heading1Char">
    <w:name w:val="Heading 1 Char"/>
    <w:link w:val="Heading1"/>
    <w:rsid w:val="00262CE5"/>
    <w:rPr>
      <w:rFonts w:ascii="Times New Roman Bold" w:hAnsi="Times New Roman Bold"/>
      <w:b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q6@cdc.gov" TargetMode="External"/><Relationship Id="rId13" Type="http://schemas.openxmlformats.org/officeDocument/2006/relationships/hyperlink" Target="mailto:CancerSurvivorshipSurvey@rti.org" TargetMode="Externa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mailto:tnl4@cdc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csoloe@rti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arena@rti.org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nsarris@rt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SG\Templates\Reports\2_Client_Templates\OMB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OMB Template</Template>
  <TotalTime>0</TotalTime>
  <Pages>3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12359</CharactersWithSpaces>
  <SharedDoc>false</SharedDoc>
  <HLinks>
    <vt:vector size="240" baseType="variant">
      <vt:variant>
        <vt:i4>1638453</vt:i4>
      </vt:variant>
      <vt:variant>
        <vt:i4>238</vt:i4>
      </vt:variant>
      <vt:variant>
        <vt:i4>0</vt:i4>
      </vt:variant>
      <vt:variant>
        <vt:i4>5</vt:i4>
      </vt:variant>
      <vt:variant>
        <vt:lpwstr/>
      </vt:variant>
      <vt:variant>
        <vt:lpwstr>_Toc88277988</vt:lpwstr>
      </vt:variant>
      <vt:variant>
        <vt:i4>1441845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_Toc88277987</vt:lpwstr>
      </vt:variant>
      <vt:variant>
        <vt:i4>1507381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_Toc88277986</vt:lpwstr>
      </vt:variant>
      <vt:variant>
        <vt:i4>1310773</vt:i4>
      </vt:variant>
      <vt:variant>
        <vt:i4>220</vt:i4>
      </vt:variant>
      <vt:variant>
        <vt:i4>0</vt:i4>
      </vt:variant>
      <vt:variant>
        <vt:i4>5</vt:i4>
      </vt:variant>
      <vt:variant>
        <vt:lpwstr/>
      </vt:variant>
      <vt:variant>
        <vt:lpwstr>_Toc88277985</vt:lpwstr>
      </vt:variant>
      <vt:variant>
        <vt:i4>1376309</vt:i4>
      </vt:variant>
      <vt:variant>
        <vt:i4>214</vt:i4>
      </vt:variant>
      <vt:variant>
        <vt:i4>0</vt:i4>
      </vt:variant>
      <vt:variant>
        <vt:i4>5</vt:i4>
      </vt:variant>
      <vt:variant>
        <vt:lpwstr/>
      </vt:variant>
      <vt:variant>
        <vt:lpwstr>_Toc88277984</vt:lpwstr>
      </vt:variant>
      <vt:variant>
        <vt:i4>1179701</vt:i4>
      </vt:variant>
      <vt:variant>
        <vt:i4>208</vt:i4>
      </vt:variant>
      <vt:variant>
        <vt:i4>0</vt:i4>
      </vt:variant>
      <vt:variant>
        <vt:i4>5</vt:i4>
      </vt:variant>
      <vt:variant>
        <vt:lpwstr/>
      </vt:variant>
      <vt:variant>
        <vt:lpwstr>_Toc88277983</vt:lpwstr>
      </vt:variant>
      <vt:variant>
        <vt:i4>1245237</vt:i4>
      </vt:variant>
      <vt:variant>
        <vt:i4>202</vt:i4>
      </vt:variant>
      <vt:variant>
        <vt:i4>0</vt:i4>
      </vt:variant>
      <vt:variant>
        <vt:i4>5</vt:i4>
      </vt:variant>
      <vt:variant>
        <vt:lpwstr/>
      </vt:variant>
      <vt:variant>
        <vt:lpwstr>_Toc88277982</vt:lpwstr>
      </vt:variant>
      <vt:variant>
        <vt:i4>1048629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_Toc88277981</vt:lpwstr>
      </vt:variant>
      <vt:variant>
        <vt:i4>1114165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_Toc88277980</vt:lpwstr>
      </vt:variant>
      <vt:variant>
        <vt:i4>1572922</vt:i4>
      </vt:variant>
      <vt:variant>
        <vt:i4>184</vt:i4>
      </vt:variant>
      <vt:variant>
        <vt:i4>0</vt:i4>
      </vt:variant>
      <vt:variant>
        <vt:i4>5</vt:i4>
      </vt:variant>
      <vt:variant>
        <vt:lpwstr/>
      </vt:variant>
      <vt:variant>
        <vt:lpwstr>_Toc88277979</vt:lpwstr>
      </vt:variant>
      <vt:variant>
        <vt:i4>1638458</vt:i4>
      </vt:variant>
      <vt:variant>
        <vt:i4>178</vt:i4>
      </vt:variant>
      <vt:variant>
        <vt:i4>0</vt:i4>
      </vt:variant>
      <vt:variant>
        <vt:i4>5</vt:i4>
      </vt:variant>
      <vt:variant>
        <vt:lpwstr/>
      </vt:variant>
      <vt:variant>
        <vt:lpwstr>_Toc88277978</vt:lpwstr>
      </vt:variant>
      <vt:variant>
        <vt:i4>1441850</vt:i4>
      </vt:variant>
      <vt:variant>
        <vt:i4>172</vt:i4>
      </vt:variant>
      <vt:variant>
        <vt:i4>0</vt:i4>
      </vt:variant>
      <vt:variant>
        <vt:i4>5</vt:i4>
      </vt:variant>
      <vt:variant>
        <vt:lpwstr/>
      </vt:variant>
      <vt:variant>
        <vt:lpwstr>_Toc88277977</vt:lpwstr>
      </vt:variant>
      <vt:variant>
        <vt:i4>1507386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_Toc88277976</vt:lpwstr>
      </vt:variant>
      <vt:variant>
        <vt:i4>1310778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_Toc88277975</vt:lpwstr>
      </vt:variant>
      <vt:variant>
        <vt:i4>1376314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_Toc88277974</vt:lpwstr>
      </vt:variant>
      <vt:variant>
        <vt:i4>1179706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_Toc88277973</vt:lpwstr>
      </vt:variant>
      <vt:variant>
        <vt:i4>1245242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_Toc88277972</vt:lpwstr>
      </vt:variant>
      <vt:variant>
        <vt:i4>1048634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_Toc88277971</vt:lpwstr>
      </vt:variant>
      <vt:variant>
        <vt:i4>1114170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_Toc88277970</vt:lpwstr>
      </vt:variant>
      <vt:variant>
        <vt:i4>1572923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_Toc88277969</vt:lpwstr>
      </vt:variant>
      <vt:variant>
        <vt:i4>1638459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_Toc88277968</vt:lpwstr>
      </vt:variant>
      <vt:variant>
        <vt:i4>1441851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_Toc88277967</vt:lpwstr>
      </vt:variant>
      <vt:variant>
        <vt:i4>1507387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_Toc88277966</vt:lpwstr>
      </vt:variant>
      <vt:variant>
        <vt:i4>1310779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_Toc88277965</vt:lpwstr>
      </vt:variant>
      <vt:variant>
        <vt:i4>1376315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_Toc88277964</vt:lpwstr>
      </vt:variant>
      <vt:variant>
        <vt:i4>1179707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_Toc88277963</vt:lpwstr>
      </vt:variant>
      <vt:variant>
        <vt:i4>1245243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_Toc88277962</vt:lpwstr>
      </vt:variant>
      <vt:variant>
        <vt:i4>1048635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_Toc88277961</vt:lpwstr>
      </vt:variant>
      <vt:variant>
        <vt:i4>1114171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_Toc88277960</vt:lpwstr>
      </vt:variant>
      <vt:variant>
        <vt:i4>1572920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_Toc88277959</vt:lpwstr>
      </vt:variant>
      <vt:variant>
        <vt:i4>1638456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_Toc88277958</vt:lpwstr>
      </vt:variant>
      <vt:variant>
        <vt:i4>1441848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_Toc88277957</vt:lpwstr>
      </vt:variant>
      <vt:variant>
        <vt:i4>1507384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_Toc88277956</vt:lpwstr>
      </vt:variant>
      <vt:variant>
        <vt:i4>1310776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_Toc88277955</vt:lpwstr>
      </vt:variant>
      <vt:variant>
        <vt:i4>1376312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_Toc88277954</vt:lpwstr>
      </vt:variant>
      <vt:variant>
        <vt:i4>1179704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_Toc88277953</vt:lpwstr>
      </vt:variant>
      <vt:variant>
        <vt:i4>1245240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_Toc88277952</vt:lpwstr>
      </vt:variant>
      <vt:variant>
        <vt:i4>1048632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_Toc88277951</vt:lpwstr>
      </vt:variant>
      <vt:variant>
        <vt:i4>1114168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_Toc88277950</vt:lpwstr>
      </vt:variant>
      <vt:variant>
        <vt:i4>1572921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_Toc88277949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SYSTEM</cp:lastModifiedBy>
  <cp:revision>2</cp:revision>
  <cp:lastPrinted>2017-02-24T15:26:00Z</cp:lastPrinted>
  <dcterms:created xsi:type="dcterms:W3CDTF">2018-11-01T14:52:00Z</dcterms:created>
  <dcterms:modified xsi:type="dcterms:W3CDTF">2018-11-01T14:52:00Z</dcterms:modified>
</cp:coreProperties>
</file>