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37B4" w14:textId="77777777" w:rsidR="00842032" w:rsidRDefault="00842032" w:rsidP="007C36F3">
      <w:pPr>
        <w:spacing w:line="360" w:lineRule="auto"/>
        <w:jc w:val="center"/>
        <w:rPr>
          <w:b/>
        </w:rPr>
      </w:pPr>
      <w:bookmarkStart w:id="0" w:name="_GoBack"/>
      <w:bookmarkEnd w:id="0"/>
    </w:p>
    <w:p w14:paraId="0617C7A4" w14:textId="77777777" w:rsidR="00842032" w:rsidRDefault="00842032" w:rsidP="007C36F3">
      <w:pPr>
        <w:spacing w:line="360" w:lineRule="auto"/>
        <w:jc w:val="center"/>
        <w:rPr>
          <w:b/>
        </w:rPr>
      </w:pPr>
    </w:p>
    <w:p w14:paraId="59528A7C" w14:textId="77777777" w:rsidR="00D43F13" w:rsidRPr="007C36F3" w:rsidRDefault="00C84CF5" w:rsidP="007C36F3">
      <w:pPr>
        <w:spacing w:line="360" w:lineRule="auto"/>
        <w:jc w:val="center"/>
        <w:rPr>
          <w:b/>
        </w:rPr>
      </w:pPr>
      <w:r>
        <w:rPr>
          <w:b/>
        </w:rPr>
        <w:t xml:space="preserve">Information Collection Request </w:t>
      </w:r>
    </w:p>
    <w:p w14:paraId="4E97A1D2" w14:textId="77777777" w:rsidR="00A540C1" w:rsidRPr="007C36F3" w:rsidRDefault="00C84CF5" w:rsidP="007C36F3">
      <w:pPr>
        <w:spacing w:line="360" w:lineRule="auto"/>
        <w:jc w:val="center"/>
        <w:rPr>
          <w:b/>
        </w:rPr>
      </w:pPr>
      <w:r>
        <w:rPr>
          <w:b/>
        </w:rPr>
        <w:t>New</w:t>
      </w:r>
    </w:p>
    <w:p w14:paraId="2A27C8E9" w14:textId="77777777" w:rsidR="00D43F13" w:rsidRDefault="006F5CE5" w:rsidP="007C36F3">
      <w:pPr>
        <w:spacing w:line="360" w:lineRule="auto"/>
        <w:jc w:val="center"/>
        <w:rPr>
          <w:b/>
        </w:rPr>
      </w:pPr>
      <w:r>
        <w:rPr>
          <w:b/>
        </w:rPr>
        <w:t>Assessment</w:t>
      </w:r>
      <w:r w:rsidR="00FE1C04" w:rsidRPr="00FE1C04">
        <w:rPr>
          <w:b/>
        </w:rPr>
        <w:t xml:space="preserve"> of the Cancer Survivorship Demonstration Project</w:t>
      </w:r>
    </w:p>
    <w:p w14:paraId="53536165" w14:textId="77777777" w:rsidR="00C84CF5" w:rsidRDefault="00C84CF5" w:rsidP="007C36F3">
      <w:pPr>
        <w:spacing w:line="360" w:lineRule="auto"/>
        <w:jc w:val="center"/>
        <w:rPr>
          <w:b/>
        </w:rPr>
      </w:pPr>
    </w:p>
    <w:p w14:paraId="40CC35DC" w14:textId="77777777" w:rsidR="00C84CF5" w:rsidRPr="00FE1C04" w:rsidRDefault="00C84CF5" w:rsidP="007C36F3">
      <w:pPr>
        <w:spacing w:line="360" w:lineRule="auto"/>
        <w:jc w:val="center"/>
        <w:rPr>
          <w:b/>
        </w:rPr>
      </w:pPr>
      <w:r>
        <w:rPr>
          <w:b/>
        </w:rPr>
        <w:t>Supporting Statement: Part A</w:t>
      </w:r>
    </w:p>
    <w:p w14:paraId="753B0E6A" w14:textId="77777777" w:rsidR="00162E9D" w:rsidRPr="007C36F3" w:rsidRDefault="00162E9D" w:rsidP="00F41479">
      <w:pPr>
        <w:jc w:val="center"/>
        <w:rPr>
          <w:color w:val="000000"/>
        </w:rPr>
      </w:pPr>
    </w:p>
    <w:p w14:paraId="75A4DC02" w14:textId="77777777" w:rsidR="00162E9D" w:rsidRPr="007C36F3" w:rsidRDefault="00162E9D" w:rsidP="00F41479">
      <w:pPr>
        <w:jc w:val="center"/>
        <w:rPr>
          <w:color w:val="000000"/>
        </w:rPr>
      </w:pPr>
    </w:p>
    <w:p w14:paraId="50994152" w14:textId="77777777" w:rsidR="00A540C1" w:rsidRPr="007C36F3" w:rsidRDefault="00A540C1" w:rsidP="00F41479">
      <w:pPr>
        <w:jc w:val="center"/>
        <w:rPr>
          <w:color w:val="000000"/>
        </w:rPr>
      </w:pPr>
    </w:p>
    <w:p w14:paraId="226BC5BA" w14:textId="77777777" w:rsidR="00A540C1" w:rsidRPr="007C36F3" w:rsidRDefault="00A540C1" w:rsidP="00F41479">
      <w:pPr>
        <w:jc w:val="center"/>
        <w:rPr>
          <w:color w:val="000000"/>
        </w:rPr>
      </w:pPr>
    </w:p>
    <w:p w14:paraId="1B8D295E" w14:textId="77777777" w:rsidR="00A540C1" w:rsidRPr="007C36F3" w:rsidRDefault="00A540C1" w:rsidP="00F41479">
      <w:pPr>
        <w:jc w:val="center"/>
        <w:rPr>
          <w:color w:val="000000"/>
        </w:rPr>
      </w:pPr>
    </w:p>
    <w:p w14:paraId="1178C8DA" w14:textId="77777777" w:rsidR="00A540C1" w:rsidRPr="007C36F3" w:rsidRDefault="00A540C1" w:rsidP="00F41479">
      <w:pPr>
        <w:jc w:val="center"/>
        <w:rPr>
          <w:color w:val="000000"/>
        </w:rPr>
      </w:pPr>
    </w:p>
    <w:p w14:paraId="61BE1488" w14:textId="77777777" w:rsidR="00A540C1" w:rsidRPr="007C36F3" w:rsidRDefault="00A540C1" w:rsidP="00F41479">
      <w:pPr>
        <w:jc w:val="center"/>
        <w:rPr>
          <w:color w:val="000000"/>
        </w:rPr>
      </w:pPr>
    </w:p>
    <w:p w14:paraId="54268E3B" w14:textId="77777777" w:rsidR="00A540C1" w:rsidRPr="007C36F3" w:rsidRDefault="00A540C1" w:rsidP="00F41479">
      <w:pPr>
        <w:jc w:val="center"/>
        <w:rPr>
          <w:color w:val="000000"/>
        </w:rPr>
      </w:pPr>
    </w:p>
    <w:p w14:paraId="662B4BB1" w14:textId="77777777" w:rsidR="00D43F13" w:rsidRPr="007C36F3" w:rsidRDefault="00D43F13" w:rsidP="00F41479">
      <w:pPr>
        <w:jc w:val="center"/>
        <w:rPr>
          <w:color w:val="000000"/>
        </w:rPr>
      </w:pPr>
    </w:p>
    <w:p w14:paraId="2603B279" w14:textId="77777777" w:rsidR="00A540C1" w:rsidRPr="00C84CF5" w:rsidRDefault="00A540C1" w:rsidP="00A540C1">
      <w:pPr>
        <w:spacing w:line="360" w:lineRule="auto"/>
        <w:jc w:val="center"/>
        <w:rPr>
          <w:b/>
          <w:u w:val="single"/>
        </w:rPr>
      </w:pPr>
      <w:r w:rsidRPr="00C84CF5">
        <w:rPr>
          <w:b/>
          <w:u w:val="single"/>
        </w:rPr>
        <w:t>P</w:t>
      </w:r>
      <w:r w:rsidR="00C84CF5" w:rsidRPr="00C84CF5">
        <w:rPr>
          <w:b/>
          <w:u w:val="single"/>
        </w:rPr>
        <w:t>rogram Official/Contact</w:t>
      </w:r>
    </w:p>
    <w:p w14:paraId="76E29862" w14:textId="77777777" w:rsidR="00A540C1" w:rsidRPr="007C36F3" w:rsidRDefault="00A540C1" w:rsidP="00A540C1">
      <w:pPr>
        <w:spacing w:line="360" w:lineRule="auto"/>
        <w:jc w:val="center"/>
      </w:pPr>
      <w:r w:rsidRPr="007C36F3">
        <w:t>Angela Moore, MPH</w:t>
      </w:r>
    </w:p>
    <w:p w14:paraId="6DFCCBEE" w14:textId="77777777" w:rsidR="00A540C1" w:rsidRPr="007C36F3" w:rsidRDefault="00A540C1" w:rsidP="00A540C1">
      <w:pPr>
        <w:spacing w:line="360" w:lineRule="auto"/>
        <w:jc w:val="center"/>
      </w:pPr>
      <w:r w:rsidRPr="007C36F3">
        <w:t>Lead Public Health Advisor</w:t>
      </w:r>
    </w:p>
    <w:p w14:paraId="16284BB2" w14:textId="77777777" w:rsidR="00A540C1" w:rsidRPr="007C36F3" w:rsidRDefault="00A540C1" w:rsidP="00A540C1">
      <w:pPr>
        <w:spacing w:line="360" w:lineRule="auto"/>
        <w:jc w:val="center"/>
      </w:pPr>
      <w:r w:rsidRPr="007C36F3">
        <w:t>Division of Cancer Prevention and Control</w:t>
      </w:r>
    </w:p>
    <w:p w14:paraId="22ECA43D" w14:textId="77777777" w:rsidR="00A540C1" w:rsidRPr="007C36F3" w:rsidRDefault="00A540C1" w:rsidP="00A540C1">
      <w:pPr>
        <w:spacing w:line="360" w:lineRule="auto"/>
        <w:jc w:val="center"/>
      </w:pPr>
      <w:r w:rsidRPr="007C36F3">
        <w:t>National Center for Chronic Disease Prevention and Health Promotion</w:t>
      </w:r>
    </w:p>
    <w:p w14:paraId="6B6570F4" w14:textId="77777777" w:rsidR="00A540C1" w:rsidRPr="007C36F3" w:rsidRDefault="00A540C1" w:rsidP="00A540C1">
      <w:pPr>
        <w:spacing w:line="360" w:lineRule="auto"/>
        <w:jc w:val="center"/>
      </w:pPr>
      <w:r w:rsidRPr="007C36F3">
        <w:t>Centers for Disease Control and Prevention</w:t>
      </w:r>
    </w:p>
    <w:p w14:paraId="2DAB34B5" w14:textId="77777777" w:rsidR="00A540C1" w:rsidRPr="007C36F3" w:rsidRDefault="00A540C1" w:rsidP="00A540C1">
      <w:pPr>
        <w:spacing w:line="360" w:lineRule="auto"/>
        <w:jc w:val="center"/>
      </w:pPr>
      <w:r w:rsidRPr="007C36F3">
        <w:t>Atlanta, GA 30341-3717</w:t>
      </w:r>
    </w:p>
    <w:p w14:paraId="1C11C52B" w14:textId="77777777" w:rsidR="00A540C1" w:rsidRPr="007C36F3" w:rsidRDefault="00A540C1" w:rsidP="00A540C1">
      <w:pPr>
        <w:spacing w:line="360" w:lineRule="auto"/>
        <w:jc w:val="center"/>
      </w:pPr>
      <w:r w:rsidRPr="007C36F3">
        <w:t>OFFICE: 770-488-3094</w:t>
      </w:r>
    </w:p>
    <w:p w14:paraId="70C5CC0C" w14:textId="77777777" w:rsidR="00C84CF5" w:rsidRDefault="00A540C1" w:rsidP="00A540C1">
      <w:pPr>
        <w:pStyle w:val="TOC0"/>
        <w:rPr>
          <w:b w:val="0"/>
          <w:sz w:val="24"/>
          <w:szCs w:val="24"/>
        </w:rPr>
      </w:pPr>
      <w:r w:rsidRPr="007C36F3">
        <w:rPr>
          <w:b w:val="0"/>
          <w:sz w:val="24"/>
          <w:szCs w:val="24"/>
        </w:rPr>
        <w:t>FAX: 770-488-4335</w:t>
      </w:r>
    </w:p>
    <w:p w14:paraId="6F31E8DC" w14:textId="77777777" w:rsidR="00AB0847" w:rsidRDefault="00CF56BE" w:rsidP="00A540C1">
      <w:pPr>
        <w:pStyle w:val="TOC0"/>
        <w:rPr>
          <w:b w:val="0"/>
          <w:sz w:val="24"/>
          <w:szCs w:val="24"/>
        </w:rPr>
      </w:pPr>
      <w:hyperlink r:id="rId8" w:history="1">
        <w:r w:rsidR="00AB0847" w:rsidRPr="00B51546">
          <w:rPr>
            <w:rStyle w:val="Hyperlink"/>
            <w:b w:val="0"/>
            <w:sz w:val="24"/>
            <w:szCs w:val="24"/>
          </w:rPr>
          <w:t>cyq6@cdc.gov</w:t>
        </w:r>
      </w:hyperlink>
    </w:p>
    <w:p w14:paraId="68BF2D8A" w14:textId="77777777" w:rsidR="00AB0847" w:rsidRDefault="00AB0847" w:rsidP="00A540C1">
      <w:pPr>
        <w:pStyle w:val="TOC0"/>
        <w:rPr>
          <w:b w:val="0"/>
          <w:sz w:val="24"/>
          <w:szCs w:val="24"/>
        </w:rPr>
      </w:pPr>
    </w:p>
    <w:p w14:paraId="0942FD73" w14:textId="77777777" w:rsidR="00C84CF5" w:rsidRDefault="00C84CF5" w:rsidP="00A540C1">
      <w:pPr>
        <w:pStyle w:val="TOC0"/>
        <w:rPr>
          <w:b w:val="0"/>
          <w:sz w:val="24"/>
          <w:szCs w:val="24"/>
        </w:rPr>
      </w:pPr>
    </w:p>
    <w:p w14:paraId="6A01D0FC" w14:textId="77777777" w:rsidR="00C84CF5" w:rsidRDefault="00C84CF5" w:rsidP="00A540C1">
      <w:pPr>
        <w:pStyle w:val="TOC0"/>
        <w:rPr>
          <w:b w:val="0"/>
          <w:sz w:val="24"/>
          <w:szCs w:val="24"/>
        </w:rPr>
      </w:pPr>
    </w:p>
    <w:p w14:paraId="62BB33D4" w14:textId="77777777" w:rsidR="00C84CF5" w:rsidRPr="00C84CF5" w:rsidRDefault="002E527B" w:rsidP="00C84CF5">
      <w:pPr>
        <w:spacing w:line="360" w:lineRule="auto"/>
        <w:jc w:val="center"/>
        <w:rPr>
          <w:b/>
        </w:rPr>
      </w:pPr>
      <w:r>
        <w:rPr>
          <w:b/>
        </w:rPr>
        <w:t>October 26, 2018</w:t>
      </w:r>
    </w:p>
    <w:p w14:paraId="42C03584" w14:textId="77777777" w:rsidR="00C84CF5" w:rsidRDefault="00C84CF5" w:rsidP="00A540C1">
      <w:pPr>
        <w:pStyle w:val="TOC0"/>
        <w:rPr>
          <w:b w:val="0"/>
          <w:sz w:val="24"/>
          <w:szCs w:val="24"/>
        </w:rPr>
      </w:pPr>
    </w:p>
    <w:p w14:paraId="62D1D933" w14:textId="77777777" w:rsidR="00C84CF5" w:rsidRDefault="00C84CF5" w:rsidP="00A540C1">
      <w:pPr>
        <w:pStyle w:val="TOC0"/>
        <w:rPr>
          <w:b w:val="0"/>
          <w:sz w:val="24"/>
          <w:szCs w:val="24"/>
        </w:rPr>
      </w:pPr>
    </w:p>
    <w:p w14:paraId="278667F9" w14:textId="77777777" w:rsidR="00C84CF5" w:rsidRDefault="00C84CF5" w:rsidP="00A540C1">
      <w:pPr>
        <w:pStyle w:val="TOC0"/>
        <w:rPr>
          <w:b w:val="0"/>
          <w:sz w:val="24"/>
          <w:szCs w:val="24"/>
        </w:rPr>
      </w:pPr>
    </w:p>
    <w:p w14:paraId="6A4F8B41" w14:textId="77777777" w:rsidR="003F7B8F" w:rsidRDefault="00A540C1" w:rsidP="003F7B8F">
      <w:pPr>
        <w:pStyle w:val="BodyTextaft-12"/>
        <w:rPr>
          <w:b/>
          <w:sz w:val="24"/>
          <w:szCs w:val="24"/>
        </w:rPr>
      </w:pPr>
      <w:r w:rsidRPr="007C36F3">
        <w:br w:type="page"/>
      </w:r>
      <w:r w:rsidR="00C65FD6" w:rsidRPr="003F7B8F">
        <w:rPr>
          <w:b/>
          <w:sz w:val="24"/>
          <w:szCs w:val="24"/>
          <w:lang w:val="en-CA"/>
        </w:rPr>
        <w:lastRenderedPageBreak/>
        <w:fldChar w:fldCharType="begin"/>
      </w:r>
      <w:r w:rsidR="00C65FD6" w:rsidRPr="003F7B8F">
        <w:rPr>
          <w:b/>
          <w:sz w:val="24"/>
          <w:szCs w:val="24"/>
          <w:lang w:val="en-CA"/>
        </w:rPr>
        <w:instrText xml:space="preserve"> SEQ CHAPTER \h \r 1</w:instrText>
      </w:r>
      <w:r w:rsidR="00C65FD6" w:rsidRPr="003F7B8F">
        <w:rPr>
          <w:b/>
          <w:sz w:val="24"/>
          <w:szCs w:val="24"/>
          <w:lang w:val="en-CA"/>
        </w:rPr>
        <w:fldChar w:fldCharType="end"/>
      </w:r>
      <w:bookmarkStart w:id="1" w:name="_Toc79980788"/>
      <w:r w:rsidR="00532002" w:rsidRPr="003F7B8F">
        <w:rPr>
          <w:b/>
          <w:sz w:val="24"/>
          <w:szCs w:val="24"/>
        </w:rPr>
        <w:t xml:space="preserve"> </w:t>
      </w:r>
      <w:r w:rsidR="003F7B8F">
        <w:rPr>
          <w:b/>
          <w:sz w:val="24"/>
          <w:szCs w:val="24"/>
        </w:rPr>
        <w:t xml:space="preserve">                                                      </w:t>
      </w:r>
      <w:r w:rsidR="003F7B8F" w:rsidRPr="003F7B8F">
        <w:rPr>
          <w:b/>
          <w:sz w:val="24"/>
          <w:szCs w:val="24"/>
        </w:rPr>
        <w:t>TABLE OF CONTENT</w:t>
      </w:r>
    </w:p>
    <w:p w14:paraId="089E279D" w14:textId="77777777" w:rsidR="003F7B8F" w:rsidRDefault="003F7B8F" w:rsidP="00BB08BB">
      <w:pPr>
        <w:pStyle w:val="BodyTextaft-12"/>
        <w:spacing w:before="0" w:after="0"/>
        <w:rPr>
          <w:b/>
          <w:sz w:val="24"/>
          <w:szCs w:val="24"/>
        </w:rPr>
      </w:pPr>
    </w:p>
    <w:p w14:paraId="36627433" w14:textId="77777777" w:rsidR="009F1F48" w:rsidRDefault="009F1F48" w:rsidP="00BB08BB">
      <w:pPr>
        <w:pStyle w:val="BodyTextaft-12"/>
        <w:spacing w:before="0" w:after="0"/>
        <w:rPr>
          <w:b/>
          <w:sz w:val="24"/>
          <w:szCs w:val="24"/>
        </w:rPr>
      </w:pPr>
    </w:p>
    <w:p w14:paraId="7A108AE9" w14:textId="77777777" w:rsidR="003F7B8F" w:rsidRPr="003F7B8F" w:rsidRDefault="003F7B8F" w:rsidP="00FC203C">
      <w:pPr>
        <w:pStyle w:val="BodyTextaft-12"/>
        <w:numPr>
          <w:ilvl w:val="0"/>
          <w:numId w:val="28"/>
        </w:numPr>
        <w:tabs>
          <w:tab w:val="left" w:pos="810"/>
        </w:tabs>
        <w:spacing w:before="0" w:after="0"/>
        <w:ind w:hanging="720"/>
        <w:rPr>
          <w:b/>
          <w:sz w:val="24"/>
          <w:szCs w:val="24"/>
        </w:rPr>
      </w:pPr>
      <w:r>
        <w:rPr>
          <w:b/>
          <w:sz w:val="24"/>
          <w:szCs w:val="24"/>
        </w:rPr>
        <w:t>JUSTIFICATION</w:t>
      </w:r>
    </w:p>
    <w:p w14:paraId="67AE0A4C" w14:textId="77777777" w:rsidR="00532002" w:rsidRPr="003F7B8F" w:rsidRDefault="00532002" w:rsidP="00DC36A3">
      <w:pPr>
        <w:pStyle w:val="BodyTextaft-12"/>
        <w:spacing w:before="0" w:after="0"/>
        <w:rPr>
          <w:sz w:val="24"/>
          <w:szCs w:val="24"/>
        </w:rPr>
      </w:pPr>
      <w:r w:rsidRPr="003F7B8F">
        <w:rPr>
          <w:sz w:val="24"/>
          <w:szCs w:val="24"/>
        </w:rPr>
        <w:t>A1.</w:t>
      </w:r>
      <w:r w:rsidR="003F7B8F">
        <w:rPr>
          <w:sz w:val="24"/>
          <w:szCs w:val="24"/>
        </w:rPr>
        <w:t xml:space="preserve">    </w:t>
      </w:r>
      <w:r w:rsidR="00FC1134">
        <w:rPr>
          <w:sz w:val="24"/>
          <w:szCs w:val="24"/>
        </w:rPr>
        <w:t xml:space="preserve">  </w:t>
      </w:r>
      <w:r w:rsidRPr="003F7B8F">
        <w:rPr>
          <w:sz w:val="24"/>
          <w:szCs w:val="24"/>
        </w:rPr>
        <w:t>Circumstances Making the Collection of Information Necessary</w:t>
      </w:r>
    </w:p>
    <w:p w14:paraId="1ACDF6FA" w14:textId="77777777" w:rsidR="00532002" w:rsidRPr="003F7B8F" w:rsidRDefault="00532002" w:rsidP="00DC36A3">
      <w:pPr>
        <w:pStyle w:val="BodyTextaft-12"/>
        <w:spacing w:before="0" w:after="0"/>
        <w:rPr>
          <w:sz w:val="24"/>
          <w:szCs w:val="24"/>
        </w:rPr>
      </w:pPr>
      <w:r w:rsidRPr="003F7B8F">
        <w:rPr>
          <w:sz w:val="24"/>
          <w:szCs w:val="24"/>
        </w:rPr>
        <w:t>A2.</w:t>
      </w:r>
      <w:r w:rsidRPr="003F7B8F">
        <w:rPr>
          <w:sz w:val="24"/>
          <w:szCs w:val="24"/>
        </w:rPr>
        <w:tab/>
        <w:t>Purpose and Use of the Information Collection</w:t>
      </w:r>
    </w:p>
    <w:p w14:paraId="6A88A7D7" w14:textId="77777777" w:rsidR="00532002" w:rsidRPr="003F7B8F" w:rsidRDefault="00532002" w:rsidP="00DC36A3">
      <w:pPr>
        <w:pStyle w:val="BodyTextaft-12"/>
        <w:spacing w:before="0" w:after="0"/>
        <w:rPr>
          <w:sz w:val="24"/>
          <w:szCs w:val="24"/>
        </w:rPr>
      </w:pPr>
      <w:r w:rsidRPr="003F7B8F">
        <w:rPr>
          <w:sz w:val="24"/>
          <w:szCs w:val="24"/>
        </w:rPr>
        <w:t>A3.</w:t>
      </w:r>
      <w:r w:rsidR="003F7B8F">
        <w:rPr>
          <w:sz w:val="24"/>
          <w:szCs w:val="24"/>
        </w:rPr>
        <w:t xml:space="preserve">    </w:t>
      </w:r>
      <w:r w:rsidR="00FC1134">
        <w:rPr>
          <w:sz w:val="24"/>
          <w:szCs w:val="24"/>
        </w:rPr>
        <w:t xml:space="preserve">  </w:t>
      </w:r>
      <w:r w:rsidRPr="003F7B8F">
        <w:rPr>
          <w:sz w:val="24"/>
          <w:szCs w:val="24"/>
        </w:rPr>
        <w:t>Use of Improved Information Technology and Burden Reduction</w:t>
      </w:r>
    </w:p>
    <w:p w14:paraId="179BC6D6" w14:textId="77777777" w:rsidR="00532002" w:rsidRPr="00532002" w:rsidRDefault="00532002" w:rsidP="00BB08BB">
      <w:pPr>
        <w:widowControl w:val="0"/>
        <w:tabs>
          <w:tab w:val="left" w:pos="720"/>
        </w:tabs>
        <w:ind w:left="720" w:hanging="720"/>
      </w:pPr>
      <w:r w:rsidRPr="00532002">
        <w:t>A4.</w:t>
      </w:r>
      <w:r w:rsidRPr="00532002">
        <w:tab/>
        <w:t>Efforts to Identify Duplication and Use of Similar Information</w:t>
      </w:r>
    </w:p>
    <w:p w14:paraId="4E27D084" w14:textId="77777777" w:rsidR="00532002" w:rsidRPr="00532002" w:rsidRDefault="00532002" w:rsidP="00BB08BB">
      <w:pPr>
        <w:widowControl w:val="0"/>
        <w:tabs>
          <w:tab w:val="left" w:pos="720"/>
          <w:tab w:val="right" w:pos="9360"/>
        </w:tabs>
        <w:ind w:left="720" w:hanging="720"/>
      </w:pPr>
      <w:r w:rsidRPr="00532002">
        <w:t>A5.</w:t>
      </w:r>
      <w:r w:rsidRPr="00532002">
        <w:tab/>
        <w:t>Impact on Small Businesses or Other Small Entities</w:t>
      </w:r>
    </w:p>
    <w:p w14:paraId="68772A72" w14:textId="77777777" w:rsidR="00532002" w:rsidRPr="00532002" w:rsidRDefault="00532002" w:rsidP="00BB08BB">
      <w:pPr>
        <w:widowControl w:val="0"/>
        <w:tabs>
          <w:tab w:val="left" w:pos="720"/>
          <w:tab w:val="right" w:pos="9360"/>
        </w:tabs>
        <w:ind w:left="720" w:hanging="720"/>
      </w:pPr>
      <w:r w:rsidRPr="00532002">
        <w:t>A6.</w:t>
      </w:r>
      <w:r w:rsidR="00FC1134">
        <w:t xml:space="preserve">      </w:t>
      </w:r>
      <w:r w:rsidRPr="00532002">
        <w:t>Consequences of Collecting the Information Less Frequently</w:t>
      </w:r>
    </w:p>
    <w:p w14:paraId="3EA45718" w14:textId="77777777" w:rsidR="00532002" w:rsidRPr="00532002" w:rsidRDefault="00532002" w:rsidP="00BB08BB">
      <w:pPr>
        <w:widowControl w:val="0"/>
        <w:tabs>
          <w:tab w:val="left" w:pos="720"/>
          <w:tab w:val="right" w:pos="9360"/>
        </w:tabs>
        <w:ind w:left="720" w:hanging="720"/>
      </w:pPr>
      <w:r w:rsidRPr="00532002">
        <w:t>A7.</w:t>
      </w:r>
      <w:r w:rsidRPr="00532002">
        <w:tab/>
        <w:t>Special Circumstances Relating to the Guidelines of 5 CFR 1320.5</w:t>
      </w:r>
    </w:p>
    <w:p w14:paraId="41ADFAFA" w14:textId="77777777" w:rsidR="00FC1134" w:rsidRDefault="00532002" w:rsidP="00BB08BB">
      <w:pPr>
        <w:widowControl w:val="0"/>
        <w:tabs>
          <w:tab w:val="left" w:pos="990"/>
          <w:tab w:val="right" w:pos="9360"/>
        </w:tabs>
        <w:ind w:left="720" w:hanging="720"/>
      </w:pPr>
      <w:r w:rsidRPr="00532002">
        <w:t xml:space="preserve">A8. </w:t>
      </w:r>
      <w:r w:rsidRPr="00532002">
        <w:tab/>
        <w:t xml:space="preserve">Comments in Response to the Federal Register Notice and Efforts to Consult Outside </w:t>
      </w:r>
      <w:r w:rsidR="00FC1134">
        <w:t xml:space="preserve"> </w:t>
      </w:r>
    </w:p>
    <w:p w14:paraId="4A8218B2" w14:textId="77777777" w:rsidR="00532002" w:rsidRPr="00532002" w:rsidRDefault="00DA33C2" w:rsidP="00BB08BB">
      <w:pPr>
        <w:widowControl w:val="0"/>
        <w:tabs>
          <w:tab w:val="left" w:pos="990"/>
          <w:tab w:val="right" w:pos="9360"/>
        </w:tabs>
        <w:ind w:left="720" w:hanging="720"/>
      </w:pPr>
      <w:r>
        <w:t xml:space="preserve">            </w:t>
      </w:r>
      <w:r w:rsidR="00532002" w:rsidRPr="00532002">
        <w:t>the Agency</w:t>
      </w:r>
    </w:p>
    <w:p w14:paraId="7BFA3043" w14:textId="77777777" w:rsidR="00532002" w:rsidRPr="00532002" w:rsidRDefault="00532002" w:rsidP="00BB08BB">
      <w:pPr>
        <w:widowControl w:val="0"/>
        <w:tabs>
          <w:tab w:val="left" w:pos="720"/>
          <w:tab w:val="right" w:pos="9360"/>
        </w:tabs>
        <w:ind w:left="720" w:hanging="720"/>
      </w:pPr>
      <w:r w:rsidRPr="00532002">
        <w:t>A9.</w:t>
      </w:r>
      <w:r w:rsidRPr="00532002">
        <w:tab/>
        <w:t>Explanation of Any Payment or Gift to Respondents</w:t>
      </w:r>
    </w:p>
    <w:p w14:paraId="481A851B" w14:textId="77777777" w:rsidR="00FC1134" w:rsidRDefault="00FC1134" w:rsidP="00BB08BB">
      <w:pPr>
        <w:widowControl w:val="0"/>
        <w:tabs>
          <w:tab w:val="left" w:pos="720"/>
          <w:tab w:val="right" w:pos="9360"/>
        </w:tabs>
        <w:ind w:left="720" w:hanging="720"/>
      </w:pPr>
      <w:r>
        <w:t xml:space="preserve">A10.    </w:t>
      </w:r>
      <w:r w:rsidR="00532002" w:rsidRPr="00532002">
        <w:t xml:space="preserve">Protection of the Privacy and Confidentiality of Information Provided by </w:t>
      </w:r>
      <w:r>
        <w:t xml:space="preserve">  </w:t>
      </w:r>
    </w:p>
    <w:p w14:paraId="3C7145EF" w14:textId="77777777" w:rsidR="00532002" w:rsidRPr="00532002" w:rsidRDefault="00DA33C2" w:rsidP="00BB08BB">
      <w:pPr>
        <w:widowControl w:val="0"/>
        <w:tabs>
          <w:tab w:val="left" w:pos="720"/>
          <w:tab w:val="right" w:pos="9360"/>
        </w:tabs>
        <w:ind w:left="720" w:hanging="720"/>
      </w:pPr>
      <w:r>
        <w:t xml:space="preserve">            </w:t>
      </w:r>
      <w:r w:rsidR="00532002" w:rsidRPr="00532002">
        <w:t>Respondents</w:t>
      </w:r>
    </w:p>
    <w:p w14:paraId="6094B598" w14:textId="77777777" w:rsidR="00532002" w:rsidRPr="00532002" w:rsidRDefault="00FC1134" w:rsidP="00BB08BB">
      <w:pPr>
        <w:widowControl w:val="0"/>
        <w:tabs>
          <w:tab w:val="left" w:pos="720"/>
          <w:tab w:val="right" w:pos="9360"/>
        </w:tabs>
        <w:ind w:left="720" w:hanging="720"/>
      </w:pPr>
      <w:r>
        <w:t xml:space="preserve">A11.    </w:t>
      </w:r>
      <w:r w:rsidR="00532002" w:rsidRPr="00532002">
        <w:t>Institutional Review Board (IRB) and Justification for Sensitive Questions</w:t>
      </w:r>
    </w:p>
    <w:p w14:paraId="440764E8" w14:textId="77777777" w:rsidR="00532002" w:rsidRPr="00532002" w:rsidRDefault="00FC1134" w:rsidP="00BB08BB">
      <w:pPr>
        <w:widowControl w:val="0"/>
        <w:tabs>
          <w:tab w:val="left" w:pos="720"/>
          <w:tab w:val="right" w:pos="9360"/>
        </w:tabs>
        <w:ind w:left="720" w:hanging="720"/>
      </w:pPr>
      <w:r>
        <w:t xml:space="preserve">A12.    </w:t>
      </w:r>
      <w:r w:rsidR="00532002" w:rsidRPr="00532002">
        <w:t>Estimates of Annualized Burden Hours and Costs</w:t>
      </w:r>
    </w:p>
    <w:p w14:paraId="6AB6E634" w14:textId="77777777" w:rsidR="00532002" w:rsidRPr="00532002" w:rsidRDefault="00FC1134" w:rsidP="00BB08BB">
      <w:pPr>
        <w:widowControl w:val="0"/>
        <w:ind w:left="720" w:hanging="720"/>
      </w:pPr>
      <w:r>
        <w:t xml:space="preserve">A13.    </w:t>
      </w:r>
      <w:r w:rsidR="00532002" w:rsidRPr="00532002">
        <w:t>Estimates of Other Total Annual Cost Burden to Respondents or Record Keepers</w:t>
      </w:r>
    </w:p>
    <w:p w14:paraId="05AA5580" w14:textId="77777777" w:rsidR="00532002" w:rsidRPr="00532002" w:rsidRDefault="00BB08BB" w:rsidP="00BB08BB">
      <w:pPr>
        <w:widowControl w:val="0"/>
        <w:tabs>
          <w:tab w:val="left" w:pos="720"/>
          <w:tab w:val="right" w:pos="9360"/>
        </w:tabs>
        <w:ind w:left="720" w:hanging="720"/>
      </w:pPr>
      <w:r>
        <w:t xml:space="preserve">A14.    </w:t>
      </w:r>
      <w:r w:rsidR="00532002" w:rsidRPr="00532002">
        <w:t>Annualized Cost to the Federal Government</w:t>
      </w:r>
    </w:p>
    <w:p w14:paraId="729EC598" w14:textId="77777777" w:rsidR="00DC36A3" w:rsidRDefault="00BB08BB" w:rsidP="00DC36A3">
      <w:pPr>
        <w:widowControl w:val="0"/>
        <w:tabs>
          <w:tab w:val="left" w:pos="720"/>
          <w:tab w:val="right" w:pos="9360"/>
        </w:tabs>
        <w:ind w:left="720" w:hanging="720"/>
      </w:pPr>
      <w:r>
        <w:t xml:space="preserve">A15.    </w:t>
      </w:r>
      <w:r w:rsidR="00532002" w:rsidRPr="00532002">
        <w:t>Explanation for Program Changes or Adjustments</w:t>
      </w:r>
    </w:p>
    <w:p w14:paraId="500F5DF7" w14:textId="77777777" w:rsidR="00532002" w:rsidRPr="00532002" w:rsidRDefault="00BB08BB" w:rsidP="00DC36A3">
      <w:pPr>
        <w:widowControl w:val="0"/>
        <w:tabs>
          <w:tab w:val="left" w:pos="720"/>
          <w:tab w:val="right" w:pos="9360"/>
        </w:tabs>
        <w:ind w:left="720" w:hanging="720"/>
      </w:pPr>
      <w:r>
        <w:t xml:space="preserve">A16.    </w:t>
      </w:r>
      <w:r w:rsidR="00532002" w:rsidRPr="00532002">
        <w:t>Plans for Tabulation and Publication and Project Time Schedule</w:t>
      </w:r>
    </w:p>
    <w:p w14:paraId="7894AF68" w14:textId="77777777" w:rsidR="00532002" w:rsidRPr="00532002" w:rsidRDefault="00BB08BB" w:rsidP="00BB08BB">
      <w:pPr>
        <w:widowControl w:val="0"/>
        <w:tabs>
          <w:tab w:val="left" w:pos="720"/>
          <w:tab w:val="right" w:pos="9360"/>
        </w:tabs>
        <w:ind w:left="720" w:hanging="720"/>
      </w:pPr>
      <w:r>
        <w:t xml:space="preserve">A17.    </w:t>
      </w:r>
      <w:r w:rsidR="00532002" w:rsidRPr="00532002">
        <w:t>Reason(s) Display of OMB Expiration Date is Inappropriate</w:t>
      </w:r>
    </w:p>
    <w:p w14:paraId="7B1A3172" w14:textId="77777777" w:rsidR="00532002" w:rsidRPr="00532002" w:rsidRDefault="00BB08BB" w:rsidP="00BB08BB">
      <w:pPr>
        <w:widowControl w:val="0"/>
        <w:tabs>
          <w:tab w:val="left" w:pos="720"/>
        </w:tabs>
        <w:ind w:left="720" w:hanging="720"/>
      </w:pPr>
      <w:r>
        <w:t xml:space="preserve">A18.    </w:t>
      </w:r>
      <w:r w:rsidR="00532002" w:rsidRPr="00532002">
        <w:t>Exceptions to Certification for Paperwork Reduction Act Submissions</w:t>
      </w:r>
    </w:p>
    <w:p w14:paraId="36E7EE9B" w14:textId="77777777" w:rsidR="00532002" w:rsidRDefault="00532002" w:rsidP="00532002">
      <w:pPr>
        <w:pStyle w:val="TOC0"/>
        <w:rPr>
          <w:sz w:val="24"/>
          <w:szCs w:val="24"/>
        </w:rPr>
      </w:pPr>
    </w:p>
    <w:p w14:paraId="7AB98473" w14:textId="77777777" w:rsidR="00F72F56" w:rsidRPr="00FC203C" w:rsidRDefault="00FC203C" w:rsidP="00A935D1">
      <w:pPr>
        <w:rPr>
          <w:b/>
          <w:noProof/>
        </w:rPr>
      </w:pPr>
      <w:r w:rsidRPr="00FC203C">
        <w:rPr>
          <w:b/>
          <w:noProof/>
        </w:rPr>
        <w:t>REFERENCES</w:t>
      </w:r>
    </w:p>
    <w:p w14:paraId="3A1B2F4E" w14:textId="77777777" w:rsidR="00A935D1" w:rsidRDefault="00BE0948" w:rsidP="00A935D1">
      <w:r>
        <w:t xml:space="preserve">  </w:t>
      </w:r>
    </w:p>
    <w:p w14:paraId="3FF2A32B" w14:textId="77777777" w:rsidR="00DC36A3" w:rsidRPr="007C36F3" w:rsidRDefault="00DC36A3" w:rsidP="00A935D1"/>
    <w:p w14:paraId="5A6A8EAC" w14:textId="77777777" w:rsidR="00DA33C2" w:rsidRDefault="00451757" w:rsidP="00DA33C2">
      <w:pPr>
        <w:rPr>
          <w:b/>
        </w:rPr>
      </w:pPr>
      <w:r w:rsidRPr="00DC36A3">
        <w:rPr>
          <w:b/>
        </w:rPr>
        <w:t>ATTACHMENTS</w:t>
      </w:r>
    </w:p>
    <w:p w14:paraId="44F04575" w14:textId="77777777" w:rsidR="00AC2F89" w:rsidRPr="00DA33C2" w:rsidRDefault="00500B88" w:rsidP="00DA33C2">
      <w:pPr>
        <w:rPr>
          <w:b/>
        </w:rPr>
      </w:pPr>
      <w:r>
        <w:t xml:space="preserve">1 </w:t>
      </w:r>
      <w:r w:rsidR="005D6DEE">
        <w:t xml:space="preserve">       </w:t>
      </w:r>
      <w:r w:rsidR="00AC2F89" w:rsidRPr="00DA33C2">
        <w:t>Section 301 of the Public Health Service Act (42 U.S.C. 241)</w:t>
      </w:r>
    </w:p>
    <w:p w14:paraId="50A585B3" w14:textId="77777777" w:rsidR="00AC2F89" w:rsidRPr="007C36F3" w:rsidRDefault="005D6DEE" w:rsidP="00AC2F89">
      <w:r>
        <w:t xml:space="preserve">2        </w:t>
      </w:r>
      <w:r w:rsidR="001D2462" w:rsidRPr="007C36F3">
        <w:t>Federal Register Notice</w:t>
      </w:r>
    </w:p>
    <w:p w14:paraId="790708F4" w14:textId="77777777" w:rsidR="000E6A0A" w:rsidRPr="007C36F3" w:rsidRDefault="005D6DEE" w:rsidP="000E6A0A">
      <w:r>
        <w:t xml:space="preserve">3a      </w:t>
      </w:r>
      <w:r w:rsidR="000E6A0A" w:rsidRPr="007C36F3">
        <w:t xml:space="preserve">Web-based </w:t>
      </w:r>
      <w:r w:rsidR="00E9698D" w:rsidRPr="007C36F3">
        <w:t>Grantee Survey</w:t>
      </w:r>
    </w:p>
    <w:p w14:paraId="1DEF6C2F" w14:textId="77777777" w:rsidR="000E6A0A" w:rsidRPr="007C36F3" w:rsidRDefault="00500B88" w:rsidP="000E6A0A">
      <w:r>
        <w:t>3b</w:t>
      </w:r>
      <w:r w:rsidR="005D6DEE">
        <w:t xml:space="preserve">      </w:t>
      </w:r>
      <w:r w:rsidR="000E6A0A" w:rsidRPr="007C36F3">
        <w:t xml:space="preserve">Screenshots of Web-based </w:t>
      </w:r>
      <w:r w:rsidR="00E9698D" w:rsidRPr="007C36F3">
        <w:t>Grantee Survey</w:t>
      </w:r>
    </w:p>
    <w:p w14:paraId="0515FE27" w14:textId="77777777" w:rsidR="00554602" w:rsidRPr="007C36F3" w:rsidRDefault="005D6DEE" w:rsidP="000E6A0A">
      <w:r>
        <w:t xml:space="preserve">3c      </w:t>
      </w:r>
      <w:r w:rsidR="00554602" w:rsidRPr="007C36F3">
        <w:t xml:space="preserve">Web-based </w:t>
      </w:r>
      <w:r w:rsidR="00E9698D" w:rsidRPr="007C36F3">
        <w:t>Partner Survey</w:t>
      </w:r>
    </w:p>
    <w:p w14:paraId="37C3BEB0" w14:textId="77777777" w:rsidR="00554602" w:rsidRPr="007C36F3" w:rsidRDefault="005D6DEE" w:rsidP="000E6A0A">
      <w:r>
        <w:t xml:space="preserve">3d </w:t>
      </w:r>
      <w:r w:rsidR="00554602" w:rsidRPr="007C36F3">
        <w:t xml:space="preserve"> </w:t>
      </w:r>
      <w:r>
        <w:t xml:space="preserve">    </w:t>
      </w:r>
      <w:r w:rsidR="00554602" w:rsidRPr="007C36F3">
        <w:t xml:space="preserve">Screenshots of Web-based </w:t>
      </w:r>
      <w:r w:rsidR="00E9698D" w:rsidRPr="007C36F3">
        <w:t>Partner Survey</w:t>
      </w:r>
    </w:p>
    <w:p w14:paraId="6B773955" w14:textId="77777777" w:rsidR="00AC2F89" w:rsidRPr="007C36F3" w:rsidRDefault="00AC2F89" w:rsidP="00AC2F89">
      <w:r w:rsidRPr="007C36F3">
        <w:t>3</w:t>
      </w:r>
      <w:r w:rsidR="00EB45CE" w:rsidRPr="007C36F3">
        <w:t>e</w:t>
      </w:r>
      <w:r w:rsidRPr="007C36F3">
        <w:t xml:space="preserve"> </w:t>
      </w:r>
      <w:r w:rsidR="005D6DEE">
        <w:t xml:space="preserve">     </w:t>
      </w:r>
      <w:r w:rsidRPr="007C36F3">
        <w:t xml:space="preserve">Introductory </w:t>
      </w:r>
      <w:r w:rsidR="00C02276" w:rsidRPr="007C36F3">
        <w:t>E-mail</w:t>
      </w:r>
      <w:r w:rsidRPr="007C36F3">
        <w:t xml:space="preserve"> for </w:t>
      </w:r>
      <w:r w:rsidR="00E16FE7" w:rsidRPr="007C36F3">
        <w:t>Web</w:t>
      </w:r>
      <w:r w:rsidRPr="007C36F3">
        <w:t>-based Survey Participants</w:t>
      </w:r>
    </w:p>
    <w:p w14:paraId="57DF5216" w14:textId="77777777" w:rsidR="00AC2F89" w:rsidRPr="007C36F3" w:rsidRDefault="000E6A0A" w:rsidP="00AC2F89">
      <w:r w:rsidRPr="007C36F3">
        <w:t>3</w:t>
      </w:r>
      <w:r w:rsidR="00EB45CE" w:rsidRPr="007C36F3">
        <w:t>f</w:t>
      </w:r>
      <w:r w:rsidR="005D6DEE">
        <w:t xml:space="preserve">       </w:t>
      </w:r>
      <w:r w:rsidR="00AC2F89" w:rsidRPr="007C36F3">
        <w:t xml:space="preserve">Reminder </w:t>
      </w:r>
      <w:r w:rsidR="00C02276" w:rsidRPr="007C36F3">
        <w:t>E-mail</w:t>
      </w:r>
      <w:r w:rsidR="00AC2F89" w:rsidRPr="007C36F3">
        <w:t xml:space="preserve"> for </w:t>
      </w:r>
      <w:r w:rsidR="00E16FE7" w:rsidRPr="007C36F3">
        <w:t>Web</w:t>
      </w:r>
      <w:r w:rsidR="00AC2F89" w:rsidRPr="007C36F3">
        <w:t>-based Survey Participants</w:t>
      </w:r>
    </w:p>
    <w:p w14:paraId="2D5CF886" w14:textId="77777777" w:rsidR="00AC2F89" w:rsidRPr="007C36F3" w:rsidRDefault="000E6A0A" w:rsidP="00AC2F89">
      <w:r w:rsidRPr="007C36F3">
        <w:t>3</w:t>
      </w:r>
      <w:r w:rsidR="00EB45CE" w:rsidRPr="007C36F3">
        <w:t>g</w:t>
      </w:r>
      <w:r w:rsidR="005D6DEE">
        <w:t xml:space="preserve">      </w:t>
      </w:r>
      <w:r w:rsidR="00AC2F89" w:rsidRPr="007C36F3">
        <w:t xml:space="preserve">Follow-up Reminder </w:t>
      </w:r>
      <w:r w:rsidR="00C02276" w:rsidRPr="007C36F3">
        <w:t>E-mail</w:t>
      </w:r>
      <w:r w:rsidR="00AC2F89" w:rsidRPr="007C36F3">
        <w:t xml:space="preserve"> for </w:t>
      </w:r>
      <w:r w:rsidR="00E16FE7" w:rsidRPr="007C36F3">
        <w:t>Web</w:t>
      </w:r>
      <w:r w:rsidR="00AC2F89" w:rsidRPr="007C36F3">
        <w:t>-based Survey Participants</w:t>
      </w:r>
    </w:p>
    <w:p w14:paraId="62B7010C" w14:textId="77777777" w:rsidR="00AC2F89" w:rsidRPr="007C36F3" w:rsidRDefault="000E6A0A" w:rsidP="00AC2F89">
      <w:r w:rsidRPr="007C36F3">
        <w:t>3</w:t>
      </w:r>
      <w:r w:rsidR="00EB45CE" w:rsidRPr="007C36F3">
        <w:t>h</w:t>
      </w:r>
      <w:r w:rsidR="005D6DEE">
        <w:t xml:space="preserve">      </w:t>
      </w:r>
      <w:r w:rsidR="00AC2F89" w:rsidRPr="007C36F3">
        <w:t xml:space="preserve">Thank You </w:t>
      </w:r>
      <w:r w:rsidR="00C02276" w:rsidRPr="007C36F3">
        <w:t>E-mail</w:t>
      </w:r>
      <w:r w:rsidR="00AC2F89" w:rsidRPr="007C36F3">
        <w:t xml:space="preserve"> for </w:t>
      </w:r>
      <w:r w:rsidR="00E16FE7" w:rsidRPr="007C36F3">
        <w:t>Web</w:t>
      </w:r>
      <w:r w:rsidR="00AC2F89" w:rsidRPr="007C36F3">
        <w:t>-based Survey Participants</w:t>
      </w:r>
    </w:p>
    <w:p w14:paraId="21B0176E" w14:textId="77777777" w:rsidR="00EB45CE" w:rsidRPr="007C36F3" w:rsidRDefault="005D6DEE" w:rsidP="00AC2F89">
      <w:r>
        <w:t xml:space="preserve">3i       </w:t>
      </w:r>
      <w:r w:rsidR="00EB45CE" w:rsidRPr="007C36F3">
        <w:t>Web-based Survey Items by Respondent Type</w:t>
      </w:r>
    </w:p>
    <w:p w14:paraId="7B7FAA47" w14:textId="77777777" w:rsidR="000E6A0A" w:rsidRPr="007C36F3" w:rsidRDefault="005D6DEE" w:rsidP="000E6A0A">
      <w:r>
        <w:t xml:space="preserve">4        </w:t>
      </w:r>
      <w:r w:rsidR="000E6A0A" w:rsidRPr="007C36F3">
        <w:t>Interview Guide</w:t>
      </w:r>
    </w:p>
    <w:p w14:paraId="6BB46565" w14:textId="77777777" w:rsidR="00EE2162" w:rsidRPr="007C36F3" w:rsidRDefault="000E6A0A" w:rsidP="00EE2162">
      <w:r w:rsidRPr="007C36F3">
        <w:t>4a</w:t>
      </w:r>
      <w:r w:rsidR="005D6DEE">
        <w:t xml:space="preserve">      </w:t>
      </w:r>
      <w:r w:rsidR="00EE2162" w:rsidRPr="007C36F3">
        <w:t>Introductory E-mail for Interviewees</w:t>
      </w:r>
    </w:p>
    <w:p w14:paraId="02A2BA6C" w14:textId="77777777" w:rsidR="00EE2162" w:rsidRPr="007C36F3" w:rsidRDefault="000E6A0A" w:rsidP="00EE2162">
      <w:r w:rsidRPr="007C36F3">
        <w:t>4b</w:t>
      </w:r>
      <w:r w:rsidR="005D6DEE">
        <w:t xml:space="preserve">      </w:t>
      </w:r>
      <w:r w:rsidR="00EE2162" w:rsidRPr="007C36F3">
        <w:t>Follow-Up E-mail for Interviewees</w:t>
      </w:r>
    </w:p>
    <w:p w14:paraId="37D675E9" w14:textId="77777777" w:rsidR="00500B88" w:rsidRDefault="000E6A0A" w:rsidP="00EE2162">
      <w:r w:rsidRPr="007C36F3">
        <w:t>4c</w:t>
      </w:r>
      <w:r w:rsidR="005D6DEE">
        <w:t xml:space="preserve">      </w:t>
      </w:r>
      <w:r w:rsidR="00EE2162" w:rsidRPr="007C36F3">
        <w:t>Second Fo</w:t>
      </w:r>
      <w:r w:rsidR="00500B88">
        <w:t>llow-Up E-mail for Interviewees</w:t>
      </w:r>
    </w:p>
    <w:p w14:paraId="397639B9" w14:textId="77777777" w:rsidR="00EE2162" w:rsidRPr="007C36F3" w:rsidRDefault="000E6A0A" w:rsidP="00EE2162">
      <w:r w:rsidRPr="007C36F3">
        <w:t>4d</w:t>
      </w:r>
      <w:r w:rsidR="00EE2162" w:rsidRPr="007C36F3">
        <w:t xml:space="preserve"> </w:t>
      </w:r>
      <w:r w:rsidR="005D6DEE">
        <w:t xml:space="preserve">     </w:t>
      </w:r>
      <w:r w:rsidR="00EE2162" w:rsidRPr="007C36F3">
        <w:t>Thank You E-mail for Interviewees</w:t>
      </w:r>
    </w:p>
    <w:p w14:paraId="07914308" w14:textId="77777777" w:rsidR="00745416" w:rsidRPr="007C36F3" w:rsidRDefault="005D6DEE" w:rsidP="00451757">
      <w:r>
        <w:t>5</w:t>
      </w:r>
      <w:r w:rsidR="00745416" w:rsidRPr="007C36F3">
        <w:t xml:space="preserve"> </w:t>
      </w:r>
      <w:r>
        <w:t xml:space="preserve">       </w:t>
      </w:r>
      <w:r w:rsidR="00745416" w:rsidRPr="007C36F3">
        <w:t>Introductory Data Collection Email to DP15-1501 Grantees</w:t>
      </w:r>
    </w:p>
    <w:p w14:paraId="6AC52EB2" w14:textId="77777777" w:rsidR="000E6A0A" w:rsidRDefault="00745416" w:rsidP="00451757">
      <w:r w:rsidRPr="007C36F3">
        <w:t>6</w:t>
      </w:r>
      <w:r w:rsidR="005D6DEE">
        <w:t xml:space="preserve">        </w:t>
      </w:r>
      <w:r w:rsidR="000E6A0A" w:rsidRPr="007C36F3">
        <w:t>RTI IRB Decision Memo</w:t>
      </w:r>
    </w:p>
    <w:p w14:paraId="299D439F" w14:textId="77777777" w:rsidR="004B2ABF" w:rsidRPr="007C36F3" w:rsidRDefault="004B2ABF" w:rsidP="00451757">
      <w:r>
        <w:t xml:space="preserve">7        Privacy Impact Assessment </w:t>
      </w:r>
    </w:p>
    <w:p w14:paraId="11380667" w14:textId="77777777" w:rsidR="00226452" w:rsidRPr="007C36F3" w:rsidRDefault="00226452" w:rsidP="009F1F48">
      <w:pPr>
        <w:rPr>
          <w:noProof/>
        </w:rPr>
      </w:pPr>
      <w:r w:rsidRPr="007C36F3">
        <w:rPr>
          <w:noProof/>
        </w:rPr>
        <w:br w:type="page"/>
      </w:r>
      <w:r w:rsidR="00FA6D3D" w:rsidRPr="007C36F3">
        <w:rPr>
          <w:noProof/>
        </w:rPr>
        <w:lastRenderedPageBreak/>
        <mc:AlternateContent>
          <mc:Choice Requires="wps">
            <w:drawing>
              <wp:inline distT="0" distB="0" distL="0" distR="0" wp14:anchorId="0F5E1632" wp14:editId="27862633">
                <wp:extent cx="5924550" cy="49339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933950"/>
                        </a:xfrm>
                        <a:prstGeom prst="rect">
                          <a:avLst/>
                        </a:prstGeom>
                        <a:solidFill>
                          <a:srgbClr val="FFFFFF"/>
                        </a:solidFill>
                        <a:ln w="9525">
                          <a:solidFill>
                            <a:srgbClr val="000000"/>
                          </a:solidFill>
                          <a:miter lim="800000"/>
                          <a:headEnd/>
                          <a:tailEnd/>
                        </a:ln>
                      </wps:spPr>
                      <wps:txbx>
                        <w:txbxContent>
                          <w:p w14:paraId="459E7DB9"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Goal of the assessment:</w:t>
                            </w:r>
                            <w:r w:rsidRPr="00B90A37">
                              <w:rPr>
                                <w:rFonts w:ascii="Times New Roman" w:hAnsi="Times New Roman"/>
                                <w:sz w:val="24"/>
                                <w:szCs w:val="24"/>
                              </w:rPr>
                              <w:t xml:space="preserve"> In this new information collection request, we describe plans to </w:t>
                            </w:r>
                            <w:r w:rsidR="006F5CE5">
                              <w:rPr>
                                <w:rFonts w:ascii="Times New Roman" w:hAnsi="Times New Roman"/>
                                <w:sz w:val="24"/>
                                <w:szCs w:val="24"/>
                              </w:rPr>
                              <w:t>assess</w:t>
                            </w:r>
                            <w:r w:rsidRPr="00B90A37">
                              <w:rPr>
                                <w:rFonts w:ascii="Times New Roman" w:hAnsi="Times New Roman"/>
                                <w:sz w:val="24"/>
                                <w:szCs w:val="24"/>
                              </w:rPr>
                              <w:t xml:space="preserve"> six Division of Cancer Prevention and Control (DCPC) National Comprehensive Cancer Control Program (NCCCP) DP15-1501-funded grantees’ efforts.  The assessment will determine their ability to implement evidence-based and promising strategies to increase knowledge of cancer survivor needs, increase utilization of surveillance data to inform program planning by providers and coalition members, and enhance partnerships to facilitate and broaden program reach.</w:t>
                            </w:r>
                          </w:p>
                          <w:p w14:paraId="6C49EFC1" w14:textId="77777777" w:rsidR="00473CB8" w:rsidRPr="00B90A37" w:rsidRDefault="00473CB8" w:rsidP="00226452">
                            <w:pPr>
                              <w:pStyle w:val="ListParagraph"/>
                              <w:spacing w:after="200"/>
                              <w:ind w:left="360"/>
                              <w:contextualSpacing/>
                              <w:rPr>
                                <w:rFonts w:ascii="Times New Roman" w:hAnsi="Times New Roman"/>
                                <w:b/>
                                <w:sz w:val="24"/>
                                <w:szCs w:val="24"/>
                              </w:rPr>
                            </w:pPr>
                          </w:p>
                          <w:p w14:paraId="6B7FBF3D"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 xml:space="preserve">Intended use of the resulting data: </w:t>
                            </w:r>
                            <w:r w:rsidRPr="00B90A37">
                              <w:rPr>
                                <w:rFonts w:ascii="Times New Roman" w:hAnsi="Times New Roman"/>
                                <w:sz w:val="24"/>
                                <w:szCs w:val="24"/>
                              </w:rPr>
                              <w:t xml:space="preserve">This information collection will be used to better understand strategies and best practices used to identify and address current cancer survivorship needs and gaps. </w:t>
                            </w:r>
                          </w:p>
                          <w:p w14:paraId="1ED87861" w14:textId="77777777" w:rsidR="00473CB8" w:rsidRPr="00B90A37" w:rsidRDefault="00473CB8" w:rsidP="00226452">
                            <w:pPr>
                              <w:pStyle w:val="ListParagraph"/>
                              <w:ind w:left="0"/>
                              <w:rPr>
                                <w:rFonts w:ascii="Times New Roman" w:hAnsi="Times New Roman"/>
                                <w:sz w:val="24"/>
                                <w:szCs w:val="24"/>
                              </w:rPr>
                            </w:pPr>
                          </w:p>
                          <w:p w14:paraId="718EE665"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 xml:space="preserve">Methods to be used to collect: </w:t>
                            </w:r>
                            <w:r w:rsidRPr="00B90A37">
                              <w:rPr>
                                <w:rFonts w:ascii="Times New Roman" w:hAnsi="Times New Roman"/>
                                <w:sz w:val="24"/>
                                <w:szCs w:val="24"/>
                              </w:rPr>
                              <w:t>There will be two waves of data collection, each featuring a Web-based Grantee Survey of NCCCP DP15-1501 grantees, a Web-based Partner Survey of grantees’ partners, and telephone interviews with NCCCP DP15-1501 grantees. E-mail invitations will be sent to NCCCP DP15-1501 grantee staff inviting them to participate in a voluntary Web-based survey and a semi</w:t>
                            </w:r>
                            <w:r w:rsidR="00256E12">
                              <w:rPr>
                                <w:rFonts w:ascii="Times New Roman" w:hAnsi="Times New Roman"/>
                                <w:sz w:val="24"/>
                                <w:szCs w:val="24"/>
                              </w:rPr>
                              <w:t>-</w:t>
                            </w:r>
                            <w:r w:rsidRPr="00B90A37">
                              <w:rPr>
                                <w:rFonts w:ascii="Times New Roman" w:hAnsi="Times New Roman"/>
                                <w:sz w:val="24"/>
                                <w:szCs w:val="24"/>
                              </w:rPr>
                              <w:t xml:space="preserve">structured telephone interview. Individuals who do not complete the Web-based survey or do not provide their availability for a telephone interview will be sent follow-up e-mails. </w:t>
                            </w:r>
                          </w:p>
                          <w:p w14:paraId="1229A3A2" w14:textId="77777777" w:rsidR="00473CB8" w:rsidRPr="00B90A37" w:rsidRDefault="00473CB8" w:rsidP="00226452">
                            <w:pPr>
                              <w:pStyle w:val="ListParagraph"/>
                              <w:ind w:left="0"/>
                              <w:rPr>
                                <w:rFonts w:ascii="Times New Roman" w:hAnsi="Times New Roman"/>
                                <w:sz w:val="24"/>
                                <w:szCs w:val="24"/>
                              </w:rPr>
                            </w:pPr>
                          </w:p>
                          <w:p w14:paraId="627749E7"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 xml:space="preserve">Subpopulation to be assessed </w:t>
                            </w:r>
                            <w:r w:rsidRPr="00B90A37">
                              <w:rPr>
                                <w:rFonts w:ascii="Times New Roman" w:hAnsi="Times New Roman"/>
                                <w:sz w:val="24"/>
                                <w:szCs w:val="24"/>
                              </w:rPr>
                              <w:t xml:space="preserve">Respondents will include NCCCP DP15-1501 grantee staff (e.g., program directors and program managers) and key partners (e.g., coalition members, providers, patient navigators). </w:t>
                            </w:r>
                          </w:p>
                          <w:p w14:paraId="155B0AC6" w14:textId="77777777" w:rsidR="00473CB8" w:rsidRPr="00B90A37" w:rsidRDefault="00473CB8" w:rsidP="00226452">
                            <w:pPr>
                              <w:pStyle w:val="ListParagraph"/>
                              <w:ind w:left="0"/>
                              <w:rPr>
                                <w:rFonts w:ascii="Times New Roman" w:hAnsi="Times New Roman"/>
                                <w:sz w:val="24"/>
                                <w:szCs w:val="24"/>
                                <w:highlight w:val="yellow"/>
                              </w:rPr>
                            </w:pPr>
                          </w:p>
                          <w:p w14:paraId="60B8F7F6" w14:textId="77777777" w:rsidR="00473CB8" w:rsidRPr="00912FF5" w:rsidRDefault="00473CB8" w:rsidP="00C97F7C">
                            <w:pPr>
                              <w:pStyle w:val="ListParagraph"/>
                              <w:numPr>
                                <w:ilvl w:val="0"/>
                                <w:numId w:val="3"/>
                              </w:numPr>
                              <w:spacing w:after="200"/>
                              <w:ind w:left="360"/>
                              <w:contextualSpacing/>
                              <w:rPr>
                                <w:rFonts w:ascii="Times New Roman" w:hAnsi="Times New Roman"/>
                              </w:rPr>
                            </w:pPr>
                            <w:r w:rsidRPr="00B90A37">
                              <w:rPr>
                                <w:rFonts w:ascii="Times New Roman" w:hAnsi="Times New Roman"/>
                                <w:b/>
                                <w:sz w:val="24"/>
                                <w:szCs w:val="24"/>
                              </w:rPr>
                              <w:t xml:space="preserve">How data will be analyzed: </w:t>
                            </w:r>
                            <w:r w:rsidRPr="00B90A37">
                              <w:rPr>
                                <w:rFonts w:ascii="Times New Roman" w:hAnsi="Times New Roman"/>
                                <w:sz w:val="24"/>
                                <w:szCs w:val="24"/>
                              </w:rPr>
                              <w:t>The data will be analyzed using descriptive statistics and qualitative methodology. Findings will be reported in aggregate</w:t>
                            </w:r>
                            <w:r w:rsidRPr="00912FF5">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6.5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">
                <v:textbox>
                  <w:txbxContent>
                    <w:p w14:paraId="459E7DB9"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Goal of the assessment:</w:t>
                      </w:r>
                      <w:r w:rsidRPr="00B90A37">
                        <w:rPr>
                          <w:rFonts w:ascii="Times New Roman" w:hAnsi="Times New Roman"/>
                          <w:sz w:val="24"/>
                          <w:szCs w:val="24"/>
                        </w:rPr>
                        <w:t xml:space="preserve"> In this new information collection request, we describe plans to </w:t>
                      </w:r>
                      <w:r w:rsidR="006F5CE5">
                        <w:rPr>
                          <w:rFonts w:ascii="Times New Roman" w:hAnsi="Times New Roman"/>
                          <w:sz w:val="24"/>
                          <w:szCs w:val="24"/>
                        </w:rPr>
                        <w:t>assess</w:t>
                      </w:r>
                      <w:r w:rsidRPr="00B90A37">
                        <w:rPr>
                          <w:rFonts w:ascii="Times New Roman" w:hAnsi="Times New Roman"/>
                          <w:sz w:val="24"/>
                          <w:szCs w:val="24"/>
                        </w:rPr>
                        <w:t xml:space="preserve"> six Division of Cancer Prevention and Control (DCPC) National Comprehensive Cancer Control Program (NCCCP) DP15-1501-funded grantees’ efforts.  The assessment will determine their ability to implement evidence-based and promising strategies to increase knowledge of cancer survivor needs, increase utilization of surveillance data to inform program planning by providers and coalition members, and enhance partnerships to facilitate and broaden program reach.</w:t>
                      </w:r>
                    </w:p>
                    <w:p w14:paraId="6C49EFC1" w14:textId="77777777" w:rsidR="00473CB8" w:rsidRPr="00B90A37" w:rsidRDefault="00473CB8" w:rsidP="00226452">
                      <w:pPr>
                        <w:pStyle w:val="ListParagraph"/>
                        <w:spacing w:after="200"/>
                        <w:ind w:left="360"/>
                        <w:contextualSpacing/>
                        <w:rPr>
                          <w:rFonts w:ascii="Times New Roman" w:hAnsi="Times New Roman"/>
                          <w:b/>
                          <w:sz w:val="24"/>
                          <w:szCs w:val="24"/>
                        </w:rPr>
                      </w:pPr>
                    </w:p>
                    <w:p w14:paraId="6B7FBF3D"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 xml:space="preserve">Intended use of the resulting data: </w:t>
                      </w:r>
                      <w:r w:rsidRPr="00B90A37">
                        <w:rPr>
                          <w:rFonts w:ascii="Times New Roman" w:hAnsi="Times New Roman"/>
                          <w:sz w:val="24"/>
                          <w:szCs w:val="24"/>
                        </w:rPr>
                        <w:t xml:space="preserve">This information collection will be used to better understand strategies and best practices used to identify and address current cancer survivorship needs and gaps. </w:t>
                      </w:r>
                    </w:p>
                    <w:p w14:paraId="1ED87861" w14:textId="77777777" w:rsidR="00473CB8" w:rsidRPr="00B90A37" w:rsidRDefault="00473CB8" w:rsidP="00226452">
                      <w:pPr>
                        <w:pStyle w:val="ListParagraph"/>
                        <w:ind w:left="0"/>
                        <w:rPr>
                          <w:rFonts w:ascii="Times New Roman" w:hAnsi="Times New Roman"/>
                          <w:sz w:val="24"/>
                          <w:szCs w:val="24"/>
                        </w:rPr>
                      </w:pPr>
                    </w:p>
                    <w:p w14:paraId="718EE665"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 xml:space="preserve">Methods to be used to collect: </w:t>
                      </w:r>
                      <w:r w:rsidRPr="00B90A37">
                        <w:rPr>
                          <w:rFonts w:ascii="Times New Roman" w:hAnsi="Times New Roman"/>
                          <w:sz w:val="24"/>
                          <w:szCs w:val="24"/>
                        </w:rPr>
                        <w:t>There will be two waves of data collection, each featuring a Web-based Grantee Survey of NCCCP DP15-1501 grantees, a Web-based Partner Survey of grantees’ partners, and telephone interviews with NCCCP DP15-1501 grantees. E-mail invitations will be sent to NCCCP DP15-1501 grantee staff inviting them to participate in a voluntary Web-based survey and a semi</w:t>
                      </w:r>
                      <w:r w:rsidR="00256E12">
                        <w:rPr>
                          <w:rFonts w:ascii="Times New Roman" w:hAnsi="Times New Roman"/>
                          <w:sz w:val="24"/>
                          <w:szCs w:val="24"/>
                        </w:rPr>
                        <w:t>-</w:t>
                      </w:r>
                      <w:r w:rsidRPr="00B90A37">
                        <w:rPr>
                          <w:rFonts w:ascii="Times New Roman" w:hAnsi="Times New Roman"/>
                          <w:sz w:val="24"/>
                          <w:szCs w:val="24"/>
                        </w:rPr>
                        <w:t xml:space="preserve">structured telephone interview. Individuals who do not complete the Web-based survey or do not provide their availability for a telephone interview will be sent follow-up e-mails. </w:t>
                      </w:r>
                    </w:p>
                    <w:p w14:paraId="1229A3A2" w14:textId="77777777" w:rsidR="00473CB8" w:rsidRPr="00B90A37" w:rsidRDefault="00473CB8" w:rsidP="00226452">
                      <w:pPr>
                        <w:pStyle w:val="ListParagraph"/>
                        <w:ind w:left="0"/>
                        <w:rPr>
                          <w:rFonts w:ascii="Times New Roman" w:hAnsi="Times New Roman"/>
                          <w:sz w:val="24"/>
                          <w:szCs w:val="24"/>
                        </w:rPr>
                      </w:pPr>
                    </w:p>
                    <w:p w14:paraId="627749E7" w14:textId="77777777" w:rsidR="00473CB8" w:rsidRPr="00B90A37" w:rsidRDefault="00473CB8" w:rsidP="00226452">
                      <w:pPr>
                        <w:pStyle w:val="ListParagraph"/>
                        <w:numPr>
                          <w:ilvl w:val="0"/>
                          <w:numId w:val="3"/>
                        </w:numPr>
                        <w:spacing w:after="200"/>
                        <w:ind w:left="360"/>
                        <w:contextualSpacing/>
                        <w:rPr>
                          <w:rFonts w:ascii="Times New Roman" w:hAnsi="Times New Roman"/>
                          <w:b/>
                          <w:sz w:val="24"/>
                          <w:szCs w:val="24"/>
                        </w:rPr>
                      </w:pPr>
                      <w:r w:rsidRPr="00B90A37">
                        <w:rPr>
                          <w:rFonts w:ascii="Times New Roman" w:hAnsi="Times New Roman"/>
                          <w:b/>
                          <w:sz w:val="24"/>
                          <w:szCs w:val="24"/>
                        </w:rPr>
                        <w:t xml:space="preserve">Subpopulation to be assessed </w:t>
                      </w:r>
                      <w:r w:rsidRPr="00B90A37">
                        <w:rPr>
                          <w:rFonts w:ascii="Times New Roman" w:hAnsi="Times New Roman"/>
                          <w:sz w:val="24"/>
                          <w:szCs w:val="24"/>
                        </w:rPr>
                        <w:t xml:space="preserve">Respondents will include NCCCP DP15-1501 grantee staff (e.g., program directors and program managers) and key partners (e.g., coalition members, providers, patient navigators). </w:t>
                      </w:r>
                    </w:p>
                    <w:p w14:paraId="155B0AC6" w14:textId="77777777" w:rsidR="00473CB8" w:rsidRPr="00B90A37" w:rsidRDefault="00473CB8" w:rsidP="00226452">
                      <w:pPr>
                        <w:pStyle w:val="ListParagraph"/>
                        <w:ind w:left="0"/>
                        <w:rPr>
                          <w:rFonts w:ascii="Times New Roman" w:hAnsi="Times New Roman"/>
                          <w:sz w:val="24"/>
                          <w:szCs w:val="24"/>
                          <w:highlight w:val="yellow"/>
                        </w:rPr>
                      </w:pPr>
                    </w:p>
                    <w:p w14:paraId="60B8F7F6" w14:textId="77777777" w:rsidR="00473CB8" w:rsidRPr="00912FF5" w:rsidRDefault="00473CB8" w:rsidP="00C97F7C">
                      <w:pPr>
                        <w:pStyle w:val="ListParagraph"/>
                        <w:numPr>
                          <w:ilvl w:val="0"/>
                          <w:numId w:val="3"/>
                        </w:numPr>
                        <w:spacing w:after="200"/>
                        <w:ind w:left="360"/>
                        <w:contextualSpacing/>
                        <w:rPr>
                          <w:rFonts w:ascii="Times New Roman" w:hAnsi="Times New Roman"/>
                        </w:rPr>
                      </w:pPr>
                      <w:r w:rsidRPr="00B90A37">
                        <w:rPr>
                          <w:rFonts w:ascii="Times New Roman" w:hAnsi="Times New Roman"/>
                          <w:b/>
                          <w:sz w:val="24"/>
                          <w:szCs w:val="24"/>
                        </w:rPr>
                        <w:t xml:space="preserve">How data will be analyzed: </w:t>
                      </w:r>
                      <w:r w:rsidRPr="00B90A37">
                        <w:rPr>
                          <w:rFonts w:ascii="Times New Roman" w:hAnsi="Times New Roman"/>
                          <w:sz w:val="24"/>
                          <w:szCs w:val="24"/>
                        </w:rPr>
                        <w:t>The data will be analyzed using descriptive statistics and qualitative methodology. Findings will be reported in aggregate</w:t>
                      </w:r>
                      <w:r w:rsidRPr="00912FF5">
                        <w:rPr>
                          <w:rFonts w:ascii="Times New Roman" w:hAnsi="Times New Roman"/>
                        </w:rPr>
                        <w:t xml:space="preserve">. </w:t>
                      </w:r>
                    </w:p>
                  </w:txbxContent>
                </v:textbox>
                <w10:anchorlock/>
              </v:shape>
            </w:pict>
          </mc:Fallback>
        </mc:AlternateContent>
      </w:r>
    </w:p>
    <w:p w14:paraId="2D5A5684" w14:textId="77777777" w:rsidR="00226452" w:rsidRPr="007C36F3" w:rsidRDefault="00226452" w:rsidP="00F72F56">
      <w:pPr>
        <w:rPr>
          <w:noProof/>
        </w:rPr>
      </w:pPr>
    </w:p>
    <w:p w14:paraId="7DB5C929" w14:textId="77777777" w:rsidR="005B19CD" w:rsidRPr="007C36F3" w:rsidRDefault="005B19CD" w:rsidP="00DB1E8B">
      <w:pPr>
        <w:pStyle w:val="Heading1"/>
        <w:spacing w:before="0" w:after="0"/>
      </w:pPr>
      <w:bookmarkStart w:id="2" w:name="_Toc475699028"/>
      <w:bookmarkEnd w:id="1"/>
      <w:r w:rsidRPr="007C36F3">
        <w:t>A.</w:t>
      </w:r>
      <w:r w:rsidRPr="007C36F3">
        <w:tab/>
        <w:t>Justification</w:t>
      </w:r>
      <w:bookmarkEnd w:id="2"/>
    </w:p>
    <w:p w14:paraId="41F32779" w14:textId="77777777" w:rsidR="005B19CD" w:rsidRDefault="005B19CD" w:rsidP="00DB1E8B">
      <w:pPr>
        <w:pStyle w:val="Heading2"/>
        <w:spacing w:before="0" w:after="0"/>
        <w:rPr>
          <w:b w:val="0"/>
          <w:u w:val="single"/>
        </w:rPr>
      </w:pPr>
      <w:bookmarkStart w:id="3" w:name="_Toc475699029"/>
      <w:r w:rsidRPr="001C6E14">
        <w:rPr>
          <w:b w:val="0"/>
        </w:rPr>
        <w:t>1</w:t>
      </w:r>
      <w:r w:rsidR="00DB1E8B" w:rsidRPr="001C6E14">
        <w:rPr>
          <w:b w:val="0"/>
        </w:rPr>
        <w:t>.</w:t>
      </w:r>
      <w:r w:rsidRPr="007C36F3">
        <w:tab/>
      </w:r>
      <w:r w:rsidRPr="00DB1E8B">
        <w:rPr>
          <w:b w:val="0"/>
          <w:u w:val="single"/>
        </w:rPr>
        <w:t>Circumstances Making the Collection of Information Necessary</w:t>
      </w:r>
      <w:bookmarkEnd w:id="3"/>
    </w:p>
    <w:p w14:paraId="283E3748" w14:textId="77777777" w:rsidR="00DB1E8B" w:rsidRPr="00DB1E8B" w:rsidRDefault="00DB1E8B" w:rsidP="00DB1E8B"/>
    <w:p w14:paraId="75DB9554" w14:textId="77777777" w:rsidR="005B19CD" w:rsidRDefault="005B19CD" w:rsidP="00DB1E8B">
      <w:pPr>
        <w:pStyle w:val="BodyText2"/>
        <w:spacing w:after="0" w:line="240" w:lineRule="auto"/>
      </w:pPr>
      <w:r w:rsidRPr="007C36F3">
        <w:t xml:space="preserve">This is a new information collection request to support an </w:t>
      </w:r>
      <w:r w:rsidR="006F5CE5">
        <w:t>assessment</w:t>
      </w:r>
      <w:r w:rsidRPr="007C36F3">
        <w:t xml:space="preserve"> of a Centers for Disease Control and Prevention (CDC)–administered cooperative agreement that provides resources to NCCCP grantees to develop and implement interventions that address the needs of cancer survivors.</w:t>
      </w:r>
      <w:r w:rsidR="00A8107B">
        <w:t xml:space="preserve"> OMB approval is requested for 3</w:t>
      </w:r>
      <w:r w:rsidRPr="007C36F3">
        <w:t xml:space="preserve"> years to collect program data from six NCCCP grantees. CDC’s authorization to conduct this assessment is provided by Section 301 of the Public Health Service Act (42 U.S.C. 241) (</w:t>
      </w:r>
      <w:r w:rsidRPr="007C36F3">
        <w:rPr>
          <w:b/>
        </w:rPr>
        <w:t>Attachment 1</w:t>
      </w:r>
      <w:r w:rsidRPr="007C36F3">
        <w:t xml:space="preserve">). </w:t>
      </w:r>
    </w:p>
    <w:p w14:paraId="03FC9EFF" w14:textId="77777777" w:rsidR="00C00AA9" w:rsidRPr="007C36F3" w:rsidRDefault="00C00AA9" w:rsidP="00DB1E8B">
      <w:pPr>
        <w:pStyle w:val="BodyText2"/>
        <w:spacing w:after="0" w:line="240" w:lineRule="auto"/>
      </w:pPr>
    </w:p>
    <w:p w14:paraId="0D6C4A45" w14:textId="77777777" w:rsidR="005B19CD" w:rsidRDefault="005B19CD" w:rsidP="00E654A1">
      <w:pPr>
        <w:pStyle w:val="BodyText2"/>
        <w:spacing w:after="0" w:line="240" w:lineRule="auto"/>
        <w:rPr>
          <w:bCs/>
        </w:rPr>
      </w:pPr>
      <w:r w:rsidRPr="007C36F3">
        <w:t>Under CDC</w:t>
      </w:r>
      <w:r w:rsidR="00C02276" w:rsidRPr="007C36F3">
        <w:t>’s NCCCP</w:t>
      </w:r>
      <w:r w:rsidRPr="007C36F3">
        <w:t xml:space="preserve"> R</w:t>
      </w:r>
      <w:r w:rsidR="00C02276" w:rsidRPr="007C36F3">
        <w:t xml:space="preserve">equest </w:t>
      </w:r>
      <w:r w:rsidR="004B2ABF">
        <w:t>f</w:t>
      </w:r>
      <w:r w:rsidR="00C02276" w:rsidRPr="007C36F3">
        <w:t xml:space="preserve">or </w:t>
      </w:r>
      <w:r w:rsidRPr="007C36F3">
        <w:t>A</w:t>
      </w:r>
      <w:r w:rsidR="00C02276" w:rsidRPr="007C36F3">
        <w:t>pplications</w:t>
      </w:r>
      <w:r w:rsidRPr="007C36F3">
        <w:t xml:space="preserve"> DP15-1501, DCPC funded six grantees to implement evidence-based and promising strategies to increase knowledge of cancer survivor needs, increase survivor knowledge of treatment and follow-up care, and increase provider knowledge of guidelines pertaining to treatment of cancer. Cancer survivors now represent a significant portion of the public, with approximately 15.5 million cancer survivors in the United States as of January 2016; this number is expected to grow to 20 million by 2026 (Miller et al., 2016). Cancer and treatment of the disease can take a significant toll on the overall well-being of survivors, including their physical and emotional health and functioning (CDC, 2013; Stovall et al., 2005). Through this initiative, DCPC intends to help address the public health needs of cancer survivors. Specifically</w:t>
      </w:r>
      <w:r w:rsidR="00FC2526" w:rsidRPr="007C36F3">
        <w:t>,</w:t>
      </w:r>
      <w:r w:rsidRPr="007C36F3">
        <w:t xml:space="preserve"> this initiative employs s</w:t>
      </w:r>
      <w:r w:rsidRPr="007C36F3">
        <w:rPr>
          <w:bCs/>
        </w:rPr>
        <w:t xml:space="preserve">trategies that relate to increasing surveillance and community-clinical linkages. To facilitate evidence-informed policy making and quality improvement of federal programs, a comprehensive </w:t>
      </w:r>
      <w:r w:rsidR="006F5CE5">
        <w:rPr>
          <w:bCs/>
        </w:rPr>
        <w:t>assessment</w:t>
      </w:r>
      <w:r w:rsidRPr="007C36F3">
        <w:rPr>
          <w:bCs/>
        </w:rPr>
        <w:t xml:space="preserve"> is needed to characterize </w:t>
      </w:r>
      <w:r w:rsidR="009F3C11" w:rsidRPr="007C36F3">
        <w:rPr>
          <w:bCs/>
        </w:rPr>
        <w:t xml:space="preserve">survivorship </w:t>
      </w:r>
      <w:r w:rsidRPr="007C36F3">
        <w:rPr>
          <w:bCs/>
        </w:rPr>
        <w:t xml:space="preserve">interventions and document outcomes. </w:t>
      </w:r>
    </w:p>
    <w:p w14:paraId="0E6A044C" w14:textId="77777777" w:rsidR="00C00AA9" w:rsidRPr="007C36F3" w:rsidRDefault="00C00AA9" w:rsidP="00E654A1">
      <w:pPr>
        <w:pStyle w:val="BodyText2"/>
        <w:spacing w:after="0" w:line="240" w:lineRule="auto"/>
      </w:pPr>
    </w:p>
    <w:p w14:paraId="1433992D" w14:textId="77777777" w:rsidR="005B19CD" w:rsidRDefault="005B19CD" w:rsidP="00E654A1">
      <w:pPr>
        <w:pStyle w:val="BodyText2"/>
        <w:spacing w:after="0" w:line="240" w:lineRule="auto"/>
      </w:pPr>
      <w:r w:rsidRPr="007C36F3">
        <w:rPr>
          <w:rFonts w:eastAsia="Batang"/>
        </w:rPr>
        <w:t>The proposed information collection will focus on how each grantee has expanded their knowledge of cancer survivor need</w:t>
      </w:r>
      <w:r w:rsidRPr="007C36F3">
        <w:t>s, increased utilization of surveillance data to inform program planning by providers and coalition members, and enhanced partnerships to facilitate and broaden program reach</w:t>
      </w:r>
      <w:r w:rsidRPr="007C36F3">
        <w:rPr>
          <w:rFonts w:eastAsia="Batang"/>
        </w:rPr>
        <w:t xml:space="preserve">. Data will also be collected on challenges encountered and addressed, factors that facilitated implementation, and lessons learned along the way. </w:t>
      </w:r>
      <w:r w:rsidRPr="007C36F3">
        <w:t xml:space="preserve">The information to be collected does not currently exist for organizations and entities working to improve cancer survivorship needs. The insights to be gained from this data collection will be critical to improving immediate efforts and achieving the goals of spreading and replicating strategies to improve the public health needs of cancer survivors. </w:t>
      </w:r>
    </w:p>
    <w:p w14:paraId="1A88045A" w14:textId="77777777" w:rsidR="005F348A" w:rsidRPr="007C36F3" w:rsidRDefault="005F348A" w:rsidP="00E654A1">
      <w:pPr>
        <w:pStyle w:val="BodyText2"/>
        <w:spacing w:after="0" w:line="240" w:lineRule="auto"/>
      </w:pPr>
    </w:p>
    <w:p w14:paraId="6F1BC297" w14:textId="77777777" w:rsidR="005B19CD" w:rsidRDefault="005B19CD" w:rsidP="005F348A">
      <w:pPr>
        <w:pStyle w:val="Heading2"/>
        <w:spacing w:before="0" w:after="0"/>
      </w:pPr>
      <w:bookmarkStart w:id="4" w:name="_Toc475699031"/>
      <w:r w:rsidRPr="001C6E14">
        <w:rPr>
          <w:b w:val="0"/>
        </w:rPr>
        <w:t>2</w:t>
      </w:r>
      <w:r w:rsidR="00E654A1" w:rsidRPr="001C6E14">
        <w:rPr>
          <w:b w:val="0"/>
        </w:rPr>
        <w:t>.</w:t>
      </w:r>
      <w:r w:rsidRPr="007C36F3">
        <w:tab/>
      </w:r>
      <w:r w:rsidRPr="00E654A1">
        <w:rPr>
          <w:b w:val="0"/>
          <w:u w:val="single"/>
        </w:rPr>
        <w:t>Purpose and Use of Information Collection</w:t>
      </w:r>
      <w:bookmarkEnd w:id="4"/>
      <w:r w:rsidRPr="007C36F3">
        <w:t xml:space="preserve"> </w:t>
      </w:r>
    </w:p>
    <w:p w14:paraId="17050927" w14:textId="77777777" w:rsidR="005F348A" w:rsidRPr="005F348A" w:rsidRDefault="005F348A" w:rsidP="005F348A"/>
    <w:p w14:paraId="373CDF08" w14:textId="77777777" w:rsidR="005B19CD" w:rsidRDefault="005B19CD" w:rsidP="005F348A">
      <w:pPr>
        <w:pStyle w:val="BodyText2"/>
        <w:spacing w:after="0" w:line="240" w:lineRule="auto"/>
      </w:pPr>
      <w:r w:rsidRPr="007C36F3">
        <w:t xml:space="preserve">The purpose of the proposed information collection is to help DCPC better understand the extent to which NCCCP grantees have increased knowledge of cancer survivor needs and gaps, increased utilization of surveillance data to inform program planning, established or enhanced partnerships focused on meeting the needs of cancer survivors, and broadened the reach of survivor programs. The key </w:t>
      </w:r>
      <w:r w:rsidR="006F5CE5">
        <w:t>research</w:t>
      </w:r>
      <w:r w:rsidRPr="007C36F3">
        <w:t xml:space="preserve"> questions guiding this assessment are as follows: </w:t>
      </w:r>
    </w:p>
    <w:p w14:paraId="354502C9" w14:textId="77777777" w:rsidR="00866DE2" w:rsidRPr="007C36F3" w:rsidRDefault="00866DE2" w:rsidP="005F348A">
      <w:pPr>
        <w:pStyle w:val="BodyText2"/>
        <w:spacing w:after="0" w:line="240" w:lineRule="auto"/>
      </w:pPr>
    </w:p>
    <w:p w14:paraId="33889A6F" w14:textId="77777777" w:rsidR="005B19CD" w:rsidRPr="007C36F3" w:rsidRDefault="005B19CD" w:rsidP="005F348A">
      <w:pPr>
        <w:pStyle w:val="TableText"/>
        <w:numPr>
          <w:ilvl w:val="0"/>
          <w:numId w:val="22"/>
        </w:numPr>
        <w:spacing w:before="0" w:after="0"/>
        <w:ind w:left="1080"/>
        <w:rPr>
          <w:rFonts w:ascii="Times New Roman" w:hAnsi="Times New Roman"/>
          <w:sz w:val="24"/>
          <w:szCs w:val="24"/>
        </w:rPr>
      </w:pPr>
      <w:r w:rsidRPr="007C36F3">
        <w:rPr>
          <w:rFonts w:ascii="Times New Roman" w:hAnsi="Times New Roman"/>
          <w:sz w:val="24"/>
          <w:szCs w:val="24"/>
        </w:rPr>
        <w:t>How have grantees increased utilization of surveillance data to inform program planning by providers and other coalition members?</w:t>
      </w:r>
    </w:p>
    <w:p w14:paraId="08AE8F41" w14:textId="77777777" w:rsidR="005B19CD" w:rsidRPr="007C36F3" w:rsidRDefault="005B19CD" w:rsidP="005F348A">
      <w:pPr>
        <w:pStyle w:val="ListParagraph"/>
        <w:numPr>
          <w:ilvl w:val="0"/>
          <w:numId w:val="22"/>
        </w:numPr>
        <w:ind w:left="1080"/>
        <w:rPr>
          <w:rFonts w:ascii="Times New Roman" w:hAnsi="Times New Roman"/>
          <w:sz w:val="24"/>
          <w:szCs w:val="24"/>
        </w:rPr>
      </w:pPr>
      <w:r w:rsidRPr="007C36F3">
        <w:rPr>
          <w:rFonts w:ascii="Times New Roman" w:hAnsi="Times New Roman"/>
          <w:sz w:val="24"/>
          <w:szCs w:val="24"/>
        </w:rPr>
        <w:t>In what ways have grantees educated providers?</w:t>
      </w:r>
    </w:p>
    <w:p w14:paraId="2BBA77CC" w14:textId="77777777" w:rsidR="005B19CD" w:rsidRPr="007C36F3" w:rsidRDefault="005B19CD" w:rsidP="005F348A">
      <w:pPr>
        <w:pStyle w:val="ListParagraph"/>
        <w:numPr>
          <w:ilvl w:val="0"/>
          <w:numId w:val="22"/>
        </w:numPr>
        <w:ind w:left="1080"/>
        <w:rPr>
          <w:rFonts w:ascii="Times New Roman" w:hAnsi="Times New Roman"/>
          <w:sz w:val="24"/>
          <w:szCs w:val="24"/>
        </w:rPr>
      </w:pPr>
      <w:r w:rsidRPr="007C36F3">
        <w:rPr>
          <w:rFonts w:ascii="Times New Roman" w:hAnsi="Times New Roman"/>
          <w:sz w:val="24"/>
          <w:szCs w:val="24"/>
        </w:rPr>
        <w:t>What steps have grantees taken to educate cancer survivors?</w:t>
      </w:r>
    </w:p>
    <w:p w14:paraId="455E8D60" w14:textId="77777777" w:rsidR="005B19CD" w:rsidRPr="007C36F3" w:rsidRDefault="005B19CD" w:rsidP="005F348A">
      <w:pPr>
        <w:pStyle w:val="ListParagraph"/>
        <w:numPr>
          <w:ilvl w:val="0"/>
          <w:numId w:val="22"/>
        </w:numPr>
        <w:ind w:left="1080"/>
        <w:rPr>
          <w:rFonts w:ascii="Times New Roman" w:hAnsi="Times New Roman"/>
          <w:sz w:val="24"/>
          <w:szCs w:val="24"/>
        </w:rPr>
      </w:pPr>
      <w:r w:rsidRPr="007C36F3">
        <w:rPr>
          <w:rFonts w:ascii="Times New Roman" w:hAnsi="Times New Roman"/>
          <w:sz w:val="24"/>
          <w:szCs w:val="24"/>
        </w:rPr>
        <w:t xml:space="preserve">To what extent have grantees increased their knowledge of cancer survivor needs </w:t>
      </w:r>
      <w:r w:rsidR="00E16FE7" w:rsidRPr="007C36F3">
        <w:rPr>
          <w:rFonts w:ascii="Times New Roman" w:hAnsi="Times New Roman"/>
          <w:sz w:val="24"/>
          <w:szCs w:val="24"/>
        </w:rPr>
        <w:t xml:space="preserve">or </w:t>
      </w:r>
      <w:r w:rsidRPr="007C36F3">
        <w:rPr>
          <w:rFonts w:ascii="Times New Roman" w:hAnsi="Times New Roman"/>
          <w:sz w:val="24"/>
          <w:szCs w:val="24"/>
        </w:rPr>
        <w:t xml:space="preserve">gaps? </w:t>
      </w:r>
    </w:p>
    <w:p w14:paraId="57628885" w14:textId="77777777" w:rsidR="005B19CD" w:rsidRPr="007C36F3" w:rsidRDefault="005B19CD" w:rsidP="005F348A">
      <w:pPr>
        <w:pStyle w:val="ListParagraph"/>
        <w:numPr>
          <w:ilvl w:val="0"/>
          <w:numId w:val="22"/>
        </w:numPr>
        <w:ind w:left="1080"/>
        <w:rPr>
          <w:rFonts w:ascii="Times New Roman" w:hAnsi="Times New Roman"/>
          <w:sz w:val="24"/>
          <w:szCs w:val="24"/>
        </w:rPr>
      </w:pPr>
      <w:r w:rsidRPr="007C36F3">
        <w:rPr>
          <w:rFonts w:ascii="Times New Roman" w:hAnsi="Times New Roman"/>
          <w:sz w:val="24"/>
          <w:szCs w:val="24"/>
        </w:rPr>
        <w:t>How have grantees increased their knowledge of cancer survivor needs</w:t>
      </w:r>
      <w:r w:rsidR="001B5134" w:rsidRPr="007C36F3">
        <w:rPr>
          <w:rFonts w:ascii="Times New Roman" w:hAnsi="Times New Roman"/>
          <w:sz w:val="24"/>
          <w:szCs w:val="24"/>
        </w:rPr>
        <w:t xml:space="preserve"> or</w:t>
      </w:r>
      <w:r w:rsidR="00C15B99" w:rsidRPr="007C36F3">
        <w:rPr>
          <w:rFonts w:ascii="Times New Roman" w:hAnsi="Times New Roman"/>
          <w:sz w:val="24"/>
          <w:szCs w:val="24"/>
        </w:rPr>
        <w:t xml:space="preserve"> </w:t>
      </w:r>
      <w:r w:rsidRPr="007C36F3">
        <w:rPr>
          <w:rFonts w:ascii="Times New Roman" w:hAnsi="Times New Roman"/>
          <w:sz w:val="24"/>
          <w:szCs w:val="24"/>
        </w:rPr>
        <w:t xml:space="preserve">gaps? </w:t>
      </w:r>
    </w:p>
    <w:p w14:paraId="4CB82311" w14:textId="77777777" w:rsidR="005B19CD" w:rsidRPr="007C36F3" w:rsidRDefault="005B19CD" w:rsidP="005F348A">
      <w:pPr>
        <w:pStyle w:val="ListParagraph"/>
        <w:numPr>
          <w:ilvl w:val="0"/>
          <w:numId w:val="22"/>
        </w:numPr>
        <w:ind w:left="1080"/>
        <w:rPr>
          <w:rFonts w:ascii="Times New Roman" w:hAnsi="Times New Roman"/>
          <w:sz w:val="24"/>
          <w:szCs w:val="24"/>
        </w:rPr>
      </w:pPr>
      <w:r w:rsidRPr="007C36F3">
        <w:rPr>
          <w:rFonts w:ascii="Times New Roman" w:hAnsi="Times New Roman"/>
          <w:sz w:val="24"/>
          <w:szCs w:val="24"/>
        </w:rPr>
        <w:t>How have grantees increased partnerships with external partners (e.g., providers, patient navigators, cancer organizations)?</w:t>
      </w:r>
    </w:p>
    <w:p w14:paraId="4F2633B8" w14:textId="77777777" w:rsidR="003C181B" w:rsidRDefault="005B19CD" w:rsidP="003C181B">
      <w:pPr>
        <w:pStyle w:val="TableText"/>
        <w:numPr>
          <w:ilvl w:val="0"/>
          <w:numId w:val="22"/>
        </w:numPr>
        <w:spacing w:before="0" w:after="0"/>
        <w:ind w:left="1080"/>
        <w:rPr>
          <w:rFonts w:ascii="Times New Roman" w:hAnsi="Times New Roman"/>
          <w:sz w:val="24"/>
          <w:szCs w:val="24"/>
        </w:rPr>
      </w:pPr>
      <w:r w:rsidRPr="007C36F3">
        <w:rPr>
          <w:rFonts w:ascii="Times New Roman" w:hAnsi="Times New Roman"/>
          <w:sz w:val="24"/>
          <w:szCs w:val="24"/>
        </w:rPr>
        <w:t>How have grantees increased partnerships with internal partners (e.g., other NCCCP grantees)?</w:t>
      </w:r>
      <w:r w:rsidR="003C181B" w:rsidRPr="003C181B">
        <w:rPr>
          <w:rFonts w:ascii="Times New Roman" w:hAnsi="Times New Roman"/>
          <w:sz w:val="24"/>
          <w:szCs w:val="24"/>
        </w:rPr>
        <w:t xml:space="preserve"> </w:t>
      </w:r>
    </w:p>
    <w:p w14:paraId="079AECF1" w14:textId="77777777" w:rsidR="00D65A0D" w:rsidRDefault="003C181B" w:rsidP="005B6FFB">
      <w:pPr>
        <w:pStyle w:val="TableText"/>
        <w:numPr>
          <w:ilvl w:val="0"/>
          <w:numId w:val="22"/>
        </w:numPr>
        <w:spacing w:before="0" w:after="0"/>
        <w:ind w:left="1080"/>
        <w:rPr>
          <w:rFonts w:ascii="Times New Roman" w:hAnsi="Times New Roman"/>
          <w:sz w:val="24"/>
          <w:szCs w:val="24"/>
        </w:rPr>
      </w:pPr>
      <w:r w:rsidRPr="007C36F3">
        <w:rPr>
          <w:rFonts w:ascii="Times New Roman" w:hAnsi="Times New Roman"/>
          <w:sz w:val="24"/>
          <w:szCs w:val="24"/>
        </w:rPr>
        <w:t>What are the key partners’ roles in planning and/or implementing evidence-informed cancer survivorship strategies?</w:t>
      </w:r>
    </w:p>
    <w:p w14:paraId="2A35DA1E" w14:textId="538DF1E7" w:rsidR="003C181B" w:rsidRDefault="003C181B" w:rsidP="008136C2">
      <w:pPr>
        <w:pStyle w:val="ListParagraph"/>
        <w:numPr>
          <w:ilvl w:val="0"/>
          <w:numId w:val="22"/>
        </w:numPr>
        <w:ind w:left="1080"/>
        <w:rPr>
          <w:rFonts w:ascii="Times New Roman" w:hAnsi="Times New Roman"/>
          <w:sz w:val="24"/>
          <w:szCs w:val="24"/>
        </w:rPr>
      </w:pPr>
      <w:r w:rsidRPr="007C36F3">
        <w:rPr>
          <w:rFonts w:ascii="Times New Roman" w:hAnsi="Times New Roman"/>
          <w:sz w:val="24"/>
          <w:szCs w:val="24"/>
        </w:rPr>
        <w:t>How are grantees implementing community-clinical linkage strategies with their partners?</w:t>
      </w:r>
    </w:p>
    <w:p w14:paraId="6EFD83C4" w14:textId="77777777" w:rsidR="003C181B" w:rsidRPr="005B6FFB" w:rsidRDefault="003C181B" w:rsidP="007A773B">
      <w:pPr>
        <w:pStyle w:val="ListParagraph"/>
        <w:numPr>
          <w:ilvl w:val="0"/>
          <w:numId w:val="22"/>
        </w:numPr>
        <w:ind w:left="1080"/>
        <w:rPr>
          <w:rFonts w:ascii="Times New Roman" w:hAnsi="Times New Roman"/>
          <w:sz w:val="24"/>
          <w:szCs w:val="24"/>
        </w:rPr>
      </w:pPr>
      <w:r w:rsidRPr="007C36F3">
        <w:rPr>
          <w:rFonts w:ascii="Times New Roman" w:hAnsi="Times New Roman"/>
          <w:sz w:val="24"/>
          <w:szCs w:val="24"/>
        </w:rPr>
        <w:t>How have grantees disseminated lessons learned and/or best practices related to the cancer survivorship intervention(s) implemented?</w:t>
      </w:r>
    </w:p>
    <w:p w14:paraId="0EB4F25D" w14:textId="77777777" w:rsidR="001C6E14" w:rsidRPr="007C36F3" w:rsidRDefault="001C6E14" w:rsidP="001C6E14">
      <w:pPr>
        <w:pStyle w:val="ListParagraph"/>
        <w:ind w:left="1080"/>
        <w:rPr>
          <w:rFonts w:ascii="Times New Roman" w:hAnsi="Times New Roman"/>
          <w:sz w:val="24"/>
          <w:szCs w:val="24"/>
        </w:rPr>
      </w:pPr>
    </w:p>
    <w:p w14:paraId="4EC28C83" w14:textId="608C19E9" w:rsidR="00D65A0D" w:rsidRPr="007C36F3" w:rsidRDefault="00D65A0D" w:rsidP="005F348A">
      <w:pPr>
        <w:pStyle w:val="BodyText2"/>
        <w:spacing w:after="0" w:line="240" w:lineRule="auto"/>
      </w:pPr>
      <w:r w:rsidRPr="007C36F3">
        <w:t xml:space="preserve">The proposed information collection will </w:t>
      </w:r>
      <w:r w:rsidR="00B350F5" w:rsidRPr="007C36F3">
        <w:t>be conducted during two cycles of the program: (1) interim period (09/1</w:t>
      </w:r>
      <w:r w:rsidR="00E4614A">
        <w:t>8</w:t>
      </w:r>
      <w:r w:rsidR="00B350F5" w:rsidRPr="007C36F3">
        <w:t>) and (2) final period (0</w:t>
      </w:r>
      <w:r w:rsidR="00E4614A">
        <w:t>5</w:t>
      </w:r>
      <w:r w:rsidR="00B350F5" w:rsidRPr="007C36F3">
        <w:t>/</w:t>
      </w:r>
      <w:r w:rsidR="00E4614A">
        <w:t>20</w:t>
      </w:r>
      <w:r w:rsidR="00B350F5" w:rsidRPr="007C36F3">
        <w:t>)</w:t>
      </w:r>
      <w:r w:rsidRPr="007C36F3">
        <w:t xml:space="preserve">. Both waves will include a Web-based </w:t>
      </w:r>
      <w:r w:rsidR="00E9698D" w:rsidRPr="007C36F3">
        <w:t>Grantee Survey</w:t>
      </w:r>
      <w:r w:rsidR="00B350F5" w:rsidRPr="007C36F3">
        <w:t xml:space="preserve"> (</w:t>
      </w:r>
      <w:r w:rsidR="00B350F5" w:rsidRPr="007C36F3">
        <w:rPr>
          <w:b/>
        </w:rPr>
        <w:t>Attachment 3a</w:t>
      </w:r>
      <w:r w:rsidR="00B350F5" w:rsidRPr="007C36F3">
        <w:t xml:space="preserve">) </w:t>
      </w:r>
      <w:r w:rsidRPr="007C36F3">
        <w:t>to NCCCP DP15-1501 grantee program directors</w:t>
      </w:r>
      <w:r w:rsidR="00EF6AAE" w:rsidRPr="007C36F3">
        <w:t xml:space="preserve"> and</w:t>
      </w:r>
      <w:r w:rsidRPr="007C36F3">
        <w:t xml:space="preserve"> program managers, </w:t>
      </w:r>
      <w:r w:rsidR="00EF6AAE" w:rsidRPr="007C36F3">
        <w:t xml:space="preserve">a Web-based </w:t>
      </w:r>
      <w:r w:rsidR="00E9698D" w:rsidRPr="007C36F3">
        <w:t>Partner Survey</w:t>
      </w:r>
      <w:r w:rsidR="00EF6AAE" w:rsidRPr="007C36F3">
        <w:t xml:space="preserve"> (</w:t>
      </w:r>
      <w:r w:rsidR="00EF6AAE" w:rsidRPr="007C36F3">
        <w:rPr>
          <w:b/>
        </w:rPr>
        <w:t>Attachment 3c)</w:t>
      </w:r>
      <w:r w:rsidR="00EF6AAE" w:rsidRPr="007C36F3">
        <w:t xml:space="preserve"> to grantees’ </w:t>
      </w:r>
      <w:r w:rsidRPr="007C36F3">
        <w:t>self-identified key partners (e.g., coalition members, providers, patient navigators), as well as semi</w:t>
      </w:r>
      <w:r w:rsidR="001A445A">
        <w:t>-</w:t>
      </w:r>
      <w:r w:rsidRPr="007C36F3">
        <w:t xml:space="preserve">structured telephone interviews </w:t>
      </w:r>
      <w:r w:rsidR="00B350F5" w:rsidRPr="007C36F3">
        <w:t>(</w:t>
      </w:r>
      <w:r w:rsidR="00B350F5" w:rsidRPr="007C36F3">
        <w:rPr>
          <w:b/>
        </w:rPr>
        <w:t>Attachment 4</w:t>
      </w:r>
      <w:r w:rsidR="00B350F5" w:rsidRPr="007C36F3">
        <w:t xml:space="preserve">) </w:t>
      </w:r>
      <w:r w:rsidRPr="007C36F3">
        <w:t xml:space="preserve">with NCCCP DP15-1501 grantee program directors and program managers. </w:t>
      </w:r>
      <w:r w:rsidR="008F1808">
        <w:t>For the purposes of this information collection, p</w:t>
      </w:r>
      <w:r w:rsidR="003A2549">
        <w:t xml:space="preserve">artners are defined as individuals or organizations who are helping the grantee implement at least one of their survivorship care activities. </w:t>
      </w:r>
    </w:p>
    <w:p w14:paraId="1895564F" w14:textId="77777777" w:rsidR="00393662" w:rsidRDefault="00393662" w:rsidP="005F348A">
      <w:pPr>
        <w:pStyle w:val="BodyText2"/>
        <w:spacing w:after="0" w:line="240" w:lineRule="auto"/>
      </w:pPr>
      <w:r w:rsidRPr="007C36F3">
        <w:t xml:space="preserve">The Web-based </w:t>
      </w:r>
      <w:r w:rsidR="00E9698D" w:rsidRPr="007C36F3">
        <w:t>Grantee Survey</w:t>
      </w:r>
      <w:r w:rsidRPr="007C36F3">
        <w:t xml:space="preserve"> instrument contains </w:t>
      </w:r>
      <w:r w:rsidR="00FC2526" w:rsidRPr="007C36F3">
        <w:t>29</w:t>
      </w:r>
      <w:r w:rsidR="00EF6AAE" w:rsidRPr="007C36F3">
        <w:t xml:space="preserve"> </w:t>
      </w:r>
      <w:r w:rsidRPr="007C36F3">
        <w:t>questions</w:t>
      </w:r>
      <w:r w:rsidR="00EF6AAE" w:rsidRPr="007C36F3">
        <w:t xml:space="preserve">, and the Web-based </w:t>
      </w:r>
      <w:r w:rsidR="00E9698D" w:rsidRPr="007C36F3">
        <w:t>Partner Survey</w:t>
      </w:r>
      <w:r w:rsidR="00EF6AAE" w:rsidRPr="007C36F3">
        <w:t xml:space="preserve"> instrument contains 2</w:t>
      </w:r>
      <w:r w:rsidR="00ED16A4" w:rsidRPr="007C36F3">
        <w:t>3</w:t>
      </w:r>
      <w:r w:rsidR="00EF6AAE" w:rsidRPr="007C36F3">
        <w:t xml:space="preserve"> questions. Both surveys include</w:t>
      </w:r>
      <w:r w:rsidR="00ED16A4" w:rsidRPr="007C36F3">
        <w:t xml:space="preserve"> a mix of open- and close-ended</w:t>
      </w:r>
      <w:r w:rsidR="00EF6AAE" w:rsidRPr="007C36F3">
        <w:t xml:space="preserve"> </w:t>
      </w:r>
      <w:r w:rsidRPr="007C36F3">
        <w:t>questions</w:t>
      </w:r>
      <w:r w:rsidR="00D25B01" w:rsidRPr="007C36F3">
        <w:t xml:space="preserve"> that ask</w:t>
      </w:r>
      <w:r w:rsidR="00FC2526" w:rsidRPr="007C36F3">
        <w:t xml:space="preserve"> about</w:t>
      </w:r>
      <w:r w:rsidR="00D25B01" w:rsidRPr="007C36F3">
        <w:t xml:space="preserve"> efforts to use surveillance data, conduct education and training, </w:t>
      </w:r>
      <w:r w:rsidR="00FC2526" w:rsidRPr="007C36F3">
        <w:t xml:space="preserve">and </w:t>
      </w:r>
      <w:r w:rsidR="00D25B01" w:rsidRPr="007C36F3">
        <w:t>foster partnerships</w:t>
      </w:r>
      <w:r w:rsidRPr="007C36F3">
        <w:t xml:space="preserve">. </w:t>
      </w:r>
      <w:r w:rsidR="00292C1F" w:rsidRPr="007C36F3">
        <w:rPr>
          <w:b/>
        </w:rPr>
        <w:t>Attachment 3i</w:t>
      </w:r>
      <w:r w:rsidR="00292C1F" w:rsidRPr="007C36F3">
        <w:t xml:space="preserve"> lists all the questions in each survey, showing where common questions occur.  </w:t>
      </w:r>
      <w:r w:rsidRPr="007C36F3">
        <w:t xml:space="preserve">The surveys will display the appropriate questions depending on the respondent’s answers to previous questions. The same </w:t>
      </w:r>
      <w:r w:rsidR="00E9698D" w:rsidRPr="007C36F3">
        <w:t>Partner and Grantee S</w:t>
      </w:r>
      <w:r w:rsidRPr="007C36F3">
        <w:t>urvey</w:t>
      </w:r>
      <w:r w:rsidR="00E9698D" w:rsidRPr="007C36F3">
        <w:t>s</w:t>
      </w:r>
      <w:r w:rsidRPr="007C36F3">
        <w:t xml:space="preserve"> will be used for the interim and final data collection periods.  </w:t>
      </w:r>
    </w:p>
    <w:p w14:paraId="341CCA93" w14:textId="77777777" w:rsidR="001C6E14" w:rsidRPr="007C36F3" w:rsidRDefault="001C6E14" w:rsidP="005F348A">
      <w:pPr>
        <w:pStyle w:val="BodyText2"/>
        <w:spacing w:after="0" w:line="240" w:lineRule="auto"/>
        <w:rPr>
          <w:lang w:eastAsia="x-none"/>
        </w:rPr>
      </w:pPr>
    </w:p>
    <w:p w14:paraId="4F9433E1" w14:textId="77777777" w:rsidR="00393662" w:rsidRDefault="00393662" w:rsidP="005F348A">
      <w:pPr>
        <w:pStyle w:val="BodyText2"/>
        <w:spacing w:after="0" w:line="240" w:lineRule="auto"/>
      </w:pPr>
      <w:r w:rsidRPr="007C36F3">
        <w:t>The semi</w:t>
      </w:r>
      <w:r w:rsidR="001A445A">
        <w:t>-</w:t>
      </w:r>
      <w:r w:rsidRPr="007C36F3">
        <w:t xml:space="preserve">structured telephone interview instrument </w:t>
      </w:r>
      <w:r w:rsidR="0069096F" w:rsidRPr="007C36F3">
        <w:t>(</w:t>
      </w:r>
      <w:r w:rsidR="0069096F" w:rsidRPr="007C36F3">
        <w:rPr>
          <w:b/>
        </w:rPr>
        <w:t>Attachment 4</w:t>
      </w:r>
      <w:r w:rsidR="0069096F" w:rsidRPr="007C36F3">
        <w:t xml:space="preserve">) </w:t>
      </w:r>
      <w:r w:rsidRPr="007C36F3">
        <w:t>contains 14 questions. Interview questions will be open-ended in nature (e.g., “</w:t>
      </w:r>
      <w:r w:rsidR="00E9698D" w:rsidRPr="007C36F3">
        <w:t>H</w:t>
      </w:r>
      <w:r w:rsidRPr="007C36F3">
        <w:t xml:space="preserve">ow are awardees implementing cancer survivorship strategies?”) and capture challenges and lessons learned regarding implementation of cancer survivorship strategies. The telephone interview guide will be used </w:t>
      </w:r>
      <w:r w:rsidR="0069096F" w:rsidRPr="007C36F3">
        <w:t>during</w:t>
      </w:r>
      <w:r w:rsidRPr="007C36F3">
        <w:t xml:space="preserve"> the interim and final data collection periods.  </w:t>
      </w:r>
    </w:p>
    <w:p w14:paraId="03972DB6" w14:textId="77777777" w:rsidR="001C6E14" w:rsidRPr="007C36F3" w:rsidRDefault="001C6E14" w:rsidP="005F348A">
      <w:pPr>
        <w:pStyle w:val="BodyText2"/>
        <w:spacing w:after="0" w:line="240" w:lineRule="auto"/>
        <w:rPr>
          <w:lang w:eastAsia="x-none"/>
        </w:rPr>
      </w:pPr>
    </w:p>
    <w:p w14:paraId="59C152F7" w14:textId="77777777" w:rsidR="005B19CD" w:rsidRDefault="005B19CD" w:rsidP="005F348A">
      <w:pPr>
        <w:pStyle w:val="BodyText2"/>
        <w:spacing w:after="0" w:line="240" w:lineRule="auto"/>
      </w:pPr>
      <w:r w:rsidRPr="007C36F3">
        <w:t>The data from the survey</w:t>
      </w:r>
      <w:r w:rsidR="00EF6AAE" w:rsidRPr="007C36F3">
        <w:t>s</w:t>
      </w:r>
      <w:r w:rsidRPr="007C36F3">
        <w:t xml:space="preserve"> and semi</w:t>
      </w:r>
      <w:r w:rsidR="001A445A">
        <w:t>-</w:t>
      </w:r>
      <w:r w:rsidRPr="007C36F3">
        <w:t xml:space="preserve">structured interviews provide </w:t>
      </w:r>
      <w:r w:rsidR="004408D9" w:rsidRPr="007C36F3">
        <w:t xml:space="preserve">additional </w:t>
      </w:r>
      <w:r w:rsidRPr="007C36F3">
        <w:t xml:space="preserve">insight into program efforts that are documented through required reports that describe grantee efforts and performance. </w:t>
      </w:r>
      <w:r w:rsidR="00185E0E" w:rsidRPr="007C36F3">
        <w:t xml:space="preserve">An environmental scan was conducted in the beginning of the project period to ensure data collection efforts would not duplicate what is already being collected from DP15-1501 grantees (e,g,, via annual reporting of performance measures).  </w:t>
      </w:r>
      <w:r w:rsidRPr="007C36F3">
        <w:t xml:space="preserve">The information </w:t>
      </w:r>
      <w:r w:rsidR="00185E0E" w:rsidRPr="007C36F3">
        <w:t xml:space="preserve">from the surveys and interviews </w:t>
      </w:r>
      <w:r w:rsidRPr="007C36F3">
        <w:t xml:space="preserve">will be </w:t>
      </w:r>
      <w:r w:rsidR="004408D9" w:rsidRPr="007C36F3">
        <w:t xml:space="preserve">combined and </w:t>
      </w:r>
      <w:r w:rsidRPr="007C36F3">
        <w:t xml:space="preserve">used in aggregate. The data will be used to inform future efforts to support cancer survivors and to initiate evidence-informed program decisions </w:t>
      </w:r>
      <w:r w:rsidR="00D65A0D" w:rsidRPr="007C36F3">
        <w:t>when rolling this initiative out to all NCCCP grantees</w:t>
      </w:r>
      <w:r w:rsidRPr="007C36F3">
        <w:t xml:space="preserve">. </w:t>
      </w:r>
      <w:r w:rsidR="00F93F18" w:rsidRPr="007C36F3">
        <w:t>Without this data</w:t>
      </w:r>
      <w:r w:rsidRPr="007C36F3">
        <w:t xml:space="preserve"> collect</w:t>
      </w:r>
      <w:r w:rsidR="00F93F18" w:rsidRPr="007C36F3">
        <w:t>ion</w:t>
      </w:r>
      <w:r w:rsidRPr="007C36F3">
        <w:t xml:space="preserve"> CDC</w:t>
      </w:r>
      <w:r w:rsidR="0093476A" w:rsidRPr="007C36F3">
        <w:t xml:space="preserve"> will not be able</w:t>
      </w:r>
      <w:r w:rsidRPr="007C36F3">
        <w:t xml:space="preserve"> to provide tailored technical assistance to its grantees</w:t>
      </w:r>
      <w:r w:rsidR="00D65A0D" w:rsidRPr="007C36F3">
        <w:t xml:space="preserve"> and communicate program efforts</w:t>
      </w:r>
      <w:r w:rsidRPr="007C36F3">
        <w:t xml:space="preserve">. </w:t>
      </w:r>
    </w:p>
    <w:p w14:paraId="6898C23E" w14:textId="77777777" w:rsidR="001A445A" w:rsidRPr="007C36F3" w:rsidRDefault="001A445A" w:rsidP="005F348A">
      <w:pPr>
        <w:pStyle w:val="BodyText2"/>
        <w:spacing w:after="0" w:line="240" w:lineRule="auto"/>
      </w:pPr>
    </w:p>
    <w:p w14:paraId="4760AFAC" w14:textId="77777777" w:rsidR="005B19CD" w:rsidRPr="001C6E14" w:rsidRDefault="005B19CD" w:rsidP="005F348A">
      <w:pPr>
        <w:pStyle w:val="Heading2"/>
        <w:spacing w:before="0" w:after="0"/>
        <w:rPr>
          <w:b w:val="0"/>
        </w:rPr>
      </w:pPr>
      <w:bookmarkStart w:id="5" w:name="_Toc475699032"/>
      <w:r w:rsidRPr="001C6E14">
        <w:rPr>
          <w:b w:val="0"/>
        </w:rPr>
        <w:t>3</w:t>
      </w:r>
      <w:r w:rsidR="001C6E14">
        <w:rPr>
          <w:b w:val="0"/>
        </w:rPr>
        <w:t>.</w:t>
      </w:r>
      <w:r w:rsidRPr="001C6E14">
        <w:rPr>
          <w:b w:val="0"/>
        </w:rPr>
        <w:tab/>
      </w:r>
      <w:r w:rsidRPr="001C6E14">
        <w:rPr>
          <w:b w:val="0"/>
          <w:u w:val="single"/>
        </w:rPr>
        <w:t>Use of Improved Information Technology and Burden Reduction</w:t>
      </w:r>
      <w:bookmarkEnd w:id="5"/>
    </w:p>
    <w:p w14:paraId="63402995" w14:textId="77777777" w:rsidR="001A445A" w:rsidRPr="001A445A" w:rsidRDefault="001A445A" w:rsidP="001A445A"/>
    <w:p w14:paraId="2F8819A3" w14:textId="77777777" w:rsidR="001C6E14" w:rsidRDefault="00E16FE7" w:rsidP="005F348A">
      <w:pPr>
        <w:pStyle w:val="BodyText2"/>
        <w:spacing w:after="0" w:line="240" w:lineRule="auto"/>
        <w:rPr>
          <w:lang w:eastAsia="x-none"/>
        </w:rPr>
      </w:pPr>
      <w:r w:rsidRPr="007C36F3">
        <w:t>Web</w:t>
      </w:r>
      <w:r w:rsidR="005B19CD" w:rsidRPr="007C36F3">
        <w:t>-based survey data will be collected electronically through SurveyMonkey software</w:t>
      </w:r>
      <w:r w:rsidR="00833F12" w:rsidRPr="007C36F3">
        <w:t xml:space="preserve"> to </w:t>
      </w:r>
      <w:r w:rsidR="005B19CD" w:rsidRPr="007C36F3">
        <w:t xml:space="preserve">eliminate the burden of </w:t>
      </w:r>
      <w:r w:rsidR="00833F12" w:rsidRPr="007C36F3">
        <w:t>completing and transmitting</w:t>
      </w:r>
      <w:r w:rsidR="005B19CD" w:rsidRPr="007C36F3">
        <w:t xml:space="preserve"> a paper</w:t>
      </w:r>
      <w:r w:rsidR="00833F12" w:rsidRPr="007C36F3">
        <w:t>-based</w:t>
      </w:r>
      <w:r w:rsidR="005B19CD" w:rsidRPr="007C36F3">
        <w:t xml:space="preserve"> format. </w:t>
      </w:r>
      <w:r w:rsidR="00405364" w:rsidRPr="007C36F3">
        <w:t>(For screenshots of the web-based survey</w:t>
      </w:r>
      <w:r w:rsidR="00EB45CE" w:rsidRPr="007C36F3">
        <w:t>s</w:t>
      </w:r>
      <w:r w:rsidR="00405364" w:rsidRPr="007C36F3">
        <w:t xml:space="preserve">, see </w:t>
      </w:r>
      <w:r w:rsidR="00405364" w:rsidRPr="007C36F3">
        <w:rPr>
          <w:b/>
        </w:rPr>
        <w:t>Attachment</w:t>
      </w:r>
      <w:r w:rsidR="00EB45CE" w:rsidRPr="007C36F3">
        <w:rPr>
          <w:b/>
        </w:rPr>
        <w:t>s</w:t>
      </w:r>
      <w:r w:rsidR="00405364" w:rsidRPr="007C36F3">
        <w:rPr>
          <w:b/>
        </w:rPr>
        <w:t xml:space="preserve"> 3b</w:t>
      </w:r>
      <w:r w:rsidR="00EB45CE" w:rsidRPr="007C36F3">
        <w:rPr>
          <w:b/>
        </w:rPr>
        <w:t xml:space="preserve"> and 3d</w:t>
      </w:r>
      <w:r w:rsidR="00405364" w:rsidRPr="007C36F3">
        <w:t xml:space="preserve">).  </w:t>
      </w:r>
      <w:r w:rsidR="00833F12" w:rsidRPr="007C36F3">
        <w:t>T</w:t>
      </w:r>
      <w:r w:rsidR="005B19CD" w:rsidRPr="007C36F3">
        <w:rPr>
          <w:lang w:eastAsia="x-none"/>
        </w:rPr>
        <w:t>he survey</w:t>
      </w:r>
      <w:r w:rsidR="00EF6AAE" w:rsidRPr="007C36F3">
        <w:rPr>
          <w:lang w:eastAsia="x-none"/>
        </w:rPr>
        <w:t>s</w:t>
      </w:r>
      <w:r w:rsidR="005B19CD" w:rsidRPr="007C36F3">
        <w:rPr>
          <w:lang w:eastAsia="x-none"/>
        </w:rPr>
        <w:t xml:space="preserve"> </w:t>
      </w:r>
      <w:r w:rsidR="00833F12" w:rsidRPr="007C36F3">
        <w:rPr>
          <w:lang w:eastAsia="x-none"/>
        </w:rPr>
        <w:t xml:space="preserve">will </w:t>
      </w:r>
      <w:r w:rsidR="005B19CD" w:rsidRPr="007C36F3">
        <w:rPr>
          <w:lang w:eastAsia="x-none"/>
        </w:rPr>
        <w:t>be compatible with smartphones</w:t>
      </w:r>
      <w:r w:rsidR="00833F12" w:rsidRPr="007C36F3">
        <w:rPr>
          <w:lang w:eastAsia="x-none"/>
        </w:rPr>
        <w:t>,</w:t>
      </w:r>
      <w:r w:rsidR="005B19CD" w:rsidRPr="007C36F3">
        <w:rPr>
          <w:lang w:eastAsia="x-none"/>
        </w:rPr>
        <w:t xml:space="preserve"> tablets</w:t>
      </w:r>
      <w:r w:rsidR="00833F12" w:rsidRPr="007C36F3">
        <w:rPr>
          <w:lang w:eastAsia="x-none"/>
        </w:rPr>
        <w:t xml:space="preserve"> and</w:t>
      </w:r>
      <w:r w:rsidR="005B19CD" w:rsidRPr="007C36F3">
        <w:rPr>
          <w:lang w:eastAsia="x-none"/>
        </w:rPr>
        <w:t xml:space="preserve"> traditional laptop and desktop computers. </w:t>
      </w:r>
      <w:r w:rsidR="0069096F" w:rsidRPr="007C36F3">
        <w:rPr>
          <w:lang w:eastAsia="x-none"/>
        </w:rPr>
        <w:t xml:space="preserve">The survey will be programmed with skip patterns to reduce respondent burden (i.e. respondents will only see items for which they are eligible to respond). </w:t>
      </w:r>
      <w:r w:rsidR="005B19CD" w:rsidRPr="007C36F3">
        <w:rPr>
          <w:lang w:eastAsia="x-none"/>
        </w:rPr>
        <w:t xml:space="preserve">For </w:t>
      </w:r>
      <w:r w:rsidR="00EF6AAE" w:rsidRPr="007C36F3">
        <w:rPr>
          <w:lang w:eastAsia="x-none"/>
        </w:rPr>
        <w:t xml:space="preserve">grantee and partner </w:t>
      </w:r>
      <w:r w:rsidR="005B19CD" w:rsidRPr="007C36F3">
        <w:rPr>
          <w:lang w:eastAsia="x-none"/>
        </w:rPr>
        <w:t xml:space="preserve">participants who do not complete the </w:t>
      </w:r>
      <w:r w:rsidR="00C02276" w:rsidRPr="007C36F3">
        <w:rPr>
          <w:lang w:eastAsia="x-none"/>
        </w:rPr>
        <w:t>Web</w:t>
      </w:r>
      <w:r w:rsidR="005B19CD" w:rsidRPr="007C36F3">
        <w:rPr>
          <w:lang w:eastAsia="x-none"/>
        </w:rPr>
        <w:t xml:space="preserve">-based survey within 1 week of the initial invitation, we will send an e-mail reminder 1 week after the initial invitation </w:t>
      </w:r>
      <w:r w:rsidR="00D176EC">
        <w:rPr>
          <w:lang w:eastAsia="x-none"/>
        </w:rPr>
        <w:t>(</w:t>
      </w:r>
      <w:r w:rsidR="00D176EC">
        <w:rPr>
          <w:b/>
          <w:lang w:eastAsia="x-none"/>
        </w:rPr>
        <w:t xml:space="preserve">Attachment </w:t>
      </w:r>
      <w:r w:rsidR="001E57E9">
        <w:rPr>
          <w:b/>
          <w:lang w:eastAsia="x-none"/>
        </w:rPr>
        <w:t>3f</w:t>
      </w:r>
      <w:r w:rsidR="001E57E9" w:rsidRPr="001E57E9">
        <w:rPr>
          <w:lang w:eastAsia="x-none"/>
        </w:rPr>
        <w:t>)</w:t>
      </w:r>
      <w:r w:rsidR="001E57E9">
        <w:rPr>
          <w:b/>
          <w:lang w:eastAsia="x-none"/>
        </w:rPr>
        <w:t xml:space="preserve"> </w:t>
      </w:r>
      <w:r w:rsidR="005B19CD" w:rsidRPr="007C36F3">
        <w:rPr>
          <w:lang w:eastAsia="x-none"/>
        </w:rPr>
        <w:t>and a final e-mail reminder 2 weeks after the initial invitation</w:t>
      </w:r>
      <w:r w:rsidR="001E57E9">
        <w:rPr>
          <w:lang w:eastAsia="x-none"/>
        </w:rPr>
        <w:t xml:space="preserve"> (</w:t>
      </w:r>
      <w:r w:rsidR="001E57E9" w:rsidRPr="001E57E9">
        <w:rPr>
          <w:b/>
          <w:lang w:eastAsia="x-none"/>
        </w:rPr>
        <w:t>Attachment 3g</w:t>
      </w:r>
      <w:r w:rsidR="001E57E9">
        <w:rPr>
          <w:lang w:eastAsia="x-none"/>
        </w:rPr>
        <w:t>)</w:t>
      </w:r>
      <w:r w:rsidR="005B19CD" w:rsidRPr="007C36F3">
        <w:rPr>
          <w:lang w:eastAsia="x-none"/>
        </w:rPr>
        <w:t>.</w:t>
      </w:r>
    </w:p>
    <w:p w14:paraId="134C5A42" w14:textId="77777777" w:rsidR="005B19CD" w:rsidRPr="007C36F3" w:rsidRDefault="005B19CD" w:rsidP="005F348A">
      <w:pPr>
        <w:pStyle w:val="BodyText2"/>
        <w:spacing w:after="0" w:line="240" w:lineRule="auto"/>
        <w:rPr>
          <w:lang w:eastAsia="x-none"/>
        </w:rPr>
      </w:pPr>
      <w:r w:rsidRPr="007C36F3">
        <w:rPr>
          <w:lang w:eastAsia="x-none"/>
        </w:rPr>
        <w:t xml:space="preserve"> </w:t>
      </w:r>
    </w:p>
    <w:p w14:paraId="732F59DC" w14:textId="6A8CD751" w:rsidR="005B19CD" w:rsidRPr="005B6FFB" w:rsidRDefault="005B19CD" w:rsidP="005F348A">
      <w:pPr>
        <w:pStyle w:val="BodyText2"/>
        <w:spacing w:after="0" w:line="240" w:lineRule="auto"/>
        <w:rPr>
          <w:rFonts w:eastAsia="Calibri"/>
        </w:rPr>
      </w:pPr>
      <w:r w:rsidRPr="007C36F3">
        <w:rPr>
          <w:rFonts w:eastAsia="Calibri"/>
        </w:rPr>
        <w:t xml:space="preserve">Telephone interviews will collect qualitative data without the costs and respondent burden associated with traditional face-to-face site visits. </w:t>
      </w:r>
      <w:r w:rsidRPr="007C36F3">
        <w:rPr>
          <w:rFonts w:eastAsia="Calibri"/>
          <w:lang w:val="x-none"/>
        </w:rPr>
        <w:t xml:space="preserve">To reduce the burden on </w:t>
      </w:r>
      <w:r w:rsidRPr="007C36F3">
        <w:rPr>
          <w:rFonts w:eastAsia="Calibri"/>
        </w:rPr>
        <w:t>p</w:t>
      </w:r>
      <w:r w:rsidRPr="007C36F3">
        <w:rPr>
          <w:rFonts w:eastAsia="Calibri"/>
          <w:lang w:val="x-none"/>
        </w:rPr>
        <w:t>rogram staff, the lead interviewer will review key program documents</w:t>
      </w:r>
      <w:r w:rsidRPr="007C36F3">
        <w:rPr>
          <w:rFonts w:eastAsia="Calibri"/>
        </w:rPr>
        <w:t>,</w:t>
      </w:r>
      <w:r w:rsidRPr="007C36F3">
        <w:rPr>
          <w:rFonts w:eastAsia="Calibri"/>
          <w:lang w:val="x-none"/>
        </w:rPr>
        <w:t xml:space="preserve"> data abstracted during the </w:t>
      </w:r>
      <w:r w:rsidR="00C02276" w:rsidRPr="007C36F3">
        <w:rPr>
          <w:rFonts w:eastAsia="Calibri"/>
        </w:rPr>
        <w:t>Web</w:t>
      </w:r>
      <w:r w:rsidRPr="007C36F3">
        <w:rPr>
          <w:rFonts w:eastAsia="Calibri"/>
        </w:rPr>
        <w:t>-based survey</w:t>
      </w:r>
      <w:r w:rsidR="00EF6AAE" w:rsidRPr="007C36F3">
        <w:rPr>
          <w:rFonts w:eastAsia="Calibri"/>
        </w:rPr>
        <w:t>s</w:t>
      </w:r>
      <w:r w:rsidRPr="007C36F3">
        <w:rPr>
          <w:rFonts w:eastAsia="Calibri"/>
        </w:rPr>
        <w:t>, or both</w:t>
      </w:r>
      <w:r w:rsidRPr="007C36F3">
        <w:rPr>
          <w:rFonts w:eastAsia="Calibri"/>
          <w:lang w:val="x-none"/>
        </w:rPr>
        <w:t xml:space="preserve"> to tailor the interview guide in advance of the interview and lead the discussion during the telephone interview.</w:t>
      </w:r>
      <w:r w:rsidR="005B6FFB">
        <w:rPr>
          <w:rFonts w:eastAsia="Calibri"/>
        </w:rPr>
        <w:t xml:space="preserve"> </w:t>
      </w:r>
      <w:r w:rsidR="003A2549">
        <w:rPr>
          <w:rFonts w:eastAsia="Calibri"/>
        </w:rPr>
        <w:t xml:space="preserve">Interview guides will be tailored to include specific names of partners, as well as probes on details of specific barriers and facilitators to implementation that are described in the </w:t>
      </w:r>
      <w:r w:rsidR="00A833A6">
        <w:rPr>
          <w:rFonts w:eastAsia="Calibri"/>
        </w:rPr>
        <w:t xml:space="preserve">grantees’ </w:t>
      </w:r>
      <w:r w:rsidR="003A2549">
        <w:rPr>
          <w:rFonts w:eastAsia="Calibri"/>
        </w:rPr>
        <w:t>survey</w:t>
      </w:r>
      <w:r w:rsidR="00A833A6">
        <w:rPr>
          <w:rFonts w:eastAsia="Calibri"/>
        </w:rPr>
        <w:t xml:space="preserve"> responses</w:t>
      </w:r>
      <w:r w:rsidR="003A2549">
        <w:rPr>
          <w:rFonts w:eastAsia="Calibri"/>
        </w:rPr>
        <w:t>.</w:t>
      </w:r>
    </w:p>
    <w:p w14:paraId="7A973C7D" w14:textId="77777777" w:rsidR="001A445A" w:rsidRPr="007C36F3" w:rsidRDefault="001A445A" w:rsidP="005F348A">
      <w:pPr>
        <w:pStyle w:val="BodyText2"/>
        <w:spacing w:after="0" w:line="240" w:lineRule="auto"/>
        <w:rPr>
          <w:rFonts w:eastAsia="Calibri"/>
          <w:lang w:val="x-none"/>
        </w:rPr>
      </w:pPr>
    </w:p>
    <w:p w14:paraId="16F87316" w14:textId="77777777" w:rsidR="005B19CD" w:rsidRPr="001C6E14" w:rsidRDefault="005B19CD" w:rsidP="005F348A">
      <w:pPr>
        <w:pStyle w:val="Heading2"/>
        <w:spacing w:before="0" w:after="0"/>
        <w:rPr>
          <w:b w:val="0"/>
        </w:rPr>
      </w:pPr>
      <w:bookmarkStart w:id="6" w:name="_Toc475699033"/>
      <w:r w:rsidRPr="001C6E14">
        <w:rPr>
          <w:b w:val="0"/>
        </w:rPr>
        <w:t>4</w:t>
      </w:r>
      <w:r w:rsidR="001C6E14">
        <w:rPr>
          <w:b w:val="0"/>
        </w:rPr>
        <w:t>.</w:t>
      </w:r>
      <w:r w:rsidRPr="001C6E14">
        <w:rPr>
          <w:b w:val="0"/>
        </w:rPr>
        <w:tab/>
      </w:r>
      <w:r w:rsidRPr="001C6E14">
        <w:rPr>
          <w:b w:val="0"/>
          <w:u w:val="single"/>
        </w:rPr>
        <w:t>Efforts to Identify Duplication and Use of Similar Information</w:t>
      </w:r>
      <w:bookmarkEnd w:id="6"/>
    </w:p>
    <w:p w14:paraId="5463C737" w14:textId="77777777" w:rsidR="001A445A" w:rsidRPr="001A445A" w:rsidRDefault="001A445A" w:rsidP="001A445A"/>
    <w:p w14:paraId="12DE79FA" w14:textId="772DB1CF" w:rsidR="00E9698D" w:rsidRDefault="00C02276" w:rsidP="005F348A">
      <w:pPr>
        <w:pStyle w:val="BodyText2"/>
        <w:spacing w:after="0" w:line="240" w:lineRule="auto"/>
        <w:rPr>
          <w:rFonts w:cs="Courier New"/>
        </w:rPr>
      </w:pPr>
      <w:r w:rsidRPr="007C36F3">
        <w:t xml:space="preserve">NCCCP </w:t>
      </w:r>
      <w:r w:rsidR="005B19CD" w:rsidRPr="007C36F3">
        <w:t xml:space="preserve">DP15-1501 funding of grantees is a new </w:t>
      </w:r>
      <w:r w:rsidR="00366935" w:rsidRPr="007C36F3">
        <w:t xml:space="preserve">public health </w:t>
      </w:r>
      <w:r w:rsidR="005B19CD" w:rsidRPr="007C36F3">
        <w:t xml:space="preserve">initiative. </w:t>
      </w:r>
      <w:r w:rsidR="0093476A" w:rsidRPr="007C36F3">
        <w:t>S</w:t>
      </w:r>
      <w:r w:rsidR="005B19CD" w:rsidRPr="007C36F3">
        <w:t xml:space="preserve">imilar data are </w:t>
      </w:r>
      <w:r w:rsidR="0093476A" w:rsidRPr="007C36F3">
        <w:t xml:space="preserve">not </w:t>
      </w:r>
      <w:r w:rsidR="005B19CD" w:rsidRPr="007C36F3">
        <w:t xml:space="preserve">available that meet the needs of this proposed </w:t>
      </w:r>
      <w:r w:rsidR="006F5CE5">
        <w:t>assessment</w:t>
      </w:r>
      <w:r w:rsidR="005B19CD" w:rsidRPr="007C36F3">
        <w:t xml:space="preserve">. </w:t>
      </w:r>
      <w:r w:rsidR="005B19CD" w:rsidRPr="007C36F3">
        <w:rPr>
          <w:rFonts w:cs="Courier New"/>
        </w:rPr>
        <w:t>The proposed information collection does not duplicate any information currently being collected from DCPC grantees.</w:t>
      </w:r>
      <w:r w:rsidR="007C36F3" w:rsidRPr="007C36F3">
        <w:rPr>
          <w:rFonts w:cs="Courier New"/>
        </w:rPr>
        <w:t xml:space="preserve"> </w:t>
      </w:r>
      <w:r w:rsidR="008F1808">
        <w:rPr>
          <w:rFonts w:cs="Courier New"/>
        </w:rPr>
        <w:t xml:space="preserve">Individual comprehensive cancer control programs may be collecting state-level data related to cancer survivorship, including administering the </w:t>
      </w:r>
      <w:r w:rsidR="002D3CDA">
        <w:rPr>
          <w:rFonts w:cs="Courier New"/>
        </w:rPr>
        <w:t>cancer survivorship module in the Behavioral Risk Factor Surveillance Survey</w:t>
      </w:r>
      <w:r w:rsidR="008F1808">
        <w:rPr>
          <w:rFonts w:cs="Courier New"/>
        </w:rPr>
        <w:t xml:space="preserve">. However, state-specific data collection doe not meet the needs of this proposed assessment. </w:t>
      </w:r>
      <w:r w:rsidR="002D3CDA">
        <w:rPr>
          <w:rFonts w:cs="Courier New"/>
        </w:rPr>
        <w:t xml:space="preserve"> </w:t>
      </w:r>
      <w:r w:rsidR="00E9698D" w:rsidRPr="007C36F3">
        <w:rPr>
          <w:rFonts w:cs="Courier New"/>
        </w:rPr>
        <w:t xml:space="preserve">An environmental scan was conducted in the first weeks of the project, which allowed RTI to review the types of information already being collected by CDC. This </w:t>
      </w:r>
      <w:r w:rsidR="000F0B12" w:rsidRPr="007C36F3">
        <w:rPr>
          <w:rFonts w:cs="Courier New"/>
        </w:rPr>
        <w:t xml:space="preserve">step assured the project team that future data collection efforts (Grantee/Partner Surveys and interviews) will not duplicate current DP15-1501 reporting and will align with the needs of the </w:t>
      </w:r>
      <w:r w:rsidR="006F5CE5">
        <w:rPr>
          <w:rFonts w:cs="Courier New"/>
        </w:rPr>
        <w:t>assessment</w:t>
      </w:r>
      <w:r w:rsidR="000F0B12" w:rsidRPr="007C36F3">
        <w:rPr>
          <w:rFonts w:cs="Courier New"/>
        </w:rPr>
        <w:t>.</w:t>
      </w:r>
    </w:p>
    <w:p w14:paraId="7BFA1BFF" w14:textId="77777777" w:rsidR="001A445A" w:rsidRPr="007C36F3" w:rsidRDefault="001A445A" w:rsidP="005F348A">
      <w:pPr>
        <w:pStyle w:val="BodyText2"/>
        <w:spacing w:after="0" w:line="240" w:lineRule="auto"/>
        <w:rPr>
          <w:rFonts w:cs="Courier New"/>
        </w:rPr>
      </w:pPr>
    </w:p>
    <w:p w14:paraId="4510FDF9" w14:textId="77777777" w:rsidR="005B19CD" w:rsidRPr="00473CB8" w:rsidRDefault="00473CB8" w:rsidP="005F348A">
      <w:pPr>
        <w:pStyle w:val="Heading2"/>
        <w:spacing w:before="0" w:after="0"/>
        <w:rPr>
          <w:b w:val="0"/>
        </w:rPr>
      </w:pPr>
      <w:bookmarkStart w:id="7" w:name="_Toc475699034"/>
      <w:r>
        <w:rPr>
          <w:b w:val="0"/>
        </w:rPr>
        <w:t>5.</w:t>
      </w:r>
      <w:r w:rsidR="005B19CD" w:rsidRPr="00473CB8">
        <w:rPr>
          <w:b w:val="0"/>
        </w:rPr>
        <w:tab/>
      </w:r>
      <w:r w:rsidR="005B19CD" w:rsidRPr="00473CB8">
        <w:rPr>
          <w:b w:val="0"/>
          <w:u w:val="single"/>
        </w:rPr>
        <w:t>Impact on Small Businesses or Other Entities</w:t>
      </w:r>
      <w:bookmarkEnd w:id="7"/>
    </w:p>
    <w:p w14:paraId="37EC0882" w14:textId="77777777" w:rsidR="001A445A" w:rsidRPr="001A445A" w:rsidRDefault="001A445A" w:rsidP="001A445A"/>
    <w:p w14:paraId="750F2EE7" w14:textId="77777777" w:rsidR="005B19CD" w:rsidRDefault="00366935" w:rsidP="005F348A">
      <w:pPr>
        <w:pStyle w:val="BodyText2"/>
        <w:spacing w:after="0" w:line="240" w:lineRule="auto"/>
      </w:pPr>
      <w:r w:rsidRPr="007C36F3">
        <w:t>This data collection will not involve small businesses.</w:t>
      </w:r>
    </w:p>
    <w:p w14:paraId="62873F4A" w14:textId="77777777" w:rsidR="001A445A" w:rsidRPr="007C36F3" w:rsidRDefault="001A445A" w:rsidP="005F348A">
      <w:pPr>
        <w:pStyle w:val="BodyText2"/>
        <w:spacing w:after="0" w:line="240" w:lineRule="auto"/>
      </w:pPr>
    </w:p>
    <w:p w14:paraId="7993DEF5" w14:textId="77777777" w:rsidR="005B19CD" w:rsidRPr="00473CB8" w:rsidRDefault="00473CB8" w:rsidP="005F348A">
      <w:pPr>
        <w:pStyle w:val="Heading2"/>
        <w:spacing w:before="0" w:after="0"/>
        <w:rPr>
          <w:b w:val="0"/>
          <w:u w:val="single"/>
        </w:rPr>
      </w:pPr>
      <w:bookmarkStart w:id="8" w:name="_Toc475699035"/>
      <w:r>
        <w:rPr>
          <w:b w:val="0"/>
        </w:rPr>
        <w:t>6.</w:t>
      </w:r>
      <w:r w:rsidR="005B19CD" w:rsidRPr="00473CB8">
        <w:rPr>
          <w:b w:val="0"/>
        </w:rPr>
        <w:tab/>
      </w:r>
      <w:r w:rsidR="005B19CD" w:rsidRPr="00473CB8">
        <w:rPr>
          <w:b w:val="0"/>
          <w:u w:val="single"/>
        </w:rPr>
        <w:t>Consequences of Collecting the Information Less Frequently</w:t>
      </w:r>
      <w:bookmarkEnd w:id="8"/>
    </w:p>
    <w:p w14:paraId="38DD5E7B" w14:textId="77777777" w:rsidR="001A445A" w:rsidRPr="001A445A" w:rsidRDefault="001A445A" w:rsidP="001A445A"/>
    <w:p w14:paraId="1F7E69BB" w14:textId="77777777" w:rsidR="005B19CD" w:rsidRDefault="005B19CD" w:rsidP="00256E12">
      <w:pPr>
        <w:pStyle w:val="BodyText2"/>
        <w:spacing w:after="0" w:line="240" w:lineRule="auto"/>
      </w:pPr>
      <w:r w:rsidRPr="007C36F3">
        <w:t>This information collection will be collected at two time points</w:t>
      </w:r>
      <w:r w:rsidR="00366935" w:rsidRPr="007C36F3">
        <w:t>: an interim period and a final period</w:t>
      </w:r>
      <w:r w:rsidRPr="007C36F3">
        <w:t xml:space="preserve">. </w:t>
      </w:r>
      <w:r w:rsidR="00366935" w:rsidRPr="007C36F3">
        <w:t>The data collection during the interim period allows CDC to provide technical assistance</w:t>
      </w:r>
      <w:r w:rsidR="00482E7A" w:rsidRPr="007C36F3">
        <w:t xml:space="preserve"> in areas where grantees may have identified barriers</w:t>
      </w:r>
      <w:r w:rsidR="00DF4FC5" w:rsidRPr="007C36F3">
        <w:t>, supporting the programs in making mid-course corrections to enhance implementation of their activities</w:t>
      </w:r>
      <w:r w:rsidR="00482E7A" w:rsidRPr="007C36F3">
        <w:t>.</w:t>
      </w:r>
      <w:r w:rsidR="00366935" w:rsidRPr="007C36F3">
        <w:t xml:space="preserve"> </w:t>
      </w:r>
      <w:r w:rsidR="00482E7A" w:rsidRPr="007C36F3">
        <w:t xml:space="preserve">The interim period data collection also provides a baseline measure of program reach and impact.  </w:t>
      </w:r>
      <w:r w:rsidR="00366935" w:rsidRPr="007C36F3">
        <w:t>The data collection during the final period allows CDC to</w:t>
      </w:r>
      <w:r w:rsidR="00482E7A" w:rsidRPr="007C36F3">
        <w:t xml:space="preserve"> assess the full program reach and impact, as well as inform any final adjustments to the program before rolling the initiative out to all NCCCP grantees</w:t>
      </w:r>
      <w:r w:rsidR="00366935" w:rsidRPr="007C36F3">
        <w:t xml:space="preserve">.  </w:t>
      </w:r>
      <w:r w:rsidRPr="007C36F3">
        <w:t xml:space="preserve">Reducing the frequency to a single interview and one-time survey would eliminate the possibility of discerning </w:t>
      </w:r>
      <w:r w:rsidR="00193404" w:rsidRPr="007C36F3">
        <w:t xml:space="preserve">changes </w:t>
      </w:r>
      <w:r w:rsidRPr="007C36F3">
        <w:t>over time, limit opportunities for sharing best practice strategies in real time, and reduce the utility of the study.</w:t>
      </w:r>
      <w:r w:rsidR="00256E12">
        <w:t xml:space="preserve"> </w:t>
      </w:r>
      <w:r w:rsidRPr="007C36F3">
        <w:t>There are no legal obstacles to reducing the burden.</w:t>
      </w:r>
    </w:p>
    <w:p w14:paraId="4FAAE4A1" w14:textId="77777777" w:rsidR="001A445A" w:rsidRPr="007C36F3" w:rsidRDefault="001A445A" w:rsidP="005F348A">
      <w:pPr>
        <w:pStyle w:val="BodyText2"/>
        <w:spacing w:after="0" w:line="240" w:lineRule="auto"/>
      </w:pPr>
    </w:p>
    <w:p w14:paraId="6A11C915" w14:textId="77777777" w:rsidR="005B19CD" w:rsidRPr="00473CB8" w:rsidRDefault="00473CB8" w:rsidP="005F348A">
      <w:pPr>
        <w:pStyle w:val="Heading2"/>
        <w:spacing w:before="0" w:after="0"/>
        <w:rPr>
          <w:b w:val="0"/>
        </w:rPr>
      </w:pPr>
      <w:bookmarkStart w:id="9" w:name="_Toc475699036"/>
      <w:r>
        <w:rPr>
          <w:b w:val="0"/>
        </w:rPr>
        <w:t>7.</w:t>
      </w:r>
      <w:r w:rsidR="005B19CD" w:rsidRPr="00473CB8">
        <w:rPr>
          <w:b w:val="0"/>
        </w:rPr>
        <w:tab/>
      </w:r>
      <w:r w:rsidR="005B19CD" w:rsidRPr="00473CB8">
        <w:rPr>
          <w:b w:val="0"/>
          <w:u w:val="single"/>
        </w:rPr>
        <w:t>Special Circumstances Relating to the Guidelines of 5 CFR 1320.5</w:t>
      </w:r>
      <w:bookmarkEnd w:id="9"/>
    </w:p>
    <w:p w14:paraId="475C073D" w14:textId="77777777" w:rsidR="001A445A" w:rsidRPr="001A445A" w:rsidRDefault="001A445A" w:rsidP="001A445A"/>
    <w:p w14:paraId="308E9C7B" w14:textId="77777777" w:rsidR="005B19CD" w:rsidRDefault="005B19CD" w:rsidP="005F348A">
      <w:pPr>
        <w:pStyle w:val="BodyText2"/>
        <w:spacing w:after="0" w:line="240" w:lineRule="auto"/>
      </w:pPr>
      <w:r w:rsidRPr="007C36F3">
        <w:t>There are no special circumstances relating to the guidelines of 5 CFR 1320.5, and the project fully complies.</w:t>
      </w:r>
    </w:p>
    <w:p w14:paraId="6A15F50B" w14:textId="77777777" w:rsidR="001A445A" w:rsidRPr="007C36F3" w:rsidRDefault="001A445A" w:rsidP="005F348A">
      <w:pPr>
        <w:pStyle w:val="BodyText2"/>
        <w:spacing w:after="0" w:line="240" w:lineRule="auto"/>
      </w:pPr>
    </w:p>
    <w:p w14:paraId="6766A972" w14:textId="77777777" w:rsidR="005B19CD" w:rsidRPr="00473CB8" w:rsidRDefault="00473CB8" w:rsidP="005F348A">
      <w:pPr>
        <w:pStyle w:val="Heading2"/>
        <w:spacing w:before="0" w:after="0"/>
        <w:rPr>
          <w:b w:val="0"/>
        </w:rPr>
      </w:pPr>
      <w:bookmarkStart w:id="10" w:name="_Toc475699037"/>
      <w:r>
        <w:rPr>
          <w:b w:val="0"/>
        </w:rPr>
        <w:t>8.</w:t>
      </w:r>
      <w:r w:rsidR="005B19CD" w:rsidRPr="00473CB8">
        <w:rPr>
          <w:b w:val="0"/>
        </w:rPr>
        <w:tab/>
      </w:r>
      <w:r w:rsidR="005B19CD" w:rsidRPr="00473CB8">
        <w:rPr>
          <w:b w:val="0"/>
          <w:u w:val="single"/>
        </w:rPr>
        <w:t>Comments in Response to the Federal Register Notice and Efforts to Consult Outside the Agency</w:t>
      </w:r>
      <w:bookmarkEnd w:id="10"/>
    </w:p>
    <w:p w14:paraId="687F5D51" w14:textId="77777777" w:rsidR="001A445A" w:rsidRPr="001A445A" w:rsidRDefault="001A445A" w:rsidP="001A445A"/>
    <w:p w14:paraId="792BE3A2" w14:textId="77777777" w:rsidR="00D060DE" w:rsidRPr="007C36F3" w:rsidRDefault="005B19CD" w:rsidP="005F348A">
      <w:pPr>
        <w:pStyle w:val="BodyText2"/>
        <w:spacing w:after="0" w:line="240" w:lineRule="auto"/>
      </w:pPr>
      <w:r w:rsidRPr="007C36F3">
        <w:rPr>
          <w:bCs/>
        </w:rPr>
        <w:t xml:space="preserve">A 60-day Federal Register </w:t>
      </w:r>
      <w:r w:rsidR="00366935" w:rsidRPr="007C36F3">
        <w:rPr>
          <w:bCs/>
        </w:rPr>
        <w:t xml:space="preserve">Notice </w:t>
      </w:r>
      <w:r w:rsidR="00D90483">
        <w:rPr>
          <w:bCs/>
        </w:rPr>
        <w:t>was</w:t>
      </w:r>
      <w:r w:rsidRPr="007C36F3">
        <w:rPr>
          <w:bCs/>
        </w:rPr>
        <w:t xml:space="preserve"> published </w:t>
      </w:r>
      <w:r w:rsidR="0044327F">
        <w:rPr>
          <w:bCs/>
        </w:rPr>
        <w:t xml:space="preserve">in the Federal Register on November13, 2017, Vol. 82, No. 217, pp. 52301-02 </w:t>
      </w:r>
      <w:r w:rsidR="0044327F" w:rsidRPr="007C36F3">
        <w:rPr>
          <w:bCs/>
        </w:rPr>
        <w:t>(</w:t>
      </w:r>
      <w:r w:rsidR="0044327F">
        <w:rPr>
          <w:bCs/>
        </w:rPr>
        <w:t xml:space="preserve">see </w:t>
      </w:r>
      <w:r w:rsidR="0044327F">
        <w:rPr>
          <w:b/>
          <w:bCs/>
        </w:rPr>
        <w:t>Att</w:t>
      </w:r>
      <w:r w:rsidR="00105C78">
        <w:rPr>
          <w:b/>
          <w:bCs/>
        </w:rPr>
        <w:t>achment</w:t>
      </w:r>
      <w:r w:rsidR="0044327F" w:rsidRPr="007C36F3">
        <w:rPr>
          <w:b/>
          <w:bCs/>
        </w:rPr>
        <w:t xml:space="preserve"> 2</w:t>
      </w:r>
      <w:r w:rsidR="0044327F" w:rsidRPr="007C36F3">
        <w:rPr>
          <w:bCs/>
        </w:rPr>
        <w:t>)</w:t>
      </w:r>
      <w:r w:rsidR="0044327F">
        <w:rPr>
          <w:bCs/>
        </w:rPr>
        <w:t>.</w:t>
      </w:r>
      <w:r w:rsidRPr="007C36F3">
        <w:rPr>
          <w:bCs/>
        </w:rPr>
        <w:t xml:space="preserve">to solicit public comments </w:t>
      </w:r>
      <w:r w:rsidRPr="007C36F3">
        <w:t>(</w:t>
      </w:r>
      <w:r w:rsidR="00866DE2" w:rsidRPr="007C36F3">
        <w:t xml:space="preserve">60-day FRN number </w:t>
      </w:r>
      <w:r w:rsidR="00866DE2">
        <w:t>0920-18AG</w:t>
      </w:r>
      <w:r w:rsidRPr="007C36F3">
        <w:t xml:space="preserve">). </w:t>
      </w:r>
      <w:r w:rsidR="00D060DE" w:rsidRPr="007C36F3">
        <w:t>CDC did not receive public comments related to this notice</w:t>
      </w:r>
      <w:r w:rsidR="0044327F" w:rsidRPr="007252B1">
        <w:t>, and no changes were made to the information collect</w:t>
      </w:r>
      <w:r w:rsidR="00D86D4A" w:rsidRPr="007252B1">
        <w:t>ion</w:t>
      </w:r>
      <w:r w:rsidR="00DE56F9" w:rsidRPr="007252B1">
        <w:t>.</w:t>
      </w:r>
    </w:p>
    <w:p w14:paraId="23C8BDAE" w14:textId="77777777" w:rsidR="005B19CD" w:rsidRDefault="005B19CD" w:rsidP="005F348A">
      <w:pPr>
        <w:pStyle w:val="BodyText2"/>
        <w:spacing w:after="0" w:line="240" w:lineRule="auto"/>
      </w:pPr>
      <w:r w:rsidRPr="007C36F3">
        <w:t xml:space="preserve">Stakeholder feedback from </w:t>
      </w:r>
      <w:r w:rsidR="000F0B12" w:rsidRPr="007C36F3">
        <w:t>the</w:t>
      </w:r>
      <w:r w:rsidRPr="007C36F3">
        <w:t xml:space="preserve"> </w:t>
      </w:r>
      <w:r w:rsidR="00171892" w:rsidRPr="007C36F3">
        <w:t xml:space="preserve">six </w:t>
      </w:r>
      <w:r w:rsidR="00C15B99" w:rsidRPr="007C36F3">
        <w:t xml:space="preserve">NCCCP </w:t>
      </w:r>
      <w:r w:rsidRPr="007C36F3">
        <w:t xml:space="preserve">DP15-1501 grantees has been built into the </w:t>
      </w:r>
      <w:r w:rsidR="006F5CE5">
        <w:t>assessment</w:t>
      </w:r>
      <w:r w:rsidRPr="007C36F3">
        <w:t xml:space="preserve">. Feedback on the </w:t>
      </w:r>
      <w:r w:rsidR="006F5CE5">
        <w:t>research</w:t>
      </w:r>
      <w:r w:rsidRPr="007C36F3">
        <w:t xml:space="preserve"> questions</w:t>
      </w:r>
      <w:r w:rsidR="00256E12">
        <w:t xml:space="preserve"> </w:t>
      </w:r>
      <w:r w:rsidRPr="007C36F3">
        <w:t xml:space="preserve">was solicited through electronic communication. </w:t>
      </w:r>
      <w:r w:rsidR="000F0B12" w:rsidRPr="007C36F3">
        <w:t xml:space="preserve">This feedback was incorporated into the </w:t>
      </w:r>
      <w:r w:rsidR="006F5CE5">
        <w:t>assessment</w:t>
      </w:r>
      <w:r w:rsidR="000F0B12" w:rsidRPr="007C36F3">
        <w:t xml:space="preserve"> plan and the data collection instruments.  </w:t>
      </w:r>
      <w:r w:rsidRPr="007C36F3">
        <w:t xml:space="preserve">Key stakeholders will be engaged throughout the </w:t>
      </w:r>
      <w:r w:rsidR="006F5CE5">
        <w:t>assessment</w:t>
      </w:r>
      <w:r w:rsidRPr="007C36F3">
        <w:t xml:space="preserve"> through periodic status updates before and during </w:t>
      </w:r>
      <w:r w:rsidR="00863290" w:rsidRPr="007C36F3">
        <w:t xml:space="preserve">data collection, </w:t>
      </w:r>
      <w:r w:rsidRPr="007C36F3">
        <w:t xml:space="preserve">as well as </w:t>
      </w:r>
      <w:r w:rsidR="000D170B" w:rsidRPr="007C36F3">
        <w:t>during the presentation of r</w:t>
      </w:r>
      <w:r w:rsidRPr="007C36F3">
        <w:t>esults and recommendations.</w:t>
      </w:r>
    </w:p>
    <w:p w14:paraId="6721918D" w14:textId="77777777" w:rsidR="001A445A" w:rsidRPr="007C36F3" w:rsidRDefault="001A445A" w:rsidP="005F348A">
      <w:pPr>
        <w:pStyle w:val="BodyText2"/>
        <w:spacing w:after="0" w:line="240" w:lineRule="auto"/>
        <w:rPr>
          <w:b/>
          <w:bCs/>
        </w:rPr>
      </w:pPr>
    </w:p>
    <w:p w14:paraId="0DD9CA28" w14:textId="77777777" w:rsidR="005B19CD" w:rsidRPr="00473CB8" w:rsidRDefault="005B19CD" w:rsidP="005F348A">
      <w:pPr>
        <w:pStyle w:val="Heading2"/>
        <w:spacing w:before="0" w:after="0"/>
        <w:rPr>
          <w:b w:val="0"/>
        </w:rPr>
      </w:pPr>
      <w:bookmarkStart w:id="11" w:name="_Toc475699038"/>
      <w:r w:rsidRPr="00473CB8">
        <w:rPr>
          <w:b w:val="0"/>
        </w:rPr>
        <w:t>A.9</w:t>
      </w:r>
      <w:r w:rsidRPr="00473CB8">
        <w:rPr>
          <w:b w:val="0"/>
        </w:rPr>
        <w:tab/>
      </w:r>
      <w:r w:rsidRPr="00473CB8">
        <w:rPr>
          <w:b w:val="0"/>
          <w:u w:val="single"/>
        </w:rPr>
        <w:t>Explanation of Any Payment or Gift to Respondents</w:t>
      </w:r>
      <w:bookmarkEnd w:id="11"/>
    </w:p>
    <w:p w14:paraId="772D24A3" w14:textId="77777777" w:rsidR="001A445A" w:rsidRPr="001A445A" w:rsidRDefault="001A445A" w:rsidP="001A445A"/>
    <w:p w14:paraId="19E385B1" w14:textId="77777777" w:rsidR="00FC202F" w:rsidRPr="007C36F3" w:rsidRDefault="00FC202F" w:rsidP="005F348A">
      <w:pPr>
        <w:ind w:firstLine="720"/>
        <w:rPr>
          <w:sz w:val="22"/>
          <w:szCs w:val="22"/>
        </w:rPr>
      </w:pPr>
      <w:r w:rsidRPr="007C36F3">
        <w:t xml:space="preserve">Numerous empirical studies have established that incentives can significantly increase participation rates (Abreu &amp; Winters, 1999; </w:t>
      </w:r>
      <w:r w:rsidR="00665D23" w:rsidRPr="007C36F3">
        <w:t xml:space="preserve">Dickert &amp; Grady, 1999; </w:t>
      </w:r>
      <w:r w:rsidR="002E0923" w:rsidRPr="007C36F3">
        <w:t>Shettle &amp; Mooney, 1999</w:t>
      </w:r>
      <w:r w:rsidRPr="007C36F3">
        <w:t>). Incentives are intended to recognize the time burden placed on participants, encourage their cooperation, and convey appreciation for their contributions to the research. Based on the research team’s extensive experience conducting formative research of a similar nature with the identified subgroups, we have learned that incentives are necessary to sufficiently attract participants.</w:t>
      </w:r>
    </w:p>
    <w:p w14:paraId="488C902C" w14:textId="2DDB6366" w:rsidR="005B19CD" w:rsidRPr="005B6FFB" w:rsidRDefault="005B19CD" w:rsidP="005F348A">
      <w:pPr>
        <w:pStyle w:val="BodyText2"/>
        <w:spacing w:after="0" w:line="240" w:lineRule="auto"/>
        <w:rPr>
          <w:strike/>
        </w:rPr>
      </w:pPr>
      <w:r w:rsidRPr="007C36F3">
        <w:rPr>
          <w:bCs/>
        </w:rPr>
        <w:t xml:space="preserve">To encourage NCCCP DP15-1501 grantees’ partners to complete the </w:t>
      </w:r>
      <w:r w:rsidR="00C02276" w:rsidRPr="007C36F3">
        <w:rPr>
          <w:bCs/>
        </w:rPr>
        <w:t>Web</w:t>
      </w:r>
      <w:r w:rsidRPr="007C36F3">
        <w:rPr>
          <w:bCs/>
        </w:rPr>
        <w:t xml:space="preserve">-based </w:t>
      </w:r>
      <w:r w:rsidR="00E9698D" w:rsidRPr="007C36F3">
        <w:rPr>
          <w:bCs/>
        </w:rPr>
        <w:t>Partner Survey</w:t>
      </w:r>
      <w:r w:rsidRPr="007C36F3">
        <w:rPr>
          <w:bCs/>
        </w:rPr>
        <w:t xml:space="preserve">, partner respondents will be entered </w:t>
      </w:r>
      <w:r w:rsidRPr="007C36F3">
        <w:t xml:space="preserve">into a drawing </w:t>
      </w:r>
      <w:r w:rsidR="00D060DE" w:rsidRPr="007C36F3">
        <w:t>for</w:t>
      </w:r>
      <w:r w:rsidRPr="007C36F3">
        <w:t xml:space="preserve"> a $50 Amazon</w:t>
      </w:r>
      <w:r w:rsidR="00193404" w:rsidRPr="007C36F3">
        <w:t>.com</w:t>
      </w:r>
      <w:r w:rsidRPr="007C36F3">
        <w:t xml:space="preserve"> gift card. </w:t>
      </w:r>
      <w:r w:rsidR="00193404" w:rsidRPr="007C36F3">
        <w:t>T</w:t>
      </w:r>
      <w:r w:rsidRPr="007C36F3">
        <w:t xml:space="preserve">wo partner respondents who completed the survey </w:t>
      </w:r>
      <w:r w:rsidR="00193404" w:rsidRPr="007C36F3">
        <w:t xml:space="preserve">will be randomly selected for </w:t>
      </w:r>
      <w:r w:rsidR="00ED16A4" w:rsidRPr="007C36F3">
        <w:t xml:space="preserve">a </w:t>
      </w:r>
      <w:r w:rsidRPr="007C36F3">
        <w:t xml:space="preserve">$50 </w:t>
      </w:r>
      <w:r w:rsidR="00193404" w:rsidRPr="007C36F3">
        <w:t xml:space="preserve">Amazon.com </w:t>
      </w:r>
      <w:r w:rsidRPr="007C36F3">
        <w:t xml:space="preserve">gift card. </w:t>
      </w:r>
      <w:r w:rsidR="00A528B5" w:rsidRPr="007C36F3">
        <w:t>W</w:t>
      </w:r>
      <w:r w:rsidR="00C47153" w:rsidRPr="007C36F3">
        <w:t>e</w:t>
      </w:r>
      <w:r w:rsidR="00A528B5" w:rsidRPr="007C36F3">
        <w:t xml:space="preserve"> propose the use of incentives to encourage participation of partners </w:t>
      </w:r>
      <w:r w:rsidR="002F6F9E" w:rsidRPr="007C36F3">
        <w:t xml:space="preserve">(e.g., providers, hospital administrators) </w:t>
      </w:r>
      <w:r w:rsidR="00A528B5" w:rsidRPr="007C36F3">
        <w:t>who can provide key insights directly related to the purpose of this study but may be difficult to recruit</w:t>
      </w:r>
      <w:r w:rsidR="002F6F9E" w:rsidRPr="007C36F3">
        <w:t>, given that most of their time is devoted to patient care or working with individuals in health systems</w:t>
      </w:r>
      <w:r w:rsidR="00A528B5" w:rsidRPr="007C36F3">
        <w:t xml:space="preserve">.   </w:t>
      </w:r>
    </w:p>
    <w:p w14:paraId="5383BCA7" w14:textId="77777777" w:rsidR="001A445A" w:rsidRPr="007C36F3" w:rsidRDefault="001A445A" w:rsidP="005F348A">
      <w:pPr>
        <w:pStyle w:val="BodyText2"/>
        <w:spacing w:after="0" w:line="240" w:lineRule="auto"/>
        <w:rPr>
          <w:bCs/>
        </w:rPr>
      </w:pPr>
    </w:p>
    <w:p w14:paraId="7FE9363E" w14:textId="77777777" w:rsidR="005B19CD" w:rsidRDefault="005B19CD" w:rsidP="005F348A">
      <w:pPr>
        <w:pStyle w:val="Heading2"/>
        <w:spacing w:before="0" w:after="0"/>
        <w:rPr>
          <w:b w:val="0"/>
          <w:u w:val="single"/>
        </w:rPr>
      </w:pPr>
      <w:bookmarkStart w:id="12" w:name="_Toc475699039"/>
      <w:r w:rsidRPr="005F348A">
        <w:rPr>
          <w:b w:val="0"/>
        </w:rPr>
        <w:t>10</w:t>
      </w:r>
      <w:r w:rsidR="005F348A">
        <w:rPr>
          <w:b w:val="0"/>
        </w:rPr>
        <w:t>.</w:t>
      </w:r>
      <w:r w:rsidRPr="005F348A">
        <w:rPr>
          <w:b w:val="0"/>
        </w:rPr>
        <w:tab/>
      </w:r>
      <w:r w:rsidR="00193404" w:rsidRPr="005F348A">
        <w:rPr>
          <w:b w:val="0"/>
          <w:u w:val="single"/>
        </w:rPr>
        <w:t>Protection of the Privacy and Confidentiality of Information</w:t>
      </w:r>
      <w:r w:rsidRPr="005F348A">
        <w:rPr>
          <w:b w:val="0"/>
          <w:u w:val="single"/>
        </w:rPr>
        <w:t xml:space="preserve"> Provided to Respondents</w:t>
      </w:r>
      <w:bookmarkEnd w:id="12"/>
    </w:p>
    <w:p w14:paraId="30D2F816" w14:textId="77777777" w:rsidR="001A445A" w:rsidRPr="001A445A" w:rsidRDefault="001A445A" w:rsidP="001A445A"/>
    <w:p w14:paraId="28843EBB" w14:textId="3D11B095" w:rsidR="00CF27D9" w:rsidRDefault="00CF27D9" w:rsidP="000E76D5">
      <w:pPr>
        <w:ind w:firstLine="720"/>
      </w:pPr>
      <w:r>
        <w:t>CDC’s Information Systems Security Officer has reviewed t</w:t>
      </w:r>
      <w:r w:rsidR="008136C2">
        <w:t>h</w:t>
      </w:r>
      <w:r>
        <w:t xml:space="preserve">is submission, and has determined that the Privacy Act does apply.  </w:t>
      </w:r>
      <w:r w:rsidR="003A2549">
        <w:t>A</w:t>
      </w:r>
      <w:r>
        <w:t>ll appropriate security controls and rules of behavior will be incorporated to protect the confidentiality of information obtained. Personally identifi</w:t>
      </w:r>
      <w:r w:rsidR="00E86506">
        <w:t>able</w:t>
      </w:r>
      <w:r>
        <w:t xml:space="preserve"> information (PII) </w:t>
      </w:r>
      <w:r w:rsidR="00C84264">
        <w:t xml:space="preserve">(i.e., </w:t>
      </w:r>
      <w:r w:rsidR="00C97B91">
        <w:t xml:space="preserve">name, </w:t>
      </w:r>
      <w:r w:rsidR="00C73D10">
        <w:t xml:space="preserve">work </w:t>
      </w:r>
      <w:r w:rsidR="00C97B91">
        <w:t xml:space="preserve">phone number, and </w:t>
      </w:r>
      <w:r w:rsidR="00C73D10">
        <w:t xml:space="preserve">work </w:t>
      </w:r>
      <w:r w:rsidR="00C97B91">
        <w:t>email address</w:t>
      </w:r>
      <w:r w:rsidR="00C84264">
        <w:t>)</w:t>
      </w:r>
      <w:r w:rsidR="00C97B91">
        <w:t xml:space="preserve"> will be used to schedule and conduct grantee interviews, as well as recruit grantee and partner survey participants</w:t>
      </w:r>
      <w:r w:rsidR="00C84264">
        <w:t>.  PII</w:t>
      </w:r>
      <w:r w:rsidR="00C97B91">
        <w:t xml:space="preserve"> </w:t>
      </w:r>
      <w:r>
        <w:t xml:space="preserve">will not be </w:t>
      </w:r>
      <w:r w:rsidR="00C84264">
        <w:t>included in the cleaned survey data files submitted</w:t>
      </w:r>
      <w:r>
        <w:t xml:space="preserve"> to CDC. CDC will only include aggregate summary information in reports and will not include information that may identify respondents.</w:t>
      </w:r>
    </w:p>
    <w:p w14:paraId="7467647F" w14:textId="77777777" w:rsidR="00CF27D9" w:rsidRDefault="00CF27D9" w:rsidP="000E76D5">
      <w:pPr>
        <w:ind w:firstLine="720"/>
      </w:pPr>
    </w:p>
    <w:p w14:paraId="3D8750CD" w14:textId="77777777" w:rsidR="00CF27D9" w:rsidRDefault="00CF27D9" w:rsidP="000E76D5">
      <w:pPr>
        <w:ind w:firstLine="720"/>
      </w:pPr>
      <w:r>
        <w:t>Privacy will be maintained to the extent allowable by law. The contractor complies with the Privacy Act of 1974 (HIPAA) and the E-Government Act of 2002, including Title III: Federal Information Security Management Act, which covers site security, security control documentation, access control, change management, incident response, and risk management. The contractor has developed an Information System Security Plan and completed the Certification and Accreditation process with multiple Federal agencies to receive authorization to operate “low-to-moderate” risk category information systems in other environments. The contractor has also established an internal audit program to regularly review their information security program.</w:t>
      </w:r>
    </w:p>
    <w:p w14:paraId="0B339B46" w14:textId="77777777" w:rsidR="00CF27D9" w:rsidRDefault="00CF27D9" w:rsidP="000E76D5">
      <w:pPr>
        <w:ind w:firstLine="720"/>
      </w:pPr>
    </w:p>
    <w:p w14:paraId="55D874E4" w14:textId="77777777" w:rsidR="00CF27D9" w:rsidRDefault="00CF27D9" w:rsidP="000E76D5">
      <w:pPr>
        <w:ind w:firstLine="720"/>
      </w:pPr>
      <w:r>
        <w:t>The contractor configures their computers with the applicable United States Government Configuration Baseline (USGCB) and ensures that they have and maintain the latest operating system patch level and anti-virus software level. Full disk encryption software has been implemented to prote</w:t>
      </w:r>
      <w:r w:rsidR="00C85802">
        <w:t>c</w:t>
      </w:r>
      <w:r>
        <w:t xml:space="preserve">t the storage of data, as well as file </w:t>
      </w:r>
      <w:r w:rsidR="00C85802">
        <w:t xml:space="preserve">transfer software for the secure, encrypted transmission of sensitive data to and from </w:t>
      </w:r>
      <w:r w:rsidR="00870F6D">
        <w:t xml:space="preserve">the </w:t>
      </w:r>
      <w:r w:rsidR="00C85802">
        <w:t>client. The contractor has also implemented ASA Firewalls for boundary protection.</w:t>
      </w:r>
    </w:p>
    <w:p w14:paraId="6C092BF6" w14:textId="77777777" w:rsidR="00C85802" w:rsidRDefault="00C85802" w:rsidP="000E76D5">
      <w:pPr>
        <w:ind w:firstLine="720"/>
      </w:pPr>
    </w:p>
    <w:p w14:paraId="36E8741A" w14:textId="77777777" w:rsidR="00C85802" w:rsidRDefault="00C85802" w:rsidP="000E76D5">
      <w:pPr>
        <w:ind w:firstLine="720"/>
      </w:pPr>
      <w:r>
        <w:t xml:space="preserve">The contractor’s web survey tool allows the integration of all survey consent information, including OMB and IRB information. Instructions for the survey and consent language will be embedded into the online survey. For the online survey, consent will be </w:t>
      </w:r>
      <w:r w:rsidR="00870F6D">
        <w:t>active: participants will be instructed that “Clicking on the ‘Next’ button below indicates that you have read the above [consent] information and you agree to participate in the survey</w:t>
      </w:r>
      <w:r w:rsidRPr="00870F6D">
        <w:t>.</w:t>
      </w:r>
      <w:r w:rsidR="00870F6D" w:rsidRPr="00870F6D">
        <w:t>”</w:t>
      </w:r>
      <w:r w:rsidRPr="00870F6D">
        <w:t xml:space="preserve"> For the telephone interviews, consent language will be included in the </w:t>
      </w:r>
      <w:r w:rsidR="009023A4">
        <w:t xml:space="preserve">beginning of the </w:t>
      </w:r>
      <w:r w:rsidR="00870F6D" w:rsidRPr="00870F6D">
        <w:t xml:space="preserve">interview protocol and </w:t>
      </w:r>
      <w:r w:rsidR="009023A4">
        <w:t xml:space="preserve">consent will </w:t>
      </w:r>
      <w:r w:rsidR="00870F6D" w:rsidRPr="00870F6D">
        <w:t>be verbally obtained in order to proceed to the int</w:t>
      </w:r>
      <w:r w:rsidR="00870F6D" w:rsidRPr="00F50BE2">
        <w:t>erview questions</w:t>
      </w:r>
      <w:r w:rsidRPr="00F50BE2">
        <w:t>. Consent language will include but not b</w:t>
      </w:r>
      <w:r w:rsidR="00870F6D" w:rsidRPr="00F50BE2">
        <w:t>e</w:t>
      </w:r>
      <w:r w:rsidRPr="00F50BE2">
        <w:t xml:space="preserve"> limited to the purpose of the survey, who will see the information collected, and how any personally identifiable information (PII) will be used.</w:t>
      </w:r>
    </w:p>
    <w:p w14:paraId="0EBAED7A" w14:textId="77777777" w:rsidR="00CF27D9" w:rsidRDefault="00CF27D9" w:rsidP="000E76D5">
      <w:pPr>
        <w:ind w:firstLine="720"/>
      </w:pPr>
    </w:p>
    <w:p w14:paraId="3435279B" w14:textId="77777777" w:rsidR="005B19CD" w:rsidRPr="007C36F3" w:rsidRDefault="001A161C" w:rsidP="005F348A">
      <w:pPr>
        <w:pStyle w:val="BodyText2"/>
        <w:spacing w:after="0" w:line="240" w:lineRule="auto"/>
        <w:rPr>
          <w:b/>
        </w:rPr>
      </w:pPr>
      <w:r w:rsidRPr="007C36F3">
        <w:t xml:space="preserve">  </w:t>
      </w:r>
    </w:p>
    <w:p w14:paraId="763D2751" w14:textId="77777777" w:rsidR="005B19CD" w:rsidRDefault="005B19CD" w:rsidP="005F348A">
      <w:pPr>
        <w:pStyle w:val="Heading3"/>
        <w:spacing w:before="0" w:after="0"/>
      </w:pPr>
      <w:bookmarkStart w:id="13" w:name="_Toc475699040"/>
      <w:r w:rsidRPr="007C36F3">
        <w:t>A.10.1</w:t>
      </w:r>
      <w:r w:rsidR="002A6212" w:rsidRPr="007C36F3">
        <w:tab/>
      </w:r>
      <w:r w:rsidRPr="007C36F3">
        <w:t>Privacy Impact Assessment Information</w:t>
      </w:r>
      <w:bookmarkEnd w:id="13"/>
    </w:p>
    <w:p w14:paraId="231A4F9B" w14:textId="77777777" w:rsidR="001A445A" w:rsidRPr="001A445A" w:rsidRDefault="001A445A" w:rsidP="001A445A">
      <w:pPr>
        <w:rPr>
          <w:lang w:val="en-CA"/>
        </w:rPr>
      </w:pPr>
    </w:p>
    <w:p w14:paraId="436CA67B" w14:textId="77777777" w:rsidR="005B19CD" w:rsidRDefault="005B19CD" w:rsidP="005F348A">
      <w:pPr>
        <w:pStyle w:val="BodyText2"/>
        <w:spacing w:after="0" w:line="240" w:lineRule="auto"/>
      </w:pPr>
      <w:r w:rsidRPr="007C36F3">
        <w:t>The following items are described below: (1) an overview of the information collection; (</w:t>
      </w:r>
      <w:r w:rsidR="006F4052" w:rsidRPr="007C36F3">
        <w:t>2</w:t>
      </w:r>
      <w:r w:rsidRPr="007C36F3">
        <w:t xml:space="preserve">) a statement detailing the impact the proposed collection will have on the respondent’s privacy; </w:t>
      </w:r>
      <w:r w:rsidR="006F4052" w:rsidRPr="007C36F3">
        <w:t>3</w:t>
      </w:r>
      <w:r w:rsidRPr="007C36F3">
        <w:t>) opportunities to consent, and whether individuals are informed whether providing the information is voluntary or mandatory; (</w:t>
      </w:r>
      <w:r w:rsidR="006F4052" w:rsidRPr="007C36F3">
        <w:t>4</w:t>
      </w:r>
      <w:r w:rsidRPr="007C36F3">
        <w:t>) how the information will be secured; (</w:t>
      </w:r>
      <w:r w:rsidR="006F4052" w:rsidRPr="007C36F3">
        <w:t>5</w:t>
      </w:r>
      <w:r w:rsidRPr="007C36F3">
        <w:t>) whether a system of records is being created under the Privacy Act</w:t>
      </w:r>
      <w:r w:rsidR="006F4052" w:rsidRPr="007C36F3">
        <w:t>; and (6)</w:t>
      </w:r>
      <w:r w:rsidR="008705D1" w:rsidRPr="007C36F3">
        <w:t xml:space="preserve"> whether there is a referral to websites or website content directed at children under 13 years old</w:t>
      </w:r>
      <w:r w:rsidR="000468F6">
        <w:t>.</w:t>
      </w:r>
    </w:p>
    <w:p w14:paraId="3A3B86DD" w14:textId="77777777" w:rsidR="000468F6" w:rsidRPr="007C36F3" w:rsidRDefault="000468F6" w:rsidP="005F348A">
      <w:pPr>
        <w:pStyle w:val="BodyText2"/>
        <w:spacing w:after="0" w:line="240" w:lineRule="auto"/>
      </w:pPr>
    </w:p>
    <w:p w14:paraId="18B19F62" w14:textId="7FBFD8AE" w:rsidR="005B19CD" w:rsidRDefault="005B19CD" w:rsidP="005F348A">
      <w:pPr>
        <w:pStyle w:val="BodyText2"/>
        <w:spacing w:after="0" w:line="240" w:lineRule="auto"/>
      </w:pPr>
      <w:r w:rsidRPr="007C36F3">
        <w:t xml:space="preserve">DCPC staff will provide RTI with NCCCP DP15-1501 grantee program director and program manager </w:t>
      </w:r>
      <w:r w:rsidR="00221F7C" w:rsidRPr="007C36F3">
        <w:t xml:space="preserve">names, phone numbers, and </w:t>
      </w:r>
      <w:r w:rsidRPr="007C36F3">
        <w:t xml:space="preserve">e-mail addresses. </w:t>
      </w:r>
      <w:r w:rsidR="009C731B" w:rsidRPr="007C36F3">
        <w:t xml:space="preserve">(Note: because of their roles as NCCCP grantees, their names, phone numbers and email addresses are already in the public domain.)  </w:t>
      </w:r>
      <w:r w:rsidRPr="007C36F3">
        <w:t xml:space="preserve">RTI will </w:t>
      </w:r>
      <w:r w:rsidR="009C731B" w:rsidRPr="007C36F3">
        <w:t>email</w:t>
      </w:r>
      <w:r w:rsidRPr="007C36F3">
        <w:t xml:space="preserve"> NCCCP DP15-1501 program directors and managers about the </w:t>
      </w:r>
      <w:r w:rsidR="00E16FE7" w:rsidRPr="007C36F3">
        <w:t>Web</w:t>
      </w:r>
      <w:r w:rsidRPr="007C36F3">
        <w:t>-based survey</w:t>
      </w:r>
      <w:r w:rsidR="00ED16A4" w:rsidRPr="007C36F3">
        <w:t>s</w:t>
      </w:r>
      <w:r w:rsidRPr="007C36F3">
        <w:t xml:space="preserve"> and semi</w:t>
      </w:r>
      <w:r w:rsidR="005F348A">
        <w:t>-</w:t>
      </w:r>
      <w:r w:rsidRPr="007C36F3">
        <w:t>structured telephone interviews</w:t>
      </w:r>
      <w:r w:rsidR="009C731B" w:rsidRPr="007C36F3">
        <w:t xml:space="preserve"> (</w:t>
      </w:r>
      <w:r w:rsidR="009C731B" w:rsidRPr="007C36F3">
        <w:rPr>
          <w:b/>
        </w:rPr>
        <w:t>Attachment 5</w:t>
      </w:r>
      <w:r w:rsidR="009C731B" w:rsidRPr="007C36F3">
        <w:t>)</w:t>
      </w:r>
      <w:r w:rsidRPr="007C36F3">
        <w:t xml:space="preserve">. RTI and DCPC will ask NCCCP DP15-1501 program staff to identify their key partners and encourage them to notify their partners that they will be contacted via e-mail to complete a brief, </w:t>
      </w:r>
      <w:r w:rsidR="00E16FE7" w:rsidRPr="007C36F3">
        <w:t>Web</w:t>
      </w:r>
      <w:r w:rsidRPr="007C36F3">
        <w:t xml:space="preserve">-based </w:t>
      </w:r>
      <w:r w:rsidR="00E9698D" w:rsidRPr="007C36F3">
        <w:t>Partner Survey</w:t>
      </w:r>
      <w:r w:rsidRPr="007C36F3">
        <w:t xml:space="preserve">. </w:t>
      </w:r>
      <w:r w:rsidR="00FF644A" w:rsidRPr="007C36F3">
        <w:t>Survey r</w:t>
      </w:r>
      <w:r w:rsidR="007E7D39" w:rsidRPr="007C36F3">
        <w:t xml:space="preserve">espondents will be </w:t>
      </w:r>
      <w:r w:rsidR="007E7D39" w:rsidRPr="007C36F3">
        <w:rPr>
          <w:bCs/>
        </w:rPr>
        <w:t xml:space="preserve">NCCCP DP15-1501 grantee program directors, managers, </w:t>
      </w:r>
      <w:r w:rsidR="00ED16A4" w:rsidRPr="007C36F3">
        <w:rPr>
          <w:bCs/>
        </w:rPr>
        <w:t xml:space="preserve">and </w:t>
      </w:r>
      <w:r w:rsidR="007E7D39" w:rsidRPr="007C36F3">
        <w:rPr>
          <w:bCs/>
        </w:rPr>
        <w:t>staff</w:t>
      </w:r>
      <w:r w:rsidR="00ED16A4" w:rsidRPr="007C36F3">
        <w:rPr>
          <w:bCs/>
        </w:rPr>
        <w:t xml:space="preserve"> (for the </w:t>
      </w:r>
      <w:r w:rsidR="00E9698D" w:rsidRPr="007C36F3">
        <w:rPr>
          <w:bCs/>
        </w:rPr>
        <w:t>Grantee Survey</w:t>
      </w:r>
      <w:r w:rsidR="00ED16A4" w:rsidRPr="007C36F3">
        <w:rPr>
          <w:bCs/>
        </w:rPr>
        <w:t>)</w:t>
      </w:r>
      <w:r w:rsidR="007E7D39" w:rsidRPr="007C36F3">
        <w:rPr>
          <w:bCs/>
        </w:rPr>
        <w:t>, and their partners</w:t>
      </w:r>
      <w:r w:rsidR="00ED16A4" w:rsidRPr="007C36F3">
        <w:rPr>
          <w:bCs/>
        </w:rPr>
        <w:t xml:space="preserve"> (for the </w:t>
      </w:r>
      <w:r w:rsidR="00E9698D" w:rsidRPr="007C36F3">
        <w:rPr>
          <w:bCs/>
        </w:rPr>
        <w:t>Partner Survey</w:t>
      </w:r>
      <w:r w:rsidR="00ED16A4" w:rsidRPr="007C36F3">
        <w:rPr>
          <w:bCs/>
        </w:rPr>
        <w:t>)</w:t>
      </w:r>
      <w:r w:rsidR="007E7D39" w:rsidRPr="007C36F3">
        <w:t xml:space="preserve">. The Web-based surveys involve a minimum amount of information in identifiable form (IIF); the only IIF collected will be email addresses provided by </w:t>
      </w:r>
      <w:r w:rsidR="00ED16A4" w:rsidRPr="007C36F3">
        <w:t>partners</w:t>
      </w:r>
      <w:r w:rsidR="007E7D39" w:rsidRPr="007C36F3">
        <w:t xml:space="preserve"> who would like to be entered into a raffle for an incentive.  </w:t>
      </w:r>
      <w:r w:rsidR="00FF644A" w:rsidRPr="007C36F3">
        <w:t xml:space="preserve">DP15-1501 staff participating in telephone interviews will provide their name and phone number (which are in the public domain given their roles), but this information will not be linked to data provided to CDC.  </w:t>
      </w:r>
      <w:r w:rsidRPr="007C36F3">
        <w:t xml:space="preserve">Contact information for </w:t>
      </w:r>
      <w:r w:rsidR="00FF644A" w:rsidRPr="007C36F3">
        <w:t xml:space="preserve">survey </w:t>
      </w:r>
      <w:r w:rsidRPr="007C36F3">
        <w:t xml:space="preserve">respondents </w:t>
      </w:r>
      <w:r w:rsidR="00FF644A" w:rsidRPr="007C36F3">
        <w:t xml:space="preserve">and interviewees </w:t>
      </w:r>
      <w:r w:rsidRPr="007C36F3">
        <w:t xml:space="preserve">will be </w:t>
      </w:r>
      <w:r w:rsidR="000D6D55">
        <w:t>permanently deleted from RTI’s secure server</w:t>
      </w:r>
      <w:r w:rsidR="000D6D55" w:rsidRPr="007C36F3">
        <w:t xml:space="preserve"> </w:t>
      </w:r>
      <w:r w:rsidRPr="007C36F3">
        <w:t>when information collection is complete and any requests for clarification have been addressed.</w:t>
      </w:r>
    </w:p>
    <w:p w14:paraId="713C36EF" w14:textId="77777777" w:rsidR="000468F6" w:rsidRPr="007C36F3" w:rsidRDefault="000468F6" w:rsidP="005F348A">
      <w:pPr>
        <w:pStyle w:val="BodyText2"/>
        <w:spacing w:after="0" w:line="240" w:lineRule="auto"/>
      </w:pPr>
    </w:p>
    <w:p w14:paraId="2E1461D7" w14:textId="77777777" w:rsidR="005B19CD" w:rsidRDefault="005B19CD" w:rsidP="005F348A">
      <w:pPr>
        <w:pStyle w:val="BodyText2"/>
        <w:spacing w:after="0" w:line="240" w:lineRule="auto"/>
      </w:pPr>
      <w:r w:rsidRPr="007C36F3">
        <w:t xml:space="preserve">IIF </w:t>
      </w:r>
      <w:r w:rsidR="00614376" w:rsidRPr="007C36F3">
        <w:t xml:space="preserve">(respondents’ </w:t>
      </w:r>
      <w:r w:rsidR="00FF644A" w:rsidRPr="007C36F3">
        <w:t xml:space="preserve">names, phone numbers and </w:t>
      </w:r>
      <w:r w:rsidR="00614376" w:rsidRPr="007C36F3">
        <w:t xml:space="preserve">email addresses) </w:t>
      </w:r>
      <w:r w:rsidRPr="007C36F3">
        <w:t xml:space="preserve">will be stored separately from response data. A linking file will be created and available only to senior project management staff at RTI. The file will only be used to ensure completeness of the data files. A unique ID will be assigned to each respondent to track questionnaire completion. The linking file will include the role of the respondent, their organization, and the code assigned to the data file (and will not include the individual’s name or contact information). This will ensure that no </w:t>
      </w:r>
      <w:r w:rsidR="00393662" w:rsidRPr="007C36F3">
        <w:t>IIF is reported to CDC when the data are summarized</w:t>
      </w:r>
      <w:r w:rsidRPr="007C36F3">
        <w:t xml:space="preserve">. Identifiable responses will not be provided to DCPC staff. Only aggregated information will be reported. </w:t>
      </w:r>
    </w:p>
    <w:p w14:paraId="5EFA480D" w14:textId="77777777" w:rsidR="001A445A" w:rsidRPr="007C36F3" w:rsidRDefault="001A445A" w:rsidP="005F348A">
      <w:pPr>
        <w:pStyle w:val="BodyText2"/>
        <w:spacing w:after="0" w:line="240" w:lineRule="auto"/>
      </w:pPr>
    </w:p>
    <w:p w14:paraId="42AAF77C" w14:textId="77777777" w:rsidR="005B19CD" w:rsidRDefault="005B19CD" w:rsidP="001A445A">
      <w:pPr>
        <w:pStyle w:val="BodyText2"/>
        <w:numPr>
          <w:ilvl w:val="0"/>
          <w:numId w:val="36"/>
        </w:numPr>
        <w:spacing w:after="0" w:line="240" w:lineRule="auto"/>
        <w:rPr>
          <w:u w:val="single"/>
        </w:rPr>
      </w:pPr>
      <w:r w:rsidRPr="007C36F3">
        <w:rPr>
          <w:u w:val="single"/>
        </w:rPr>
        <w:t>Overview of the Data Collection System</w:t>
      </w:r>
    </w:p>
    <w:p w14:paraId="33E524F1" w14:textId="77777777" w:rsidR="001A445A" w:rsidRPr="007C36F3" w:rsidRDefault="001A445A" w:rsidP="001A445A">
      <w:pPr>
        <w:pStyle w:val="BodyText2"/>
        <w:spacing w:after="0" w:line="240" w:lineRule="auto"/>
        <w:ind w:left="1440" w:firstLine="0"/>
      </w:pPr>
    </w:p>
    <w:p w14:paraId="78C703AB" w14:textId="77777777" w:rsidR="005B19CD" w:rsidRDefault="005B19CD" w:rsidP="005F348A">
      <w:pPr>
        <w:pStyle w:val="BodyText2"/>
        <w:spacing w:after="0" w:line="240" w:lineRule="auto"/>
      </w:pPr>
      <w:r w:rsidRPr="007C36F3">
        <w:t xml:space="preserve">Up to four rounds of communication will be sent to the </w:t>
      </w:r>
      <w:r w:rsidR="00E16FE7" w:rsidRPr="007C36F3">
        <w:t>Web</w:t>
      </w:r>
      <w:r w:rsidRPr="007C36F3">
        <w:t xml:space="preserve">-based survey respondents: an initial </w:t>
      </w:r>
      <w:r w:rsidR="00C02276" w:rsidRPr="007C36F3">
        <w:t>e-mail</w:t>
      </w:r>
      <w:r w:rsidRPr="007C36F3">
        <w:t xml:space="preserve"> (see </w:t>
      </w:r>
      <w:r w:rsidRPr="007C36F3">
        <w:rPr>
          <w:b/>
        </w:rPr>
        <w:t>Attachment 3</w:t>
      </w:r>
      <w:r w:rsidR="00B637E7" w:rsidRPr="007C36F3">
        <w:rPr>
          <w:b/>
        </w:rPr>
        <w:t>e</w:t>
      </w:r>
      <w:r w:rsidRPr="007C36F3">
        <w:t xml:space="preserve">); a follow-up </w:t>
      </w:r>
      <w:r w:rsidR="00C02276" w:rsidRPr="007C36F3">
        <w:t>e-mail</w:t>
      </w:r>
      <w:r w:rsidRPr="007C36F3">
        <w:t xml:space="preserve"> to non</w:t>
      </w:r>
      <w:r w:rsidR="005F348A">
        <w:t>-</w:t>
      </w:r>
      <w:r w:rsidRPr="007C36F3">
        <w:t xml:space="preserve">respondents, sent 2 weeks after the initial </w:t>
      </w:r>
      <w:r w:rsidR="00C02276" w:rsidRPr="007C36F3">
        <w:t>e-mail</w:t>
      </w:r>
      <w:r w:rsidRPr="007C36F3">
        <w:t xml:space="preserve"> (see </w:t>
      </w:r>
      <w:r w:rsidRPr="007C36F3">
        <w:rPr>
          <w:b/>
        </w:rPr>
        <w:t xml:space="preserve">Attachment </w:t>
      </w:r>
      <w:r w:rsidR="008E24FD" w:rsidRPr="007C36F3">
        <w:rPr>
          <w:b/>
        </w:rPr>
        <w:t>3</w:t>
      </w:r>
      <w:r w:rsidR="00B637E7" w:rsidRPr="007C36F3">
        <w:rPr>
          <w:b/>
        </w:rPr>
        <w:t>f</w:t>
      </w:r>
      <w:r w:rsidRPr="007C36F3">
        <w:t xml:space="preserve">); a final reminder </w:t>
      </w:r>
      <w:r w:rsidR="00C02276" w:rsidRPr="007C36F3">
        <w:t>e-mail</w:t>
      </w:r>
      <w:r w:rsidRPr="007C36F3">
        <w:t xml:space="preserve"> to non</w:t>
      </w:r>
      <w:r w:rsidR="005F348A">
        <w:t>-</w:t>
      </w:r>
      <w:r w:rsidRPr="007C36F3">
        <w:t xml:space="preserve">respondents, sent 1 week after the follow-up </w:t>
      </w:r>
      <w:r w:rsidR="00C02276" w:rsidRPr="007C36F3">
        <w:t>e-mail</w:t>
      </w:r>
      <w:r w:rsidRPr="007C36F3">
        <w:t xml:space="preserve"> (see </w:t>
      </w:r>
      <w:r w:rsidRPr="007C36F3">
        <w:rPr>
          <w:b/>
        </w:rPr>
        <w:t xml:space="preserve">Attachment </w:t>
      </w:r>
      <w:r w:rsidR="008E24FD" w:rsidRPr="007C36F3">
        <w:rPr>
          <w:b/>
        </w:rPr>
        <w:t>3</w:t>
      </w:r>
      <w:r w:rsidR="00B637E7" w:rsidRPr="007C36F3">
        <w:rPr>
          <w:b/>
        </w:rPr>
        <w:t>g</w:t>
      </w:r>
      <w:r w:rsidRPr="007C36F3">
        <w:t xml:space="preserve">; and a thank you </w:t>
      </w:r>
      <w:r w:rsidR="00C02276" w:rsidRPr="007C36F3">
        <w:t>e-mail</w:t>
      </w:r>
      <w:r w:rsidRPr="007C36F3">
        <w:t xml:space="preserve">, sent 1 week after the reminder </w:t>
      </w:r>
      <w:r w:rsidR="00C02276" w:rsidRPr="007C36F3">
        <w:t>e-mail</w:t>
      </w:r>
      <w:r w:rsidRPr="007C36F3">
        <w:t xml:space="preserve"> (see </w:t>
      </w:r>
      <w:r w:rsidRPr="007C36F3">
        <w:rPr>
          <w:b/>
        </w:rPr>
        <w:t xml:space="preserve">Attachment </w:t>
      </w:r>
      <w:r w:rsidR="008E24FD" w:rsidRPr="007C36F3">
        <w:rPr>
          <w:b/>
        </w:rPr>
        <w:t>3</w:t>
      </w:r>
      <w:r w:rsidR="00B637E7" w:rsidRPr="007C36F3">
        <w:rPr>
          <w:b/>
        </w:rPr>
        <w:t>h</w:t>
      </w:r>
      <w:r w:rsidRPr="007C36F3">
        <w:t xml:space="preserve">). The initial and follow-up/reminder </w:t>
      </w:r>
      <w:r w:rsidR="00C02276" w:rsidRPr="007C36F3">
        <w:t>e-mail</w:t>
      </w:r>
      <w:r w:rsidRPr="007C36F3">
        <w:t xml:space="preserve">s will include a link to the survey </w:t>
      </w:r>
      <w:r w:rsidR="00E16FE7" w:rsidRPr="007C36F3">
        <w:t>Web</w:t>
      </w:r>
      <w:r w:rsidRPr="007C36F3">
        <w:t xml:space="preserve"> site.</w:t>
      </w:r>
    </w:p>
    <w:p w14:paraId="05E4BA53" w14:textId="77777777" w:rsidR="000468F6" w:rsidRPr="007C36F3" w:rsidRDefault="000468F6" w:rsidP="005F348A">
      <w:pPr>
        <w:pStyle w:val="BodyText2"/>
        <w:spacing w:after="0" w:line="240" w:lineRule="auto"/>
      </w:pPr>
    </w:p>
    <w:p w14:paraId="32CCB7BA" w14:textId="77777777" w:rsidR="005B19CD" w:rsidRDefault="005B19CD" w:rsidP="00645872">
      <w:r w:rsidRPr="007C36F3">
        <w:t xml:space="preserve">Surveys will be administered through SurveyMonkey, a </w:t>
      </w:r>
      <w:r w:rsidR="00E16FE7" w:rsidRPr="007C36F3">
        <w:t>Web</w:t>
      </w:r>
      <w:r w:rsidRPr="007C36F3">
        <w:t xml:space="preserve">-based survey software. </w:t>
      </w:r>
      <w:r w:rsidR="008D68D5">
        <w:t xml:space="preserve">Survey participants will review the terms of the study and </w:t>
      </w:r>
      <w:r w:rsidR="00645872">
        <w:t xml:space="preserve">will provide active consent per written survey instructions: </w:t>
      </w:r>
      <w:r w:rsidR="00645872" w:rsidRPr="00645872">
        <w:rPr>
          <w:i/>
        </w:rPr>
        <w:t>Clicking on the ‘Next’ button below indicates that you have read the above information and you agree to participate in the survey</w:t>
      </w:r>
      <w:r w:rsidR="00044561">
        <w:rPr>
          <w:i/>
        </w:rPr>
        <w:t xml:space="preserve"> </w:t>
      </w:r>
      <w:r w:rsidR="00044561" w:rsidRPr="00CF6C63">
        <w:t xml:space="preserve">(see </w:t>
      </w:r>
      <w:r w:rsidR="00CF6C63">
        <w:t xml:space="preserve">page 2 of </w:t>
      </w:r>
      <w:r w:rsidR="00CF6C63" w:rsidRPr="00CF6C63">
        <w:rPr>
          <w:b/>
        </w:rPr>
        <w:t>Attachment 3b</w:t>
      </w:r>
      <w:r w:rsidR="00CF6C63">
        <w:t xml:space="preserve"> for Grantee Survey and page 2 of </w:t>
      </w:r>
      <w:r w:rsidR="00CF6C63" w:rsidRPr="00CF6C63">
        <w:rPr>
          <w:b/>
        </w:rPr>
        <w:t>Attachment 3d</w:t>
      </w:r>
      <w:r w:rsidR="00CF6C63">
        <w:rPr>
          <w:b/>
        </w:rPr>
        <w:t xml:space="preserve"> </w:t>
      </w:r>
      <w:r w:rsidR="00CF6C63" w:rsidRPr="00CF6C63">
        <w:t>for Partner Survey</w:t>
      </w:r>
      <w:r w:rsidR="00044561" w:rsidRPr="00CF6C63">
        <w:t>)</w:t>
      </w:r>
      <w:r w:rsidR="008D68D5" w:rsidRPr="00CF6C63">
        <w:t>.</w:t>
      </w:r>
      <w:r w:rsidR="008D68D5">
        <w:t xml:space="preserve"> </w:t>
      </w:r>
      <w:r w:rsidRPr="007C36F3">
        <w:t xml:space="preserve">The information collected will be maintained for 24 months after the final administration of the assessment. </w:t>
      </w:r>
    </w:p>
    <w:p w14:paraId="72B12F89" w14:textId="77777777" w:rsidR="000468F6" w:rsidRPr="007C36F3" w:rsidRDefault="000468F6" w:rsidP="005F348A">
      <w:pPr>
        <w:pStyle w:val="BodyText2"/>
        <w:spacing w:after="0" w:line="240" w:lineRule="auto"/>
      </w:pPr>
    </w:p>
    <w:p w14:paraId="12799A3A" w14:textId="77777777" w:rsidR="005B19CD" w:rsidRDefault="005B19CD" w:rsidP="005F348A">
      <w:pPr>
        <w:pStyle w:val="BodyText2"/>
        <w:spacing w:after="0" w:line="240" w:lineRule="auto"/>
      </w:pPr>
      <w:r w:rsidRPr="007C36F3">
        <w:t>Four rounds of communication will be sent to the semi</w:t>
      </w:r>
      <w:r w:rsidR="00986C20">
        <w:t>-</w:t>
      </w:r>
      <w:r w:rsidRPr="007C36F3">
        <w:t xml:space="preserve">structured telephone interview respondents during each wave of data collection: an initial introductory </w:t>
      </w:r>
      <w:r w:rsidR="00C02276" w:rsidRPr="007C36F3">
        <w:t>e-mail</w:t>
      </w:r>
      <w:r w:rsidRPr="007C36F3">
        <w:t xml:space="preserve"> to schedule the interview (see </w:t>
      </w:r>
      <w:r w:rsidRPr="007C36F3">
        <w:rPr>
          <w:b/>
        </w:rPr>
        <w:t xml:space="preserve">Attachment </w:t>
      </w:r>
      <w:r w:rsidR="008E24FD" w:rsidRPr="007C36F3">
        <w:rPr>
          <w:b/>
        </w:rPr>
        <w:t>4b</w:t>
      </w:r>
      <w:r w:rsidRPr="007C36F3">
        <w:t xml:space="preserve">); a follow-up scheduling </w:t>
      </w:r>
      <w:r w:rsidR="00C02276" w:rsidRPr="007C36F3">
        <w:t>e-mail</w:t>
      </w:r>
      <w:r w:rsidRPr="007C36F3">
        <w:t xml:space="preserve">, sent 1 week after the initial </w:t>
      </w:r>
      <w:r w:rsidR="00C02276" w:rsidRPr="007C36F3">
        <w:t>e-mail</w:t>
      </w:r>
      <w:r w:rsidRPr="007C36F3">
        <w:t xml:space="preserve"> (see </w:t>
      </w:r>
      <w:r w:rsidRPr="007C36F3">
        <w:rPr>
          <w:b/>
        </w:rPr>
        <w:t xml:space="preserve">Attachment </w:t>
      </w:r>
      <w:r w:rsidR="008E24FD" w:rsidRPr="007C36F3">
        <w:rPr>
          <w:b/>
        </w:rPr>
        <w:t>4c</w:t>
      </w:r>
      <w:r w:rsidRPr="007C36F3">
        <w:t xml:space="preserve">); a final reminder </w:t>
      </w:r>
      <w:r w:rsidR="00C02276" w:rsidRPr="007C36F3">
        <w:t>e-mail</w:t>
      </w:r>
      <w:r w:rsidRPr="007C36F3">
        <w:t xml:space="preserve">, sent 1 week after the follow-up </w:t>
      </w:r>
      <w:r w:rsidR="00C02276" w:rsidRPr="007C36F3">
        <w:t>e-mail</w:t>
      </w:r>
      <w:r w:rsidRPr="007C36F3">
        <w:t xml:space="preserve"> (see </w:t>
      </w:r>
      <w:r w:rsidRPr="007C36F3">
        <w:rPr>
          <w:b/>
        </w:rPr>
        <w:t xml:space="preserve">Attachment </w:t>
      </w:r>
      <w:r w:rsidR="008E24FD" w:rsidRPr="007C36F3">
        <w:rPr>
          <w:b/>
        </w:rPr>
        <w:t>4d</w:t>
      </w:r>
      <w:r w:rsidRPr="007C36F3">
        <w:t xml:space="preserve">); and a thank you </w:t>
      </w:r>
      <w:r w:rsidR="00C02276" w:rsidRPr="007C36F3">
        <w:t>e-mail</w:t>
      </w:r>
      <w:r w:rsidRPr="007C36F3">
        <w:t xml:space="preserve">, sent 1 week after the completed interview (see </w:t>
      </w:r>
      <w:r w:rsidRPr="007C36F3">
        <w:rPr>
          <w:b/>
        </w:rPr>
        <w:t xml:space="preserve">Attachment </w:t>
      </w:r>
      <w:r w:rsidR="008E24FD" w:rsidRPr="007C36F3">
        <w:rPr>
          <w:b/>
        </w:rPr>
        <w:t>4e</w:t>
      </w:r>
      <w:r w:rsidRPr="007C36F3">
        <w:t xml:space="preserve">). Interview data will be maintained for 24 months after wave 1 interviews have been completed and 12 months after wave 2 interviews have been completed. </w:t>
      </w:r>
    </w:p>
    <w:p w14:paraId="5E1E557F" w14:textId="77777777" w:rsidR="000468F6" w:rsidRPr="007C36F3" w:rsidRDefault="000468F6" w:rsidP="005F348A">
      <w:pPr>
        <w:pStyle w:val="BodyText2"/>
        <w:spacing w:after="0" w:line="240" w:lineRule="auto"/>
      </w:pPr>
    </w:p>
    <w:p w14:paraId="4CC2CC57" w14:textId="77777777" w:rsidR="001967CB" w:rsidRDefault="001967CB" w:rsidP="001967CB">
      <w:pPr>
        <w:pStyle w:val="BodyText2"/>
        <w:spacing w:after="0" w:line="240" w:lineRule="auto"/>
      </w:pPr>
      <w:r w:rsidRPr="007C36F3">
        <w:t xml:space="preserve">Per the OMB- and IRB-approved protocols, </w:t>
      </w:r>
      <w:r w:rsidR="007D506D">
        <w:t xml:space="preserve">immediately preceding the interview </w:t>
      </w:r>
      <w:r w:rsidRPr="007C36F3">
        <w:t xml:space="preserve">we will obtain </w:t>
      </w:r>
      <w:r>
        <w:t xml:space="preserve">oral </w:t>
      </w:r>
      <w:r w:rsidRPr="007C36F3">
        <w:t>consent from each respondent to participate in the interview and to allow audio-recording of the interview to facilitate transcription</w:t>
      </w:r>
      <w:r>
        <w:t xml:space="preserve"> at the start of each interview</w:t>
      </w:r>
      <w:r w:rsidR="00CF6C63">
        <w:t xml:space="preserve"> (see page 2 of </w:t>
      </w:r>
      <w:r w:rsidR="00CF6C63" w:rsidRPr="00CF6C63">
        <w:rPr>
          <w:b/>
        </w:rPr>
        <w:t>Attachment</w:t>
      </w:r>
      <w:r w:rsidR="00CF6C63">
        <w:rPr>
          <w:b/>
        </w:rPr>
        <w:t xml:space="preserve"> 4</w:t>
      </w:r>
      <w:r w:rsidR="00CF6C63">
        <w:t>)</w:t>
      </w:r>
      <w:r w:rsidRPr="007C36F3">
        <w:t>. A lead interviewer and a note-taker will participate in each interview.</w:t>
      </w:r>
    </w:p>
    <w:p w14:paraId="68261253" w14:textId="77777777" w:rsidR="00393662" w:rsidRPr="007C36F3" w:rsidRDefault="00393662" w:rsidP="005F348A">
      <w:pPr>
        <w:pStyle w:val="NormalWeb"/>
        <w:spacing w:before="0" w:beforeAutospacing="0" w:after="0" w:afterAutospacing="0"/>
        <w:ind w:left="1080"/>
        <w:rPr>
          <w:rFonts w:ascii="Times New Roman" w:hAnsi="Times New Roman" w:cs="Times New Roman"/>
          <w:lang w:eastAsia="x-none"/>
        </w:rPr>
      </w:pPr>
    </w:p>
    <w:p w14:paraId="1799E980" w14:textId="77777777" w:rsidR="005B19CD" w:rsidRDefault="005B19CD" w:rsidP="00630185">
      <w:pPr>
        <w:pStyle w:val="BodyText2"/>
        <w:keepNext/>
        <w:keepLines/>
        <w:numPr>
          <w:ilvl w:val="0"/>
          <w:numId w:val="36"/>
        </w:numPr>
        <w:spacing w:after="0" w:line="240" w:lineRule="auto"/>
        <w:rPr>
          <w:u w:val="single"/>
        </w:rPr>
      </w:pPr>
      <w:r w:rsidRPr="007C36F3">
        <w:rPr>
          <w:u w:val="single"/>
        </w:rPr>
        <w:t>Impact of Proposed Collection on Respondent’s Privacy</w:t>
      </w:r>
    </w:p>
    <w:p w14:paraId="069F83D5" w14:textId="77777777" w:rsidR="00630185" w:rsidRPr="007C36F3" w:rsidRDefault="00630185" w:rsidP="00630185">
      <w:pPr>
        <w:pStyle w:val="BodyText2"/>
        <w:keepNext/>
        <w:keepLines/>
        <w:spacing w:after="0" w:line="240" w:lineRule="auto"/>
        <w:ind w:left="1440" w:firstLine="0"/>
      </w:pPr>
    </w:p>
    <w:p w14:paraId="30913BED" w14:textId="77777777" w:rsidR="005B19CD" w:rsidRDefault="005B19CD" w:rsidP="005F348A">
      <w:pPr>
        <w:pStyle w:val="BodyText2"/>
        <w:keepNext/>
        <w:keepLines/>
        <w:spacing w:after="0" w:line="240" w:lineRule="auto"/>
      </w:pPr>
      <w:r w:rsidRPr="007C36F3">
        <w:t xml:space="preserve">Participation in this information collection is expected to have no impact on respondents’ privacy. Respondents will not be named in reports disseminated to or by CDC. RTI will not provide CDC with identifiable information collected for respondent recruitment. Contact information for respondents will be destroyed when the sample is complete and any data queries have been addressed. </w:t>
      </w:r>
    </w:p>
    <w:p w14:paraId="4EB4B9C1" w14:textId="77777777" w:rsidR="000468F6" w:rsidRPr="007C36F3" w:rsidRDefault="000468F6" w:rsidP="005F348A">
      <w:pPr>
        <w:pStyle w:val="BodyText2"/>
        <w:keepNext/>
        <w:keepLines/>
        <w:spacing w:after="0" w:line="240" w:lineRule="auto"/>
      </w:pPr>
    </w:p>
    <w:p w14:paraId="064705F8" w14:textId="77777777" w:rsidR="005B19CD" w:rsidRDefault="005B19CD" w:rsidP="005F348A">
      <w:pPr>
        <w:pStyle w:val="BodyText2"/>
        <w:spacing w:after="0" w:line="240" w:lineRule="auto"/>
      </w:pPr>
      <w:r w:rsidRPr="007C36F3">
        <w:t xml:space="preserve">Access to the completed </w:t>
      </w:r>
      <w:r w:rsidR="00E16FE7" w:rsidRPr="007C36F3">
        <w:t>Web</w:t>
      </w:r>
      <w:r w:rsidRPr="007C36F3">
        <w:t xml:space="preserve">-based surveys and interview data will be limited to authorized program staff only (i.e., the survey programmer, analysts, and project manager). Project reports will contain aggregated de-identified data only. </w:t>
      </w:r>
    </w:p>
    <w:p w14:paraId="6DBCC14D" w14:textId="77777777" w:rsidR="00630185" w:rsidRDefault="00630185" w:rsidP="005F348A">
      <w:pPr>
        <w:pStyle w:val="BodyText2"/>
        <w:spacing w:after="0" w:line="240" w:lineRule="auto"/>
      </w:pPr>
    </w:p>
    <w:p w14:paraId="7D508860" w14:textId="77777777" w:rsidR="00630185" w:rsidRPr="007C36F3" w:rsidRDefault="00630185" w:rsidP="005F348A">
      <w:pPr>
        <w:pStyle w:val="BodyText2"/>
        <w:spacing w:after="0" w:line="240" w:lineRule="auto"/>
      </w:pPr>
    </w:p>
    <w:p w14:paraId="158CD02D" w14:textId="77777777" w:rsidR="005B19CD" w:rsidRDefault="005B19CD" w:rsidP="00630185">
      <w:pPr>
        <w:pStyle w:val="BodyText2"/>
        <w:numPr>
          <w:ilvl w:val="0"/>
          <w:numId w:val="36"/>
        </w:numPr>
        <w:spacing w:after="0" w:line="240" w:lineRule="auto"/>
        <w:rPr>
          <w:u w:val="single"/>
        </w:rPr>
      </w:pPr>
      <w:r w:rsidRPr="007C36F3">
        <w:rPr>
          <w:u w:val="single"/>
        </w:rPr>
        <w:t>Nature of Participation and Opportunities to Consent</w:t>
      </w:r>
    </w:p>
    <w:p w14:paraId="561B0738" w14:textId="77777777" w:rsidR="00630185" w:rsidRPr="007C36F3" w:rsidRDefault="00630185" w:rsidP="00630185">
      <w:pPr>
        <w:pStyle w:val="BodyText2"/>
        <w:spacing w:after="0" w:line="240" w:lineRule="auto"/>
        <w:ind w:left="1440" w:firstLine="0"/>
      </w:pPr>
    </w:p>
    <w:p w14:paraId="65F0C403" w14:textId="77777777" w:rsidR="001967CB" w:rsidRDefault="001967CB" w:rsidP="001967CB">
      <w:pPr>
        <w:pStyle w:val="BodyText2"/>
        <w:spacing w:after="0" w:line="240" w:lineRule="auto"/>
      </w:pPr>
      <w:r w:rsidRPr="007C36F3">
        <w:t xml:space="preserve">Participation in the Web surveys and semistructured telephone interviews is </w:t>
      </w:r>
      <w:r w:rsidR="008F63D1">
        <w:t>voluntary</w:t>
      </w:r>
      <w:r w:rsidRPr="007C36F3">
        <w:t xml:space="preserve">. Participants will be informed that the resulting data will be shared with DCPC staff to improve technical assistance to funded grantees, future funding opportunities, and cancer survivorship program dissemination efforts. </w:t>
      </w:r>
      <w:r>
        <w:t>Web survey participants will read an informed consent section in SurveyMonkey and indicate their consent to participate by clicking the ‘Next’ button to proceed with the survey. A lead interviewer will read an informed consent at the start of each telephone interview and ask the respondent to provide oral consent to proceed with the interview and allow audio-recording of the interview to facilitate transcription.</w:t>
      </w:r>
    </w:p>
    <w:p w14:paraId="609C8AAB" w14:textId="77777777" w:rsidR="00630185" w:rsidRPr="007C36F3" w:rsidRDefault="00630185" w:rsidP="005F348A">
      <w:pPr>
        <w:pStyle w:val="BodyText2"/>
        <w:spacing w:after="0" w:line="240" w:lineRule="auto"/>
      </w:pPr>
    </w:p>
    <w:p w14:paraId="7080AB51" w14:textId="77777777" w:rsidR="005B19CD" w:rsidRDefault="005B19CD" w:rsidP="00630185">
      <w:pPr>
        <w:pStyle w:val="BodyText2"/>
        <w:numPr>
          <w:ilvl w:val="0"/>
          <w:numId w:val="36"/>
        </w:numPr>
        <w:spacing w:after="0" w:line="240" w:lineRule="auto"/>
        <w:rPr>
          <w:u w:val="single"/>
        </w:rPr>
      </w:pPr>
      <w:r w:rsidRPr="007C36F3">
        <w:rPr>
          <w:u w:val="single"/>
        </w:rPr>
        <w:t>How Information Will Be Secured</w:t>
      </w:r>
    </w:p>
    <w:p w14:paraId="13394388" w14:textId="77777777" w:rsidR="00630185" w:rsidRPr="007C36F3" w:rsidRDefault="00630185" w:rsidP="00630185">
      <w:pPr>
        <w:pStyle w:val="BodyText2"/>
        <w:spacing w:after="0" w:line="240" w:lineRule="auto"/>
        <w:ind w:left="1440" w:firstLine="0"/>
      </w:pPr>
    </w:p>
    <w:p w14:paraId="16E06AB0" w14:textId="77777777" w:rsidR="001967CB" w:rsidRDefault="001967CB" w:rsidP="001967CB">
      <w:pPr>
        <w:pStyle w:val="BodyText2"/>
        <w:spacing w:after="0" w:line="240" w:lineRule="auto"/>
      </w:pPr>
      <w:r w:rsidRPr="007C36F3">
        <w:t>Data collected from the Web-based surveys will be stored electronically in SurveyMonkey. De-identified survey data will be exported into an Excel database that links responses to a unique identifier and will be saved on a secure server. Only authorized staff (i.e., survey programmer, analyst, and project manager) will have direct access to the completed surveys in SurveyMonkey. We will transfer the de-identified data in an Excel database to DCPC via e-mail; the database will not include any identifiable information</w:t>
      </w:r>
      <w:r>
        <w:t xml:space="preserve"> and will be password-protected on RTI’s secure network</w:t>
      </w:r>
      <w:r w:rsidRPr="007C36F3">
        <w:t xml:space="preserve">. </w:t>
      </w:r>
    </w:p>
    <w:p w14:paraId="3A6990D8" w14:textId="77777777" w:rsidR="000468F6" w:rsidRPr="007C36F3" w:rsidRDefault="000468F6" w:rsidP="005F348A">
      <w:pPr>
        <w:pStyle w:val="BodyText2"/>
        <w:spacing w:after="0" w:line="240" w:lineRule="auto"/>
      </w:pPr>
    </w:p>
    <w:p w14:paraId="7EE67D11" w14:textId="77777777" w:rsidR="005B19CD" w:rsidRDefault="005B19CD" w:rsidP="005F348A">
      <w:pPr>
        <w:pStyle w:val="BodyText2"/>
        <w:spacing w:after="0" w:line="240" w:lineRule="auto"/>
      </w:pPr>
      <w:r w:rsidRPr="007C36F3">
        <w:t>Data collected from the semi</w:t>
      </w:r>
      <w:r w:rsidR="009936EE">
        <w:t>-</w:t>
      </w:r>
      <w:r w:rsidRPr="007C36F3">
        <w:t xml:space="preserve">structured telephone interviews, including audio recordings and interview notes, will be stored on </w:t>
      </w:r>
      <w:r w:rsidR="00B75E6C" w:rsidRPr="007C36F3">
        <w:t xml:space="preserve">a </w:t>
      </w:r>
      <w:r w:rsidRPr="007C36F3">
        <w:t xml:space="preserve">secure server. Only authorized staff (i.e., analysts and project manager) will have direct access to the audio recordings and interview notes. Overarching themes from qualitative interview data will be reported to DCPC; RTI will </w:t>
      </w:r>
      <w:r w:rsidR="00E40C42" w:rsidRPr="007C36F3">
        <w:t xml:space="preserve">remove all identifying information from the interview transcripts </w:t>
      </w:r>
      <w:r w:rsidR="00600788" w:rsidRPr="007C36F3">
        <w:t>and can provide them to DCPC if requested.</w:t>
      </w:r>
      <w:r w:rsidR="00E40C42" w:rsidRPr="007C36F3">
        <w:t xml:space="preserve"> </w:t>
      </w:r>
    </w:p>
    <w:p w14:paraId="6B58E3C5" w14:textId="77777777" w:rsidR="00630185" w:rsidRPr="007C36F3" w:rsidRDefault="00630185" w:rsidP="005F348A">
      <w:pPr>
        <w:pStyle w:val="BodyText2"/>
        <w:spacing w:after="0" w:line="240" w:lineRule="auto"/>
      </w:pPr>
    </w:p>
    <w:p w14:paraId="4C26DA4D" w14:textId="77777777" w:rsidR="005B19CD" w:rsidRDefault="005B19CD" w:rsidP="00630185">
      <w:pPr>
        <w:pStyle w:val="BodyText2"/>
        <w:keepNext/>
        <w:keepLines/>
        <w:numPr>
          <w:ilvl w:val="0"/>
          <w:numId w:val="36"/>
        </w:numPr>
        <w:spacing w:after="0" w:line="240" w:lineRule="auto"/>
        <w:rPr>
          <w:u w:val="single"/>
        </w:rPr>
      </w:pPr>
      <w:r w:rsidRPr="007C36F3">
        <w:rPr>
          <w:u w:val="single"/>
        </w:rPr>
        <w:t>Privacy Act Determination</w:t>
      </w:r>
    </w:p>
    <w:p w14:paraId="09919ECF" w14:textId="77777777" w:rsidR="00630185" w:rsidRPr="007C36F3" w:rsidRDefault="00630185" w:rsidP="00630185">
      <w:pPr>
        <w:pStyle w:val="BodyText2"/>
        <w:keepNext/>
        <w:keepLines/>
        <w:spacing w:after="0" w:line="240" w:lineRule="auto"/>
        <w:ind w:left="1440" w:firstLine="0"/>
      </w:pPr>
    </w:p>
    <w:p w14:paraId="32860EB7" w14:textId="77777777" w:rsidR="005B19CD" w:rsidRDefault="005B19CD" w:rsidP="00256E12">
      <w:pPr>
        <w:pStyle w:val="BodyText2"/>
        <w:keepNext/>
        <w:keepLines/>
        <w:spacing w:after="0" w:line="240" w:lineRule="auto"/>
      </w:pPr>
      <w:r w:rsidRPr="007C36F3">
        <w:t>CDC will not receive any identifiable response data from survey and interview respondents. Although CDC knows the names of the grantee organizations and key program staff, CDC will not be able to link specific responses to actual grantee staff. No system of records is being created under the Privacy Act for this data collection.</w:t>
      </w:r>
    </w:p>
    <w:p w14:paraId="5BEF6011" w14:textId="77777777" w:rsidR="00630185" w:rsidRPr="007C36F3" w:rsidRDefault="00630185" w:rsidP="005F348A">
      <w:pPr>
        <w:pStyle w:val="BodyText2"/>
        <w:spacing w:after="0" w:line="240" w:lineRule="auto"/>
      </w:pPr>
    </w:p>
    <w:p w14:paraId="09454100" w14:textId="77777777" w:rsidR="005B19CD" w:rsidRDefault="005B19CD" w:rsidP="00630185">
      <w:pPr>
        <w:pStyle w:val="BodyText2"/>
        <w:numPr>
          <w:ilvl w:val="0"/>
          <w:numId w:val="36"/>
        </w:numPr>
        <w:spacing w:after="0" w:line="240" w:lineRule="auto"/>
        <w:rPr>
          <w:u w:val="single"/>
        </w:rPr>
      </w:pPr>
      <w:r w:rsidRPr="007C36F3">
        <w:rPr>
          <w:u w:val="single"/>
        </w:rPr>
        <w:t xml:space="preserve">Identification of </w:t>
      </w:r>
      <w:r w:rsidR="00E16FE7" w:rsidRPr="007C36F3">
        <w:rPr>
          <w:u w:val="single"/>
        </w:rPr>
        <w:t>Web</w:t>
      </w:r>
      <w:r w:rsidRPr="007C36F3">
        <w:rPr>
          <w:u w:val="single"/>
        </w:rPr>
        <w:t xml:space="preserve">site(s) and </w:t>
      </w:r>
      <w:r w:rsidR="00E16FE7" w:rsidRPr="007C36F3">
        <w:rPr>
          <w:u w:val="single"/>
        </w:rPr>
        <w:t>Web</w:t>
      </w:r>
      <w:r w:rsidRPr="007C36F3">
        <w:rPr>
          <w:u w:val="single"/>
        </w:rPr>
        <w:t>site Content Directed at Children Under 13 Years of Age</w:t>
      </w:r>
    </w:p>
    <w:p w14:paraId="40DB41CA" w14:textId="77777777" w:rsidR="00630185" w:rsidRPr="007C36F3" w:rsidRDefault="00630185" w:rsidP="00630185">
      <w:pPr>
        <w:pStyle w:val="BodyText2"/>
        <w:spacing w:after="0" w:line="240" w:lineRule="auto"/>
        <w:ind w:left="1440" w:firstLine="0"/>
        <w:rPr>
          <w:u w:val="single"/>
        </w:rPr>
      </w:pPr>
    </w:p>
    <w:p w14:paraId="3677C357" w14:textId="77777777" w:rsidR="00630185" w:rsidRDefault="005B19CD" w:rsidP="00DE650F">
      <w:pPr>
        <w:pStyle w:val="BodyText2"/>
        <w:spacing w:after="0" w:line="240" w:lineRule="auto"/>
      </w:pPr>
      <w:r w:rsidRPr="007C36F3">
        <w:t xml:space="preserve">The </w:t>
      </w:r>
      <w:r w:rsidR="00E16FE7" w:rsidRPr="007C36F3">
        <w:t>Web</w:t>
      </w:r>
      <w:r w:rsidRPr="007C36F3">
        <w:t xml:space="preserve">-based surveys and telephone interviews will not refer respondents to any other </w:t>
      </w:r>
      <w:r w:rsidR="00E16FE7" w:rsidRPr="007C36F3">
        <w:t>Web</w:t>
      </w:r>
      <w:r w:rsidRPr="007C36F3">
        <w:t xml:space="preserve">sites. No content is directed at children under 13 years of age. The </w:t>
      </w:r>
      <w:r w:rsidR="00E16FE7" w:rsidRPr="007C36F3">
        <w:t>Web</w:t>
      </w:r>
      <w:r w:rsidRPr="007C36F3">
        <w:t>-based surveys will not use cookies and will not require rules of conduct or privacy policy agreements.</w:t>
      </w:r>
    </w:p>
    <w:p w14:paraId="2B8DBC18" w14:textId="77777777" w:rsidR="005B19CD" w:rsidRPr="007C36F3" w:rsidRDefault="005B19CD" w:rsidP="00DE650F">
      <w:pPr>
        <w:pStyle w:val="BodyText2"/>
        <w:spacing w:after="0" w:line="240" w:lineRule="auto"/>
      </w:pPr>
      <w:r w:rsidRPr="007C36F3">
        <w:t xml:space="preserve"> </w:t>
      </w:r>
    </w:p>
    <w:p w14:paraId="7775B63D" w14:textId="77777777" w:rsidR="005B19CD" w:rsidRDefault="005B19CD" w:rsidP="00DE650F">
      <w:pPr>
        <w:pStyle w:val="Heading2"/>
        <w:spacing w:before="0" w:after="0"/>
        <w:ind w:left="0" w:firstLine="0"/>
        <w:rPr>
          <w:b w:val="0"/>
          <w:u w:val="single"/>
        </w:rPr>
      </w:pPr>
      <w:bookmarkStart w:id="14" w:name="_Toc475699041"/>
      <w:r w:rsidRPr="00986C20">
        <w:rPr>
          <w:b w:val="0"/>
        </w:rPr>
        <w:t>11.</w:t>
      </w:r>
      <w:r w:rsidRPr="00986C20">
        <w:rPr>
          <w:b w:val="0"/>
        </w:rPr>
        <w:tab/>
      </w:r>
      <w:r w:rsidR="00306BA2" w:rsidRPr="00986C20">
        <w:rPr>
          <w:b w:val="0"/>
          <w:u w:val="single"/>
        </w:rPr>
        <w:t xml:space="preserve">Institutional Review Board (IRB) and </w:t>
      </w:r>
      <w:r w:rsidRPr="00986C20">
        <w:rPr>
          <w:b w:val="0"/>
          <w:u w:val="single"/>
        </w:rPr>
        <w:t>Justification for Sensitive Questions</w:t>
      </w:r>
      <w:bookmarkEnd w:id="14"/>
    </w:p>
    <w:p w14:paraId="79DD33F9" w14:textId="77777777" w:rsidR="00630185" w:rsidRPr="00630185" w:rsidRDefault="00630185" w:rsidP="00DE650F"/>
    <w:p w14:paraId="361FD45D" w14:textId="77777777" w:rsidR="00A518BB" w:rsidRDefault="00A518BB" w:rsidP="00DE650F">
      <w:pPr>
        <w:pStyle w:val="BodyText2"/>
        <w:spacing w:after="0" w:line="240" w:lineRule="auto"/>
        <w:rPr>
          <w:b/>
        </w:rPr>
      </w:pPr>
      <w:r w:rsidRPr="007C36F3">
        <w:t xml:space="preserve">The information collection contractor’s Institutional Review Board (IRB) determined that this project does not constitute research with human subjects as defined by the U.S. Code of Federal Regulations (45 CFR 46.102). RTI’s IRB determination memorandum is included as </w:t>
      </w:r>
      <w:r w:rsidRPr="007C36F3">
        <w:rPr>
          <w:b/>
        </w:rPr>
        <w:t xml:space="preserve">Attachment </w:t>
      </w:r>
      <w:r w:rsidR="009C731B" w:rsidRPr="007C36F3">
        <w:rPr>
          <w:b/>
        </w:rPr>
        <w:t>6</w:t>
      </w:r>
      <w:r w:rsidRPr="007C36F3">
        <w:rPr>
          <w:b/>
        </w:rPr>
        <w:t>.</w:t>
      </w:r>
    </w:p>
    <w:p w14:paraId="7E22C5D4" w14:textId="77777777" w:rsidR="000468F6" w:rsidRPr="007C36F3" w:rsidRDefault="000468F6" w:rsidP="00DE650F">
      <w:pPr>
        <w:pStyle w:val="BodyText2"/>
        <w:spacing w:after="0" w:line="240" w:lineRule="auto"/>
        <w:rPr>
          <w:b/>
        </w:rPr>
      </w:pPr>
    </w:p>
    <w:p w14:paraId="170C5240" w14:textId="484E97C5" w:rsidR="005B19CD" w:rsidRDefault="005B19CD" w:rsidP="00DE650F">
      <w:pPr>
        <w:pStyle w:val="BodyText2"/>
        <w:spacing w:after="0" w:line="240" w:lineRule="auto"/>
      </w:pPr>
      <w:r w:rsidRPr="007C36F3">
        <w:t xml:space="preserve">The </w:t>
      </w:r>
      <w:r w:rsidR="00E16FE7" w:rsidRPr="007C36F3">
        <w:t>Web</w:t>
      </w:r>
      <w:r w:rsidRPr="007C36F3">
        <w:t>-based survey</w:t>
      </w:r>
      <w:r w:rsidR="001E18EF" w:rsidRPr="007C36F3">
        <w:t>s</w:t>
      </w:r>
      <w:r w:rsidRPr="007C36F3">
        <w:t xml:space="preserve"> and semi</w:t>
      </w:r>
      <w:r w:rsidR="00DE650F">
        <w:t>-</w:t>
      </w:r>
      <w:r w:rsidRPr="007C36F3">
        <w:t xml:space="preserve">structured telephone interviews will collect information to identify and address cancer survivorship gaps and needs. </w:t>
      </w:r>
      <w:r w:rsidR="00791826" w:rsidRPr="007C36F3">
        <w:t>Neither the web-based survey</w:t>
      </w:r>
      <w:r w:rsidR="00AF0D41" w:rsidRPr="007C36F3">
        <w:t>s</w:t>
      </w:r>
      <w:r w:rsidR="00791826" w:rsidRPr="007C36F3">
        <w:t xml:space="preserve"> nor the telephone interviews </w:t>
      </w:r>
      <w:r w:rsidR="002A1374" w:rsidRPr="007C36F3">
        <w:t xml:space="preserve">will </w:t>
      </w:r>
      <w:r w:rsidR="00791826" w:rsidRPr="007C36F3">
        <w:t>have</w:t>
      </w:r>
      <w:r w:rsidR="00302A6B" w:rsidRPr="007C36F3">
        <w:rPr>
          <w:rFonts w:cs="ITC Franklin Gothic Std Book"/>
          <w:color w:val="000000"/>
          <w:sz w:val="22"/>
          <w:szCs w:val="22"/>
        </w:rPr>
        <w:t xml:space="preserve"> questions of a sensitive nature, such as criminal behavior, sexual behavior and attitudes, alcohol or drug use, religious beliefs, and other matters that are commonly considered private.</w:t>
      </w:r>
      <w:r w:rsidR="00791826" w:rsidRPr="007C36F3">
        <w:rPr>
          <w:rFonts w:cs="ITC Franklin Gothic Std Book"/>
          <w:color w:val="000000"/>
          <w:sz w:val="22"/>
          <w:szCs w:val="22"/>
        </w:rPr>
        <w:t xml:space="preserve">  </w:t>
      </w:r>
      <w:r w:rsidR="002A1374" w:rsidRPr="007C36F3">
        <w:rPr>
          <w:rFonts w:cs="ITC Franklin Gothic Std Book"/>
          <w:color w:val="000000"/>
          <w:sz w:val="22"/>
          <w:szCs w:val="22"/>
        </w:rPr>
        <w:t xml:space="preserve">We are not collecting individual’s race or ethnicity data, or diagnoses of medical conditions, from interviewees or survey respondents.  </w:t>
      </w:r>
      <w:r w:rsidR="002A1374" w:rsidRPr="007C36F3">
        <w:t>R</w:t>
      </w:r>
      <w:r w:rsidRPr="007C36F3">
        <w:t xml:space="preserve">espondents may provide professional judgments and opinions, as well as facts, during data collection. </w:t>
      </w:r>
    </w:p>
    <w:p w14:paraId="4EBC1B05" w14:textId="77777777" w:rsidR="00DE650F" w:rsidRPr="007C36F3" w:rsidRDefault="00DE650F" w:rsidP="00DE650F">
      <w:pPr>
        <w:pStyle w:val="BodyText2"/>
        <w:spacing w:after="0" w:line="240" w:lineRule="auto"/>
      </w:pPr>
    </w:p>
    <w:p w14:paraId="21656A62" w14:textId="77777777" w:rsidR="005B19CD" w:rsidRDefault="005B19CD" w:rsidP="00DE650F">
      <w:pPr>
        <w:pStyle w:val="Heading2"/>
        <w:spacing w:before="0" w:after="0"/>
        <w:rPr>
          <w:b w:val="0"/>
          <w:u w:val="single"/>
        </w:rPr>
      </w:pPr>
      <w:bookmarkStart w:id="15" w:name="_Toc475699042"/>
      <w:r w:rsidRPr="00986C20">
        <w:rPr>
          <w:b w:val="0"/>
        </w:rPr>
        <w:t>12.</w:t>
      </w:r>
      <w:r w:rsidRPr="00986C20">
        <w:rPr>
          <w:b w:val="0"/>
        </w:rPr>
        <w:tab/>
      </w:r>
      <w:r w:rsidRPr="00986C20">
        <w:rPr>
          <w:b w:val="0"/>
          <w:u w:val="single"/>
        </w:rPr>
        <w:t>Estimate of Annualized Burden Hours and Costs</w:t>
      </w:r>
      <w:bookmarkEnd w:id="15"/>
    </w:p>
    <w:p w14:paraId="4AAEE3BA" w14:textId="77777777" w:rsidR="00DE650F" w:rsidRPr="00DE650F" w:rsidRDefault="00DE650F" w:rsidP="00DE650F"/>
    <w:p w14:paraId="32634444" w14:textId="77777777" w:rsidR="005B19CD" w:rsidRDefault="005B19CD" w:rsidP="00DE650F">
      <w:pPr>
        <w:pStyle w:val="BodyText2"/>
        <w:spacing w:after="0" w:line="240" w:lineRule="auto"/>
      </w:pPr>
      <w:r w:rsidRPr="007C36F3">
        <w:t xml:space="preserve">This </w:t>
      </w:r>
      <w:r w:rsidR="00475886" w:rsidRPr="007C36F3">
        <w:t>new</w:t>
      </w:r>
      <w:r w:rsidR="003C5EDE" w:rsidRPr="007C36F3">
        <w:t xml:space="preserve"> </w:t>
      </w:r>
      <w:r w:rsidRPr="007C36F3">
        <w:t xml:space="preserve">OMB approval is being requested for two waves of data collection. Both waves will include </w:t>
      </w:r>
      <w:r w:rsidR="00E16FE7" w:rsidRPr="007C36F3">
        <w:t>Web</w:t>
      </w:r>
      <w:r w:rsidRPr="007C36F3">
        <w:t>-based surveys and semi</w:t>
      </w:r>
      <w:r w:rsidR="00256E12">
        <w:t>-</w:t>
      </w:r>
      <w:r w:rsidRPr="007C36F3">
        <w:t xml:space="preserve">structured telephone interviews with NCCCP program directors and program managers. We anticipate reaching all NCCCP grantee program directors and program managers for the </w:t>
      </w:r>
      <w:r w:rsidR="00E16FE7" w:rsidRPr="007C36F3">
        <w:t>Web</w:t>
      </w:r>
      <w:r w:rsidRPr="007C36F3">
        <w:t xml:space="preserve">-based </w:t>
      </w:r>
      <w:r w:rsidR="00E9698D" w:rsidRPr="007C36F3">
        <w:t>Grantee Survey</w:t>
      </w:r>
      <w:r w:rsidRPr="007C36F3">
        <w:t xml:space="preserve"> and telephone interviews, and a subset of grantee partners for the </w:t>
      </w:r>
      <w:r w:rsidR="00E16FE7" w:rsidRPr="007C36F3">
        <w:t>Web</w:t>
      </w:r>
      <w:r w:rsidRPr="007C36F3">
        <w:t xml:space="preserve">-based </w:t>
      </w:r>
      <w:r w:rsidR="00E9698D" w:rsidRPr="007C36F3">
        <w:t>Partner Survey</w:t>
      </w:r>
      <w:r w:rsidRPr="007C36F3">
        <w:t xml:space="preserve">. We anticipate this will be approximately 12 respondents </w:t>
      </w:r>
      <w:r w:rsidR="001E18EF" w:rsidRPr="007C36F3">
        <w:t xml:space="preserve">each </w:t>
      </w:r>
      <w:r w:rsidRPr="007C36F3">
        <w:t>for the semi</w:t>
      </w:r>
      <w:r w:rsidR="00256E12">
        <w:t>-</w:t>
      </w:r>
      <w:r w:rsidRPr="007C36F3">
        <w:t>structured telephone interviews</w:t>
      </w:r>
      <w:r w:rsidR="001E18EF" w:rsidRPr="007C36F3">
        <w:t xml:space="preserve"> and Web-based </w:t>
      </w:r>
      <w:r w:rsidR="00E9698D" w:rsidRPr="007C36F3">
        <w:t>Grantee Survey</w:t>
      </w:r>
      <w:r w:rsidR="001E18EF" w:rsidRPr="007C36F3">
        <w:t xml:space="preserve"> (two individuals per NCCCP DP15-1501 grantee site)</w:t>
      </w:r>
      <w:r w:rsidRPr="007C36F3">
        <w:t xml:space="preserve"> and </w:t>
      </w:r>
      <w:r w:rsidR="001E18EF" w:rsidRPr="007C36F3">
        <w:t xml:space="preserve">60 </w:t>
      </w:r>
      <w:r w:rsidRPr="007C36F3">
        <w:t xml:space="preserve">respondents (10 partners from each of the six NCCCP DP15-1501 sites) for the </w:t>
      </w:r>
      <w:r w:rsidR="00E16FE7" w:rsidRPr="007C36F3">
        <w:t>Web</w:t>
      </w:r>
      <w:r w:rsidRPr="007C36F3">
        <w:t xml:space="preserve">-based </w:t>
      </w:r>
      <w:r w:rsidR="00E9698D" w:rsidRPr="007C36F3">
        <w:t>Partner Survey</w:t>
      </w:r>
      <w:r w:rsidRPr="007C36F3">
        <w:t>.</w:t>
      </w:r>
    </w:p>
    <w:p w14:paraId="253EBB8C" w14:textId="77777777" w:rsidR="00DE650F" w:rsidRPr="007C36F3" w:rsidRDefault="00DE650F" w:rsidP="00DE650F">
      <w:pPr>
        <w:pStyle w:val="BodyText2"/>
        <w:spacing w:after="0" w:line="240" w:lineRule="auto"/>
      </w:pPr>
    </w:p>
    <w:p w14:paraId="72ADB157" w14:textId="77777777" w:rsidR="005B19CD" w:rsidRPr="007C36F3" w:rsidRDefault="005B19CD" w:rsidP="00DE650F">
      <w:pPr>
        <w:pStyle w:val="BodyText2"/>
        <w:spacing w:after="0" w:line="240" w:lineRule="auto"/>
      </w:pPr>
      <w:r w:rsidRPr="007C36F3">
        <w:t xml:space="preserve">The burden table shows the number of responses for both waves of data collection. </w:t>
      </w:r>
      <w:r w:rsidR="0097001E" w:rsidRPr="007C36F3">
        <w:t>Based on pilot testing of the survey instrument, t</w:t>
      </w:r>
      <w:r w:rsidRPr="007C36F3">
        <w:t xml:space="preserve">he estimated burden response for the </w:t>
      </w:r>
      <w:r w:rsidR="00E16FE7" w:rsidRPr="007C36F3">
        <w:t>Web</w:t>
      </w:r>
      <w:r w:rsidRPr="007C36F3">
        <w:t>-based survey is 20 minutes</w:t>
      </w:r>
      <w:r w:rsidR="003C5EDE" w:rsidRPr="007C36F3">
        <w:t xml:space="preserve"> (1/3 hour)</w:t>
      </w:r>
      <w:r w:rsidRPr="007C36F3">
        <w:t>. The estimated burden per respondent for the semi</w:t>
      </w:r>
      <w:r w:rsidR="00256E12">
        <w:t>-</w:t>
      </w:r>
      <w:r w:rsidRPr="007C36F3">
        <w:t>structured teleph</w:t>
      </w:r>
      <w:r w:rsidR="00F81606">
        <w:t>one interviews is an hour and 30</w:t>
      </w:r>
      <w:r w:rsidRPr="007C36F3">
        <w:t xml:space="preserve"> minutes</w:t>
      </w:r>
      <w:r w:rsidR="003C5EDE" w:rsidRPr="007C36F3">
        <w:t xml:space="preserve"> (1</w:t>
      </w:r>
      <w:r w:rsidR="00F81606">
        <w:t>.50</w:t>
      </w:r>
      <w:r w:rsidR="003C5EDE" w:rsidRPr="007C36F3">
        <w:t xml:space="preserve"> hours)</w:t>
      </w:r>
      <w:r w:rsidR="00F81606">
        <w:t>; this includes 30</w:t>
      </w:r>
      <w:r w:rsidRPr="007C36F3">
        <w:t xml:space="preserve"> minutes of scheduling time and an hour for the actual interview to take place. For all information collection, the total</w:t>
      </w:r>
      <w:r w:rsidR="00377280">
        <w:t xml:space="preserve"> estimated </w:t>
      </w:r>
      <w:r w:rsidR="008F63D1">
        <w:t xml:space="preserve">annualized </w:t>
      </w:r>
      <w:r w:rsidR="00377280">
        <w:t xml:space="preserve">burden response is </w:t>
      </w:r>
      <w:r w:rsidR="00D47291">
        <w:t>29</w:t>
      </w:r>
      <w:r w:rsidR="008F63D1" w:rsidRPr="007C36F3">
        <w:t xml:space="preserve"> </w:t>
      </w:r>
      <w:r w:rsidRPr="007C36F3">
        <w:t xml:space="preserve">hours, as summarized in </w:t>
      </w:r>
      <w:r w:rsidR="00D83F6E" w:rsidRPr="007C36F3">
        <w:rPr>
          <w:b/>
          <w:i/>
        </w:rPr>
        <w:t>Exhibit </w:t>
      </w:r>
      <w:r w:rsidRPr="007C36F3">
        <w:rPr>
          <w:b/>
          <w:i/>
        </w:rPr>
        <w:t>1</w:t>
      </w:r>
      <w:r w:rsidRPr="007C36F3">
        <w:t xml:space="preserve"> below.</w:t>
      </w:r>
    </w:p>
    <w:p w14:paraId="0C793B63" w14:textId="77777777" w:rsidR="005B19CD" w:rsidRPr="007C36F3" w:rsidRDefault="00D83F6E" w:rsidP="00100BC1">
      <w:pPr>
        <w:pStyle w:val="FigureTitle"/>
      </w:pPr>
      <w:bookmarkStart w:id="16" w:name="_Toc475699361"/>
      <w:r w:rsidRPr="007C36F3">
        <w:t xml:space="preserve">Exhibit </w:t>
      </w:r>
      <w:r w:rsidR="005B19CD" w:rsidRPr="007C36F3">
        <w:t>1. Estimated Annualized Burden Hours</w:t>
      </w:r>
      <w:bookmarkEnd w:id="16"/>
    </w:p>
    <w:tbl>
      <w:tblPr>
        <w:tblW w:w="5000" w:type="pct"/>
        <w:tblBorders>
          <w:top w:val="single" w:sz="12" w:space="0" w:color="auto"/>
          <w:bottom w:val="single" w:sz="12" w:space="0" w:color="auto"/>
        </w:tblBorders>
        <w:tblLayout w:type="fixed"/>
        <w:tblCellMar>
          <w:left w:w="120" w:type="dxa"/>
          <w:right w:w="120" w:type="dxa"/>
        </w:tblCellMar>
        <w:tblLook w:val="0000" w:firstRow="0" w:lastRow="0" w:firstColumn="0" w:lastColumn="0" w:noHBand="0" w:noVBand="0"/>
      </w:tblPr>
      <w:tblGrid>
        <w:gridCol w:w="2001"/>
        <w:gridCol w:w="2007"/>
        <w:gridCol w:w="1632"/>
        <w:gridCol w:w="1549"/>
        <w:gridCol w:w="1350"/>
        <w:gridCol w:w="1061"/>
      </w:tblGrid>
      <w:tr w:rsidR="005B19CD" w:rsidRPr="007C36F3" w14:paraId="0AD9B3B0" w14:textId="77777777" w:rsidTr="008B582C">
        <w:tc>
          <w:tcPr>
            <w:tcW w:w="1952" w:type="dxa"/>
            <w:tcBorders>
              <w:top w:val="single" w:sz="12" w:space="0" w:color="auto"/>
              <w:bottom w:val="single" w:sz="4" w:space="0" w:color="auto"/>
            </w:tcBorders>
            <w:shd w:val="clear" w:color="auto" w:fill="auto"/>
            <w:vAlign w:val="bottom"/>
          </w:tcPr>
          <w:p w14:paraId="21E80448" w14:textId="77777777" w:rsidR="005B19CD" w:rsidRPr="007C36F3" w:rsidRDefault="005B19CD" w:rsidP="00CC2135">
            <w:pPr>
              <w:tabs>
                <w:tab w:val="left" w:pos="0"/>
              </w:tabs>
              <w:spacing w:before="80" w:after="80"/>
              <w:jc w:val="center"/>
              <w:rPr>
                <w:b/>
                <w:bCs/>
                <w:sz w:val="22"/>
                <w:szCs w:val="22"/>
              </w:rPr>
            </w:pPr>
            <w:r w:rsidRPr="007C36F3">
              <w:rPr>
                <w:b/>
                <w:bCs/>
                <w:sz w:val="22"/>
                <w:szCs w:val="22"/>
              </w:rPr>
              <w:t>Type of Respondent</w:t>
            </w:r>
          </w:p>
        </w:tc>
        <w:tc>
          <w:tcPr>
            <w:tcW w:w="1957" w:type="dxa"/>
            <w:tcBorders>
              <w:top w:val="single" w:sz="12" w:space="0" w:color="auto"/>
              <w:bottom w:val="single" w:sz="4" w:space="0" w:color="auto"/>
            </w:tcBorders>
            <w:vAlign w:val="bottom"/>
          </w:tcPr>
          <w:p w14:paraId="5CF9044A" w14:textId="77777777" w:rsidR="005B19CD" w:rsidRPr="007C36F3" w:rsidRDefault="005B19CD" w:rsidP="00CC2135">
            <w:pPr>
              <w:tabs>
                <w:tab w:val="left" w:pos="0"/>
              </w:tabs>
              <w:spacing w:before="80" w:after="80"/>
              <w:jc w:val="center"/>
              <w:rPr>
                <w:b/>
                <w:bCs/>
                <w:sz w:val="22"/>
                <w:szCs w:val="22"/>
              </w:rPr>
            </w:pPr>
            <w:r w:rsidRPr="007C36F3">
              <w:rPr>
                <w:b/>
                <w:bCs/>
                <w:sz w:val="22"/>
                <w:szCs w:val="22"/>
              </w:rPr>
              <w:t>Form Name</w:t>
            </w:r>
          </w:p>
        </w:tc>
        <w:tc>
          <w:tcPr>
            <w:tcW w:w="1591" w:type="dxa"/>
            <w:tcBorders>
              <w:top w:val="single" w:sz="12" w:space="0" w:color="auto"/>
              <w:bottom w:val="single" w:sz="4" w:space="0" w:color="auto"/>
            </w:tcBorders>
            <w:shd w:val="clear" w:color="auto" w:fill="auto"/>
            <w:vAlign w:val="bottom"/>
          </w:tcPr>
          <w:p w14:paraId="58266552" w14:textId="77777777" w:rsidR="005B19CD" w:rsidRPr="007C36F3" w:rsidRDefault="005B19CD" w:rsidP="00CC2135">
            <w:pPr>
              <w:tabs>
                <w:tab w:val="left" w:pos="0"/>
              </w:tabs>
              <w:spacing w:before="80" w:after="80"/>
              <w:jc w:val="center"/>
              <w:rPr>
                <w:b/>
                <w:bCs/>
                <w:sz w:val="22"/>
                <w:szCs w:val="22"/>
              </w:rPr>
            </w:pPr>
            <w:r w:rsidRPr="007C36F3">
              <w:rPr>
                <w:b/>
                <w:bCs/>
                <w:sz w:val="22"/>
                <w:szCs w:val="22"/>
              </w:rPr>
              <w:t>Number</w:t>
            </w:r>
            <w:r w:rsidR="00100BC1" w:rsidRPr="007C36F3">
              <w:rPr>
                <w:b/>
                <w:bCs/>
                <w:sz w:val="22"/>
                <w:szCs w:val="22"/>
              </w:rPr>
              <w:br/>
            </w:r>
            <w:r w:rsidRPr="007C36F3">
              <w:rPr>
                <w:b/>
                <w:bCs/>
                <w:sz w:val="22"/>
                <w:szCs w:val="22"/>
              </w:rPr>
              <w:t>of</w:t>
            </w:r>
            <w:r w:rsidR="00100BC1" w:rsidRPr="007C36F3">
              <w:rPr>
                <w:b/>
                <w:bCs/>
                <w:sz w:val="22"/>
                <w:szCs w:val="22"/>
              </w:rPr>
              <w:br/>
            </w:r>
            <w:r w:rsidRPr="007C36F3">
              <w:rPr>
                <w:b/>
                <w:bCs/>
                <w:sz w:val="22"/>
                <w:szCs w:val="22"/>
              </w:rPr>
              <w:t>Respondents</w:t>
            </w:r>
          </w:p>
        </w:tc>
        <w:tc>
          <w:tcPr>
            <w:tcW w:w="1510" w:type="dxa"/>
            <w:tcBorders>
              <w:top w:val="single" w:sz="12" w:space="0" w:color="auto"/>
              <w:bottom w:val="single" w:sz="4" w:space="0" w:color="auto"/>
            </w:tcBorders>
            <w:shd w:val="clear" w:color="auto" w:fill="auto"/>
            <w:vAlign w:val="bottom"/>
          </w:tcPr>
          <w:p w14:paraId="5409DDD8" w14:textId="77777777" w:rsidR="005B19CD" w:rsidRPr="007C36F3" w:rsidRDefault="005B19CD" w:rsidP="00CC2135">
            <w:pPr>
              <w:tabs>
                <w:tab w:val="left" w:pos="0"/>
              </w:tabs>
              <w:spacing w:before="80" w:after="80"/>
              <w:jc w:val="center"/>
              <w:rPr>
                <w:b/>
                <w:bCs/>
                <w:sz w:val="22"/>
                <w:szCs w:val="22"/>
              </w:rPr>
            </w:pPr>
            <w:r w:rsidRPr="007C36F3">
              <w:rPr>
                <w:b/>
                <w:bCs/>
                <w:sz w:val="22"/>
                <w:szCs w:val="22"/>
              </w:rPr>
              <w:t>Number of</w:t>
            </w:r>
            <w:r w:rsidR="00100BC1" w:rsidRPr="007C36F3">
              <w:rPr>
                <w:b/>
                <w:bCs/>
                <w:sz w:val="22"/>
                <w:szCs w:val="22"/>
              </w:rPr>
              <w:t xml:space="preserve"> </w:t>
            </w:r>
            <w:r w:rsidRPr="007C36F3">
              <w:rPr>
                <w:b/>
                <w:bCs/>
                <w:sz w:val="22"/>
                <w:szCs w:val="22"/>
              </w:rPr>
              <w:t>Responses per</w:t>
            </w:r>
            <w:r w:rsidR="00100BC1" w:rsidRPr="007C36F3">
              <w:rPr>
                <w:b/>
                <w:bCs/>
                <w:sz w:val="22"/>
                <w:szCs w:val="22"/>
              </w:rPr>
              <w:t xml:space="preserve"> </w:t>
            </w:r>
            <w:r w:rsidRPr="007C36F3">
              <w:rPr>
                <w:b/>
                <w:bCs/>
                <w:sz w:val="22"/>
                <w:szCs w:val="22"/>
              </w:rPr>
              <w:t>Respondent</w:t>
            </w:r>
          </w:p>
        </w:tc>
        <w:tc>
          <w:tcPr>
            <w:tcW w:w="1316" w:type="dxa"/>
            <w:tcBorders>
              <w:top w:val="single" w:sz="12" w:space="0" w:color="auto"/>
              <w:bottom w:val="single" w:sz="4" w:space="0" w:color="auto"/>
            </w:tcBorders>
            <w:shd w:val="clear" w:color="auto" w:fill="auto"/>
            <w:vAlign w:val="bottom"/>
          </w:tcPr>
          <w:p w14:paraId="19908641" w14:textId="77777777" w:rsidR="005B19CD" w:rsidRPr="007C36F3" w:rsidRDefault="005B19CD" w:rsidP="00910687">
            <w:pPr>
              <w:tabs>
                <w:tab w:val="left" w:pos="0"/>
              </w:tabs>
              <w:spacing w:before="80" w:after="80"/>
              <w:jc w:val="center"/>
              <w:rPr>
                <w:b/>
                <w:bCs/>
                <w:sz w:val="22"/>
                <w:szCs w:val="22"/>
              </w:rPr>
            </w:pPr>
            <w:r w:rsidRPr="007C36F3">
              <w:rPr>
                <w:b/>
                <w:bCs/>
                <w:sz w:val="22"/>
                <w:szCs w:val="22"/>
              </w:rPr>
              <w:t>Average Burden per Response</w:t>
            </w:r>
            <w:r w:rsidR="00100BC1" w:rsidRPr="007C36F3">
              <w:rPr>
                <w:b/>
                <w:bCs/>
                <w:sz w:val="22"/>
                <w:szCs w:val="22"/>
              </w:rPr>
              <w:br/>
            </w:r>
            <w:r w:rsidRPr="007C36F3">
              <w:rPr>
                <w:b/>
                <w:bCs/>
                <w:sz w:val="22"/>
                <w:szCs w:val="22"/>
              </w:rPr>
              <w:t xml:space="preserve">(in </w:t>
            </w:r>
            <w:r w:rsidR="00DC4134" w:rsidRPr="007C36F3">
              <w:rPr>
                <w:b/>
                <w:bCs/>
                <w:sz w:val="22"/>
                <w:szCs w:val="22"/>
              </w:rPr>
              <w:t>hrs</w:t>
            </w:r>
            <w:r w:rsidRPr="007C36F3">
              <w:rPr>
                <w:b/>
                <w:bCs/>
                <w:sz w:val="22"/>
                <w:szCs w:val="22"/>
              </w:rPr>
              <w:t>)</w:t>
            </w:r>
          </w:p>
        </w:tc>
        <w:tc>
          <w:tcPr>
            <w:tcW w:w="1034" w:type="dxa"/>
            <w:tcBorders>
              <w:top w:val="single" w:sz="12" w:space="0" w:color="auto"/>
              <w:bottom w:val="single" w:sz="4" w:space="0" w:color="auto"/>
            </w:tcBorders>
            <w:shd w:val="clear" w:color="auto" w:fill="auto"/>
            <w:vAlign w:val="bottom"/>
          </w:tcPr>
          <w:p w14:paraId="587B3CD6" w14:textId="77777777" w:rsidR="005B19CD" w:rsidRPr="007C36F3" w:rsidRDefault="005B19CD" w:rsidP="00CC2135">
            <w:pPr>
              <w:tabs>
                <w:tab w:val="left" w:pos="0"/>
              </w:tabs>
              <w:spacing w:before="80" w:after="80"/>
              <w:jc w:val="center"/>
              <w:rPr>
                <w:b/>
                <w:bCs/>
                <w:sz w:val="22"/>
                <w:szCs w:val="22"/>
              </w:rPr>
            </w:pPr>
            <w:r w:rsidRPr="007C36F3">
              <w:rPr>
                <w:b/>
                <w:bCs/>
                <w:sz w:val="22"/>
                <w:szCs w:val="22"/>
              </w:rPr>
              <w:t>Total</w:t>
            </w:r>
            <w:r w:rsidR="00100BC1" w:rsidRPr="007C36F3">
              <w:rPr>
                <w:b/>
                <w:bCs/>
                <w:sz w:val="22"/>
                <w:szCs w:val="22"/>
              </w:rPr>
              <w:t xml:space="preserve"> </w:t>
            </w:r>
            <w:r w:rsidRPr="007C36F3">
              <w:rPr>
                <w:b/>
                <w:bCs/>
                <w:sz w:val="22"/>
                <w:szCs w:val="22"/>
              </w:rPr>
              <w:t>Burden</w:t>
            </w:r>
            <w:r w:rsidR="00100BC1" w:rsidRPr="007C36F3">
              <w:rPr>
                <w:b/>
                <w:bCs/>
                <w:sz w:val="22"/>
                <w:szCs w:val="22"/>
              </w:rPr>
              <w:br/>
            </w:r>
            <w:r w:rsidRPr="007C36F3">
              <w:rPr>
                <w:b/>
                <w:bCs/>
                <w:sz w:val="22"/>
                <w:szCs w:val="22"/>
              </w:rPr>
              <w:t>(in hrs)</w:t>
            </w:r>
          </w:p>
        </w:tc>
      </w:tr>
      <w:tr w:rsidR="005B19CD" w:rsidRPr="007C36F3" w14:paraId="55C9D75E" w14:textId="77777777" w:rsidTr="008B582C">
        <w:tc>
          <w:tcPr>
            <w:tcW w:w="1952" w:type="dxa"/>
            <w:vMerge w:val="restart"/>
            <w:tcBorders>
              <w:top w:val="single" w:sz="4" w:space="0" w:color="auto"/>
            </w:tcBorders>
          </w:tcPr>
          <w:p w14:paraId="5CCF2786" w14:textId="77777777" w:rsidR="005B19CD" w:rsidRPr="007C36F3" w:rsidRDefault="005B19CD" w:rsidP="00CC2135">
            <w:pPr>
              <w:tabs>
                <w:tab w:val="left" w:pos="0"/>
              </w:tabs>
              <w:spacing w:before="80" w:after="80"/>
              <w:rPr>
                <w:sz w:val="22"/>
                <w:szCs w:val="22"/>
              </w:rPr>
            </w:pPr>
            <w:r w:rsidRPr="007C36F3">
              <w:rPr>
                <w:sz w:val="22"/>
                <w:szCs w:val="22"/>
              </w:rPr>
              <w:t>NCCCP Grantee Program Director</w:t>
            </w:r>
          </w:p>
        </w:tc>
        <w:tc>
          <w:tcPr>
            <w:tcW w:w="1957" w:type="dxa"/>
            <w:tcBorders>
              <w:top w:val="single" w:sz="4" w:space="0" w:color="auto"/>
            </w:tcBorders>
          </w:tcPr>
          <w:p w14:paraId="122C2F8D" w14:textId="77777777" w:rsidR="005B19CD" w:rsidRPr="007C36F3" w:rsidRDefault="00E16FE7" w:rsidP="00CC2135">
            <w:pPr>
              <w:tabs>
                <w:tab w:val="left" w:pos="0"/>
              </w:tabs>
              <w:spacing w:before="80" w:after="80"/>
              <w:rPr>
                <w:sz w:val="22"/>
                <w:szCs w:val="22"/>
              </w:rPr>
            </w:pPr>
            <w:r w:rsidRPr="007C36F3">
              <w:rPr>
                <w:sz w:val="22"/>
                <w:szCs w:val="22"/>
              </w:rPr>
              <w:t>Web</w:t>
            </w:r>
            <w:r w:rsidR="005B19CD" w:rsidRPr="007C36F3">
              <w:rPr>
                <w:sz w:val="22"/>
                <w:szCs w:val="22"/>
              </w:rPr>
              <w:t xml:space="preserve">-based </w:t>
            </w:r>
            <w:r w:rsidR="00E9698D" w:rsidRPr="007C36F3">
              <w:rPr>
                <w:sz w:val="22"/>
                <w:szCs w:val="22"/>
              </w:rPr>
              <w:t>Grantee Survey</w:t>
            </w:r>
          </w:p>
        </w:tc>
        <w:tc>
          <w:tcPr>
            <w:tcW w:w="1591" w:type="dxa"/>
            <w:tcBorders>
              <w:top w:val="single" w:sz="4" w:space="0" w:color="auto"/>
            </w:tcBorders>
            <w:shd w:val="clear" w:color="auto" w:fill="auto"/>
          </w:tcPr>
          <w:p w14:paraId="4428EEF7" w14:textId="77777777" w:rsidR="005B19CD" w:rsidRPr="007C36F3" w:rsidRDefault="00D47291" w:rsidP="00B66FD8">
            <w:pPr>
              <w:tabs>
                <w:tab w:val="decimal" w:pos="783"/>
              </w:tabs>
              <w:spacing w:before="80" w:after="80"/>
              <w:rPr>
                <w:sz w:val="22"/>
                <w:szCs w:val="22"/>
              </w:rPr>
            </w:pPr>
            <w:r>
              <w:rPr>
                <w:sz w:val="22"/>
                <w:szCs w:val="22"/>
              </w:rPr>
              <w:t>8</w:t>
            </w:r>
          </w:p>
        </w:tc>
        <w:tc>
          <w:tcPr>
            <w:tcW w:w="1510" w:type="dxa"/>
            <w:tcBorders>
              <w:top w:val="single" w:sz="4" w:space="0" w:color="auto"/>
            </w:tcBorders>
            <w:shd w:val="clear" w:color="auto" w:fill="auto"/>
          </w:tcPr>
          <w:p w14:paraId="71646327" w14:textId="77777777" w:rsidR="005B19CD" w:rsidRPr="007C36F3" w:rsidRDefault="00D47291" w:rsidP="00CC2135">
            <w:pPr>
              <w:tabs>
                <w:tab w:val="left" w:pos="0"/>
              </w:tabs>
              <w:spacing w:before="80" w:after="80"/>
              <w:jc w:val="center"/>
              <w:rPr>
                <w:sz w:val="22"/>
                <w:szCs w:val="22"/>
              </w:rPr>
            </w:pPr>
            <w:r>
              <w:rPr>
                <w:sz w:val="22"/>
                <w:szCs w:val="22"/>
              </w:rPr>
              <w:t>1</w:t>
            </w:r>
          </w:p>
        </w:tc>
        <w:tc>
          <w:tcPr>
            <w:tcW w:w="1316" w:type="dxa"/>
            <w:tcBorders>
              <w:top w:val="single" w:sz="4" w:space="0" w:color="auto"/>
            </w:tcBorders>
            <w:shd w:val="clear" w:color="auto" w:fill="auto"/>
          </w:tcPr>
          <w:p w14:paraId="333CBED0" w14:textId="77777777" w:rsidR="005B19CD" w:rsidRPr="007C36F3" w:rsidRDefault="00910687" w:rsidP="00CC2135">
            <w:pPr>
              <w:tabs>
                <w:tab w:val="left" w:pos="0"/>
              </w:tabs>
              <w:spacing w:before="80" w:after="80"/>
              <w:jc w:val="center"/>
              <w:rPr>
                <w:sz w:val="22"/>
                <w:szCs w:val="22"/>
              </w:rPr>
            </w:pPr>
            <w:r w:rsidRPr="007C36F3">
              <w:rPr>
                <w:sz w:val="22"/>
                <w:szCs w:val="22"/>
              </w:rPr>
              <w:t>20</w:t>
            </w:r>
            <w:r w:rsidR="00475886" w:rsidRPr="007C36F3">
              <w:rPr>
                <w:sz w:val="22"/>
                <w:szCs w:val="22"/>
              </w:rPr>
              <w:t>/60</w:t>
            </w:r>
          </w:p>
        </w:tc>
        <w:tc>
          <w:tcPr>
            <w:tcW w:w="1034" w:type="dxa"/>
            <w:tcBorders>
              <w:top w:val="single" w:sz="4" w:space="0" w:color="auto"/>
            </w:tcBorders>
            <w:shd w:val="clear" w:color="auto" w:fill="auto"/>
          </w:tcPr>
          <w:p w14:paraId="3C70FDEA" w14:textId="77777777" w:rsidR="005B19CD" w:rsidRPr="007C36F3" w:rsidRDefault="00F65CDF" w:rsidP="00B66FD8">
            <w:pPr>
              <w:tabs>
                <w:tab w:val="decimal" w:pos="480"/>
              </w:tabs>
              <w:spacing w:before="80" w:after="80"/>
              <w:rPr>
                <w:sz w:val="22"/>
                <w:szCs w:val="22"/>
              </w:rPr>
            </w:pPr>
            <w:r>
              <w:rPr>
                <w:sz w:val="22"/>
                <w:szCs w:val="22"/>
              </w:rPr>
              <w:t>3</w:t>
            </w:r>
          </w:p>
        </w:tc>
      </w:tr>
      <w:tr w:rsidR="005B19CD" w:rsidRPr="007C36F3" w14:paraId="213F4498" w14:textId="77777777" w:rsidTr="00B66FD8">
        <w:tc>
          <w:tcPr>
            <w:tcW w:w="1871" w:type="dxa"/>
            <w:vMerge/>
          </w:tcPr>
          <w:p w14:paraId="3B58176D" w14:textId="77777777" w:rsidR="005B19CD" w:rsidRPr="007C36F3" w:rsidRDefault="005B19CD" w:rsidP="00CC2135">
            <w:pPr>
              <w:tabs>
                <w:tab w:val="left" w:pos="0"/>
              </w:tabs>
              <w:spacing w:before="80" w:after="80"/>
              <w:rPr>
                <w:sz w:val="22"/>
                <w:szCs w:val="22"/>
              </w:rPr>
            </w:pPr>
          </w:p>
        </w:tc>
        <w:tc>
          <w:tcPr>
            <w:tcW w:w="1874" w:type="dxa"/>
          </w:tcPr>
          <w:p w14:paraId="3D87881D" w14:textId="77777777" w:rsidR="005B19CD" w:rsidRPr="007C36F3" w:rsidRDefault="005B19CD" w:rsidP="00CC2135">
            <w:pPr>
              <w:tabs>
                <w:tab w:val="left" w:pos="0"/>
              </w:tabs>
              <w:spacing w:before="80" w:after="80"/>
              <w:rPr>
                <w:sz w:val="22"/>
                <w:szCs w:val="22"/>
              </w:rPr>
            </w:pPr>
            <w:r w:rsidRPr="007C36F3">
              <w:rPr>
                <w:sz w:val="22"/>
                <w:szCs w:val="22"/>
              </w:rPr>
              <w:t>Semi-structured telephone interview</w:t>
            </w:r>
          </w:p>
        </w:tc>
        <w:tc>
          <w:tcPr>
            <w:tcW w:w="1524" w:type="dxa"/>
            <w:shd w:val="clear" w:color="auto" w:fill="auto"/>
          </w:tcPr>
          <w:p w14:paraId="137DA05F" w14:textId="77777777" w:rsidR="005B19CD" w:rsidRPr="007C36F3" w:rsidRDefault="00D47291" w:rsidP="00B66FD8">
            <w:pPr>
              <w:tabs>
                <w:tab w:val="decimal" w:pos="783"/>
              </w:tabs>
              <w:spacing w:before="80" w:after="80"/>
              <w:rPr>
                <w:sz w:val="22"/>
                <w:szCs w:val="22"/>
              </w:rPr>
            </w:pPr>
            <w:r>
              <w:rPr>
                <w:sz w:val="22"/>
                <w:szCs w:val="22"/>
              </w:rPr>
              <w:t>8</w:t>
            </w:r>
          </w:p>
        </w:tc>
        <w:tc>
          <w:tcPr>
            <w:tcW w:w="1446" w:type="dxa"/>
            <w:shd w:val="clear" w:color="auto" w:fill="auto"/>
          </w:tcPr>
          <w:p w14:paraId="557E1C33" w14:textId="77777777" w:rsidR="005B19CD" w:rsidRPr="007C36F3" w:rsidRDefault="00D47291" w:rsidP="00CC2135">
            <w:pPr>
              <w:tabs>
                <w:tab w:val="left" w:pos="0"/>
              </w:tabs>
              <w:spacing w:before="80" w:after="80"/>
              <w:jc w:val="center"/>
              <w:rPr>
                <w:sz w:val="22"/>
                <w:szCs w:val="22"/>
              </w:rPr>
            </w:pPr>
            <w:r>
              <w:rPr>
                <w:sz w:val="22"/>
                <w:szCs w:val="22"/>
              </w:rPr>
              <w:t>1</w:t>
            </w:r>
          </w:p>
        </w:tc>
        <w:tc>
          <w:tcPr>
            <w:tcW w:w="1260" w:type="dxa"/>
            <w:shd w:val="clear" w:color="auto" w:fill="auto"/>
          </w:tcPr>
          <w:p w14:paraId="620CB980" w14:textId="77777777" w:rsidR="005B19CD" w:rsidRPr="007C36F3" w:rsidRDefault="00F81606" w:rsidP="00CC2135">
            <w:pPr>
              <w:tabs>
                <w:tab w:val="left" w:pos="0"/>
              </w:tabs>
              <w:spacing w:before="80" w:after="80"/>
              <w:jc w:val="center"/>
              <w:rPr>
                <w:sz w:val="22"/>
                <w:szCs w:val="22"/>
              </w:rPr>
            </w:pPr>
            <w:r>
              <w:rPr>
                <w:sz w:val="22"/>
                <w:szCs w:val="22"/>
              </w:rPr>
              <w:t>1.50</w:t>
            </w:r>
          </w:p>
        </w:tc>
        <w:tc>
          <w:tcPr>
            <w:tcW w:w="990" w:type="dxa"/>
            <w:shd w:val="clear" w:color="auto" w:fill="auto"/>
          </w:tcPr>
          <w:p w14:paraId="1D354FB3" w14:textId="77777777" w:rsidR="005B19CD" w:rsidRPr="007C36F3" w:rsidRDefault="008F63D1" w:rsidP="00171892">
            <w:pPr>
              <w:tabs>
                <w:tab w:val="decimal" w:pos="480"/>
              </w:tabs>
              <w:spacing w:before="80" w:after="80"/>
              <w:rPr>
                <w:sz w:val="22"/>
                <w:szCs w:val="22"/>
              </w:rPr>
            </w:pPr>
            <w:r>
              <w:rPr>
                <w:sz w:val="22"/>
                <w:szCs w:val="22"/>
              </w:rPr>
              <w:t>12</w:t>
            </w:r>
          </w:p>
        </w:tc>
      </w:tr>
      <w:tr w:rsidR="005B19CD" w:rsidRPr="007C36F3" w14:paraId="656EAC9B" w14:textId="77777777" w:rsidTr="008B582C">
        <w:tc>
          <w:tcPr>
            <w:tcW w:w="1952" w:type="dxa"/>
          </w:tcPr>
          <w:p w14:paraId="13374866" w14:textId="77777777" w:rsidR="005B19CD" w:rsidRPr="007C36F3" w:rsidRDefault="005B19CD" w:rsidP="00CC2135">
            <w:pPr>
              <w:tabs>
                <w:tab w:val="left" w:pos="0"/>
              </w:tabs>
              <w:spacing w:before="80" w:after="80"/>
              <w:rPr>
                <w:sz w:val="22"/>
                <w:szCs w:val="22"/>
              </w:rPr>
            </w:pPr>
            <w:r w:rsidRPr="007C36F3">
              <w:rPr>
                <w:sz w:val="22"/>
                <w:szCs w:val="22"/>
              </w:rPr>
              <w:t xml:space="preserve">NCCCP Grantee Partner </w:t>
            </w:r>
          </w:p>
        </w:tc>
        <w:tc>
          <w:tcPr>
            <w:tcW w:w="1957" w:type="dxa"/>
          </w:tcPr>
          <w:p w14:paraId="4AE127FA" w14:textId="77777777" w:rsidR="005B19CD" w:rsidRPr="007C36F3" w:rsidRDefault="00E16FE7" w:rsidP="00CC2135">
            <w:pPr>
              <w:tabs>
                <w:tab w:val="left" w:pos="0"/>
              </w:tabs>
              <w:spacing w:before="80" w:after="80"/>
              <w:rPr>
                <w:sz w:val="22"/>
                <w:szCs w:val="22"/>
              </w:rPr>
            </w:pPr>
            <w:r w:rsidRPr="007C36F3">
              <w:rPr>
                <w:sz w:val="22"/>
                <w:szCs w:val="22"/>
              </w:rPr>
              <w:t>Web</w:t>
            </w:r>
            <w:r w:rsidR="005B19CD" w:rsidRPr="007C36F3">
              <w:rPr>
                <w:sz w:val="22"/>
                <w:szCs w:val="22"/>
              </w:rPr>
              <w:t xml:space="preserve">-based </w:t>
            </w:r>
            <w:r w:rsidR="00E9698D" w:rsidRPr="007C36F3">
              <w:rPr>
                <w:sz w:val="22"/>
                <w:szCs w:val="22"/>
              </w:rPr>
              <w:t>Partner Survey</w:t>
            </w:r>
            <w:r w:rsidR="005B19CD" w:rsidRPr="007C36F3">
              <w:rPr>
                <w:sz w:val="22"/>
                <w:szCs w:val="22"/>
              </w:rPr>
              <w:t xml:space="preserve"> </w:t>
            </w:r>
          </w:p>
        </w:tc>
        <w:tc>
          <w:tcPr>
            <w:tcW w:w="1591" w:type="dxa"/>
            <w:shd w:val="clear" w:color="auto" w:fill="auto"/>
          </w:tcPr>
          <w:p w14:paraId="3AC78121" w14:textId="77777777" w:rsidR="005B19CD" w:rsidRPr="007C36F3" w:rsidRDefault="00D47291" w:rsidP="00B66FD8">
            <w:pPr>
              <w:tabs>
                <w:tab w:val="decimal" w:pos="783"/>
              </w:tabs>
              <w:spacing w:before="80" w:after="80"/>
              <w:rPr>
                <w:sz w:val="22"/>
                <w:szCs w:val="22"/>
              </w:rPr>
            </w:pPr>
            <w:r>
              <w:rPr>
                <w:sz w:val="22"/>
                <w:szCs w:val="22"/>
              </w:rPr>
              <w:t>40</w:t>
            </w:r>
          </w:p>
        </w:tc>
        <w:tc>
          <w:tcPr>
            <w:tcW w:w="1510" w:type="dxa"/>
            <w:shd w:val="clear" w:color="auto" w:fill="auto"/>
          </w:tcPr>
          <w:p w14:paraId="12B1AAA1" w14:textId="77777777" w:rsidR="005B19CD" w:rsidRPr="007C36F3" w:rsidRDefault="00D47291" w:rsidP="00CC2135">
            <w:pPr>
              <w:tabs>
                <w:tab w:val="left" w:pos="0"/>
              </w:tabs>
              <w:spacing w:before="80" w:after="80"/>
              <w:jc w:val="center"/>
              <w:rPr>
                <w:sz w:val="22"/>
                <w:szCs w:val="22"/>
              </w:rPr>
            </w:pPr>
            <w:r>
              <w:rPr>
                <w:sz w:val="22"/>
                <w:szCs w:val="22"/>
              </w:rPr>
              <w:t>1</w:t>
            </w:r>
          </w:p>
        </w:tc>
        <w:tc>
          <w:tcPr>
            <w:tcW w:w="1316" w:type="dxa"/>
            <w:shd w:val="clear" w:color="auto" w:fill="auto"/>
          </w:tcPr>
          <w:p w14:paraId="44EB9B95" w14:textId="77777777" w:rsidR="005B19CD" w:rsidRPr="007C36F3" w:rsidRDefault="00910687" w:rsidP="00CC2135">
            <w:pPr>
              <w:tabs>
                <w:tab w:val="left" w:pos="0"/>
              </w:tabs>
              <w:spacing w:before="80" w:after="80"/>
              <w:jc w:val="center"/>
              <w:rPr>
                <w:sz w:val="22"/>
                <w:szCs w:val="22"/>
              </w:rPr>
            </w:pPr>
            <w:r w:rsidRPr="007C36F3">
              <w:rPr>
                <w:sz w:val="22"/>
                <w:szCs w:val="22"/>
              </w:rPr>
              <w:t>20</w:t>
            </w:r>
            <w:r w:rsidR="00475886" w:rsidRPr="007C36F3">
              <w:rPr>
                <w:sz w:val="22"/>
                <w:szCs w:val="22"/>
              </w:rPr>
              <w:t>/60</w:t>
            </w:r>
          </w:p>
        </w:tc>
        <w:tc>
          <w:tcPr>
            <w:tcW w:w="1034" w:type="dxa"/>
            <w:shd w:val="clear" w:color="auto" w:fill="auto"/>
          </w:tcPr>
          <w:p w14:paraId="1DBC8CB5" w14:textId="77777777" w:rsidR="005B19CD" w:rsidRPr="007C36F3" w:rsidRDefault="00F65CDF" w:rsidP="00B66FD8">
            <w:pPr>
              <w:tabs>
                <w:tab w:val="decimal" w:pos="480"/>
              </w:tabs>
              <w:spacing w:before="80" w:after="80"/>
              <w:rPr>
                <w:sz w:val="22"/>
                <w:szCs w:val="22"/>
              </w:rPr>
            </w:pPr>
            <w:r>
              <w:rPr>
                <w:sz w:val="22"/>
                <w:szCs w:val="22"/>
              </w:rPr>
              <w:t>14</w:t>
            </w:r>
          </w:p>
        </w:tc>
      </w:tr>
      <w:tr w:rsidR="005B19CD" w:rsidRPr="007C36F3" w14:paraId="3CA26867" w14:textId="77777777" w:rsidTr="008B582C">
        <w:tc>
          <w:tcPr>
            <w:tcW w:w="1952" w:type="dxa"/>
          </w:tcPr>
          <w:p w14:paraId="61E0A0A1" w14:textId="77777777" w:rsidR="005B19CD" w:rsidRPr="007C36F3" w:rsidRDefault="005B19CD" w:rsidP="00CC2135">
            <w:pPr>
              <w:tabs>
                <w:tab w:val="left" w:pos="0"/>
              </w:tabs>
              <w:spacing w:before="80" w:after="80"/>
              <w:rPr>
                <w:sz w:val="22"/>
                <w:szCs w:val="22"/>
              </w:rPr>
            </w:pPr>
          </w:p>
        </w:tc>
        <w:tc>
          <w:tcPr>
            <w:tcW w:w="1957" w:type="dxa"/>
          </w:tcPr>
          <w:p w14:paraId="017F3707" w14:textId="77777777" w:rsidR="005B19CD" w:rsidRPr="007C36F3" w:rsidRDefault="005B19CD" w:rsidP="00CC2135">
            <w:pPr>
              <w:tabs>
                <w:tab w:val="left" w:pos="0"/>
              </w:tabs>
              <w:spacing w:before="80" w:after="80"/>
              <w:rPr>
                <w:sz w:val="22"/>
                <w:szCs w:val="22"/>
              </w:rPr>
            </w:pPr>
            <w:r w:rsidRPr="007C36F3">
              <w:rPr>
                <w:sz w:val="22"/>
                <w:szCs w:val="22"/>
              </w:rPr>
              <w:t>Total</w:t>
            </w:r>
          </w:p>
        </w:tc>
        <w:tc>
          <w:tcPr>
            <w:tcW w:w="4417" w:type="dxa"/>
            <w:gridSpan w:val="3"/>
            <w:shd w:val="clear" w:color="auto" w:fill="auto"/>
          </w:tcPr>
          <w:p w14:paraId="086EC8A9" w14:textId="77777777" w:rsidR="005B19CD" w:rsidRPr="007C36F3" w:rsidRDefault="005B19CD" w:rsidP="00CC2135">
            <w:pPr>
              <w:tabs>
                <w:tab w:val="left" w:pos="0"/>
              </w:tabs>
              <w:spacing w:before="80" w:after="80"/>
              <w:jc w:val="center"/>
              <w:rPr>
                <w:sz w:val="22"/>
                <w:szCs w:val="22"/>
              </w:rPr>
            </w:pPr>
          </w:p>
        </w:tc>
        <w:tc>
          <w:tcPr>
            <w:tcW w:w="1034" w:type="dxa"/>
            <w:shd w:val="clear" w:color="auto" w:fill="auto"/>
          </w:tcPr>
          <w:p w14:paraId="1D14A8F4" w14:textId="77777777" w:rsidR="005B19CD" w:rsidRPr="007C36F3" w:rsidRDefault="00F65CDF" w:rsidP="00171892">
            <w:pPr>
              <w:tabs>
                <w:tab w:val="decimal" w:pos="480"/>
              </w:tabs>
              <w:spacing w:before="80" w:after="80"/>
              <w:rPr>
                <w:sz w:val="22"/>
                <w:szCs w:val="22"/>
              </w:rPr>
            </w:pPr>
            <w:r>
              <w:rPr>
                <w:sz w:val="22"/>
                <w:szCs w:val="22"/>
              </w:rPr>
              <w:t>29</w:t>
            </w:r>
          </w:p>
        </w:tc>
      </w:tr>
    </w:tbl>
    <w:p w14:paraId="3D8C0BC0" w14:textId="77777777" w:rsidR="005B19CD" w:rsidRPr="007C36F3" w:rsidRDefault="005B19CD" w:rsidP="00CC2135">
      <w:pPr>
        <w:pStyle w:val="exhibitsource"/>
      </w:pPr>
      <w:bookmarkStart w:id="17" w:name="OLE_LINK7"/>
      <w:bookmarkStart w:id="18" w:name="OLE_LINK8"/>
    </w:p>
    <w:p w14:paraId="40AB9C1E" w14:textId="77777777" w:rsidR="005B19CD" w:rsidRDefault="005B19CD" w:rsidP="00DE650F">
      <w:pPr>
        <w:pStyle w:val="BodyText2"/>
        <w:spacing w:after="0" w:line="240" w:lineRule="auto"/>
      </w:pPr>
      <w:r w:rsidRPr="007C36F3">
        <w:t xml:space="preserve">Response to the </w:t>
      </w:r>
      <w:r w:rsidR="00E16FE7" w:rsidRPr="007C36F3">
        <w:t>Web</w:t>
      </w:r>
      <w:r w:rsidRPr="007C36F3">
        <w:t>-based survey</w:t>
      </w:r>
      <w:r w:rsidR="00554602" w:rsidRPr="007C36F3">
        <w:t>s</w:t>
      </w:r>
      <w:r w:rsidRPr="007C36F3">
        <w:t xml:space="preserve"> and semi</w:t>
      </w:r>
      <w:r w:rsidR="000468F6">
        <w:t>-</w:t>
      </w:r>
      <w:r w:rsidRPr="007C36F3">
        <w:t xml:space="preserve">structured telephone interviews will be completely voluntary, and there are no costs to respondents other than their time. </w:t>
      </w:r>
    </w:p>
    <w:p w14:paraId="1290FCCC" w14:textId="77777777" w:rsidR="00DE650F" w:rsidRPr="007C36F3" w:rsidRDefault="00DE650F" w:rsidP="00DE650F">
      <w:pPr>
        <w:pStyle w:val="BodyText2"/>
        <w:spacing w:after="0" w:line="240" w:lineRule="auto"/>
      </w:pPr>
    </w:p>
    <w:p w14:paraId="5F3EE60A" w14:textId="77777777" w:rsidR="005B19CD" w:rsidRPr="007C36F3" w:rsidRDefault="005B19CD" w:rsidP="00DE650F">
      <w:pPr>
        <w:pStyle w:val="BodyText2"/>
        <w:spacing w:after="0" w:line="240" w:lineRule="auto"/>
      </w:pPr>
      <w:r w:rsidRPr="007C36F3">
        <w:t xml:space="preserve">The </w:t>
      </w:r>
      <w:r w:rsidR="00E16FE7" w:rsidRPr="007C36F3">
        <w:t>Web</w:t>
      </w:r>
      <w:r w:rsidRPr="007C36F3">
        <w:t>-based survey</w:t>
      </w:r>
      <w:r w:rsidR="00554602" w:rsidRPr="007C36F3">
        <w:t>s</w:t>
      </w:r>
      <w:r w:rsidRPr="007C36F3">
        <w:t xml:space="preserve"> and telephone interviews will involve a mix of respondents associated with the NCCCP DP15-1501 grantees. Their position descriptions and average hourly wage rates are itemized as follows: project director ($34.25); program manager ($24.91)</w:t>
      </w:r>
      <w:r w:rsidR="00415052">
        <w:t xml:space="preserve"> with an hourly average of ($29.58)</w:t>
      </w:r>
      <w:r w:rsidRPr="007C36F3">
        <w:t>; and coalition member (i.e., partner) ($21.55). The total estimated annualized burden cost to respondents is $</w:t>
      </w:r>
      <w:r w:rsidR="00D47291">
        <w:t>745.40</w:t>
      </w:r>
      <w:r w:rsidRPr="007C36F3">
        <w:t>.</w:t>
      </w:r>
    </w:p>
    <w:p w14:paraId="0B0BF5DD" w14:textId="77777777" w:rsidR="005B19CD" w:rsidRPr="007C36F3" w:rsidRDefault="00D83F6E" w:rsidP="00CC2135">
      <w:pPr>
        <w:pStyle w:val="FigureTitle"/>
      </w:pPr>
      <w:bookmarkStart w:id="19" w:name="_Toc475699362"/>
      <w:r w:rsidRPr="007C36F3">
        <w:t>Exhibit 2</w:t>
      </w:r>
      <w:r w:rsidR="005B19CD" w:rsidRPr="007C36F3">
        <w:t xml:space="preserve">. Estimated Annualized </w:t>
      </w:r>
      <w:bookmarkEnd w:id="19"/>
      <w:r w:rsidR="00F117B5" w:rsidRPr="007C36F3">
        <w:t>Burden Costs</w:t>
      </w:r>
    </w:p>
    <w:tbl>
      <w:tblPr>
        <w:tblW w:w="5301" w:type="pct"/>
        <w:tblBorders>
          <w:top w:val="single" w:sz="12" w:space="0" w:color="auto"/>
          <w:bottom w:val="single" w:sz="12" w:space="0" w:color="auto"/>
        </w:tblBorders>
        <w:tblLayout w:type="fixed"/>
        <w:tblCellMar>
          <w:left w:w="120" w:type="dxa"/>
          <w:right w:w="120" w:type="dxa"/>
        </w:tblCellMar>
        <w:tblLook w:val="0000" w:firstRow="0" w:lastRow="0" w:firstColumn="0" w:lastColumn="0" w:noHBand="0" w:noVBand="0"/>
      </w:tblPr>
      <w:tblGrid>
        <w:gridCol w:w="1804"/>
        <w:gridCol w:w="86"/>
        <w:gridCol w:w="1249"/>
        <w:gridCol w:w="1289"/>
        <w:gridCol w:w="478"/>
        <w:gridCol w:w="813"/>
        <w:gridCol w:w="84"/>
        <w:gridCol w:w="500"/>
        <w:gridCol w:w="703"/>
        <w:gridCol w:w="932"/>
        <w:gridCol w:w="1031"/>
        <w:gridCol w:w="6"/>
        <w:gridCol w:w="1197"/>
        <w:gridCol w:w="6"/>
      </w:tblGrid>
      <w:tr w:rsidR="00E61BDC" w:rsidRPr="007C36F3" w14:paraId="0DC32E72" w14:textId="77777777" w:rsidTr="004F4DD6">
        <w:trPr>
          <w:gridAfter w:val="1"/>
          <w:wAfter w:w="6" w:type="dxa"/>
          <w:trHeight w:val="1044"/>
        </w:trPr>
        <w:tc>
          <w:tcPr>
            <w:tcW w:w="1842" w:type="dxa"/>
            <w:gridSpan w:val="2"/>
            <w:tcBorders>
              <w:top w:val="single" w:sz="12" w:space="0" w:color="auto"/>
              <w:bottom w:val="single" w:sz="4" w:space="0" w:color="auto"/>
            </w:tcBorders>
            <w:shd w:val="clear" w:color="auto" w:fill="auto"/>
            <w:vAlign w:val="bottom"/>
          </w:tcPr>
          <w:p w14:paraId="64E3C5CC" w14:textId="77777777" w:rsidR="00F117B5" w:rsidRPr="007C36F3" w:rsidRDefault="00F117B5" w:rsidP="00CC2135">
            <w:pPr>
              <w:tabs>
                <w:tab w:val="left" w:pos="0"/>
              </w:tabs>
              <w:spacing w:before="80" w:after="80"/>
              <w:jc w:val="center"/>
              <w:rPr>
                <w:b/>
                <w:bCs/>
                <w:sz w:val="20"/>
                <w:szCs w:val="20"/>
              </w:rPr>
            </w:pPr>
            <w:r w:rsidRPr="007C36F3">
              <w:rPr>
                <w:b/>
                <w:bCs/>
                <w:sz w:val="20"/>
                <w:szCs w:val="20"/>
              </w:rPr>
              <w:t>Type of Respondent</w:t>
            </w:r>
          </w:p>
        </w:tc>
        <w:tc>
          <w:tcPr>
            <w:tcW w:w="1218" w:type="dxa"/>
            <w:tcBorders>
              <w:top w:val="single" w:sz="12" w:space="0" w:color="auto"/>
              <w:bottom w:val="single" w:sz="4" w:space="0" w:color="auto"/>
            </w:tcBorders>
            <w:vAlign w:val="bottom"/>
          </w:tcPr>
          <w:p w14:paraId="11280AE3" w14:textId="77777777" w:rsidR="00F117B5" w:rsidRPr="007C36F3" w:rsidRDefault="00F117B5" w:rsidP="00E61BDC">
            <w:pPr>
              <w:tabs>
                <w:tab w:val="left" w:pos="0"/>
              </w:tabs>
              <w:spacing w:before="80" w:after="80"/>
              <w:rPr>
                <w:b/>
                <w:bCs/>
                <w:sz w:val="20"/>
                <w:szCs w:val="20"/>
              </w:rPr>
            </w:pPr>
            <w:r w:rsidRPr="007C36F3">
              <w:rPr>
                <w:b/>
                <w:bCs/>
                <w:sz w:val="20"/>
                <w:szCs w:val="20"/>
              </w:rPr>
              <w:t>Form Name</w:t>
            </w:r>
          </w:p>
        </w:tc>
        <w:tc>
          <w:tcPr>
            <w:tcW w:w="1257" w:type="dxa"/>
            <w:tcBorders>
              <w:top w:val="single" w:sz="12" w:space="0" w:color="auto"/>
              <w:bottom w:val="single" w:sz="4" w:space="0" w:color="auto"/>
            </w:tcBorders>
            <w:shd w:val="clear" w:color="auto" w:fill="auto"/>
            <w:vAlign w:val="bottom"/>
          </w:tcPr>
          <w:p w14:paraId="48366FE5" w14:textId="77777777" w:rsidR="00F117B5" w:rsidRPr="007C36F3" w:rsidRDefault="00F117B5" w:rsidP="004F4DD6">
            <w:pPr>
              <w:tabs>
                <w:tab w:val="left" w:pos="0"/>
              </w:tabs>
              <w:spacing w:before="80" w:after="80"/>
              <w:ind w:right="-120"/>
              <w:jc w:val="center"/>
              <w:rPr>
                <w:b/>
                <w:bCs/>
                <w:sz w:val="20"/>
                <w:szCs w:val="20"/>
              </w:rPr>
            </w:pPr>
            <w:r w:rsidRPr="007C36F3">
              <w:rPr>
                <w:b/>
                <w:bCs/>
                <w:sz w:val="20"/>
                <w:szCs w:val="20"/>
              </w:rPr>
              <w:t>Number of Respondents</w:t>
            </w:r>
          </w:p>
        </w:tc>
        <w:tc>
          <w:tcPr>
            <w:tcW w:w="1341" w:type="dxa"/>
            <w:gridSpan w:val="3"/>
            <w:tcBorders>
              <w:top w:val="single" w:sz="12" w:space="0" w:color="auto"/>
              <w:bottom w:val="single" w:sz="4" w:space="0" w:color="auto"/>
            </w:tcBorders>
          </w:tcPr>
          <w:p w14:paraId="6B6F7E54" w14:textId="77777777" w:rsidR="00F117B5" w:rsidRPr="007C36F3" w:rsidRDefault="00F117B5" w:rsidP="00CC2135">
            <w:pPr>
              <w:tabs>
                <w:tab w:val="left" w:pos="0"/>
              </w:tabs>
              <w:spacing w:before="80" w:after="80"/>
              <w:jc w:val="center"/>
              <w:rPr>
                <w:b/>
                <w:bCs/>
                <w:sz w:val="20"/>
                <w:szCs w:val="20"/>
              </w:rPr>
            </w:pPr>
            <w:r w:rsidRPr="007C36F3">
              <w:rPr>
                <w:b/>
                <w:bCs/>
                <w:sz w:val="20"/>
                <w:szCs w:val="20"/>
              </w:rPr>
              <w:t>Number of Responses per Respondent</w:t>
            </w:r>
          </w:p>
        </w:tc>
        <w:tc>
          <w:tcPr>
            <w:tcW w:w="1173" w:type="dxa"/>
            <w:gridSpan w:val="2"/>
            <w:tcBorders>
              <w:top w:val="single" w:sz="12" w:space="0" w:color="auto"/>
              <w:bottom w:val="single" w:sz="4" w:space="0" w:color="auto"/>
            </w:tcBorders>
          </w:tcPr>
          <w:p w14:paraId="2F4E4A10" w14:textId="77777777" w:rsidR="00F117B5" w:rsidRPr="007C36F3" w:rsidRDefault="00F117B5" w:rsidP="00CC2135">
            <w:pPr>
              <w:tabs>
                <w:tab w:val="left" w:pos="0"/>
              </w:tabs>
              <w:spacing w:before="80" w:after="80"/>
              <w:jc w:val="center"/>
              <w:rPr>
                <w:b/>
                <w:bCs/>
                <w:sz w:val="20"/>
                <w:szCs w:val="20"/>
              </w:rPr>
            </w:pPr>
            <w:r w:rsidRPr="007C36F3">
              <w:rPr>
                <w:b/>
                <w:sz w:val="20"/>
                <w:szCs w:val="20"/>
              </w:rPr>
              <w:t>Average Burden per Response (in hours)</w:t>
            </w:r>
          </w:p>
        </w:tc>
        <w:tc>
          <w:tcPr>
            <w:tcW w:w="909" w:type="dxa"/>
            <w:tcBorders>
              <w:top w:val="single" w:sz="12" w:space="0" w:color="auto"/>
              <w:bottom w:val="single" w:sz="4" w:space="0" w:color="auto"/>
            </w:tcBorders>
            <w:shd w:val="clear" w:color="auto" w:fill="auto"/>
            <w:vAlign w:val="bottom"/>
          </w:tcPr>
          <w:p w14:paraId="697C10DE" w14:textId="77777777" w:rsidR="00F117B5" w:rsidRPr="007C36F3" w:rsidRDefault="00F117B5" w:rsidP="00CC2135">
            <w:pPr>
              <w:tabs>
                <w:tab w:val="left" w:pos="0"/>
              </w:tabs>
              <w:spacing w:before="80" w:after="80"/>
              <w:jc w:val="center"/>
              <w:rPr>
                <w:b/>
                <w:bCs/>
                <w:sz w:val="20"/>
                <w:szCs w:val="20"/>
              </w:rPr>
            </w:pPr>
            <w:r w:rsidRPr="007C36F3">
              <w:rPr>
                <w:b/>
                <w:bCs/>
                <w:sz w:val="20"/>
                <w:szCs w:val="20"/>
              </w:rPr>
              <w:t>Total Burden</w:t>
            </w:r>
            <w:r w:rsidRPr="007C36F3">
              <w:rPr>
                <w:b/>
                <w:bCs/>
                <w:sz w:val="20"/>
                <w:szCs w:val="20"/>
              </w:rPr>
              <w:br/>
              <w:t>(in hrs)</w:t>
            </w:r>
          </w:p>
        </w:tc>
        <w:tc>
          <w:tcPr>
            <w:tcW w:w="1005" w:type="dxa"/>
            <w:tcBorders>
              <w:top w:val="single" w:sz="12" w:space="0" w:color="auto"/>
              <w:bottom w:val="single" w:sz="4" w:space="0" w:color="auto"/>
            </w:tcBorders>
            <w:shd w:val="clear" w:color="auto" w:fill="auto"/>
            <w:vAlign w:val="bottom"/>
          </w:tcPr>
          <w:p w14:paraId="579FF24F" w14:textId="77777777" w:rsidR="00F117B5" w:rsidRPr="007C36F3" w:rsidRDefault="00F117B5" w:rsidP="00CC2135">
            <w:pPr>
              <w:tabs>
                <w:tab w:val="left" w:pos="0"/>
              </w:tabs>
              <w:spacing w:before="80" w:after="80"/>
              <w:jc w:val="center"/>
              <w:rPr>
                <w:b/>
                <w:bCs/>
                <w:sz w:val="20"/>
                <w:szCs w:val="20"/>
              </w:rPr>
            </w:pPr>
            <w:r w:rsidRPr="007C36F3">
              <w:rPr>
                <w:b/>
                <w:bCs/>
                <w:sz w:val="20"/>
                <w:szCs w:val="20"/>
              </w:rPr>
              <w:t>Average Hourly Wage</w:t>
            </w:r>
          </w:p>
        </w:tc>
        <w:tc>
          <w:tcPr>
            <w:tcW w:w="1173" w:type="dxa"/>
            <w:gridSpan w:val="2"/>
            <w:tcBorders>
              <w:top w:val="single" w:sz="12" w:space="0" w:color="auto"/>
              <w:bottom w:val="single" w:sz="4" w:space="0" w:color="auto"/>
            </w:tcBorders>
            <w:shd w:val="clear" w:color="auto" w:fill="auto"/>
            <w:vAlign w:val="bottom"/>
          </w:tcPr>
          <w:p w14:paraId="2E1F9C7D" w14:textId="77777777" w:rsidR="00F117B5" w:rsidRPr="007C36F3" w:rsidRDefault="00F117B5" w:rsidP="00CC2135">
            <w:pPr>
              <w:tabs>
                <w:tab w:val="left" w:pos="0"/>
              </w:tabs>
              <w:spacing w:before="80" w:after="80"/>
              <w:jc w:val="center"/>
              <w:rPr>
                <w:b/>
                <w:bCs/>
                <w:sz w:val="20"/>
                <w:szCs w:val="20"/>
              </w:rPr>
            </w:pPr>
            <w:r w:rsidRPr="007C36F3">
              <w:rPr>
                <w:b/>
                <w:bCs/>
                <w:sz w:val="20"/>
                <w:szCs w:val="20"/>
              </w:rPr>
              <w:t>Total Respondent</w:t>
            </w:r>
            <w:r w:rsidR="00E61BDC" w:rsidRPr="007C36F3">
              <w:rPr>
                <w:b/>
                <w:bCs/>
                <w:sz w:val="20"/>
                <w:szCs w:val="20"/>
              </w:rPr>
              <w:t xml:space="preserve"> </w:t>
            </w:r>
            <w:r w:rsidRPr="007C36F3">
              <w:rPr>
                <w:b/>
                <w:bCs/>
                <w:sz w:val="20"/>
                <w:szCs w:val="20"/>
              </w:rPr>
              <w:t>Costs</w:t>
            </w:r>
          </w:p>
        </w:tc>
      </w:tr>
      <w:tr w:rsidR="00E61BDC" w:rsidRPr="007C36F3" w14:paraId="2A71B599" w14:textId="77777777" w:rsidTr="004F4DD6">
        <w:trPr>
          <w:gridAfter w:val="1"/>
          <w:wAfter w:w="6" w:type="dxa"/>
          <w:trHeight w:val="595"/>
        </w:trPr>
        <w:tc>
          <w:tcPr>
            <w:tcW w:w="1758" w:type="dxa"/>
            <w:vMerge w:val="restart"/>
            <w:tcBorders>
              <w:top w:val="single" w:sz="4" w:space="0" w:color="auto"/>
            </w:tcBorders>
          </w:tcPr>
          <w:p w14:paraId="13D98663" w14:textId="77777777" w:rsidR="00F117B5" w:rsidRPr="007C36F3" w:rsidRDefault="00F117B5" w:rsidP="00CC2135">
            <w:pPr>
              <w:tabs>
                <w:tab w:val="left" w:pos="0"/>
              </w:tabs>
              <w:spacing w:before="80" w:after="80"/>
              <w:rPr>
                <w:sz w:val="20"/>
                <w:szCs w:val="20"/>
              </w:rPr>
            </w:pPr>
            <w:r w:rsidRPr="007C36F3">
              <w:rPr>
                <w:sz w:val="20"/>
                <w:szCs w:val="20"/>
              </w:rPr>
              <w:t>NCCCP Grantee Program Director</w:t>
            </w:r>
          </w:p>
        </w:tc>
        <w:tc>
          <w:tcPr>
            <w:tcW w:w="1302" w:type="dxa"/>
            <w:gridSpan w:val="2"/>
            <w:tcBorders>
              <w:top w:val="single" w:sz="4" w:space="0" w:color="auto"/>
            </w:tcBorders>
          </w:tcPr>
          <w:p w14:paraId="1B053592" w14:textId="77777777" w:rsidR="00F117B5" w:rsidRPr="007C36F3" w:rsidRDefault="00F117B5" w:rsidP="00CC2135">
            <w:pPr>
              <w:tabs>
                <w:tab w:val="left" w:pos="0"/>
              </w:tabs>
              <w:spacing w:before="80" w:after="80"/>
              <w:rPr>
                <w:sz w:val="20"/>
                <w:szCs w:val="20"/>
              </w:rPr>
            </w:pPr>
            <w:r w:rsidRPr="007C36F3">
              <w:rPr>
                <w:sz w:val="20"/>
                <w:szCs w:val="20"/>
              </w:rPr>
              <w:t xml:space="preserve">Web-based </w:t>
            </w:r>
            <w:r w:rsidR="00E9698D" w:rsidRPr="007C36F3">
              <w:rPr>
                <w:sz w:val="20"/>
                <w:szCs w:val="20"/>
              </w:rPr>
              <w:t>Grantee Survey</w:t>
            </w:r>
          </w:p>
        </w:tc>
        <w:tc>
          <w:tcPr>
            <w:tcW w:w="1257" w:type="dxa"/>
            <w:tcBorders>
              <w:top w:val="single" w:sz="4" w:space="0" w:color="auto"/>
            </w:tcBorders>
            <w:shd w:val="clear" w:color="auto" w:fill="auto"/>
          </w:tcPr>
          <w:p w14:paraId="31E4DEF5" w14:textId="77777777" w:rsidR="00F117B5" w:rsidRPr="007C36F3" w:rsidRDefault="00D47291" w:rsidP="00B66FD8">
            <w:pPr>
              <w:tabs>
                <w:tab w:val="decimal" w:pos="780"/>
              </w:tabs>
              <w:spacing w:before="80" w:after="80"/>
              <w:rPr>
                <w:sz w:val="20"/>
                <w:szCs w:val="20"/>
              </w:rPr>
            </w:pPr>
            <w:r>
              <w:rPr>
                <w:sz w:val="20"/>
                <w:szCs w:val="20"/>
              </w:rPr>
              <w:t>8</w:t>
            </w:r>
          </w:p>
        </w:tc>
        <w:tc>
          <w:tcPr>
            <w:tcW w:w="1259" w:type="dxa"/>
            <w:gridSpan w:val="2"/>
            <w:tcBorders>
              <w:top w:val="single" w:sz="4" w:space="0" w:color="auto"/>
            </w:tcBorders>
          </w:tcPr>
          <w:p w14:paraId="344A2A55" w14:textId="77777777" w:rsidR="00F117B5" w:rsidRPr="007C36F3" w:rsidRDefault="00D47291" w:rsidP="00B66FD8">
            <w:pPr>
              <w:tabs>
                <w:tab w:val="decimal" w:pos="750"/>
              </w:tabs>
              <w:spacing w:before="80" w:after="80"/>
              <w:rPr>
                <w:sz w:val="20"/>
                <w:szCs w:val="20"/>
              </w:rPr>
            </w:pPr>
            <w:r>
              <w:rPr>
                <w:sz w:val="20"/>
                <w:szCs w:val="20"/>
              </w:rPr>
              <w:t>1</w:t>
            </w:r>
          </w:p>
        </w:tc>
        <w:tc>
          <w:tcPr>
            <w:tcW w:w="1255" w:type="dxa"/>
            <w:gridSpan w:val="3"/>
            <w:tcBorders>
              <w:top w:val="single" w:sz="4" w:space="0" w:color="auto"/>
            </w:tcBorders>
          </w:tcPr>
          <w:p w14:paraId="1C46C3BE" w14:textId="77777777" w:rsidR="00F117B5" w:rsidRPr="007C36F3" w:rsidRDefault="00F117B5" w:rsidP="00E61BDC">
            <w:pPr>
              <w:tabs>
                <w:tab w:val="decimal" w:pos="750"/>
              </w:tabs>
              <w:spacing w:before="80" w:after="80"/>
              <w:rPr>
                <w:sz w:val="20"/>
                <w:szCs w:val="20"/>
              </w:rPr>
            </w:pPr>
            <w:r w:rsidRPr="007C36F3">
              <w:rPr>
                <w:sz w:val="20"/>
                <w:szCs w:val="20"/>
              </w:rPr>
              <w:t>20/60</w:t>
            </w:r>
          </w:p>
        </w:tc>
        <w:tc>
          <w:tcPr>
            <w:tcW w:w="909" w:type="dxa"/>
            <w:tcBorders>
              <w:top w:val="single" w:sz="4" w:space="0" w:color="auto"/>
            </w:tcBorders>
            <w:shd w:val="clear" w:color="auto" w:fill="auto"/>
          </w:tcPr>
          <w:p w14:paraId="61D000BA" w14:textId="77777777" w:rsidR="00F117B5" w:rsidRPr="007C36F3" w:rsidRDefault="00D47291" w:rsidP="00E61BDC">
            <w:pPr>
              <w:tabs>
                <w:tab w:val="decimal" w:pos="420"/>
              </w:tabs>
              <w:spacing w:before="80" w:after="80"/>
              <w:rPr>
                <w:sz w:val="20"/>
                <w:szCs w:val="20"/>
              </w:rPr>
            </w:pPr>
            <w:r>
              <w:rPr>
                <w:sz w:val="20"/>
                <w:szCs w:val="20"/>
              </w:rPr>
              <w:t>3</w:t>
            </w:r>
          </w:p>
        </w:tc>
        <w:tc>
          <w:tcPr>
            <w:tcW w:w="1005" w:type="dxa"/>
            <w:tcBorders>
              <w:top w:val="single" w:sz="4" w:space="0" w:color="auto"/>
            </w:tcBorders>
            <w:shd w:val="clear" w:color="auto" w:fill="auto"/>
          </w:tcPr>
          <w:p w14:paraId="03B8BBF6" w14:textId="77777777" w:rsidR="00F117B5" w:rsidRPr="007C36F3" w:rsidRDefault="00536A6D" w:rsidP="00CC2135">
            <w:pPr>
              <w:spacing w:before="80" w:after="80"/>
              <w:jc w:val="center"/>
              <w:rPr>
                <w:sz w:val="20"/>
                <w:szCs w:val="20"/>
              </w:rPr>
            </w:pPr>
            <w:r>
              <w:rPr>
                <w:sz w:val="20"/>
                <w:szCs w:val="20"/>
              </w:rPr>
              <w:t>$29.58</w:t>
            </w:r>
          </w:p>
        </w:tc>
        <w:tc>
          <w:tcPr>
            <w:tcW w:w="1173" w:type="dxa"/>
            <w:gridSpan w:val="2"/>
            <w:tcBorders>
              <w:top w:val="single" w:sz="4" w:space="0" w:color="auto"/>
            </w:tcBorders>
            <w:shd w:val="clear" w:color="auto" w:fill="auto"/>
          </w:tcPr>
          <w:p w14:paraId="610F7E6B" w14:textId="77777777" w:rsidR="00F117B5" w:rsidRPr="007C36F3" w:rsidRDefault="00536A6D" w:rsidP="00CC2135">
            <w:pPr>
              <w:tabs>
                <w:tab w:val="decimal" w:pos="731"/>
              </w:tabs>
              <w:spacing w:before="80" w:after="80"/>
              <w:rPr>
                <w:sz w:val="20"/>
                <w:szCs w:val="20"/>
              </w:rPr>
            </w:pPr>
            <w:r>
              <w:rPr>
                <w:sz w:val="20"/>
                <w:szCs w:val="20"/>
              </w:rPr>
              <w:t>$</w:t>
            </w:r>
            <w:r w:rsidR="00E4614A">
              <w:rPr>
                <w:sz w:val="20"/>
                <w:szCs w:val="20"/>
              </w:rPr>
              <w:t xml:space="preserve"> </w:t>
            </w:r>
            <w:r w:rsidR="00D47291">
              <w:rPr>
                <w:sz w:val="20"/>
                <w:szCs w:val="20"/>
              </w:rPr>
              <w:t>88.74</w:t>
            </w:r>
          </w:p>
        </w:tc>
      </w:tr>
      <w:tr w:rsidR="00E61BDC" w:rsidRPr="007C36F3" w14:paraId="5061C7B8" w14:textId="77777777" w:rsidTr="004F4DD6">
        <w:trPr>
          <w:gridAfter w:val="1"/>
          <w:wAfter w:w="6" w:type="dxa"/>
          <w:trHeight w:val="827"/>
        </w:trPr>
        <w:tc>
          <w:tcPr>
            <w:tcW w:w="1758" w:type="dxa"/>
            <w:vMerge/>
          </w:tcPr>
          <w:p w14:paraId="6750898B" w14:textId="77777777" w:rsidR="00F117B5" w:rsidRPr="007C36F3" w:rsidRDefault="00F117B5" w:rsidP="00CC2135">
            <w:pPr>
              <w:tabs>
                <w:tab w:val="left" w:pos="0"/>
              </w:tabs>
              <w:spacing w:before="80" w:after="80"/>
              <w:rPr>
                <w:sz w:val="20"/>
                <w:szCs w:val="20"/>
              </w:rPr>
            </w:pPr>
          </w:p>
        </w:tc>
        <w:tc>
          <w:tcPr>
            <w:tcW w:w="1302" w:type="dxa"/>
            <w:gridSpan w:val="2"/>
          </w:tcPr>
          <w:p w14:paraId="17B986F8" w14:textId="77777777" w:rsidR="00F117B5" w:rsidRPr="007C36F3" w:rsidRDefault="00F117B5" w:rsidP="00CC2135">
            <w:pPr>
              <w:tabs>
                <w:tab w:val="left" w:pos="0"/>
              </w:tabs>
              <w:spacing w:before="80" w:after="80"/>
              <w:rPr>
                <w:sz w:val="20"/>
                <w:szCs w:val="20"/>
              </w:rPr>
            </w:pPr>
            <w:r w:rsidRPr="007C36F3">
              <w:rPr>
                <w:sz w:val="20"/>
                <w:szCs w:val="20"/>
              </w:rPr>
              <w:t>Semi-structured telephone interview</w:t>
            </w:r>
          </w:p>
        </w:tc>
        <w:tc>
          <w:tcPr>
            <w:tcW w:w="1257" w:type="dxa"/>
            <w:shd w:val="clear" w:color="auto" w:fill="auto"/>
          </w:tcPr>
          <w:p w14:paraId="437B9A08" w14:textId="77777777" w:rsidR="00F117B5" w:rsidRPr="007C36F3" w:rsidRDefault="00D47291" w:rsidP="00B66FD8">
            <w:pPr>
              <w:tabs>
                <w:tab w:val="decimal" w:pos="780"/>
              </w:tabs>
              <w:spacing w:before="80" w:after="80"/>
              <w:rPr>
                <w:sz w:val="20"/>
                <w:szCs w:val="20"/>
              </w:rPr>
            </w:pPr>
            <w:r>
              <w:rPr>
                <w:sz w:val="20"/>
                <w:szCs w:val="20"/>
              </w:rPr>
              <w:t>8</w:t>
            </w:r>
          </w:p>
        </w:tc>
        <w:tc>
          <w:tcPr>
            <w:tcW w:w="1259" w:type="dxa"/>
            <w:gridSpan w:val="2"/>
          </w:tcPr>
          <w:p w14:paraId="77D0F8BF" w14:textId="77777777" w:rsidR="00F117B5" w:rsidRPr="007C36F3" w:rsidDel="00E65819" w:rsidRDefault="00D47291" w:rsidP="00B66FD8">
            <w:pPr>
              <w:tabs>
                <w:tab w:val="decimal" w:pos="750"/>
              </w:tabs>
              <w:spacing w:before="80" w:after="80"/>
              <w:rPr>
                <w:sz w:val="20"/>
                <w:szCs w:val="20"/>
              </w:rPr>
            </w:pPr>
            <w:r>
              <w:rPr>
                <w:sz w:val="20"/>
                <w:szCs w:val="20"/>
              </w:rPr>
              <w:t>1</w:t>
            </w:r>
          </w:p>
        </w:tc>
        <w:tc>
          <w:tcPr>
            <w:tcW w:w="1255" w:type="dxa"/>
            <w:gridSpan w:val="3"/>
          </w:tcPr>
          <w:p w14:paraId="26E3C168" w14:textId="77777777" w:rsidR="00F117B5" w:rsidRPr="007C36F3" w:rsidDel="00E65819" w:rsidRDefault="00F81606" w:rsidP="00E61BDC">
            <w:pPr>
              <w:tabs>
                <w:tab w:val="decimal" w:pos="750"/>
              </w:tabs>
              <w:spacing w:before="80" w:after="80"/>
              <w:rPr>
                <w:sz w:val="20"/>
                <w:szCs w:val="20"/>
              </w:rPr>
            </w:pPr>
            <w:r>
              <w:rPr>
                <w:sz w:val="20"/>
                <w:szCs w:val="20"/>
              </w:rPr>
              <w:t>1.50</w:t>
            </w:r>
          </w:p>
        </w:tc>
        <w:tc>
          <w:tcPr>
            <w:tcW w:w="909" w:type="dxa"/>
            <w:shd w:val="clear" w:color="auto" w:fill="auto"/>
          </w:tcPr>
          <w:p w14:paraId="0A7F7CBD" w14:textId="77777777" w:rsidR="00F117B5" w:rsidRPr="007C36F3" w:rsidRDefault="008F63D1" w:rsidP="00713A0A">
            <w:pPr>
              <w:tabs>
                <w:tab w:val="decimal" w:pos="420"/>
              </w:tabs>
              <w:spacing w:before="80" w:after="80"/>
              <w:rPr>
                <w:sz w:val="20"/>
                <w:szCs w:val="20"/>
              </w:rPr>
            </w:pPr>
            <w:r>
              <w:rPr>
                <w:sz w:val="20"/>
                <w:szCs w:val="20"/>
              </w:rPr>
              <w:t>12</w:t>
            </w:r>
          </w:p>
        </w:tc>
        <w:tc>
          <w:tcPr>
            <w:tcW w:w="1005" w:type="dxa"/>
            <w:shd w:val="clear" w:color="auto" w:fill="auto"/>
          </w:tcPr>
          <w:p w14:paraId="57E11CD9" w14:textId="77777777" w:rsidR="00F117B5" w:rsidRPr="007C36F3" w:rsidRDefault="00536A6D" w:rsidP="00CC2135">
            <w:pPr>
              <w:spacing w:before="80" w:after="80"/>
              <w:jc w:val="center"/>
              <w:rPr>
                <w:sz w:val="20"/>
                <w:szCs w:val="20"/>
              </w:rPr>
            </w:pPr>
            <w:r>
              <w:rPr>
                <w:sz w:val="20"/>
                <w:szCs w:val="20"/>
              </w:rPr>
              <w:t>$29.58</w:t>
            </w:r>
          </w:p>
        </w:tc>
        <w:tc>
          <w:tcPr>
            <w:tcW w:w="1173" w:type="dxa"/>
            <w:gridSpan w:val="2"/>
            <w:shd w:val="clear" w:color="auto" w:fill="auto"/>
          </w:tcPr>
          <w:p w14:paraId="721CA7E4" w14:textId="77777777" w:rsidR="00F117B5" w:rsidRPr="007C36F3" w:rsidRDefault="00536A6D" w:rsidP="00CC2135">
            <w:pPr>
              <w:tabs>
                <w:tab w:val="decimal" w:pos="731"/>
              </w:tabs>
              <w:spacing w:before="80" w:after="80"/>
              <w:rPr>
                <w:sz w:val="20"/>
                <w:szCs w:val="20"/>
              </w:rPr>
            </w:pPr>
            <w:r>
              <w:rPr>
                <w:sz w:val="20"/>
                <w:szCs w:val="20"/>
              </w:rPr>
              <w:t>$</w:t>
            </w:r>
            <w:r w:rsidR="00E4614A">
              <w:rPr>
                <w:sz w:val="20"/>
                <w:szCs w:val="20"/>
              </w:rPr>
              <w:t>354.96</w:t>
            </w:r>
          </w:p>
        </w:tc>
      </w:tr>
      <w:tr w:rsidR="00E61BDC" w:rsidRPr="007C36F3" w14:paraId="445307C7" w14:textId="77777777" w:rsidTr="004F4DD6">
        <w:trPr>
          <w:gridAfter w:val="1"/>
          <w:wAfter w:w="6" w:type="dxa"/>
          <w:trHeight w:val="595"/>
        </w:trPr>
        <w:tc>
          <w:tcPr>
            <w:tcW w:w="1758" w:type="dxa"/>
          </w:tcPr>
          <w:p w14:paraId="5237BB47" w14:textId="77777777" w:rsidR="00F117B5" w:rsidRPr="007C36F3" w:rsidRDefault="00F117B5" w:rsidP="00CC2135">
            <w:pPr>
              <w:tabs>
                <w:tab w:val="left" w:pos="0"/>
              </w:tabs>
              <w:spacing w:before="80" w:after="80"/>
              <w:rPr>
                <w:sz w:val="20"/>
                <w:szCs w:val="20"/>
              </w:rPr>
            </w:pPr>
            <w:r w:rsidRPr="007C36F3">
              <w:rPr>
                <w:sz w:val="20"/>
                <w:szCs w:val="20"/>
              </w:rPr>
              <w:t xml:space="preserve">NCCCP Grantee Partner </w:t>
            </w:r>
          </w:p>
        </w:tc>
        <w:tc>
          <w:tcPr>
            <w:tcW w:w="1302" w:type="dxa"/>
            <w:gridSpan w:val="2"/>
          </w:tcPr>
          <w:p w14:paraId="3F18800A" w14:textId="77777777" w:rsidR="00F117B5" w:rsidRPr="007C36F3" w:rsidRDefault="00F117B5" w:rsidP="00CC2135">
            <w:pPr>
              <w:tabs>
                <w:tab w:val="left" w:pos="0"/>
              </w:tabs>
              <w:spacing w:before="80" w:after="80"/>
              <w:rPr>
                <w:sz w:val="20"/>
                <w:szCs w:val="20"/>
              </w:rPr>
            </w:pPr>
            <w:r w:rsidRPr="007C36F3">
              <w:rPr>
                <w:sz w:val="20"/>
                <w:szCs w:val="20"/>
              </w:rPr>
              <w:t xml:space="preserve">Web-based </w:t>
            </w:r>
            <w:r w:rsidR="00E9698D" w:rsidRPr="007C36F3">
              <w:rPr>
                <w:sz w:val="20"/>
                <w:szCs w:val="20"/>
              </w:rPr>
              <w:t>Partner Survey</w:t>
            </w:r>
            <w:r w:rsidRPr="007C36F3">
              <w:rPr>
                <w:sz w:val="20"/>
                <w:szCs w:val="20"/>
              </w:rPr>
              <w:t xml:space="preserve"> </w:t>
            </w:r>
          </w:p>
        </w:tc>
        <w:tc>
          <w:tcPr>
            <w:tcW w:w="1257" w:type="dxa"/>
            <w:shd w:val="clear" w:color="auto" w:fill="auto"/>
          </w:tcPr>
          <w:p w14:paraId="29F4D308" w14:textId="77777777" w:rsidR="00F117B5" w:rsidRPr="007C36F3" w:rsidRDefault="00D47291" w:rsidP="00B66FD8">
            <w:pPr>
              <w:tabs>
                <w:tab w:val="decimal" w:pos="780"/>
              </w:tabs>
              <w:spacing w:before="80" w:after="80"/>
              <w:rPr>
                <w:sz w:val="20"/>
                <w:szCs w:val="20"/>
              </w:rPr>
            </w:pPr>
            <w:r>
              <w:rPr>
                <w:sz w:val="20"/>
                <w:szCs w:val="20"/>
              </w:rPr>
              <w:t>40</w:t>
            </w:r>
          </w:p>
        </w:tc>
        <w:tc>
          <w:tcPr>
            <w:tcW w:w="1259" w:type="dxa"/>
            <w:gridSpan w:val="2"/>
          </w:tcPr>
          <w:p w14:paraId="305093C1" w14:textId="77777777" w:rsidR="00F117B5" w:rsidRPr="007C36F3" w:rsidRDefault="00D47291" w:rsidP="00B66FD8">
            <w:pPr>
              <w:tabs>
                <w:tab w:val="decimal" w:pos="750"/>
              </w:tabs>
              <w:spacing w:before="80" w:after="80"/>
              <w:rPr>
                <w:sz w:val="20"/>
                <w:szCs w:val="20"/>
              </w:rPr>
            </w:pPr>
            <w:r>
              <w:rPr>
                <w:sz w:val="20"/>
                <w:szCs w:val="20"/>
              </w:rPr>
              <w:t>1</w:t>
            </w:r>
          </w:p>
        </w:tc>
        <w:tc>
          <w:tcPr>
            <w:tcW w:w="1255" w:type="dxa"/>
            <w:gridSpan w:val="3"/>
          </w:tcPr>
          <w:p w14:paraId="1E410F48" w14:textId="77777777" w:rsidR="00F117B5" w:rsidRPr="007C36F3" w:rsidRDefault="00F81606" w:rsidP="00E61BDC">
            <w:pPr>
              <w:tabs>
                <w:tab w:val="decimal" w:pos="750"/>
              </w:tabs>
              <w:spacing w:before="80" w:after="80"/>
              <w:rPr>
                <w:sz w:val="20"/>
                <w:szCs w:val="20"/>
              </w:rPr>
            </w:pPr>
            <w:r>
              <w:rPr>
                <w:sz w:val="20"/>
                <w:szCs w:val="20"/>
              </w:rPr>
              <w:t>2</w:t>
            </w:r>
            <w:r w:rsidR="00F117B5" w:rsidRPr="007C36F3">
              <w:rPr>
                <w:sz w:val="20"/>
                <w:szCs w:val="20"/>
              </w:rPr>
              <w:t>0/60</w:t>
            </w:r>
          </w:p>
        </w:tc>
        <w:tc>
          <w:tcPr>
            <w:tcW w:w="909" w:type="dxa"/>
            <w:shd w:val="clear" w:color="auto" w:fill="auto"/>
          </w:tcPr>
          <w:p w14:paraId="40F41187" w14:textId="77777777" w:rsidR="00F117B5" w:rsidRPr="007C36F3" w:rsidRDefault="00D47291" w:rsidP="00E61BDC">
            <w:pPr>
              <w:tabs>
                <w:tab w:val="decimal" w:pos="510"/>
              </w:tabs>
              <w:spacing w:before="80" w:after="80"/>
              <w:rPr>
                <w:sz w:val="20"/>
                <w:szCs w:val="20"/>
              </w:rPr>
            </w:pPr>
            <w:r>
              <w:rPr>
                <w:sz w:val="20"/>
                <w:szCs w:val="20"/>
              </w:rPr>
              <w:t>14</w:t>
            </w:r>
          </w:p>
        </w:tc>
        <w:tc>
          <w:tcPr>
            <w:tcW w:w="1005" w:type="dxa"/>
            <w:shd w:val="clear" w:color="auto" w:fill="auto"/>
          </w:tcPr>
          <w:p w14:paraId="6E512FBF" w14:textId="77777777" w:rsidR="00F117B5" w:rsidRPr="007C36F3" w:rsidRDefault="00F117B5" w:rsidP="00CC2135">
            <w:pPr>
              <w:spacing w:before="80" w:after="80"/>
              <w:jc w:val="center"/>
              <w:rPr>
                <w:sz w:val="20"/>
                <w:szCs w:val="20"/>
              </w:rPr>
            </w:pPr>
            <w:r w:rsidRPr="007C36F3">
              <w:rPr>
                <w:sz w:val="20"/>
                <w:szCs w:val="20"/>
              </w:rPr>
              <w:t>$21.55</w:t>
            </w:r>
          </w:p>
        </w:tc>
        <w:tc>
          <w:tcPr>
            <w:tcW w:w="1173" w:type="dxa"/>
            <w:gridSpan w:val="2"/>
            <w:shd w:val="clear" w:color="auto" w:fill="auto"/>
          </w:tcPr>
          <w:p w14:paraId="3BA1AC12" w14:textId="77777777" w:rsidR="00F117B5" w:rsidRPr="007C36F3" w:rsidRDefault="00F117B5" w:rsidP="00CC2135">
            <w:pPr>
              <w:tabs>
                <w:tab w:val="decimal" w:pos="731"/>
              </w:tabs>
              <w:spacing w:before="80" w:after="80"/>
              <w:rPr>
                <w:sz w:val="20"/>
                <w:szCs w:val="20"/>
              </w:rPr>
            </w:pPr>
            <w:r w:rsidRPr="007C36F3">
              <w:rPr>
                <w:sz w:val="20"/>
                <w:szCs w:val="20"/>
              </w:rPr>
              <w:t>$</w:t>
            </w:r>
            <w:r w:rsidR="00E4614A">
              <w:rPr>
                <w:sz w:val="20"/>
                <w:szCs w:val="20"/>
              </w:rPr>
              <w:t xml:space="preserve"> </w:t>
            </w:r>
            <w:r w:rsidR="00D47291">
              <w:rPr>
                <w:sz w:val="20"/>
                <w:szCs w:val="20"/>
              </w:rPr>
              <w:t>301.70</w:t>
            </w:r>
          </w:p>
        </w:tc>
      </w:tr>
      <w:tr w:rsidR="00F117B5" w:rsidRPr="007C36F3" w14:paraId="755E24B7" w14:textId="77777777" w:rsidTr="004F4DD6">
        <w:trPr>
          <w:trHeight w:val="377"/>
        </w:trPr>
        <w:tc>
          <w:tcPr>
            <w:tcW w:w="1758" w:type="dxa"/>
          </w:tcPr>
          <w:p w14:paraId="405E43F2" w14:textId="77777777" w:rsidR="00F117B5" w:rsidRPr="007C36F3" w:rsidRDefault="00F117B5" w:rsidP="00CC2135">
            <w:pPr>
              <w:tabs>
                <w:tab w:val="left" w:pos="0"/>
              </w:tabs>
              <w:spacing w:before="80" w:after="80"/>
              <w:rPr>
                <w:sz w:val="20"/>
                <w:szCs w:val="20"/>
              </w:rPr>
            </w:pPr>
          </w:p>
        </w:tc>
        <w:tc>
          <w:tcPr>
            <w:tcW w:w="1302" w:type="dxa"/>
            <w:gridSpan w:val="2"/>
          </w:tcPr>
          <w:p w14:paraId="7B616EE8" w14:textId="77777777" w:rsidR="00F117B5" w:rsidRPr="007C36F3" w:rsidRDefault="00F117B5" w:rsidP="00CC2135">
            <w:pPr>
              <w:tabs>
                <w:tab w:val="left" w:pos="0"/>
              </w:tabs>
              <w:spacing w:before="80" w:after="80"/>
              <w:rPr>
                <w:sz w:val="20"/>
                <w:szCs w:val="20"/>
              </w:rPr>
            </w:pPr>
            <w:r w:rsidRPr="007C36F3">
              <w:rPr>
                <w:sz w:val="20"/>
                <w:szCs w:val="20"/>
              </w:rPr>
              <w:t>Total</w:t>
            </w:r>
          </w:p>
        </w:tc>
        <w:tc>
          <w:tcPr>
            <w:tcW w:w="1723" w:type="dxa"/>
            <w:gridSpan w:val="2"/>
          </w:tcPr>
          <w:p w14:paraId="63E8ABDF" w14:textId="77777777" w:rsidR="00F117B5" w:rsidRPr="007C36F3" w:rsidRDefault="00F117B5" w:rsidP="00CC2135">
            <w:pPr>
              <w:spacing w:before="80" w:after="80"/>
              <w:jc w:val="center"/>
              <w:rPr>
                <w:sz w:val="20"/>
                <w:szCs w:val="20"/>
              </w:rPr>
            </w:pPr>
          </w:p>
        </w:tc>
        <w:tc>
          <w:tcPr>
            <w:tcW w:w="1363" w:type="dxa"/>
            <w:gridSpan w:val="3"/>
          </w:tcPr>
          <w:p w14:paraId="701671EF" w14:textId="77777777" w:rsidR="00F117B5" w:rsidRPr="007C36F3" w:rsidRDefault="00F117B5" w:rsidP="00CC2135">
            <w:pPr>
              <w:spacing w:before="80" w:after="80"/>
              <w:jc w:val="center"/>
              <w:rPr>
                <w:sz w:val="20"/>
                <w:szCs w:val="20"/>
              </w:rPr>
            </w:pPr>
          </w:p>
        </w:tc>
        <w:tc>
          <w:tcPr>
            <w:tcW w:w="2605" w:type="dxa"/>
            <w:gridSpan w:val="4"/>
            <w:shd w:val="clear" w:color="auto" w:fill="auto"/>
          </w:tcPr>
          <w:p w14:paraId="281DDB8E" w14:textId="77777777" w:rsidR="00F117B5" w:rsidRPr="007C36F3" w:rsidRDefault="00F117B5" w:rsidP="00CC2135">
            <w:pPr>
              <w:spacing w:before="80" w:after="80"/>
              <w:jc w:val="center"/>
              <w:rPr>
                <w:sz w:val="20"/>
                <w:szCs w:val="20"/>
              </w:rPr>
            </w:pPr>
          </w:p>
        </w:tc>
        <w:tc>
          <w:tcPr>
            <w:tcW w:w="1173" w:type="dxa"/>
            <w:gridSpan w:val="2"/>
            <w:shd w:val="clear" w:color="auto" w:fill="auto"/>
          </w:tcPr>
          <w:p w14:paraId="1C7CA8A3" w14:textId="77777777" w:rsidR="00F117B5" w:rsidRPr="007C36F3" w:rsidRDefault="00F81606" w:rsidP="00CC2135">
            <w:pPr>
              <w:tabs>
                <w:tab w:val="decimal" w:pos="731"/>
              </w:tabs>
              <w:spacing w:before="80" w:after="80"/>
              <w:rPr>
                <w:sz w:val="20"/>
                <w:szCs w:val="20"/>
              </w:rPr>
            </w:pPr>
            <w:r>
              <w:rPr>
                <w:sz w:val="20"/>
                <w:szCs w:val="20"/>
              </w:rPr>
              <w:t>$</w:t>
            </w:r>
            <w:r w:rsidR="00E4614A">
              <w:rPr>
                <w:sz w:val="20"/>
                <w:szCs w:val="20"/>
              </w:rPr>
              <w:t xml:space="preserve"> </w:t>
            </w:r>
            <w:r w:rsidR="00D47291">
              <w:rPr>
                <w:sz w:val="20"/>
                <w:szCs w:val="20"/>
              </w:rPr>
              <w:t>745.40</w:t>
            </w:r>
          </w:p>
        </w:tc>
      </w:tr>
    </w:tbl>
    <w:p w14:paraId="37B386D4" w14:textId="77777777" w:rsidR="005B19CD" w:rsidRPr="007C36F3" w:rsidRDefault="005B19CD" w:rsidP="00CC2135">
      <w:pPr>
        <w:pStyle w:val="exhibitsource"/>
      </w:pPr>
    </w:p>
    <w:p w14:paraId="7D4840B6" w14:textId="77777777" w:rsidR="005B19CD" w:rsidRPr="006A5700" w:rsidRDefault="005B19CD" w:rsidP="00D164C9">
      <w:pPr>
        <w:pStyle w:val="Heading2"/>
        <w:rPr>
          <w:b w:val="0"/>
        </w:rPr>
      </w:pPr>
      <w:bookmarkStart w:id="20" w:name="_Toc475699043"/>
      <w:bookmarkEnd w:id="17"/>
      <w:bookmarkEnd w:id="18"/>
      <w:r w:rsidRPr="006A5700">
        <w:rPr>
          <w:b w:val="0"/>
        </w:rPr>
        <w:t>A13.</w:t>
      </w:r>
      <w:r w:rsidRPr="006A5700">
        <w:rPr>
          <w:b w:val="0"/>
        </w:rPr>
        <w:tab/>
      </w:r>
      <w:r w:rsidRPr="006A5700">
        <w:rPr>
          <w:b w:val="0"/>
          <w:u w:val="single"/>
        </w:rPr>
        <w:t>Estimate of Other Total Annual Cost Burden to Respondents or Record Keepers</w:t>
      </w:r>
      <w:bookmarkEnd w:id="20"/>
    </w:p>
    <w:p w14:paraId="57E7942E" w14:textId="77777777" w:rsidR="005B19CD" w:rsidRPr="007C36F3" w:rsidRDefault="005B19CD" w:rsidP="00D164C9">
      <w:pPr>
        <w:pStyle w:val="BodyText2"/>
      </w:pPr>
      <w:r w:rsidRPr="007C36F3">
        <w:t>There are no other costs to respondents.</w:t>
      </w:r>
    </w:p>
    <w:p w14:paraId="6A2C9189" w14:textId="77777777" w:rsidR="005B19CD" w:rsidRDefault="005B19CD" w:rsidP="00DE650F">
      <w:pPr>
        <w:pStyle w:val="Heading2"/>
        <w:spacing w:before="0" w:after="0"/>
        <w:ind w:left="0" w:firstLine="0"/>
        <w:rPr>
          <w:b w:val="0"/>
          <w:u w:val="single"/>
        </w:rPr>
      </w:pPr>
      <w:bookmarkStart w:id="21" w:name="_Toc475699044"/>
      <w:r w:rsidRPr="006A5700">
        <w:rPr>
          <w:b w:val="0"/>
        </w:rPr>
        <w:t>14.</w:t>
      </w:r>
      <w:r w:rsidRPr="006A5700">
        <w:rPr>
          <w:b w:val="0"/>
        </w:rPr>
        <w:tab/>
      </w:r>
      <w:r w:rsidRPr="006A5700">
        <w:rPr>
          <w:b w:val="0"/>
          <w:u w:val="single"/>
        </w:rPr>
        <w:t>Annualized Cost to the Federal Government</w:t>
      </w:r>
      <w:bookmarkEnd w:id="21"/>
    </w:p>
    <w:p w14:paraId="4AD81307" w14:textId="77777777" w:rsidR="00DE650F" w:rsidRPr="00DE650F" w:rsidRDefault="00DE650F" w:rsidP="00DE650F"/>
    <w:p w14:paraId="5E5EE0B6" w14:textId="77777777" w:rsidR="005B19CD" w:rsidRDefault="005B19CD" w:rsidP="00DE650F">
      <w:pPr>
        <w:pStyle w:val="BodyText2"/>
        <w:spacing w:after="0" w:line="240" w:lineRule="auto"/>
      </w:pPr>
      <w:r w:rsidRPr="007C36F3">
        <w:t xml:space="preserve">Costs to the federal government include the costs of CDC personnel associated with the project and the cost of a contract for information collection and management. </w:t>
      </w:r>
    </w:p>
    <w:p w14:paraId="78DF98E7" w14:textId="77777777" w:rsidR="00DE650F" w:rsidRPr="007C36F3" w:rsidRDefault="00DE650F" w:rsidP="00DE650F">
      <w:pPr>
        <w:pStyle w:val="BodyText2"/>
        <w:spacing w:after="0" w:line="240" w:lineRule="auto"/>
      </w:pPr>
    </w:p>
    <w:p w14:paraId="34F9E09C" w14:textId="77777777" w:rsidR="005B19CD" w:rsidRDefault="005B19CD" w:rsidP="00DE650F">
      <w:pPr>
        <w:pStyle w:val="BodyText2"/>
        <w:spacing w:after="0" w:line="240" w:lineRule="auto"/>
      </w:pPr>
      <w:r w:rsidRPr="007C36F3">
        <w:t xml:space="preserve">The proposed </w:t>
      </w:r>
      <w:r w:rsidR="006F5CE5">
        <w:t>assessment</w:t>
      </w:r>
      <w:r w:rsidRPr="007C36F3">
        <w:t xml:space="preserve"> surveys will be supervised by a CDC DCPC federal employee, who will act as a task lead and the contracting officer representative. The </w:t>
      </w:r>
      <w:r w:rsidR="00331329">
        <w:t xml:space="preserve">annualized </w:t>
      </w:r>
      <w:r w:rsidRPr="007C36F3">
        <w:t xml:space="preserve">cost of the </w:t>
      </w:r>
      <w:r w:rsidRPr="007C36F3">
        <w:rPr>
          <w:color w:val="000000"/>
        </w:rPr>
        <w:t>federal employee is estimated at $</w:t>
      </w:r>
      <w:r w:rsidR="00331329">
        <w:rPr>
          <w:color w:val="000000"/>
        </w:rPr>
        <w:t>1,659.31</w:t>
      </w:r>
      <w:r w:rsidRPr="007C36F3">
        <w:rPr>
          <w:color w:val="000000"/>
        </w:rPr>
        <w:t xml:space="preserve">. </w:t>
      </w:r>
      <w:r w:rsidR="00600788" w:rsidRPr="007C36F3">
        <w:rPr>
          <w:color w:val="000000"/>
        </w:rPr>
        <w:t>Two other CDC DCPC staff will support the task lead in her role</w:t>
      </w:r>
      <w:r w:rsidR="00331329">
        <w:rPr>
          <w:color w:val="000000"/>
        </w:rPr>
        <w:t xml:space="preserve"> with an estimated annualized cost of $2,725.36</w:t>
      </w:r>
      <w:r w:rsidR="00600788" w:rsidRPr="007C36F3">
        <w:rPr>
          <w:color w:val="000000"/>
        </w:rPr>
        <w:t xml:space="preserve">. </w:t>
      </w:r>
      <w:r w:rsidRPr="007C36F3">
        <w:t>CDC staff, in close consultation with RTI, will oversee all activities and ensure that data collection is being conducted in accordance with OMB requirements. They will also assist in instrument development, interpretation of findings, and report preparation.</w:t>
      </w:r>
    </w:p>
    <w:p w14:paraId="712AA2E6" w14:textId="77777777" w:rsidR="00DE650F" w:rsidRPr="007C36F3" w:rsidRDefault="00DE650F" w:rsidP="00DE650F">
      <w:pPr>
        <w:pStyle w:val="BodyText2"/>
        <w:spacing w:after="0" w:line="240" w:lineRule="auto"/>
      </w:pPr>
    </w:p>
    <w:p w14:paraId="0BB856C8" w14:textId="77777777" w:rsidR="005B19CD" w:rsidRPr="007C36F3" w:rsidRDefault="005B19CD" w:rsidP="00DE650F">
      <w:pPr>
        <w:pStyle w:val="BodyText2"/>
        <w:spacing w:after="0" w:line="240" w:lineRule="auto"/>
      </w:pPr>
      <w:r w:rsidRPr="007C36F3">
        <w:t xml:space="preserve">The development of data collection instruments (interview guide and survey), data analysis, and reporting is being conducted under a contract with CDC’s </w:t>
      </w:r>
      <w:r w:rsidR="006F5CE5">
        <w:t>assessment</w:t>
      </w:r>
      <w:r w:rsidRPr="007C36F3">
        <w:t xml:space="preserve"> contractor, RTI. The base period contract for </w:t>
      </w:r>
      <w:r w:rsidR="006F5CE5">
        <w:t>assessment</w:t>
      </w:r>
      <w:r w:rsidRPr="007C36F3">
        <w:t xml:space="preserve"> of the </w:t>
      </w:r>
      <w:r w:rsidR="00C15B99" w:rsidRPr="007C36F3">
        <w:t xml:space="preserve">NCCCP </w:t>
      </w:r>
      <w:r w:rsidRPr="007C36F3">
        <w:t>DP15-1501 cancer survivorship program totals $</w:t>
      </w:r>
      <w:r w:rsidRPr="007C36F3">
        <w:rPr>
          <w:bCs/>
        </w:rPr>
        <w:t>149,927</w:t>
      </w:r>
      <w:r w:rsidRPr="007C36F3">
        <w:t xml:space="preserve"> and includes costs for data management, programming, reporting, and dissemination. Of this amount, $89,956 is dedicated to deliverables related to data collection and reporting.</w:t>
      </w:r>
      <w:r w:rsidR="00331329">
        <w:t xml:space="preserve"> The estimated annualized cost of the external contractor is $49,975.67. The total estimated annualized cost to the federal government is $54,360.34.</w:t>
      </w:r>
    </w:p>
    <w:p w14:paraId="39E5E8A2" w14:textId="77777777" w:rsidR="00D164C9" w:rsidRPr="007C36F3" w:rsidRDefault="00D83F6E" w:rsidP="00D164C9">
      <w:pPr>
        <w:pStyle w:val="FigureTitle"/>
      </w:pPr>
      <w:bookmarkStart w:id="22" w:name="_Toc475699363"/>
      <w:r w:rsidRPr="007C36F3">
        <w:t>Exhibit 3</w:t>
      </w:r>
      <w:r w:rsidR="00D164C9" w:rsidRPr="007C36F3">
        <w:t>. Estimated Annualized Cost to the Federal Government</w:t>
      </w:r>
      <w:bookmarkEnd w:id="22"/>
    </w:p>
    <w:tbl>
      <w:tblPr>
        <w:tblW w:w="5000" w:type="pct"/>
        <w:tblBorders>
          <w:top w:val="single" w:sz="12" w:space="0" w:color="auto"/>
          <w:bottom w:val="single" w:sz="12" w:space="0" w:color="auto"/>
        </w:tblBorders>
        <w:tblLook w:val="04A0" w:firstRow="1" w:lastRow="0" w:firstColumn="1" w:lastColumn="0" w:noHBand="0" w:noVBand="1"/>
      </w:tblPr>
      <w:tblGrid>
        <w:gridCol w:w="4195"/>
        <w:gridCol w:w="1969"/>
        <w:gridCol w:w="1234"/>
        <w:gridCol w:w="236"/>
        <w:gridCol w:w="236"/>
        <w:gridCol w:w="1706"/>
      </w:tblGrid>
      <w:tr w:rsidR="005B19CD" w:rsidRPr="007C36F3" w14:paraId="6C45745A" w14:textId="77777777" w:rsidTr="006F4ED5">
        <w:trPr>
          <w:trHeight w:val="593"/>
          <w:tblHeader/>
        </w:trPr>
        <w:tc>
          <w:tcPr>
            <w:tcW w:w="4195" w:type="dxa"/>
            <w:tcBorders>
              <w:top w:val="single" w:sz="12" w:space="0" w:color="auto"/>
              <w:bottom w:val="single" w:sz="4" w:space="0" w:color="auto"/>
            </w:tcBorders>
            <w:shd w:val="clear" w:color="auto" w:fill="auto"/>
            <w:vAlign w:val="center"/>
          </w:tcPr>
          <w:p w14:paraId="441A6E9C" w14:textId="77777777" w:rsidR="005B19CD" w:rsidRPr="007C36F3" w:rsidRDefault="005B19CD" w:rsidP="0093623A">
            <w:pPr>
              <w:spacing w:before="80" w:after="80"/>
              <w:jc w:val="center"/>
              <w:rPr>
                <w:b/>
                <w:sz w:val="22"/>
                <w:szCs w:val="22"/>
              </w:rPr>
            </w:pPr>
            <w:r w:rsidRPr="007C36F3">
              <w:rPr>
                <w:b/>
                <w:sz w:val="22"/>
                <w:szCs w:val="22"/>
              </w:rPr>
              <w:t>Staff (Full-Time Employee)</w:t>
            </w:r>
          </w:p>
        </w:tc>
        <w:tc>
          <w:tcPr>
            <w:tcW w:w="1969" w:type="dxa"/>
            <w:tcBorders>
              <w:top w:val="single" w:sz="12" w:space="0" w:color="auto"/>
              <w:bottom w:val="single" w:sz="4" w:space="0" w:color="auto"/>
            </w:tcBorders>
            <w:shd w:val="clear" w:color="auto" w:fill="auto"/>
            <w:vAlign w:val="center"/>
          </w:tcPr>
          <w:p w14:paraId="451235C2" w14:textId="77777777" w:rsidR="005B19CD" w:rsidRPr="007C36F3" w:rsidRDefault="005B19CD" w:rsidP="0093623A">
            <w:pPr>
              <w:spacing w:before="80" w:after="80"/>
              <w:jc w:val="center"/>
              <w:rPr>
                <w:b/>
                <w:sz w:val="22"/>
                <w:szCs w:val="22"/>
              </w:rPr>
            </w:pPr>
            <w:r w:rsidRPr="007C36F3">
              <w:rPr>
                <w:b/>
                <w:sz w:val="22"/>
                <w:szCs w:val="22"/>
              </w:rPr>
              <w:t>Average Hours per Collection</w:t>
            </w:r>
          </w:p>
        </w:tc>
        <w:tc>
          <w:tcPr>
            <w:tcW w:w="1706" w:type="dxa"/>
            <w:gridSpan w:val="3"/>
            <w:tcBorders>
              <w:top w:val="single" w:sz="12" w:space="0" w:color="auto"/>
              <w:bottom w:val="single" w:sz="4" w:space="0" w:color="auto"/>
            </w:tcBorders>
            <w:shd w:val="clear" w:color="auto" w:fill="auto"/>
            <w:vAlign w:val="center"/>
          </w:tcPr>
          <w:p w14:paraId="66A51A35" w14:textId="77777777" w:rsidR="005B19CD" w:rsidRPr="007C36F3" w:rsidRDefault="005B19CD" w:rsidP="0093623A">
            <w:pPr>
              <w:spacing w:before="80" w:after="80"/>
              <w:jc w:val="center"/>
              <w:rPr>
                <w:b/>
                <w:sz w:val="22"/>
                <w:szCs w:val="22"/>
              </w:rPr>
            </w:pPr>
            <w:r w:rsidRPr="007C36F3">
              <w:rPr>
                <w:b/>
                <w:sz w:val="22"/>
                <w:szCs w:val="22"/>
              </w:rPr>
              <w:t>Average Hourly Rate</w:t>
            </w:r>
          </w:p>
        </w:tc>
        <w:tc>
          <w:tcPr>
            <w:tcW w:w="1706" w:type="dxa"/>
            <w:tcBorders>
              <w:top w:val="single" w:sz="12" w:space="0" w:color="auto"/>
              <w:bottom w:val="single" w:sz="4" w:space="0" w:color="auto"/>
            </w:tcBorders>
            <w:shd w:val="clear" w:color="auto" w:fill="auto"/>
            <w:vAlign w:val="center"/>
          </w:tcPr>
          <w:p w14:paraId="66EB4F13" w14:textId="77777777" w:rsidR="005B19CD" w:rsidRPr="007C36F3" w:rsidRDefault="005B19CD" w:rsidP="0093623A">
            <w:pPr>
              <w:spacing w:before="80" w:after="80"/>
              <w:jc w:val="center"/>
              <w:rPr>
                <w:b/>
                <w:sz w:val="22"/>
                <w:szCs w:val="22"/>
              </w:rPr>
            </w:pPr>
            <w:r w:rsidRPr="007C36F3">
              <w:rPr>
                <w:b/>
                <w:sz w:val="22"/>
                <w:szCs w:val="22"/>
              </w:rPr>
              <w:t>Annualized Cost</w:t>
            </w:r>
          </w:p>
        </w:tc>
      </w:tr>
      <w:tr w:rsidR="005B19CD" w:rsidRPr="007C36F3" w14:paraId="1EA7F4F0" w14:textId="77777777" w:rsidTr="002E53F5">
        <w:tc>
          <w:tcPr>
            <w:tcW w:w="4195" w:type="dxa"/>
            <w:tcBorders>
              <w:top w:val="single" w:sz="4" w:space="0" w:color="auto"/>
            </w:tcBorders>
            <w:shd w:val="clear" w:color="auto" w:fill="auto"/>
          </w:tcPr>
          <w:p w14:paraId="3F8D827A" w14:textId="77777777" w:rsidR="005B19CD" w:rsidRPr="007C36F3" w:rsidRDefault="005B19CD" w:rsidP="0093623A">
            <w:pPr>
              <w:spacing w:before="80" w:after="80"/>
              <w:rPr>
                <w:sz w:val="22"/>
                <w:szCs w:val="22"/>
              </w:rPr>
            </w:pPr>
            <w:r w:rsidRPr="007C36F3">
              <w:rPr>
                <w:noProof/>
                <w:sz w:val="22"/>
                <w:szCs w:val="22"/>
              </w:rPr>
              <w:t>Lead public health advisor (GS</w:t>
            </w:r>
            <w:r w:rsidR="00E42962" w:rsidRPr="007C36F3">
              <w:rPr>
                <w:noProof/>
                <w:sz w:val="22"/>
                <w:szCs w:val="22"/>
              </w:rPr>
              <w:t>-</w:t>
            </w:r>
            <w:r w:rsidRPr="007C36F3">
              <w:rPr>
                <w:noProof/>
                <w:sz w:val="22"/>
                <w:szCs w:val="22"/>
              </w:rPr>
              <w:t>14</w:t>
            </w:r>
            <w:r w:rsidRPr="007C36F3">
              <w:rPr>
                <w:sz w:val="22"/>
                <w:szCs w:val="22"/>
              </w:rPr>
              <w:t>): project planning, management, OMB review, analysis of findings, and report writing</w:t>
            </w:r>
          </w:p>
        </w:tc>
        <w:tc>
          <w:tcPr>
            <w:tcW w:w="1969" w:type="dxa"/>
            <w:tcBorders>
              <w:top w:val="single" w:sz="4" w:space="0" w:color="auto"/>
            </w:tcBorders>
            <w:shd w:val="clear" w:color="auto" w:fill="auto"/>
          </w:tcPr>
          <w:p w14:paraId="32D35DCF" w14:textId="77777777" w:rsidR="005B19CD" w:rsidRPr="007C36F3" w:rsidRDefault="00E4614A" w:rsidP="0093623A">
            <w:pPr>
              <w:spacing w:before="80" w:after="80"/>
              <w:jc w:val="center"/>
              <w:rPr>
                <w:sz w:val="22"/>
                <w:szCs w:val="22"/>
              </w:rPr>
            </w:pPr>
            <w:r>
              <w:rPr>
                <w:sz w:val="22"/>
                <w:szCs w:val="22"/>
              </w:rPr>
              <w:t>34.67</w:t>
            </w:r>
          </w:p>
        </w:tc>
        <w:tc>
          <w:tcPr>
            <w:tcW w:w="1706" w:type="dxa"/>
            <w:gridSpan w:val="3"/>
            <w:tcBorders>
              <w:top w:val="single" w:sz="4" w:space="0" w:color="auto"/>
            </w:tcBorders>
            <w:shd w:val="clear" w:color="auto" w:fill="auto"/>
          </w:tcPr>
          <w:p w14:paraId="71C29FB8" w14:textId="77777777" w:rsidR="005B19CD" w:rsidRPr="007C36F3" w:rsidRDefault="005B19CD" w:rsidP="0093623A">
            <w:pPr>
              <w:spacing w:before="80" w:after="80"/>
              <w:jc w:val="center"/>
              <w:rPr>
                <w:sz w:val="22"/>
                <w:szCs w:val="22"/>
              </w:rPr>
            </w:pPr>
            <w:r w:rsidRPr="007C36F3">
              <w:rPr>
                <w:sz w:val="22"/>
                <w:szCs w:val="22"/>
              </w:rPr>
              <w:t>$47.86</w:t>
            </w:r>
          </w:p>
        </w:tc>
        <w:tc>
          <w:tcPr>
            <w:tcW w:w="1706" w:type="dxa"/>
            <w:tcBorders>
              <w:top w:val="single" w:sz="4" w:space="0" w:color="auto"/>
            </w:tcBorders>
            <w:shd w:val="clear" w:color="auto" w:fill="auto"/>
          </w:tcPr>
          <w:p w14:paraId="527647A9" w14:textId="77777777" w:rsidR="005B19CD" w:rsidRPr="007C36F3" w:rsidRDefault="005B19CD" w:rsidP="002E53F5">
            <w:pPr>
              <w:tabs>
                <w:tab w:val="decimal" w:pos="1156"/>
              </w:tabs>
              <w:spacing w:before="80" w:after="80"/>
              <w:rPr>
                <w:sz w:val="22"/>
                <w:szCs w:val="22"/>
              </w:rPr>
            </w:pPr>
            <w:r w:rsidRPr="007C36F3">
              <w:rPr>
                <w:sz w:val="22"/>
                <w:szCs w:val="22"/>
              </w:rPr>
              <w:t>$</w:t>
            </w:r>
            <w:r w:rsidR="00E4614A">
              <w:rPr>
                <w:sz w:val="22"/>
                <w:szCs w:val="22"/>
              </w:rPr>
              <w:t xml:space="preserve"> 1,659</w:t>
            </w:r>
            <w:r w:rsidR="00331329">
              <w:rPr>
                <w:sz w:val="22"/>
                <w:szCs w:val="22"/>
              </w:rPr>
              <w:t>.31</w:t>
            </w:r>
          </w:p>
        </w:tc>
      </w:tr>
      <w:tr w:rsidR="005B19CD" w:rsidRPr="007C36F3" w14:paraId="1C5D54AC" w14:textId="77777777" w:rsidTr="002E53F5">
        <w:tc>
          <w:tcPr>
            <w:tcW w:w="4195" w:type="dxa"/>
            <w:shd w:val="clear" w:color="auto" w:fill="auto"/>
          </w:tcPr>
          <w:p w14:paraId="2C6C6D29" w14:textId="77777777" w:rsidR="005B19CD" w:rsidRPr="007C36F3" w:rsidRDefault="00600788" w:rsidP="0093623A">
            <w:pPr>
              <w:spacing w:before="80" w:after="80"/>
              <w:rPr>
                <w:noProof/>
                <w:sz w:val="22"/>
                <w:szCs w:val="22"/>
              </w:rPr>
            </w:pPr>
            <w:r w:rsidRPr="007C36F3">
              <w:rPr>
                <w:sz w:val="22"/>
                <w:szCs w:val="22"/>
              </w:rPr>
              <w:t xml:space="preserve">Two </w:t>
            </w:r>
            <w:r w:rsidR="005B19CD" w:rsidRPr="007C36F3">
              <w:rPr>
                <w:sz w:val="22"/>
                <w:szCs w:val="22"/>
              </w:rPr>
              <w:t>Public health advisor</w:t>
            </w:r>
            <w:r w:rsidRPr="007C36F3">
              <w:rPr>
                <w:sz w:val="22"/>
                <w:szCs w:val="22"/>
              </w:rPr>
              <w:t>s</w:t>
            </w:r>
            <w:r w:rsidR="005B19CD" w:rsidRPr="007C36F3">
              <w:rPr>
                <w:sz w:val="22"/>
                <w:szCs w:val="22"/>
              </w:rPr>
              <w:t xml:space="preserve"> (GS-13): project planning, management, OMB review, analysis of findings, and report writing</w:t>
            </w:r>
          </w:p>
        </w:tc>
        <w:tc>
          <w:tcPr>
            <w:tcW w:w="1969" w:type="dxa"/>
            <w:shd w:val="clear" w:color="auto" w:fill="auto"/>
          </w:tcPr>
          <w:p w14:paraId="56A48CCB" w14:textId="77777777" w:rsidR="005B19CD" w:rsidRPr="007C36F3" w:rsidDel="0069752D" w:rsidRDefault="00E4614A" w:rsidP="0093623A">
            <w:pPr>
              <w:spacing w:before="80" w:after="80"/>
              <w:jc w:val="center"/>
              <w:rPr>
                <w:sz w:val="22"/>
                <w:szCs w:val="22"/>
              </w:rPr>
            </w:pPr>
            <w:r>
              <w:rPr>
                <w:sz w:val="22"/>
                <w:szCs w:val="22"/>
              </w:rPr>
              <w:t>69.33</w:t>
            </w:r>
          </w:p>
        </w:tc>
        <w:tc>
          <w:tcPr>
            <w:tcW w:w="1706" w:type="dxa"/>
            <w:gridSpan w:val="3"/>
            <w:shd w:val="clear" w:color="auto" w:fill="auto"/>
          </w:tcPr>
          <w:p w14:paraId="01BA2BDB" w14:textId="77777777" w:rsidR="005B19CD" w:rsidRPr="007C36F3" w:rsidRDefault="005B19CD" w:rsidP="0093623A">
            <w:pPr>
              <w:spacing w:before="80" w:after="80"/>
              <w:jc w:val="center"/>
              <w:rPr>
                <w:sz w:val="22"/>
                <w:szCs w:val="22"/>
              </w:rPr>
            </w:pPr>
            <w:r w:rsidRPr="007C36F3">
              <w:rPr>
                <w:sz w:val="22"/>
                <w:szCs w:val="22"/>
              </w:rPr>
              <w:t>$39.31</w:t>
            </w:r>
          </w:p>
        </w:tc>
        <w:tc>
          <w:tcPr>
            <w:tcW w:w="1706" w:type="dxa"/>
            <w:shd w:val="clear" w:color="auto" w:fill="auto"/>
          </w:tcPr>
          <w:p w14:paraId="5E311772" w14:textId="77777777" w:rsidR="005B19CD" w:rsidRPr="007C36F3" w:rsidRDefault="005B19CD" w:rsidP="002E53F5">
            <w:pPr>
              <w:tabs>
                <w:tab w:val="decimal" w:pos="1156"/>
              </w:tabs>
              <w:spacing w:before="80" w:after="80"/>
              <w:rPr>
                <w:sz w:val="22"/>
                <w:szCs w:val="22"/>
              </w:rPr>
            </w:pPr>
            <w:r w:rsidRPr="007C36F3">
              <w:rPr>
                <w:sz w:val="22"/>
                <w:szCs w:val="22"/>
              </w:rPr>
              <w:t>$</w:t>
            </w:r>
            <w:r w:rsidR="00E4614A">
              <w:rPr>
                <w:sz w:val="22"/>
                <w:szCs w:val="22"/>
              </w:rPr>
              <w:t xml:space="preserve"> 2,725.3</w:t>
            </w:r>
            <w:r w:rsidR="00331329">
              <w:rPr>
                <w:sz w:val="22"/>
                <w:szCs w:val="22"/>
              </w:rPr>
              <w:t>6</w:t>
            </w:r>
          </w:p>
        </w:tc>
      </w:tr>
      <w:tr w:rsidR="005B19CD" w:rsidRPr="007C36F3" w14:paraId="5DD80975" w14:textId="77777777" w:rsidTr="002E53F5">
        <w:tc>
          <w:tcPr>
            <w:tcW w:w="4195" w:type="dxa"/>
            <w:shd w:val="clear" w:color="auto" w:fill="auto"/>
          </w:tcPr>
          <w:p w14:paraId="43861650" w14:textId="77777777" w:rsidR="005B19CD" w:rsidRPr="007C36F3" w:rsidRDefault="005B19CD" w:rsidP="0093623A">
            <w:pPr>
              <w:spacing w:before="80" w:after="80"/>
              <w:rPr>
                <w:sz w:val="22"/>
                <w:szCs w:val="22"/>
              </w:rPr>
            </w:pPr>
            <w:r w:rsidRPr="007C36F3">
              <w:rPr>
                <w:sz w:val="22"/>
                <w:szCs w:val="22"/>
              </w:rPr>
              <w:t xml:space="preserve">External Contractor, RTI: instrument development, OMB package preparation, data collection, coding and entry, quality control, data analysis, and report writing for the </w:t>
            </w:r>
            <w:r w:rsidR="00E16FE7" w:rsidRPr="007C36F3">
              <w:rPr>
                <w:sz w:val="22"/>
                <w:szCs w:val="22"/>
              </w:rPr>
              <w:t>Web</w:t>
            </w:r>
            <w:r w:rsidRPr="007C36F3">
              <w:rPr>
                <w:sz w:val="22"/>
                <w:szCs w:val="22"/>
              </w:rPr>
              <w:t>-based surveys and semi</w:t>
            </w:r>
            <w:r w:rsidR="00256E12">
              <w:rPr>
                <w:sz w:val="22"/>
                <w:szCs w:val="22"/>
              </w:rPr>
              <w:t>-</w:t>
            </w:r>
            <w:r w:rsidRPr="007C36F3">
              <w:rPr>
                <w:sz w:val="22"/>
                <w:szCs w:val="22"/>
              </w:rPr>
              <w:t>structured telephone interviews. Dissemination of preliminary and final findings.</w:t>
            </w:r>
          </w:p>
        </w:tc>
        <w:tc>
          <w:tcPr>
            <w:tcW w:w="1969" w:type="dxa"/>
            <w:shd w:val="clear" w:color="auto" w:fill="BFBFBF"/>
          </w:tcPr>
          <w:p w14:paraId="0A12CE03" w14:textId="77777777" w:rsidR="005B19CD" w:rsidRPr="007C36F3" w:rsidRDefault="005B19CD" w:rsidP="0093623A">
            <w:pPr>
              <w:spacing w:before="80" w:after="80"/>
              <w:jc w:val="center"/>
              <w:rPr>
                <w:sz w:val="22"/>
                <w:szCs w:val="22"/>
              </w:rPr>
            </w:pPr>
          </w:p>
        </w:tc>
        <w:tc>
          <w:tcPr>
            <w:tcW w:w="1706" w:type="dxa"/>
            <w:gridSpan w:val="3"/>
            <w:shd w:val="clear" w:color="auto" w:fill="BFBFBF"/>
          </w:tcPr>
          <w:p w14:paraId="0E75FF7E" w14:textId="77777777" w:rsidR="005B19CD" w:rsidRPr="007C36F3" w:rsidRDefault="005B19CD" w:rsidP="0093623A">
            <w:pPr>
              <w:spacing w:before="80" w:after="80"/>
              <w:jc w:val="center"/>
              <w:rPr>
                <w:sz w:val="22"/>
                <w:szCs w:val="22"/>
              </w:rPr>
            </w:pPr>
          </w:p>
        </w:tc>
        <w:tc>
          <w:tcPr>
            <w:tcW w:w="1706" w:type="dxa"/>
            <w:shd w:val="clear" w:color="auto" w:fill="auto"/>
          </w:tcPr>
          <w:p w14:paraId="5FD7334D" w14:textId="77777777" w:rsidR="005B19CD" w:rsidRPr="007C36F3" w:rsidRDefault="005B19CD" w:rsidP="002E53F5">
            <w:pPr>
              <w:tabs>
                <w:tab w:val="decimal" w:pos="1156"/>
              </w:tabs>
              <w:spacing w:before="80" w:after="80"/>
              <w:rPr>
                <w:sz w:val="22"/>
                <w:szCs w:val="22"/>
              </w:rPr>
            </w:pPr>
            <w:r w:rsidRPr="007C36F3">
              <w:rPr>
                <w:sz w:val="22"/>
                <w:szCs w:val="22"/>
              </w:rPr>
              <w:t>$</w:t>
            </w:r>
            <w:r w:rsidR="00E4614A">
              <w:rPr>
                <w:b/>
                <w:bCs/>
                <w:sz w:val="22"/>
                <w:szCs w:val="22"/>
              </w:rPr>
              <w:t xml:space="preserve"> 49,975.67</w:t>
            </w:r>
          </w:p>
        </w:tc>
      </w:tr>
      <w:tr w:rsidR="005B19CD" w:rsidRPr="007C36F3" w14:paraId="6371FC4D" w14:textId="77777777" w:rsidTr="002E53F5">
        <w:trPr>
          <w:trHeight w:val="332"/>
        </w:trPr>
        <w:tc>
          <w:tcPr>
            <w:tcW w:w="7398" w:type="dxa"/>
            <w:gridSpan w:val="3"/>
            <w:shd w:val="clear" w:color="auto" w:fill="auto"/>
            <w:vAlign w:val="center"/>
          </w:tcPr>
          <w:p w14:paraId="43EFAA57" w14:textId="77777777" w:rsidR="005B19CD" w:rsidRPr="007C36F3" w:rsidRDefault="005B19CD" w:rsidP="0093623A">
            <w:pPr>
              <w:spacing w:before="80" w:after="80"/>
              <w:jc w:val="right"/>
              <w:rPr>
                <w:b/>
                <w:sz w:val="22"/>
                <w:szCs w:val="22"/>
              </w:rPr>
            </w:pPr>
            <w:r w:rsidRPr="007C36F3">
              <w:rPr>
                <w:b/>
                <w:sz w:val="22"/>
                <w:szCs w:val="22"/>
              </w:rPr>
              <w:t>Estimated Annualized Total Cost of Information Collection</w:t>
            </w:r>
          </w:p>
        </w:tc>
        <w:tc>
          <w:tcPr>
            <w:tcW w:w="236" w:type="dxa"/>
            <w:shd w:val="clear" w:color="auto" w:fill="auto"/>
            <w:vAlign w:val="center"/>
          </w:tcPr>
          <w:p w14:paraId="5C66A777" w14:textId="77777777" w:rsidR="005B19CD" w:rsidRPr="007C36F3" w:rsidRDefault="005B19CD" w:rsidP="0093623A">
            <w:pPr>
              <w:spacing w:before="80" w:after="80"/>
              <w:rPr>
                <w:b/>
                <w:sz w:val="22"/>
                <w:szCs w:val="22"/>
              </w:rPr>
            </w:pPr>
          </w:p>
        </w:tc>
        <w:tc>
          <w:tcPr>
            <w:tcW w:w="236" w:type="dxa"/>
            <w:shd w:val="clear" w:color="auto" w:fill="auto"/>
            <w:vAlign w:val="center"/>
          </w:tcPr>
          <w:p w14:paraId="69337498" w14:textId="77777777" w:rsidR="005B19CD" w:rsidRPr="007C36F3" w:rsidRDefault="005B19CD" w:rsidP="0093623A">
            <w:pPr>
              <w:spacing w:before="80" w:after="80"/>
              <w:rPr>
                <w:b/>
                <w:sz w:val="22"/>
                <w:szCs w:val="22"/>
              </w:rPr>
            </w:pPr>
          </w:p>
        </w:tc>
        <w:tc>
          <w:tcPr>
            <w:tcW w:w="1706" w:type="dxa"/>
            <w:shd w:val="clear" w:color="auto" w:fill="auto"/>
          </w:tcPr>
          <w:p w14:paraId="760CC86D" w14:textId="77777777" w:rsidR="005B19CD" w:rsidRPr="007C36F3" w:rsidRDefault="005B19CD" w:rsidP="002E53F5">
            <w:pPr>
              <w:tabs>
                <w:tab w:val="decimal" w:pos="1156"/>
              </w:tabs>
              <w:spacing w:before="80" w:after="80"/>
              <w:rPr>
                <w:b/>
                <w:sz w:val="22"/>
                <w:szCs w:val="22"/>
              </w:rPr>
            </w:pPr>
            <w:r w:rsidRPr="007C36F3">
              <w:rPr>
                <w:b/>
                <w:sz w:val="22"/>
                <w:szCs w:val="22"/>
              </w:rPr>
              <w:t>$</w:t>
            </w:r>
            <w:r w:rsidR="00E4614A">
              <w:rPr>
                <w:b/>
                <w:sz w:val="22"/>
                <w:szCs w:val="22"/>
              </w:rPr>
              <w:t>54,360</w:t>
            </w:r>
            <w:r w:rsidR="00331329">
              <w:rPr>
                <w:b/>
                <w:sz w:val="22"/>
                <w:szCs w:val="22"/>
              </w:rPr>
              <w:t>.34</w:t>
            </w:r>
          </w:p>
        </w:tc>
      </w:tr>
    </w:tbl>
    <w:p w14:paraId="26E8F5CF" w14:textId="77777777" w:rsidR="005B19CD" w:rsidRPr="007C36F3" w:rsidRDefault="005B19CD" w:rsidP="002E53F5">
      <w:pPr>
        <w:pStyle w:val="exhibitsource"/>
        <w:rPr>
          <w:rStyle w:val="Emphasis"/>
        </w:rPr>
      </w:pPr>
    </w:p>
    <w:p w14:paraId="522AC5E3" w14:textId="77777777" w:rsidR="005B19CD" w:rsidRDefault="005B19CD" w:rsidP="006A5700">
      <w:pPr>
        <w:pStyle w:val="Heading2"/>
        <w:spacing w:before="0" w:after="0"/>
        <w:ind w:left="0" w:firstLine="0"/>
        <w:rPr>
          <w:b w:val="0"/>
          <w:u w:val="single"/>
        </w:rPr>
      </w:pPr>
      <w:bookmarkStart w:id="23" w:name="_Toc475699045"/>
      <w:r w:rsidRPr="00AC2E84">
        <w:rPr>
          <w:b w:val="0"/>
        </w:rPr>
        <w:t>15.</w:t>
      </w:r>
      <w:r w:rsidRPr="00AC2E84">
        <w:rPr>
          <w:b w:val="0"/>
        </w:rPr>
        <w:tab/>
      </w:r>
      <w:r w:rsidRPr="00AC2E84">
        <w:rPr>
          <w:b w:val="0"/>
          <w:u w:val="single"/>
        </w:rPr>
        <w:t>Explanation for Program Changes or Adjustments</w:t>
      </w:r>
      <w:bookmarkEnd w:id="23"/>
    </w:p>
    <w:p w14:paraId="4DF67E70" w14:textId="77777777" w:rsidR="006A5700" w:rsidRPr="006A5700" w:rsidRDefault="006A5700" w:rsidP="006A5700"/>
    <w:p w14:paraId="045D7AE3" w14:textId="77777777" w:rsidR="005B19CD" w:rsidRDefault="005B19CD" w:rsidP="006A5700">
      <w:pPr>
        <w:pStyle w:val="BodyText2"/>
        <w:spacing w:after="0" w:line="240" w:lineRule="auto"/>
        <w:rPr>
          <w:lang w:val="en-CA"/>
        </w:rPr>
      </w:pPr>
      <w:r w:rsidRPr="007C36F3">
        <w:rPr>
          <w:lang w:val="en-CA"/>
        </w:rPr>
        <w:t>This is a new information collection.</w:t>
      </w:r>
    </w:p>
    <w:p w14:paraId="11401508" w14:textId="77777777" w:rsidR="006A5700" w:rsidRPr="007C36F3" w:rsidRDefault="006A5700" w:rsidP="006A5700">
      <w:pPr>
        <w:pStyle w:val="BodyText2"/>
        <w:spacing w:after="0" w:line="240" w:lineRule="auto"/>
        <w:rPr>
          <w:lang w:val="en-CA"/>
        </w:rPr>
      </w:pPr>
    </w:p>
    <w:p w14:paraId="6273A115" w14:textId="77777777" w:rsidR="005B19CD" w:rsidRDefault="00AC2E84" w:rsidP="006A5700">
      <w:pPr>
        <w:pStyle w:val="Heading2"/>
        <w:spacing w:before="0" w:after="0"/>
        <w:rPr>
          <w:b w:val="0"/>
          <w:u w:val="single"/>
        </w:rPr>
      </w:pPr>
      <w:bookmarkStart w:id="24" w:name="_Toc475699046"/>
      <w:r w:rsidRPr="00AC2E84">
        <w:rPr>
          <w:b w:val="0"/>
        </w:rPr>
        <w:t>16.</w:t>
      </w:r>
      <w:r w:rsidR="005B19CD" w:rsidRPr="007C36F3">
        <w:tab/>
      </w:r>
      <w:r w:rsidR="005B19CD" w:rsidRPr="0003199C">
        <w:rPr>
          <w:b w:val="0"/>
          <w:u w:val="single"/>
        </w:rPr>
        <w:t>Plans for Tabulation and Publication and Project Time Schedule</w:t>
      </w:r>
      <w:bookmarkEnd w:id="24"/>
    </w:p>
    <w:p w14:paraId="08F77FEB" w14:textId="77777777" w:rsidR="006A5700" w:rsidRPr="006A5700" w:rsidRDefault="006A5700" w:rsidP="006A5700"/>
    <w:p w14:paraId="19F31352" w14:textId="77777777" w:rsidR="005B19CD" w:rsidRDefault="005C01DB" w:rsidP="00AC2E84">
      <w:pPr>
        <w:pStyle w:val="Heading3"/>
        <w:spacing w:before="0" w:after="0"/>
      </w:pPr>
      <w:bookmarkStart w:id="25" w:name="_Toc475699047"/>
      <w:r w:rsidRPr="007C36F3">
        <w:t>A.16.1</w:t>
      </w:r>
      <w:r w:rsidRPr="007C36F3">
        <w:tab/>
      </w:r>
      <w:r w:rsidR="005B19CD" w:rsidRPr="007C36F3">
        <w:t>Plans for Tabulation/Data Analysis</w:t>
      </w:r>
      <w:bookmarkEnd w:id="25"/>
    </w:p>
    <w:p w14:paraId="1D38E611" w14:textId="77777777" w:rsidR="00C00AA9" w:rsidRPr="00C00AA9" w:rsidRDefault="00C00AA9" w:rsidP="00C00AA9">
      <w:pPr>
        <w:rPr>
          <w:lang w:val="en-CA"/>
        </w:rPr>
      </w:pPr>
    </w:p>
    <w:p w14:paraId="2ADED346" w14:textId="77777777" w:rsidR="005B19CD" w:rsidRDefault="005B19CD" w:rsidP="00AC2E84">
      <w:pPr>
        <w:pStyle w:val="BodyText2"/>
        <w:spacing w:after="0" w:line="240" w:lineRule="auto"/>
      </w:pPr>
      <w:r w:rsidRPr="007C36F3">
        <w:t>Survey and interview data will be securely maintained on RTI’s server, which is only accessible to the authorized staff. Quantitative survey data will be analyzed using descriptive statistics. Qualitative data will be coded and summarized by key themes using qualitative analysis software.</w:t>
      </w:r>
    </w:p>
    <w:p w14:paraId="415BE7A4" w14:textId="77777777" w:rsidR="00C00AA9" w:rsidRPr="007C36F3" w:rsidRDefault="00C00AA9" w:rsidP="00AC2E84">
      <w:pPr>
        <w:pStyle w:val="BodyText2"/>
        <w:spacing w:after="0" w:line="240" w:lineRule="auto"/>
      </w:pPr>
    </w:p>
    <w:p w14:paraId="7DD255CB" w14:textId="77777777" w:rsidR="005B19CD" w:rsidRDefault="005C01DB" w:rsidP="00AC2E84">
      <w:pPr>
        <w:pStyle w:val="Heading3"/>
        <w:spacing w:before="0" w:after="0"/>
      </w:pPr>
      <w:bookmarkStart w:id="26" w:name="_Toc475699048"/>
      <w:r w:rsidRPr="007C36F3">
        <w:t>A.16.2</w:t>
      </w:r>
      <w:r w:rsidRPr="007C36F3">
        <w:tab/>
      </w:r>
      <w:r w:rsidR="005B19CD" w:rsidRPr="007C36F3">
        <w:t>Plans for Publication</w:t>
      </w:r>
      <w:bookmarkEnd w:id="26"/>
    </w:p>
    <w:p w14:paraId="09323713" w14:textId="77777777" w:rsidR="00C00AA9" w:rsidRPr="00C00AA9" w:rsidRDefault="00C00AA9" w:rsidP="00C00AA9">
      <w:pPr>
        <w:rPr>
          <w:lang w:val="en-CA"/>
        </w:rPr>
      </w:pPr>
    </w:p>
    <w:p w14:paraId="66777DC9" w14:textId="27DC380F" w:rsidR="005B19CD" w:rsidRDefault="005B6FFB" w:rsidP="00AC2E84">
      <w:pPr>
        <w:pStyle w:val="BodyText2"/>
        <w:spacing w:after="0" w:line="240" w:lineRule="auto"/>
      </w:pPr>
      <w:r>
        <w:t xml:space="preserve">Respondents will be made aware that their </w:t>
      </w:r>
      <w:r w:rsidR="00C84264">
        <w:t xml:space="preserve">deidentified </w:t>
      </w:r>
      <w:r>
        <w:t xml:space="preserve">responses will be made public via future reports, presentations, and manuscript submission to a peer-reviewed journal. We will include in future materials and publications that these data are based on a small, predominately qualitative study and thus are not generalizable. </w:t>
      </w:r>
    </w:p>
    <w:p w14:paraId="11217678" w14:textId="77777777" w:rsidR="00C00AA9" w:rsidRPr="007C36F3" w:rsidRDefault="00C00AA9" w:rsidP="00AC2E84">
      <w:pPr>
        <w:pStyle w:val="BodyText2"/>
        <w:spacing w:after="0" w:line="240" w:lineRule="auto"/>
      </w:pPr>
    </w:p>
    <w:p w14:paraId="4BCA8307" w14:textId="77777777" w:rsidR="005B19CD" w:rsidRPr="007C36F3" w:rsidRDefault="005B19CD" w:rsidP="00AC2E84">
      <w:pPr>
        <w:pStyle w:val="BodyText2"/>
        <w:spacing w:after="0" w:line="240" w:lineRule="auto"/>
      </w:pPr>
      <w:r w:rsidRPr="007C36F3">
        <w:t xml:space="preserve">CDC’s timeline is outlined below. CDC’s contract with the </w:t>
      </w:r>
      <w:r w:rsidR="006F5CE5">
        <w:t>assessment</w:t>
      </w:r>
      <w:r w:rsidRPr="007C36F3">
        <w:t xml:space="preserve"> contractor ends March 2</w:t>
      </w:r>
      <w:r w:rsidR="000E76D5">
        <w:t>5</w:t>
      </w:r>
      <w:r w:rsidRPr="007C36F3">
        <w:t>, 20</w:t>
      </w:r>
      <w:r w:rsidR="000E76D5">
        <w:t>20</w:t>
      </w:r>
      <w:r w:rsidRPr="007C36F3">
        <w:t xml:space="preserve"> (Option Years included). </w:t>
      </w:r>
    </w:p>
    <w:p w14:paraId="33118E8B" w14:textId="77777777" w:rsidR="005C01DB" w:rsidRPr="007C36F3" w:rsidRDefault="005C01DB" w:rsidP="005C01DB">
      <w:pPr>
        <w:pStyle w:val="FigureTitle"/>
      </w:pPr>
      <w:bookmarkStart w:id="27" w:name="_Toc475699364"/>
      <w:r w:rsidRPr="007C36F3">
        <w:t xml:space="preserve">Exhibit </w:t>
      </w:r>
      <w:r w:rsidR="00D83F6E" w:rsidRPr="007C36F3">
        <w:t xml:space="preserve">4. </w:t>
      </w:r>
      <w:r w:rsidRPr="007C36F3">
        <w:t>Data Collection Time Schedule</w:t>
      </w:r>
      <w:bookmarkEnd w:id="27"/>
      <w:r w:rsidR="008544D6">
        <w:t>\</w:t>
      </w:r>
    </w:p>
    <w:tbl>
      <w:tblPr>
        <w:tblW w:w="5000" w:type="pct"/>
        <w:tblBorders>
          <w:top w:val="single" w:sz="12" w:space="0" w:color="auto"/>
          <w:bottom w:val="single" w:sz="12" w:space="0" w:color="auto"/>
        </w:tblBorders>
        <w:tblLook w:val="01E0" w:firstRow="1" w:lastRow="1" w:firstColumn="1" w:lastColumn="1" w:noHBand="0" w:noVBand="0"/>
      </w:tblPr>
      <w:tblGrid>
        <w:gridCol w:w="6678"/>
        <w:gridCol w:w="2898"/>
      </w:tblGrid>
      <w:tr w:rsidR="005B19CD" w:rsidRPr="007C36F3" w14:paraId="6282FCF2" w14:textId="77777777" w:rsidTr="005C01DB">
        <w:tc>
          <w:tcPr>
            <w:tcW w:w="6678" w:type="dxa"/>
            <w:tcBorders>
              <w:top w:val="single" w:sz="12" w:space="0" w:color="auto"/>
              <w:bottom w:val="single" w:sz="4" w:space="0" w:color="auto"/>
            </w:tcBorders>
          </w:tcPr>
          <w:p w14:paraId="43962CA8" w14:textId="77777777" w:rsidR="005B19CD" w:rsidRPr="007C36F3" w:rsidRDefault="005B19CD" w:rsidP="005C01DB">
            <w:pPr>
              <w:spacing w:before="80" w:after="80"/>
              <w:rPr>
                <w:b/>
                <w:sz w:val="22"/>
                <w:szCs w:val="22"/>
              </w:rPr>
            </w:pPr>
            <w:r w:rsidRPr="007C36F3">
              <w:rPr>
                <w:b/>
                <w:sz w:val="22"/>
                <w:szCs w:val="22"/>
              </w:rPr>
              <w:t>Activity</w:t>
            </w:r>
          </w:p>
        </w:tc>
        <w:tc>
          <w:tcPr>
            <w:tcW w:w="2898" w:type="dxa"/>
            <w:tcBorders>
              <w:top w:val="single" w:sz="12" w:space="0" w:color="auto"/>
              <w:bottom w:val="single" w:sz="4" w:space="0" w:color="auto"/>
            </w:tcBorders>
          </w:tcPr>
          <w:p w14:paraId="733C11C7" w14:textId="77777777" w:rsidR="005B19CD" w:rsidRPr="007C36F3" w:rsidRDefault="005B19CD" w:rsidP="005C01DB">
            <w:pPr>
              <w:spacing w:before="80" w:after="80"/>
              <w:rPr>
                <w:b/>
                <w:sz w:val="22"/>
                <w:szCs w:val="22"/>
              </w:rPr>
            </w:pPr>
            <w:r w:rsidRPr="007C36F3">
              <w:rPr>
                <w:b/>
                <w:sz w:val="22"/>
                <w:szCs w:val="22"/>
              </w:rPr>
              <w:t>Time Schedule</w:t>
            </w:r>
          </w:p>
        </w:tc>
      </w:tr>
      <w:tr w:rsidR="005B19CD" w:rsidRPr="007C36F3" w14:paraId="22283414" w14:textId="77777777" w:rsidTr="005C01DB">
        <w:tc>
          <w:tcPr>
            <w:tcW w:w="6678" w:type="dxa"/>
            <w:tcBorders>
              <w:top w:val="single" w:sz="4" w:space="0" w:color="auto"/>
            </w:tcBorders>
          </w:tcPr>
          <w:p w14:paraId="562EC148" w14:textId="77777777" w:rsidR="005B19CD" w:rsidRPr="007C36F3" w:rsidRDefault="005B19CD" w:rsidP="005C01DB">
            <w:pPr>
              <w:spacing w:before="80" w:after="80"/>
              <w:rPr>
                <w:sz w:val="22"/>
                <w:szCs w:val="22"/>
              </w:rPr>
            </w:pPr>
            <w:r w:rsidRPr="007C36F3">
              <w:rPr>
                <w:sz w:val="22"/>
                <w:szCs w:val="22"/>
              </w:rPr>
              <w:t xml:space="preserve">Distribute invitation/introduction </w:t>
            </w:r>
            <w:r w:rsidR="00C02276" w:rsidRPr="007C36F3">
              <w:rPr>
                <w:sz w:val="22"/>
                <w:szCs w:val="22"/>
              </w:rPr>
              <w:t>e-mail</w:t>
            </w:r>
            <w:r w:rsidRPr="007C36F3">
              <w:rPr>
                <w:sz w:val="22"/>
                <w:szCs w:val="22"/>
              </w:rPr>
              <w:t xml:space="preserve"> with link to relevant </w:t>
            </w:r>
            <w:r w:rsidR="00E16FE7" w:rsidRPr="007C36F3">
              <w:rPr>
                <w:sz w:val="22"/>
                <w:szCs w:val="22"/>
              </w:rPr>
              <w:t>Web</w:t>
            </w:r>
            <w:r w:rsidRPr="007C36F3">
              <w:rPr>
                <w:sz w:val="22"/>
                <w:szCs w:val="22"/>
              </w:rPr>
              <w:t>-based survey</w:t>
            </w:r>
          </w:p>
        </w:tc>
        <w:tc>
          <w:tcPr>
            <w:tcW w:w="2898" w:type="dxa"/>
            <w:tcBorders>
              <w:top w:val="single" w:sz="4" w:space="0" w:color="auto"/>
            </w:tcBorders>
          </w:tcPr>
          <w:p w14:paraId="5AB9BA2D" w14:textId="77777777" w:rsidR="005B19CD" w:rsidRPr="007C36F3" w:rsidRDefault="00E4614A" w:rsidP="005C01DB">
            <w:pPr>
              <w:spacing w:before="80" w:after="80"/>
              <w:rPr>
                <w:sz w:val="22"/>
                <w:szCs w:val="22"/>
              </w:rPr>
            </w:pPr>
            <w:r>
              <w:rPr>
                <w:sz w:val="22"/>
                <w:szCs w:val="22"/>
              </w:rPr>
              <w:t xml:space="preserve">September </w:t>
            </w:r>
            <w:r w:rsidR="006F5CE5">
              <w:rPr>
                <w:sz w:val="22"/>
                <w:szCs w:val="22"/>
              </w:rPr>
              <w:t>2018</w:t>
            </w:r>
          </w:p>
        </w:tc>
      </w:tr>
      <w:tr w:rsidR="005B19CD" w:rsidRPr="007C36F3" w14:paraId="1AD4E961" w14:textId="77777777" w:rsidTr="005C01DB">
        <w:tc>
          <w:tcPr>
            <w:tcW w:w="6678" w:type="dxa"/>
          </w:tcPr>
          <w:p w14:paraId="7B62B409" w14:textId="77777777" w:rsidR="005B19CD" w:rsidRPr="007C36F3" w:rsidRDefault="005B19CD" w:rsidP="005C01DB">
            <w:pPr>
              <w:spacing w:before="80" w:after="80"/>
              <w:rPr>
                <w:sz w:val="22"/>
                <w:szCs w:val="22"/>
              </w:rPr>
            </w:pPr>
            <w:r w:rsidRPr="007C36F3">
              <w:rPr>
                <w:sz w:val="22"/>
                <w:szCs w:val="22"/>
              </w:rPr>
              <w:t xml:space="preserve">Distribute invitation/introduction </w:t>
            </w:r>
            <w:r w:rsidR="00C02276" w:rsidRPr="007C36F3">
              <w:rPr>
                <w:sz w:val="22"/>
                <w:szCs w:val="22"/>
              </w:rPr>
              <w:t>e-mail</w:t>
            </w:r>
            <w:r w:rsidRPr="007C36F3">
              <w:rPr>
                <w:sz w:val="22"/>
                <w:szCs w:val="22"/>
              </w:rPr>
              <w:t xml:space="preserve"> to schedule semi</w:t>
            </w:r>
            <w:r w:rsidR="00AC2E84">
              <w:rPr>
                <w:sz w:val="22"/>
                <w:szCs w:val="22"/>
              </w:rPr>
              <w:t>-</w:t>
            </w:r>
            <w:r w:rsidRPr="007C36F3">
              <w:rPr>
                <w:sz w:val="22"/>
                <w:szCs w:val="22"/>
              </w:rPr>
              <w:t>structured telephone interview</w:t>
            </w:r>
          </w:p>
        </w:tc>
        <w:tc>
          <w:tcPr>
            <w:tcW w:w="2898" w:type="dxa"/>
          </w:tcPr>
          <w:p w14:paraId="14A1B622" w14:textId="77777777" w:rsidR="005B19CD" w:rsidRPr="007C36F3" w:rsidRDefault="00E4614A" w:rsidP="005C01DB">
            <w:pPr>
              <w:spacing w:before="80" w:after="80"/>
              <w:rPr>
                <w:sz w:val="22"/>
                <w:szCs w:val="22"/>
              </w:rPr>
            </w:pPr>
            <w:r>
              <w:rPr>
                <w:sz w:val="22"/>
                <w:szCs w:val="22"/>
              </w:rPr>
              <w:t xml:space="preserve">September </w:t>
            </w:r>
            <w:r w:rsidR="006F5CE5">
              <w:rPr>
                <w:sz w:val="22"/>
                <w:szCs w:val="22"/>
              </w:rPr>
              <w:t>2018</w:t>
            </w:r>
          </w:p>
        </w:tc>
      </w:tr>
      <w:tr w:rsidR="005B19CD" w:rsidRPr="007C36F3" w14:paraId="48F58B99" w14:textId="77777777" w:rsidTr="005C01DB">
        <w:tc>
          <w:tcPr>
            <w:tcW w:w="6678" w:type="dxa"/>
          </w:tcPr>
          <w:p w14:paraId="7509FC76" w14:textId="77777777" w:rsidR="005B19CD" w:rsidRPr="007C36F3" w:rsidRDefault="005B19CD" w:rsidP="005C01DB">
            <w:pPr>
              <w:spacing w:before="80" w:after="80"/>
              <w:rPr>
                <w:sz w:val="22"/>
                <w:szCs w:val="22"/>
              </w:rPr>
            </w:pPr>
            <w:r w:rsidRPr="007C36F3">
              <w:rPr>
                <w:sz w:val="22"/>
                <w:szCs w:val="22"/>
              </w:rPr>
              <w:t>Complete Wave 1 collection</w:t>
            </w:r>
          </w:p>
        </w:tc>
        <w:tc>
          <w:tcPr>
            <w:tcW w:w="2898" w:type="dxa"/>
          </w:tcPr>
          <w:p w14:paraId="1B272CFC" w14:textId="77777777" w:rsidR="005B19CD" w:rsidRPr="007C36F3" w:rsidRDefault="00E4614A" w:rsidP="005C01DB">
            <w:pPr>
              <w:spacing w:before="80" w:after="80"/>
              <w:rPr>
                <w:sz w:val="22"/>
                <w:szCs w:val="22"/>
              </w:rPr>
            </w:pPr>
            <w:r>
              <w:rPr>
                <w:sz w:val="22"/>
                <w:szCs w:val="22"/>
              </w:rPr>
              <w:t>September</w:t>
            </w:r>
            <w:r w:rsidR="006F5CE5">
              <w:rPr>
                <w:sz w:val="22"/>
                <w:szCs w:val="22"/>
              </w:rPr>
              <w:t>-</w:t>
            </w:r>
            <w:r>
              <w:rPr>
                <w:sz w:val="22"/>
                <w:szCs w:val="22"/>
              </w:rPr>
              <w:t xml:space="preserve">November </w:t>
            </w:r>
            <w:r w:rsidR="006F5CE5">
              <w:rPr>
                <w:sz w:val="22"/>
                <w:szCs w:val="22"/>
              </w:rPr>
              <w:t>2018</w:t>
            </w:r>
          </w:p>
        </w:tc>
      </w:tr>
      <w:tr w:rsidR="005B19CD" w:rsidRPr="007C36F3" w14:paraId="548DED39" w14:textId="77777777" w:rsidTr="005C01DB">
        <w:tc>
          <w:tcPr>
            <w:tcW w:w="6678" w:type="dxa"/>
          </w:tcPr>
          <w:p w14:paraId="0EF95470" w14:textId="77777777" w:rsidR="005B19CD" w:rsidRPr="007C36F3" w:rsidRDefault="005B19CD" w:rsidP="005C01DB">
            <w:pPr>
              <w:spacing w:before="80" w:after="80"/>
              <w:rPr>
                <w:sz w:val="22"/>
                <w:szCs w:val="22"/>
              </w:rPr>
            </w:pPr>
            <w:r w:rsidRPr="007C36F3">
              <w:rPr>
                <w:sz w:val="22"/>
                <w:szCs w:val="22"/>
              </w:rPr>
              <w:t>Complete Wave 1 data analyses (Contractor)</w:t>
            </w:r>
          </w:p>
        </w:tc>
        <w:tc>
          <w:tcPr>
            <w:tcW w:w="2898" w:type="dxa"/>
          </w:tcPr>
          <w:p w14:paraId="0E28F6BA" w14:textId="77777777" w:rsidR="005B19CD" w:rsidRPr="007C36F3" w:rsidRDefault="00E4614A" w:rsidP="00D52A9B">
            <w:pPr>
              <w:spacing w:before="80" w:after="80"/>
              <w:rPr>
                <w:sz w:val="22"/>
                <w:szCs w:val="22"/>
              </w:rPr>
            </w:pPr>
            <w:r>
              <w:rPr>
                <w:sz w:val="22"/>
                <w:szCs w:val="22"/>
              </w:rPr>
              <w:t>December 2018</w:t>
            </w:r>
            <w:r w:rsidR="006F5CE5">
              <w:rPr>
                <w:sz w:val="22"/>
                <w:szCs w:val="22"/>
              </w:rPr>
              <w:t>-</w:t>
            </w:r>
            <w:r>
              <w:rPr>
                <w:sz w:val="22"/>
                <w:szCs w:val="22"/>
              </w:rPr>
              <w:t xml:space="preserve">January </w:t>
            </w:r>
            <w:r w:rsidR="006F5CE5">
              <w:rPr>
                <w:sz w:val="22"/>
                <w:szCs w:val="22"/>
              </w:rPr>
              <w:t>201</w:t>
            </w:r>
            <w:r>
              <w:rPr>
                <w:sz w:val="22"/>
                <w:szCs w:val="22"/>
              </w:rPr>
              <w:t>9</w:t>
            </w:r>
          </w:p>
        </w:tc>
      </w:tr>
      <w:tr w:rsidR="005B19CD" w:rsidRPr="007C36F3" w14:paraId="75F4567E" w14:textId="77777777" w:rsidTr="005C01DB">
        <w:tc>
          <w:tcPr>
            <w:tcW w:w="6678" w:type="dxa"/>
          </w:tcPr>
          <w:p w14:paraId="63D291A0" w14:textId="77777777" w:rsidR="005B19CD" w:rsidRPr="007C36F3" w:rsidRDefault="005B19CD" w:rsidP="005C01DB">
            <w:pPr>
              <w:spacing w:before="80" w:after="80"/>
              <w:rPr>
                <w:sz w:val="22"/>
                <w:szCs w:val="22"/>
              </w:rPr>
            </w:pPr>
            <w:r w:rsidRPr="007C36F3">
              <w:rPr>
                <w:sz w:val="22"/>
                <w:szCs w:val="22"/>
              </w:rPr>
              <w:t>Report initial findings to CDC</w:t>
            </w:r>
          </w:p>
        </w:tc>
        <w:tc>
          <w:tcPr>
            <w:tcW w:w="2898" w:type="dxa"/>
          </w:tcPr>
          <w:p w14:paraId="202992E0" w14:textId="77777777" w:rsidR="005B19CD" w:rsidRPr="007C36F3" w:rsidRDefault="00E4614A" w:rsidP="005C01DB">
            <w:pPr>
              <w:spacing w:before="80" w:after="80"/>
              <w:rPr>
                <w:sz w:val="22"/>
                <w:szCs w:val="22"/>
              </w:rPr>
            </w:pPr>
            <w:r>
              <w:rPr>
                <w:sz w:val="22"/>
                <w:szCs w:val="22"/>
              </w:rPr>
              <w:t>February 2019</w:t>
            </w:r>
            <w:r w:rsidR="000E76D5">
              <w:rPr>
                <w:sz w:val="22"/>
                <w:szCs w:val="22"/>
              </w:rPr>
              <w:t>-</w:t>
            </w:r>
            <w:r>
              <w:rPr>
                <w:sz w:val="22"/>
                <w:szCs w:val="22"/>
              </w:rPr>
              <w:t>April 2019</w:t>
            </w:r>
          </w:p>
        </w:tc>
      </w:tr>
      <w:tr w:rsidR="00E4614A" w:rsidRPr="007C36F3" w14:paraId="07A30A8B" w14:textId="77777777" w:rsidTr="005C01DB">
        <w:tc>
          <w:tcPr>
            <w:tcW w:w="6678" w:type="dxa"/>
          </w:tcPr>
          <w:p w14:paraId="39A705AD" w14:textId="77777777" w:rsidR="00E4614A" w:rsidRPr="007C36F3" w:rsidRDefault="00057A69" w:rsidP="005C01DB">
            <w:pPr>
              <w:spacing w:before="80" w:after="80"/>
              <w:rPr>
                <w:sz w:val="22"/>
                <w:szCs w:val="22"/>
              </w:rPr>
            </w:pPr>
            <w:r>
              <w:rPr>
                <w:sz w:val="22"/>
                <w:szCs w:val="22"/>
              </w:rPr>
              <w:t xml:space="preserve">*12 month break </w:t>
            </w:r>
            <w:r w:rsidR="00972B23">
              <w:rPr>
                <w:sz w:val="22"/>
                <w:szCs w:val="22"/>
              </w:rPr>
              <w:t>between Wave 1 and Wave 2</w:t>
            </w:r>
          </w:p>
        </w:tc>
        <w:tc>
          <w:tcPr>
            <w:tcW w:w="2898" w:type="dxa"/>
          </w:tcPr>
          <w:p w14:paraId="579198E2" w14:textId="77777777" w:rsidR="00E4614A" w:rsidRDefault="00057A69" w:rsidP="005C01DB">
            <w:pPr>
              <w:spacing w:before="80" w:after="80"/>
              <w:rPr>
                <w:sz w:val="22"/>
                <w:szCs w:val="22"/>
              </w:rPr>
            </w:pPr>
            <w:r>
              <w:rPr>
                <w:sz w:val="22"/>
                <w:szCs w:val="22"/>
              </w:rPr>
              <w:t>May 2019 – April 2020</w:t>
            </w:r>
          </w:p>
        </w:tc>
      </w:tr>
      <w:tr w:rsidR="005B19CD" w:rsidRPr="007C36F3" w14:paraId="6A466B49" w14:textId="77777777" w:rsidTr="005C01DB">
        <w:tc>
          <w:tcPr>
            <w:tcW w:w="6678" w:type="dxa"/>
          </w:tcPr>
          <w:p w14:paraId="14D83451" w14:textId="77777777" w:rsidR="005B19CD" w:rsidRPr="007C36F3" w:rsidRDefault="005B19CD" w:rsidP="005C01DB">
            <w:pPr>
              <w:spacing w:before="80" w:after="80"/>
              <w:rPr>
                <w:sz w:val="22"/>
                <w:szCs w:val="22"/>
              </w:rPr>
            </w:pPr>
            <w:r w:rsidRPr="007C36F3">
              <w:rPr>
                <w:sz w:val="22"/>
                <w:szCs w:val="22"/>
              </w:rPr>
              <w:t>Complete Wave 2 data collection</w:t>
            </w:r>
          </w:p>
        </w:tc>
        <w:tc>
          <w:tcPr>
            <w:tcW w:w="2898" w:type="dxa"/>
          </w:tcPr>
          <w:p w14:paraId="455BB548" w14:textId="77777777" w:rsidR="005B19CD" w:rsidRPr="007C36F3" w:rsidRDefault="00057A69" w:rsidP="005C01DB">
            <w:pPr>
              <w:spacing w:before="80" w:after="80"/>
              <w:rPr>
                <w:sz w:val="22"/>
                <w:szCs w:val="22"/>
              </w:rPr>
            </w:pPr>
            <w:r>
              <w:rPr>
                <w:sz w:val="22"/>
                <w:szCs w:val="22"/>
              </w:rPr>
              <w:t>May</w:t>
            </w:r>
            <w:r w:rsidR="000E76D5">
              <w:rPr>
                <w:sz w:val="22"/>
                <w:szCs w:val="22"/>
              </w:rPr>
              <w:t>-</w:t>
            </w:r>
            <w:r>
              <w:rPr>
                <w:sz w:val="22"/>
                <w:szCs w:val="22"/>
              </w:rPr>
              <w:t>July 2020</w:t>
            </w:r>
          </w:p>
        </w:tc>
      </w:tr>
      <w:tr w:rsidR="005B19CD" w:rsidRPr="007C36F3" w14:paraId="2FABBD9D" w14:textId="77777777" w:rsidTr="005C01DB">
        <w:tc>
          <w:tcPr>
            <w:tcW w:w="6678" w:type="dxa"/>
          </w:tcPr>
          <w:p w14:paraId="2A8ED172" w14:textId="77777777" w:rsidR="005B19CD" w:rsidRPr="007C36F3" w:rsidRDefault="005B19CD" w:rsidP="005C01DB">
            <w:pPr>
              <w:spacing w:before="80" w:after="80"/>
              <w:rPr>
                <w:sz w:val="22"/>
                <w:szCs w:val="22"/>
              </w:rPr>
            </w:pPr>
            <w:r w:rsidRPr="007C36F3">
              <w:rPr>
                <w:sz w:val="22"/>
                <w:szCs w:val="22"/>
              </w:rPr>
              <w:t>Complete Wave 2 data analyses (Contractor)</w:t>
            </w:r>
          </w:p>
        </w:tc>
        <w:tc>
          <w:tcPr>
            <w:tcW w:w="2898" w:type="dxa"/>
          </w:tcPr>
          <w:p w14:paraId="4405DAE8" w14:textId="77777777" w:rsidR="005B19CD" w:rsidRPr="007C36F3" w:rsidRDefault="00057A69" w:rsidP="005C01DB">
            <w:pPr>
              <w:spacing w:before="80" w:after="80"/>
              <w:rPr>
                <w:sz w:val="22"/>
                <w:szCs w:val="22"/>
              </w:rPr>
            </w:pPr>
            <w:r>
              <w:rPr>
                <w:sz w:val="22"/>
                <w:szCs w:val="22"/>
              </w:rPr>
              <w:t>August</w:t>
            </w:r>
            <w:r w:rsidR="000E76D5">
              <w:rPr>
                <w:sz w:val="22"/>
                <w:szCs w:val="22"/>
              </w:rPr>
              <w:t>-</w:t>
            </w:r>
            <w:r>
              <w:rPr>
                <w:sz w:val="22"/>
                <w:szCs w:val="22"/>
              </w:rPr>
              <w:t>September</w:t>
            </w:r>
            <w:r w:rsidR="000E76D5">
              <w:rPr>
                <w:sz w:val="22"/>
                <w:szCs w:val="22"/>
              </w:rPr>
              <w:t xml:space="preserve"> 20</w:t>
            </w:r>
            <w:r>
              <w:rPr>
                <w:sz w:val="22"/>
                <w:szCs w:val="22"/>
              </w:rPr>
              <w:t>20</w:t>
            </w:r>
          </w:p>
        </w:tc>
      </w:tr>
      <w:tr w:rsidR="005B19CD" w:rsidRPr="007C36F3" w14:paraId="4E0C221F" w14:textId="77777777" w:rsidTr="005C01DB">
        <w:tc>
          <w:tcPr>
            <w:tcW w:w="6678" w:type="dxa"/>
          </w:tcPr>
          <w:p w14:paraId="6A9606E0" w14:textId="77777777" w:rsidR="005B19CD" w:rsidRPr="007C36F3" w:rsidRDefault="005B19CD" w:rsidP="005C01DB">
            <w:pPr>
              <w:spacing w:before="80" w:after="80"/>
              <w:rPr>
                <w:sz w:val="22"/>
                <w:szCs w:val="22"/>
              </w:rPr>
            </w:pPr>
            <w:r w:rsidRPr="007C36F3">
              <w:rPr>
                <w:sz w:val="22"/>
                <w:szCs w:val="22"/>
              </w:rPr>
              <w:t>Report final findings to CDC</w:t>
            </w:r>
          </w:p>
        </w:tc>
        <w:tc>
          <w:tcPr>
            <w:tcW w:w="2898" w:type="dxa"/>
          </w:tcPr>
          <w:p w14:paraId="1892AD39" w14:textId="77777777" w:rsidR="005B19CD" w:rsidRPr="007C36F3" w:rsidRDefault="00057A69" w:rsidP="005C01DB">
            <w:pPr>
              <w:spacing w:before="80" w:after="80"/>
              <w:rPr>
                <w:sz w:val="22"/>
                <w:szCs w:val="22"/>
              </w:rPr>
            </w:pPr>
            <w:r>
              <w:rPr>
                <w:sz w:val="22"/>
                <w:szCs w:val="22"/>
              </w:rPr>
              <w:t>October</w:t>
            </w:r>
            <w:r w:rsidR="000E76D5">
              <w:rPr>
                <w:sz w:val="22"/>
                <w:szCs w:val="22"/>
              </w:rPr>
              <w:t>-</w:t>
            </w:r>
            <w:r>
              <w:rPr>
                <w:sz w:val="22"/>
                <w:szCs w:val="22"/>
              </w:rPr>
              <w:t>December</w:t>
            </w:r>
            <w:r w:rsidR="000E76D5">
              <w:rPr>
                <w:sz w:val="22"/>
                <w:szCs w:val="22"/>
              </w:rPr>
              <w:t xml:space="preserve"> 20</w:t>
            </w:r>
            <w:r>
              <w:rPr>
                <w:sz w:val="22"/>
                <w:szCs w:val="22"/>
              </w:rPr>
              <w:t>20</w:t>
            </w:r>
          </w:p>
        </w:tc>
      </w:tr>
      <w:tr w:rsidR="005B19CD" w:rsidRPr="007C36F3" w14:paraId="7FC9251E" w14:textId="77777777" w:rsidTr="005C01DB">
        <w:tc>
          <w:tcPr>
            <w:tcW w:w="6678" w:type="dxa"/>
          </w:tcPr>
          <w:p w14:paraId="4285E4DD" w14:textId="77777777" w:rsidR="005B19CD" w:rsidRPr="007C36F3" w:rsidRDefault="005B19CD" w:rsidP="005C01DB">
            <w:pPr>
              <w:spacing w:before="80" w:after="80"/>
              <w:rPr>
                <w:sz w:val="22"/>
                <w:szCs w:val="22"/>
              </w:rPr>
            </w:pPr>
            <w:r w:rsidRPr="007C36F3">
              <w:rPr>
                <w:sz w:val="22"/>
                <w:szCs w:val="22"/>
              </w:rPr>
              <w:t>Submit manuscript to peer-reviewed journal</w:t>
            </w:r>
          </w:p>
        </w:tc>
        <w:tc>
          <w:tcPr>
            <w:tcW w:w="2898" w:type="dxa"/>
          </w:tcPr>
          <w:p w14:paraId="25A9D7D1" w14:textId="77777777" w:rsidR="005B19CD" w:rsidRPr="007C36F3" w:rsidRDefault="00057A69" w:rsidP="005C01DB">
            <w:pPr>
              <w:spacing w:before="80" w:after="80"/>
              <w:rPr>
                <w:sz w:val="22"/>
                <w:szCs w:val="22"/>
              </w:rPr>
            </w:pPr>
            <w:r>
              <w:rPr>
                <w:sz w:val="22"/>
                <w:szCs w:val="22"/>
              </w:rPr>
              <w:t>January-February 202</w:t>
            </w:r>
            <w:r w:rsidR="00B8374D">
              <w:rPr>
                <w:sz w:val="22"/>
                <w:szCs w:val="22"/>
              </w:rPr>
              <w:t>1</w:t>
            </w:r>
          </w:p>
        </w:tc>
      </w:tr>
    </w:tbl>
    <w:p w14:paraId="62A1F8F1" w14:textId="77777777" w:rsidR="005B19CD" w:rsidRPr="007C36F3" w:rsidRDefault="005B19CD" w:rsidP="005C01DB">
      <w:pPr>
        <w:pStyle w:val="exhibitsource"/>
      </w:pPr>
    </w:p>
    <w:p w14:paraId="7AD817EE" w14:textId="77777777" w:rsidR="005B19CD" w:rsidRPr="00E22F89" w:rsidRDefault="00E22F89" w:rsidP="005C01DB">
      <w:pPr>
        <w:pStyle w:val="Heading2"/>
      </w:pPr>
      <w:bookmarkStart w:id="28" w:name="_Toc475699049"/>
      <w:r w:rsidRPr="00E22F89">
        <w:rPr>
          <w:b w:val="0"/>
        </w:rPr>
        <w:t>17.</w:t>
      </w:r>
      <w:r w:rsidR="005B19CD" w:rsidRPr="00E22F89">
        <w:tab/>
      </w:r>
      <w:r w:rsidR="005B19CD" w:rsidRPr="00E22F89">
        <w:rPr>
          <w:b w:val="0"/>
          <w:u w:val="single"/>
        </w:rPr>
        <w:t>Reason(s) Display of OMB Expiration Date Is Inappropriate</w:t>
      </w:r>
      <w:bookmarkEnd w:id="28"/>
    </w:p>
    <w:p w14:paraId="4F1AF242" w14:textId="77777777" w:rsidR="005B19CD" w:rsidRPr="007C36F3" w:rsidRDefault="00A374AC" w:rsidP="005C01DB">
      <w:pPr>
        <w:pStyle w:val="BodyText2"/>
      </w:pPr>
      <w:r w:rsidRPr="007C36F3">
        <w:t>The display of the OMB expiration date is not inappropriate</w:t>
      </w:r>
      <w:r w:rsidR="005B19CD" w:rsidRPr="007C36F3">
        <w:t>.</w:t>
      </w:r>
    </w:p>
    <w:p w14:paraId="57CC9DED" w14:textId="77777777" w:rsidR="005B19CD" w:rsidRPr="00E22F89" w:rsidRDefault="005B19CD" w:rsidP="005C01DB">
      <w:pPr>
        <w:pStyle w:val="Heading2"/>
        <w:rPr>
          <w:b w:val="0"/>
          <w:u w:val="single"/>
        </w:rPr>
      </w:pPr>
      <w:bookmarkStart w:id="29" w:name="_Toc475699050"/>
      <w:r w:rsidRPr="00E22F89">
        <w:rPr>
          <w:b w:val="0"/>
        </w:rPr>
        <w:t>18.</w:t>
      </w:r>
      <w:r w:rsidRPr="007C36F3">
        <w:tab/>
      </w:r>
      <w:r w:rsidRPr="00E22F89">
        <w:rPr>
          <w:b w:val="0"/>
          <w:u w:val="single"/>
        </w:rPr>
        <w:t>Exceptions to Certification for Paperwork Reduction Act Submissions</w:t>
      </w:r>
      <w:bookmarkEnd w:id="29"/>
    </w:p>
    <w:p w14:paraId="5FD35FAB" w14:textId="77777777" w:rsidR="005B19CD" w:rsidRPr="007C36F3" w:rsidRDefault="00A374AC" w:rsidP="005C01DB">
      <w:pPr>
        <w:pStyle w:val="BodyText2"/>
      </w:pPr>
      <w:r w:rsidRPr="007C36F3">
        <w:t>There are no exceptions to the certification.</w:t>
      </w:r>
    </w:p>
    <w:p w14:paraId="4B0A0367" w14:textId="77777777" w:rsidR="005B19CD" w:rsidRDefault="005B19CD" w:rsidP="005C01DB">
      <w:pPr>
        <w:pStyle w:val="Heading1"/>
      </w:pPr>
      <w:r w:rsidRPr="007C36F3">
        <w:br w:type="page"/>
      </w:r>
      <w:bookmarkStart w:id="30" w:name="_Toc475699051"/>
      <w:r w:rsidRPr="007C36F3">
        <w:t>References</w:t>
      </w:r>
      <w:bookmarkEnd w:id="30"/>
    </w:p>
    <w:p w14:paraId="5A316FEA" w14:textId="77777777" w:rsidR="000468F6" w:rsidRPr="000468F6" w:rsidRDefault="000468F6" w:rsidP="000468F6"/>
    <w:p w14:paraId="359F5A9F" w14:textId="77777777" w:rsidR="00403870" w:rsidRPr="007C36F3" w:rsidRDefault="00403870" w:rsidP="00403870">
      <w:pPr>
        <w:keepLines/>
        <w:spacing w:after="240"/>
        <w:ind w:left="720" w:hanging="720"/>
        <w:rPr>
          <w:szCs w:val="22"/>
        </w:rPr>
      </w:pPr>
      <w:r w:rsidRPr="007C36F3">
        <w:rPr>
          <w:szCs w:val="22"/>
        </w:rPr>
        <w:t xml:space="preserve">Abreu, D. A., &amp; Winters, F. (1999). Using monetary incentives to reduce attrition in the survey of income and program participation. </w:t>
      </w:r>
      <w:r w:rsidRPr="007C36F3">
        <w:rPr>
          <w:i/>
          <w:szCs w:val="22"/>
        </w:rPr>
        <w:t>Proceedings of the Survey Research Methods Section of the American Statistical Association</w:t>
      </w:r>
      <w:r w:rsidRPr="007C36F3">
        <w:rPr>
          <w:szCs w:val="22"/>
        </w:rPr>
        <w:t>.</w:t>
      </w:r>
    </w:p>
    <w:p w14:paraId="3D644DD8" w14:textId="77777777" w:rsidR="00AE6803" w:rsidRPr="007C36F3" w:rsidRDefault="00AE6803" w:rsidP="005C01DB">
      <w:pPr>
        <w:pStyle w:val="biblio"/>
      </w:pPr>
      <w:r w:rsidRPr="007C36F3">
        <w:t xml:space="preserve">American Cancer Society. Relay for Life. </w:t>
      </w:r>
      <w:r w:rsidRPr="007C36F3">
        <w:rPr>
          <w:i/>
        </w:rPr>
        <w:t>Celebrate, Remember, Fight Back. Welcome to the New England Division Online</w:t>
      </w:r>
      <w:r w:rsidRPr="007C36F3">
        <w:t xml:space="preserve">. </w:t>
      </w:r>
      <w:r w:rsidR="005D23E3" w:rsidRPr="007C36F3">
        <w:rPr>
          <w:i/>
        </w:rPr>
        <w:t>Resources to Celebrate, Remember, Fight Back in the states of Connecticut, Main, Massachusetts, New Hampshire, Rhode Island, Vermont</w:t>
      </w:r>
      <w:r w:rsidR="005D23E3" w:rsidRPr="007C36F3">
        <w:t xml:space="preserve">. </w:t>
      </w:r>
      <w:r w:rsidRPr="007C36F3">
        <w:t xml:space="preserve">Retrieved from </w:t>
      </w:r>
      <w:hyperlink r:id="rId9" w:history="1">
        <w:r w:rsidRPr="007C36F3">
          <w:rPr>
            <w:rStyle w:val="Hyperlink"/>
          </w:rPr>
          <w:t>http://relay.acsevents.org/site/PageNavigator/RFL_NE_Division_SurvCare</w:t>
        </w:r>
      </w:hyperlink>
    </w:p>
    <w:p w14:paraId="4C0B2744" w14:textId="77777777" w:rsidR="005B19CD" w:rsidRPr="007C36F3" w:rsidRDefault="005B19CD" w:rsidP="005C01DB">
      <w:pPr>
        <w:pStyle w:val="biblio"/>
      </w:pPr>
      <w:r w:rsidRPr="007C36F3">
        <w:t xml:space="preserve">Centers for Disease Control and Prevention (CDC). (2013). </w:t>
      </w:r>
      <w:r w:rsidRPr="007C36F3">
        <w:rPr>
          <w:i/>
        </w:rPr>
        <w:t>A National Action Plan for Cancer Survivorship: Advancing Public Health Strategies</w:t>
      </w:r>
      <w:r w:rsidRPr="007C36F3">
        <w:t xml:space="preserve">. Retrieved from </w:t>
      </w:r>
      <w:hyperlink r:id="rId10" w:history="1">
        <w:r w:rsidRPr="007C36F3">
          <w:rPr>
            <w:rStyle w:val="Hyperlink"/>
          </w:rPr>
          <w:t>http://www.cdc.gov/cancer/survivorship/pdf/plan.pdf</w:t>
        </w:r>
      </w:hyperlink>
      <w:r w:rsidRPr="007C36F3">
        <w:t xml:space="preserve"> </w:t>
      </w:r>
    </w:p>
    <w:p w14:paraId="62EE46B3" w14:textId="77777777" w:rsidR="00BA51EB" w:rsidRPr="007C36F3" w:rsidRDefault="00BA51EB" w:rsidP="005C01DB">
      <w:pPr>
        <w:pStyle w:val="biblio"/>
      </w:pPr>
      <w:r w:rsidRPr="007C36F3">
        <w:t>Centers for Disease Control and Prevention (CDC). (n.d</w:t>
      </w:r>
      <w:r w:rsidR="002B2DA7" w:rsidRPr="007C36F3">
        <w:t>.</w:t>
      </w:r>
      <w:r w:rsidRPr="007C36F3">
        <w:t xml:space="preserve">). </w:t>
      </w:r>
      <w:r w:rsidRPr="007C36F3">
        <w:rPr>
          <w:i/>
        </w:rPr>
        <w:t>Cancer survivorship</w:t>
      </w:r>
      <w:r w:rsidRPr="007C36F3">
        <w:t xml:space="preserve">. </w:t>
      </w:r>
      <w:r w:rsidRPr="007C36F3">
        <w:rPr>
          <w:i/>
        </w:rPr>
        <w:t>Basic information for cancer survivors.</w:t>
      </w:r>
      <w:r w:rsidRPr="007C36F3">
        <w:t xml:space="preserve"> </w:t>
      </w:r>
      <w:r w:rsidR="002B2DA7" w:rsidRPr="007C36F3">
        <w:t xml:space="preserve">Last updated April 20, 2016. </w:t>
      </w:r>
      <w:r w:rsidRPr="007C36F3">
        <w:t xml:space="preserve">Retrieved from </w:t>
      </w:r>
      <w:hyperlink r:id="rId11" w:history="1">
        <w:r w:rsidRPr="007C36F3">
          <w:rPr>
            <w:rStyle w:val="Hyperlink"/>
          </w:rPr>
          <w:t>https://www.cdc.gov/cancer/survivorship/basic_info/survivors/index.htm</w:t>
        </w:r>
      </w:hyperlink>
    </w:p>
    <w:p w14:paraId="6A1B298D" w14:textId="77777777" w:rsidR="00665D23" w:rsidRPr="007C36F3" w:rsidRDefault="00665D23" w:rsidP="00665D23">
      <w:pPr>
        <w:pStyle w:val="EndNoteBibliography"/>
        <w:ind w:left="720" w:hanging="720"/>
      </w:pPr>
      <w:r w:rsidRPr="007C36F3">
        <w:t xml:space="preserve">Dickert , N., &amp; Grady , C. (1999). What's the Price of a Research Subject? Approaches to Payment for Research Participation. </w:t>
      </w:r>
      <w:r w:rsidRPr="007C36F3">
        <w:rPr>
          <w:i/>
        </w:rPr>
        <w:t>New England Journal of Medicine, 341</w:t>
      </w:r>
      <w:r w:rsidRPr="007C36F3">
        <w:t xml:space="preserve">(3), 198-203. </w:t>
      </w:r>
    </w:p>
    <w:p w14:paraId="2F15EEF9" w14:textId="77777777" w:rsidR="00665D23" w:rsidRPr="007C36F3" w:rsidRDefault="00665D23" w:rsidP="005B19CD">
      <w:pPr>
        <w:pStyle w:val="biblio"/>
      </w:pPr>
    </w:p>
    <w:p w14:paraId="777D9DBF" w14:textId="77777777" w:rsidR="005B19CD" w:rsidRPr="007C36F3" w:rsidRDefault="005B19CD" w:rsidP="005B19CD">
      <w:pPr>
        <w:pStyle w:val="biblio"/>
      </w:pPr>
      <w:r w:rsidRPr="007C36F3">
        <w:t xml:space="preserve">Miller, K. D., Siegel, R. L., Lin, C. C., Mariotto, A. B., Kramer, J. L., Rowland, J. H., et al. (2016). Cancer treatment and survivorship statistics, 2016. </w:t>
      </w:r>
      <w:r w:rsidRPr="007C36F3">
        <w:rPr>
          <w:i/>
          <w:iCs/>
        </w:rPr>
        <w:t>CA: A Cancer Journal for Clinicians</w:t>
      </w:r>
      <w:r w:rsidRPr="007C36F3">
        <w:rPr>
          <w:i/>
        </w:rPr>
        <w:t>, 66</w:t>
      </w:r>
      <w:r w:rsidRPr="007C36F3">
        <w:t>(4), 271–289.</w:t>
      </w:r>
    </w:p>
    <w:p w14:paraId="291999AE" w14:textId="77777777" w:rsidR="00403870" w:rsidRPr="007C36F3" w:rsidRDefault="00403870" w:rsidP="00403870">
      <w:pPr>
        <w:keepLines/>
        <w:spacing w:after="240"/>
        <w:ind w:left="720" w:hanging="720"/>
        <w:rPr>
          <w:szCs w:val="22"/>
        </w:rPr>
      </w:pPr>
      <w:r w:rsidRPr="007C36F3">
        <w:rPr>
          <w:szCs w:val="22"/>
        </w:rPr>
        <w:t xml:space="preserve">Shettle, C., &amp; Mooney, G. (1999). Monetary incentives in U.S. government surveys. </w:t>
      </w:r>
      <w:r w:rsidRPr="007C36F3">
        <w:rPr>
          <w:i/>
          <w:szCs w:val="22"/>
        </w:rPr>
        <w:t>Journal of Official Statistics, 15</w:t>
      </w:r>
      <w:r w:rsidRPr="007C36F3">
        <w:rPr>
          <w:szCs w:val="22"/>
        </w:rPr>
        <w:t xml:space="preserve">, 231–250. </w:t>
      </w:r>
    </w:p>
    <w:p w14:paraId="56297443" w14:textId="77777777" w:rsidR="005B19CD" w:rsidRPr="00403870" w:rsidRDefault="005B19CD" w:rsidP="005B19CD">
      <w:pPr>
        <w:pStyle w:val="biblio"/>
        <w:rPr>
          <w:szCs w:val="24"/>
        </w:rPr>
      </w:pPr>
      <w:r w:rsidRPr="007C36F3">
        <w:rPr>
          <w:szCs w:val="24"/>
        </w:rPr>
        <w:t xml:space="preserve">Stovall, E., Greenfield, S., &amp; Hewitt, M. (2005). </w:t>
      </w:r>
      <w:r w:rsidRPr="007C36F3">
        <w:rPr>
          <w:i/>
          <w:iCs/>
          <w:szCs w:val="24"/>
        </w:rPr>
        <w:t>From Cancer Patient to Cancer Survivor: Lost in Transition</w:t>
      </w:r>
      <w:r w:rsidRPr="007C36F3">
        <w:rPr>
          <w:szCs w:val="24"/>
        </w:rPr>
        <w:t>. Washington, DC: National Academies Press.</w:t>
      </w:r>
    </w:p>
    <w:sectPr w:rsidR="005B19CD" w:rsidRPr="00403870" w:rsidSect="004B2ABF">
      <w:footerReference w:type="default" r:id="rId12"/>
      <w:footerReference w:type="first" r:id="rId13"/>
      <w:pgSz w:w="12240" w:h="15840" w:code="1"/>
      <w:pgMar w:top="450" w:right="1440" w:bottom="81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0D041" w16cid:durableId="1FB95F87"/>
  <w16cid:commentId w16cid:paraId="07860A28" w16cid:durableId="1FB95FED"/>
  <w16cid:commentId w16cid:paraId="45622F18" w16cid:durableId="1FB95F88"/>
  <w16cid:commentId w16cid:paraId="021C079A" w16cid:durableId="1FBD0418"/>
  <w16cid:commentId w16cid:paraId="62B5919F" w16cid:durableId="1FB95F89"/>
  <w16cid:commentId w16cid:paraId="3EB3A666" w16cid:durableId="1FBD0484"/>
  <w16cid:commentId w16cid:paraId="6AA05BCC" w16cid:durableId="1FB95F8A"/>
  <w16cid:commentId w16cid:paraId="25C42B94" w16cid:durableId="1FBD04C2"/>
  <w16cid:commentId w16cid:paraId="6FEC0009" w16cid:durableId="1FB95F8C"/>
  <w16cid:commentId w16cid:paraId="39D3D65D" w16cid:durableId="1FBD0233"/>
  <w16cid:commentId w16cid:paraId="4BCA53DA" w16cid:durableId="1FB95F8D"/>
  <w16cid:commentId w16cid:paraId="457E6BB5" w16cid:durableId="1FBD027F"/>
  <w16cid:commentId w16cid:paraId="2BFFB254" w16cid:durableId="1FB95F8E"/>
  <w16cid:commentId w16cid:paraId="1B0A462E" w16cid:durableId="1FB962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8E0DF" w14:textId="77777777" w:rsidR="004E182F" w:rsidRDefault="004E182F">
      <w:r>
        <w:separator/>
      </w:r>
    </w:p>
  </w:endnote>
  <w:endnote w:type="continuationSeparator" w:id="0">
    <w:p w14:paraId="2A05A1E0" w14:textId="77777777" w:rsidR="004E182F" w:rsidRDefault="004E182F">
      <w:r>
        <w:continuationSeparator/>
      </w:r>
    </w:p>
  </w:endnote>
  <w:endnote w:type="continuationNotice" w:id="1">
    <w:p w14:paraId="2480F321" w14:textId="77777777" w:rsidR="004E182F" w:rsidRDefault="004E1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2224" w14:textId="28CAA99A" w:rsidR="00473CB8" w:rsidRPr="00906F6F" w:rsidRDefault="00473CB8"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CF56BE">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78248" w14:textId="23C20040" w:rsidR="00473CB8" w:rsidRDefault="00473CB8"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CF56B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4C75E" w14:textId="77777777" w:rsidR="004E182F" w:rsidRDefault="004E182F">
      <w:r>
        <w:separator/>
      </w:r>
    </w:p>
  </w:footnote>
  <w:footnote w:type="continuationSeparator" w:id="0">
    <w:p w14:paraId="63A09BFE" w14:textId="77777777" w:rsidR="004E182F" w:rsidRDefault="004E182F">
      <w:r>
        <w:continuationSeparator/>
      </w:r>
    </w:p>
  </w:footnote>
  <w:footnote w:type="continuationNotice" w:id="1">
    <w:p w14:paraId="0121A22B" w14:textId="77777777" w:rsidR="004E182F" w:rsidRDefault="004E182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1F17"/>
    <w:multiLevelType w:val="hybridMultilevel"/>
    <w:tmpl w:val="C6FE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A3005"/>
    <w:multiLevelType w:val="hybridMultilevel"/>
    <w:tmpl w:val="EEA832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9245495"/>
    <w:multiLevelType w:val="hybridMultilevel"/>
    <w:tmpl w:val="2F44BFBE"/>
    <w:lvl w:ilvl="0" w:tplc="37D0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D33D0"/>
    <w:multiLevelType w:val="hybridMultilevel"/>
    <w:tmpl w:val="83AA7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7D188D"/>
    <w:multiLevelType w:val="hybridMultilevel"/>
    <w:tmpl w:val="BE58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22EE4161"/>
    <w:multiLevelType w:val="hybridMultilevel"/>
    <w:tmpl w:val="9638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501A5"/>
    <w:multiLevelType w:val="hybridMultilevel"/>
    <w:tmpl w:val="1AB4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B5238"/>
    <w:multiLevelType w:val="hybridMultilevel"/>
    <w:tmpl w:val="8B2CC3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91D50"/>
    <w:multiLevelType w:val="hybridMultilevel"/>
    <w:tmpl w:val="DEA02ED0"/>
    <w:lvl w:ilvl="0" w:tplc="37D0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344BF"/>
    <w:multiLevelType w:val="hybridMultilevel"/>
    <w:tmpl w:val="B87E5164"/>
    <w:lvl w:ilvl="0" w:tplc="72D0F4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0A609AF"/>
    <w:multiLevelType w:val="hybridMultilevel"/>
    <w:tmpl w:val="DEA02ED0"/>
    <w:lvl w:ilvl="0" w:tplc="37D0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1C4C4B"/>
    <w:multiLevelType w:val="hybridMultilevel"/>
    <w:tmpl w:val="5DC0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0900"/>
    <w:multiLevelType w:val="hybridMultilevel"/>
    <w:tmpl w:val="AFD4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44431"/>
    <w:multiLevelType w:val="hybridMultilevel"/>
    <w:tmpl w:val="E220901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3D79A7"/>
    <w:multiLevelType w:val="hybridMultilevel"/>
    <w:tmpl w:val="7106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F1BD9"/>
    <w:multiLevelType w:val="hybridMultilevel"/>
    <w:tmpl w:val="7C36B62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6114859"/>
    <w:multiLevelType w:val="hybridMultilevel"/>
    <w:tmpl w:val="721C08E8"/>
    <w:lvl w:ilvl="0" w:tplc="07803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94086"/>
    <w:multiLevelType w:val="hybridMultilevel"/>
    <w:tmpl w:val="B94E9E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BC35C2"/>
    <w:multiLevelType w:val="hybridMultilevel"/>
    <w:tmpl w:val="1C46FF04"/>
    <w:lvl w:ilvl="0" w:tplc="0C7A0C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E079D5"/>
    <w:multiLevelType w:val="hybridMultilevel"/>
    <w:tmpl w:val="844E1068"/>
    <w:lvl w:ilvl="0" w:tplc="148473A6">
      <w:start w:val="1"/>
      <w:numFmt w:val="upperRoman"/>
      <w:lvlText w:val="%1."/>
      <w:lvlJc w:val="right"/>
      <w:pPr>
        <w:ind w:left="360" w:hanging="360"/>
      </w:pPr>
      <w:rPr>
        <w:color w:val="44546A"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525B367A"/>
    <w:multiLevelType w:val="hybridMultilevel"/>
    <w:tmpl w:val="D02A6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2FF3785"/>
    <w:multiLevelType w:val="hybridMultilevel"/>
    <w:tmpl w:val="6656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207AE3"/>
    <w:multiLevelType w:val="hybridMultilevel"/>
    <w:tmpl w:val="92042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4613FF"/>
    <w:multiLevelType w:val="hybridMultilevel"/>
    <w:tmpl w:val="299EE63A"/>
    <w:lvl w:ilvl="0" w:tplc="C8CC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EF6282"/>
    <w:multiLevelType w:val="hybridMultilevel"/>
    <w:tmpl w:val="4F2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67671AA6"/>
    <w:multiLevelType w:val="hybridMultilevel"/>
    <w:tmpl w:val="CC9C1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0D3D87"/>
    <w:multiLevelType w:val="hybridMultilevel"/>
    <w:tmpl w:val="E72C462A"/>
    <w:lvl w:ilvl="0" w:tplc="6F1C19BE">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8377CF"/>
    <w:multiLevelType w:val="hybridMultilevel"/>
    <w:tmpl w:val="01A6B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1"/>
  </w:num>
  <w:num w:numId="3">
    <w:abstractNumId w:val="24"/>
  </w:num>
  <w:num w:numId="4">
    <w:abstractNumId w:val="4"/>
  </w:num>
  <w:num w:numId="5">
    <w:abstractNumId w:val="17"/>
  </w:num>
  <w:num w:numId="6">
    <w:abstractNumId w:val="22"/>
  </w:num>
  <w:num w:numId="7">
    <w:abstractNumId w:val="25"/>
  </w:num>
  <w:num w:numId="8">
    <w:abstractNumId w:val="1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4"/>
  </w:num>
  <w:num w:numId="12">
    <w:abstractNumId w:val="13"/>
  </w:num>
  <w:num w:numId="13">
    <w:abstractNumId w:val="16"/>
  </w:num>
  <w:num w:numId="14">
    <w:abstractNumId w:val="26"/>
  </w:num>
  <w:num w:numId="15">
    <w:abstractNumId w:val="1"/>
  </w:num>
  <w:num w:numId="16">
    <w:abstractNumId w:val="27"/>
  </w:num>
  <w:num w:numId="17">
    <w:abstractNumId w:val="7"/>
  </w:num>
  <w:num w:numId="18">
    <w:abstractNumId w:val="20"/>
  </w:num>
  <w:num w:numId="19">
    <w:abstractNumId w:val="2"/>
  </w:num>
  <w:num w:numId="20">
    <w:abstractNumId w:val="28"/>
  </w:num>
  <w:num w:numId="21">
    <w:abstractNumId w:val="3"/>
  </w:num>
  <w:num w:numId="22">
    <w:abstractNumId w:val="32"/>
  </w:num>
  <w:num w:numId="23">
    <w:abstractNumId w:val="12"/>
  </w:num>
  <w:num w:numId="24">
    <w:abstractNumId w:val="23"/>
  </w:num>
  <w:num w:numId="25">
    <w:abstractNumId w:val="14"/>
  </w:num>
  <w:num w:numId="26">
    <w:abstractNumId w:val="29"/>
  </w:num>
  <w:num w:numId="27">
    <w:abstractNumId w:val="10"/>
  </w:num>
  <w:num w:numId="28">
    <w:abstractNumId w:val="30"/>
  </w:num>
  <w:num w:numId="29">
    <w:abstractNumId w:val="18"/>
  </w:num>
  <w:num w:numId="30">
    <w:abstractNumId w:val="0"/>
  </w:num>
  <w:num w:numId="31">
    <w:abstractNumId w:val="8"/>
  </w:num>
  <w:num w:numId="32">
    <w:abstractNumId w:val="5"/>
  </w:num>
  <w:num w:numId="33">
    <w:abstractNumId w:val="15"/>
  </w:num>
  <w:num w:numId="34">
    <w:abstractNumId w:val="21"/>
  </w:num>
  <w:num w:numId="35">
    <w:abstractNumId w:val="9"/>
  </w:num>
  <w:num w:numId="36">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0" w:nlCheck="1" w:checkStyle="1"/>
  <w:activeWritingStyle w:appName="MSWord" w:lang="en-CA"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56"/>
    <w:rsid w:val="00001B2E"/>
    <w:rsid w:val="00010285"/>
    <w:rsid w:val="00016E5D"/>
    <w:rsid w:val="0001715E"/>
    <w:rsid w:val="00021B81"/>
    <w:rsid w:val="0003199C"/>
    <w:rsid w:val="000370E4"/>
    <w:rsid w:val="00044561"/>
    <w:rsid w:val="000468F6"/>
    <w:rsid w:val="000470B7"/>
    <w:rsid w:val="00053D33"/>
    <w:rsid w:val="00055BD4"/>
    <w:rsid w:val="000566E6"/>
    <w:rsid w:val="00056850"/>
    <w:rsid w:val="00057A69"/>
    <w:rsid w:val="0006128E"/>
    <w:rsid w:val="00064DE0"/>
    <w:rsid w:val="000679BD"/>
    <w:rsid w:val="00071E0F"/>
    <w:rsid w:val="00072C63"/>
    <w:rsid w:val="00076442"/>
    <w:rsid w:val="00095B10"/>
    <w:rsid w:val="000965F4"/>
    <w:rsid w:val="000A1BC4"/>
    <w:rsid w:val="000A3D71"/>
    <w:rsid w:val="000A5D9C"/>
    <w:rsid w:val="000A609C"/>
    <w:rsid w:val="000A6578"/>
    <w:rsid w:val="000B5B19"/>
    <w:rsid w:val="000C0BF4"/>
    <w:rsid w:val="000D170B"/>
    <w:rsid w:val="000D6D55"/>
    <w:rsid w:val="000E395A"/>
    <w:rsid w:val="000E6546"/>
    <w:rsid w:val="000E6A0A"/>
    <w:rsid w:val="000E76D5"/>
    <w:rsid w:val="000F0B12"/>
    <w:rsid w:val="000F3D28"/>
    <w:rsid w:val="000F634B"/>
    <w:rsid w:val="00100BC1"/>
    <w:rsid w:val="00105C78"/>
    <w:rsid w:val="00112C2B"/>
    <w:rsid w:val="0011387B"/>
    <w:rsid w:val="0011486A"/>
    <w:rsid w:val="001302E1"/>
    <w:rsid w:val="00151395"/>
    <w:rsid w:val="00152DFC"/>
    <w:rsid w:val="00155573"/>
    <w:rsid w:val="00162E9D"/>
    <w:rsid w:val="00167BB9"/>
    <w:rsid w:val="0017124A"/>
    <w:rsid w:val="00171303"/>
    <w:rsid w:val="00171892"/>
    <w:rsid w:val="00175EE3"/>
    <w:rsid w:val="00176584"/>
    <w:rsid w:val="00180162"/>
    <w:rsid w:val="00182ED7"/>
    <w:rsid w:val="001832DE"/>
    <w:rsid w:val="0018563E"/>
    <w:rsid w:val="00185E0E"/>
    <w:rsid w:val="00190309"/>
    <w:rsid w:val="00191A46"/>
    <w:rsid w:val="00193404"/>
    <w:rsid w:val="00194A21"/>
    <w:rsid w:val="001967CB"/>
    <w:rsid w:val="00196926"/>
    <w:rsid w:val="001A161C"/>
    <w:rsid w:val="001A1A89"/>
    <w:rsid w:val="001A445A"/>
    <w:rsid w:val="001A4CD9"/>
    <w:rsid w:val="001B2F93"/>
    <w:rsid w:val="001B411A"/>
    <w:rsid w:val="001B5134"/>
    <w:rsid w:val="001B6122"/>
    <w:rsid w:val="001B78C1"/>
    <w:rsid w:val="001C4E6E"/>
    <w:rsid w:val="001C6E14"/>
    <w:rsid w:val="001D2346"/>
    <w:rsid w:val="001D2462"/>
    <w:rsid w:val="001D33C9"/>
    <w:rsid w:val="001D3F98"/>
    <w:rsid w:val="001D5EC8"/>
    <w:rsid w:val="001E18EF"/>
    <w:rsid w:val="001E2C0E"/>
    <w:rsid w:val="001E48A9"/>
    <w:rsid w:val="001E57E9"/>
    <w:rsid w:val="001E63EF"/>
    <w:rsid w:val="001E736B"/>
    <w:rsid w:val="002037BC"/>
    <w:rsid w:val="00207287"/>
    <w:rsid w:val="00207E8F"/>
    <w:rsid w:val="00213567"/>
    <w:rsid w:val="002179E0"/>
    <w:rsid w:val="00221D72"/>
    <w:rsid w:val="00221F7C"/>
    <w:rsid w:val="00223327"/>
    <w:rsid w:val="00223CDD"/>
    <w:rsid w:val="00226452"/>
    <w:rsid w:val="00236BC0"/>
    <w:rsid w:val="00237321"/>
    <w:rsid w:val="00242D2C"/>
    <w:rsid w:val="00246CCD"/>
    <w:rsid w:val="0025209F"/>
    <w:rsid w:val="00256E12"/>
    <w:rsid w:val="002623DA"/>
    <w:rsid w:val="002677ED"/>
    <w:rsid w:val="00274C42"/>
    <w:rsid w:val="002772A2"/>
    <w:rsid w:val="00292C1F"/>
    <w:rsid w:val="0029307A"/>
    <w:rsid w:val="00297664"/>
    <w:rsid w:val="002A1235"/>
    <w:rsid w:val="002A1374"/>
    <w:rsid w:val="002A38E7"/>
    <w:rsid w:val="002A6212"/>
    <w:rsid w:val="002B2DA7"/>
    <w:rsid w:val="002C3412"/>
    <w:rsid w:val="002C60A4"/>
    <w:rsid w:val="002C78C3"/>
    <w:rsid w:val="002D3CDA"/>
    <w:rsid w:val="002E0923"/>
    <w:rsid w:val="002E39B8"/>
    <w:rsid w:val="002E465D"/>
    <w:rsid w:val="002E527B"/>
    <w:rsid w:val="002E53F5"/>
    <w:rsid w:val="002E7FAF"/>
    <w:rsid w:val="002F13DB"/>
    <w:rsid w:val="002F3B3B"/>
    <w:rsid w:val="002F48EC"/>
    <w:rsid w:val="002F6523"/>
    <w:rsid w:val="002F6F9E"/>
    <w:rsid w:val="00302A6B"/>
    <w:rsid w:val="00302FC2"/>
    <w:rsid w:val="00305805"/>
    <w:rsid w:val="0030618E"/>
    <w:rsid w:val="0030633A"/>
    <w:rsid w:val="00306BA2"/>
    <w:rsid w:val="0030778C"/>
    <w:rsid w:val="00320BB5"/>
    <w:rsid w:val="003270D3"/>
    <w:rsid w:val="00327FF0"/>
    <w:rsid w:val="00331329"/>
    <w:rsid w:val="00331E3B"/>
    <w:rsid w:val="00334B7A"/>
    <w:rsid w:val="003378A5"/>
    <w:rsid w:val="00343192"/>
    <w:rsid w:val="00344218"/>
    <w:rsid w:val="00347889"/>
    <w:rsid w:val="00347EBC"/>
    <w:rsid w:val="003506F4"/>
    <w:rsid w:val="003518B7"/>
    <w:rsid w:val="00353D07"/>
    <w:rsid w:val="003540A9"/>
    <w:rsid w:val="00354255"/>
    <w:rsid w:val="00354793"/>
    <w:rsid w:val="00357746"/>
    <w:rsid w:val="00357AF0"/>
    <w:rsid w:val="00366935"/>
    <w:rsid w:val="00366CEB"/>
    <w:rsid w:val="0037320E"/>
    <w:rsid w:val="00376C10"/>
    <w:rsid w:val="00377280"/>
    <w:rsid w:val="0039315F"/>
    <w:rsid w:val="00393662"/>
    <w:rsid w:val="00394EDD"/>
    <w:rsid w:val="003A2549"/>
    <w:rsid w:val="003B4C9B"/>
    <w:rsid w:val="003C181B"/>
    <w:rsid w:val="003C1A89"/>
    <w:rsid w:val="003C39EE"/>
    <w:rsid w:val="003C5EDE"/>
    <w:rsid w:val="003D5F0F"/>
    <w:rsid w:val="003D6EC3"/>
    <w:rsid w:val="003E0A59"/>
    <w:rsid w:val="003E5576"/>
    <w:rsid w:val="003F02AD"/>
    <w:rsid w:val="003F24F7"/>
    <w:rsid w:val="003F7B8F"/>
    <w:rsid w:val="00400488"/>
    <w:rsid w:val="00401D96"/>
    <w:rsid w:val="00402BAD"/>
    <w:rsid w:val="00403870"/>
    <w:rsid w:val="00405364"/>
    <w:rsid w:val="004059D1"/>
    <w:rsid w:val="00415052"/>
    <w:rsid w:val="0041691A"/>
    <w:rsid w:val="00423334"/>
    <w:rsid w:val="00424F82"/>
    <w:rsid w:val="00427554"/>
    <w:rsid w:val="004316FE"/>
    <w:rsid w:val="00434BC5"/>
    <w:rsid w:val="00434DFE"/>
    <w:rsid w:val="004408D9"/>
    <w:rsid w:val="0044327F"/>
    <w:rsid w:val="00450155"/>
    <w:rsid w:val="00451757"/>
    <w:rsid w:val="00453377"/>
    <w:rsid w:val="0045406A"/>
    <w:rsid w:val="00463AEE"/>
    <w:rsid w:val="00463DD1"/>
    <w:rsid w:val="00466CA9"/>
    <w:rsid w:val="004709D4"/>
    <w:rsid w:val="0047358D"/>
    <w:rsid w:val="00473CB8"/>
    <w:rsid w:val="00475886"/>
    <w:rsid w:val="00475CDB"/>
    <w:rsid w:val="00475E78"/>
    <w:rsid w:val="0047674A"/>
    <w:rsid w:val="00482E7A"/>
    <w:rsid w:val="004920B6"/>
    <w:rsid w:val="00492F67"/>
    <w:rsid w:val="00495ADF"/>
    <w:rsid w:val="004A2778"/>
    <w:rsid w:val="004B2ABF"/>
    <w:rsid w:val="004B3E35"/>
    <w:rsid w:val="004C0743"/>
    <w:rsid w:val="004C0E0E"/>
    <w:rsid w:val="004C439D"/>
    <w:rsid w:val="004C56A3"/>
    <w:rsid w:val="004D0161"/>
    <w:rsid w:val="004D3C37"/>
    <w:rsid w:val="004E0E8D"/>
    <w:rsid w:val="004E182F"/>
    <w:rsid w:val="004E330F"/>
    <w:rsid w:val="004F167F"/>
    <w:rsid w:val="004F4DD6"/>
    <w:rsid w:val="00500B88"/>
    <w:rsid w:val="0050115D"/>
    <w:rsid w:val="0050384B"/>
    <w:rsid w:val="00504DCF"/>
    <w:rsid w:val="00511375"/>
    <w:rsid w:val="00512F04"/>
    <w:rsid w:val="00513E02"/>
    <w:rsid w:val="0051577F"/>
    <w:rsid w:val="00516D68"/>
    <w:rsid w:val="00517264"/>
    <w:rsid w:val="005217EF"/>
    <w:rsid w:val="00526AE0"/>
    <w:rsid w:val="00531587"/>
    <w:rsid w:val="00532002"/>
    <w:rsid w:val="00534DAB"/>
    <w:rsid w:val="00536A6D"/>
    <w:rsid w:val="005375D0"/>
    <w:rsid w:val="0054078F"/>
    <w:rsid w:val="00541CA2"/>
    <w:rsid w:val="005453DD"/>
    <w:rsid w:val="00546209"/>
    <w:rsid w:val="00551F4D"/>
    <w:rsid w:val="00554602"/>
    <w:rsid w:val="0055625B"/>
    <w:rsid w:val="00557329"/>
    <w:rsid w:val="0055752E"/>
    <w:rsid w:val="005645A6"/>
    <w:rsid w:val="005749DD"/>
    <w:rsid w:val="0057707D"/>
    <w:rsid w:val="0058132A"/>
    <w:rsid w:val="0058360B"/>
    <w:rsid w:val="005868FF"/>
    <w:rsid w:val="005909A3"/>
    <w:rsid w:val="00590C43"/>
    <w:rsid w:val="00594515"/>
    <w:rsid w:val="005A7F97"/>
    <w:rsid w:val="005B0812"/>
    <w:rsid w:val="005B137F"/>
    <w:rsid w:val="005B19CD"/>
    <w:rsid w:val="005B21C5"/>
    <w:rsid w:val="005B4154"/>
    <w:rsid w:val="005B6FFB"/>
    <w:rsid w:val="005C01DB"/>
    <w:rsid w:val="005C255F"/>
    <w:rsid w:val="005D23E3"/>
    <w:rsid w:val="005D6DEE"/>
    <w:rsid w:val="005E1462"/>
    <w:rsid w:val="005E217C"/>
    <w:rsid w:val="005E62F2"/>
    <w:rsid w:val="005F348A"/>
    <w:rsid w:val="005F3E92"/>
    <w:rsid w:val="00600788"/>
    <w:rsid w:val="00601F8F"/>
    <w:rsid w:val="006040A6"/>
    <w:rsid w:val="00604577"/>
    <w:rsid w:val="006048A8"/>
    <w:rsid w:val="00605B8B"/>
    <w:rsid w:val="00605D32"/>
    <w:rsid w:val="00613A18"/>
    <w:rsid w:val="00614376"/>
    <w:rsid w:val="006149D1"/>
    <w:rsid w:val="00622A6F"/>
    <w:rsid w:val="006269EB"/>
    <w:rsid w:val="00626DBA"/>
    <w:rsid w:val="00630185"/>
    <w:rsid w:val="00632AAE"/>
    <w:rsid w:val="00635CB0"/>
    <w:rsid w:val="00645872"/>
    <w:rsid w:val="00657935"/>
    <w:rsid w:val="0065799B"/>
    <w:rsid w:val="00662BD9"/>
    <w:rsid w:val="00663D09"/>
    <w:rsid w:val="00665D23"/>
    <w:rsid w:val="00666D4A"/>
    <w:rsid w:val="006713F3"/>
    <w:rsid w:val="00675BC0"/>
    <w:rsid w:val="006763FF"/>
    <w:rsid w:val="00682082"/>
    <w:rsid w:val="00682B84"/>
    <w:rsid w:val="0069096F"/>
    <w:rsid w:val="006934B3"/>
    <w:rsid w:val="00697A66"/>
    <w:rsid w:val="006A10BF"/>
    <w:rsid w:val="006A2387"/>
    <w:rsid w:val="006A5307"/>
    <w:rsid w:val="006A5700"/>
    <w:rsid w:val="006A604F"/>
    <w:rsid w:val="006B14CF"/>
    <w:rsid w:val="006B3CB0"/>
    <w:rsid w:val="006B4955"/>
    <w:rsid w:val="006B794F"/>
    <w:rsid w:val="006C2171"/>
    <w:rsid w:val="006D3678"/>
    <w:rsid w:val="006D4600"/>
    <w:rsid w:val="006E0DF1"/>
    <w:rsid w:val="006E2440"/>
    <w:rsid w:val="006E290D"/>
    <w:rsid w:val="006E5049"/>
    <w:rsid w:val="006F1392"/>
    <w:rsid w:val="006F4052"/>
    <w:rsid w:val="006F4ED5"/>
    <w:rsid w:val="006F5CE5"/>
    <w:rsid w:val="00700211"/>
    <w:rsid w:val="00706653"/>
    <w:rsid w:val="00707527"/>
    <w:rsid w:val="00707F96"/>
    <w:rsid w:val="00712259"/>
    <w:rsid w:val="00713A0A"/>
    <w:rsid w:val="0071443E"/>
    <w:rsid w:val="00717571"/>
    <w:rsid w:val="00720E5F"/>
    <w:rsid w:val="00721D6B"/>
    <w:rsid w:val="00722078"/>
    <w:rsid w:val="007252B1"/>
    <w:rsid w:val="00726255"/>
    <w:rsid w:val="00726A57"/>
    <w:rsid w:val="00736695"/>
    <w:rsid w:val="00737857"/>
    <w:rsid w:val="00745416"/>
    <w:rsid w:val="00747F72"/>
    <w:rsid w:val="0075331E"/>
    <w:rsid w:val="00755297"/>
    <w:rsid w:val="0075764B"/>
    <w:rsid w:val="0076448A"/>
    <w:rsid w:val="00764529"/>
    <w:rsid w:val="00773689"/>
    <w:rsid w:val="00775802"/>
    <w:rsid w:val="00782650"/>
    <w:rsid w:val="007838EC"/>
    <w:rsid w:val="00785F0E"/>
    <w:rsid w:val="00786C85"/>
    <w:rsid w:val="00787D03"/>
    <w:rsid w:val="00791826"/>
    <w:rsid w:val="007965C8"/>
    <w:rsid w:val="007A14F4"/>
    <w:rsid w:val="007A773B"/>
    <w:rsid w:val="007B18BA"/>
    <w:rsid w:val="007B5258"/>
    <w:rsid w:val="007C242C"/>
    <w:rsid w:val="007C36F3"/>
    <w:rsid w:val="007C3C05"/>
    <w:rsid w:val="007C47F1"/>
    <w:rsid w:val="007C4A4E"/>
    <w:rsid w:val="007C5DCF"/>
    <w:rsid w:val="007C6F28"/>
    <w:rsid w:val="007C7074"/>
    <w:rsid w:val="007D3125"/>
    <w:rsid w:val="007D506D"/>
    <w:rsid w:val="007E15BB"/>
    <w:rsid w:val="007E16F1"/>
    <w:rsid w:val="007E4A5C"/>
    <w:rsid w:val="007E6753"/>
    <w:rsid w:val="007E7D39"/>
    <w:rsid w:val="007F293F"/>
    <w:rsid w:val="007F50C9"/>
    <w:rsid w:val="007F576C"/>
    <w:rsid w:val="007F7D99"/>
    <w:rsid w:val="00804E98"/>
    <w:rsid w:val="00807E0E"/>
    <w:rsid w:val="00810192"/>
    <w:rsid w:val="00811869"/>
    <w:rsid w:val="0081365B"/>
    <w:rsid w:val="008136C2"/>
    <w:rsid w:val="00814BFE"/>
    <w:rsid w:val="0081656F"/>
    <w:rsid w:val="008241F7"/>
    <w:rsid w:val="00832BA3"/>
    <w:rsid w:val="00833F12"/>
    <w:rsid w:val="008357CC"/>
    <w:rsid w:val="00842032"/>
    <w:rsid w:val="008423C2"/>
    <w:rsid w:val="00847929"/>
    <w:rsid w:val="008544D6"/>
    <w:rsid w:val="00856CF5"/>
    <w:rsid w:val="0086043F"/>
    <w:rsid w:val="00863290"/>
    <w:rsid w:val="00866DE2"/>
    <w:rsid w:val="00870307"/>
    <w:rsid w:val="008705D1"/>
    <w:rsid w:val="00870F6D"/>
    <w:rsid w:val="0087417D"/>
    <w:rsid w:val="008807B7"/>
    <w:rsid w:val="008808FA"/>
    <w:rsid w:val="008815DF"/>
    <w:rsid w:val="00894FB1"/>
    <w:rsid w:val="008A0231"/>
    <w:rsid w:val="008A0A0F"/>
    <w:rsid w:val="008A3CF6"/>
    <w:rsid w:val="008A4C91"/>
    <w:rsid w:val="008B3BC8"/>
    <w:rsid w:val="008B582C"/>
    <w:rsid w:val="008B59D8"/>
    <w:rsid w:val="008B61A1"/>
    <w:rsid w:val="008B658C"/>
    <w:rsid w:val="008B79CD"/>
    <w:rsid w:val="008C3FC1"/>
    <w:rsid w:val="008C6456"/>
    <w:rsid w:val="008C73CA"/>
    <w:rsid w:val="008D0635"/>
    <w:rsid w:val="008D1165"/>
    <w:rsid w:val="008D43BE"/>
    <w:rsid w:val="008D68D5"/>
    <w:rsid w:val="008E0EF2"/>
    <w:rsid w:val="008E24FD"/>
    <w:rsid w:val="008E7D6E"/>
    <w:rsid w:val="008F1808"/>
    <w:rsid w:val="008F5037"/>
    <w:rsid w:val="008F55FE"/>
    <w:rsid w:val="008F63D1"/>
    <w:rsid w:val="00900586"/>
    <w:rsid w:val="00901139"/>
    <w:rsid w:val="009023A4"/>
    <w:rsid w:val="00906F6F"/>
    <w:rsid w:val="00910687"/>
    <w:rsid w:val="009164CC"/>
    <w:rsid w:val="00917A99"/>
    <w:rsid w:val="0092164B"/>
    <w:rsid w:val="00924407"/>
    <w:rsid w:val="00926D45"/>
    <w:rsid w:val="00930261"/>
    <w:rsid w:val="00932612"/>
    <w:rsid w:val="00932B36"/>
    <w:rsid w:val="0093476A"/>
    <w:rsid w:val="0093623A"/>
    <w:rsid w:val="009364D0"/>
    <w:rsid w:val="00937302"/>
    <w:rsid w:val="00944BB4"/>
    <w:rsid w:val="00946D72"/>
    <w:rsid w:val="00947647"/>
    <w:rsid w:val="00947A84"/>
    <w:rsid w:val="0097001E"/>
    <w:rsid w:val="00972B23"/>
    <w:rsid w:val="009752B7"/>
    <w:rsid w:val="00975B68"/>
    <w:rsid w:val="00980828"/>
    <w:rsid w:val="00981374"/>
    <w:rsid w:val="00985923"/>
    <w:rsid w:val="00986C20"/>
    <w:rsid w:val="009875AE"/>
    <w:rsid w:val="009936EE"/>
    <w:rsid w:val="00997B58"/>
    <w:rsid w:val="009A090A"/>
    <w:rsid w:val="009A230F"/>
    <w:rsid w:val="009A41A4"/>
    <w:rsid w:val="009A5D09"/>
    <w:rsid w:val="009A703B"/>
    <w:rsid w:val="009A7DB5"/>
    <w:rsid w:val="009B34F0"/>
    <w:rsid w:val="009B66BB"/>
    <w:rsid w:val="009C6EA2"/>
    <w:rsid w:val="009C731B"/>
    <w:rsid w:val="009D0E6A"/>
    <w:rsid w:val="009E0FB3"/>
    <w:rsid w:val="009E335E"/>
    <w:rsid w:val="009E4DC5"/>
    <w:rsid w:val="009F1792"/>
    <w:rsid w:val="009F1F48"/>
    <w:rsid w:val="009F3C11"/>
    <w:rsid w:val="009F448A"/>
    <w:rsid w:val="009F6C56"/>
    <w:rsid w:val="00A00226"/>
    <w:rsid w:val="00A00CAE"/>
    <w:rsid w:val="00A14087"/>
    <w:rsid w:val="00A15F7A"/>
    <w:rsid w:val="00A234D4"/>
    <w:rsid w:val="00A24170"/>
    <w:rsid w:val="00A32B08"/>
    <w:rsid w:val="00A374AC"/>
    <w:rsid w:val="00A40208"/>
    <w:rsid w:val="00A45B43"/>
    <w:rsid w:val="00A518BB"/>
    <w:rsid w:val="00A528B5"/>
    <w:rsid w:val="00A531F7"/>
    <w:rsid w:val="00A53954"/>
    <w:rsid w:val="00A540C1"/>
    <w:rsid w:val="00A61241"/>
    <w:rsid w:val="00A63E33"/>
    <w:rsid w:val="00A65404"/>
    <w:rsid w:val="00A65419"/>
    <w:rsid w:val="00A6542F"/>
    <w:rsid w:val="00A8107B"/>
    <w:rsid w:val="00A833A6"/>
    <w:rsid w:val="00A861AA"/>
    <w:rsid w:val="00A86AB6"/>
    <w:rsid w:val="00A935D1"/>
    <w:rsid w:val="00A93BD0"/>
    <w:rsid w:val="00A94BA4"/>
    <w:rsid w:val="00A95E62"/>
    <w:rsid w:val="00AA295A"/>
    <w:rsid w:val="00AA573E"/>
    <w:rsid w:val="00AA7860"/>
    <w:rsid w:val="00AB0847"/>
    <w:rsid w:val="00AB26EE"/>
    <w:rsid w:val="00AB6D73"/>
    <w:rsid w:val="00AC1DEB"/>
    <w:rsid w:val="00AC2E84"/>
    <w:rsid w:val="00AC2F89"/>
    <w:rsid w:val="00AC6ACE"/>
    <w:rsid w:val="00AE5483"/>
    <w:rsid w:val="00AE6202"/>
    <w:rsid w:val="00AE6803"/>
    <w:rsid w:val="00AF0D41"/>
    <w:rsid w:val="00AF376C"/>
    <w:rsid w:val="00AF7F0B"/>
    <w:rsid w:val="00B01319"/>
    <w:rsid w:val="00B03B13"/>
    <w:rsid w:val="00B14DA8"/>
    <w:rsid w:val="00B20569"/>
    <w:rsid w:val="00B21652"/>
    <w:rsid w:val="00B231F5"/>
    <w:rsid w:val="00B234E3"/>
    <w:rsid w:val="00B26EC9"/>
    <w:rsid w:val="00B323E2"/>
    <w:rsid w:val="00B3418A"/>
    <w:rsid w:val="00B350F5"/>
    <w:rsid w:val="00B37A70"/>
    <w:rsid w:val="00B40807"/>
    <w:rsid w:val="00B432D0"/>
    <w:rsid w:val="00B4410E"/>
    <w:rsid w:val="00B45F6A"/>
    <w:rsid w:val="00B4768D"/>
    <w:rsid w:val="00B53E72"/>
    <w:rsid w:val="00B61B2C"/>
    <w:rsid w:val="00B637E7"/>
    <w:rsid w:val="00B66FD8"/>
    <w:rsid w:val="00B75E6C"/>
    <w:rsid w:val="00B76002"/>
    <w:rsid w:val="00B77A91"/>
    <w:rsid w:val="00B80442"/>
    <w:rsid w:val="00B8374D"/>
    <w:rsid w:val="00B854D4"/>
    <w:rsid w:val="00B86BC7"/>
    <w:rsid w:val="00B90A37"/>
    <w:rsid w:val="00BA51EB"/>
    <w:rsid w:val="00BA52EC"/>
    <w:rsid w:val="00BB08BB"/>
    <w:rsid w:val="00BB5EAA"/>
    <w:rsid w:val="00BB7CFA"/>
    <w:rsid w:val="00BC27F0"/>
    <w:rsid w:val="00BC378F"/>
    <w:rsid w:val="00BC5F17"/>
    <w:rsid w:val="00BD60B3"/>
    <w:rsid w:val="00BE07FA"/>
    <w:rsid w:val="00BE0948"/>
    <w:rsid w:val="00BE2D02"/>
    <w:rsid w:val="00BE4187"/>
    <w:rsid w:val="00BE4639"/>
    <w:rsid w:val="00BE62CA"/>
    <w:rsid w:val="00BE7E42"/>
    <w:rsid w:val="00C00AA9"/>
    <w:rsid w:val="00C01E43"/>
    <w:rsid w:val="00C02276"/>
    <w:rsid w:val="00C056FE"/>
    <w:rsid w:val="00C149ED"/>
    <w:rsid w:val="00C156AA"/>
    <w:rsid w:val="00C15B99"/>
    <w:rsid w:val="00C162E9"/>
    <w:rsid w:val="00C207AD"/>
    <w:rsid w:val="00C246DB"/>
    <w:rsid w:val="00C32C39"/>
    <w:rsid w:val="00C40D2F"/>
    <w:rsid w:val="00C47153"/>
    <w:rsid w:val="00C54030"/>
    <w:rsid w:val="00C54E6B"/>
    <w:rsid w:val="00C56316"/>
    <w:rsid w:val="00C5724B"/>
    <w:rsid w:val="00C57DB3"/>
    <w:rsid w:val="00C57DF3"/>
    <w:rsid w:val="00C606F0"/>
    <w:rsid w:val="00C62587"/>
    <w:rsid w:val="00C62900"/>
    <w:rsid w:val="00C6582B"/>
    <w:rsid w:val="00C65FD6"/>
    <w:rsid w:val="00C73D10"/>
    <w:rsid w:val="00C74528"/>
    <w:rsid w:val="00C764DD"/>
    <w:rsid w:val="00C81A36"/>
    <w:rsid w:val="00C84264"/>
    <w:rsid w:val="00C844D6"/>
    <w:rsid w:val="00C84CF5"/>
    <w:rsid w:val="00C85802"/>
    <w:rsid w:val="00C86DF1"/>
    <w:rsid w:val="00C93F07"/>
    <w:rsid w:val="00C956A2"/>
    <w:rsid w:val="00C97B91"/>
    <w:rsid w:val="00C97F7C"/>
    <w:rsid w:val="00CA1153"/>
    <w:rsid w:val="00CA3B7B"/>
    <w:rsid w:val="00CA4F62"/>
    <w:rsid w:val="00CA6573"/>
    <w:rsid w:val="00CA6A7F"/>
    <w:rsid w:val="00CB0350"/>
    <w:rsid w:val="00CB104C"/>
    <w:rsid w:val="00CB6FA9"/>
    <w:rsid w:val="00CC2135"/>
    <w:rsid w:val="00CC2139"/>
    <w:rsid w:val="00CD0CA0"/>
    <w:rsid w:val="00CD3575"/>
    <w:rsid w:val="00CD5B39"/>
    <w:rsid w:val="00CD6A6D"/>
    <w:rsid w:val="00CE2131"/>
    <w:rsid w:val="00CF22F5"/>
    <w:rsid w:val="00CF27D9"/>
    <w:rsid w:val="00CF56BE"/>
    <w:rsid w:val="00CF6C63"/>
    <w:rsid w:val="00D03C09"/>
    <w:rsid w:val="00D060DE"/>
    <w:rsid w:val="00D164C9"/>
    <w:rsid w:val="00D176EC"/>
    <w:rsid w:val="00D179F6"/>
    <w:rsid w:val="00D25B01"/>
    <w:rsid w:val="00D34D18"/>
    <w:rsid w:val="00D358C3"/>
    <w:rsid w:val="00D428B5"/>
    <w:rsid w:val="00D43F13"/>
    <w:rsid w:val="00D4534A"/>
    <w:rsid w:val="00D46A91"/>
    <w:rsid w:val="00D46D1A"/>
    <w:rsid w:val="00D47208"/>
    <w:rsid w:val="00D47291"/>
    <w:rsid w:val="00D52A9B"/>
    <w:rsid w:val="00D557BC"/>
    <w:rsid w:val="00D65A0D"/>
    <w:rsid w:val="00D6798C"/>
    <w:rsid w:val="00D70C31"/>
    <w:rsid w:val="00D70D55"/>
    <w:rsid w:val="00D7688C"/>
    <w:rsid w:val="00D820DC"/>
    <w:rsid w:val="00D83F6E"/>
    <w:rsid w:val="00D86D4A"/>
    <w:rsid w:val="00D901E3"/>
    <w:rsid w:val="00D90483"/>
    <w:rsid w:val="00D924E3"/>
    <w:rsid w:val="00D946CC"/>
    <w:rsid w:val="00D96218"/>
    <w:rsid w:val="00DA0C0D"/>
    <w:rsid w:val="00DA2363"/>
    <w:rsid w:val="00DA33C2"/>
    <w:rsid w:val="00DA3A65"/>
    <w:rsid w:val="00DB1E8B"/>
    <w:rsid w:val="00DB5E1A"/>
    <w:rsid w:val="00DC0E90"/>
    <w:rsid w:val="00DC304E"/>
    <w:rsid w:val="00DC36A3"/>
    <w:rsid w:val="00DC4134"/>
    <w:rsid w:val="00DC69D5"/>
    <w:rsid w:val="00DD1100"/>
    <w:rsid w:val="00DD248A"/>
    <w:rsid w:val="00DD3188"/>
    <w:rsid w:val="00DD549C"/>
    <w:rsid w:val="00DE2328"/>
    <w:rsid w:val="00DE445B"/>
    <w:rsid w:val="00DE5245"/>
    <w:rsid w:val="00DE56F9"/>
    <w:rsid w:val="00DE650F"/>
    <w:rsid w:val="00DF4417"/>
    <w:rsid w:val="00DF4FC5"/>
    <w:rsid w:val="00DF693C"/>
    <w:rsid w:val="00DF6E59"/>
    <w:rsid w:val="00E04B6B"/>
    <w:rsid w:val="00E04C4F"/>
    <w:rsid w:val="00E07659"/>
    <w:rsid w:val="00E1300D"/>
    <w:rsid w:val="00E16FE7"/>
    <w:rsid w:val="00E22F89"/>
    <w:rsid w:val="00E40C42"/>
    <w:rsid w:val="00E42962"/>
    <w:rsid w:val="00E43951"/>
    <w:rsid w:val="00E4614A"/>
    <w:rsid w:val="00E5341B"/>
    <w:rsid w:val="00E567F1"/>
    <w:rsid w:val="00E61BDC"/>
    <w:rsid w:val="00E62A23"/>
    <w:rsid w:val="00E654A1"/>
    <w:rsid w:val="00E65819"/>
    <w:rsid w:val="00E65D46"/>
    <w:rsid w:val="00E666E3"/>
    <w:rsid w:val="00E66F29"/>
    <w:rsid w:val="00E67EB8"/>
    <w:rsid w:val="00E717B2"/>
    <w:rsid w:val="00E719CF"/>
    <w:rsid w:val="00E7730D"/>
    <w:rsid w:val="00E81C80"/>
    <w:rsid w:val="00E8217C"/>
    <w:rsid w:val="00E82257"/>
    <w:rsid w:val="00E86506"/>
    <w:rsid w:val="00E87A1C"/>
    <w:rsid w:val="00E90293"/>
    <w:rsid w:val="00E93544"/>
    <w:rsid w:val="00E96025"/>
    <w:rsid w:val="00E9698D"/>
    <w:rsid w:val="00E97BAB"/>
    <w:rsid w:val="00EA6BB6"/>
    <w:rsid w:val="00EB45CE"/>
    <w:rsid w:val="00EB4CBA"/>
    <w:rsid w:val="00EB5A51"/>
    <w:rsid w:val="00EC13CD"/>
    <w:rsid w:val="00EC2E8F"/>
    <w:rsid w:val="00EC3258"/>
    <w:rsid w:val="00EC4C91"/>
    <w:rsid w:val="00ED16A4"/>
    <w:rsid w:val="00ED16CD"/>
    <w:rsid w:val="00ED69DB"/>
    <w:rsid w:val="00EE0ABD"/>
    <w:rsid w:val="00EE209B"/>
    <w:rsid w:val="00EE2162"/>
    <w:rsid w:val="00EE3E63"/>
    <w:rsid w:val="00EE42E3"/>
    <w:rsid w:val="00EE7763"/>
    <w:rsid w:val="00EF2984"/>
    <w:rsid w:val="00EF3F85"/>
    <w:rsid w:val="00EF6AAE"/>
    <w:rsid w:val="00F117B5"/>
    <w:rsid w:val="00F177AE"/>
    <w:rsid w:val="00F17889"/>
    <w:rsid w:val="00F17979"/>
    <w:rsid w:val="00F20A34"/>
    <w:rsid w:val="00F22932"/>
    <w:rsid w:val="00F26C05"/>
    <w:rsid w:val="00F30967"/>
    <w:rsid w:val="00F34137"/>
    <w:rsid w:val="00F35E39"/>
    <w:rsid w:val="00F36B1C"/>
    <w:rsid w:val="00F41479"/>
    <w:rsid w:val="00F430D3"/>
    <w:rsid w:val="00F47939"/>
    <w:rsid w:val="00F50BE2"/>
    <w:rsid w:val="00F512D4"/>
    <w:rsid w:val="00F553C3"/>
    <w:rsid w:val="00F55F45"/>
    <w:rsid w:val="00F563BE"/>
    <w:rsid w:val="00F65CDF"/>
    <w:rsid w:val="00F66166"/>
    <w:rsid w:val="00F6655A"/>
    <w:rsid w:val="00F72F56"/>
    <w:rsid w:val="00F81606"/>
    <w:rsid w:val="00F82D5A"/>
    <w:rsid w:val="00F84D13"/>
    <w:rsid w:val="00F86544"/>
    <w:rsid w:val="00F87497"/>
    <w:rsid w:val="00F914E8"/>
    <w:rsid w:val="00F93F18"/>
    <w:rsid w:val="00F97687"/>
    <w:rsid w:val="00FA525B"/>
    <w:rsid w:val="00FA6D3D"/>
    <w:rsid w:val="00FA7085"/>
    <w:rsid w:val="00FB2E0C"/>
    <w:rsid w:val="00FC1134"/>
    <w:rsid w:val="00FC202F"/>
    <w:rsid w:val="00FC203C"/>
    <w:rsid w:val="00FC2526"/>
    <w:rsid w:val="00FC28BA"/>
    <w:rsid w:val="00FD1342"/>
    <w:rsid w:val="00FD4747"/>
    <w:rsid w:val="00FD4943"/>
    <w:rsid w:val="00FD63DD"/>
    <w:rsid w:val="00FD7883"/>
    <w:rsid w:val="00FE1C04"/>
    <w:rsid w:val="00FE3C52"/>
    <w:rsid w:val="00FE75FE"/>
    <w:rsid w:val="00FF064C"/>
    <w:rsid w:val="00FF423C"/>
    <w:rsid w:val="00FF44CE"/>
    <w:rsid w:val="00FF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D5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CD"/>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uiPriority w:val="99"/>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B19CD"/>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character" w:styleId="CommentReference">
    <w:name w:val="annotation reference"/>
    <w:uiPriority w:val="99"/>
    <w:rsid w:val="00A6542F"/>
    <w:rPr>
      <w:sz w:val="16"/>
      <w:szCs w:val="16"/>
    </w:rPr>
  </w:style>
  <w:style w:type="paragraph" w:styleId="CommentText">
    <w:name w:val="annotation text"/>
    <w:basedOn w:val="Normal"/>
    <w:link w:val="CommentTextChar"/>
    <w:uiPriority w:val="99"/>
    <w:rsid w:val="00A6542F"/>
    <w:rPr>
      <w:sz w:val="20"/>
      <w:szCs w:val="20"/>
    </w:rPr>
  </w:style>
  <w:style w:type="paragraph" w:customStyle="1" w:styleId="paragraph">
    <w:name w:val="paragraph"/>
    <w:basedOn w:val="Normal"/>
    <w:rsid w:val="00BC378F"/>
    <w:pPr>
      <w:spacing w:before="200" w:line="320" w:lineRule="exact"/>
      <w:ind w:left="1440"/>
    </w:pPr>
  </w:style>
  <w:style w:type="character" w:customStyle="1" w:styleId="CommentTextChar">
    <w:name w:val="Comment Text Char"/>
    <w:basedOn w:val="DefaultParagraphFont"/>
    <w:link w:val="CommentText"/>
    <w:uiPriority w:val="99"/>
    <w:rsid w:val="00A6542F"/>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226452"/>
    <w:pPr>
      <w:ind w:left="720"/>
    </w:pPr>
    <w:rPr>
      <w:rFonts w:ascii="Calibri" w:eastAsia="Calibri" w:hAnsi="Calibri"/>
      <w:sz w:val="22"/>
      <w:szCs w:val="22"/>
    </w:rPr>
  </w:style>
  <w:style w:type="paragraph" w:styleId="CommentSubject">
    <w:name w:val="annotation subject"/>
    <w:basedOn w:val="CommentText"/>
    <w:next w:val="CommentText"/>
    <w:link w:val="CommentSubjectChar"/>
    <w:rsid w:val="005B19CD"/>
    <w:rPr>
      <w:b/>
      <w:bCs/>
    </w:rPr>
  </w:style>
  <w:style w:type="character" w:customStyle="1" w:styleId="CommentSubjectChar">
    <w:name w:val="Comment Subject Char"/>
    <w:basedOn w:val="CommentTextChar"/>
    <w:link w:val="CommentSubject"/>
    <w:rsid w:val="005B19CD"/>
    <w:rPr>
      <w:b/>
      <w:bCs/>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C1-CtrBoldHd">
    <w:name w:val="C1-Ctr BoldHd"/>
    <w:rsid w:val="005B19CD"/>
    <w:pPr>
      <w:keepNext/>
      <w:spacing w:after="720" w:line="240" w:lineRule="atLeast"/>
      <w:jc w:val="center"/>
    </w:pPr>
    <w:rPr>
      <w:b/>
      <w:caps/>
      <w:sz w:val="24"/>
    </w:rPr>
  </w:style>
  <w:style w:type="paragraph" w:customStyle="1" w:styleId="heading20">
    <w:name w:val="heading2"/>
    <w:basedOn w:val="Heading3"/>
    <w:next w:val="Normal"/>
    <w:semiHidden/>
    <w:rsid w:val="00BC378F"/>
    <w:pPr>
      <w:spacing w:before="120"/>
    </w:pPr>
    <w:rPr>
      <w:rFonts w:cs="Times New Roman"/>
    </w:rPr>
  </w:style>
  <w:style w:type="character" w:customStyle="1" w:styleId="label-1">
    <w:name w:val="label-1"/>
    <w:rsid w:val="005B19CD"/>
    <w:rPr>
      <w:b/>
      <w:bCs/>
      <w:sz w:val="20"/>
      <w:szCs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label-2">
    <w:name w:val="label-2"/>
    <w:rsid w:val="005B19CD"/>
    <w:rPr>
      <w:b/>
      <w:bCs/>
      <w:sz w:val="20"/>
      <w:szCs w:val="20"/>
    </w:rPr>
  </w:style>
  <w:style w:type="character" w:customStyle="1" w:styleId="label-3">
    <w:name w:val="label-3"/>
    <w:rsid w:val="005B19CD"/>
    <w:rPr>
      <w:b/>
      <w:bCs/>
      <w:sz w:val="20"/>
      <w:szCs w:val="20"/>
    </w:rPr>
  </w:style>
  <w:style w:type="character" w:customStyle="1" w:styleId="label-4">
    <w:name w:val="label-4"/>
    <w:rsid w:val="005B19CD"/>
    <w:rPr>
      <w:b/>
      <w:bCs/>
      <w:sz w:val="20"/>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label-5">
    <w:name w:val="label-5"/>
    <w:rsid w:val="005B19CD"/>
    <w:rPr>
      <w:b/>
      <w:bCs/>
      <w:sz w:val="20"/>
      <w:szCs w:val="20"/>
    </w:rPr>
  </w:style>
  <w:style w:type="character" w:customStyle="1" w:styleId="labelhead-1">
    <w:name w:val="labelhead-1"/>
    <w:rsid w:val="005B19CD"/>
    <w:rPr>
      <w:b w:val="0"/>
      <w:bCs w:val="0"/>
      <w:sz w:val="20"/>
      <w:szCs w:val="20"/>
    </w:rPr>
  </w:style>
  <w:style w:type="paragraph" w:customStyle="1" w:styleId="Default">
    <w:name w:val="Default"/>
    <w:uiPriority w:val="99"/>
    <w:rsid w:val="005B19CD"/>
    <w:pPr>
      <w:widowControl w:val="0"/>
      <w:autoSpaceDE w:val="0"/>
      <w:autoSpaceDN w:val="0"/>
      <w:adjustRightInd w:val="0"/>
    </w:pPr>
    <w:rPr>
      <w:rFonts w:ascii="EEAGN D+ Melior" w:hAnsi="EEAGN D+ Melior" w:cs="EEAGN D+ Melior"/>
      <w:color w:val="000000"/>
      <w:sz w:val="24"/>
      <w:szCs w:val="24"/>
    </w:rPr>
  </w:style>
  <w:style w:type="paragraph" w:customStyle="1" w:styleId="YBCSReportBodyText">
    <w:name w:val="YBCS Report_Body Text"/>
    <w:basedOn w:val="Normal"/>
    <w:qFormat/>
    <w:rsid w:val="005B19CD"/>
    <w:pPr>
      <w:spacing w:after="240"/>
      <w:jc w:val="both"/>
    </w:pPr>
    <w:rPr>
      <w:rFonts w:eastAsia="Calibri" w:cs="Arial"/>
      <w:color w:val="00000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styleId="BodyText">
    <w:name w:val="Body Text"/>
    <w:basedOn w:val="Normal"/>
    <w:link w:val="BodyTextChar"/>
    <w:rsid w:val="005B19CD"/>
    <w:pPr>
      <w:spacing w:after="240"/>
      <w:jc w:val="both"/>
    </w:pPr>
    <w:rPr>
      <w:rFonts w:ascii="Arial Narrow" w:hAnsi="Arial Narrow"/>
      <w:lang w:val="x-none" w:eastAsia="x-none"/>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character" w:customStyle="1" w:styleId="BodyTextChar">
    <w:name w:val="Body Text Char"/>
    <w:basedOn w:val="DefaultParagraphFont"/>
    <w:link w:val="BodyText"/>
    <w:rsid w:val="005B19CD"/>
    <w:rPr>
      <w:rFonts w:ascii="Arial Narrow" w:hAnsi="Arial Narrow"/>
      <w:sz w:val="24"/>
      <w:szCs w:val="24"/>
      <w:lang w:val="x-none" w:eastAsia="x-none"/>
    </w:rPr>
  </w:style>
  <w:style w:type="paragraph" w:customStyle="1" w:styleId="BodyTextNumbered">
    <w:name w:val="Body Text Numbered"/>
    <w:basedOn w:val="BodyText"/>
    <w:qFormat/>
    <w:rsid w:val="005B19CD"/>
    <w:pPr>
      <w:numPr>
        <w:numId w:val="7"/>
      </w:numPr>
      <w:spacing w:after="0"/>
    </w:pPr>
  </w:style>
  <w:style w:type="paragraph" w:customStyle="1" w:styleId="BodyTextNumberedLast">
    <w:name w:val="Body Text Numbered Last"/>
    <w:basedOn w:val="BodyTextNumbered"/>
    <w:qFormat/>
    <w:rsid w:val="005B19CD"/>
    <w:pPr>
      <w:spacing w:after="240"/>
    </w:pPr>
  </w:style>
  <w:style w:type="character" w:customStyle="1" w:styleId="HeaderChar">
    <w:name w:val="Header Char"/>
    <w:link w:val="Header"/>
    <w:rsid w:val="005B19CD"/>
  </w:style>
  <w:style w:type="paragraph" w:customStyle="1" w:styleId="BodyText1">
    <w:name w:val="Body Text1"/>
    <w:basedOn w:val="Normal"/>
    <w:link w:val="bodytextChar0"/>
    <w:rsid w:val="005B19CD"/>
    <w:pPr>
      <w:spacing w:after="120"/>
      <w:ind w:firstLine="360"/>
    </w:pPr>
    <w:rPr>
      <w:sz w:val="22"/>
      <w:szCs w:val="20"/>
      <w:lang w:val="x-none" w:eastAsia="x-none"/>
    </w:rPr>
  </w:style>
  <w:style w:type="paragraph" w:customStyle="1" w:styleId="ExhibitTitle">
    <w:name w:val="Exhibit Title"/>
    <w:link w:val="ExhibitTitleChar"/>
    <w:rsid w:val="005B19CD"/>
    <w:pPr>
      <w:keepNext/>
      <w:keepLines/>
      <w:spacing w:after="60" w:line="240" w:lineRule="exact"/>
      <w:ind w:left="1440" w:hanging="1440"/>
    </w:pPr>
    <w:rPr>
      <w:rFonts w:ascii="Arial Black" w:hAnsi="Arial Black"/>
      <w:snapToGrid w:val="0"/>
      <w:color w:val="0A357E"/>
      <w:sz w:val="22"/>
    </w:rPr>
  </w:style>
  <w:style w:type="paragraph" w:customStyle="1" w:styleId="agraph">
    <w:name w:val="agraph"/>
    <w:basedOn w:val="Normal"/>
    <w:rsid w:val="005B19CD"/>
    <w:pPr>
      <w:keepNext/>
      <w:spacing w:before="120" w:after="120"/>
      <w:jc w:val="center"/>
    </w:pPr>
    <w:rPr>
      <w:sz w:val="22"/>
      <w:szCs w:val="20"/>
    </w:rPr>
  </w:style>
  <w:style w:type="character" w:customStyle="1" w:styleId="bodytextChar0">
    <w:name w:val="body text Char"/>
    <w:link w:val="BodyText1"/>
    <w:rsid w:val="005B19CD"/>
    <w:rPr>
      <w:sz w:val="22"/>
      <w:lang w:val="x-none" w:eastAsia="x-none"/>
    </w:rPr>
  </w:style>
  <w:style w:type="character" w:customStyle="1" w:styleId="ExhibitTitleChar">
    <w:name w:val="Exhibit Title Char"/>
    <w:link w:val="ExhibitTitle"/>
    <w:rsid w:val="005B19CD"/>
    <w:rPr>
      <w:rFonts w:ascii="Arial Black" w:hAnsi="Arial Black"/>
      <w:snapToGrid w:val="0"/>
      <w:color w:val="0A357E"/>
      <w:sz w:val="22"/>
    </w:rPr>
  </w:style>
  <w:style w:type="paragraph" w:customStyle="1" w:styleId="bodytextpsg">
    <w:name w:val="body text_psg"/>
    <w:basedOn w:val="Normal"/>
    <w:link w:val="bodytextpsgChar"/>
    <w:rsid w:val="005B19CD"/>
    <w:pPr>
      <w:ind w:firstLine="720"/>
    </w:pPr>
    <w:rPr>
      <w:sz w:val="22"/>
      <w:szCs w:val="20"/>
      <w:lang w:val="x-none" w:eastAsia="x-none"/>
    </w:rPr>
  </w:style>
  <w:style w:type="character" w:customStyle="1" w:styleId="bodytextpsgChar">
    <w:name w:val="body text_psg Char"/>
    <w:link w:val="bodytextpsg"/>
    <w:rsid w:val="005B19CD"/>
    <w:rPr>
      <w:sz w:val="22"/>
      <w:lang w:val="x-none" w:eastAsia="x-none"/>
    </w:rPr>
  </w:style>
  <w:style w:type="character" w:customStyle="1" w:styleId="Heading3Char">
    <w:name w:val="Heading 3 Char"/>
    <w:link w:val="Heading3"/>
    <w:uiPriority w:val="99"/>
    <w:rsid w:val="005B19CD"/>
    <w:rPr>
      <w:rFonts w:cs="Arial"/>
      <w:b/>
      <w:bCs/>
      <w:i/>
      <w:iCs/>
      <w:sz w:val="24"/>
      <w:szCs w:val="22"/>
      <w:lang w:val="en-CA"/>
    </w:rPr>
  </w:style>
  <w:style w:type="character" w:customStyle="1" w:styleId="Heading2Char">
    <w:name w:val="Heading 2 Char"/>
    <w:link w:val="Heading2"/>
    <w:rsid w:val="005B19CD"/>
    <w:rPr>
      <w:rFonts w:cs="Arial"/>
      <w:b/>
      <w:bCs/>
      <w:iCs/>
      <w:sz w:val="24"/>
      <w:szCs w:val="28"/>
    </w:rPr>
  </w:style>
  <w:style w:type="paragraph" w:styleId="Revision">
    <w:name w:val="Revision"/>
    <w:hidden/>
    <w:uiPriority w:val="99"/>
    <w:semiHidden/>
    <w:rsid w:val="005B19CD"/>
    <w:rPr>
      <w:sz w:val="24"/>
      <w:szCs w:val="24"/>
    </w:rPr>
  </w:style>
  <w:style w:type="paragraph" w:customStyle="1" w:styleId="CM19">
    <w:name w:val="CM19"/>
    <w:basedOn w:val="Default"/>
    <w:next w:val="Default"/>
    <w:rsid w:val="005B19CD"/>
    <w:pPr>
      <w:spacing w:after="78"/>
    </w:pPr>
    <w:rPr>
      <w:rFonts w:cs="Times New Roman"/>
      <w:color w:val="auto"/>
    </w:rPr>
  </w:style>
  <w:style w:type="paragraph" w:styleId="Bibliography">
    <w:name w:val="Bibliography"/>
    <w:basedOn w:val="Normal"/>
    <w:next w:val="Normal"/>
    <w:uiPriority w:val="37"/>
    <w:semiHidden/>
    <w:unhideWhenUsed/>
    <w:rsid w:val="005B19CD"/>
    <w:rPr>
      <w:rFonts w:ascii="Verdana" w:eastAsia="SimSun" w:hAnsi="Verdana"/>
      <w:sz w:val="20"/>
    </w:rPr>
  </w:style>
  <w:style w:type="character" w:customStyle="1" w:styleId="Heading1Char">
    <w:name w:val="Heading 1 Char"/>
    <w:link w:val="Heading1"/>
    <w:rsid w:val="005B19CD"/>
    <w:rPr>
      <w:rFonts w:ascii="Times New Roman Bold" w:hAnsi="Times New Roman Bold"/>
      <w:b/>
      <w:bCs/>
      <w:caps/>
      <w:sz w:val="24"/>
      <w:szCs w:val="24"/>
    </w:rPr>
  </w:style>
  <w:style w:type="paragraph" w:styleId="BodyTextIndent">
    <w:name w:val="Body Text Indent"/>
    <w:basedOn w:val="Normal"/>
    <w:link w:val="BodyTextIndentChar"/>
    <w:rsid w:val="005B19CD"/>
    <w:pPr>
      <w:spacing w:after="120"/>
      <w:ind w:left="360"/>
    </w:pPr>
  </w:style>
  <w:style w:type="character" w:customStyle="1" w:styleId="BodyTextIndentChar">
    <w:name w:val="Body Text Indent Char"/>
    <w:basedOn w:val="DefaultParagraphFont"/>
    <w:link w:val="BodyTextIndent"/>
    <w:rsid w:val="005B19CD"/>
    <w:rPr>
      <w:sz w:val="24"/>
      <w:szCs w:val="24"/>
    </w:rPr>
  </w:style>
  <w:style w:type="paragraph" w:customStyle="1" w:styleId="BodyTextaft-12">
    <w:name w:val="Body Text_aft-12"/>
    <w:basedOn w:val="Normal"/>
    <w:qFormat/>
    <w:rsid w:val="005B19CD"/>
    <w:pPr>
      <w:spacing w:before="120" w:after="120"/>
    </w:pPr>
    <w:rPr>
      <w:sz w:val="22"/>
      <w:szCs w:val="20"/>
    </w:rPr>
  </w:style>
  <w:style w:type="paragraph" w:customStyle="1" w:styleId="bodytextCharCharChar">
    <w:name w:val="body text Char Char Char"/>
    <w:aliases w:val="bt Char Char Char,body tx Char Char Char,indent Char Char Char,flush Char Char Char"/>
    <w:basedOn w:val="Normal"/>
    <w:uiPriority w:val="99"/>
    <w:rsid w:val="005B19CD"/>
    <w:pPr>
      <w:spacing w:after="240"/>
      <w:ind w:firstLine="720"/>
    </w:pPr>
  </w:style>
  <w:style w:type="paragraph" w:styleId="NoSpacing">
    <w:name w:val="No Spacing"/>
    <w:uiPriority w:val="1"/>
    <w:qFormat/>
    <w:rsid w:val="005B19CD"/>
    <w:rPr>
      <w:sz w:val="24"/>
      <w:szCs w:val="24"/>
    </w:rPr>
  </w:style>
  <w:style w:type="paragraph" w:customStyle="1" w:styleId="bibliogrpahy">
    <w:name w:val="bibliogrpahy"/>
    <w:rsid w:val="00BC378F"/>
    <w:pPr>
      <w:spacing w:after="110"/>
      <w:ind w:left="720" w:hanging="720"/>
    </w:pPr>
    <w:rPr>
      <w:sz w:val="24"/>
      <w:szCs w:val="24"/>
    </w:rPr>
  </w:style>
  <w:style w:type="paragraph" w:customStyle="1" w:styleId="TableText">
    <w:name w:val="Table Text"/>
    <w:basedOn w:val="Normal"/>
    <w:qFormat/>
    <w:rsid w:val="005B19CD"/>
    <w:pPr>
      <w:spacing w:before="60" w:after="60"/>
    </w:pPr>
    <w:rPr>
      <w:rFonts w:ascii="Verdana" w:eastAsia="MS Mincho" w:hAnsi="Verdana"/>
      <w:sz w:val="18"/>
      <w:szCs w:val="20"/>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2">
    <w:name w:val="Body Text2"/>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uiPriority w:val="99"/>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EndNoteBibliographyChar">
    <w:name w:val="EndNote Bibliography Char"/>
    <w:basedOn w:val="DefaultParagraphFont"/>
    <w:link w:val="EndNoteBibliography"/>
    <w:locked/>
    <w:rsid w:val="00665D23"/>
    <w:rPr>
      <w:noProof/>
      <w:sz w:val="24"/>
      <w:szCs w:val="24"/>
    </w:rPr>
  </w:style>
  <w:style w:type="paragraph" w:customStyle="1" w:styleId="EndNoteBibliography">
    <w:name w:val="EndNote Bibliography"/>
    <w:basedOn w:val="Normal"/>
    <w:link w:val="EndNoteBibliographyChar"/>
    <w:rsid w:val="00665D23"/>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CD"/>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uiPriority w:val="99"/>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B19CD"/>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character" w:styleId="CommentReference">
    <w:name w:val="annotation reference"/>
    <w:uiPriority w:val="99"/>
    <w:rsid w:val="00A6542F"/>
    <w:rPr>
      <w:sz w:val="16"/>
      <w:szCs w:val="16"/>
    </w:rPr>
  </w:style>
  <w:style w:type="paragraph" w:styleId="CommentText">
    <w:name w:val="annotation text"/>
    <w:basedOn w:val="Normal"/>
    <w:link w:val="CommentTextChar"/>
    <w:uiPriority w:val="99"/>
    <w:rsid w:val="00A6542F"/>
    <w:rPr>
      <w:sz w:val="20"/>
      <w:szCs w:val="20"/>
    </w:rPr>
  </w:style>
  <w:style w:type="paragraph" w:customStyle="1" w:styleId="paragraph">
    <w:name w:val="paragraph"/>
    <w:basedOn w:val="Normal"/>
    <w:rsid w:val="00BC378F"/>
    <w:pPr>
      <w:spacing w:before="200" w:line="320" w:lineRule="exact"/>
      <w:ind w:left="1440"/>
    </w:pPr>
  </w:style>
  <w:style w:type="character" w:customStyle="1" w:styleId="CommentTextChar">
    <w:name w:val="Comment Text Char"/>
    <w:basedOn w:val="DefaultParagraphFont"/>
    <w:link w:val="CommentText"/>
    <w:uiPriority w:val="99"/>
    <w:rsid w:val="00A6542F"/>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226452"/>
    <w:pPr>
      <w:ind w:left="720"/>
    </w:pPr>
    <w:rPr>
      <w:rFonts w:ascii="Calibri" w:eastAsia="Calibri" w:hAnsi="Calibri"/>
      <w:sz w:val="22"/>
      <w:szCs w:val="22"/>
    </w:rPr>
  </w:style>
  <w:style w:type="paragraph" w:styleId="CommentSubject">
    <w:name w:val="annotation subject"/>
    <w:basedOn w:val="CommentText"/>
    <w:next w:val="CommentText"/>
    <w:link w:val="CommentSubjectChar"/>
    <w:rsid w:val="005B19CD"/>
    <w:rPr>
      <w:b/>
      <w:bCs/>
    </w:rPr>
  </w:style>
  <w:style w:type="character" w:customStyle="1" w:styleId="CommentSubjectChar">
    <w:name w:val="Comment Subject Char"/>
    <w:basedOn w:val="CommentTextChar"/>
    <w:link w:val="CommentSubject"/>
    <w:rsid w:val="005B19CD"/>
    <w:rPr>
      <w:b/>
      <w:bCs/>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C1-CtrBoldHd">
    <w:name w:val="C1-Ctr BoldHd"/>
    <w:rsid w:val="005B19CD"/>
    <w:pPr>
      <w:keepNext/>
      <w:spacing w:after="720" w:line="240" w:lineRule="atLeast"/>
      <w:jc w:val="center"/>
    </w:pPr>
    <w:rPr>
      <w:b/>
      <w:caps/>
      <w:sz w:val="24"/>
    </w:rPr>
  </w:style>
  <w:style w:type="paragraph" w:customStyle="1" w:styleId="heading20">
    <w:name w:val="heading2"/>
    <w:basedOn w:val="Heading3"/>
    <w:next w:val="Normal"/>
    <w:semiHidden/>
    <w:rsid w:val="00BC378F"/>
    <w:pPr>
      <w:spacing w:before="120"/>
    </w:pPr>
    <w:rPr>
      <w:rFonts w:cs="Times New Roman"/>
    </w:rPr>
  </w:style>
  <w:style w:type="character" w:customStyle="1" w:styleId="label-1">
    <w:name w:val="label-1"/>
    <w:rsid w:val="005B19CD"/>
    <w:rPr>
      <w:b/>
      <w:bCs/>
      <w:sz w:val="20"/>
      <w:szCs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label-2">
    <w:name w:val="label-2"/>
    <w:rsid w:val="005B19CD"/>
    <w:rPr>
      <w:b/>
      <w:bCs/>
      <w:sz w:val="20"/>
      <w:szCs w:val="20"/>
    </w:rPr>
  </w:style>
  <w:style w:type="character" w:customStyle="1" w:styleId="label-3">
    <w:name w:val="label-3"/>
    <w:rsid w:val="005B19CD"/>
    <w:rPr>
      <w:b/>
      <w:bCs/>
      <w:sz w:val="20"/>
      <w:szCs w:val="20"/>
    </w:rPr>
  </w:style>
  <w:style w:type="character" w:customStyle="1" w:styleId="label-4">
    <w:name w:val="label-4"/>
    <w:rsid w:val="005B19CD"/>
    <w:rPr>
      <w:b/>
      <w:bCs/>
      <w:sz w:val="20"/>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label-5">
    <w:name w:val="label-5"/>
    <w:rsid w:val="005B19CD"/>
    <w:rPr>
      <w:b/>
      <w:bCs/>
      <w:sz w:val="20"/>
      <w:szCs w:val="20"/>
    </w:rPr>
  </w:style>
  <w:style w:type="character" w:customStyle="1" w:styleId="labelhead-1">
    <w:name w:val="labelhead-1"/>
    <w:rsid w:val="005B19CD"/>
    <w:rPr>
      <w:b w:val="0"/>
      <w:bCs w:val="0"/>
      <w:sz w:val="20"/>
      <w:szCs w:val="20"/>
    </w:rPr>
  </w:style>
  <w:style w:type="paragraph" w:customStyle="1" w:styleId="Default">
    <w:name w:val="Default"/>
    <w:uiPriority w:val="99"/>
    <w:rsid w:val="005B19CD"/>
    <w:pPr>
      <w:widowControl w:val="0"/>
      <w:autoSpaceDE w:val="0"/>
      <w:autoSpaceDN w:val="0"/>
      <w:adjustRightInd w:val="0"/>
    </w:pPr>
    <w:rPr>
      <w:rFonts w:ascii="EEAGN D+ Melior" w:hAnsi="EEAGN D+ Melior" w:cs="EEAGN D+ Melior"/>
      <w:color w:val="000000"/>
      <w:sz w:val="24"/>
      <w:szCs w:val="24"/>
    </w:rPr>
  </w:style>
  <w:style w:type="paragraph" w:customStyle="1" w:styleId="YBCSReportBodyText">
    <w:name w:val="YBCS Report_Body Text"/>
    <w:basedOn w:val="Normal"/>
    <w:qFormat/>
    <w:rsid w:val="005B19CD"/>
    <w:pPr>
      <w:spacing w:after="240"/>
      <w:jc w:val="both"/>
    </w:pPr>
    <w:rPr>
      <w:rFonts w:eastAsia="Calibri" w:cs="Arial"/>
      <w:color w:val="00000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styleId="BodyText">
    <w:name w:val="Body Text"/>
    <w:basedOn w:val="Normal"/>
    <w:link w:val="BodyTextChar"/>
    <w:rsid w:val="005B19CD"/>
    <w:pPr>
      <w:spacing w:after="240"/>
      <w:jc w:val="both"/>
    </w:pPr>
    <w:rPr>
      <w:rFonts w:ascii="Arial Narrow" w:hAnsi="Arial Narrow"/>
      <w:lang w:val="x-none" w:eastAsia="x-none"/>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character" w:customStyle="1" w:styleId="BodyTextChar">
    <w:name w:val="Body Text Char"/>
    <w:basedOn w:val="DefaultParagraphFont"/>
    <w:link w:val="BodyText"/>
    <w:rsid w:val="005B19CD"/>
    <w:rPr>
      <w:rFonts w:ascii="Arial Narrow" w:hAnsi="Arial Narrow"/>
      <w:sz w:val="24"/>
      <w:szCs w:val="24"/>
      <w:lang w:val="x-none" w:eastAsia="x-none"/>
    </w:rPr>
  </w:style>
  <w:style w:type="paragraph" w:customStyle="1" w:styleId="BodyTextNumbered">
    <w:name w:val="Body Text Numbered"/>
    <w:basedOn w:val="BodyText"/>
    <w:qFormat/>
    <w:rsid w:val="005B19CD"/>
    <w:pPr>
      <w:numPr>
        <w:numId w:val="7"/>
      </w:numPr>
      <w:spacing w:after="0"/>
    </w:pPr>
  </w:style>
  <w:style w:type="paragraph" w:customStyle="1" w:styleId="BodyTextNumberedLast">
    <w:name w:val="Body Text Numbered Last"/>
    <w:basedOn w:val="BodyTextNumbered"/>
    <w:qFormat/>
    <w:rsid w:val="005B19CD"/>
    <w:pPr>
      <w:spacing w:after="240"/>
    </w:pPr>
  </w:style>
  <w:style w:type="character" w:customStyle="1" w:styleId="HeaderChar">
    <w:name w:val="Header Char"/>
    <w:link w:val="Header"/>
    <w:rsid w:val="005B19CD"/>
  </w:style>
  <w:style w:type="paragraph" w:customStyle="1" w:styleId="BodyText1">
    <w:name w:val="Body Text1"/>
    <w:basedOn w:val="Normal"/>
    <w:link w:val="bodytextChar0"/>
    <w:rsid w:val="005B19CD"/>
    <w:pPr>
      <w:spacing w:after="120"/>
      <w:ind w:firstLine="360"/>
    </w:pPr>
    <w:rPr>
      <w:sz w:val="22"/>
      <w:szCs w:val="20"/>
      <w:lang w:val="x-none" w:eastAsia="x-none"/>
    </w:rPr>
  </w:style>
  <w:style w:type="paragraph" w:customStyle="1" w:styleId="ExhibitTitle">
    <w:name w:val="Exhibit Title"/>
    <w:link w:val="ExhibitTitleChar"/>
    <w:rsid w:val="005B19CD"/>
    <w:pPr>
      <w:keepNext/>
      <w:keepLines/>
      <w:spacing w:after="60" w:line="240" w:lineRule="exact"/>
      <w:ind w:left="1440" w:hanging="1440"/>
    </w:pPr>
    <w:rPr>
      <w:rFonts w:ascii="Arial Black" w:hAnsi="Arial Black"/>
      <w:snapToGrid w:val="0"/>
      <w:color w:val="0A357E"/>
      <w:sz w:val="22"/>
    </w:rPr>
  </w:style>
  <w:style w:type="paragraph" w:customStyle="1" w:styleId="agraph">
    <w:name w:val="agraph"/>
    <w:basedOn w:val="Normal"/>
    <w:rsid w:val="005B19CD"/>
    <w:pPr>
      <w:keepNext/>
      <w:spacing w:before="120" w:after="120"/>
      <w:jc w:val="center"/>
    </w:pPr>
    <w:rPr>
      <w:sz w:val="22"/>
      <w:szCs w:val="20"/>
    </w:rPr>
  </w:style>
  <w:style w:type="character" w:customStyle="1" w:styleId="bodytextChar0">
    <w:name w:val="body text Char"/>
    <w:link w:val="BodyText1"/>
    <w:rsid w:val="005B19CD"/>
    <w:rPr>
      <w:sz w:val="22"/>
      <w:lang w:val="x-none" w:eastAsia="x-none"/>
    </w:rPr>
  </w:style>
  <w:style w:type="character" w:customStyle="1" w:styleId="ExhibitTitleChar">
    <w:name w:val="Exhibit Title Char"/>
    <w:link w:val="ExhibitTitle"/>
    <w:rsid w:val="005B19CD"/>
    <w:rPr>
      <w:rFonts w:ascii="Arial Black" w:hAnsi="Arial Black"/>
      <w:snapToGrid w:val="0"/>
      <w:color w:val="0A357E"/>
      <w:sz w:val="22"/>
    </w:rPr>
  </w:style>
  <w:style w:type="paragraph" w:customStyle="1" w:styleId="bodytextpsg">
    <w:name w:val="body text_psg"/>
    <w:basedOn w:val="Normal"/>
    <w:link w:val="bodytextpsgChar"/>
    <w:rsid w:val="005B19CD"/>
    <w:pPr>
      <w:ind w:firstLine="720"/>
    </w:pPr>
    <w:rPr>
      <w:sz w:val="22"/>
      <w:szCs w:val="20"/>
      <w:lang w:val="x-none" w:eastAsia="x-none"/>
    </w:rPr>
  </w:style>
  <w:style w:type="character" w:customStyle="1" w:styleId="bodytextpsgChar">
    <w:name w:val="body text_psg Char"/>
    <w:link w:val="bodytextpsg"/>
    <w:rsid w:val="005B19CD"/>
    <w:rPr>
      <w:sz w:val="22"/>
      <w:lang w:val="x-none" w:eastAsia="x-none"/>
    </w:rPr>
  </w:style>
  <w:style w:type="character" w:customStyle="1" w:styleId="Heading3Char">
    <w:name w:val="Heading 3 Char"/>
    <w:link w:val="Heading3"/>
    <w:uiPriority w:val="99"/>
    <w:rsid w:val="005B19CD"/>
    <w:rPr>
      <w:rFonts w:cs="Arial"/>
      <w:b/>
      <w:bCs/>
      <w:i/>
      <w:iCs/>
      <w:sz w:val="24"/>
      <w:szCs w:val="22"/>
      <w:lang w:val="en-CA"/>
    </w:rPr>
  </w:style>
  <w:style w:type="character" w:customStyle="1" w:styleId="Heading2Char">
    <w:name w:val="Heading 2 Char"/>
    <w:link w:val="Heading2"/>
    <w:rsid w:val="005B19CD"/>
    <w:rPr>
      <w:rFonts w:cs="Arial"/>
      <w:b/>
      <w:bCs/>
      <w:iCs/>
      <w:sz w:val="24"/>
      <w:szCs w:val="28"/>
    </w:rPr>
  </w:style>
  <w:style w:type="paragraph" w:styleId="Revision">
    <w:name w:val="Revision"/>
    <w:hidden/>
    <w:uiPriority w:val="99"/>
    <w:semiHidden/>
    <w:rsid w:val="005B19CD"/>
    <w:rPr>
      <w:sz w:val="24"/>
      <w:szCs w:val="24"/>
    </w:rPr>
  </w:style>
  <w:style w:type="paragraph" w:customStyle="1" w:styleId="CM19">
    <w:name w:val="CM19"/>
    <w:basedOn w:val="Default"/>
    <w:next w:val="Default"/>
    <w:rsid w:val="005B19CD"/>
    <w:pPr>
      <w:spacing w:after="78"/>
    </w:pPr>
    <w:rPr>
      <w:rFonts w:cs="Times New Roman"/>
      <w:color w:val="auto"/>
    </w:rPr>
  </w:style>
  <w:style w:type="paragraph" w:styleId="Bibliography">
    <w:name w:val="Bibliography"/>
    <w:basedOn w:val="Normal"/>
    <w:next w:val="Normal"/>
    <w:uiPriority w:val="37"/>
    <w:semiHidden/>
    <w:unhideWhenUsed/>
    <w:rsid w:val="005B19CD"/>
    <w:rPr>
      <w:rFonts w:ascii="Verdana" w:eastAsia="SimSun" w:hAnsi="Verdana"/>
      <w:sz w:val="20"/>
    </w:rPr>
  </w:style>
  <w:style w:type="character" w:customStyle="1" w:styleId="Heading1Char">
    <w:name w:val="Heading 1 Char"/>
    <w:link w:val="Heading1"/>
    <w:rsid w:val="005B19CD"/>
    <w:rPr>
      <w:rFonts w:ascii="Times New Roman Bold" w:hAnsi="Times New Roman Bold"/>
      <w:b/>
      <w:bCs/>
      <w:caps/>
      <w:sz w:val="24"/>
      <w:szCs w:val="24"/>
    </w:rPr>
  </w:style>
  <w:style w:type="paragraph" w:styleId="BodyTextIndent">
    <w:name w:val="Body Text Indent"/>
    <w:basedOn w:val="Normal"/>
    <w:link w:val="BodyTextIndentChar"/>
    <w:rsid w:val="005B19CD"/>
    <w:pPr>
      <w:spacing w:after="120"/>
      <w:ind w:left="360"/>
    </w:pPr>
  </w:style>
  <w:style w:type="character" w:customStyle="1" w:styleId="BodyTextIndentChar">
    <w:name w:val="Body Text Indent Char"/>
    <w:basedOn w:val="DefaultParagraphFont"/>
    <w:link w:val="BodyTextIndent"/>
    <w:rsid w:val="005B19CD"/>
    <w:rPr>
      <w:sz w:val="24"/>
      <w:szCs w:val="24"/>
    </w:rPr>
  </w:style>
  <w:style w:type="paragraph" w:customStyle="1" w:styleId="BodyTextaft-12">
    <w:name w:val="Body Text_aft-12"/>
    <w:basedOn w:val="Normal"/>
    <w:qFormat/>
    <w:rsid w:val="005B19CD"/>
    <w:pPr>
      <w:spacing w:before="120" w:after="120"/>
    </w:pPr>
    <w:rPr>
      <w:sz w:val="22"/>
      <w:szCs w:val="20"/>
    </w:rPr>
  </w:style>
  <w:style w:type="paragraph" w:customStyle="1" w:styleId="bodytextCharCharChar">
    <w:name w:val="body text Char Char Char"/>
    <w:aliases w:val="bt Char Char Char,body tx Char Char Char,indent Char Char Char,flush Char Char Char"/>
    <w:basedOn w:val="Normal"/>
    <w:uiPriority w:val="99"/>
    <w:rsid w:val="005B19CD"/>
    <w:pPr>
      <w:spacing w:after="240"/>
      <w:ind w:firstLine="720"/>
    </w:pPr>
  </w:style>
  <w:style w:type="paragraph" w:styleId="NoSpacing">
    <w:name w:val="No Spacing"/>
    <w:uiPriority w:val="1"/>
    <w:qFormat/>
    <w:rsid w:val="005B19CD"/>
    <w:rPr>
      <w:sz w:val="24"/>
      <w:szCs w:val="24"/>
    </w:rPr>
  </w:style>
  <w:style w:type="paragraph" w:customStyle="1" w:styleId="bibliogrpahy">
    <w:name w:val="bibliogrpahy"/>
    <w:rsid w:val="00BC378F"/>
    <w:pPr>
      <w:spacing w:after="110"/>
      <w:ind w:left="720" w:hanging="720"/>
    </w:pPr>
    <w:rPr>
      <w:sz w:val="24"/>
      <w:szCs w:val="24"/>
    </w:rPr>
  </w:style>
  <w:style w:type="paragraph" w:customStyle="1" w:styleId="TableText">
    <w:name w:val="Table Text"/>
    <w:basedOn w:val="Normal"/>
    <w:qFormat/>
    <w:rsid w:val="005B19CD"/>
    <w:pPr>
      <w:spacing w:before="60" w:after="60"/>
    </w:pPr>
    <w:rPr>
      <w:rFonts w:ascii="Verdana" w:eastAsia="MS Mincho" w:hAnsi="Verdana"/>
      <w:sz w:val="18"/>
      <w:szCs w:val="20"/>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2">
    <w:name w:val="Body Text2"/>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uiPriority w:val="99"/>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EndNoteBibliographyChar">
    <w:name w:val="EndNote Bibliography Char"/>
    <w:basedOn w:val="DefaultParagraphFont"/>
    <w:link w:val="EndNoteBibliography"/>
    <w:locked/>
    <w:rsid w:val="00665D23"/>
    <w:rPr>
      <w:noProof/>
      <w:sz w:val="24"/>
      <w:szCs w:val="24"/>
    </w:rPr>
  </w:style>
  <w:style w:type="paragraph" w:customStyle="1" w:styleId="EndNoteBibliography">
    <w:name w:val="EndNote Bibliography"/>
    <w:basedOn w:val="Normal"/>
    <w:link w:val="EndNoteBibliographyChar"/>
    <w:rsid w:val="00665D2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633769">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155949622">
      <w:bodyDiv w:val="1"/>
      <w:marLeft w:val="0"/>
      <w:marRight w:val="0"/>
      <w:marTop w:val="0"/>
      <w:marBottom w:val="0"/>
      <w:divBdr>
        <w:top w:val="none" w:sz="0" w:space="0" w:color="auto"/>
        <w:left w:val="none" w:sz="0" w:space="0" w:color="auto"/>
        <w:bottom w:val="none" w:sz="0" w:space="0" w:color="auto"/>
        <w:right w:val="none" w:sz="0" w:space="0" w:color="auto"/>
      </w:divBdr>
    </w:div>
    <w:div w:id="1186167975">
      <w:bodyDiv w:val="1"/>
      <w:marLeft w:val="0"/>
      <w:marRight w:val="0"/>
      <w:marTop w:val="0"/>
      <w:marBottom w:val="0"/>
      <w:divBdr>
        <w:top w:val="none" w:sz="0" w:space="0" w:color="auto"/>
        <w:left w:val="none" w:sz="0" w:space="0" w:color="auto"/>
        <w:bottom w:val="none" w:sz="0" w:space="0" w:color="auto"/>
        <w:right w:val="none" w:sz="0" w:space="0" w:color="auto"/>
      </w:divBdr>
    </w:div>
    <w:div w:id="1215775117">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714">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877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q6@cdc.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cancer/survivorship/basic_info/survivors/index.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cancer/survivorship/pdf/plan.pdf" TargetMode="External"/><Relationship Id="rId4" Type="http://schemas.openxmlformats.org/officeDocument/2006/relationships/settings" Target="settings.xml"/><Relationship Id="rId9" Type="http://schemas.openxmlformats.org/officeDocument/2006/relationships/hyperlink" Target="http://relay.acsevents.org/site/PageNavigator/RFL_NE_Division_SurvC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5416</Words>
  <Characters>30874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36218</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2019-01-31T17:50:00Z</dcterms:created>
  <dcterms:modified xsi:type="dcterms:W3CDTF">2019-01-31T17:50:00Z</dcterms:modified>
</cp:coreProperties>
</file>