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299" w:rsidRPr="00001FCF" w:rsidRDefault="00B80299" w:rsidP="00B80299">
      <w:pPr>
        <w:spacing w:before="100" w:beforeAutospacing="1" w:after="100" w:afterAutospacing="1"/>
        <w:rPr>
          <w:b/>
        </w:rPr>
      </w:pPr>
      <w:bookmarkStart w:id="0" w:name="_GoBack"/>
      <w:bookmarkEnd w:id="0"/>
      <w:r w:rsidRPr="006F21E3">
        <w:rPr>
          <w:b/>
        </w:rPr>
        <w:t>Part</w:t>
      </w:r>
      <w:r>
        <w:t xml:space="preserve"> </w:t>
      </w:r>
      <w:r w:rsidRPr="00001FCF">
        <w:rPr>
          <w:b/>
        </w:rPr>
        <w:t>B. Statistical Methods</w:t>
      </w:r>
    </w:p>
    <w:p w:rsidR="00B80299" w:rsidRPr="00E00EA0" w:rsidRDefault="00B80299" w:rsidP="00B80299">
      <w:pPr>
        <w:numPr>
          <w:ilvl w:val="0"/>
          <w:numId w:val="1"/>
        </w:numPr>
        <w:spacing w:before="100" w:beforeAutospacing="1" w:after="100" w:afterAutospacing="1"/>
        <w:rPr>
          <w:u w:val="single"/>
        </w:rPr>
      </w:pPr>
      <w:r w:rsidRPr="00E00EA0">
        <w:rPr>
          <w:u w:val="single"/>
        </w:rPr>
        <w:t>Respondent Universe and Sampling Methods</w:t>
      </w:r>
    </w:p>
    <w:p w:rsidR="00B80299" w:rsidRPr="00FA62B3" w:rsidRDefault="00B80299" w:rsidP="00B80299">
      <w:pPr>
        <w:ind w:left="720"/>
      </w:pPr>
      <w:r w:rsidRPr="00FA62B3">
        <w:t xml:space="preserve">For the PDUFA VI IND communications assessment, FDA needs a sample of INDs that are likely to have activity during </w:t>
      </w:r>
      <w:r w:rsidR="003A5CF2">
        <w:t>a one-year period</w:t>
      </w:r>
      <w:r w:rsidR="003A5CF2" w:rsidRPr="00FA62B3">
        <w:t xml:space="preserve"> </w:t>
      </w:r>
      <w:r w:rsidRPr="00FA62B3">
        <w:t>and that adequately represent IND traits of interest:</w:t>
      </w:r>
    </w:p>
    <w:p w:rsidR="00B80299" w:rsidRPr="00FA62B3" w:rsidRDefault="00B80299" w:rsidP="00B80299">
      <w:pPr>
        <w:pStyle w:val="ListParagraph"/>
        <w:numPr>
          <w:ilvl w:val="0"/>
          <w:numId w:val="2"/>
        </w:numPr>
        <w:spacing w:after="120"/>
        <w:contextualSpacing w:val="0"/>
        <w:rPr>
          <w:sz w:val="23"/>
          <w:szCs w:val="23"/>
        </w:rPr>
      </w:pPr>
      <w:r w:rsidRPr="00FA62B3">
        <w:rPr>
          <w:b/>
        </w:rPr>
        <w:t xml:space="preserve">Sponsor size: </w:t>
      </w:r>
      <w:r w:rsidRPr="00FA62B3">
        <w:t>small, medium, large, and private</w:t>
      </w:r>
    </w:p>
    <w:p w:rsidR="00B80299" w:rsidRPr="00FA62B3" w:rsidRDefault="00B80299" w:rsidP="00B80299">
      <w:pPr>
        <w:pStyle w:val="ListParagraph"/>
        <w:numPr>
          <w:ilvl w:val="0"/>
          <w:numId w:val="2"/>
        </w:numPr>
        <w:spacing w:after="120"/>
        <w:contextualSpacing w:val="0"/>
      </w:pPr>
      <w:r w:rsidRPr="00FA62B3">
        <w:rPr>
          <w:b/>
        </w:rPr>
        <w:t xml:space="preserve">Breakthrough Therapy Designation (BTD): </w:t>
      </w:r>
      <w:r w:rsidRPr="00FA62B3">
        <w:t>with and without BTD</w:t>
      </w:r>
    </w:p>
    <w:p w:rsidR="00B80299" w:rsidRPr="00FA62B3" w:rsidRDefault="00B80299" w:rsidP="00B80299">
      <w:pPr>
        <w:pStyle w:val="ListParagraph"/>
        <w:numPr>
          <w:ilvl w:val="0"/>
          <w:numId w:val="2"/>
        </w:numPr>
        <w:spacing w:after="120"/>
        <w:contextualSpacing w:val="0"/>
      </w:pPr>
      <w:r w:rsidRPr="00FA62B3">
        <w:rPr>
          <w:b/>
        </w:rPr>
        <w:t>Regenerative Medicine Advanced Therapies (RMATs):</w:t>
      </w:r>
      <w:r w:rsidRPr="00FA62B3">
        <w:t xml:space="preserve"> with and without RMAT status</w:t>
      </w:r>
    </w:p>
    <w:p w:rsidR="00B80299" w:rsidRPr="00FA62B3" w:rsidRDefault="00B80299" w:rsidP="00B80299">
      <w:pPr>
        <w:pStyle w:val="ListParagraph"/>
        <w:numPr>
          <w:ilvl w:val="0"/>
          <w:numId w:val="2"/>
        </w:numPr>
        <w:spacing w:after="120"/>
        <w:contextualSpacing w:val="0"/>
      </w:pPr>
      <w:r w:rsidRPr="00FA62B3">
        <w:rPr>
          <w:b/>
        </w:rPr>
        <w:t>Clinical review office:</w:t>
      </w:r>
      <w:r w:rsidRPr="00FA62B3">
        <w:t xml:space="preserve"> in each of the 6 CDER offices, 3 CBER offices, and OCBQ</w:t>
      </w:r>
    </w:p>
    <w:p w:rsidR="00B80299" w:rsidRPr="00FA62B3" w:rsidRDefault="00B80299" w:rsidP="00B80299">
      <w:pPr>
        <w:pStyle w:val="ListParagraph"/>
        <w:numPr>
          <w:ilvl w:val="0"/>
          <w:numId w:val="2"/>
        </w:numPr>
        <w:spacing w:after="120"/>
        <w:contextualSpacing w:val="0"/>
      </w:pPr>
      <w:r w:rsidRPr="00FA62B3">
        <w:rPr>
          <w:b/>
        </w:rPr>
        <w:t>Meeting types:</w:t>
      </w:r>
      <w:r w:rsidRPr="00FA62B3">
        <w:t xml:space="preserve"> with Type A, B, B (EOP), and C meetings during the data collection period</w:t>
      </w:r>
    </w:p>
    <w:p w:rsidR="00B80299" w:rsidRPr="00FA62B3" w:rsidRDefault="00B80299" w:rsidP="00B80299">
      <w:pPr>
        <w:pStyle w:val="ListParagraph"/>
        <w:numPr>
          <w:ilvl w:val="0"/>
          <w:numId w:val="2"/>
        </w:numPr>
      </w:pPr>
      <w:r w:rsidRPr="00FA62B3">
        <w:rPr>
          <w:b/>
        </w:rPr>
        <w:t>IND phase:</w:t>
      </w:r>
      <w:r w:rsidRPr="00FA62B3">
        <w:t xml:space="preserve"> in pre-IND phase and Phases 1, 2, and 3</w:t>
      </w:r>
    </w:p>
    <w:p w:rsidR="00B80299" w:rsidRDefault="00B80299" w:rsidP="00B80299">
      <w:pPr>
        <w:ind w:left="720"/>
      </w:pPr>
      <w:r>
        <w:t xml:space="preserve">The number of commercial INDs with activity each year is approximately 4,000. For this assessment, FDA has selected a target sample size of 150 INDs. </w:t>
      </w:r>
      <w:r w:rsidRPr="000614D3">
        <w:t xml:space="preserve">FDA’s independent contractor for this assessment, ERG, will develop the sample by (1) establishing target distributions for the IND traits of interest, (2) asking </w:t>
      </w:r>
      <w:r>
        <w:t>FDA’s</w:t>
      </w:r>
      <w:r w:rsidRPr="000614D3">
        <w:t xml:space="preserve"> Center for Drug Evaluation and Research (CDER) Performance Analysis Data Services Staff (PADSS) and Center for Biologics Evaluation and Research (CBER) Regulatory Information Management Staff (RIMS) to generate a list of commercial INDs to draw from, (3) removing INDs that do not meet inclusion criteria</w:t>
      </w:r>
      <w:r>
        <w:t>, (4) </w:t>
      </w:r>
      <w:r w:rsidRPr="000614D3">
        <w:t>randomly selecting 150 INDs that cover the target distributions of traits of interest to the extent feasible, and (5) reassessing the sample at 3 months and 6 months to replace INDs as needed to achieve target numbers and distributions of INDs.</w:t>
      </w:r>
      <w:r>
        <w:t xml:space="preserve"> See the table below for the target number and distribution of INDs. Where feasible, ERG will oversample in categories where target allocation numbers are small (n&lt;10).</w:t>
      </w:r>
    </w:p>
    <w:p w:rsidR="00B80299" w:rsidRPr="007349FB" w:rsidRDefault="00B80299" w:rsidP="00B80299">
      <w:pPr>
        <w:pStyle w:val="Caption"/>
        <w:ind w:left="720"/>
        <w:rPr>
          <w:rFonts w:cs="Calibri"/>
          <w:sz w:val="24"/>
        </w:rPr>
      </w:pPr>
      <w:r>
        <w:t>Table 3. Target number and distribution of INDs by trait and category.</w:t>
      </w:r>
    </w:p>
    <w:tbl>
      <w:tblPr>
        <w:tblStyle w:val="TableGrid"/>
        <w:tblW w:w="8640" w:type="dxa"/>
        <w:tblInd w:w="720" w:type="dxa"/>
        <w:tblBorders>
          <w:top w:val="single" w:sz="12" w:space="0" w:color="1F497D" w:themeColor="text2"/>
          <w:left w:val="none" w:sz="0" w:space="0" w:color="auto"/>
          <w:bottom w:val="single" w:sz="12" w:space="0" w:color="1F497D" w:themeColor="text2"/>
          <w:right w:val="none" w:sz="0" w:space="0" w:color="auto"/>
          <w:insideH w:val="single" w:sz="8" w:space="0" w:color="auto"/>
          <w:insideV w:val="single" w:sz="8" w:space="0" w:color="auto"/>
        </w:tblBorders>
        <w:tblLook w:val="04A0" w:firstRow="1" w:lastRow="0" w:firstColumn="1" w:lastColumn="0" w:noHBand="0" w:noVBand="1"/>
      </w:tblPr>
      <w:tblGrid>
        <w:gridCol w:w="2205"/>
        <w:gridCol w:w="2226"/>
        <w:gridCol w:w="4209"/>
      </w:tblGrid>
      <w:tr w:rsidR="00B80299" w:rsidTr="001F1354">
        <w:trPr>
          <w:tblHeader/>
        </w:trPr>
        <w:tc>
          <w:tcPr>
            <w:tcW w:w="2205" w:type="dxa"/>
            <w:shd w:val="clear" w:color="auto" w:fill="auto"/>
            <w:vAlign w:val="center"/>
            <w:hideMark/>
          </w:tcPr>
          <w:p w:rsidR="00B80299" w:rsidRDefault="00B80299" w:rsidP="001F1354">
            <w:pPr>
              <w:spacing w:before="60" w:after="60" w:line="240" w:lineRule="auto"/>
              <w:rPr>
                <w:rFonts w:cstheme="minorHAnsi"/>
                <w:b/>
                <w:szCs w:val="20"/>
              </w:rPr>
            </w:pPr>
            <w:r>
              <w:rPr>
                <w:rFonts w:cstheme="minorHAnsi"/>
                <w:b/>
                <w:szCs w:val="20"/>
              </w:rPr>
              <w:t>IND Trait</w:t>
            </w:r>
          </w:p>
        </w:tc>
        <w:tc>
          <w:tcPr>
            <w:tcW w:w="2226" w:type="dxa"/>
            <w:shd w:val="clear" w:color="auto" w:fill="auto"/>
            <w:vAlign w:val="center"/>
            <w:hideMark/>
          </w:tcPr>
          <w:p w:rsidR="00B80299" w:rsidRDefault="00B80299" w:rsidP="001F1354">
            <w:pPr>
              <w:spacing w:before="60" w:after="60" w:line="240" w:lineRule="auto"/>
              <w:rPr>
                <w:rFonts w:cstheme="minorHAnsi"/>
                <w:b/>
                <w:szCs w:val="20"/>
              </w:rPr>
            </w:pPr>
            <w:r>
              <w:rPr>
                <w:rFonts w:cstheme="minorHAnsi"/>
                <w:b/>
                <w:szCs w:val="20"/>
              </w:rPr>
              <w:t>Categories</w:t>
            </w:r>
          </w:p>
        </w:tc>
        <w:tc>
          <w:tcPr>
            <w:tcW w:w="4209" w:type="dxa"/>
            <w:shd w:val="clear" w:color="auto" w:fill="auto"/>
            <w:vAlign w:val="center"/>
            <w:hideMark/>
          </w:tcPr>
          <w:p w:rsidR="00B80299" w:rsidRDefault="00B80299" w:rsidP="001F1354">
            <w:pPr>
              <w:spacing w:before="60" w:after="60" w:line="240" w:lineRule="auto"/>
              <w:jc w:val="center"/>
              <w:rPr>
                <w:rFonts w:cstheme="minorHAnsi"/>
                <w:b/>
                <w:szCs w:val="20"/>
              </w:rPr>
            </w:pPr>
            <w:r>
              <w:rPr>
                <w:rFonts w:cstheme="minorHAnsi"/>
                <w:b/>
                <w:szCs w:val="20"/>
              </w:rPr>
              <w:t xml:space="preserve">Target Allocation </w:t>
            </w:r>
            <w:r>
              <w:rPr>
                <w:rFonts w:cstheme="minorHAnsi"/>
                <w:b/>
                <w:i/>
                <w:sz w:val="18"/>
                <w:szCs w:val="18"/>
              </w:rPr>
              <w:br/>
            </w:r>
            <w:r w:rsidRPr="00135FE7">
              <w:rPr>
                <w:rFonts w:cstheme="minorHAnsi"/>
                <w:i/>
                <w:sz w:val="18"/>
                <w:szCs w:val="18"/>
              </w:rPr>
              <w:t>(+/- 5 percentage points)</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t>Sponsor size</w:t>
            </w:r>
          </w:p>
        </w:tc>
        <w:tc>
          <w:tcPr>
            <w:tcW w:w="2226" w:type="dxa"/>
          </w:tcPr>
          <w:p w:rsidR="00B80299" w:rsidRDefault="00B80299" w:rsidP="001F1354">
            <w:pPr>
              <w:spacing w:before="60" w:after="60" w:line="240" w:lineRule="auto"/>
              <w:rPr>
                <w:rFonts w:cstheme="minorHAnsi"/>
                <w:szCs w:val="20"/>
              </w:rPr>
            </w:pPr>
            <w:r>
              <w:rPr>
                <w:rFonts w:cstheme="minorHAnsi"/>
                <w:szCs w:val="20"/>
              </w:rPr>
              <w:t>Small</w:t>
            </w:r>
          </w:p>
          <w:p w:rsidR="00B80299" w:rsidRDefault="00B80299" w:rsidP="001F1354">
            <w:pPr>
              <w:spacing w:before="60" w:after="60" w:line="240" w:lineRule="auto"/>
              <w:rPr>
                <w:rFonts w:cstheme="minorHAnsi"/>
                <w:szCs w:val="20"/>
              </w:rPr>
            </w:pPr>
            <w:r>
              <w:rPr>
                <w:rFonts w:cstheme="minorHAnsi"/>
                <w:szCs w:val="20"/>
              </w:rPr>
              <w:t>Medium</w:t>
            </w:r>
          </w:p>
          <w:p w:rsidR="00B80299" w:rsidRDefault="00B80299" w:rsidP="001F1354">
            <w:pPr>
              <w:spacing w:before="60" w:after="60" w:line="240" w:lineRule="auto"/>
              <w:rPr>
                <w:rFonts w:cstheme="minorHAnsi"/>
                <w:szCs w:val="20"/>
              </w:rPr>
            </w:pPr>
            <w:r>
              <w:rPr>
                <w:rFonts w:cstheme="minorHAnsi"/>
                <w:szCs w:val="20"/>
              </w:rPr>
              <w:t>Large</w:t>
            </w:r>
          </w:p>
          <w:p w:rsidR="00B80299" w:rsidRDefault="00B80299" w:rsidP="001F1354">
            <w:pPr>
              <w:spacing w:before="60" w:after="60" w:line="240" w:lineRule="auto"/>
              <w:rPr>
                <w:rFonts w:cstheme="minorHAnsi"/>
                <w:szCs w:val="20"/>
              </w:rPr>
            </w:pPr>
            <w:r>
              <w:rPr>
                <w:rFonts w:cstheme="minorHAnsi"/>
                <w:szCs w:val="20"/>
              </w:rPr>
              <w:t>Private</w:t>
            </w:r>
          </w:p>
        </w:tc>
        <w:tc>
          <w:tcPr>
            <w:tcW w:w="4209" w:type="dxa"/>
            <w:hideMark/>
          </w:tcPr>
          <w:p w:rsidR="00B80299" w:rsidRPr="00135FE7" w:rsidRDefault="00B80299" w:rsidP="001F1354">
            <w:pPr>
              <w:spacing w:before="60" w:after="60" w:line="240" w:lineRule="auto"/>
              <w:jc w:val="center"/>
              <w:rPr>
                <w:rFonts w:cstheme="minorHAnsi"/>
                <w:szCs w:val="20"/>
              </w:rPr>
            </w:pPr>
            <w:r w:rsidRPr="00135FE7">
              <w:rPr>
                <w:rFonts w:cstheme="minorHAnsi"/>
                <w:szCs w:val="20"/>
              </w:rPr>
              <w:t>39% (58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 xml:space="preserve">11% (17 of 150) </w:t>
            </w:r>
          </w:p>
          <w:p w:rsidR="00B80299" w:rsidRPr="00135FE7" w:rsidRDefault="00B80299" w:rsidP="001F1354">
            <w:pPr>
              <w:spacing w:before="60" w:after="60" w:line="240" w:lineRule="auto"/>
              <w:jc w:val="center"/>
              <w:rPr>
                <w:rFonts w:cstheme="minorHAnsi"/>
                <w:szCs w:val="20"/>
              </w:rPr>
            </w:pPr>
            <w:r w:rsidRPr="00135FE7">
              <w:rPr>
                <w:rFonts w:cstheme="minorHAnsi"/>
                <w:szCs w:val="20"/>
              </w:rPr>
              <w:t xml:space="preserve">24% (36 of 150) </w:t>
            </w:r>
          </w:p>
          <w:p w:rsidR="00B80299" w:rsidRPr="00135FE7" w:rsidRDefault="00B80299" w:rsidP="001F1354">
            <w:pPr>
              <w:spacing w:before="60" w:after="60" w:line="240" w:lineRule="auto"/>
              <w:jc w:val="center"/>
              <w:rPr>
                <w:rFonts w:cstheme="minorHAnsi"/>
                <w:szCs w:val="20"/>
              </w:rPr>
            </w:pPr>
            <w:r w:rsidRPr="00135FE7">
              <w:rPr>
                <w:rFonts w:cstheme="minorHAnsi"/>
                <w:szCs w:val="20"/>
              </w:rPr>
              <w:t>26% (39 of 150)</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t>BTD</w:t>
            </w:r>
          </w:p>
        </w:tc>
        <w:tc>
          <w:tcPr>
            <w:tcW w:w="2226" w:type="dxa"/>
            <w:hideMark/>
          </w:tcPr>
          <w:p w:rsidR="00B80299" w:rsidRDefault="00B80299" w:rsidP="001F1354">
            <w:pPr>
              <w:spacing w:before="60" w:after="60" w:line="240" w:lineRule="auto"/>
              <w:rPr>
                <w:rFonts w:cstheme="minorHAnsi"/>
                <w:szCs w:val="20"/>
              </w:rPr>
            </w:pPr>
            <w:r>
              <w:rPr>
                <w:rFonts w:cstheme="minorHAnsi"/>
                <w:szCs w:val="20"/>
              </w:rPr>
              <w:t>With BTD</w:t>
            </w:r>
          </w:p>
        </w:tc>
        <w:tc>
          <w:tcPr>
            <w:tcW w:w="4209" w:type="dxa"/>
            <w:hideMark/>
          </w:tcPr>
          <w:p w:rsidR="00B80299" w:rsidRPr="00135FE7" w:rsidRDefault="00B80299" w:rsidP="001F1354">
            <w:pPr>
              <w:spacing w:before="60" w:after="60" w:line="240" w:lineRule="auto"/>
              <w:jc w:val="center"/>
              <w:rPr>
                <w:rFonts w:cstheme="minorHAnsi"/>
                <w:szCs w:val="20"/>
              </w:rPr>
            </w:pPr>
            <w:r w:rsidRPr="00135FE7">
              <w:rPr>
                <w:rFonts w:cstheme="minorHAnsi"/>
                <w:szCs w:val="20"/>
              </w:rPr>
              <w:t>4% (6 of 150)</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t>RMAT</w:t>
            </w:r>
          </w:p>
        </w:tc>
        <w:tc>
          <w:tcPr>
            <w:tcW w:w="2226" w:type="dxa"/>
            <w:hideMark/>
          </w:tcPr>
          <w:p w:rsidR="00B80299" w:rsidRDefault="00B80299" w:rsidP="001F1354">
            <w:pPr>
              <w:spacing w:before="60" w:after="60" w:line="240" w:lineRule="auto"/>
              <w:rPr>
                <w:rFonts w:cstheme="minorHAnsi"/>
                <w:szCs w:val="20"/>
              </w:rPr>
            </w:pPr>
            <w:r>
              <w:rPr>
                <w:rFonts w:cstheme="minorHAnsi"/>
                <w:szCs w:val="20"/>
              </w:rPr>
              <w:t>With RMAT</w:t>
            </w:r>
          </w:p>
        </w:tc>
        <w:tc>
          <w:tcPr>
            <w:tcW w:w="4209" w:type="dxa"/>
            <w:hideMark/>
          </w:tcPr>
          <w:p w:rsidR="00B80299" w:rsidRPr="00135FE7" w:rsidRDefault="00B80299" w:rsidP="001F1354">
            <w:pPr>
              <w:spacing w:before="60" w:after="60" w:line="240" w:lineRule="auto"/>
              <w:jc w:val="center"/>
              <w:rPr>
                <w:rFonts w:cstheme="minorHAnsi"/>
                <w:szCs w:val="20"/>
              </w:rPr>
            </w:pPr>
            <w:r w:rsidRPr="00135FE7">
              <w:rPr>
                <w:rFonts w:cstheme="minorHAnsi"/>
                <w:szCs w:val="20"/>
              </w:rPr>
              <w:t>1% (1 of 150)</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t>FDA review office</w:t>
            </w:r>
          </w:p>
        </w:tc>
        <w:tc>
          <w:tcPr>
            <w:tcW w:w="2226" w:type="dxa"/>
          </w:tcPr>
          <w:p w:rsidR="00B80299" w:rsidRDefault="00B80299" w:rsidP="001F1354">
            <w:pPr>
              <w:spacing w:before="60" w:after="60" w:line="240" w:lineRule="auto"/>
              <w:rPr>
                <w:rFonts w:cstheme="minorHAnsi"/>
                <w:szCs w:val="20"/>
              </w:rPr>
            </w:pPr>
            <w:r>
              <w:rPr>
                <w:rFonts w:cstheme="minorHAnsi"/>
                <w:szCs w:val="20"/>
              </w:rPr>
              <w:t>OAP</w:t>
            </w:r>
          </w:p>
          <w:p w:rsidR="00B80299" w:rsidRDefault="00B80299" w:rsidP="001F1354">
            <w:pPr>
              <w:spacing w:before="60" w:after="60" w:line="240" w:lineRule="auto"/>
              <w:rPr>
                <w:rFonts w:cstheme="minorHAnsi"/>
                <w:szCs w:val="20"/>
              </w:rPr>
            </w:pPr>
            <w:r>
              <w:rPr>
                <w:rFonts w:cstheme="minorHAnsi"/>
                <w:szCs w:val="20"/>
              </w:rPr>
              <w:t>ODEI</w:t>
            </w:r>
          </w:p>
          <w:p w:rsidR="00B80299" w:rsidRDefault="00B80299" w:rsidP="001F1354">
            <w:pPr>
              <w:spacing w:before="60" w:after="60" w:line="240" w:lineRule="auto"/>
              <w:rPr>
                <w:rFonts w:cstheme="minorHAnsi"/>
                <w:szCs w:val="20"/>
              </w:rPr>
            </w:pPr>
            <w:r>
              <w:rPr>
                <w:rFonts w:cstheme="minorHAnsi"/>
                <w:szCs w:val="20"/>
              </w:rPr>
              <w:t>ODEII</w:t>
            </w:r>
          </w:p>
          <w:p w:rsidR="00B80299" w:rsidRDefault="00B80299" w:rsidP="001F1354">
            <w:pPr>
              <w:spacing w:before="60" w:after="60" w:line="240" w:lineRule="auto"/>
              <w:rPr>
                <w:rFonts w:cstheme="minorHAnsi"/>
                <w:szCs w:val="20"/>
              </w:rPr>
            </w:pPr>
            <w:r>
              <w:rPr>
                <w:rFonts w:cstheme="minorHAnsi"/>
                <w:szCs w:val="20"/>
              </w:rPr>
              <w:t>ODEIII</w:t>
            </w:r>
          </w:p>
          <w:p w:rsidR="00B80299" w:rsidRDefault="00B80299" w:rsidP="001F1354">
            <w:pPr>
              <w:spacing w:before="60" w:after="60" w:line="240" w:lineRule="auto"/>
              <w:rPr>
                <w:rFonts w:cstheme="minorHAnsi"/>
                <w:szCs w:val="20"/>
              </w:rPr>
            </w:pPr>
            <w:r>
              <w:rPr>
                <w:rFonts w:cstheme="minorHAnsi"/>
                <w:szCs w:val="20"/>
              </w:rPr>
              <w:lastRenderedPageBreak/>
              <w:t>ODEIV</w:t>
            </w:r>
          </w:p>
          <w:p w:rsidR="00B80299" w:rsidRDefault="00B80299" w:rsidP="001F1354">
            <w:pPr>
              <w:spacing w:before="60" w:after="60" w:line="240" w:lineRule="auto"/>
              <w:rPr>
                <w:rFonts w:cstheme="minorHAnsi"/>
                <w:szCs w:val="20"/>
              </w:rPr>
            </w:pPr>
            <w:r>
              <w:rPr>
                <w:rFonts w:cstheme="minorHAnsi"/>
                <w:szCs w:val="20"/>
              </w:rPr>
              <w:t>OHOP</w:t>
            </w:r>
          </w:p>
          <w:p w:rsidR="00B80299" w:rsidRDefault="00B80299" w:rsidP="001F1354">
            <w:pPr>
              <w:spacing w:before="60" w:after="60" w:line="240" w:lineRule="auto"/>
              <w:rPr>
                <w:rFonts w:cstheme="minorHAnsi"/>
                <w:szCs w:val="20"/>
              </w:rPr>
            </w:pPr>
            <w:r>
              <w:rPr>
                <w:rFonts w:cstheme="minorHAnsi"/>
                <w:szCs w:val="20"/>
              </w:rPr>
              <w:t>OBRR</w:t>
            </w:r>
          </w:p>
          <w:p w:rsidR="00B80299" w:rsidRDefault="00B80299" w:rsidP="001F1354">
            <w:pPr>
              <w:spacing w:before="60" w:after="60" w:line="240" w:lineRule="auto"/>
              <w:rPr>
                <w:rFonts w:cstheme="minorHAnsi"/>
                <w:szCs w:val="20"/>
              </w:rPr>
            </w:pPr>
            <w:r>
              <w:rPr>
                <w:rFonts w:cstheme="minorHAnsi"/>
                <w:szCs w:val="20"/>
              </w:rPr>
              <w:t>OCBQ</w:t>
            </w:r>
          </w:p>
          <w:p w:rsidR="00B80299" w:rsidRDefault="00B80299" w:rsidP="001F1354">
            <w:pPr>
              <w:spacing w:before="60" w:after="60" w:line="240" w:lineRule="auto"/>
              <w:rPr>
                <w:rFonts w:cstheme="minorHAnsi"/>
                <w:szCs w:val="20"/>
              </w:rPr>
            </w:pPr>
            <w:r>
              <w:rPr>
                <w:rFonts w:cstheme="minorHAnsi"/>
                <w:szCs w:val="20"/>
              </w:rPr>
              <w:t>OVRR</w:t>
            </w:r>
          </w:p>
          <w:p w:rsidR="00B80299" w:rsidRDefault="00B80299" w:rsidP="001F1354">
            <w:pPr>
              <w:spacing w:before="60" w:after="60" w:line="240" w:lineRule="auto"/>
              <w:rPr>
                <w:rFonts w:cstheme="minorHAnsi"/>
                <w:szCs w:val="20"/>
              </w:rPr>
            </w:pPr>
            <w:r>
              <w:rPr>
                <w:rFonts w:cstheme="minorHAnsi"/>
                <w:szCs w:val="20"/>
              </w:rPr>
              <w:t>OTAT</w:t>
            </w:r>
          </w:p>
        </w:tc>
        <w:tc>
          <w:tcPr>
            <w:tcW w:w="4209" w:type="dxa"/>
          </w:tcPr>
          <w:p w:rsidR="00B80299" w:rsidRPr="00135FE7" w:rsidRDefault="00B80299" w:rsidP="001F1354">
            <w:pPr>
              <w:spacing w:before="60" w:after="60" w:line="240" w:lineRule="auto"/>
              <w:jc w:val="center"/>
              <w:rPr>
                <w:rFonts w:cstheme="minorHAnsi"/>
                <w:szCs w:val="20"/>
              </w:rPr>
            </w:pPr>
            <w:r w:rsidRPr="00135FE7">
              <w:rPr>
                <w:rFonts w:cstheme="minorHAnsi"/>
                <w:szCs w:val="20"/>
              </w:rPr>
              <w:lastRenderedPageBreak/>
              <w:t>11% (17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16% (23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17% (25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14% (6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lastRenderedPageBreak/>
              <w:t>2% (3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21% (32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2% (3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0% (0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4% (6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12% (18 of 150)</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lastRenderedPageBreak/>
              <w:t>Meeting type</w:t>
            </w:r>
          </w:p>
        </w:tc>
        <w:tc>
          <w:tcPr>
            <w:tcW w:w="2226" w:type="dxa"/>
          </w:tcPr>
          <w:p w:rsidR="00B80299" w:rsidRDefault="00B80299" w:rsidP="001F1354">
            <w:pPr>
              <w:spacing w:before="60" w:after="60" w:line="240" w:lineRule="auto"/>
              <w:rPr>
                <w:rFonts w:cstheme="minorHAnsi"/>
                <w:szCs w:val="20"/>
              </w:rPr>
            </w:pPr>
            <w:r>
              <w:rPr>
                <w:rFonts w:cstheme="minorHAnsi"/>
                <w:szCs w:val="20"/>
              </w:rPr>
              <w:t>Type A</w:t>
            </w:r>
          </w:p>
          <w:p w:rsidR="00B80299" w:rsidRDefault="00B80299" w:rsidP="001F1354">
            <w:pPr>
              <w:spacing w:before="60" w:after="60" w:line="240" w:lineRule="auto"/>
              <w:rPr>
                <w:rFonts w:cstheme="minorHAnsi"/>
                <w:szCs w:val="20"/>
              </w:rPr>
            </w:pPr>
            <w:r>
              <w:rPr>
                <w:rFonts w:cstheme="minorHAnsi"/>
                <w:szCs w:val="20"/>
              </w:rPr>
              <w:t>Type B</w:t>
            </w:r>
          </w:p>
          <w:p w:rsidR="00B80299" w:rsidRDefault="00B80299" w:rsidP="001F1354">
            <w:pPr>
              <w:spacing w:before="60" w:after="60" w:line="240" w:lineRule="auto"/>
              <w:rPr>
                <w:rFonts w:cstheme="minorHAnsi"/>
                <w:szCs w:val="20"/>
              </w:rPr>
            </w:pPr>
            <w:r>
              <w:rPr>
                <w:rFonts w:cstheme="minorHAnsi"/>
                <w:szCs w:val="20"/>
              </w:rPr>
              <w:t>Type B (EOP)</w:t>
            </w:r>
          </w:p>
          <w:p w:rsidR="00B80299" w:rsidRDefault="00B80299" w:rsidP="001F1354">
            <w:pPr>
              <w:spacing w:before="60" w:after="60" w:line="240" w:lineRule="auto"/>
              <w:rPr>
                <w:rFonts w:cstheme="minorHAnsi"/>
                <w:szCs w:val="20"/>
              </w:rPr>
            </w:pPr>
            <w:r>
              <w:rPr>
                <w:rFonts w:cstheme="minorHAnsi"/>
                <w:szCs w:val="20"/>
              </w:rPr>
              <w:t>Type C</w:t>
            </w:r>
          </w:p>
        </w:tc>
        <w:tc>
          <w:tcPr>
            <w:tcW w:w="4209" w:type="dxa"/>
            <w:hideMark/>
          </w:tcPr>
          <w:p w:rsidR="00B80299" w:rsidRPr="00135FE7" w:rsidRDefault="00B80299" w:rsidP="001F1354">
            <w:pPr>
              <w:spacing w:before="60" w:after="60" w:line="240" w:lineRule="auto"/>
              <w:jc w:val="center"/>
              <w:rPr>
                <w:rFonts w:cstheme="minorHAnsi"/>
                <w:szCs w:val="20"/>
              </w:rPr>
            </w:pPr>
            <w:r w:rsidRPr="00135FE7">
              <w:rPr>
                <w:rFonts w:cstheme="minorHAnsi"/>
                <w:szCs w:val="20"/>
              </w:rPr>
              <w:t>4% (6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48% (72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12% (18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36% (54 of 150)</w:t>
            </w:r>
          </w:p>
        </w:tc>
      </w:tr>
      <w:tr w:rsidR="00B80299" w:rsidTr="001F1354">
        <w:tc>
          <w:tcPr>
            <w:tcW w:w="2205" w:type="dxa"/>
            <w:hideMark/>
          </w:tcPr>
          <w:p w:rsidR="00B80299" w:rsidRDefault="00B80299" w:rsidP="001F1354">
            <w:pPr>
              <w:spacing w:before="60" w:after="60" w:line="240" w:lineRule="auto"/>
              <w:rPr>
                <w:rFonts w:cstheme="minorHAnsi"/>
                <w:szCs w:val="20"/>
              </w:rPr>
            </w:pPr>
            <w:r>
              <w:rPr>
                <w:rFonts w:cstheme="minorHAnsi"/>
                <w:szCs w:val="20"/>
              </w:rPr>
              <w:t>IND phase</w:t>
            </w:r>
          </w:p>
        </w:tc>
        <w:tc>
          <w:tcPr>
            <w:tcW w:w="2226" w:type="dxa"/>
          </w:tcPr>
          <w:p w:rsidR="00B80299" w:rsidRDefault="00B80299" w:rsidP="001F1354">
            <w:pPr>
              <w:spacing w:before="60" w:after="60" w:line="240" w:lineRule="auto"/>
              <w:rPr>
                <w:rFonts w:cstheme="minorHAnsi"/>
                <w:szCs w:val="20"/>
              </w:rPr>
            </w:pPr>
            <w:r>
              <w:rPr>
                <w:rFonts w:cstheme="minorHAnsi"/>
                <w:szCs w:val="20"/>
              </w:rPr>
              <w:t>Pre-IND</w:t>
            </w:r>
          </w:p>
          <w:p w:rsidR="00B80299" w:rsidRDefault="00B80299" w:rsidP="001F1354">
            <w:pPr>
              <w:spacing w:before="60" w:after="60" w:line="240" w:lineRule="auto"/>
              <w:rPr>
                <w:rFonts w:cstheme="minorHAnsi"/>
                <w:szCs w:val="20"/>
              </w:rPr>
            </w:pPr>
            <w:r>
              <w:rPr>
                <w:rFonts w:cstheme="minorHAnsi"/>
                <w:szCs w:val="20"/>
              </w:rPr>
              <w:t>Phase 1</w:t>
            </w:r>
          </w:p>
          <w:p w:rsidR="00B80299" w:rsidRDefault="00B80299" w:rsidP="001F1354">
            <w:pPr>
              <w:spacing w:before="60" w:after="60" w:line="240" w:lineRule="auto"/>
              <w:rPr>
                <w:rFonts w:cstheme="minorHAnsi"/>
                <w:szCs w:val="20"/>
              </w:rPr>
            </w:pPr>
            <w:r>
              <w:rPr>
                <w:rFonts w:cstheme="minorHAnsi"/>
                <w:szCs w:val="20"/>
              </w:rPr>
              <w:t>Phase 2</w:t>
            </w:r>
          </w:p>
          <w:p w:rsidR="00B80299" w:rsidRDefault="00B80299" w:rsidP="001F1354">
            <w:pPr>
              <w:spacing w:before="60" w:after="60" w:line="240" w:lineRule="auto"/>
              <w:rPr>
                <w:rFonts w:cstheme="minorHAnsi"/>
                <w:szCs w:val="20"/>
              </w:rPr>
            </w:pPr>
            <w:r>
              <w:rPr>
                <w:rFonts w:cstheme="minorHAnsi"/>
                <w:szCs w:val="20"/>
              </w:rPr>
              <w:t>Phase 3</w:t>
            </w:r>
          </w:p>
        </w:tc>
        <w:tc>
          <w:tcPr>
            <w:tcW w:w="4209" w:type="dxa"/>
          </w:tcPr>
          <w:p w:rsidR="00B80299" w:rsidRPr="00135FE7" w:rsidRDefault="00B80299" w:rsidP="001F1354">
            <w:pPr>
              <w:spacing w:before="60" w:after="60" w:line="240" w:lineRule="auto"/>
              <w:jc w:val="center"/>
              <w:rPr>
                <w:rFonts w:cstheme="minorHAnsi"/>
                <w:szCs w:val="20"/>
              </w:rPr>
            </w:pPr>
            <w:r w:rsidRPr="00135FE7">
              <w:rPr>
                <w:rFonts w:cstheme="minorHAnsi"/>
                <w:szCs w:val="20"/>
              </w:rPr>
              <w:t>TBD</w:t>
            </w:r>
          </w:p>
          <w:p w:rsidR="00B80299" w:rsidRPr="00135FE7" w:rsidRDefault="00B80299" w:rsidP="001F1354">
            <w:pPr>
              <w:spacing w:before="60" w:after="60" w:line="240" w:lineRule="auto"/>
              <w:jc w:val="center"/>
              <w:rPr>
                <w:rFonts w:cstheme="minorHAnsi"/>
                <w:szCs w:val="20"/>
              </w:rPr>
            </w:pPr>
            <w:r w:rsidRPr="00135FE7">
              <w:rPr>
                <w:rFonts w:cstheme="minorHAnsi"/>
                <w:szCs w:val="20"/>
              </w:rPr>
              <w:t>37% (56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47% (70 of 150)</w:t>
            </w:r>
          </w:p>
          <w:p w:rsidR="00B80299" w:rsidRPr="00135FE7" w:rsidRDefault="00B80299" w:rsidP="001F1354">
            <w:pPr>
              <w:spacing w:before="60" w:after="60" w:line="240" w:lineRule="auto"/>
              <w:jc w:val="center"/>
              <w:rPr>
                <w:rFonts w:cstheme="minorHAnsi"/>
                <w:szCs w:val="20"/>
              </w:rPr>
            </w:pPr>
            <w:r w:rsidRPr="00135FE7">
              <w:rPr>
                <w:rFonts w:cstheme="minorHAnsi"/>
                <w:szCs w:val="20"/>
              </w:rPr>
              <w:t>16% (24 of 150)</w:t>
            </w:r>
          </w:p>
        </w:tc>
      </w:tr>
    </w:tbl>
    <w:p w:rsidR="00B80299" w:rsidRPr="000614D3" w:rsidRDefault="00B80299" w:rsidP="00B80299">
      <w:pPr>
        <w:spacing w:before="100" w:beforeAutospacing="1" w:after="100" w:afterAutospacing="1"/>
        <w:ind w:left="720"/>
      </w:pPr>
      <w:r>
        <w:t xml:space="preserve">FDA’s contractor will send surveys and interview requests to the primary contacts for INDs in the sample (usually Regulatory Affairs managers) because they have expertise and experience with both the INDs being reviewed and the regulatory and communication practices being implemented. Based on experience with previous PDUFA-related assessments, </w:t>
      </w:r>
      <w:r w:rsidRPr="000614D3">
        <w:t xml:space="preserve">FDA estimates that the response rate </w:t>
      </w:r>
      <w:r>
        <w:t xml:space="preserve">for this information collection </w:t>
      </w:r>
      <w:r w:rsidRPr="000614D3">
        <w:t xml:space="preserve">will be greater than </w:t>
      </w:r>
      <w:r>
        <w:t>90</w:t>
      </w:r>
      <w:r w:rsidRPr="000614D3">
        <w:t>%</w:t>
      </w:r>
      <w:r>
        <w:t>.</w:t>
      </w:r>
    </w:p>
    <w:p w:rsidR="00B80299" w:rsidRPr="00E00EA0" w:rsidRDefault="00B80299" w:rsidP="00B80299">
      <w:pPr>
        <w:numPr>
          <w:ilvl w:val="0"/>
          <w:numId w:val="1"/>
        </w:numPr>
        <w:spacing w:before="100" w:beforeAutospacing="1" w:after="100" w:afterAutospacing="1"/>
        <w:rPr>
          <w:u w:val="single"/>
        </w:rPr>
      </w:pPr>
      <w:r w:rsidRPr="00E00EA0">
        <w:rPr>
          <w:u w:val="single"/>
        </w:rPr>
        <w:t>Procedures for the Collection of Information</w:t>
      </w:r>
    </w:p>
    <w:p w:rsidR="00B80299" w:rsidRPr="006726EB" w:rsidRDefault="00B80299" w:rsidP="00B80299">
      <w:pPr>
        <w:ind w:left="720"/>
      </w:pPr>
      <w:r w:rsidRPr="006726EB">
        <w:t>FDA’s contractor, ERG, will create an initial sample of 150 active commercial INDs as follows:</w:t>
      </w:r>
    </w:p>
    <w:p w:rsidR="00B80299" w:rsidRPr="006726EB" w:rsidRDefault="00B80299" w:rsidP="00B80299">
      <w:pPr>
        <w:pStyle w:val="ListParagraph"/>
        <w:numPr>
          <w:ilvl w:val="0"/>
          <w:numId w:val="3"/>
        </w:numPr>
      </w:pPr>
      <w:r w:rsidRPr="006726EB">
        <w:t>Assign a reference ID to each IND in the list of commercial INDs to draw from.</w:t>
      </w:r>
    </w:p>
    <w:p w:rsidR="00B80299" w:rsidRPr="006726EB" w:rsidRDefault="00B80299" w:rsidP="00B80299">
      <w:pPr>
        <w:pStyle w:val="ListParagraph"/>
        <w:numPr>
          <w:ilvl w:val="0"/>
          <w:numId w:val="3"/>
        </w:numPr>
      </w:pPr>
      <w:r w:rsidRPr="006726EB">
        <w:t xml:space="preserve">Divide the total number of INDs in the list by 150 (rounded to the nearest whole number), i. </w:t>
      </w:r>
    </w:p>
    <w:p w:rsidR="00B80299" w:rsidRPr="006726EB" w:rsidRDefault="00B80299" w:rsidP="00B80299">
      <w:pPr>
        <w:pStyle w:val="ListParagraph"/>
        <w:numPr>
          <w:ilvl w:val="0"/>
          <w:numId w:val="3"/>
        </w:numPr>
      </w:pPr>
      <w:r w:rsidRPr="006726EB">
        <w:t xml:space="preserve">Using a random number generator, produce a number between 1 and i.  </w:t>
      </w:r>
    </w:p>
    <w:p w:rsidR="00B80299" w:rsidRPr="006726EB" w:rsidRDefault="00B80299" w:rsidP="00B80299">
      <w:pPr>
        <w:pStyle w:val="ListParagraph"/>
        <w:numPr>
          <w:ilvl w:val="0"/>
          <w:numId w:val="3"/>
        </w:numPr>
      </w:pPr>
      <w:r w:rsidRPr="006726EB">
        <w:t>Add the IND with i as its reference ID to the initial sample.</w:t>
      </w:r>
    </w:p>
    <w:p w:rsidR="00B80299" w:rsidRPr="006726EB" w:rsidRDefault="00B80299" w:rsidP="00B80299">
      <w:pPr>
        <w:pStyle w:val="ListParagraph"/>
        <w:numPr>
          <w:ilvl w:val="0"/>
          <w:numId w:val="3"/>
        </w:numPr>
      </w:pPr>
      <w:r>
        <w:t>From i, add every 150</w:t>
      </w:r>
      <w:r w:rsidRPr="006726EB">
        <w:rPr>
          <w:vertAlign w:val="superscript"/>
        </w:rPr>
        <w:t>th</w:t>
      </w:r>
      <w:r w:rsidRPr="006726EB">
        <w:t xml:space="preserve"> IND to the initial sample. </w:t>
      </w:r>
    </w:p>
    <w:p w:rsidR="00B80299" w:rsidRPr="006726EB" w:rsidRDefault="00B80299" w:rsidP="00B80299">
      <w:pPr>
        <w:pStyle w:val="ListParagraph"/>
        <w:numPr>
          <w:ilvl w:val="0"/>
          <w:numId w:val="3"/>
        </w:numPr>
      </w:pPr>
      <w:r w:rsidRPr="006726EB">
        <w:t>Create a list of INDs in the initial sample, with flags for traits of interest.</w:t>
      </w:r>
    </w:p>
    <w:p w:rsidR="00B80299" w:rsidRPr="006726EB" w:rsidRDefault="00B80299" w:rsidP="00B80299">
      <w:pPr>
        <w:pStyle w:val="ListParagraph"/>
        <w:numPr>
          <w:ilvl w:val="0"/>
          <w:numId w:val="3"/>
        </w:numPr>
      </w:pPr>
      <w:r w:rsidRPr="006726EB">
        <w:t>Evaluate the list to determine which traits of interest are over- or under-represented.</w:t>
      </w:r>
    </w:p>
    <w:p w:rsidR="00B80299" w:rsidRPr="006726EB" w:rsidRDefault="00B80299" w:rsidP="00B80299">
      <w:pPr>
        <w:pStyle w:val="ListParagraph"/>
        <w:numPr>
          <w:ilvl w:val="0"/>
          <w:numId w:val="3"/>
        </w:numPr>
      </w:pPr>
      <w:r w:rsidRPr="006726EB">
        <w:t>For traits that are over-represented, randomly remove INDs. From the list of remaining INDs to draw from, randomly select INDs from the subset of INDs that have the trait of interest to add to the initial sample. Repeat until target allocations are met.</w:t>
      </w:r>
    </w:p>
    <w:p w:rsidR="00B80299" w:rsidRPr="006726EB" w:rsidRDefault="00B80299" w:rsidP="00B80299">
      <w:pPr>
        <w:pStyle w:val="ListParagraph"/>
        <w:numPr>
          <w:ilvl w:val="0"/>
          <w:numId w:val="3"/>
        </w:numPr>
      </w:pPr>
      <w:r w:rsidRPr="006726EB">
        <w:t>Generate a list of INDs in the initial sample, along with target and actual allocations table.</w:t>
      </w:r>
    </w:p>
    <w:p w:rsidR="00B80299" w:rsidRDefault="00B80299" w:rsidP="00B80299">
      <w:pPr>
        <w:ind w:left="720"/>
      </w:pPr>
      <w:r>
        <w:t>The contractor</w:t>
      </w:r>
      <w:r w:rsidRPr="006726EB">
        <w:t xml:space="preserve"> will offer surveys and interviews </w:t>
      </w:r>
      <w:r>
        <w:t xml:space="preserve">only </w:t>
      </w:r>
      <w:r w:rsidRPr="006726EB">
        <w:t xml:space="preserve">to </w:t>
      </w:r>
      <w:r>
        <w:t xml:space="preserve">sponsors of </w:t>
      </w:r>
      <w:r w:rsidRPr="006726EB">
        <w:t>INDs</w:t>
      </w:r>
      <w:r>
        <w:t xml:space="preserve"> in the sample that have communication activity</w:t>
      </w:r>
      <w:r w:rsidRPr="006726EB">
        <w:t>.</w:t>
      </w:r>
      <w:r>
        <w:t xml:space="preserve"> For each IND in the sample, the contractor will email a link to an online fillable survey to the primary contact for the IND directly after a formal (Type A, B, B End of </w:t>
      </w:r>
      <w:r>
        <w:lastRenderedPageBreak/>
        <w:t xml:space="preserve">Phase, C) meeting has taken place; a text version of the survey is attached. </w:t>
      </w:r>
      <w:r w:rsidRPr="006726EB">
        <w:t xml:space="preserve">In the second half of the data collection period, </w:t>
      </w:r>
      <w:r>
        <w:t>the contractor</w:t>
      </w:r>
      <w:r w:rsidRPr="006726EB">
        <w:t xml:space="preserve"> </w:t>
      </w:r>
      <w:r>
        <w:t>will email an interview request</w:t>
      </w:r>
      <w:r w:rsidRPr="006726EB">
        <w:t xml:space="preserve"> to the </w:t>
      </w:r>
      <w:r>
        <w:t>primary contact for the IND to obtain broader feedback on all types of communications with FDA review staff that have taken place; the interview script is attached</w:t>
      </w:r>
      <w:r w:rsidRPr="006726EB">
        <w:t>.</w:t>
      </w:r>
      <w:r>
        <w:t xml:space="preserve"> Also attached are templates/scripts for contact emails and calls to IND sponsors to request and remind them of surveys and interviews.</w:t>
      </w:r>
    </w:p>
    <w:p w:rsidR="00B80299" w:rsidRPr="00E00EA0" w:rsidRDefault="00B80299" w:rsidP="00B80299">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B80299" w:rsidRPr="00C32C2F" w:rsidRDefault="00B80299" w:rsidP="00B80299">
      <w:pPr>
        <w:pStyle w:val="BodyTextIndent2"/>
        <w:spacing w:after="200" w:line="264" w:lineRule="auto"/>
        <w:ind w:left="720"/>
      </w:pPr>
      <w:r w:rsidRPr="00C32C2F">
        <w:t>FDA’s contractor for this PDUFA VI IND communications assessment, ERG, has conducted other PDUFA-related information collections with response rates exceeding 95%. ERG will implement the same procedures successfully used with those previous information collections to maximize response rates. These procedures include:</w:t>
      </w:r>
    </w:p>
    <w:p w:rsidR="00B80299" w:rsidRDefault="00B80299" w:rsidP="00B80299">
      <w:pPr>
        <w:pStyle w:val="BodyTextIndent2"/>
        <w:numPr>
          <w:ilvl w:val="0"/>
          <w:numId w:val="4"/>
        </w:numPr>
        <w:spacing w:line="264" w:lineRule="auto"/>
      </w:pPr>
      <w:r>
        <w:t>Before information collection begins, ask FDA staff to notify IND sponsors in the sample that ERG might contact them to request participation in IND meeting surveys and IND communications interviews.</w:t>
      </w:r>
    </w:p>
    <w:p w:rsidR="00B80299" w:rsidRDefault="00B80299" w:rsidP="00B80299">
      <w:pPr>
        <w:pStyle w:val="BodyTextIndent2"/>
        <w:numPr>
          <w:ilvl w:val="0"/>
          <w:numId w:val="4"/>
        </w:numPr>
        <w:spacing w:line="264" w:lineRule="auto"/>
      </w:pPr>
      <w:r>
        <w:t>Where appropriate, ask FDA staff to incorporate reminders about possible survey/interview requests from ERG in the form of notices in routine written communications to IND sponsors in the sample.</w:t>
      </w:r>
    </w:p>
    <w:p w:rsidR="00B80299" w:rsidRDefault="00B80299" w:rsidP="00B80299">
      <w:pPr>
        <w:pStyle w:val="BodyTextIndent2"/>
        <w:numPr>
          <w:ilvl w:val="0"/>
          <w:numId w:val="4"/>
        </w:numPr>
        <w:spacing w:line="264" w:lineRule="auto"/>
      </w:pPr>
      <w:r>
        <w:t>For each IND in the sample, send survey/interview requests to the IND sponsor staff who have been most engaged in interacting with FDA.</w:t>
      </w:r>
    </w:p>
    <w:p w:rsidR="00B80299" w:rsidRDefault="00B80299" w:rsidP="00B80299">
      <w:pPr>
        <w:pStyle w:val="BodyTextIndent2"/>
        <w:numPr>
          <w:ilvl w:val="0"/>
          <w:numId w:val="4"/>
        </w:numPr>
        <w:spacing w:line="264" w:lineRule="auto"/>
      </w:pPr>
      <w:r>
        <w:t>For a first non-response, send a follow-up email.</w:t>
      </w:r>
    </w:p>
    <w:p w:rsidR="00B80299" w:rsidRDefault="00B80299" w:rsidP="00B80299">
      <w:pPr>
        <w:pStyle w:val="BodyTextIndent2"/>
        <w:numPr>
          <w:ilvl w:val="0"/>
          <w:numId w:val="4"/>
        </w:numPr>
        <w:spacing w:line="264" w:lineRule="auto"/>
      </w:pPr>
      <w:r>
        <w:t>For additional non-responses, call sponsor representatives directly to request participation or to identify alternative representatives to participate.</w:t>
      </w:r>
    </w:p>
    <w:p w:rsidR="00B80299" w:rsidRDefault="00B80299" w:rsidP="00B80299">
      <w:pPr>
        <w:pStyle w:val="BodyTextIndent2"/>
        <w:numPr>
          <w:ilvl w:val="0"/>
          <w:numId w:val="4"/>
        </w:numPr>
        <w:spacing w:after="200" w:line="264" w:lineRule="auto"/>
      </w:pPr>
      <w:r>
        <w:t>Continue to follow up until the IND sponsor confirms participation or explicitly declines to participate.</w:t>
      </w:r>
    </w:p>
    <w:p w:rsidR="00B80299" w:rsidRPr="00C32C2F" w:rsidRDefault="00B80299" w:rsidP="00B80299">
      <w:pPr>
        <w:pStyle w:val="BodyTextIndent2"/>
        <w:numPr>
          <w:ilvl w:val="0"/>
          <w:numId w:val="4"/>
        </w:numPr>
        <w:spacing w:after="200" w:line="264" w:lineRule="auto"/>
      </w:pPr>
      <w:r>
        <w:t>Send interview reminders before scheduled interviews.</w:t>
      </w:r>
    </w:p>
    <w:p w:rsidR="00B80299" w:rsidRPr="00E00EA0" w:rsidRDefault="00B80299" w:rsidP="00B80299">
      <w:pPr>
        <w:numPr>
          <w:ilvl w:val="0"/>
          <w:numId w:val="1"/>
        </w:numPr>
        <w:spacing w:before="100" w:beforeAutospacing="1" w:after="100" w:afterAutospacing="1"/>
        <w:rPr>
          <w:u w:val="single"/>
        </w:rPr>
      </w:pPr>
      <w:r w:rsidRPr="00E00EA0">
        <w:rPr>
          <w:u w:val="single"/>
        </w:rPr>
        <w:t>Test of Procedures or Methods to be Undertaken</w:t>
      </w:r>
    </w:p>
    <w:p w:rsidR="00B80299" w:rsidRPr="00C32C2F" w:rsidRDefault="00B80299" w:rsidP="00B80299">
      <w:pPr>
        <w:ind w:left="720"/>
      </w:pPr>
      <w:r w:rsidRPr="00C32C2F">
        <w:t>FDA expects only fine tuning changes to the information collection activity. FDA therefore seeks a combined approval of a pretest (consisting of the first five surveys administered for the assessment) and the main survey.</w:t>
      </w:r>
    </w:p>
    <w:p w:rsidR="00B80299" w:rsidRPr="00E00EA0" w:rsidRDefault="00B80299" w:rsidP="00B80299">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00B80299" w:rsidRPr="00C32C2F" w:rsidRDefault="00B80299" w:rsidP="00B80299">
      <w:pPr>
        <w:ind w:left="720"/>
      </w:pPr>
      <w:r w:rsidRPr="00C32C2F">
        <w:t>FDA consulted with the following people on statistical aspects of the assessment design:</w:t>
      </w:r>
    </w:p>
    <w:p w:rsidR="00B80299" w:rsidRPr="00C32C2F" w:rsidRDefault="00B80299" w:rsidP="00B80299">
      <w:pPr>
        <w:pStyle w:val="ListParagraph"/>
        <w:numPr>
          <w:ilvl w:val="0"/>
          <w:numId w:val="6"/>
        </w:numPr>
      </w:pPr>
      <w:r w:rsidRPr="00C32C2F">
        <w:t>Reza Kazemi-Tab</w:t>
      </w:r>
      <w:r>
        <w:t>r</w:t>
      </w:r>
      <w:r w:rsidRPr="00C32C2F">
        <w:t>iz, FDA Office of Program and Strategic Analysis, Performance Analysis and Data Services Staff</w:t>
      </w:r>
      <w:r>
        <w:t xml:space="preserve"> (301) 796-3686</w:t>
      </w:r>
    </w:p>
    <w:p w:rsidR="00B80299" w:rsidRPr="00C32C2F" w:rsidRDefault="00B80299" w:rsidP="00B80299">
      <w:pPr>
        <w:pStyle w:val="ListParagraph"/>
        <w:numPr>
          <w:ilvl w:val="0"/>
          <w:numId w:val="6"/>
        </w:numPr>
      </w:pPr>
      <w:r w:rsidRPr="00C32C2F">
        <w:t>Louis Nadeau, ERG</w:t>
      </w:r>
      <w:r>
        <w:t xml:space="preserve"> (781) 674-7316</w:t>
      </w:r>
    </w:p>
    <w:p w:rsidR="00B80299" w:rsidRPr="00C32C2F" w:rsidRDefault="00B80299" w:rsidP="00B80299">
      <w:pPr>
        <w:pStyle w:val="ListParagraph"/>
        <w:numPr>
          <w:ilvl w:val="0"/>
          <w:numId w:val="6"/>
        </w:numPr>
      </w:pPr>
      <w:r w:rsidRPr="00C32C2F">
        <w:t>Valerie Overton, ERG</w:t>
      </w:r>
      <w:r>
        <w:t xml:space="preserve"> (781) 674-7398</w:t>
      </w:r>
    </w:p>
    <w:p w:rsidR="00B80299" w:rsidRPr="00C32C2F" w:rsidRDefault="00B80299" w:rsidP="00B80299">
      <w:pPr>
        <w:ind w:left="720"/>
      </w:pPr>
      <w:r w:rsidRPr="00C32C2F">
        <w:t>The people who will collect and analyze the information for FDA are:</w:t>
      </w:r>
    </w:p>
    <w:p w:rsidR="00B80299" w:rsidRPr="00C32C2F" w:rsidRDefault="00B80299" w:rsidP="00B80299">
      <w:pPr>
        <w:pStyle w:val="ListParagraph"/>
        <w:numPr>
          <w:ilvl w:val="0"/>
          <w:numId w:val="5"/>
        </w:numPr>
      </w:pPr>
      <w:r w:rsidRPr="00C32C2F">
        <w:t>Hannah Busey, ERG</w:t>
      </w:r>
    </w:p>
    <w:p w:rsidR="00B80299" w:rsidRPr="00C32C2F" w:rsidRDefault="00B80299" w:rsidP="00B80299">
      <w:pPr>
        <w:pStyle w:val="ListParagraph"/>
        <w:numPr>
          <w:ilvl w:val="0"/>
          <w:numId w:val="5"/>
        </w:numPr>
      </w:pPr>
      <w:r w:rsidRPr="00C32C2F">
        <w:t>Marc Goldstein, ERG</w:t>
      </w:r>
    </w:p>
    <w:p w:rsidR="00B80299" w:rsidRPr="00C32C2F" w:rsidRDefault="00B80299" w:rsidP="00B80299">
      <w:pPr>
        <w:pStyle w:val="ListParagraph"/>
        <w:numPr>
          <w:ilvl w:val="0"/>
          <w:numId w:val="5"/>
        </w:numPr>
      </w:pPr>
      <w:r w:rsidRPr="00C32C2F">
        <w:t>Kuang-Heng (Jason) Hsiao, ERG</w:t>
      </w:r>
    </w:p>
    <w:p w:rsidR="00B80299" w:rsidRPr="00C32C2F" w:rsidRDefault="00B80299" w:rsidP="00B80299">
      <w:pPr>
        <w:pStyle w:val="ListParagraph"/>
        <w:numPr>
          <w:ilvl w:val="0"/>
          <w:numId w:val="5"/>
        </w:numPr>
      </w:pPr>
      <w:r w:rsidRPr="00C32C2F">
        <w:t>Louis Nadeau, ERG</w:t>
      </w:r>
    </w:p>
    <w:p w:rsidR="00B80299" w:rsidRPr="00C32C2F" w:rsidRDefault="00B80299" w:rsidP="00B80299">
      <w:pPr>
        <w:pStyle w:val="ListParagraph"/>
        <w:numPr>
          <w:ilvl w:val="0"/>
          <w:numId w:val="5"/>
        </w:numPr>
      </w:pPr>
      <w:r w:rsidRPr="00C32C2F">
        <w:t>Valerie Overton, ERG</w:t>
      </w:r>
    </w:p>
    <w:p w:rsidR="00B80299" w:rsidRPr="00C32C2F" w:rsidRDefault="00B80299" w:rsidP="00B80299">
      <w:pPr>
        <w:pStyle w:val="ListParagraph"/>
        <w:numPr>
          <w:ilvl w:val="0"/>
          <w:numId w:val="5"/>
        </w:numPr>
      </w:pPr>
      <w:r w:rsidRPr="00C32C2F">
        <w:t>Christopher Sese, ERG</w:t>
      </w:r>
      <w:r>
        <w:t xml:space="preserve"> </w:t>
      </w:r>
    </w:p>
    <w:p w:rsidR="00C9546A" w:rsidRDefault="00C9546A"/>
    <w:sectPr w:rsidR="00C9546A"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EF" w:rsidRDefault="00A971EF">
      <w:pPr>
        <w:spacing w:after="0" w:line="240" w:lineRule="auto"/>
      </w:pPr>
      <w:r>
        <w:separator/>
      </w:r>
    </w:p>
  </w:endnote>
  <w:endnote w:type="continuationSeparator" w:id="0">
    <w:p w:rsidR="00A971EF" w:rsidRDefault="00A9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5CA" w:rsidRDefault="00B8029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5CA" w:rsidRDefault="006B2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5CA" w:rsidRDefault="00B8029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2D65">
      <w:rPr>
        <w:rStyle w:val="PageNumber"/>
        <w:noProof/>
      </w:rPr>
      <w:t>1</w:t>
    </w:r>
    <w:r>
      <w:rPr>
        <w:rStyle w:val="PageNumber"/>
      </w:rPr>
      <w:fldChar w:fldCharType="end"/>
    </w:r>
  </w:p>
  <w:p w:rsidR="00E315CA" w:rsidRDefault="006B2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EF" w:rsidRDefault="00A971EF">
      <w:pPr>
        <w:spacing w:after="0" w:line="240" w:lineRule="auto"/>
      </w:pPr>
      <w:r>
        <w:separator/>
      </w:r>
    </w:p>
  </w:footnote>
  <w:footnote w:type="continuationSeparator" w:id="0">
    <w:p w:rsidR="00A971EF" w:rsidRDefault="00A971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84E"/>
    <w:multiLevelType w:val="hybridMultilevel"/>
    <w:tmpl w:val="22DE1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8DB65FE"/>
    <w:multiLevelType w:val="hybridMultilevel"/>
    <w:tmpl w:val="993C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900573"/>
    <w:multiLevelType w:val="hybridMultilevel"/>
    <w:tmpl w:val="60C4D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0563590"/>
    <w:multiLevelType w:val="hybridMultilevel"/>
    <w:tmpl w:val="3D740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CD1B93"/>
    <w:multiLevelType w:val="hybridMultilevel"/>
    <w:tmpl w:val="1A6E4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verton, Valerie*">
    <w15:presenceInfo w15:providerId="AD" w15:userId="S-1-5-21-1078081533-606747145-839522115-376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99"/>
    <w:rsid w:val="003A5CF2"/>
    <w:rsid w:val="006B2D65"/>
    <w:rsid w:val="006F21E3"/>
    <w:rsid w:val="007B0BCD"/>
    <w:rsid w:val="00863243"/>
    <w:rsid w:val="009B3213"/>
    <w:rsid w:val="009E7EF4"/>
    <w:rsid w:val="00A971EF"/>
    <w:rsid w:val="00AB1E20"/>
    <w:rsid w:val="00B80299"/>
    <w:rsid w:val="00C9546A"/>
    <w:rsid w:val="00DA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99"/>
    <w:pPr>
      <w:spacing w:line="264"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80299"/>
    <w:pPr>
      <w:spacing w:after="120" w:line="480" w:lineRule="auto"/>
      <w:ind w:left="360"/>
    </w:pPr>
  </w:style>
  <w:style w:type="character" w:customStyle="1" w:styleId="BodyTextIndent2Char">
    <w:name w:val="Body Text Indent 2 Char"/>
    <w:basedOn w:val="DefaultParagraphFont"/>
    <w:link w:val="BodyTextIndent2"/>
    <w:rsid w:val="00B80299"/>
    <w:rPr>
      <w:rFonts w:eastAsia="Times New Roman" w:cs="Times New Roman"/>
      <w:szCs w:val="24"/>
    </w:rPr>
  </w:style>
  <w:style w:type="table" w:styleId="TableGrid">
    <w:name w:val="Table Grid"/>
    <w:basedOn w:val="TableNormal"/>
    <w:rsid w:val="00B80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0299"/>
    <w:pPr>
      <w:tabs>
        <w:tab w:val="center" w:pos="4320"/>
        <w:tab w:val="right" w:pos="8640"/>
      </w:tabs>
    </w:pPr>
  </w:style>
  <w:style w:type="character" w:customStyle="1" w:styleId="FooterChar">
    <w:name w:val="Footer Char"/>
    <w:basedOn w:val="DefaultParagraphFont"/>
    <w:link w:val="Footer"/>
    <w:rsid w:val="00B80299"/>
    <w:rPr>
      <w:rFonts w:eastAsia="Times New Roman" w:cs="Times New Roman"/>
      <w:szCs w:val="24"/>
    </w:rPr>
  </w:style>
  <w:style w:type="character" w:styleId="PageNumber">
    <w:name w:val="page number"/>
    <w:basedOn w:val="DefaultParagraphFont"/>
    <w:rsid w:val="00B80299"/>
  </w:style>
  <w:style w:type="paragraph" w:styleId="ListParagraph">
    <w:name w:val="List Paragraph"/>
    <w:basedOn w:val="Normal"/>
    <w:link w:val="ListParagraphChar"/>
    <w:uiPriority w:val="34"/>
    <w:qFormat/>
    <w:rsid w:val="00B80299"/>
    <w:pPr>
      <w:ind w:left="720"/>
      <w:contextualSpacing/>
    </w:pPr>
  </w:style>
  <w:style w:type="character" w:customStyle="1" w:styleId="ListParagraphChar">
    <w:name w:val="List Paragraph Char"/>
    <w:basedOn w:val="DefaultParagraphFont"/>
    <w:link w:val="ListParagraph"/>
    <w:uiPriority w:val="34"/>
    <w:rsid w:val="00B80299"/>
    <w:rPr>
      <w:rFonts w:eastAsia="Times New Roman" w:cs="Times New Roman"/>
      <w:szCs w:val="24"/>
    </w:rPr>
  </w:style>
  <w:style w:type="paragraph" w:styleId="Caption">
    <w:name w:val="caption"/>
    <w:basedOn w:val="Normal"/>
    <w:next w:val="Normal"/>
    <w:uiPriority w:val="99"/>
    <w:qFormat/>
    <w:rsid w:val="00B80299"/>
    <w:pPr>
      <w:keepNext/>
      <w:spacing w:after="0" w:line="276" w:lineRule="auto"/>
    </w:pPr>
    <w:rPr>
      <w:rFonts w:ascii="Calibri" w:eastAsia="Calibri" w:hAnsi="Calibri"/>
      <w:b/>
      <w:bCs/>
      <w:szCs w:val="20"/>
    </w:rPr>
  </w:style>
  <w:style w:type="paragraph" w:styleId="BalloonText">
    <w:name w:val="Balloon Text"/>
    <w:basedOn w:val="Normal"/>
    <w:link w:val="BalloonTextChar"/>
    <w:uiPriority w:val="99"/>
    <w:semiHidden/>
    <w:unhideWhenUsed/>
    <w:rsid w:val="00DA6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2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99"/>
    <w:pPr>
      <w:spacing w:line="264"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80299"/>
    <w:pPr>
      <w:spacing w:after="120" w:line="480" w:lineRule="auto"/>
      <w:ind w:left="360"/>
    </w:pPr>
  </w:style>
  <w:style w:type="character" w:customStyle="1" w:styleId="BodyTextIndent2Char">
    <w:name w:val="Body Text Indent 2 Char"/>
    <w:basedOn w:val="DefaultParagraphFont"/>
    <w:link w:val="BodyTextIndent2"/>
    <w:rsid w:val="00B80299"/>
    <w:rPr>
      <w:rFonts w:eastAsia="Times New Roman" w:cs="Times New Roman"/>
      <w:szCs w:val="24"/>
    </w:rPr>
  </w:style>
  <w:style w:type="table" w:styleId="TableGrid">
    <w:name w:val="Table Grid"/>
    <w:basedOn w:val="TableNormal"/>
    <w:rsid w:val="00B80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0299"/>
    <w:pPr>
      <w:tabs>
        <w:tab w:val="center" w:pos="4320"/>
        <w:tab w:val="right" w:pos="8640"/>
      </w:tabs>
    </w:pPr>
  </w:style>
  <w:style w:type="character" w:customStyle="1" w:styleId="FooterChar">
    <w:name w:val="Footer Char"/>
    <w:basedOn w:val="DefaultParagraphFont"/>
    <w:link w:val="Footer"/>
    <w:rsid w:val="00B80299"/>
    <w:rPr>
      <w:rFonts w:eastAsia="Times New Roman" w:cs="Times New Roman"/>
      <w:szCs w:val="24"/>
    </w:rPr>
  </w:style>
  <w:style w:type="character" w:styleId="PageNumber">
    <w:name w:val="page number"/>
    <w:basedOn w:val="DefaultParagraphFont"/>
    <w:rsid w:val="00B80299"/>
  </w:style>
  <w:style w:type="paragraph" w:styleId="ListParagraph">
    <w:name w:val="List Paragraph"/>
    <w:basedOn w:val="Normal"/>
    <w:link w:val="ListParagraphChar"/>
    <w:uiPriority w:val="34"/>
    <w:qFormat/>
    <w:rsid w:val="00B80299"/>
    <w:pPr>
      <w:ind w:left="720"/>
      <w:contextualSpacing/>
    </w:pPr>
  </w:style>
  <w:style w:type="character" w:customStyle="1" w:styleId="ListParagraphChar">
    <w:name w:val="List Paragraph Char"/>
    <w:basedOn w:val="DefaultParagraphFont"/>
    <w:link w:val="ListParagraph"/>
    <w:uiPriority w:val="34"/>
    <w:rsid w:val="00B80299"/>
    <w:rPr>
      <w:rFonts w:eastAsia="Times New Roman" w:cs="Times New Roman"/>
      <w:szCs w:val="24"/>
    </w:rPr>
  </w:style>
  <w:style w:type="paragraph" w:styleId="Caption">
    <w:name w:val="caption"/>
    <w:basedOn w:val="Normal"/>
    <w:next w:val="Normal"/>
    <w:uiPriority w:val="99"/>
    <w:qFormat/>
    <w:rsid w:val="00B80299"/>
    <w:pPr>
      <w:keepNext/>
      <w:spacing w:after="0" w:line="276" w:lineRule="auto"/>
    </w:pPr>
    <w:rPr>
      <w:rFonts w:ascii="Calibri" w:eastAsia="Calibri" w:hAnsi="Calibri"/>
      <w:b/>
      <w:bCs/>
      <w:szCs w:val="20"/>
    </w:rPr>
  </w:style>
  <w:style w:type="paragraph" w:styleId="BalloonText">
    <w:name w:val="Balloon Text"/>
    <w:basedOn w:val="Normal"/>
    <w:link w:val="BalloonTextChar"/>
    <w:uiPriority w:val="99"/>
    <w:semiHidden/>
    <w:unhideWhenUsed/>
    <w:rsid w:val="00DA6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Mizrachi, Ila</dc:creator>
  <cp:lastModifiedBy>SYSTEM</cp:lastModifiedBy>
  <cp:revision>2</cp:revision>
  <dcterms:created xsi:type="dcterms:W3CDTF">2018-11-16T16:07:00Z</dcterms:created>
  <dcterms:modified xsi:type="dcterms:W3CDTF">2018-11-16T16:07:00Z</dcterms:modified>
</cp:coreProperties>
</file>