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57" w:rsidRPr="00875353" w:rsidRDefault="00001757" w:rsidP="00001757">
      <w:pPr>
        <w:suppressLineNumbers/>
        <w:suppressAutoHyphens/>
        <w:rPr>
          <w:color w:val="000000"/>
          <w:sz w:val="24"/>
          <w:szCs w:val="24"/>
        </w:rPr>
      </w:pPr>
      <w:bookmarkStart w:id="0" w:name="_GoBack"/>
      <w:bookmarkEnd w:id="0"/>
      <w:r w:rsidRPr="00BF5202">
        <w:rPr>
          <w:b/>
          <w:bCs/>
          <w:sz w:val="24"/>
          <w:szCs w:val="24"/>
        </w:rPr>
        <w:t xml:space="preserve">B.  </w:t>
      </w:r>
      <w:r w:rsidRPr="00BF5202">
        <w:rPr>
          <w:b/>
          <w:bCs/>
          <w:sz w:val="24"/>
          <w:szCs w:val="24"/>
        </w:rPr>
        <w:tab/>
        <w:t>COLLECTIONS OF INFORMATION E</w:t>
      </w:r>
      <w:r w:rsidRPr="00875353">
        <w:rPr>
          <w:b/>
          <w:bCs/>
          <w:color w:val="000000"/>
          <w:sz w:val="24"/>
          <w:szCs w:val="24"/>
        </w:rPr>
        <w:t>MPLOYING STATISTICAL METHODS</w:t>
      </w:r>
    </w:p>
    <w:p w:rsidR="00001757" w:rsidRPr="00875353" w:rsidRDefault="00001757" w:rsidP="00001757">
      <w:pPr>
        <w:suppressLineNumbers/>
        <w:suppressAutoHyphens/>
        <w:rPr>
          <w:color w:val="000000"/>
          <w:sz w:val="24"/>
          <w:szCs w:val="24"/>
        </w:rPr>
      </w:pP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sidRPr="00875353">
        <w:rPr>
          <w:b/>
          <w:bCs/>
          <w:color w:val="000000"/>
          <w:sz w:val="24"/>
          <w:szCs w:val="24"/>
        </w:rPr>
        <w:t>1.  Des</w:t>
      </w:r>
      <w:r w:rsidRPr="00F07D43">
        <w:rPr>
          <w:b/>
          <w:bCs/>
          <w:sz w:val="24"/>
          <w:szCs w:val="24"/>
        </w:rPr>
        <w:t>cribe (including a numerical estimate) the potential respondent universe and any sampling or other respondent selection method to be used. Data on the numb</w:t>
      </w:r>
      <w:r w:rsidRPr="000A425D">
        <w:rPr>
          <w:b/>
          <w:bCs/>
          <w:sz w:val="24"/>
          <w:szCs w:val="24"/>
        </w:rPr>
        <w:t>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0A425D">
        <w:rPr>
          <w:color w:val="000000"/>
          <w:sz w:val="24"/>
          <w:szCs w:val="24"/>
        </w:rPr>
        <w:t xml:space="preserve">The population of interest is all vessels fishing for penaeid and rock shrimp in the federal waters of the Gulf of Mexico and South Atlantic, i.e. off the States of North Carolina, </w:t>
      </w:r>
      <w:smartTag w:uri="urn:schemas-microsoft-com:office:smarttags" w:element="State">
        <w:r w:rsidRPr="000A425D">
          <w:rPr>
            <w:color w:val="000000"/>
            <w:sz w:val="24"/>
            <w:szCs w:val="24"/>
          </w:rPr>
          <w:t>South Carolina</w:t>
        </w:r>
      </w:smartTag>
      <w:r w:rsidRPr="000A425D">
        <w:rPr>
          <w:color w:val="000000"/>
          <w:sz w:val="24"/>
          <w:szCs w:val="24"/>
        </w:rPr>
        <w:t xml:space="preserve">, </w:t>
      </w:r>
      <w:smartTag w:uri="urn:schemas-microsoft-com:office:smarttags" w:element="country-region">
        <w:r w:rsidRPr="000A425D">
          <w:rPr>
            <w:color w:val="000000"/>
            <w:sz w:val="24"/>
            <w:szCs w:val="24"/>
          </w:rPr>
          <w:t>Georgia</w:t>
        </w:r>
      </w:smartTag>
      <w:r w:rsidRPr="000A425D">
        <w:rPr>
          <w:color w:val="000000"/>
          <w:sz w:val="24"/>
          <w:szCs w:val="24"/>
        </w:rPr>
        <w:t xml:space="preserve">, </w:t>
      </w:r>
      <w:smartTag w:uri="urn:schemas-microsoft-com:office:smarttags" w:element="State">
        <w:r w:rsidRPr="000A425D">
          <w:rPr>
            <w:color w:val="000000"/>
            <w:sz w:val="24"/>
            <w:szCs w:val="24"/>
          </w:rPr>
          <w:t>Florida</w:t>
        </w:r>
      </w:smartTag>
      <w:r w:rsidRPr="000A425D">
        <w:rPr>
          <w:color w:val="000000"/>
          <w:sz w:val="24"/>
          <w:szCs w:val="24"/>
        </w:rPr>
        <w:t xml:space="preserve">, </w:t>
      </w:r>
      <w:smartTag w:uri="urn:schemas-microsoft-com:office:smarttags" w:element="State">
        <w:r w:rsidRPr="000A425D">
          <w:rPr>
            <w:color w:val="000000"/>
            <w:sz w:val="24"/>
            <w:szCs w:val="24"/>
          </w:rPr>
          <w:t>Alabama</w:t>
        </w:r>
      </w:smartTag>
      <w:r w:rsidRPr="000A425D">
        <w:rPr>
          <w:color w:val="000000"/>
          <w:sz w:val="24"/>
          <w:szCs w:val="24"/>
        </w:rPr>
        <w:t xml:space="preserve">, </w:t>
      </w:r>
      <w:smartTag w:uri="urn:schemas-microsoft-com:office:smarttags" w:element="State">
        <w:r w:rsidRPr="000A425D">
          <w:rPr>
            <w:color w:val="000000"/>
            <w:sz w:val="24"/>
            <w:szCs w:val="24"/>
          </w:rPr>
          <w:t>Mississippi</w:t>
        </w:r>
      </w:smartTag>
      <w:r w:rsidRPr="000A425D">
        <w:rPr>
          <w:color w:val="000000"/>
          <w:sz w:val="24"/>
          <w:szCs w:val="24"/>
        </w:rPr>
        <w:t xml:space="preserve">, </w:t>
      </w:r>
      <w:smartTag w:uri="urn:schemas-microsoft-com:office:smarttags" w:element="State">
        <w:r w:rsidRPr="000A425D">
          <w:rPr>
            <w:color w:val="000000"/>
            <w:sz w:val="24"/>
            <w:szCs w:val="24"/>
          </w:rPr>
          <w:t>Louisiana</w:t>
        </w:r>
      </w:smartTag>
      <w:r w:rsidRPr="000A425D">
        <w:rPr>
          <w:color w:val="000000"/>
          <w:sz w:val="24"/>
          <w:szCs w:val="24"/>
        </w:rPr>
        <w:t xml:space="preserve">, and </w:t>
      </w:r>
      <w:smartTag w:uri="urn:schemas-microsoft-com:office:smarttags" w:element="State">
        <w:smartTag w:uri="urn:schemas-microsoft-com:office:smarttags" w:element="place">
          <w:r w:rsidRPr="000A425D">
            <w:rPr>
              <w:color w:val="000000"/>
              <w:sz w:val="24"/>
              <w:szCs w:val="24"/>
            </w:rPr>
            <w:t>Texas</w:t>
          </w:r>
        </w:smartTag>
      </w:smartTag>
      <w:r w:rsidRPr="000A425D">
        <w:rPr>
          <w:color w:val="000000"/>
          <w:sz w:val="24"/>
          <w:szCs w:val="24"/>
        </w:rPr>
        <w:t xml:space="preserve">, during one calendar year. An excellent sampling frame is available for this and future survey efforts, because vessels shrimping in the federal waters of the Gulf and </w:t>
      </w:r>
      <w:smartTag w:uri="urn:schemas-microsoft-com:office:smarttags" w:element="place">
        <w:r w:rsidRPr="000A425D">
          <w:rPr>
            <w:color w:val="000000"/>
            <w:sz w:val="24"/>
            <w:szCs w:val="24"/>
          </w:rPr>
          <w:t>South Atlantic</w:t>
        </w:r>
      </w:smartTag>
      <w:r w:rsidRPr="000A425D">
        <w:rPr>
          <w:color w:val="000000"/>
          <w:sz w:val="24"/>
          <w:szCs w:val="24"/>
        </w:rPr>
        <w:t xml:space="preserve"> are required to have a federal permit. Their contact information should be up-to-date due to the annual permit renewal process.  The sampling frame consist of all fishermen holding at least one of four federal shrimp permits at any time during the previous calendar year (including individuals whose permits might have expired but are still legally renewable, i.e. “latent permit holder”). Note that the survey effort conducted each year, e.g., 201</w:t>
      </w:r>
      <w:r>
        <w:rPr>
          <w:color w:val="000000"/>
          <w:sz w:val="24"/>
          <w:szCs w:val="24"/>
        </w:rPr>
        <w:t>9</w:t>
      </w:r>
      <w:r w:rsidRPr="000A425D">
        <w:rPr>
          <w:color w:val="000000"/>
          <w:sz w:val="24"/>
          <w:szCs w:val="24"/>
        </w:rPr>
        <w:t>, will be collecting the previous year’s annual economic data, e.g. 201</w:t>
      </w:r>
      <w:r>
        <w:rPr>
          <w:color w:val="000000"/>
          <w:sz w:val="24"/>
          <w:szCs w:val="24"/>
        </w:rPr>
        <w:t>8</w:t>
      </w:r>
      <w:r w:rsidRPr="000A425D">
        <w:rPr>
          <w:color w:val="000000"/>
          <w:sz w:val="24"/>
          <w:szCs w:val="24"/>
        </w:rPr>
        <w:t>.</w:t>
      </w: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0A425D" w:rsidRDefault="00001757" w:rsidP="00001757">
      <w:pPr>
        <w:suppressLineNumbers/>
        <w:suppressAutoHyphens/>
        <w:rPr>
          <w:color w:val="000000"/>
          <w:sz w:val="24"/>
          <w:szCs w:val="24"/>
        </w:rPr>
      </w:pPr>
      <w:r w:rsidRPr="000A425D">
        <w:rPr>
          <w:color w:val="000000"/>
          <w:sz w:val="24"/>
          <w:szCs w:val="24"/>
        </w:rPr>
        <w:t>Roughly, we aim to randomly sample without replacement about a third of the whole population each year, covering t</w:t>
      </w:r>
      <w:r w:rsidRPr="00393622">
        <w:rPr>
          <w:color w:val="000000"/>
          <w:sz w:val="24"/>
          <w:szCs w:val="24"/>
        </w:rPr>
        <w:t>he population once every three years. A</w:t>
      </w:r>
      <w:r w:rsidRPr="00393622">
        <w:rPr>
          <w:sz w:val="24"/>
          <w:szCs w:val="24"/>
        </w:rPr>
        <w:t>s of January 2018 (see also Table 1), th</w:t>
      </w:r>
      <w:r w:rsidRPr="00393622">
        <w:rPr>
          <w:color w:val="000000"/>
          <w:sz w:val="24"/>
          <w:szCs w:val="24"/>
        </w:rPr>
        <w:t>e total population was 1,662 unique vessels with one or more federal shrimp permits. For the 2017 survey, we sampled 659 vessels. Due t</w:t>
      </w:r>
      <w:r w:rsidRPr="000A425D">
        <w:rPr>
          <w:color w:val="000000"/>
          <w:sz w:val="24"/>
          <w:szCs w:val="24"/>
        </w:rPr>
        <w:t xml:space="preserve">o the management and political importance attributed to delineation by state, we stratify the total population by state. Within each stratum we randomly sample vessels in proportion to each stratum’s weight in the total population. By sticking to a simple, straightforward design, we hope to avoid many potential problems. </w:t>
      </w:r>
    </w:p>
    <w:p w:rsidR="00001757" w:rsidRPr="000A425D" w:rsidRDefault="00001757" w:rsidP="00001757">
      <w:pPr>
        <w:suppressLineNumbers/>
        <w:suppressAutoHyphens/>
        <w:rPr>
          <w:color w:val="000000"/>
          <w:sz w:val="24"/>
          <w:szCs w:val="24"/>
        </w:rPr>
      </w:pP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393622">
        <w:rPr>
          <w:color w:val="000000"/>
          <w:sz w:val="24"/>
          <w:szCs w:val="24"/>
        </w:rPr>
        <w:t>Currently, the best estimate of the size of the sampling frames for 2018 through 2020 would be 1,662 vessels. Table 1 below breaks down the 2017 sampling frame into the strata, lists the permits held, offers some descriptive data for the vessels in each, and provides the number of respondents sampled and surveys returned (preliminary) in the most recent survey effort. Of th</w:t>
      </w:r>
      <w:r w:rsidRPr="000A425D">
        <w:rPr>
          <w:color w:val="000000"/>
          <w:sz w:val="24"/>
          <w:szCs w:val="24"/>
        </w:rPr>
        <w:t>e total sampling frame, the majority of vessels hold only a Gulf shrimp permit and thus represent the dominant group. There is significant variation within the industry across several variables, but none seems to further divide the population into discrete groups (offering no advantage of further stratification). These numbers are unlikely to change dramatically in the coming years. The actual number of permit holders in the fishery might change a little due to new entrants (the South Atlantic penaeid permit and rock shrimp permit (Carolinas zone) are open access permits), owners and vessels leaving the fishery (permits non-renewed or terminated), or changes in vessel ownership or state of registration. The final sampling frame will use all the information available just prior to the survey implementation.</w:t>
      </w:r>
    </w:p>
    <w:p w:rsidR="00001757" w:rsidRPr="000A425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C2229D" w:rsidRDefault="00001757" w:rsidP="00001757">
      <w:pPr>
        <w:suppressLineNumbers/>
        <w:suppressAutoHyphens/>
        <w:rPr>
          <w:sz w:val="24"/>
          <w:szCs w:val="24"/>
        </w:rPr>
      </w:pPr>
      <w:r w:rsidRPr="000A425D">
        <w:rPr>
          <w:color w:val="000000"/>
          <w:sz w:val="24"/>
          <w:szCs w:val="24"/>
        </w:rPr>
        <w:t xml:space="preserve">The raw response rates for the Annual Economic Survey of Federal </w:t>
      </w:r>
      <w:r w:rsidRPr="000A425D">
        <w:rPr>
          <w:i/>
          <w:color w:val="000000"/>
          <w:sz w:val="24"/>
          <w:szCs w:val="24"/>
        </w:rPr>
        <w:t>Gulf</w:t>
      </w:r>
      <w:r w:rsidRPr="000A425D">
        <w:rPr>
          <w:color w:val="000000"/>
          <w:sz w:val="24"/>
          <w:szCs w:val="24"/>
        </w:rPr>
        <w:t xml:space="preserve"> Shrimp Permit Holders has ra</w:t>
      </w:r>
      <w:r w:rsidRPr="00393622">
        <w:rPr>
          <w:color w:val="000000"/>
          <w:sz w:val="24"/>
          <w:szCs w:val="24"/>
        </w:rPr>
        <w:t>nged from 78% to 92% between 2007 and 2016. After adjusting for vessels that were deemed in</w:t>
      </w:r>
      <w:r w:rsidRPr="00393622">
        <w:rPr>
          <w:sz w:val="24"/>
          <w:szCs w:val="24"/>
        </w:rPr>
        <w:t xml:space="preserve">eligible because their permits were sold or terminated, the adjusted response rate has ranged from 86% to 95%.  For South Atlantic permitted-vessels, 2009-2016, the annual raw and adjusted </w:t>
      </w:r>
      <w:r w:rsidRPr="00393622">
        <w:rPr>
          <w:sz w:val="24"/>
          <w:szCs w:val="24"/>
        </w:rPr>
        <w:lastRenderedPageBreak/>
        <w:t>response rates ranged between 64%-80% and 66%-90%, respectively.</w:t>
      </w:r>
    </w:p>
    <w:p w:rsidR="00001757" w:rsidRPr="00C2229D"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2229D">
        <w:rPr>
          <w:b/>
          <w:bCs/>
          <w:sz w:val="24"/>
          <w:szCs w:val="24"/>
        </w:rPr>
        <w:t xml:space="preserve">2.  Describe the procedures for the collection, including: the statistical </w:t>
      </w:r>
      <w:r w:rsidRPr="00875353">
        <w:rPr>
          <w:b/>
          <w:bCs/>
          <w:color w:val="000000"/>
          <w:sz w:val="24"/>
          <w:szCs w:val="24"/>
        </w:rPr>
        <w:t>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For sampling, w</w:t>
      </w:r>
      <w:r w:rsidRPr="00875353">
        <w:rPr>
          <w:color w:val="000000"/>
          <w:sz w:val="24"/>
          <w:szCs w:val="24"/>
        </w:rPr>
        <w:t xml:space="preserve">e will stratify the population by </w:t>
      </w:r>
      <w:r>
        <w:rPr>
          <w:color w:val="000000"/>
          <w:sz w:val="24"/>
          <w:szCs w:val="24"/>
        </w:rPr>
        <w:t>s</w:t>
      </w:r>
      <w:r w:rsidRPr="00875353">
        <w:rPr>
          <w:color w:val="000000"/>
          <w:sz w:val="24"/>
          <w:szCs w:val="24"/>
        </w:rPr>
        <w:t>tate as this is a policy relevant variable. We will then randomly sample in each strata proportional to each strata’s weight in the population</w:t>
      </w:r>
      <w:r>
        <w:rPr>
          <w:color w:val="000000"/>
          <w:sz w:val="24"/>
          <w:szCs w:val="24"/>
        </w:rPr>
        <w:t>.</w:t>
      </w:r>
      <w:r w:rsidRPr="00875353">
        <w:rPr>
          <w:color w:val="000000"/>
          <w:sz w:val="24"/>
          <w:szCs w:val="24"/>
        </w:rPr>
        <w:t xml:space="preserve"> </w:t>
      </w:r>
      <w:r>
        <w:rPr>
          <w:color w:val="000000"/>
          <w:sz w:val="24"/>
          <w:szCs w:val="24"/>
        </w:rPr>
        <w:t>Each year</w:t>
      </w:r>
      <w:r w:rsidRPr="00875353">
        <w:rPr>
          <w:color w:val="000000"/>
          <w:sz w:val="24"/>
          <w:szCs w:val="24"/>
        </w:rPr>
        <w:t xml:space="preserve">, we will sample approximately </w:t>
      </w:r>
      <w:r>
        <w:rPr>
          <w:color w:val="000000"/>
          <w:sz w:val="24"/>
          <w:szCs w:val="24"/>
        </w:rPr>
        <w:t>a third</w:t>
      </w:r>
      <w:r w:rsidRPr="00875353">
        <w:rPr>
          <w:color w:val="000000"/>
          <w:sz w:val="24"/>
          <w:szCs w:val="24"/>
        </w:rPr>
        <w:t xml:space="preserve"> of the population (see also Table 1). The very tractable proportional random sampling approach should require only simple adjustments to the inclusion probabilities used for the estimation of population means and other aggregate statistics if non-response is significant and skewed across the strata.</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owner of each vessel selected will be contacted by mail </w:t>
      </w:r>
      <w:r>
        <w:rPr>
          <w:color w:val="000000"/>
          <w:sz w:val="24"/>
          <w:szCs w:val="24"/>
        </w:rPr>
        <w:t xml:space="preserve">in late February/early March of each year with a selection letter including </w:t>
      </w:r>
      <w:r w:rsidRPr="00875353">
        <w:rPr>
          <w:color w:val="000000"/>
          <w:sz w:val="24"/>
          <w:szCs w:val="24"/>
        </w:rPr>
        <w:t>the survey package. The package will contain a cover letter,</w:t>
      </w:r>
      <w:r>
        <w:rPr>
          <w:color w:val="000000"/>
          <w:sz w:val="24"/>
          <w:szCs w:val="24"/>
        </w:rPr>
        <w:t xml:space="preserve"> instructions, the two-</w:t>
      </w:r>
      <w:r w:rsidRPr="00875353">
        <w:rPr>
          <w:color w:val="000000"/>
          <w:sz w:val="24"/>
          <w:szCs w:val="24"/>
        </w:rPr>
        <w:t>page survey instrument and a return envelope. They will be asked to return the completed survey instrument to us in the enclosed, pre-paid envelope. If no response is received by April 30, up to two further letters will be sent (including additional survey instruments). We will also attempt to contact the non-responders by phone and urge them to return the survey. Information will not be collected during the phone call, and a further survey instrument will be sent – by mail</w:t>
      </w:r>
      <w:r>
        <w:rPr>
          <w:color w:val="000000"/>
          <w:sz w:val="24"/>
          <w:szCs w:val="24"/>
        </w:rPr>
        <w:t>, fax,</w:t>
      </w:r>
      <w:r w:rsidRPr="00875353">
        <w:rPr>
          <w:color w:val="000000"/>
          <w:sz w:val="24"/>
          <w:szCs w:val="24"/>
        </w:rPr>
        <w:t xml:space="preserve"> or email – if requested.</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After data entry, verification and cleaning, descriptive statistical analysis will be conducted on the relevant variables collected (costs and profits). Results will be reported </w:t>
      </w:r>
      <w:r>
        <w:rPr>
          <w:color w:val="000000"/>
          <w:sz w:val="24"/>
          <w:szCs w:val="24"/>
        </w:rPr>
        <w:t xml:space="preserve">for different definitions of the fleet (all permitted, Gulf shrimp vessels, active, inactive, etc.) and </w:t>
      </w:r>
      <w:r w:rsidRPr="00875353">
        <w:rPr>
          <w:color w:val="000000"/>
          <w:sz w:val="24"/>
          <w:szCs w:val="24"/>
        </w:rPr>
        <w:t>by state. The accuracy for the population level totals and means of the important variables should exceed the standard +/- 10% confidence interval at a 95% significance level</w:t>
      </w:r>
      <w:r>
        <w:rPr>
          <w:color w:val="000000"/>
          <w:sz w:val="24"/>
          <w:szCs w:val="24"/>
        </w:rPr>
        <w:t xml:space="preserve"> for the larger groups</w:t>
      </w:r>
      <w:r w:rsidRPr="00875353">
        <w:rPr>
          <w:color w:val="000000"/>
          <w:sz w:val="24"/>
          <w:szCs w:val="24"/>
        </w:rPr>
        <w:t>. Given the overall uncertainty inherent to policy assessments of economic conditions in fisheries and given the quality and accuracy of other data used, the standard accuracy should suffice.</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use of periodic instead of annual collection will be considered in the future. The burden on the public will depend on how frequently significant changes occur in this industry. </w:t>
      </w:r>
      <w:r>
        <w:rPr>
          <w:color w:val="000000"/>
          <w:sz w:val="24"/>
          <w:szCs w:val="24"/>
        </w:rPr>
        <w:t>Currently, the fishery is still undergoing substantial changes making the annual collection of data necessary.</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The central approach to maximizing the response rate is to make answering a very concise and simple survey a requirement for future permit renewal. The first cover letter will politely emphasize this point. The second and third reminder letters will be more explicit. The telephone call will also explain the consequences of not complying. The call has the further advantage of being a different mode of contact and should discover non-response due to an incorrect address. Given the potential loss of permit, we expect compliance from all fishermen wanting to continue to fish for shrimp in federal waters. The behavior by those who have left the fishery by the time of the survey, or are planning to leave it before their current permit expires, will not be influenced by the implicit threat. Since the data will be used primarily for assessments and predictions about future developments, under-reporting by individuals leaving the fishery is less problematic.</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A good sampling frame, with annually updated contact information (through the ongoing permit renewal), will help to reduce the non-contact component of non-response. If necessary due to low response, at the conclusion of the survey, we will contact port agents (local federal employees who collect data and report from a limited area) and ask them for any information on non-responding vessels/individuals. Should non-response be a significant factor, we might even ask port agents to inquire themselves, and/or we will debrief a few (&lt;10) individuals about reasons for not responding in order to establish potential non-response biases.</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Beyond the above, we will take every action available to us to facilitate completing and returning the survey by the fishermen. General survey design techniques (Dillman method) and experience from the previous surveys will guide us. Noteworthy actions include:</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Timing of the survey during the slow shrimp fishing season (winter and spring) and coinciding with tax time, when business records are being consulted and financial concerns are “top of mind.”</w:t>
      </w:r>
    </w:p>
    <w:p w:rsidR="00001757" w:rsidRPr="00C85D9F" w:rsidRDefault="00001757" w:rsidP="00001757">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85D9F">
        <w:rPr>
          <w:color w:val="000000"/>
          <w:sz w:val="24"/>
          <w:szCs w:val="24"/>
        </w:rPr>
        <w:t>Using plain language and translating the survey into “language” spoken by southeast</w:t>
      </w:r>
      <w:r>
        <w:rPr>
          <w:color w:val="000000"/>
          <w:sz w:val="24"/>
          <w:szCs w:val="24"/>
        </w:rPr>
        <w:t xml:space="preserve"> shrimp fishermen (including a Vietnamese version).</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BF5202"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statistical design and size of this sample survey will allow for </w:t>
      </w:r>
      <w:r w:rsidRPr="00BF5202">
        <w:rPr>
          <w:color w:val="000000"/>
          <w:sz w:val="24"/>
          <w:szCs w:val="24"/>
        </w:rPr>
        <w:t>valid generalizations of the results to the population and larger subpopulation levels. The anticipated accuracy of the results is discussed in more detail in the previous question (Part B, Question 2).</w:t>
      </w:r>
    </w:p>
    <w:p w:rsidR="00001757" w:rsidRPr="00BF5202"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BF5202"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001757" w:rsidRPr="00BF5202"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color w:val="000000"/>
          <w:sz w:val="24"/>
          <w:szCs w:val="24"/>
        </w:rPr>
        <w:t>Sometime during this 3 year cycle, we would like to once again ask a question about if respondents would prefer to fill-out the survey online.  Roughly 10 years have passed since we last asked a question of this nature, and attitudes might have changed.  If we received a large affirmative answer, we might go to a multi-method approach (with the next OMB</w:t>
      </w:r>
      <w:r>
        <w:rPr>
          <w:color w:val="000000"/>
          <w:sz w:val="24"/>
          <w:szCs w:val="24"/>
        </w:rPr>
        <w:t>/PRA</w:t>
      </w:r>
      <w:r w:rsidRPr="00BF5202">
        <w:rPr>
          <w:color w:val="000000"/>
          <w:sz w:val="24"/>
          <w:szCs w:val="24"/>
        </w:rPr>
        <w:t xml:space="preserve"> renewal process).  While an online system would require resources to construct, it would also save resources (less data entry; possibly less data entry errors and verification; possible e</w:t>
      </w:r>
      <w:r>
        <w:rPr>
          <w:color w:val="000000"/>
          <w:sz w:val="24"/>
          <w:szCs w:val="24"/>
        </w:rPr>
        <w:t>mail instead of phone contact and follow-up).</w:t>
      </w:r>
    </w:p>
    <w:p w:rsidR="00001757" w:rsidRPr="00875353"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001757" w:rsidRPr="00BF5202" w:rsidRDefault="00001757" w:rsidP="000017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b/>
          <w:bCs/>
          <w:color w:val="000000"/>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01757" w:rsidRPr="00BF5202" w:rsidRDefault="00001757" w:rsidP="00001757">
      <w:pPr>
        <w:suppressLineNumbers/>
        <w:suppressAutoHyphens/>
        <w:rPr>
          <w:color w:val="000000"/>
          <w:sz w:val="24"/>
          <w:szCs w:val="24"/>
        </w:rPr>
      </w:pPr>
    </w:p>
    <w:p w:rsidR="00001757" w:rsidRPr="00BF5202" w:rsidRDefault="00001757" w:rsidP="00001757">
      <w:pPr>
        <w:suppressLineNumbers/>
        <w:suppressAutoHyphens/>
        <w:rPr>
          <w:color w:val="000000"/>
          <w:sz w:val="24"/>
          <w:szCs w:val="24"/>
          <w:u w:val="single"/>
        </w:rPr>
      </w:pPr>
      <w:r w:rsidRPr="00BF5202">
        <w:rPr>
          <w:color w:val="000000"/>
          <w:sz w:val="24"/>
          <w:szCs w:val="24"/>
          <w:u w:val="single"/>
        </w:rPr>
        <w:t>Individual consulted on the statistical aspects of the design:</w:t>
      </w:r>
    </w:p>
    <w:p w:rsidR="00001757" w:rsidRPr="001A7754" w:rsidRDefault="00001757" w:rsidP="00001757">
      <w:pPr>
        <w:suppressLineNumbers/>
        <w:suppressAutoHyphens/>
        <w:rPr>
          <w:color w:val="000000"/>
          <w:sz w:val="24"/>
          <w:szCs w:val="24"/>
        </w:rPr>
      </w:pPr>
      <w:r w:rsidRPr="001A7754">
        <w:rPr>
          <w:color w:val="000000"/>
          <w:sz w:val="24"/>
          <w:szCs w:val="24"/>
        </w:rPr>
        <w:t>Elizabeth Overstreet, MSc in Applied Statistics</w:t>
      </w:r>
    </w:p>
    <w:p w:rsidR="00001757" w:rsidRPr="001A7754" w:rsidRDefault="00001757" w:rsidP="00001757">
      <w:pPr>
        <w:suppressLineNumbers/>
        <w:suppressAutoHyphens/>
        <w:rPr>
          <w:color w:val="000000"/>
          <w:sz w:val="24"/>
          <w:szCs w:val="24"/>
        </w:rPr>
      </w:pPr>
      <w:r w:rsidRPr="001A7754">
        <w:rPr>
          <w:color w:val="000000"/>
          <w:sz w:val="24"/>
          <w:szCs w:val="24"/>
        </w:rPr>
        <w:t>National Marine Fisheries Service</w:t>
      </w:r>
    </w:p>
    <w:p w:rsidR="00001757" w:rsidRPr="001A7754" w:rsidRDefault="00001757" w:rsidP="00001757">
      <w:pPr>
        <w:suppressLineNumbers/>
        <w:suppressAutoHyphens/>
        <w:rPr>
          <w:color w:val="000000"/>
          <w:sz w:val="24"/>
          <w:szCs w:val="24"/>
        </w:rPr>
      </w:pPr>
      <w:smartTag w:uri="urn:schemas-microsoft-com:office:smarttags" w:element="place">
        <w:smartTag w:uri="urn:schemas-microsoft-com:office:smarttags" w:element="PlaceName">
          <w:r w:rsidRPr="001A7754">
            <w:rPr>
              <w:color w:val="000000"/>
              <w:sz w:val="24"/>
              <w:szCs w:val="24"/>
            </w:rPr>
            <w:t>Southeast</w:t>
          </w:r>
        </w:smartTag>
        <w:r w:rsidRPr="001A7754">
          <w:rPr>
            <w:color w:val="000000"/>
            <w:sz w:val="24"/>
            <w:szCs w:val="24"/>
          </w:rPr>
          <w:t xml:space="preserve"> </w:t>
        </w:r>
        <w:smartTag w:uri="urn:schemas-microsoft-com:office:smarttags" w:element="PlaceName">
          <w:r w:rsidRPr="001A7754">
            <w:rPr>
              <w:color w:val="000000"/>
              <w:sz w:val="24"/>
              <w:szCs w:val="24"/>
            </w:rPr>
            <w:t>Fisheries</w:t>
          </w:r>
        </w:smartTag>
        <w:r w:rsidRPr="001A7754">
          <w:rPr>
            <w:color w:val="000000"/>
            <w:sz w:val="24"/>
            <w:szCs w:val="24"/>
          </w:rPr>
          <w:t xml:space="preserve"> </w:t>
        </w:r>
        <w:smartTag w:uri="urn:schemas-microsoft-com:office:smarttags" w:element="PlaceName">
          <w:r w:rsidRPr="001A7754">
            <w:rPr>
              <w:color w:val="000000"/>
              <w:sz w:val="24"/>
              <w:szCs w:val="24"/>
            </w:rPr>
            <w:t>Science</w:t>
          </w:r>
        </w:smartTag>
        <w:r w:rsidRPr="001A7754">
          <w:rPr>
            <w:color w:val="000000"/>
            <w:sz w:val="24"/>
            <w:szCs w:val="24"/>
          </w:rPr>
          <w:t xml:space="preserve"> </w:t>
        </w:r>
        <w:smartTag w:uri="urn:schemas-microsoft-com:office:smarttags" w:element="PlaceType">
          <w:r w:rsidRPr="001A7754">
            <w:rPr>
              <w:color w:val="000000"/>
              <w:sz w:val="24"/>
              <w:szCs w:val="24"/>
            </w:rPr>
            <w:t>Center</w:t>
          </w:r>
        </w:smartTag>
      </w:smartTag>
    </w:p>
    <w:p w:rsidR="00001757" w:rsidRPr="001A7754" w:rsidRDefault="00001757" w:rsidP="00001757">
      <w:pPr>
        <w:suppressLineNumbers/>
        <w:suppressAutoHyphens/>
        <w:rPr>
          <w:color w:val="000000"/>
          <w:sz w:val="24"/>
          <w:szCs w:val="24"/>
        </w:rPr>
      </w:pPr>
      <w:r w:rsidRPr="001A7754">
        <w:rPr>
          <w:color w:val="000000"/>
          <w:sz w:val="24"/>
          <w:szCs w:val="24"/>
        </w:rPr>
        <w:t>Social Science Research Group</w:t>
      </w:r>
    </w:p>
    <w:p w:rsidR="00001757" w:rsidRPr="001A7754" w:rsidRDefault="00001757" w:rsidP="00001757">
      <w:pPr>
        <w:suppressLineNumbers/>
        <w:suppressAutoHyphens/>
        <w:rPr>
          <w:color w:val="000000"/>
          <w:sz w:val="24"/>
          <w:szCs w:val="24"/>
        </w:rPr>
      </w:pPr>
      <w:r w:rsidRPr="001A7754">
        <w:rPr>
          <w:color w:val="000000"/>
          <w:sz w:val="24"/>
          <w:szCs w:val="24"/>
        </w:rPr>
        <w:t>(305) 361-4496</w:t>
      </w:r>
    </w:p>
    <w:p w:rsidR="00001757" w:rsidRPr="001A7754" w:rsidRDefault="00001757" w:rsidP="00001757">
      <w:pPr>
        <w:suppressLineNumbers/>
        <w:suppressAutoHyphens/>
        <w:rPr>
          <w:color w:val="000000"/>
          <w:sz w:val="24"/>
          <w:szCs w:val="24"/>
        </w:rPr>
      </w:pPr>
    </w:p>
    <w:p w:rsidR="00001757" w:rsidRPr="001A7754" w:rsidRDefault="00001757" w:rsidP="00001757">
      <w:pPr>
        <w:suppressLineNumbers/>
        <w:suppressAutoHyphens/>
        <w:rPr>
          <w:color w:val="000000"/>
          <w:sz w:val="24"/>
          <w:szCs w:val="24"/>
        </w:rPr>
      </w:pPr>
      <w:r w:rsidRPr="001A7754">
        <w:rPr>
          <w:color w:val="000000"/>
          <w:sz w:val="24"/>
          <w:szCs w:val="24"/>
        </w:rPr>
        <w:t>Kaming Lo, M.P.H.</w:t>
      </w:r>
    </w:p>
    <w:p w:rsidR="00001757" w:rsidRPr="001A7754" w:rsidRDefault="00001757" w:rsidP="00001757">
      <w:pPr>
        <w:suppressLineNumbers/>
        <w:suppressAutoHyphens/>
        <w:rPr>
          <w:color w:val="000000"/>
          <w:sz w:val="24"/>
          <w:szCs w:val="24"/>
        </w:rPr>
      </w:pPr>
      <w:r w:rsidRPr="001A7754">
        <w:rPr>
          <w:color w:val="000000"/>
          <w:sz w:val="24"/>
          <w:szCs w:val="24"/>
        </w:rPr>
        <w:t>Biostatistics Collaboration and Consulting Core (BCCC)</w:t>
      </w:r>
    </w:p>
    <w:p w:rsidR="00001757" w:rsidRPr="001A7754" w:rsidRDefault="00001757" w:rsidP="00001757">
      <w:pPr>
        <w:suppressLineNumbers/>
        <w:suppressAutoHyphens/>
        <w:rPr>
          <w:color w:val="000000"/>
          <w:sz w:val="24"/>
          <w:szCs w:val="24"/>
        </w:rPr>
      </w:pPr>
      <w:r w:rsidRPr="001A7754">
        <w:rPr>
          <w:color w:val="000000"/>
          <w:sz w:val="24"/>
          <w:szCs w:val="24"/>
        </w:rPr>
        <w:t>Department of Public Health Sciences</w:t>
      </w:r>
    </w:p>
    <w:p w:rsidR="00001757" w:rsidRPr="001A7754" w:rsidRDefault="00001757" w:rsidP="00001757">
      <w:pPr>
        <w:suppressLineNumbers/>
        <w:suppressAutoHyphens/>
        <w:rPr>
          <w:color w:val="000000"/>
          <w:sz w:val="24"/>
          <w:szCs w:val="24"/>
        </w:rPr>
      </w:pPr>
      <w:r w:rsidRPr="001A7754">
        <w:rPr>
          <w:color w:val="000000"/>
          <w:sz w:val="24"/>
          <w:szCs w:val="24"/>
        </w:rPr>
        <w:t>University of Miami, Miller School of Medicine</w:t>
      </w:r>
    </w:p>
    <w:p w:rsidR="00001757" w:rsidRPr="00BF5202" w:rsidRDefault="00001757" w:rsidP="00001757">
      <w:pPr>
        <w:suppressLineNumbers/>
        <w:suppressAutoHyphens/>
        <w:rPr>
          <w:color w:val="000000"/>
          <w:sz w:val="24"/>
          <w:szCs w:val="24"/>
        </w:rPr>
      </w:pPr>
      <w:r w:rsidRPr="001A7754">
        <w:rPr>
          <w:color w:val="000000"/>
          <w:sz w:val="24"/>
          <w:szCs w:val="24"/>
        </w:rPr>
        <w:t xml:space="preserve"> (305) 243-2506</w:t>
      </w:r>
    </w:p>
    <w:p w:rsidR="00001757" w:rsidRPr="00BF5202" w:rsidRDefault="00001757" w:rsidP="00001757">
      <w:pPr>
        <w:suppressLineNumbers/>
        <w:suppressAutoHyphens/>
        <w:rPr>
          <w:color w:val="000000"/>
          <w:sz w:val="24"/>
          <w:szCs w:val="24"/>
        </w:rPr>
      </w:pPr>
    </w:p>
    <w:p w:rsidR="00001757" w:rsidRPr="00BF5202" w:rsidRDefault="00001757" w:rsidP="00001757">
      <w:pPr>
        <w:suppressLineNumbers/>
        <w:suppressAutoHyphens/>
        <w:rPr>
          <w:color w:val="000000"/>
          <w:sz w:val="24"/>
          <w:szCs w:val="24"/>
        </w:rPr>
      </w:pPr>
    </w:p>
    <w:p w:rsidR="00001757" w:rsidRPr="00BF5202" w:rsidRDefault="00001757" w:rsidP="00001757">
      <w:pPr>
        <w:suppressLineNumbers/>
        <w:suppressAutoHyphens/>
        <w:rPr>
          <w:color w:val="000000"/>
          <w:sz w:val="24"/>
          <w:szCs w:val="24"/>
          <w:u w:val="single"/>
        </w:rPr>
      </w:pPr>
      <w:r w:rsidRPr="00BF5202">
        <w:rPr>
          <w:color w:val="000000"/>
          <w:sz w:val="24"/>
          <w:szCs w:val="24"/>
          <w:u w:val="single"/>
        </w:rPr>
        <w:t>Persons who will actually collect and analyze the information:</w:t>
      </w:r>
    </w:p>
    <w:p w:rsidR="00001757" w:rsidRPr="00BF5202" w:rsidRDefault="00001757" w:rsidP="00001757">
      <w:pPr>
        <w:suppressLineNumbers/>
        <w:suppressAutoHyphens/>
        <w:rPr>
          <w:color w:val="000000"/>
          <w:sz w:val="24"/>
          <w:szCs w:val="24"/>
        </w:rPr>
      </w:pPr>
      <w:r w:rsidRPr="00BF5202">
        <w:rPr>
          <w:color w:val="000000"/>
          <w:sz w:val="24"/>
          <w:szCs w:val="24"/>
        </w:rPr>
        <w:t>Christopher Liese, Ph.D.</w:t>
      </w:r>
    </w:p>
    <w:p w:rsidR="00001757" w:rsidRPr="00BF5202" w:rsidRDefault="00001757" w:rsidP="00001757">
      <w:pPr>
        <w:suppressLineNumbers/>
        <w:suppressAutoHyphens/>
        <w:rPr>
          <w:color w:val="000000"/>
          <w:sz w:val="24"/>
          <w:szCs w:val="24"/>
        </w:rPr>
      </w:pPr>
      <w:r w:rsidRPr="00BF5202">
        <w:rPr>
          <w:color w:val="000000"/>
          <w:sz w:val="24"/>
          <w:szCs w:val="24"/>
        </w:rPr>
        <w:t>National Marine Fisheries Service</w:t>
      </w:r>
    </w:p>
    <w:p w:rsidR="00001757" w:rsidRPr="00BF5202" w:rsidRDefault="00001757" w:rsidP="00001757">
      <w:pPr>
        <w:suppressLineNumbers/>
        <w:suppressAutoHyphens/>
        <w:rPr>
          <w:color w:val="000000"/>
          <w:sz w:val="24"/>
          <w:szCs w:val="24"/>
        </w:rPr>
      </w:pPr>
      <w:smartTag w:uri="urn:schemas-microsoft-com:office:smarttags" w:element="place">
        <w:smartTag w:uri="urn:schemas-microsoft-com:office:smarttags" w:element="PlaceName">
          <w:r w:rsidRPr="00BF5202">
            <w:rPr>
              <w:color w:val="000000"/>
              <w:sz w:val="24"/>
              <w:szCs w:val="24"/>
            </w:rPr>
            <w:t>Southeast</w:t>
          </w:r>
        </w:smartTag>
        <w:r w:rsidRPr="00BF5202">
          <w:rPr>
            <w:color w:val="000000"/>
            <w:sz w:val="24"/>
            <w:szCs w:val="24"/>
          </w:rPr>
          <w:t xml:space="preserve"> </w:t>
        </w:r>
        <w:smartTag w:uri="urn:schemas-microsoft-com:office:smarttags" w:element="PlaceName">
          <w:r w:rsidRPr="00BF5202">
            <w:rPr>
              <w:color w:val="000000"/>
              <w:sz w:val="24"/>
              <w:szCs w:val="24"/>
            </w:rPr>
            <w:t>Fisheries</w:t>
          </w:r>
        </w:smartTag>
        <w:r w:rsidRPr="00BF5202">
          <w:rPr>
            <w:color w:val="000000"/>
            <w:sz w:val="24"/>
            <w:szCs w:val="24"/>
          </w:rPr>
          <w:t xml:space="preserve"> </w:t>
        </w:r>
        <w:smartTag w:uri="urn:schemas-microsoft-com:office:smarttags" w:element="PlaceName">
          <w:r w:rsidRPr="00BF5202">
            <w:rPr>
              <w:color w:val="000000"/>
              <w:sz w:val="24"/>
              <w:szCs w:val="24"/>
            </w:rPr>
            <w:t>Science</w:t>
          </w:r>
        </w:smartTag>
        <w:r w:rsidRPr="00BF5202">
          <w:rPr>
            <w:color w:val="000000"/>
            <w:sz w:val="24"/>
            <w:szCs w:val="24"/>
          </w:rPr>
          <w:t xml:space="preserve"> </w:t>
        </w:r>
        <w:smartTag w:uri="urn:schemas-microsoft-com:office:smarttags" w:element="PlaceType">
          <w:r w:rsidRPr="00BF5202">
            <w:rPr>
              <w:color w:val="000000"/>
              <w:sz w:val="24"/>
              <w:szCs w:val="24"/>
            </w:rPr>
            <w:t>Center</w:t>
          </w:r>
        </w:smartTag>
      </w:smartTag>
    </w:p>
    <w:p w:rsidR="00001757" w:rsidRPr="00BF5202" w:rsidRDefault="00001757" w:rsidP="00001757">
      <w:pPr>
        <w:suppressLineNumbers/>
        <w:suppressAutoHyphens/>
        <w:rPr>
          <w:color w:val="000000"/>
          <w:sz w:val="24"/>
          <w:szCs w:val="24"/>
        </w:rPr>
      </w:pPr>
      <w:r w:rsidRPr="00BF5202">
        <w:rPr>
          <w:color w:val="000000"/>
          <w:sz w:val="24"/>
          <w:szCs w:val="24"/>
        </w:rPr>
        <w:t>Social Science Research Group</w:t>
      </w:r>
    </w:p>
    <w:p w:rsidR="00001757" w:rsidRPr="00875353" w:rsidRDefault="00001757" w:rsidP="00001757">
      <w:pPr>
        <w:suppressLineNumbers/>
        <w:suppressAutoHyphens/>
        <w:rPr>
          <w:color w:val="000000"/>
          <w:sz w:val="24"/>
          <w:szCs w:val="24"/>
        </w:rPr>
      </w:pPr>
      <w:r w:rsidRPr="00BF5202">
        <w:rPr>
          <w:color w:val="000000"/>
          <w:sz w:val="24"/>
          <w:szCs w:val="24"/>
        </w:rPr>
        <w:t>(305) 365-4109</w:t>
      </w:r>
    </w:p>
    <w:p w:rsidR="00001757" w:rsidRPr="00875353" w:rsidRDefault="00001757" w:rsidP="00001757">
      <w:pPr>
        <w:suppressLineNumbers/>
        <w:suppressAutoHyphens/>
        <w:rPr>
          <w:color w:val="000000"/>
          <w:sz w:val="24"/>
          <w:szCs w:val="24"/>
        </w:rPr>
      </w:pPr>
    </w:p>
    <w:p w:rsidR="00001757" w:rsidRPr="00875353" w:rsidRDefault="00001757" w:rsidP="00001757">
      <w:pPr>
        <w:suppressLineNumbers/>
        <w:suppressAutoHyphens/>
        <w:rPr>
          <w:color w:val="000000"/>
          <w:sz w:val="24"/>
          <w:szCs w:val="24"/>
        </w:rPr>
      </w:pPr>
    </w:p>
    <w:p w:rsidR="00001757" w:rsidRPr="00875353" w:rsidRDefault="00001757" w:rsidP="00001757">
      <w:pPr>
        <w:suppressLineNumbers/>
        <w:suppressAutoHyphens/>
        <w:rPr>
          <w:color w:val="000000"/>
        </w:rPr>
      </w:pPr>
    </w:p>
    <w:tbl>
      <w:tblPr>
        <w:tblW w:w="14816" w:type="dxa"/>
        <w:tblInd w:w="-848" w:type="dxa"/>
        <w:tblLook w:val="0000" w:firstRow="0" w:lastRow="0" w:firstColumn="0" w:lastColumn="0" w:noHBand="0" w:noVBand="0"/>
      </w:tblPr>
      <w:tblGrid>
        <w:gridCol w:w="779"/>
        <w:gridCol w:w="1605"/>
        <w:gridCol w:w="712"/>
        <w:gridCol w:w="815"/>
        <w:gridCol w:w="815"/>
        <w:gridCol w:w="881"/>
        <w:gridCol w:w="416"/>
        <w:gridCol w:w="933"/>
        <w:gridCol w:w="616"/>
        <w:gridCol w:w="643"/>
        <w:gridCol w:w="1279"/>
        <w:gridCol w:w="998"/>
        <w:gridCol w:w="274"/>
        <w:gridCol w:w="1260"/>
        <w:gridCol w:w="1170"/>
        <w:gridCol w:w="1620"/>
      </w:tblGrid>
      <w:tr w:rsidR="00001757" w:rsidRPr="00BF5202" w:rsidTr="00BF4B8B">
        <w:trPr>
          <w:trHeight w:val="375"/>
        </w:trPr>
        <w:tc>
          <w:tcPr>
            <w:tcW w:w="14816" w:type="dxa"/>
            <w:gridSpan w:val="16"/>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b/>
                <w:bCs/>
                <w:color w:val="000000"/>
                <w:sz w:val="24"/>
                <w:szCs w:val="24"/>
                <w:u w:val="single"/>
              </w:rPr>
            </w:pPr>
            <w:r w:rsidRPr="00D15934">
              <w:rPr>
                <w:rFonts w:ascii="MS Sans Serif" w:hAnsi="MS Sans Serif"/>
                <w:b/>
                <w:bCs/>
                <w:color w:val="000000"/>
                <w:sz w:val="24"/>
                <w:szCs w:val="24"/>
                <w:u w:val="single"/>
              </w:rPr>
              <w:t>Table 1:  2017 Sampling Frame, Sampling Strata, Population Characteristics, Sample Size, Response, and Response Rate</w:t>
            </w:r>
          </w:p>
        </w:tc>
      </w:tr>
      <w:tr w:rsidR="00001757" w:rsidRPr="00BF5202" w:rsidTr="00BF4B8B">
        <w:trPr>
          <w:trHeight w:val="165"/>
        </w:trPr>
        <w:tc>
          <w:tcPr>
            <w:tcW w:w="779"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05"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712"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815"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815"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881"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4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33"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16"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43"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79"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98" w:type="dxa"/>
            <w:tcBorders>
              <w:top w:val="nil"/>
              <w:left w:val="nil"/>
              <w:bottom w:val="single" w:sz="12" w:space="0" w:color="auto"/>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r>
      <w:tr w:rsidR="00001757" w:rsidRPr="00BF5202" w:rsidTr="00BF4B8B">
        <w:trPr>
          <w:trHeight w:val="360"/>
        </w:trPr>
        <w:tc>
          <w:tcPr>
            <w:tcW w:w="779" w:type="dxa"/>
            <w:tcBorders>
              <w:top w:val="single" w:sz="12" w:space="0" w:color="auto"/>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color w:val="000000"/>
              </w:rPr>
            </w:pPr>
            <w:r w:rsidRPr="00BF5202">
              <w:rPr>
                <w:rFonts w:ascii="MS Sans Serif" w:hAnsi="MS Sans Serif"/>
                <w:color w:val="000000"/>
              </w:rPr>
              <w:t> </w:t>
            </w:r>
          </w:p>
        </w:tc>
        <w:tc>
          <w:tcPr>
            <w:tcW w:w="1605" w:type="dxa"/>
            <w:vMerge w:val="restart"/>
            <w:tcBorders>
              <w:top w:val="single" w:sz="12" w:space="0" w:color="auto"/>
              <w:left w:val="nil"/>
              <w:bottom w:val="single" w:sz="8" w:space="0" w:color="000000"/>
              <w:right w:val="nil"/>
            </w:tcBorders>
            <w:shd w:val="clear" w:color="auto" w:fill="auto"/>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Population</w:t>
            </w:r>
          </w:p>
        </w:tc>
        <w:tc>
          <w:tcPr>
            <w:tcW w:w="3223" w:type="dxa"/>
            <w:gridSpan w:val="4"/>
            <w:tcBorders>
              <w:top w:val="single" w:sz="12" w:space="0" w:color="auto"/>
              <w:left w:val="nil"/>
              <w:bottom w:val="single" w:sz="4" w:space="0" w:color="auto"/>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Permits</w:t>
            </w:r>
            <w:r w:rsidRPr="00BF5202">
              <w:rPr>
                <w:rFonts w:ascii="MS Sans Serif" w:hAnsi="MS Sans Serif"/>
                <w:b/>
                <w:bCs/>
                <w:color w:val="000000"/>
              </w:rPr>
              <w:br/>
              <w:t>(% of Population by Permit Type)</w:t>
            </w:r>
          </w:p>
        </w:tc>
        <w:tc>
          <w:tcPr>
            <w:tcW w:w="416" w:type="dxa"/>
            <w:tcBorders>
              <w:top w:val="single" w:sz="12" w:space="0" w:color="auto"/>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b/>
                <w:bCs/>
                <w:color w:val="000000"/>
                <w:u w:val="single"/>
              </w:rPr>
            </w:pPr>
          </w:p>
        </w:tc>
        <w:tc>
          <w:tcPr>
            <w:tcW w:w="4469" w:type="dxa"/>
            <w:gridSpan w:val="5"/>
            <w:tcBorders>
              <w:top w:val="single" w:sz="12" w:space="0" w:color="auto"/>
              <w:left w:val="nil"/>
              <w:bottom w:val="single" w:sz="4" w:space="0" w:color="auto"/>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Vessel Characteristics</w:t>
            </w:r>
            <w:r w:rsidRPr="00BF5202">
              <w:rPr>
                <w:rFonts w:ascii="MS Sans Serif" w:hAnsi="MS Sans Serif"/>
                <w:b/>
                <w:bCs/>
                <w:color w:val="000000"/>
              </w:rPr>
              <w:br/>
            </w:r>
          </w:p>
        </w:tc>
        <w:tc>
          <w:tcPr>
            <w:tcW w:w="274" w:type="dxa"/>
            <w:tcBorders>
              <w:top w:val="single" w:sz="12" w:space="0" w:color="auto"/>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u w:val="single"/>
              </w:rPr>
            </w:pPr>
          </w:p>
        </w:tc>
        <w:tc>
          <w:tcPr>
            <w:tcW w:w="1260" w:type="dxa"/>
            <w:vMerge w:val="restart"/>
            <w:tcBorders>
              <w:top w:val="single" w:sz="12" w:space="0" w:color="auto"/>
              <w:left w:val="nil"/>
              <w:bottom w:val="single" w:sz="8" w:space="0" w:color="000000"/>
              <w:right w:val="nil"/>
            </w:tcBorders>
            <w:shd w:val="clear" w:color="auto" w:fill="auto"/>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Sample</w:t>
            </w:r>
          </w:p>
        </w:tc>
        <w:tc>
          <w:tcPr>
            <w:tcW w:w="1170" w:type="dxa"/>
            <w:vMerge w:val="restart"/>
            <w:tcBorders>
              <w:top w:val="single" w:sz="12" w:space="0" w:color="auto"/>
              <w:left w:val="nil"/>
              <w:bottom w:val="single" w:sz="8" w:space="0" w:color="000000"/>
              <w:right w:val="nil"/>
            </w:tcBorders>
            <w:shd w:val="clear" w:color="auto" w:fill="auto"/>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Response</w:t>
            </w:r>
            <w:r w:rsidRPr="00BF5202">
              <w:rPr>
                <w:rFonts w:ascii="MS Sans Serif" w:hAnsi="MS Sans Serif"/>
                <w:b/>
                <w:bCs/>
                <w:color w:val="000000"/>
                <w:vertAlign w:val="superscript"/>
              </w:rPr>
              <w:t>5</w:t>
            </w:r>
          </w:p>
        </w:tc>
        <w:tc>
          <w:tcPr>
            <w:tcW w:w="1620" w:type="dxa"/>
            <w:vMerge w:val="restart"/>
            <w:tcBorders>
              <w:top w:val="single" w:sz="12" w:space="0" w:color="auto"/>
              <w:left w:val="nil"/>
              <w:bottom w:val="single" w:sz="8" w:space="0" w:color="000000"/>
              <w:right w:val="nil"/>
            </w:tcBorders>
            <w:shd w:val="clear" w:color="auto" w:fill="auto"/>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Response Rate</w:t>
            </w:r>
            <w:r w:rsidRPr="00BF5202">
              <w:rPr>
                <w:rFonts w:ascii="MS Sans Serif" w:hAnsi="MS Sans Serif"/>
                <w:b/>
                <w:bCs/>
                <w:color w:val="000000"/>
                <w:vertAlign w:val="superscript"/>
              </w:rPr>
              <w:t>5</w:t>
            </w:r>
          </w:p>
        </w:tc>
      </w:tr>
      <w:tr w:rsidR="00001757" w:rsidRPr="00BF5202" w:rsidTr="00BF4B8B">
        <w:trPr>
          <w:trHeight w:val="360"/>
        </w:trPr>
        <w:tc>
          <w:tcPr>
            <w:tcW w:w="779"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color w:val="000000"/>
              </w:rPr>
            </w:pPr>
            <w:r w:rsidRPr="00BF5202">
              <w:rPr>
                <w:rFonts w:ascii="MS Sans Serif" w:hAnsi="MS Sans Serif"/>
                <w:color w:val="000000"/>
              </w:rPr>
              <w:t> </w:t>
            </w:r>
          </w:p>
        </w:tc>
        <w:tc>
          <w:tcPr>
            <w:tcW w:w="1605" w:type="dxa"/>
            <w:vMerge/>
            <w:tcBorders>
              <w:top w:val="single" w:sz="12" w:space="0" w:color="auto"/>
              <w:left w:val="nil"/>
              <w:bottom w:val="single" w:sz="8" w:space="0" w:color="000000"/>
              <w:right w:val="nil"/>
            </w:tcBorders>
            <w:vAlign w:val="center"/>
          </w:tcPr>
          <w:p w:rsidR="00001757" w:rsidRPr="00BF5202" w:rsidRDefault="00001757" w:rsidP="00BF4B8B">
            <w:pPr>
              <w:suppressLineNumbers/>
              <w:suppressAutoHyphens/>
              <w:autoSpaceDE/>
              <w:autoSpaceDN/>
              <w:adjustRightInd/>
              <w:rPr>
                <w:rFonts w:ascii="MS Sans Serif" w:hAnsi="MS Sans Serif"/>
                <w:b/>
                <w:bCs/>
                <w:color w:val="000000"/>
              </w:rPr>
            </w:pPr>
          </w:p>
        </w:tc>
        <w:tc>
          <w:tcPr>
            <w:tcW w:w="712" w:type="dxa"/>
            <w:tcBorders>
              <w:top w:val="single" w:sz="4" w:space="0" w:color="auto"/>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SPA</w:t>
            </w:r>
            <w:r w:rsidRPr="00BF5202">
              <w:rPr>
                <w:rFonts w:ascii="MS Sans Serif" w:hAnsi="MS Sans Serif"/>
                <w:b/>
                <w:bCs/>
                <w:color w:val="000000"/>
                <w:vertAlign w:val="superscript"/>
              </w:rPr>
              <w:t>1</w:t>
            </w:r>
          </w:p>
        </w:tc>
        <w:tc>
          <w:tcPr>
            <w:tcW w:w="815" w:type="dxa"/>
            <w:tcBorders>
              <w:top w:val="single" w:sz="4" w:space="0" w:color="auto"/>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RSCZ</w:t>
            </w:r>
            <w:r w:rsidRPr="00BF5202">
              <w:rPr>
                <w:rFonts w:ascii="MS Sans Serif" w:hAnsi="MS Sans Serif"/>
                <w:b/>
                <w:bCs/>
                <w:color w:val="000000"/>
                <w:vertAlign w:val="superscript"/>
              </w:rPr>
              <w:t>2</w:t>
            </w:r>
          </w:p>
        </w:tc>
        <w:tc>
          <w:tcPr>
            <w:tcW w:w="815" w:type="dxa"/>
            <w:tcBorders>
              <w:top w:val="single" w:sz="4" w:space="0" w:color="auto"/>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RSLA</w:t>
            </w:r>
            <w:r w:rsidRPr="00BF5202">
              <w:rPr>
                <w:rFonts w:ascii="MS Sans Serif" w:hAnsi="MS Sans Serif"/>
                <w:b/>
                <w:bCs/>
                <w:color w:val="000000"/>
                <w:vertAlign w:val="superscript"/>
              </w:rPr>
              <w:t>3</w:t>
            </w:r>
          </w:p>
        </w:tc>
        <w:tc>
          <w:tcPr>
            <w:tcW w:w="881" w:type="dxa"/>
            <w:tcBorders>
              <w:top w:val="single" w:sz="4" w:space="0" w:color="auto"/>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SPGM</w:t>
            </w:r>
            <w:r w:rsidRPr="00BF5202">
              <w:rPr>
                <w:rFonts w:ascii="MS Sans Serif" w:hAnsi="MS Sans Serif"/>
                <w:b/>
                <w:bCs/>
                <w:color w:val="000000"/>
                <w:vertAlign w:val="superscript"/>
              </w:rPr>
              <w:t>4</w:t>
            </w:r>
          </w:p>
        </w:tc>
        <w:tc>
          <w:tcPr>
            <w:tcW w:w="416"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w:t>
            </w:r>
          </w:p>
        </w:tc>
        <w:tc>
          <w:tcPr>
            <w:tcW w:w="933"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Length</w:t>
            </w:r>
          </w:p>
        </w:tc>
        <w:tc>
          <w:tcPr>
            <w:tcW w:w="616"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HP</w:t>
            </w:r>
          </w:p>
        </w:tc>
        <w:tc>
          <w:tcPr>
            <w:tcW w:w="643"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Year</w:t>
            </w:r>
          </w:p>
        </w:tc>
        <w:tc>
          <w:tcPr>
            <w:tcW w:w="1279"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xml:space="preserve">Steel </w:t>
            </w:r>
            <w:smartTag w:uri="urn:schemas-microsoft-com:office:smarttags" w:element="place">
              <w:smartTag w:uri="urn:schemas-microsoft-com:office:smarttags" w:element="City">
                <w:r w:rsidRPr="00BF5202">
                  <w:rPr>
                    <w:rFonts w:ascii="MS Sans Serif" w:hAnsi="MS Sans Serif"/>
                    <w:b/>
                    <w:bCs/>
                    <w:color w:val="000000"/>
                  </w:rPr>
                  <w:t>Hull</w:t>
                </w:r>
              </w:smartTag>
            </w:smartTag>
          </w:p>
        </w:tc>
        <w:tc>
          <w:tcPr>
            <w:tcW w:w="998"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Freezer</w:t>
            </w:r>
          </w:p>
        </w:tc>
        <w:tc>
          <w:tcPr>
            <w:tcW w:w="274" w:type="dxa"/>
            <w:tcBorders>
              <w:top w:val="nil"/>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w:t>
            </w:r>
          </w:p>
        </w:tc>
        <w:tc>
          <w:tcPr>
            <w:tcW w:w="1260" w:type="dxa"/>
            <w:vMerge/>
            <w:tcBorders>
              <w:top w:val="single" w:sz="12" w:space="0" w:color="auto"/>
              <w:left w:val="nil"/>
              <w:bottom w:val="single" w:sz="8" w:space="0" w:color="000000"/>
              <w:right w:val="nil"/>
            </w:tcBorders>
            <w:vAlign w:val="center"/>
          </w:tcPr>
          <w:p w:rsidR="00001757" w:rsidRPr="00BF5202" w:rsidRDefault="00001757" w:rsidP="00BF4B8B">
            <w:pPr>
              <w:suppressLineNumbers/>
              <w:suppressAutoHyphens/>
              <w:autoSpaceDE/>
              <w:autoSpaceDN/>
              <w:adjustRightInd/>
              <w:rPr>
                <w:rFonts w:ascii="MS Sans Serif" w:hAnsi="MS Sans Serif"/>
                <w:b/>
                <w:bCs/>
                <w:color w:val="000000"/>
              </w:rPr>
            </w:pPr>
          </w:p>
        </w:tc>
        <w:tc>
          <w:tcPr>
            <w:tcW w:w="1170" w:type="dxa"/>
            <w:vMerge/>
            <w:tcBorders>
              <w:top w:val="single" w:sz="12" w:space="0" w:color="auto"/>
              <w:left w:val="nil"/>
              <w:bottom w:val="single" w:sz="8" w:space="0" w:color="000000"/>
              <w:right w:val="nil"/>
            </w:tcBorders>
            <w:vAlign w:val="center"/>
          </w:tcPr>
          <w:p w:rsidR="00001757" w:rsidRPr="00BF5202" w:rsidRDefault="00001757" w:rsidP="00BF4B8B">
            <w:pPr>
              <w:suppressLineNumbers/>
              <w:suppressAutoHyphens/>
              <w:autoSpaceDE/>
              <w:autoSpaceDN/>
              <w:adjustRightInd/>
              <w:rPr>
                <w:rFonts w:ascii="MS Sans Serif" w:hAnsi="MS Sans Serif"/>
                <w:b/>
                <w:bCs/>
                <w:color w:val="000000"/>
              </w:rPr>
            </w:pPr>
          </w:p>
        </w:tc>
        <w:tc>
          <w:tcPr>
            <w:tcW w:w="1620" w:type="dxa"/>
            <w:vMerge/>
            <w:tcBorders>
              <w:top w:val="single" w:sz="12" w:space="0" w:color="auto"/>
              <w:left w:val="nil"/>
              <w:bottom w:val="single" w:sz="8" w:space="0" w:color="000000"/>
              <w:right w:val="nil"/>
            </w:tcBorders>
            <w:vAlign w:val="center"/>
          </w:tcPr>
          <w:p w:rsidR="00001757" w:rsidRPr="00BF5202" w:rsidRDefault="00001757" w:rsidP="00BF4B8B">
            <w:pPr>
              <w:suppressLineNumbers/>
              <w:suppressAutoHyphens/>
              <w:autoSpaceDE/>
              <w:autoSpaceDN/>
              <w:adjustRightInd/>
              <w:rPr>
                <w:rFonts w:ascii="MS Sans Serif" w:hAnsi="MS Sans Serif"/>
                <w:b/>
                <w:bCs/>
                <w:color w:val="000000"/>
              </w:rPr>
            </w:pPr>
          </w:p>
        </w:tc>
      </w:tr>
      <w:tr w:rsidR="00001757" w:rsidRPr="00BF5202" w:rsidTr="00BF4B8B">
        <w:trPr>
          <w:trHeight w:val="46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NC</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100</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91%</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25%</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22%</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39%</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61</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473</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1987</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44%</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23%</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41</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23</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56%</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SC</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55</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98%</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13%</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2%</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9%</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53</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378</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1978</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9%</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9%</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23</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12</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52%</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GA</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73</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97%</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5%</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8%</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18%</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59</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412</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1976</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30</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9</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30%</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FL</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254</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55%</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7%</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11%</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78%</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54</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436</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1983</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24%</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44%</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113</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76</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67%</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smartTag w:uri="urn:schemas-microsoft-com:office:smarttags" w:element="place">
              <w:smartTag w:uri="urn:schemas-microsoft-com:office:smarttags" w:element="State">
                <w:r w:rsidRPr="00BF5202">
                  <w:rPr>
                    <w:rFonts w:ascii="MS Sans Serif" w:hAnsi="MS Sans Serif"/>
                    <w:b/>
                    <w:bCs/>
                    <w:color w:val="000000"/>
                  </w:rPr>
                  <w:t>AL</w:t>
                </w:r>
              </w:smartTag>
            </w:smartTag>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107</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40%</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7%</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32%</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99%</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68</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565</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1993</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82%</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59%</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39</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32</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82%</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MS</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98</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18%</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3%</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6%</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99%</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71</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614</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1989</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82%</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62%</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40</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36</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90%</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LA</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375</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2%</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0%</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100%</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63</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517</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1991</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78%</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37%</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147</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125</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85%</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TX</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541</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5%</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2%</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1%</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100%</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72</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606</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1987</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90%</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87%</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199</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179</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90%</w:t>
            </w:r>
          </w:p>
        </w:tc>
      </w:tr>
      <w:tr w:rsidR="00001757" w:rsidRPr="00BF5202" w:rsidTr="00BF4B8B">
        <w:trPr>
          <w:trHeight w:val="375"/>
        </w:trPr>
        <w:tc>
          <w:tcPr>
            <w:tcW w:w="779" w:type="dxa"/>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Other</w:t>
            </w:r>
          </w:p>
        </w:tc>
        <w:tc>
          <w:tcPr>
            <w:tcW w:w="1605" w:type="dxa"/>
            <w:tcBorders>
              <w:top w:val="nil"/>
              <w:left w:val="nil"/>
              <w:bottom w:val="nil"/>
              <w:right w:val="nil"/>
            </w:tcBorders>
            <w:shd w:val="clear" w:color="auto" w:fill="auto"/>
            <w:noWrap/>
            <w:vAlign w:val="center"/>
          </w:tcPr>
          <w:p w:rsidR="00001757" w:rsidRPr="00BF5202" w:rsidRDefault="00001757" w:rsidP="00BF4B8B">
            <w:pPr>
              <w:jc w:val="center"/>
            </w:pPr>
            <w:r w:rsidRPr="002F5BFA">
              <w:t>59</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2F5BFA">
              <w:t>58%</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58%</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2F5BFA">
              <w:t>7%</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2F5BFA">
              <w:t>63%</w:t>
            </w:r>
          </w:p>
        </w:tc>
        <w:tc>
          <w:tcPr>
            <w:tcW w:w="416"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933" w:type="dxa"/>
            <w:tcBorders>
              <w:top w:val="nil"/>
              <w:left w:val="nil"/>
              <w:bottom w:val="nil"/>
              <w:right w:val="nil"/>
            </w:tcBorders>
            <w:shd w:val="clear" w:color="auto" w:fill="auto"/>
            <w:noWrap/>
            <w:vAlign w:val="center"/>
          </w:tcPr>
          <w:p w:rsidR="00001757" w:rsidRPr="00BF5202" w:rsidRDefault="00001757" w:rsidP="00BF4B8B">
            <w:pPr>
              <w:jc w:val="center"/>
            </w:pPr>
            <w:r w:rsidRPr="002F5BFA">
              <w:t>73</w:t>
            </w:r>
          </w:p>
        </w:tc>
        <w:tc>
          <w:tcPr>
            <w:tcW w:w="616" w:type="dxa"/>
            <w:tcBorders>
              <w:top w:val="nil"/>
              <w:left w:val="nil"/>
              <w:bottom w:val="nil"/>
              <w:right w:val="nil"/>
            </w:tcBorders>
            <w:shd w:val="clear" w:color="auto" w:fill="auto"/>
            <w:noWrap/>
            <w:vAlign w:val="center"/>
          </w:tcPr>
          <w:p w:rsidR="00001757" w:rsidRPr="00BF5202" w:rsidRDefault="00001757" w:rsidP="00BF4B8B">
            <w:pPr>
              <w:jc w:val="center"/>
            </w:pPr>
            <w:r w:rsidRPr="002F5BFA">
              <w:t>1133</w:t>
            </w:r>
          </w:p>
        </w:tc>
        <w:tc>
          <w:tcPr>
            <w:tcW w:w="643" w:type="dxa"/>
            <w:tcBorders>
              <w:top w:val="nil"/>
              <w:left w:val="nil"/>
              <w:bottom w:val="nil"/>
              <w:right w:val="nil"/>
            </w:tcBorders>
            <w:shd w:val="clear" w:color="auto" w:fill="auto"/>
            <w:noWrap/>
            <w:vAlign w:val="center"/>
          </w:tcPr>
          <w:p w:rsidR="00001757" w:rsidRPr="00BF5202" w:rsidRDefault="00001757" w:rsidP="00BF4B8B">
            <w:pPr>
              <w:jc w:val="center"/>
            </w:pPr>
            <w:r w:rsidRPr="002F5BFA">
              <w:t>1989</w:t>
            </w:r>
          </w:p>
        </w:tc>
        <w:tc>
          <w:tcPr>
            <w:tcW w:w="1279" w:type="dxa"/>
            <w:tcBorders>
              <w:top w:val="nil"/>
              <w:left w:val="nil"/>
              <w:bottom w:val="nil"/>
              <w:right w:val="nil"/>
            </w:tcBorders>
            <w:shd w:val="clear" w:color="auto" w:fill="auto"/>
            <w:noWrap/>
            <w:vAlign w:val="center"/>
          </w:tcPr>
          <w:p w:rsidR="00001757" w:rsidRPr="00BF5202" w:rsidRDefault="00001757" w:rsidP="00BF4B8B">
            <w:pPr>
              <w:jc w:val="center"/>
            </w:pPr>
            <w:r w:rsidRPr="002F5BFA">
              <w:t>86%</w:t>
            </w:r>
          </w:p>
        </w:tc>
        <w:tc>
          <w:tcPr>
            <w:tcW w:w="998" w:type="dxa"/>
            <w:tcBorders>
              <w:top w:val="nil"/>
              <w:left w:val="nil"/>
              <w:bottom w:val="nil"/>
              <w:right w:val="nil"/>
            </w:tcBorders>
            <w:shd w:val="clear" w:color="auto" w:fill="auto"/>
            <w:noWrap/>
            <w:vAlign w:val="center"/>
          </w:tcPr>
          <w:p w:rsidR="00001757" w:rsidRPr="00BF5202" w:rsidRDefault="00001757" w:rsidP="00BF4B8B">
            <w:pPr>
              <w:jc w:val="center"/>
            </w:pPr>
            <w:r w:rsidRPr="002F5BFA">
              <w:t>32%</w:t>
            </w:r>
          </w:p>
        </w:tc>
        <w:tc>
          <w:tcPr>
            <w:tcW w:w="274" w:type="dxa"/>
            <w:tcBorders>
              <w:top w:val="nil"/>
              <w:left w:val="nil"/>
              <w:bottom w:val="nil"/>
              <w:right w:val="nil"/>
            </w:tcBorders>
            <w:shd w:val="clear" w:color="auto" w:fill="auto"/>
            <w:noWrap/>
            <w:vAlign w:val="center"/>
          </w:tcPr>
          <w:p w:rsidR="00001757" w:rsidRPr="00BF5202" w:rsidRDefault="00001757" w:rsidP="00BF4B8B">
            <w:pPr>
              <w:jc w:val="center"/>
            </w:pPr>
          </w:p>
        </w:tc>
        <w:tc>
          <w:tcPr>
            <w:tcW w:w="1260" w:type="dxa"/>
            <w:tcBorders>
              <w:top w:val="nil"/>
              <w:left w:val="nil"/>
              <w:bottom w:val="nil"/>
              <w:right w:val="nil"/>
            </w:tcBorders>
            <w:shd w:val="clear" w:color="auto" w:fill="auto"/>
            <w:noWrap/>
            <w:vAlign w:val="center"/>
          </w:tcPr>
          <w:p w:rsidR="00001757" w:rsidRPr="00BF5202" w:rsidRDefault="00001757" w:rsidP="00BF4B8B">
            <w:pPr>
              <w:jc w:val="center"/>
            </w:pPr>
            <w:r w:rsidRPr="002F5BFA">
              <w:t>27</w:t>
            </w:r>
          </w:p>
        </w:tc>
        <w:tc>
          <w:tcPr>
            <w:tcW w:w="1170" w:type="dxa"/>
            <w:tcBorders>
              <w:top w:val="nil"/>
              <w:left w:val="nil"/>
              <w:bottom w:val="nil"/>
              <w:right w:val="nil"/>
            </w:tcBorders>
            <w:shd w:val="clear" w:color="auto" w:fill="auto"/>
            <w:noWrap/>
            <w:vAlign w:val="center"/>
          </w:tcPr>
          <w:p w:rsidR="00001757" w:rsidRPr="00BF5202" w:rsidRDefault="00001757" w:rsidP="00BF4B8B">
            <w:pPr>
              <w:jc w:val="center"/>
            </w:pPr>
            <w:r w:rsidRPr="002F5BFA">
              <w:t>22</w:t>
            </w:r>
          </w:p>
        </w:tc>
        <w:tc>
          <w:tcPr>
            <w:tcW w:w="1620" w:type="dxa"/>
            <w:tcBorders>
              <w:top w:val="nil"/>
              <w:left w:val="nil"/>
              <w:bottom w:val="nil"/>
              <w:right w:val="nil"/>
            </w:tcBorders>
            <w:shd w:val="clear" w:color="auto" w:fill="auto"/>
            <w:noWrap/>
            <w:vAlign w:val="center"/>
          </w:tcPr>
          <w:p w:rsidR="00001757" w:rsidRPr="00BF5202" w:rsidRDefault="00001757" w:rsidP="00BF4B8B">
            <w:pPr>
              <w:jc w:val="center"/>
            </w:pPr>
            <w:r w:rsidRPr="002F5BFA">
              <w:t>81%</w:t>
            </w:r>
          </w:p>
        </w:tc>
      </w:tr>
      <w:tr w:rsidR="00001757" w:rsidRPr="00BF5202" w:rsidTr="00BF4B8B">
        <w:trPr>
          <w:trHeight w:val="435"/>
        </w:trPr>
        <w:tc>
          <w:tcPr>
            <w:tcW w:w="779"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Total</w:t>
            </w:r>
          </w:p>
        </w:tc>
        <w:tc>
          <w:tcPr>
            <w:tcW w:w="1605"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1662</w:t>
            </w:r>
          </w:p>
        </w:tc>
        <w:tc>
          <w:tcPr>
            <w:tcW w:w="712"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29%</w:t>
            </w:r>
          </w:p>
        </w:tc>
        <w:tc>
          <w:tcPr>
            <w:tcW w:w="815"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7%</w:t>
            </w:r>
          </w:p>
        </w:tc>
        <w:tc>
          <w:tcPr>
            <w:tcW w:w="815"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6%</w:t>
            </w:r>
          </w:p>
        </w:tc>
        <w:tc>
          <w:tcPr>
            <w:tcW w:w="881"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85%</w:t>
            </w:r>
          </w:p>
        </w:tc>
        <w:tc>
          <w:tcPr>
            <w:tcW w:w="416"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p>
        </w:tc>
        <w:tc>
          <w:tcPr>
            <w:tcW w:w="933"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65</w:t>
            </w:r>
          </w:p>
        </w:tc>
        <w:tc>
          <w:tcPr>
            <w:tcW w:w="616"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553</w:t>
            </w:r>
          </w:p>
        </w:tc>
        <w:tc>
          <w:tcPr>
            <w:tcW w:w="643"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1987</w:t>
            </w:r>
          </w:p>
        </w:tc>
        <w:tc>
          <w:tcPr>
            <w:tcW w:w="1279"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67%</w:t>
            </w:r>
          </w:p>
        </w:tc>
        <w:tc>
          <w:tcPr>
            <w:tcW w:w="998"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55%</w:t>
            </w:r>
          </w:p>
        </w:tc>
        <w:tc>
          <w:tcPr>
            <w:tcW w:w="274"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p>
        </w:tc>
        <w:tc>
          <w:tcPr>
            <w:tcW w:w="1260"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659</w:t>
            </w:r>
          </w:p>
        </w:tc>
        <w:tc>
          <w:tcPr>
            <w:tcW w:w="1170"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514</w:t>
            </w:r>
          </w:p>
        </w:tc>
        <w:tc>
          <w:tcPr>
            <w:tcW w:w="1620" w:type="dxa"/>
            <w:tcBorders>
              <w:top w:val="dashed" w:sz="4" w:space="0" w:color="auto"/>
              <w:left w:val="nil"/>
              <w:bottom w:val="single" w:sz="8" w:space="0" w:color="auto"/>
              <w:right w:val="nil"/>
            </w:tcBorders>
            <w:shd w:val="clear" w:color="auto" w:fill="auto"/>
            <w:noWrap/>
            <w:vAlign w:val="center"/>
          </w:tcPr>
          <w:p w:rsidR="00001757" w:rsidRPr="00BF5202" w:rsidRDefault="00001757" w:rsidP="00BF4B8B">
            <w:pPr>
              <w:jc w:val="center"/>
            </w:pPr>
            <w:r w:rsidRPr="002F5BFA">
              <w:t>78%</w:t>
            </w:r>
          </w:p>
        </w:tc>
      </w:tr>
      <w:tr w:rsidR="00001757" w:rsidRPr="00BF5202" w:rsidTr="00BF4B8B">
        <w:trPr>
          <w:trHeight w:val="255"/>
        </w:trPr>
        <w:tc>
          <w:tcPr>
            <w:tcW w:w="779"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05"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712"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color w:val="000000"/>
              </w:rPr>
            </w:pPr>
          </w:p>
        </w:tc>
        <w:tc>
          <w:tcPr>
            <w:tcW w:w="815"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color w:val="000000"/>
              </w:rPr>
            </w:pPr>
          </w:p>
        </w:tc>
        <w:tc>
          <w:tcPr>
            <w:tcW w:w="815"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color w:val="000000"/>
              </w:rPr>
            </w:pPr>
          </w:p>
        </w:tc>
        <w:tc>
          <w:tcPr>
            <w:tcW w:w="881"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jc w:val="center"/>
              <w:rPr>
                <w:rFonts w:ascii="MS Sans Serif" w:hAnsi="MS Sans Serif"/>
                <w:color w:val="000000"/>
              </w:rPr>
            </w:pPr>
          </w:p>
        </w:tc>
        <w:tc>
          <w:tcPr>
            <w:tcW w:w="4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r>
      <w:tr w:rsidR="00001757" w:rsidRPr="00BF5202" w:rsidTr="00BF4B8B">
        <w:trPr>
          <w:trHeight w:val="360"/>
        </w:trPr>
        <w:tc>
          <w:tcPr>
            <w:tcW w:w="2384" w:type="dxa"/>
            <w:gridSpan w:val="2"/>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Permit Type Count:</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F34D9F">
              <w:t>484</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F34D9F">
              <w:t>111</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F34D9F">
              <w:t>103</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F34D9F">
              <w:t>1409</w:t>
            </w:r>
          </w:p>
        </w:tc>
        <w:tc>
          <w:tcPr>
            <w:tcW w:w="4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r>
      <w:tr w:rsidR="00001757" w:rsidRPr="00BF5202" w:rsidTr="00BF4B8B">
        <w:trPr>
          <w:trHeight w:val="360"/>
        </w:trPr>
        <w:tc>
          <w:tcPr>
            <w:tcW w:w="2384" w:type="dxa"/>
            <w:gridSpan w:val="2"/>
            <w:tcBorders>
              <w:top w:val="nil"/>
              <w:left w:val="nil"/>
              <w:bottom w:val="nil"/>
              <w:right w:val="nil"/>
            </w:tcBorders>
            <w:shd w:val="clear" w:color="auto" w:fill="auto"/>
            <w:noWrap/>
            <w:vAlign w:val="center"/>
          </w:tcPr>
          <w:p w:rsidR="00001757" w:rsidRPr="00BF5202" w:rsidRDefault="00001757" w:rsidP="00BF4B8B">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Sample by Permit:</w:t>
            </w:r>
          </w:p>
        </w:tc>
        <w:tc>
          <w:tcPr>
            <w:tcW w:w="712" w:type="dxa"/>
            <w:tcBorders>
              <w:top w:val="nil"/>
              <w:left w:val="nil"/>
              <w:bottom w:val="nil"/>
              <w:right w:val="nil"/>
            </w:tcBorders>
            <w:shd w:val="clear" w:color="auto" w:fill="auto"/>
            <w:noWrap/>
            <w:vAlign w:val="center"/>
          </w:tcPr>
          <w:p w:rsidR="00001757" w:rsidRPr="00BF5202" w:rsidRDefault="00001757" w:rsidP="00BF4B8B">
            <w:pPr>
              <w:jc w:val="center"/>
            </w:pPr>
            <w:r w:rsidRPr="00F34D9F">
              <w:t>221</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F34D9F">
              <w:t>41</w:t>
            </w:r>
          </w:p>
        </w:tc>
        <w:tc>
          <w:tcPr>
            <w:tcW w:w="815" w:type="dxa"/>
            <w:tcBorders>
              <w:top w:val="nil"/>
              <w:left w:val="nil"/>
              <w:bottom w:val="nil"/>
              <w:right w:val="nil"/>
            </w:tcBorders>
            <w:shd w:val="clear" w:color="auto" w:fill="auto"/>
            <w:noWrap/>
            <w:vAlign w:val="center"/>
          </w:tcPr>
          <w:p w:rsidR="00001757" w:rsidRPr="00BF5202" w:rsidRDefault="00001757" w:rsidP="00BF4B8B">
            <w:pPr>
              <w:jc w:val="center"/>
            </w:pPr>
            <w:r w:rsidRPr="00F34D9F">
              <w:t>51</w:t>
            </w:r>
          </w:p>
        </w:tc>
        <w:tc>
          <w:tcPr>
            <w:tcW w:w="881" w:type="dxa"/>
            <w:tcBorders>
              <w:top w:val="nil"/>
              <w:left w:val="nil"/>
              <w:bottom w:val="nil"/>
              <w:right w:val="nil"/>
            </w:tcBorders>
            <w:shd w:val="clear" w:color="auto" w:fill="auto"/>
            <w:noWrap/>
            <w:vAlign w:val="center"/>
          </w:tcPr>
          <w:p w:rsidR="00001757" w:rsidRPr="00BF5202" w:rsidRDefault="00001757" w:rsidP="00BF4B8B">
            <w:pPr>
              <w:jc w:val="center"/>
            </w:pPr>
            <w:r w:rsidRPr="00F34D9F">
              <w:t>536</w:t>
            </w:r>
          </w:p>
        </w:tc>
        <w:tc>
          <w:tcPr>
            <w:tcW w:w="4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001757" w:rsidRPr="00BF5202" w:rsidRDefault="00001757" w:rsidP="00BF4B8B">
            <w:pPr>
              <w:suppressLineNumbers/>
              <w:suppressAutoHyphens/>
              <w:autoSpaceDE/>
              <w:autoSpaceDN/>
              <w:adjustRightInd/>
              <w:rPr>
                <w:rFonts w:ascii="MS Sans Serif" w:hAnsi="MS Sans Serif"/>
                <w:color w:val="000000"/>
              </w:rPr>
            </w:pPr>
          </w:p>
        </w:tc>
      </w:tr>
    </w:tbl>
    <w:p w:rsidR="00001757" w:rsidRPr="00BF5202" w:rsidRDefault="00001757" w:rsidP="00001757">
      <w:pPr>
        <w:suppressLineNumbers/>
        <w:suppressAutoHyphens/>
        <w:rPr>
          <w:color w:val="000000"/>
        </w:rPr>
      </w:pPr>
    </w:p>
    <w:p w:rsidR="00001757" w:rsidRPr="00BF5202" w:rsidRDefault="00001757" w:rsidP="00001757">
      <w:pPr>
        <w:suppressLineNumbers/>
        <w:suppressAutoHyphens/>
        <w:ind w:firstLine="720"/>
        <w:rPr>
          <w:color w:val="000000"/>
        </w:rPr>
      </w:pPr>
      <w:r w:rsidRPr="00BF5202">
        <w:rPr>
          <w:b/>
          <w:color w:val="000000"/>
          <w:vertAlign w:val="superscript"/>
        </w:rPr>
        <w:t>1</w:t>
      </w:r>
      <w:r w:rsidRPr="00BF5202">
        <w:rPr>
          <w:color w:val="000000"/>
        </w:rPr>
        <w:t xml:space="preserve"> SPA:</w:t>
      </w:r>
      <w:r w:rsidRPr="00BF5202">
        <w:rPr>
          <w:color w:val="000000"/>
        </w:rPr>
        <w:tab/>
      </w:r>
      <w:r w:rsidRPr="00BF5202">
        <w:rPr>
          <w:color w:val="000000"/>
        </w:rPr>
        <w:tab/>
      </w:r>
      <w:smartTag w:uri="urn:schemas-microsoft-com:office:smarttags" w:element="place">
        <w:r w:rsidRPr="00BF5202">
          <w:rPr>
            <w:color w:val="000000"/>
          </w:rPr>
          <w:t>South Atlantic</w:t>
        </w:r>
      </w:smartTag>
      <w:r w:rsidRPr="00BF5202">
        <w:rPr>
          <w:color w:val="000000"/>
        </w:rPr>
        <w:t xml:space="preserve"> penaeid shrimp permit (open access).</w:t>
      </w:r>
    </w:p>
    <w:p w:rsidR="00001757" w:rsidRPr="00BF5202" w:rsidRDefault="00001757" w:rsidP="00001757">
      <w:pPr>
        <w:suppressLineNumbers/>
        <w:suppressAutoHyphens/>
        <w:ind w:firstLine="720"/>
        <w:rPr>
          <w:color w:val="000000"/>
        </w:rPr>
      </w:pPr>
      <w:r w:rsidRPr="00BF5202">
        <w:rPr>
          <w:b/>
          <w:color w:val="000000"/>
          <w:vertAlign w:val="superscript"/>
        </w:rPr>
        <w:t>2</w:t>
      </w:r>
      <w:r w:rsidRPr="00BF5202">
        <w:rPr>
          <w:color w:val="000000"/>
        </w:rPr>
        <w:t xml:space="preserve"> RSCZ:</w:t>
      </w:r>
      <w:r w:rsidRPr="00BF5202">
        <w:rPr>
          <w:color w:val="000000"/>
        </w:rPr>
        <w:tab/>
        <w:t xml:space="preserve"> </w:t>
      </w:r>
      <w:r w:rsidRPr="00BF5202">
        <w:rPr>
          <w:color w:val="000000"/>
        </w:rPr>
        <w:tab/>
      </w:r>
      <w:smartTag w:uri="urn:schemas-microsoft-com:office:smarttags" w:element="place">
        <w:r w:rsidRPr="00BF5202">
          <w:rPr>
            <w:color w:val="000000"/>
          </w:rPr>
          <w:t>South Atlantic</w:t>
        </w:r>
      </w:smartTag>
      <w:r w:rsidRPr="00BF5202">
        <w:rPr>
          <w:color w:val="000000"/>
        </w:rPr>
        <w:t xml:space="preserve"> rock shrimp permit – Carolina Zone (open access).</w:t>
      </w:r>
    </w:p>
    <w:p w:rsidR="00001757" w:rsidRPr="00BF5202" w:rsidRDefault="00001757" w:rsidP="00001757">
      <w:pPr>
        <w:suppressLineNumbers/>
        <w:suppressAutoHyphens/>
        <w:ind w:firstLine="720"/>
        <w:rPr>
          <w:color w:val="000000"/>
        </w:rPr>
      </w:pPr>
      <w:r w:rsidRPr="00BF5202">
        <w:rPr>
          <w:b/>
          <w:color w:val="000000"/>
          <w:vertAlign w:val="superscript"/>
        </w:rPr>
        <w:t>3</w:t>
      </w:r>
      <w:r w:rsidRPr="00BF5202">
        <w:rPr>
          <w:color w:val="000000"/>
        </w:rPr>
        <w:t xml:space="preserve"> RSLA:</w:t>
      </w:r>
      <w:r w:rsidRPr="00BF5202">
        <w:rPr>
          <w:color w:val="000000"/>
        </w:rPr>
        <w:tab/>
      </w:r>
      <w:r w:rsidRPr="00BF5202">
        <w:rPr>
          <w:color w:val="000000"/>
        </w:rPr>
        <w:tab/>
      </w:r>
      <w:smartTag w:uri="urn:schemas-microsoft-com:office:smarttags" w:element="place">
        <w:r w:rsidRPr="00BF5202">
          <w:rPr>
            <w:color w:val="000000"/>
          </w:rPr>
          <w:t>South Atlantic</w:t>
        </w:r>
      </w:smartTag>
      <w:r w:rsidRPr="00BF5202">
        <w:rPr>
          <w:color w:val="000000"/>
        </w:rPr>
        <w:t xml:space="preserve"> rock shrimp permit – Limited Access (limited access).</w:t>
      </w:r>
    </w:p>
    <w:p w:rsidR="00001757" w:rsidRPr="00BF5202" w:rsidRDefault="00001757" w:rsidP="00001757">
      <w:pPr>
        <w:suppressLineNumbers/>
        <w:suppressAutoHyphens/>
        <w:ind w:firstLine="720"/>
        <w:rPr>
          <w:color w:val="000000"/>
        </w:rPr>
      </w:pPr>
      <w:r w:rsidRPr="00BF5202">
        <w:rPr>
          <w:b/>
          <w:color w:val="000000"/>
          <w:vertAlign w:val="superscript"/>
        </w:rPr>
        <w:t>4</w:t>
      </w:r>
      <w:r w:rsidRPr="00BF5202">
        <w:rPr>
          <w:color w:val="000000"/>
        </w:rPr>
        <w:t xml:space="preserve"> SPGM:</w:t>
      </w:r>
      <w:r w:rsidRPr="00BF5202">
        <w:rPr>
          <w:color w:val="000000"/>
        </w:rPr>
        <w:tab/>
      </w:r>
      <w:r w:rsidRPr="00BF5202">
        <w:rPr>
          <w:color w:val="000000"/>
        </w:rPr>
        <w:tab/>
      </w:r>
      <w:smartTag w:uri="urn:schemas-microsoft-com:office:smarttags" w:element="place">
        <w:r w:rsidRPr="00BF5202">
          <w:rPr>
            <w:color w:val="000000"/>
          </w:rPr>
          <w:t>Gulf of Mexico</w:t>
        </w:r>
      </w:smartTag>
      <w:r w:rsidRPr="00BF5202">
        <w:rPr>
          <w:color w:val="000000"/>
        </w:rPr>
        <w:t xml:space="preserve"> shrimp permit (limited access).</w:t>
      </w:r>
    </w:p>
    <w:p w:rsidR="00001757" w:rsidRPr="00BF5202" w:rsidRDefault="00001757" w:rsidP="00001757">
      <w:pPr>
        <w:suppressLineNumbers/>
        <w:suppressAutoHyphens/>
        <w:ind w:firstLine="720"/>
        <w:rPr>
          <w:color w:val="000000"/>
        </w:rPr>
      </w:pPr>
      <w:r w:rsidRPr="00BF5202">
        <w:rPr>
          <w:b/>
          <w:color w:val="000000"/>
          <w:vertAlign w:val="superscript"/>
        </w:rPr>
        <w:t>5</w:t>
      </w:r>
      <w:r w:rsidRPr="00BF5202">
        <w:rPr>
          <w:color w:val="000000"/>
        </w:rPr>
        <w:t xml:space="preserve"> 201</w:t>
      </w:r>
      <w:r>
        <w:rPr>
          <w:color w:val="000000"/>
        </w:rPr>
        <w:t>7</w:t>
      </w:r>
      <w:r w:rsidRPr="00BF5202">
        <w:rPr>
          <w:color w:val="000000"/>
        </w:rPr>
        <w:t xml:space="preserve"> response and response rate are preliminary as we are just concluding the data collection for the year (</w:t>
      </w:r>
      <w:r>
        <w:rPr>
          <w:color w:val="000000"/>
        </w:rPr>
        <w:t>Nov 2018</w:t>
      </w:r>
      <w:r w:rsidRPr="00BF5202">
        <w:rPr>
          <w:color w:val="000000"/>
        </w:rPr>
        <w:t>).</w:t>
      </w:r>
    </w:p>
    <w:p w:rsidR="00001757" w:rsidRPr="00BF5202" w:rsidRDefault="00001757" w:rsidP="00001757">
      <w:pPr>
        <w:suppressLineNumbers/>
        <w:suppressAutoHyphens/>
        <w:ind w:firstLine="720"/>
        <w:rPr>
          <w:color w:val="000000"/>
        </w:rPr>
      </w:pPr>
    </w:p>
    <w:p w:rsidR="00001757" w:rsidRPr="00BF5202" w:rsidRDefault="00001757" w:rsidP="00001757">
      <w:pPr>
        <w:suppressLineNumbers/>
        <w:suppressAutoHyphens/>
        <w:rPr>
          <w:color w:val="000000"/>
        </w:rPr>
      </w:pPr>
    </w:p>
    <w:p w:rsidR="00001757" w:rsidRPr="00BF5202" w:rsidRDefault="00001757" w:rsidP="00001757">
      <w:pPr>
        <w:suppressLineNumbers/>
        <w:suppressAutoHyphens/>
        <w:rPr>
          <w:color w:val="000000"/>
        </w:rPr>
      </w:pPr>
    </w:p>
    <w:p w:rsidR="00001757" w:rsidRPr="00BF5202" w:rsidRDefault="00001757" w:rsidP="00001757">
      <w:pPr>
        <w:suppressLineNumbers/>
        <w:suppressAutoHyphens/>
        <w:rPr>
          <w:color w:val="000000"/>
        </w:rPr>
        <w:sectPr w:rsidR="00001757" w:rsidRPr="00BF5202" w:rsidSect="00001757">
          <w:pgSz w:w="15840" w:h="12240" w:orient="landscape" w:code="1"/>
          <w:pgMar w:top="1440" w:right="1440" w:bottom="720" w:left="1440" w:header="720" w:footer="720" w:gutter="0"/>
          <w:cols w:space="720"/>
          <w:docGrid w:linePitch="360"/>
        </w:sectPr>
      </w:pPr>
    </w:p>
    <w:p w:rsidR="00ED108E" w:rsidRDefault="0013172E"/>
    <w:sectPr w:rsidR="00ED1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414FC"/>
    <w:multiLevelType w:val="hybridMultilevel"/>
    <w:tmpl w:val="94FAC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57"/>
    <w:rsid w:val="00001757"/>
    <w:rsid w:val="0013172E"/>
    <w:rsid w:val="002C7E69"/>
    <w:rsid w:val="0069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5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5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Brabson</dc:creator>
  <cp:keywords/>
  <dc:description/>
  <cp:lastModifiedBy>SYSTEM</cp:lastModifiedBy>
  <cp:revision>2</cp:revision>
  <dcterms:created xsi:type="dcterms:W3CDTF">2018-11-29T19:09:00Z</dcterms:created>
  <dcterms:modified xsi:type="dcterms:W3CDTF">2018-11-29T19:09:00Z</dcterms:modified>
</cp:coreProperties>
</file>