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F0CF8" w14:textId="77777777" w:rsidR="004F26E9" w:rsidRDefault="004F26E9">
      <w:pPr>
        <w:jc w:val="center"/>
        <w:rPr>
          <w:b/>
          <w:bCs/>
          <w:sz w:val="24"/>
          <w:szCs w:val="24"/>
        </w:rPr>
      </w:pPr>
      <w:bookmarkStart w:id="0" w:name="_GoBack"/>
      <w:bookmarkEnd w:id="0"/>
      <w:r>
        <w:rPr>
          <w:b/>
          <w:bCs/>
          <w:sz w:val="24"/>
          <w:szCs w:val="24"/>
        </w:rPr>
        <w:t>SUPPORTING STATEMENT</w:t>
      </w:r>
    </w:p>
    <w:p w14:paraId="5CF17DD4" w14:textId="77777777" w:rsidR="006F40B8" w:rsidRPr="006F40B8" w:rsidRDefault="006F40B8">
      <w:pPr>
        <w:jc w:val="center"/>
        <w:rPr>
          <w:b/>
          <w:color w:val="222222"/>
          <w:sz w:val="24"/>
          <w:szCs w:val="24"/>
          <w:shd w:val="clear" w:color="auto" w:fill="FFFFFF"/>
        </w:rPr>
      </w:pPr>
      <w:r w:rsidRPr="006F40B8">
        <w:rPr>
          <w:b/>
          <w:color w:val="222222"/>
          <w:sz w:val="24"/>
          <w:szCs w:val="24"/>
          <w:shd w:val="clear" w:color="auto" w:fill="FFFFFF"/>
        </w:rPr>
        <w:t>NMFS Implementation of the Seafood Traceability Program</w:t>
      </w:r>
    </w:p>
    <w:p w14:paraId="3775120C" w14:textId="4BF18C0B" w:rsidR="004F26E9" w:rsidRDefault="004F26E9">
      <w:pPr>
        <w:jc w:val="center"/>
        <w:rPr>
          <w:sz w:val="24"/>
          <w:szCs w:val="24"/>
        </w:rPr>
      </w:pPr>
      <w:r>
        <w:rPr>
          <w:b/>
          <w:bCs/>
          <w:sz w:val="24"/>
          <w:szCs w:val="24"/>
        </w:rPr>
        <w:t>OMB CONTROL</w:t>
      </w:r>
      <w:r w:rsidR="009E5BA5">
        <w:rPr>
          <w:b/>
          <w:bCs/>
          <w:sz w:val="24"/>
          <w:szCs w:val="24"/>
        </w:rPr>
        <w:t xml:space="preserve"> </w:t>
      </w:r>
      <w:r>
        <w:rPr>
          <w:b/>
          <w:bCs/>
          <w:sz w:val="24"/>
          <w:szCs w:val="24"/>
        </w:rPr>
        <w:t>NO. 0648-</w:t>
      </w:r>
      <w:r w:rsidR="00A34C03">
        <w:rPr>
          <w:b/>
          <w:bCs/>
          <w:sz w:val="24"/>
          <w:szCs w:val="24"/>
        </w:rPr>
        <w:t>xxxx</w:t>
      </w:r>
    </w:p>
    <w:p w14:paraId="21421CA5" w14:textId="77777777" w:rsidR="004F26E9" w:rsidRDefault="004F26E9">
      <w:pPr>
        <w:rPr>
          <w:sz w:val="24"/>
          <w:szCs w:val="24"/>
        </w:rPr>
      </w:pPr>
    </w:p>
    <w:p w14:paraId="0051A7F5" w14:textId="77777777"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14:paraId="57A51674" w14:textId="77777777" w:rsidR="004F26E9" w:rsidRDefault="004F26E9">
      <w:pPr>
        <w:rPr>
          <w:sz w:val="24"/>
          <w:szCs w:val="24"/>
        </w:rPr>
      </w:pPr>
    </w:p>
    <w:p w14:paraId="735B3FAC" w14:textId="77777777" w:rsidR="004F26E9" w:rsidRDefault="004F26E9">
      <w:pPr>
        <w:rPr>
          <w:sz w:val="24"/>
          <w:szCs w:val="24"/>
        </w:rPr>
        <w:sectPr w:rsidR="004F26E9" w:rsidSect="008708BF">
          <w:footerReference w:type="default" r:id="rId9"/>
          <w:footnotePr>
            <w:numRestart w:val="eachSect"/>
          </w:footnotePr>
          <w:endnotePr>
            <w:numFmt w:val="decimal"/>
          </w:endnotePr>
          <w:type w:val="continuous"/>
          <w:pgSz w:w="12240" w:h="15840"/>
          <w:pgMar w:top="1080" w:right="1440" w:bottom="1080" w:left="1440" w:header="720" w:footer="720" w:gutter="0"/>
          <w:cols w:space="720"/>
        </w:sectPr>
      </w:pPr>
    </w:p>
    <w:p w14:paraId="0EA6A86B"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2A97B8F6" w14:textId="77777777" w:rsidR="004F26E9" w:rsidRDefault="004F26E9">
      <w:pPr>
        <w:rPr>
          <w:sz w:val="24"/>
          <w:szCs w:val="24"/>
        </w:rPr>
      </w:pPr>
    </w:p>
    <w:p w14:paraId="23B4854B" w14:textId="77777777" w:rsidR="00C20972" w:rsidRDefault="00C20972" w:rsidP="00C20972">
      <w:pPr>
        <w:rPr>
          <w:rFonts w:eastAsia="Arial Unicode MS"/>
          <w:sz w:val="24"/>
          <w:szCs w:val="24"/>
        </w:rPr>
      </w:pPr>
    </w:p>
    <w:p w14:paraId="356697D9" w14:textId="77777777" w:rsidR="00A34C03" w:rsidRDefault="00A34C03" w:rsidP="00C20972">
      <w:pPr>
        <w:rPr>
          <w:rFonts w:eastAsia="Arial Unicode MS"/>
          <w:sz w:val="24"/>
          <w:szCs w:val="24"/>
        </w:rPr>
      </w:pPr>
      <w:r>
        <w:rPr>
          <w:rFonts w:eastAsia="Arial Unicode MS"/>
          <w:sz w:val="24"/>
          <w:szCs w:val="24"/>
        </w:rPr>
        <w:t>This is a temporary new information collection which will be merged into OMB Control No. 0648-0739.</w:t>
      </w:r>
    </w:p>
    <w:p w14:paraId="1A2BFB1B" w14:textId="77777777" w:rsidR="00A34C03" w:rsidRDefault="00A34C03" w:rsidP="00C20972">
      <w:pPr>
        <w:rPr>
          <w:rFonts w:eastAsia="Arial Unicode MS"/>
          <w:sz w:val="24"/>
          <w:szCs w:val="24"/>
        </w:rPr>
      </w:pPr>
    </w:p>
    <w:p w14:paraId="6E59E99C" w14:textId="55FB0642" w:rsidR="00C20972" w:rsidRPr="00C20972" w:rsidRDefault="00C20972" w:rsidP="00C20972">
      <w:pPr>
        <w:rPr>
          <w:rFonts w:eastAsia="Arial Unicode MS"/>
          <w:sz w:val="24"/>
          <w:szCs w:val="24"/>
        </w:rPr>
      </w:pPr>
      <w:r w:rsidRPr="00C20972">
        <w:rPr>
          <w:rFonts w:eastAsia="Arial Unicode MS"/>
          <w:sz w:val="24"/>
          <w:szCs w:val="24"/>
        </w:rPr>
        <w:t>On March 23, 2018, the</w:t>
      </w:r>
      <w:r w:rsidR="003F5703">
        <w:rPr>
          <w:rFonts w:eastAsia="Arial Unicode MS"/>
          <w:sz w:val="24"/>
          <w:szCs w:val="24"/>
        </w:rPr>
        <w:t xml:space="preserve"> Commerce, Justice, Science, and Related Agencies</w:t>
      </w:r>
      <w:r w:rsidR="00B011BA">
        <w:rPr>
          <w:rFonts w:eastAsia="Arial Unicode MS"/>
          <w:sz w:val="24"/>
          <w:szCs w:val="24"/>
        </w:rPr>
        <w:t xml:space="preserve"> </w:t>
      </w:r>
      <w:r w:rsidRPr="00C20972">
        <w:rPr>
          <w:rFonts w:eastAsia="Arial Unicode MS"/>
          <w:sz w:val="24"/>
          <w:szCs w:val="24"/>
        </w:rPr>
        <w:t>Appropriations Act</w:t>
      </w:r>
      <w:r w:rsidR="003F5703">
        <w:rPr>
          <w:rFonts w:eastAsia="Arial Unicode MS"/>
          <w:sz w:val="24"/>
          <w:szCs w:val="24"/>
        </w:rPr>
        <w:t>,</w:t>
      </w:r>
      <w:r w:rsidRPr="00C20972">
        <w:rPr>
          <w:rFonts w:eastAsia="Arial Unicode MS"/>
          <w:sz w:val="24"/>
          <w:szCs w:val="24"/>
        </w:rPr>
        <w:t xml:space="preserve"> 2018</w:t>
      </w:r>
      <w:r w:rsidR="003F5703">
        <w:rPr>
          <w:rFonts w:eastAsia="Arial Unicode MS"/>
          <w:sz w:val="24"/>
          <w:szCs w:val="24"/>
        </w:rPr>
        <w:t xml:space="preserve"> (2018 Appropriations Act)</w:t>
      </w:r>
      <w:r w:rsidRPr="00C20972">
        <w:rPr>
          <w:rFonts w:eastAsia="Arial Unicode MS"/>
          <w:sz w:val="24"/>
          <w:szCs w:val="24"/>
        </w:rPr>
        <w:t>(P.L. 115-141</w:t>
      </w:r>
      <w:r w:rsidR="00D86F89" w:rsidRPr="00D86F89">
        <w:rPr>
          <w:rFonts w:eastAsia="Arial Unicode MS"/>
          <w:sz w:val="24"/>
          <w:szCs w:val="24"/>
        </w:rPr>
        <w:t>, Div. B</w:t>
      </w:r>
      <w:r w:rsidRPr="00C20972">
        <w:rPr>
          <w:rFonts w:eastAsia="Arial Unicode MS"/>
          <w:sz w:val="24"/>
          <w:szCs w:val="24"/>
        </w:rPr>
        <w:t xml:space="preserve">) was signed by the President and became law.  Section 539 of  Title V of Division B of the Act directed the Secretary of Commerce to “lift the stay on the effective date of the final rule for the Seafood Traceability Program published by the Secretary on December 9, 2016, (81 FR 88975 et seq.) for the species described in § 300.324(a)(3) of title 50, Code of Federal Regulations: provided that the compliance date for the species described in section  300.324(a)(3) of title 50, Code of Federal Regulations, shall occur not later than December 31, 2018.”  On April 24, 2018, NMFS published a final rule lifting that stay, and established a compliance date of December 31, 2018 for shrimp and abalone. See </w:t>
      </w:r>
      <w:r w:rsidR="00B011BA">
        <w:rPr>
          <w:rFonts w:eastAsia="Arial Unicode MS"/>
          <w:sz w:val="24"/>
          <w:szCs w:val="24"/>
        </w:rPr>
        <w:t>83</w:t>
      </w:r>
      <w:r w:rsidRPr="00C20972">
        <w:rPr>
          <w:rFonts w:eastAsia="Arial Unicode MS"/>
          <w:sz w:val="24"/>
          <w:szCs w:val="24"/>
        </w:rPr>
        <w:t xml:space="preserve"> FR 17762.</w:t>
      </w:r>
      <w:r w:rsidR="00085F87">
        <w:rPr>
          <w:rFonts w:eastAsia="Arial Unicode MS"/>
          <w:sz w:val="24"/>
          <w:szCs w:val="24"/>
        </w:rPr>
        <w:t xml:space="preserve">  </w:t>
      </w:r>
      <w:r w:rsidR="00085F87" w:rsidRPr="00C20972">
        <w:rPr>
          <w:rFonts w:eastAsia="Arial Unicode MS"/>
          <w:sz w:val="24"/>
          <w:szCs w:val="24"/>
        </w:rPr>
        <w:t>In addition to the requirement to include shrimp and abalone species under the Seafood Traceability Program, Section 539 of</w:t>
      </w:r>
      <w:r w:rsidR="00085F87">
        <w:rPr>
          <w:rFonts w:eastAsia="Arial Unicode MS"/>
          <w:sz w:val="24"/>
          <w:szCs w:val="24"/>
        </w:rPr>
        <w:t xml:space="preserve"> the 2018 Appropriations Act</w:t>
      </w:r>
      <w:r w:rsidR="00085F87" w:rsidRPr="00C20972">
        <w:rPr>
          <w:rFonts w:eastAsia="Arial Unicode MS"/>
          <w:sz w:val="24"/>
          <w:szCs w:val="24"/>
        </w:rPr>
        <w:t xml:space="preserve"> directed the Secretary of Commerce to  “…establish a traceability program for United States inland, coastal, and marine aquaculture of shrimp and abalone…” and by December 31, 2018 to “…promulgate such regulations as are necessary and appropriate to establish and implement the program.”  </w:t>
      </w:r>
    </w:p>
    <w:p w14:paraId="063CA5D8" w14:textId="6ED1990E" w:rsidR="00085F87" w:rsidRDefault="00085F87" w:rsidP="00C20972">
      <w:pPr>
        <w:rPr>
          <w:rFonts w:eastAsia="Arial Unicode MS"/>
          <w:sz w:val="24"/>
          <w:szCs w:val="24"/>
        </w:rPr>
      </w:pPr>
    </w:p>
    <w:p w14:paraId="1138A689" w14:textId="77777777" w:rsidR="00085F87" w:rsidRPr="00C20972" w:rsidRDefault="00085F87" w:rsidP="00085F87">
      <w:pPr>
        <w:rPr>
          <w:rFonts w:eastAsia="Arial Unicode MS"/>
          <w:sz w:val="24"/>
          <w:szCs w:val="24"/>
        </w:rPr>
      </w:pPr>
      <w:r w:rsidRPr="00C20972">
        <w:rPr>
          <w:rFonts w:eastAsia="Arial Unicode MS"/>
          <w:sz w:val="24"/>
          <w:szCs w:val="24"/>
        </w:rPr>
        <w:t>On March 15, 2015, the Presidential Task Force on Combating Illegal, Unreported, and Unregulated (IUU) Fishing and Seafood Fraud (Task Force), co-chaired by the Departments of Commerce and State, published its action plan to implement Task Force recommendations for a comprehensive framework of integrated programs to combat IUU fishing and seafood fraud. As part of implementing the Task Force plan, NMFS issued a final rule (RIN 0648-BF09) for a risk-based traceability program to track seafood from production to entry into U.S. commerce known as the Seafood Traceability Program (see 50 CFR §§ 300.320-300.325). The final rule included, for designated priority fish species, import permitting and reporting requirements to provide for traceability of seafood products offered for entry into the U.S. supply chain, and to ensure that these products were lawfully acquired and are properly represented.</w:t>
      </w:r>
    </w:p>
    <w:p w14:paraId="455981FA" w14:textId="77777777" w:rsidR="00085F87" w:rsidRDefault="00085F87" w:rsidP="00085F87">
      <w:pPr>
        <w:rPr>
          <w:rFonts w:eastAsia="Arial Unicode MS"/>
          <w:sz w:val="24"/>
          <w:szCs w:val="24"/>
        </w:rPr>
      </w:pPr>
    </w:p>
    <w:p w14:paraId="15DC341B" w14:textId="77777777" w:rsidR="00085F87" w:rsidRPr="00C20972" w:rsidRDefault="00085F87" w:rsidP="00085F87">
      <w:pPr>
        <w:rPr>
          <w:rFonts w:eastAsia="Arial Unicode MS"/>
          <w:sz w:val="24"/>
          <w:szCs w:val="24"/>
        </w:rPr>
      </w:pPr>
      <w:r w:rsidRPr="00C20972">
        <w:rPr>
          <w:rFonts w:eastAsia="Arial Unicode MS"/>
          <w:sz w:val="24"/>
          <w:szCs w:val="24"/>
        </w:rPr>
        <w:t xml:space="preserve">The Seafood Traceability Program </w:t>
      </w:r>
      <w:r>
        <w:rPr>
          <w:rFonts w:eastAsia="Arial Unicode MS"/>
          <w:sz w:val="24"/>
          <w:szCs w:val="24"/>
        </w:rPr>
        <w:t>is</w:t>
      </w:r>
      <w:r w:rsidRPr="00C20972">
        <w:rPr>
          <w:rFonts w:eastAsia="Arial Unicode MS"/>
          <w:sz w:val="24"/>
          <w:szCs w:val="24"/>
        </w:rPr>
        <w:t xml:space="preserve"> a risk-based traceability program, which established permit, reporting and recordkeeping requirements needed to prevent illegally produced and misrepresented seafood from entering into U.S. Commerce.  This </w:t>
      </w:r>
      <w:r>
        <w:rPr>
          <w:rFonts w:eastAsia="Arial Unicode MS"/>
          <w:sz w:val="24"/>
          <w:szCs w:val="24"/>
        </w:rPr>
        <w:t xml:space="preserve">program </w:t>
      </w:r>
      <w:r w:rsidRPr="00C20972">
        <w:rPr>
          <w:rFonts w:eastAsia="Arial Unicode MS"/>
          <w:sz w:val="24"/>
          <w:szCs w:val="24"/>
        </w:rPr>
        <w:t>applies to thirteen species, including shrimp and abalone, identified as particularly vulnerable to IUU fishing and/or seafood fra</w:t>
      </w:r>
      <w:r>
        <w:rPr>
          <w:rFonts w:eastAsia="Arial Unicode MS"/>
          <w:sz w:val="24"/>
          <w:szCs w:val="24"/>
        </w:rPr>
        <w:t xml:space="preserve">ud. However, in the final rule </w:t>
      </w:r>
      <w:r w:rsidRPr="00C20972">
        <w:rPr>
          <w:rFonts w:eastAsia="Arial Unicode MS"/>
          <w:sz w:val="24"/>
          <w:szCs w:val="24"/>
        </w:rPr>
        <w:t xml:space="preserve">establishing the Seafood Traceability Program, NMFS stayed program requirements for shrimp and abalone species indefinitely because </w:t>
      </w:r>
      <w:r>
        <w:rPr>
          <w:rFonts w:eastAsia="Arial Unicode MS"/>
          <w:sz w:val="24"/>
          <w:szCs w:val="24"/>
        </w:rPr>
        <w:t xml:space="preserve">there is commercial scale aquaculture of shrimp and abalone in the United States and </w:t>
      </w:r>
      <w:r w:rsidRPr="00C20972">
        <w:rPr>
          <w:rFonts w:eastAsia="Arial Unicode MS"/>
          <w:sz w:val="24"/>
          <w:szCs w:val="24"/>
        </w:rPr>
        <w:t xml:space="preserve">gaps existed in the collection of traceability information for domestic aquaculture of shrimp and abalone, which is currently largely regulated at the state level. </w:t>
      </w:r>
    </w:p>
    <w:p w14:paraId="3BC7B2F2" w14:textId="77777777" w:rsidR="00085F87" w:rsidRDefault="00085F87" w:rsidP="00085F87">
      <w:pPr>
        <w:rPr>
          <w:rFonts w:eastAsia="Arial Unicode MS"/>
          <w:sz w:val="24"/>
          <w:szCs w:val="24"/>
        </w:rPr>
      </w:pPr>
      <w:r w:rsidRPr="00C20972">
        <w:rPr>
          <w:rFonts w:eastAsia="Arial Unicode MS"/>
          <w:sz w:val="24"/>
          <w:szCs w:val="24"/>
        </w:rPr>
        <w:t xml:space="preserve"> </w:t>
      </w:r>
    </w:p>
    <w:p w14:paraId="7728BE29" w14:textId="77777777" w:rsidR="00085F87" w:rsidRPr="00C20972" w:rsidRDefault="00085F87" w:rsidP="00085F87">
      <w:pPr>
        <w:rPr>
          <w:rFonts w:eastAsia="Arial Unicode MS"/>
          <w:sz w:val="24"/>
          <w:szCs w:val="24"/>
        </w:rPr>
      </w:pPr>
      <w:r w:rsidRPr="00C20972">
        <w:rPr>
          <w:rFonts w:eastAsia="Arial Unicode MS"/>
          <w:sz w:val="24"/>
          <w:szCs w:val="24"/>
        </w:rPr>
        <w:t xml:space="preserve">During development of the Seafood Traceability Program, NMFS explored the possibility of </w:t>
      </w:r>
      <w:r w:rsidRPr="00C20972">
        <w:rPr>
          <w:rFonts w:eastAsia="Arial Unicode MS"/>
          <w:sz w:val="24"/>
          <w:szCs w:val="24"/>
        </w:rPr>
        <w:lastRenderedPageBreak/>
        <w:t>working with its state partners to establish reporting and recordkeeping requirements for aquaculture traceability information that could be shared with NMFS.  However, this did not prove to be a viable approach.  See 81 FR at 88977-78.  In the Seafood Traceability Program final rule, NMFS explained that “[</w:t>
      </w:r>
      <w:r>
        <w:rPr>
          <w:rFonts w:eastAsia="Arial Unicode MS"/>
          <w:sz w:val="24"/>
          <w:szCs w:val="24"/>
        </w:rPr>
        <w:t>a</w:t>
      </w:r>
      <w:r w:rsidRPr="00C20972">
        <w:rPr>
          <w:rFonts w:eastAsia="Arial Unicode MS"/>
          <w:sz w:val="24"/>
          <w:szCs w:val="24"/>
        </w:rPr>
        <w:t>]t such time that the domestic reporting and recordkeeping gaps have been closed, NMFS will then publish an action in the Federal Register to lift the stay of the effective date for § 300.324(a)(3) of the rule pertaining to shrimp and abalone.</w:t>
      </w:r>
      <w:r>
        <w:rPr>
          <w:rFonts w:eastAsia="Arial Unicode MS"/>
          <w:sz w:val="24"/>
          <w:szCs w:val="24"/>
        </w:rPr>
        <w:t>”</w:t>
      </w:r>
      <w:r w:rsidRPr="00C20972">
        <w:rPr>
          <w:rFonts w:eastAsia="Arial Unicode MS"/>
          <w:sz w:val="24"/>
          <w:szCs w:val="24"/>
        </w:rPr>
        <w:t xml:space="preserve">  See 81 FR at 88978.    </w:t>
      </w:r>
    </w:p>
    <w:p w14:paraId="5827FD98" w14:textId="77777777" w:rsidR="00085F87" w:rsidRDefault="00085F87" w:rsidP="00C20972">
      <w:pPr>
        <w:rPr>
          <w:rFonts w:eastAsia="Arial Unicode MS"/>
          <w:sz w:val="24"/>
          <w:szCs w:val="24"/>
        </w:rPr>
      </w:pPr>
    </w:p>
    <w:p w14:paraId="0A64085A" w14:textId="5FB2FB9A" w:rsidR="00C20972" w:rsidRPr="00C20972" w:rsidRDefault="00C20972" w:rsidP="00C20972">
      <w:pPr>
        <w:rPr>
          <w:rFonts w:eastAsia="Arial Unicode MS"/>
          <w:sz w:val="24"/>
          <w:szCs w:val="24"/>
        </w:rPr>
      </w:pPr>
      <w:r w:rsidRPr="00C20972">
        <w:rPr>
          <w:rFonts w:eastAsia="Arial Unicode MS"/>
          <w:sz w:val="24"/>
          <w:szCs w:val="24"/>
        </w:rPr>
        <w:t xml:space="preserve">This proposed rulemaking would establish registration, reporting and recordkeeping requirements for </w:t>
      </w:r>
      <w:r w:rsidR="00217FBE" w:rsidRPr="00217FBE">
        <w:rPr>
          <w:rFonts w:eastAsia="Arial Unicode MS"/>
          <w:sz w:val="24"/>
          <w:szCs w:val="24"/>
        </w:rPr>
        <w:t>domestic, commercial aquaculture producers of shrimp and abalone species and products containing those species from the point of product</w:t>
      </w:r>
      <w:r w:rsidR="00217FBE">
        <w:rPr>
          <w:rFonts w:eastAsia="Arial Unicode MS"/>
          <w:sz w:val="24"/>
          <w:szCs w:val="24"/>
        </w:rPr>
        <w:t>ion to entry into U.S. commerce</w:t>
      </w:r>
      <w:r w:rsidRPr="00C20972">
        <w:rPr>
          <w:rFonts w:eastAsia="Arial Unicode MS"/>
          <w:sz w:val="24"/>
          <w:szCs w:val="24"/>
        </w:rPr>
        <w:t xml:space="preserve">.  A producer, </w:t>
      </w:r>
      <w:r w:rsidR="00217FBE" w:rsidRPr="00217FBE">
        <w:rPr>
          <w:rFonts w:eastAsia="Arial Unicode MS"/>
          <w:sz w:val="24"/>
          <w:szCs w:val="24"/>
        </w:rPr>
        <w:t xml:space="preserve">, i.e., the </w:t>
      </w:r>
      <w:r w:rsidRPr="00C20972">
        <w:rPr>
          <w:rFonts w:eastAsia="Arial Unicode MS"/>
          <w:sz w:val="24"/>
          <w:szCs w:val="24"/>
        </w:rPr>
        <w:t>the owner or operator of an aquaculture facility</w:t>
      </w:r>
      <w:r w:rsidR="00B011BA">
        <w:rPr>
          <w:rFonts w:eastAsia="Arial Unicode MS"/>
          <w:sz w:val="24"/>
          <w:szCs w:val="24"/>
        </w:rPr>
        <w:t xml:space="preserve"> that produces shrimp or abalone for human consumption,</w:t>
      </w:r>
      <w:r w:rsidRPr="00C20972">
        <w:rPr>
          <w:rFonts w:eastAsia="Arial Unicode MS"/>
          <w:sz w:val="24"/>
          <w:szCs w:val="24"/>
        </w:rPr>
        <w:t xml:space="preserve"> is responsible for the registration, reporting and recordkeeping requirements of this Program.   </w:t>
      </w:r>
    </w:p>
    <w:p w14:paraId="14CABB22" w14:textId="77777777" w:rsidR="00C20972" w:rsidRDefault="00C20972" w:rsidP="00F63FED">
      <w:pPr>
        <w:rPr>
          <w:rFonts w:eastAsia="Arial Unicode MS"/>
          <w:sz w:val="24"/>
          <w:szCs w:val="24"/>
        </w:rPr>
      </w:pPr>
    </w:p>
    <w:p w14:paraId="232441F3" w14:textId="435B0B36" w:rsidR="00C20972" w:rsidRPr="00C20972" w:rsidRDefault="00C20972" w:rsidP="00C20972">
      <w:pPr>
        <w:rPr>
          <w:color w:val="000000"/>
          <w:sz w:val="24"/>
          <w:szCs w:val="24"/>
        </w:rPr>
      </w:pPr>
      <w:r w:rsidRPr="00C20972">
        <w:rPr>
          <w:rFonts w:eastAsia="Arial Unicode MS"/>
          <w:sz w:val="24"/>
          <w:szCs w:val="24"/>
        </w:rPr>
        <w:t xml:space="preserve">The </w:t>
      </w:r>
      <w:r w:rsidR="00B011BA">
        <w:rPr>
          <w:rFonts w:eastAsia="Arial Unicode MS"/>
          <w:sz w:val="24"/>
          <w:szCs w:val="24"/>
        </w:rPr>
        <w:t xml:space="preserve">proposed </w:t>
      </w:r>
      <w:r w:rsidRPr="00C20972">
        <w:rPr>
          <w:rFonts w:eastAsia="Arial Unicode MS"/>
          <w:sz w:val="24"/>
          <w:szCs w:val="24"/>
        </w:rPr>
        <w:t xml:space="preserve">Traceability Information Program for Seafood consists of three </w:t>
      </w:r>
      <w:r>
        <w:rPr>
          <w:rFonts w:eastAsia="Arial Unicode MS"/>
          <w:sz w:val="24"/>
          <w:szCs w:val="24"/>
        </w:rPr>
        <w:t>requirements of producers of shrimp and abalone for consumption as food</w:t>
      </w:r>
      <w:r w:rsidRPr="00C20972">
        <w:rPr>
          <w:rFonts w:eastAsia="Arial Unicode MS"/>
          <w:sz w:val="24"/>
          <w:szCs w:val="24"/>
        </w:rPr>
        <w:t>: (1) registration; (2) monthly reporting of production events; and (3) recordkeeping requirements with respect to both production events and chain of custody information to the point of entry into U.S. commerce via sale or non-</w:t>
      </w:r>
      <w:r w:rsidR="00B011BA">
        <w:rPr>
          <w:rFonts w:eastAsia="Arial Unicode MS"/>
          <w:sz w:val="24"/>
          <w:szCs w:val="24"/>
        </w:rPr>
        <w:t>sale</w:t>
      </w:r>
      <w:r w:rsidRPr="00C20972">
        <w:rPr>
          <w:rFonts w:eastAsia="Arial Unicode MS"/>
          <w:sz w:val="24"/>
          <w:szCs w:val="24"/>
        </w:rPr>
        <w:t xml:space="preserve"> transaction</w:t>
      </w:r>
      <w:r w:rsidR="00B011BA">
        <w:rPr>
          <w:rFonts w:eastAsia="Arial Unicode MS"/>
          <w:sz w:val="24"/>
          <w:szCs w:val="24"/>
        </w:rPr>
        <w:t xml:space="preserve"> (including transfers between components of a vertically-integrated enterprise)</w:t>
      </w:r>
      <w:r w:rsidRPr="00C20972">
        <w:rPr>
          <w:rFonts w:eastAsia="Arial Unicode MS"/>
          <w:sz w:val="24"/>
          <w:szCs w:val="24"/>
        </w:rPr>
        <w:t xml:space="preserve">.  </w:t>
      </w:r>
      <w:r w:rsidRPr="00C20972">
        <w:rPr>
          <w:color w:val="000000"/>
          <w:sz w:val="24"/>
          <w:szCs w:val="24"/>
        </w:rPr>
        <w:t>This proposed rule is published under the authority of the</w:t>
      </w:r>
      <w:r w:rsidR="00B011BA">
        <w:rPr>
          <w:color w:val="000000"/>
          <w:sz w:val="24"/>
          <w:szCs w:val="24"/>
        </w:rPr>
        <w:t xml:space="preserve"> 2018 Appropriations Act and the</w:t>
      </w:r>
      <w:r w:rsidRPr="00C20972">
        <w:rPr>
          <w:color w:val="000000"/>
          <w:sz w:val="24"/>
          <w:szCs w:val="24"/>
        </w:rPr>
        <w:t xml:space="preserve"> Magnuson-Stevens Fishery Conservation and Management Act, 16 U.S.C. 1801 et seq.  </w:t>
      </w:r>
    </w:p>
    <w:p w14:paraId="25079EA5" w14:textId="77777777" w:rsidR="00C20972" w:rsidRDefault="00C20972" w:rsidP="00C20972">
      <w:pPr>
        <w:rPr>
          <w:rFonts w:eastAsia="Arial Unicode MS"/>
          <w:sz w:val="24"/>
          <w:szCs w:val="24"/>
        </w:rPr>
      </w:pPr>
    </w:p>
    <w:p w14:paraId="17C33322" w14:textId="7817C75C" w:rsidR="00C20972" w:rsidRDefault="00C20972" w:rsidP="00C20972">
      <w:pPr>
        <w:rPr>
          <w:rFonts w:eastAsia="Arial Unicode MS"/>
          <w:sz w:val="24"/>
          <w:szCs w:val="24"/>
        </w:rPr>
      </w:pPr>
      <w:r w:rsidRPr="00C20972">
        <w:rPr>
          <w:rFonts w:eastAsia="Arial Unicode MS"/>
          <w:sz w:val="24"/>
          <w:szCs w:val="24"/>
        </w:rPr>
        <w:t>Application of the program’s reporting and recordkeeping requirements w</w:t>
      </w:r>
      <w:r>
        <w:rPr>
          <w:rFonts w:eastAsia="Arial Unicode MS"/>
          <w:sz w:val="24"/>
          <w:szCs w:val="24"/>
        </w:rPr>
        <w:t>ill</w:t>
      </w:r>
      <w:r w:rsidRPr="00C20972">
        <w:rPr>
          <w:rFonts w:eastAsia="Arial Unicode MS"/>
          <w:sz w:val="24"/>
          <w:szCs w:val="24"/>
        </w:rPr>
        <w:t xml:space="preserve"> enable NMFS to determine the origin of the products and confirm that they were lawfully </w:t>
      </w:r>
      <w:r w:rsidR="00217FBE" w:rsidRPr="00217FBE">
        <w:rPr>
          <w:rFonts w:eastAsia="Arial Unicode MS"/>
          <w:sz w:val="24"/>
          <w:szCs w:val="24"/>
        </w:rPr>
        <w:t>produced and enable implementation and enforcement of the Seafood Traceability Program</w:t>
      </w:r>
      <w:r w:rsidRPr="00C20972">
        <w:rPr>
          <w:rFonts w:eastAsia="Arial Unicode MS"/>
          <w:sz w:val="24"/>
          <w:szCs w:val="24"/>
        </w:rPr>
        <w:t xml:space="preserve">. </w:t>
      </w:r>
    </w:p>
    <w:p w14:paraId="159C68E4" w14:textId="77777777" w:rsidR="00C20972" w:rsidRDefault="00C20972" w:rsidP="00F63FED">
      <w:pPr>
        <w:rPr>
          <w:rFonts w:eastAsia="Arial Unicode MS"/>
          <w:sz w:val="24"/>
          <w:szCs w:val="24"/>
        </w:rPr>
      </w:pPr>
    </w:p>
    <w:p w14:paraId="470AF6FD" w14:textId="526336F0" w:rsidR="004F26E9" w:rsidRPr="00C20972" w:rsidRDefault="004F26E9">
      <w:pPr>
        <w:rPr>
          <w:rFonts w:eastAsia="Arial Unicode MS"/>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0AB22A72" w14:textId="77777777" w:rsidR="0027144B" w:rsidRDefault="0027144B" w:rsidP="0027144B">
      <w:pPr>
        <w:rPr>
          <w:b/>
          <w:bCs/>
          <w:sz w:val="24"/>
          <w:szCs w:val="24"/>
        </w:rPr>
      </w:pPr>
    </w:p>
    <w:p w14:paraId="55DA01CE" w14:textId="5BA2F837" w:rsidR="00925BFA" w:rsidRDefault="00925BFA" w:rsidP="00925BFA">
      <w:pPr>
        <w:widowControl/>
        <w:autoSpaceDE/>
        <w:autoSpaceDN/>
        <w:adjustRightInd/>
        <w:rPr>
          <w:sz w:val="24"/>
          <w:szCs w:val="24"/>
        </w:rPr>
      </w:pPr>
      <w:r w:rsidRPr="00925BFA">
        <w:rPr>
          <w:sz w:val="24"/>
          <w:szCs w:val="24"/>
        </w:rPr>
        <w:t>The electronic reporting system established by NMFS will consist of two parts.  The first will be a publicly accessible registration page where producers (an aquaculture facility owner or operator) will provide basic informa</w:t>
      </w:r>
      <w:r>
        <w:rPr>
          <w:sz w:val="24"/>
          <w:szCs w:val="24"/>
        </w:rPr>
        <w:t xml:space="preserve">tion to identify their business.  </w:t>
      </w:r>
      <w:r w:rsidRPr="00925BFA">
        <w:rPr>
          <w:sz w:val="24"/>
          <w:szCs w:val="24"/>
        </w:rPr>
        <w:t>Once a producer identifier has been designated via the NMFS system, the producer can obtain login credentials to access the second part – a data entry portal that will require a unique login for each user.  After logging into this site, the user will be able to report the required data elements.</w:t>
      </w:r>
    </w:p>
    <w:p w14:paraId="1279B16D" w14:textId="77777777" w:rsidR="00925BFA" w:rsidRDefault="00925BFA" w:rsidP="00925BFA">
      <w:pPr>
        <w:widowControl/>
        <w:autoSpaceDE/>
        <w:autoSpaceDN/>
        <w:adjustRightInd/>
        <w:rPr>
          <w:sz w:val="24"/>
          <w:szCs w:val="24"/>
        </w:rPr>
      </w:pPr>
    </w:p>
    <w:p w14:paraId="6B24853A" w14:textId="27841DD8" w:rsidR="00925BFA" w:rsidRPr="00925BFA" w:rsidRDefault="00925BFA" w:rsidP="00925BFA">
      <w:pPr>
        <w:widowControl/>
        <w:autoSpaceDE/>
        <w:autoSpaceDN/>
        <w:adjustRightInd/>
        <w:rPr>
          <w:sz w:val="24"/>
          <w:szCs w:val="24"/>
        </w:rPr>
      </w:pPr>
      <w:r w:rsidRPr="00925BFA">
        <w:rPr>
          <w:sz w:val="24"/>
          <w:szCs w:val="24"/>
        </w:rPr>
        <w:t xml:space="preserve">To implement this regulation, business rules will be programmed into </w:t>
      </w:r>
      <w:r>
        <w:rPr>
          <w:sz w:val="24"/>
          <w:szCs w:val="24"/>
        </w:rPr>
        <w:t>an</w:t>
      </w:r>
      <w:r w:rsidRPr="00925BFA">
        <w:rPr>
          <w:sz w:val="24"/>
          <w:szCs w:val="24"/>
        </w:rPr>
        <w:t xml:space="preserve"> electronic reporting system established by NMFS to automatically validate that the producer has populated all data fields in conformance with format specifications.  Absent this validation, the report submission would be rejected and the producer would be notified of the deficiencies that must be addressed in order for the report to be accepted.</w:t>
      </w:r>
    </w:p>
    <w:p w14:paraId="56356736" w14:textId="77777777" w:rsidR="00925BFA" w:rsidRDefault="00925BFA" w:rsidP="00925BFA">
      <w:pPr>
        <w:widowControl/>
        <w:autoSpaceDE/>
        <w:autoSpaceDN/>
        <w:adjustRightInd/>
        <w:rPr>
          <w:sz w:val="24"/>
          <w:szCs w:val="24"/>
        </w:rPr>
      </w:pPr>
    </w:p>
    <w:p w14:paraId="1D7A695B" w14:textId="55CCBCC7" w:rsidR="00925BFA" w:rsidRDefault="00925BFA" w:rsidP="00925BFA">
      <w:pPr>
        <w:widowControl/>
        <w:autoSpaceDE/>
        <w:autoSpaceDN/>
        <w:adjustRightInd/>
        <w:rPr>
          <w:sz w:val="24"/>
          <w:szCs w:val="24"/>
        </w:rPr>
      </w:pPr>
      <w:r w:rsidRPr="00925BFA">
        <w:rPr>
          <w:sz w:val="24"/>
          <w:szCs w:val="24"/>
        </w:rPr>
        <w:t xml:space="preserve">NMFS proposes that at monthly intervals producers would be required to report information for each entry into U.S. commerce of fish intended for human consumption from the previous </w:t>
      </w:r>
      <w:r w:rsidRPr="00925BFA">
        <w:rPr>
          <w:sz w:val="24"/>
          <w:szCs w:val="24"/>
        </w:rPr>
        <w:lastRenderedPageBreak/>
        <w:t xml:space="preserve">month.  For example, a producer would be required to report each applicable entry occurring in the month of May by the end of June.  If no applicable entries occurred in a given month, no report to NMFS is required.  </w:t>
      </w:r>
      <w:r w:rsidR="0084361B" w:rsidRPr="0084361B">
        <w:rPr>
          <w:sz w:val="24"/>
          <w:szCs w:val="24"/>
        </w:rPr>
        <w:t>If a producer has no reportable production events for an entire 12-month period, the producer must certify that through the electronic reporting system established by NMFS in order to renew its registration. Producers that have submitted monthly reports would need to certify that all applicable entries have been reported. Annually, all producers would need to confirm their identifying business information in order to renew their registration. Once the producer has submitted all required certifications, registration renewals would be automatic and at no addition</w:t>
      </w:r>
      <w:r w:rsidR="0084361B">
        <w:rPr>
          <w:sz w:val="24"/>
          <w:szCs w:val="24"/>
        </w:rPr>
        <w:t xml:space="preserve">al cost to the producer. If the </w:t>
      </w:r>
      <w:r w:rsidR="0084361B" w:rsidRPr="0084361B">
        <w:rPr>
          <w:sz w:val="24"/>
          <w:szCs w:val="24"/>
        </w:rPr>
        <w:t>registration lapses, the producer would have to re-register.</w:t>
      </w:r>
      <w:r w:rsidRPr="00925BFA">
        <w:rPr>
          <w:sz w:val="24"/>
          <w:szCs w:val="24"/>
        </w:rPr>
        <w:t xml:space="preserve"> </w:t>
      </w:r>
    </w:p>
    <w:p w14:paraId="3C53B7B0" w14:textId="77777777" w:rsidR="00925BFA" w:rsidRDefault="00925BFA" w:rsidP="00925BFA">
      <w:pPr>
        <w:widowControl/>
        <w:autoSpaceDE/>
        <w:autoSpaceDN/>
        <w:adjustRightInd/>
        <w:rPr>
          <w:sz w:val="24"/>
          <w:szCs w:val="24"/>
        </w:rPr>
      </w:pPr>
    </w:p>
    <w:p w14:paraId="4417B61E" w14:textId="0156A72E" w:rsidR="004F333D" w:rsidRDefault="00925BFA" w:rsidP="00925BFA">
      <w:pPr>
        <w:widowControl/>
        <w:autoSpaceDE/>
        <w:autoSpaceDN/>
        <w:adjustRightInd/>
        <w:rPr>
          <w:sz w:val="24"/>
          <w:szCs w:val="24"/>
        </w:rPr>
      </w:pPr>
      <w:r w:rsidRPr="00925BFA">
        <w:rPr>
          <w:sz w:val="24"/>
          <w:szCs w:val="24"/>
        </w:rPr>
        <w:t xml:space="preserve">Reports may also be subject to audit by NMFS in order to verify that the supplied data elements are true and can be corroborated (e.g., production was authorized by the </w:t>
      </w:r>
      <w:r w:rsidR="006064EF">
        <w:rPr>
          <w:sz w:val="24"/>
          <w:szCs w:val="24"/>
        </w:rPr>
        <w:t>applicable</w:t>
      </w:r>
      <w:r w:rsidRPr="00925BFA">
        <w:rPr>
          <w:sz w:val="24"/>
          <w:szCs w:val="24"/>
        </w:rPr>
        <w:t xml:space="preserve"> authority, processor receipts correspond to outputs/deliveries</w:t>
      </w:r>
      <w:r w:rsidR="006064EF">
        <w:rPr>
          <w:sz w:val="24"/>
          <w:szCs w:val="24"/>
        </w:rPr>
        <w:t>, and are sufficient to demonstrate that products entering U.S. commerce were not produced in violation of domestic law and are not fraudulently represented</w:t>
      </w:r>
      <w:r w:rsidRPr="00925BFA">
        <w:rPr>
          <w:sz w:val="24"/>
          <w:szCs w:val="24"/>
        </w:rPr>
        <w:t xml:space="preserve">).  If a producer fails to provide requested records to NMFS in a timely manner, or fails to provide information to verify that covered products were lawfully produced and accurately represented, the matter </w:t>
      </w:r>
      <w:r w:rsidR="006064EF">
        <w:rPr>
          <w:sz w:val="24"/>
          <w:szCs w:val="24"/>
        </w:rPr>
        <w:t>will</w:t>
      </w:r>
      <w:r w:rsidRPr="00925BFA">
        <w:rPr>
          <w:sz w:val="24"/>
          <w:szCs w:val="24"/>
        </w:rPr>
        <w:t xml:space="preserve"> be referred to NOAA Fisheries Office of Law Enforcement for possible follow-up action.    </w:t>
      </w:r>
    </w:p>
    <w:p w14:paraId="0E593D7D" w14:textId="77777777" w:rsidR="00925BFA" w:rsidRDefault="00925BFA" w:rsidP="0027144B">
      <w:pPr>
        <w:widowControl/>
        <w:autoSpaceDE/>
        <w:autoSpaceDN/>
        <w:adjustRightInd/>
        <w:rPr>
          <w:sz w:val="24"/>
          <w:szCs w:val="24"/>
        </w:rPr>
      </w:pPr>
    </w:p>
    <w:p w14:paraId="5CB2649B"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2CA78A2" w14:textId="77777777" w:rsidR="004F26E9" w:rsidRDefault="004F26E9">
      <w:pPr>
        <w:rPr>
          <w:sz w:val="24"/>
          <w:szCs w:val="24"/>
        </w:rPr>
      </w:pPr>
    </w:p>
    <w:p w14:paraId="6C82AF06" w14:textId="3082D943" w:rsidR="005C1616" w:rsidRPr="005C1616" w:rsidRDefault="00B074E5" w:rsidP="005F62A8">
      <w:pPr>
        <w:rPr>
          <w:sz w:val="24"/>
          <w:szCs w:val="24"/>
        </w:rPr>
      </w:pPr>
      <w:r>
        <w:rPr>
          <w:sz w:val="24"/>
          <w:szCs w:val="24"/>
        </w:rPr>
        <w:t>NMFS</w:t>
      </w:r>
      <w:r w:rsidR="006064EF">
        <w:rPr>
          <w:sz w:val="24"/>
          <w:szCs w:val="24"/>
        </w:rPr>
        <w:t xml:space="preserve"> will</w:t>
      </w:r>
      <w:r>
        <w:rPr>
          <w:sz w:val="24"/>
          <w:szCs w:val="24"/>
        </w:rPr>
        <w:t xml:space="preserve"> </w:t>
      </w:r>
      <w:r w:rsidR="00FA2048" w:rsidRPr="005D3675">
        <w:rPr>
          <w:sz w:val="24"/>
          <w:szCs w:val="24"/>
        </w:rPr>
        <w:t xml:space="preserve">require </w:t>
      </w:r>
      <w:r w:rsidR="00FA2048">
        <w:rPr>
          <w:sz w:val="24"/>
          <w:szCs w:val="24"/>
        </w:rPr>
        <w:t xml:space="preserve">that </w:t>
      </w:r>
      <w:r w:rsidR="00C20972">
        <w:rPr>
          <w:sz w:val="24"/>
          <w:szCs w:val="24"/>
        </w:rPr>
        <w:t xml:space="preserve">the producer register for and report information online through an electronic system established by NMFS.  </w:t>
      </w:r>
      <w:r w:rsidR="00FA2048">
        <w:rPr>
          <w:sz w:val="24"/>
          <w:szCs w:val="24"/>
        </w:rPr>
        <w:t xml:space="preserve"> </w:t>
      </w:r>
    </w:p>
    <w:p w14:paraId="6C8160A7" w14:textId="77777777" w:rsidR="00614A63" w:rsidRPr="00614A63" w:rsidRDefault="00614A63" w:rsidP="00614A63">
      <w:pPr>
        <w:widowControl/>
        <w:rPr>
          <w:sz w:val="24"/>
          <w:szCs w:val="24"/>
        </w:rPr>
      </w:pPr>
    </w:p>
    <w:p w14:paraId="3A65E107" w14:textId="77777777"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717694D8" w14:textId="77777777" w:rsidR="004F26E9" w:rsidRDefault="004F26E9">
      <w:pPr>
        <w:rPr>
          <w:sz w:val="24"/>
          <w:szCs w:val="24"/>
        </w:rPr>
      </w:pPr>
    </w:p>
    <w:p w14:paraId="5B3B71FA" w14:textId="7EEF6D69" w:rsidR="00C20972" w:rsidRDefault="00C20972">
      <w:pPr>
        <w:rPr>
          <w:sz w:val="24"/>
          <w:szCs w:val="24"/>
        </w:rPr>
      </w:pPr>
      <w:r w:rsidRPr="00C20972">
        <w:rPr>
          <w:sz w:val="24"/>
          <w:szCs w:val="24"/>
        </w:rPr>
        <w:t>In addition to measures for registering and reporting outlined in this proposed rule, several states have specific regulations on the requirements for aquaculture operations, typically as terms associated with a permit, certification, or registration. Table 1</w:t>
      </w:r>
      <w:r w:rsidR="00E2190B">
        <w:rPr>
          <w:sz w:val="24"/>
          <w:szCs w:val="24"/>
        </w:rPr>
        <w:t xml:space="preserve"> below</w:t>
      </w:r>
      <w:r w:rsidRPr="00C20972">
        <w:rPr>
          <w:sz w:val="24"/>
          <w:szCs w:val="24"/>
        </w:rPr>
        <w:t>, contains information</w:t>
      </w:r>
      <w:r w:rsidR="006064EF">
        <w:rPr>
          <w:sz w:val="24"/>
          <w:szCs w:val="24"/>
        </w:rPr>
        <w:t>,</w:t>
      </w:r>
      <w:r w:rsidRPr="00C20972">
        <w:rPr>
          <w:sz w:val="24"/>
          <w:szCs w:val="24"/>
        </w:rPr>
        <w:t xml:space="preserve"> by state</w:t>
      </w:r>
      <w:r w:rsidR="006064EF">
        <w:rPr>
          <w:sz w:val="24"/>
          <w:szCs w:val="24"/>
        </w:rPr>
        <w:t>,</w:t>
      </w:r>
      <w:r w:rsidRPr="00C20972">
        <w:rPr>
          <w:sz w:val="24"/>
          <w:szCs w:val="24"/>
        </w:rPr>
        <w:t xml:space="preserve"> on </w:t>
      </w:r>
      <w:r w:rsidR="006064EF">
        <w:rPr>
          <w:sz w:val="24"/>
          <w:szCs w:val="24"/>
        </w:rPr>
        <w:t xml:space="preserve">existing </w:t>
      </w:r>
      <w:r w:rsidRPr="00C20972">
        <w:rPr>
          <w:sz w:val="24"/>
          <w:szCs w:val="24"/>
        </w:rPr>
        <w:t>regulations</w:t>
      </w:r>
      <w:r w:rsidR="006064EF">
        <w:rPr>
          <w:sz w:val="24"/>
          <w:szCs w:val="24"/>
        </w:rPr>
        <w:t xml:space="preserve"> relevant to</w:t>
      </w:r>
      <w:r w:rsidRPr="00C20972">
        <w:rPr>
          <w:sz w:val="24"/>
          <w:szCs w:val="24"/>
        </w:rPr>
        <w:t xml:space="preserve"> traceability.  To the extent practicable and </w:t>
      </w:r>
      <w:r w:rsidR="006064EF">
        <w:rPr>
          <w:sz w:val="24"/>
          <w:szCs w:val="24"/>
        </w:rPr>
        <w:t>subject to applicable data confidentiality laws,</w:t>
      </w:r>
      <w:r w:rsidRPr="00C20972">
        <w:rPr>
          <w:sz w:val="24"/>
          <w:szCs w:val="24"/>
        </w:rPr>
        <w:t xml:space="preserve"> </w:t>
      </w:r>
      <w:r w:rsidR="007E59A9">
        <w:rPr>
          <w:sz w:val="24"/>
          <w:szCs w:val="24"/>
        </w:rPr>
        <w:t>NMFS</w:t>
      </w:r>
      <w:r w:rsidR="007E59A9" w:rsidRPr="00C20972">
        <w:rPr>
          <w:sz w:val="24"/>
          <w:szCs w:val="24"/>
        </w:rPr>
        <w:t xml:space="preserve"> </w:t>
      </w:r>
      <w:r w:rsidRPr="00C20972">
        <w:rPr>
          <w:sz w:val="24"/>
          <w:szCs w:val="24"/>
        </w:rPr>
        <w:t>will work to minimize duplicative reporting.</w:t>
      </w:r>
      <w:r>
        <w:rPr>
          <w:sz w:val="24"/>
          <w:szCs w:val="24"/>
        </w:rPr>
        <w:t xml:space="preserve">  </w:t>
      </w:r>
      <w:r w:rsidR="007E59A9">
        <w:rPr>
          <w:sz w:val="24"/>
          <w:szCs w:val="24"/>
        </w:rPr>
        <w:t>NMFS</w:t>
      </w:r>
      <w:r w:rsidR="007E59A9" w:rsidRPr="00C20972">
        <w:rPr>
          <w:sz w:val="24"/>
          <w:szCs w:val="24"/>
        </w:rPr>
        <w:t xml:space="preserve"> </w:t>
      </w:r>
      <w:r w:rsidRPr="00C20972">
        <w:rPr>
          <w:sz w:val="24"/>
          <w:szCs w:val="24"/>
        </w:rPr>
        <w:t>seeks public comment on Table 1, existing registration and reporting requirements to identify or clarify existing mechanisms that could be used to obtain a unique registrant identifier.  NMFS will examine these mechanisms and list acceptable registration identifiers in the electronic registration system established by NMFS.</w:t>
      </w:r>
    </w:p>
    <w:p w14:paraId="404630BE" w14:textId="6AF4B0E2" w:rsidR="00E2190B" w:rsidRDefault="00E2190B">
      <w:pPr>
        <w:rPr>
          <w:sz w:val="24"/>
          <w:szCs w:val="24"/>
        </w:rPr>
      </w:pPr>
    </w:p>
    <w:p w14:paraId="20D993DF" w14:textId="77777777" w:rsidR="00E2190B" w:rsidRPr="00016340" w:rsidRDefault="00E2190B" w:rsidP="00E2190B">
      <w:pPr>
        <w:pStyle w:val="Normal1"/>
        <w:spacing w:line="480" w:lineRule="auto"/>
        <w:rPr>
          <w:b/>
        </w:rPr>
      </w:pPr>
      <w:r w:rsidRPr="00016340">
        <w:rPr>
          <w:b/>
        </w:rPr>
        <w:t>Table 1- Existing Aquaculture Registration and Reporting Requirements</w:t>
      </w:r>
    </w:p>
    <w:tbl>
      <w:tblP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4415"/>
        <w:gridCol w:w="4140"/>
      </w:tblGrid>
      <w:tr w:rsidR="00E2190B" w:rsidRPr="008C0EB7" w14:paraId="48C7212E" w14:textId="77777777" w:rsidTr="00525151">
        <w:tc>
          <w:tcPr>
            <w:tcW w:w="1435" w:type="dxa"/>
          </w:tcPr>
          <w:p w14:paraId="560A9213" w14:textId="77777777" w:rsidR="00E2190B" w:rsidRPr="008C0EB7" w:rsidRDefault="00E2190B" w:rsidP="00525151">
            <w:pPr>
              <w:pStyle w:val="Normal1"/>
              <w:spacing w:line="480" w:lineRule="auto"/>
            </w:pPr>
            <w:r w:rsidRPr="008C0EB7">
              <w:t>State</w:t>
            </w:r>
          </w:p>
        </w:tc>
        <w:tc>
          <w:tcPr>
            <w:tcW w:w="4415" w:type="dxa"/>
          </w:tcPr>
          <w:p w14:paraId="6E92C85A" w14:textId="77777777" w:rsidR="00E2190B" w:rsidRPr="008C0EB7" w:rsidRDefault="00E2190B" w:rsidP="00525151">
            <w:pPr>
              <w:pStyle w:val="Normal1"/>
              <w:spacing w:line="480" w:lineRule="auto"/>
            </w:pPr>
            <w:r w:rsidRPr="008C0EB7">
              <w:t>Citation</w:t>
            </w:r>
          </w:p>
        </w:tc>
        <w:tc>
          <w:tcPr>
            <w:tcW w:w="4140" w:type="dxa"/>
          </w:tcPr>
          <w:p w14:paraId="101D22A7" w14:textId="77777777" w:rsidR="00E2190B" w:rsidRPr="008C0EB7" w:rsidRDefault="00E2190B" w:rsidP="00525151">
            <w:pPr>
              <w:pStyle w:val="Normal1"/>
              <w:spacing w:line="480" w:lineRule="auto"/>
            </w:pPr>
            <w:r w:rsidRPr="008C0EB7">
              <w:t>Summary of Requirement</w:t>
            </w:r>
          </w:p>
        </w:tc>
      </w:tr>
      <w:tr w:rsidR="00E2190B" w:rsidRPr="008C0EB7" w14:paraId="3C1C40FB" w14:textId="77777777" w:rsidTr="00525151">
        <w:tc>
          <w:tcPr>
            <w:tcW w:w="1435" w:type="dxa"/>
          </w:tcPr>
          <w:p w14:paraId="1A50CA9D" w14:textId="77777777" w:rsidR="00E2190B" w:rsidRPr="008C0EB7" w:rsidRDefault="00E2190B" w:rsidP="00525151">
            <w:pPr>
              <w:pStyle w:val="Normal1"/>
              <w:spacing w:line="480" w:lineRule="auto"/>
            </w:pPr>
            <w:r w:rsidRPr="008C0EB7">
              <w:t>Alabama</w:t>
            </w:r>
          </w:p>
        </w:tc>
        <w:tc>
          <w:tcPr>
            <w:tcW w:w="4415" w:type="dxa"/>
          </w:tcPr>
          <w:p w14:paraId="2879A7E7" w14:textId="77777777" w:rsidR="00E2190B" w:rsidRPr="008C0EB7" w:rsidRDefault="00E2190B" w:rsidP="00525151">
            <w:pPr>
              <w:pStyle w:val="Normal1"/>
              <w:spacing w:line="480" w:lineRule="auto"/>
            </w:pPr>
            <w:r w:rsidRPr="008C0EB7">
              <w:t>Statute: Ala. Code § 9-2-150 (2015),</w:t>
            </w:r>
          </w:p>
          <w:p w14:paraId="5E2B0B9A" w14:textId="77777777" w:rsidR="00E2190B" w:rsidRPr="008C0EB7" w:rsidRDefault="0004418A" w:rsidP="00525151">
            <w:pPr>
              <w:pStyle w:val="Normal1"/>
              <w:spacing w:line="480" w:lineRule="auto"/>
            </w:pPr>
            <w:hyperlink r:id="rId10" w:history="1">
              <w:r w:rsidR="00E2190B" w:rsidRPr="008C0EB7">
                <w:rPr>
                  <w:rStyle w:val="Hyperlink"/>
                </w:rPr>
                <w:t>https://law.justia.com/codes/alabama/2015/title-9/chapter-2/article-8/section-9-2-150/</w:t>
              </w:r>
            </w:hyperlink>
            <w:r w:rsidR="00E2190B" w:rsidRPr="008C0EB7">
              <w:t>.</w:t>
            </w:r>
          </w:p>
        </w:tc>
        <w:tc>
          <w:tcPr>
            <w:tcW w:w="4140" w:type="dxa"/>
          </w:tcPr>
          <w:p w14:paraId="3469061C" w14:textId="77777777" w:rsidR="00E2190B" w:rsidRPr="008C0EB7" w:rsidRDefault="00E2190B" w:rsidP="00525151">
            <w:pPr>
              <w:pStyle w:val="Normal1"/>
              <w:spacing w:line="480" w:lineRule="auto"/>
            </w:pPr>
            <w:r w:rsidRPr="008C0EB7">
              <w:t xml:space="preserve">Oyster leases required. </w:t>
            </w:r>
          </w:p>
        </w:tc>
      </w:tr>
      <w:tr w:rsidR="00E2190B" w:rsidRPr="008C0EB7" w14:paraId="01051D78" w14:textId="77777777" w:rsidTr="00525151">
        <w:tc>
          <w:tcPr>
            <w:tcW w:w="1435" w:type="dxa"/>
          </w:tcPr>
          <w:p w14:paraId="22F5AABD" w14:textId="77777777" w:rsidR="00E2190B" w:rsidRPr="008C0EB7" w:rsidRDefault="00E2190B" w:rsidP="00525151">
            <w:pPr>
              <w:pStyle w:val="Normal1"/>
              <w:spacing w:line="480" w:lineRule="auto"/>
            </w:pPr>
            <w:r w:rsidRPr="008C0EB7">
              <w:t>California</w:t>
            </w:r>
          </w:p>
        </w:tc>
        <w:tc>
          <w:tcPr>
            <w:tcW w:w="4415" w:type="dxa"/>
          </w:tcPr>
          <w:p w14:paraId="45A3C810" w14:textId="77777777" w:rsidR="00E2190B" w:rsidRPr="008C0EB7" w:rsidRDefault="00E2190B" w:rsidP="00525151">
            <w:pPr>
              <w:pStyle w:val="Normal1"/>
              <w:spacing w:line="480" w:lineRule="auto"/>
            </w:pPr>
            <w:r w:rsidRPr="008C0EB7">
              <w:t xml:space="preserve">Statute: California Fish &amp; Game Code § 15400 (2006), </w:t>
            </w:r>
            <w:hyperlink r:id="rId11">
              <w:r w:rsidRPr="008C0EB7">
                <w:rPr>
                  <w:rStyle w:val="Hyperlink"/>
                </w:rPr>
                <w:t>https://leginfo.legislature.ca.gov/faces/codes_displayText.xhtml?lawCode=FGC&amp;division=12.&amp;title=&amp;part=&amp;chapter=5.&amp;article</w:t>
              </w:r>
            </w:hyperlink>
            <w:r w:rsidRPr="008C0EB7">
              <w:t xml:space="preserve">. </w:t>
            </w:r>
          </w:p>
        </w:tc>
        <w:tc>
          <w:tcPr>
            <w:tcW w:w="4140" w:type="dxa"/>
          </w:tcPr>
          <w:p w14:paraId="373ED884" w14:textId="77777777" w:rsidR="00E2190B" w:rsidRPr="008C0EB7" w:rsidRDefault="00E2190B" w:rsidP="00525151">
            <w:pPr>
              <w:pStyle w:val="Normal1"/>
              <w:spacing w:line="480" w:lineRule="auto"/>
            </w:pPr>
            <w:r w:rsidRPr="008C0EB7">
              <w:t>Aquaculture Registration is required for each facility devoted to the propagation, cultivation, maintenance, and harvesting of fish, shellfish and plants in marine, brackish, and fresh water. </w:t>
            </w:r>
          </w:p>
        </w:tc>
      </w:tr>
      <w:tr w:rsidR="00E2190B" w:rsidRPr="008C0EB7" w14:paraId="1C5333AA" w14:textId="77777777" w:rsidTr="00525151">
        <w:tc>
          <w:tcPr>
            <w:tcW w:w="1435" w:type="dxa"/>
          </w:tcPr>
          <w:p w14:paraId="3C482C15" w14:textId="77777777" w:rsidR="00E2190B" w:rsidRPr="008C0EB7" w:rsidRDefault="00E2190B" w:rsidP="00525151">
            <w:pPr>
              <w:pStyle w:val="Normal1"/>
              <w:spacing w:line="480" w:lineRule="auto"/>
            </w:pPr>
            <w:r w:rsidRPr="008C0EB7">
              <w:t>Connecticut</w:t>
            </w:r>
          </w:p>
        </w:tc>
        <w:tc>
          <w:tcPr>
            <w:tcW w:w="4415" w:type="dxa"/>
          </w:tcPr>
          <w:p w14:paraId="37CFF0E8" w14:textId="77777777" w:rsidR="00E2190B" w:rsidRPr="008C0EB7" w:rsidRDefault="00E2190B" w:rsidP="00525151">
            <w:pPr>
              <w:pStyle w:val="Normal1"/>
              <w:spacing w:line="480" w:lineRule="auto"/>
            </w:pPr>
            <w:r w:rsidRPr="008C0EB7">
              <w:t>Statutes: Conn. Gen. Stat. § 26-194 (2013),</w:t>
            </w:r>
            <w:hyperlink r:id="rId12" w:anchor="sec_26-194" w:history="1">
              <w:r w:rsidRPr="008C0EB7">
                <w:rPr>
                  <w:rStyle w:val="Hyperlink"/>
                </w:rPr>
                <w:t xml:space="preserve"> </w:t>
              </w:r>
            </w:hyperlink>
            <w:hyperlink r:id="rId13" w:anchor="sec_26-194" w:history="1">
              <w:r w:rsidRPr="008C0EB7">
                <w:rPr>
                  <w:rStyle w:val="Hyperlink"/>
                </w:rPr>
                <w:t>https://www.cga.ct.gov/2015/pub/chap_491.htm#sec_26-194</w:t>
              </w:r>
            </w:hyperlink>
            <w:r w:rsidRPr="008C0EB7">
              <w:t>;</w:t>
            </w:r>
          </w:p>
          <w:p w14:paraId="3F59B9F7" w14:textId="77777777" w:rsidR="00E2190B" w:rsidRPr="008C0EB7" w:rsidRDefault="00E2190B" w:rsidP="00525151">
            <w:pPr>
              <w:pStyle w:val="Normal1"/>
              <w:spacing w:line="480" w:lineRule="auto"/>
            </w:pPr>
            <w:r w:rsidRPr="008C0EB7">
              <w:t>Conn. Gen. Stat. § 22-11i (2013),</w:t>
            </w:r>
            <w:hyperlink r:id="rId14" w:anchor="sec_22-11i" w:history="1">
              <w:r w:rsidRPr="008C0EB7">
                <w:rPr>
                  <w:rStyle w:val="Hyperlink"/>
                </w:rPr>
                <w:t xml:space="preserve"> </w:t>
              </w:r>
            </w:hyperlink>
            <w:hyperlink r:id="rId15" w:anchor="sec_22-11i" w:history="1">
              <w:r w:rsidRPr="008C0EB7">
                <w:rPr>
                  <w:rStyle w:val="Hyperlink"/>
                </w:rPr>
                <w:t>https://www.cga.ct.gov/2015/pub/chap_422.htm#sec_22-11i</w:t>
              </w:r>
            </w:hyperlink>
            <w:r w:rsidRPr="008C0EB7">
              <w:t xml:space="preserve">.  </w:t>
            </w:r>
          </w:p>
          <w:p w14:paraId="70400FB8" w14:textId="77777777" w:rsidR="00E2190B" w:rsidRPr="008C0EB7" w:rsidRDefault="00E2190B" w:rsidP="00525151">
            <w:pPr>
              <w:pStyle w:val="Normal1"/>
              <w:spacing w:line="480" w:lineRule="auto"/>
            </w:pPr>
          </w:p>
        </w:tc>
        <w:tc>
          <w:tcPr>
            <w:tcW w:w="4140" w:type="dxa"/>
          </w:tcPr>
          <w:p w14:paraId="64A801A0" w14:textId="77777777" w:rsidR="00E2190B" w:rsidRPr="008C0EB7" w:rsidRDefault="00E2190B" w:rsidP="00525151">
            <w:pPr>
              <w:pStyle w:val="Normal1"/>
              <w:spacing w:line="480" w:lineRule="auto"/>
            </w:pPr>
            <w:r w:rsidRPr="008C0EB7">
              <w:t>Aquaculture-related permits are overseen by the Department of Agriculture, Bureau of Aquaculture and the Department of Energy and Environmental Protection. Permits are required</w:t>
            </w:r>
          </w:p>
        </w:tc>
      </w:tr>
      <w:tr w:rsidR="00E2190B" w:rsidRPr="008C0EB7" w14:paraId="1AF985EE" w14:textId="77777777" w:rsidTr="00525151">
        <w:tc>
          <w:tcPr>
            <w:tcW w:w="1435" w:type="dxa"/>
          </w:tcPr>
          <w:p w14:paraId="3EF1C0BF" w14:textId="77777777" w:rsidR="00E2190B" w:rsidRPr="008C0EB7" w:rsidRDefault="00E2190B" w:rsidP="00525151">
            <w:pPr>
              <w:pStyle w:val="Normal1"/>
              <w:spacing w:line="480" w:lineRule="auto"/>
            </w:pPr>
            <w:r w:rsidRPr="008C0EB7">
              <w:t>Delaware</w:t>
            </w:r>
          </w:p>
        </w:tc>
        <w:tc>
          <w:tcPr>
            <w:tcW w:w="4415" w:type="dxa"/>
          </w:tcPr>
          <w:p w14:paraId="5B7C3DDF" w14:textId="77777777" w:rsidR="00E2190B" w:rsidRPr="008C0EB7" w:rsidRDefault="00E2190B" w:rsidP="00525151">
            <w:pPr>
              <w:pStyle w:val="Normal1"/>
              <w:spacing w:line="480" w:lineRule="auto"/>
            </w:pPr>
            <w:r w:rsidRPr="008C0EB7">
              <w:t xml:space="preserve">Statute: Del. Code tit. 3 § 4 (2013), </w:t>
            </w:r>
            <w:hyperlink r:id="rId16" w:history="1">
              <w:r w:rsidRPr="008C0EB7">
                <w:rPr>
                  <w:rStyle w:val="Hyperlink"/>
                </w:rPr>
                <w:t>http://delcode.delaware.gov/title3/c004/index.shtml</w:t>
              </w:r>
            </w:hyperlink>
            <w:r w:rsidRPr="008C0EB7">
              <w:t>.</w:t>
            </w:r>
          </w:p>
          <w:p w14:paraId="485E6FB9" w14:textId="77777777" w:rsidR="00E2190B" w:rsidRPr="008C0EB7" w:rsidRDefault="00E2190B" w:rsidP="00525151">
            <w:pPr>
              <w:pStyle w:val="Normal1"/>
              <w:spacing w:line="480" w:lineRule="auto"/>
            </w:pPr>
            <w:r w:rsidRPr="008C0EB7">
              <w:t xml:space="preserve">Regulation: 7-3800 Del.Admin. Code (2014), </w:t>
            </w:r>
            <w:hyperlink r:id="rId17" w:anchor="TopOfPage" w:history="1">
              <w:r w:rsidRPr="008C0EB7">
                <w:rPr>
                  <w:rStyle w:val="Hyperlink"/>
                </w:rPr>
                <w:t>http://regulations.delaware.gov/AdminCode/title7/3000/3800/3801.shtml#TopOfPage</w:t>
              </w:r>
            </w:hyperlink>
            <w:r w:rsidRPr="008C0EB7">
              <w:t xml:space="preserve">. </w:t>
            </w:r>
          </w:p>
        </w:tc>
        <w:tc>
          <w:tcPr>
            <w:tcW w:w="4140" w:type="dxa"/>
          </w:tcPr>
          <w:p w14:paraId="69F0F2A2" w14:textId="77777777" w:rsidR="00E2190B" w:rsidRPr="008C0EB7" w:rsidRDefault="00E2190B" w:rsidP="00525151">
            <w:pPr>
              <w:pStyle w:val="Normal1"/>
              <w:spacing w:line="480" w:lineRule="auto"/>
            </w:pPr>
            <w:r w:rsidRPr="008C0EB7">
              <w:t>In addition to various permits needed dependent on species, all aquaculture operations must register with Delaware Department of Agriculture-valid for 5 years</w:t>
            </w:r>
          </w:p>
          <w:p w14:paraId="5B99164E" w14:textId="77777777" w:rsidR="00E2190B" w:rsidRPr="008C0EB7" w:rsidRDefault="00E2190B" w:rsidP="00525151">
            <w:pPr>
              <w:pStyle w:val="Normal1"/>
              <w:spacing w:line="480" w:lineRule="auto"/>
            </w:pPr>
          </w:p>
        </w:tc>
      </w:tr>
      <w:tr w:rsidR="00E2190B" w:rsidRPr="008C0EB7" w14:paraId="1920393D" w14:textId="77777777" w:rsidTr="00525151">
        <w:tc>
          <w:tcPr>
            <w:tcW w:w="1435" w:type="dxa"/>
          </w:tcPr>
          <w:p w14:paraId="7193BBE6" w14:textId="77777777" w:rsidR="00E2190B" w:rsidRPr="008C0EB7" w:rsidRDefault="00E2190B" w:rsidP="00525151">
            <w:pPr>
              <w:pStyle w:val="Normal1"/>
              <w:spacing w:line="480" w:lineRule="auto"/>
            </w:pPr>
            <w:r w:rsidRPr="008C0EB7">
              <w:t>Northern Marianas Islands</w:t>
            </w:r>
          </w:p>
        </w:tc>
        <w:tc>
          <w:tcPr>
            <w:tcW w:w="4415" w:type="dxa"/>
          </w:tcPr>
          <w:p w14:paraId="4B9C487C" w14:textId="77777777" w:rsidR="00E2190B" w:rsidRPr="008C0EB7" w:rsidRDefault="00E2190B" w:rsidP="00525151">
            <w:pPr>
              <w:pStyle w:val="Normal1"/>
              <w:spacing w:line="480" w:lineRule="auto"/>
            </w:pPr>
            <w:r w:rsidRPr="008C0EB7">
              <w:t xml:space="preserve">Statute: 2006 N. Mar. I. Pub. L. 15-43, </w:t>
            </w:r>
            <w:hyperlink r:id="rId18">
              <w:r w:rsidRPr="008C0EB7">
                <w:rPr>
                  <w:rStyle w:val="Hyperlink"/>
                </w:rPr>
                <w:t>http://www.cnmilaw.org/pdf/public_laws/15/pl15-43.pdf</w:t>
              </w:r>
            </w:hyperlink>
            <w:r w:rsidRPr="008C0EB7">
              <w:t xml:space="preserve">. </w:t>
            </w:r>
          </w:p>
        </w:tc>
        <w:tc>
          <w:tcPr>
            <w:tcW w:w="4140" w:type="dxa"/>
          </w:tcPr>
          <w:p w14:paraId="4595A679" w14:textId="77777777" w:rsidR="00E2190B" w:rsidRPr="008C0EB7" w:rsidRDefault="00E2190B" w:rsidP="00525151">
            <w:pPr>
              <w:pStyle w:val="Normal1"/>
              <w:spacing w:line="480" w:lineRule="auto"/>
            </w:pPr>
            <w:r w:rsidRPr="008C0EB7">
              <w:t>Site permit in coastal waters only</w:t>
            </w:r>
          </w:p>
        </w:tc>
      </w:tr>
      <w:tr w:rsidR="00E2190B" w:rsidRPr="008C0EB7" w14:paraId="2807B5B3" w14:textId="77777777" w:rsidTr="00525151">
        <w:tc>
          <w:tcPr>
            <w:tcW w:w="1435" w:type="dxa"/>
          </w:tcPr>
          <w:p w14:paraId="0440A55E" w14:textId="77777777" w:rsidR="00E2190B" w:rsidRPr="008C0EB7" w:rsidRDefault="00E2190B" w:rsidP="00525151">
            <w:pPr>
              <w:pStyle w:val="Normal1"/>
              <w:spacing w:line="480" w:lineRule="auto"/>
            </w:pPr>
            <w:r w:rsidRPr="008C0EB7">
              <w:t>Florida</w:t>
            </w:r>
          </w:p>
        </w:tc>
        <w:tc>
          <w:tcPr>
            <w:tcW w:w="4415" w:type="dxa"/>
          </w:tcPr>
          <w:p w14:paraId="3F14B036" w14:textId="77777777" w:rsidR="00E2190B" w:rsidRPr="008C0EB7" w:rsidRDefault="00E2190B" w:rsidP="00525151">
            <w:pPr>
              <w:pStyle w:val="Normal1"/>
              <w:spacing w:line="480" w:lineRule="auto"/>
            </w:pPr>
            <w:r w:rsidRPr="008C0EB7">
              <w:t xml:space="preserve">Statute: Fla. Stat. § 597.004 (2017), </w:t>
            </w:r>
            <w:hyperlink r:id="rId19">
              <w:r w:rsidRPr="008C0EB7">
                <w:rPr>
                  <w:rStyle w:val="Hyperlink"/>
                </w:rPr>
                <w:t>http://www.leg.state.fl.us/statutes/index.cfm?App_mode=Display_Statute&amp;Search_String=&amp;URL=0500-0599/0597/Sections/0597.004.html</w:t>
              </w:r>
            </w:hyperlink>
            <w:r w:rsidRPr="008C0EB7">
              <w:t xml:space="preserve">. </w:t>
            </w:r>
          </w:p>
        </w:tc>
        <w:tc>
          <w:tcPr>
            <w:tcW w:w="4140" w:type="dxa"/>
          </w:tcPr>
          <w:p w14:paraId="17B8CFC7" w14:textId="77777777" w:rsidR="00E2190B" w:rsidRPr="008C0EB7" w:rsidRDefault="00E2190B" w:rsidP="00525151">
            <w:pPr>
              <w:pStyle w:val="Normal1"/>
              <w:spacing w:line="480" w:lineRule="auto"/>
            </w:pPr>
            <w:r w:rsidRPr="008C0EB7">
              <w:t>Aquaculture registration is required with the Florida Department of Agriculture and Consumer Affairs, annually</w:t>
            </w:r>
          </w:p>
        </w:tc>
      </w:tr>
      <w:tr w:rsidR="00E2190B" w:rsidRPr="008C0EB7" w14:paraId="1AB80F3A" w14:textId="77777777" w:rsidTr="00525151">
        <w:tc>
          <w:tcPr>
            <w:tcW w:w="1435" w:type="dxa"/>
          </w:tcPr>
          <w:p w14:paraId="4AD2548A" w14:textId="77777777" w:rsidR="00E2190B" w:rsidRPr="008C0EB7" w:rsidRDefault="00E2190B" w:rsidP="00525151">
            <w:pPr>
              <w:pStyle w:val="Normal1"/>
              <w:spacing w:line="480" w:lineRule="auto"/>
            </w:pPr>
            <w:r w:rsidRPr="008C0EB7">
              <w:t>Georgia</w:t>
            </w:r>
          </w:p>
        </w:tc>
        <w:tc>
          <w:tcPr>
            <w:tcW w:w="4415" w:type="dxa"/>
          </w:tcPr>
          <w:p w14:paraId="02021B09" w14:textId="77777777" w:rsidR="00E2190B" w:rsidRPr="008C0EB7" w:rsidRDefault="00E2190B" w:rsidP="00525151">
            <w:pPr>
              <w:pStyle w:val="Normal1"/>
              <w:spacing w:line="480" w:lineRule="auto"/>
            </w:pPr>
            <w:r w:rsidRPr="008C0EB7">
              <w:t xml:space="preserve">Statute: Ga. Code Ann. § 27-4-255 (2017), </w:t>
            </w:r>
          </w:p>
          <w:p w14:paraId="25D3E723" w14:textId="77777777" w:rsidR="00E2190B" w:rsidRPr="008C0EB7" w:rsidRDefault="0004418A" w:rsidP="00525151">
            <w:pPr>
              <w:pStyle w:val="Normal1"/>
              <w:spacing w:line="480" w:lineRule="auto"/>
            </w:pPr>
            <w:hyperlink r:id="rId20" w:history="1">
              <w:r w:rsidR="00E2190B" w:rsidRPr="008C0EB7">
                <w:rPr>
                  <w:rStyle w:val="Hyperlink"/>
                </w:rPr>
                <w:t>https://advance.lexis.com/api/document/collection/statutes-legislation/id/5NYG-GGG0-004D-8406-00008-00?cite=O.C.G.A.%20%C2%A7%2027-4-255&amp;context=1000516</w:t>
              </w:r>
            </w:hyperlink>
            <w:r w:rsidR="00E2190B" w:rsidRPr="008C0EB7">
              <w:t xml:space="preserve">. </w:t>
            </w:r>
          </w:p>
        </w:tc>
        <w:tc>
          <w:tcPr>
            <w:tcW w:w="4140" w:type="dxa"/>
          </w:tcPr>
          <w:p w14:paraId="4D56EC67" w14:textId="77777777" w:rsidR="00E2190B" w:rsidRPr="008C0EB7" w:rsidRDefault="00E2190B" w:rsidP="00525151">
            <w:pPr>
              <w:pStyle w:val="Normal1"/>
              <w:spacing w:line="480" w:lineRule="auto"/>
            </w:pPr>
            <w:r w:rsidRPr="008C0EB7">
              <w:t>Some species require permits and some require registration with Georgia Department of Natural Resources.</w:t>
            </w:r>
          </w:p>
        </w:tc>
      </w:tr>
      <w:tr w:rsidR="00E2190B" w:rsidRPr="008C0EB7" w14:paraId="2F920DAA" w14:textId="77777777" w:rsidTr="00525151">
        <w:tc>
          <w:tcPr>
            <w:tcW w:w="1435" w:type="dxa"/>
          </w:tcPr>
          <w:p w14:paraId="222CD573" w14:textId="77777777" w:rsidR="00E2190B" w:rsidRPr="008C0EB7" w:rsidRDefault="00E2190B" w:rsidP="00525151">
            <w:pPr>
              <w:pStyle w:val="Normal1"/>
              <w:spacing w:line="480" w:lineRule="auto"/>
            </w:pPr>
            <w:r w:rsidRPr="008C0EB7">
              <w:t>Hawaii</w:t>
            </w:r>
          </w:p>
        </w:tc>
        <w:tc>
          <w:tcPr>
            <w:tcW w:w="4415" w:type="dxa"/>
          </w:tcPr>
          <w:p w14:paraId="2D056B27" w14:textId="77777777" w:rsidR="00E2190B" w:rsidRPr="008C0EB7" w:rsidRDefault="00E2190B" w:rsidP="00525151">
            <w:pPr>
              <w:pStyle w:val="Normal1"/>
              <w:spacing w:line="480" w:lineRule="auto"/>
            </w:pPr>
            <w:r w:rsidRPr="008C0EB7">
              <w:t xml:space="preserve">Statute: Haw. Rev. Stat. § 187-3.5 (2012), </w:t>
            </w:r>
            <w:hyperlink r:id="rId21">
              <w:r w:rsidRPr="008C0EB7">
                <w:rPr>
                  <w:rStyle w:val="Hyperlink"/>
                </w:rPr>
                <w:t>https://law.justia.com/codes/hawaii/2012/title-12/chapter-187a/section-187a-3.5/</w:t>
              </w:r>
            </w:hyperlink>
            <w:r w:rsidRPr="008C0EB7">
              <w:t xml:space="preserve">. </w:t>
            </w:r>
          </w:p>
          <w:p w14:paraId="43EC90DB" w14:textId="77777777" w:rsidR="00E2190B" w:rsidRPr="008C0EB7" w:rsidRDefault="00E2190B" w:rsidP="00525151">
            <w:pPr>
              <w:pStyle w:val="Normal1"/>
              <w:spacing w:line="480" w:lineRule="auto"/>
            </w:pPr>
            <w:r w:rsidRPr="008C0EB7">
              <w:t xml:space="preserve">Regulation: Haw. Code R. § 13-74-43 (1996), </w:t>
            </w:r>
            <w:hyperlink r:id="rId22">
              <w:r w:rsidRPr="008C0EB7">
                <w:rPr>
                  <w:rStyle w:val="Hyperlink"/>
                </w:rPr>
                <w:t>https://dlnr.hawaii.gov/dar/files/2014/04/ch74.pdf</w:t>
              </w:r>
            </w:hyperlink>
            <w:r w:rsidRPr="008C0EB7">
              <w:t xml:space="preserve">. </w:t>
            </w:r>
          </w:p>
        </w:tc>
        <w:tc>
          <w:tcPr>
            <w:tcW w:w="4140" w:type="dxa"/>
          </w:tcPr>
          <w:p w14:paraId="657E0BA8" w14:textId="77777777" w:rsidR="00E2190B" w:rsidRPr="008C0EB7" w:rsidRDefault="00E2190B" w:rsidP="00525151">
            <w:pPr>
              <w:pStyle w:val="Normal1"/>
              <w:spacing w:line="480" w:lineRule="auto"/>
            </w:pPr>
            <w:r w:rsidRPr="008C0EB7">
              <w:t>Permit with record-keeping required for aquaculture, including fish ponds through Hawaii Department of Land and Natural Resources.</w:t>
            </w:r>
          </w:p>
        </w:tc>
      </w:tr>
      <w:tr w:rsidR="00E2190B" w:rsidRPr="008C0EB7" w14:paraId="7B9F5121" w14:textId="77777777" w:rsidTr="00525151">
        <w:tc>
          <w:tcPr>
            <w:tcW w:w="1435" w:type="dxa"/>
          </w:tcPr>
          <w:p w14:paraId="1123003D" w14:textId="77777777" w:rsidR="00E2190B" w:rsidRPr="008C0EB7" w:rsidRDefault="00E2190B" w:rsidP="00525151">
            <w:pPr>
              <w:pStyle w:val="Normal1"/>
              <w:spacing w:line="480" w:lineRule="auto"/>
            </w:pPr>
            <w:r w:rsidRPr="008C0EB7">
              <w:t>Illinois</w:t>
            </w:r>
          </w:p>
        </w:tc>
        <w:tc>
          <w:tcPr>
            <w:tcW w:w="4415" w:type="dxa"/>
          </w:tcPr>
          <w:p w14:paraId="06CCD099" w14:textId="77777777" w:rsidR="00E2190B" w:rsidRPr="008C0EB7" w:rsidRDefault="00E2190B" w:rsidP="00525151">
            <w:pPr>
              <w:pStyle w:val="Normal1"/>
              <w:spacing w:line="480" w:lineRule="auto"/>
            </w:pPr>
            <w:r w:rsidRPr="008C0EB7">
              <w:t xml:space="preserve">Regulation: Ill. Admin. Code tit. 17, pt. 870, </w:t>
            </w:r>
            <w:hyperlink r:id="rId23">
              <w:r w:rsidRPr="008C0EB7">
                <w:rPr>
                  <w:rStyle w:val="Hyperlink"/>
                </w:rPr>
                <w:t>ftp://www.ilga.gov/jcar/admincode/017/01700870sections.html</w:t>
              </w:r>
            </w:hyperlink>
            <w:r w:rsidRPr="008C0EB7">
              <w:t xml:space="preserve">. </w:t>
            </w:r>
          </w:p>
        </w:tc>
        <w:tc>
          <w:tcPr>
            <w:tcW w:w="4140" w:type="dxa"/>
          </w:tcPr>
          <w:p w14:paraId="7A6B260A" w14:textId="77777777" w:rsidR="00E2190B" w:rsidRPr="008C0EB7" w:rsidRDefault="00E2190B" w:rsidP="00525151">
            <w:pPr>
              <w:pStyle w:val="Normal1"/>
              <w:spacing w:line="480" w:lineRule="auto"/>
            </w:pPr>
            <w:r w:rsidRPr="008C0EB7">
              <w:t>Annual permit required, with a recordkeeping component and annual reporting to Illinois Department of Natural Resources.</w:t>
            </w:r>
          </w:p>
        </w:tc>
      </w:tr>
      <w:tr w:rsidR="00E2190B" w:rsidRPr="008C0EB7" w14:paraId="70ABB2BC" w14:textId="77777777" w:rsidTr="00525151">
        <w:tc>
          <w:tcPr>
            <w:tcW w:w="1435" w:type="dxa"/>
          </w:tcPr>
          <w:p w14:paraId="29F856CD" w14:textId="77777777" w:rsidR="00E2190B" w:rsidRPr="008C0EB7" w:rsidRDefault="00E2190B" w:rsidP="00525151">
            <w:pPr>
              <w:pStyle w:val="Normal1"/>
              <w:spacing w:line="480" w:lineRule="auto"/>
            </w:pPr>
            <w:r w:rsidRPr="008C0EB7">
              <w:t>Indiana</w:t>
            </w:r>
          </w:p>
        </w:tc>
        <w:tc>
          <w:tcPr>
            <w:tcW w:w="4415" w:type="dxa"/>
          </w:tcPr>
          <w:p w14:paraId="3726BB08" w14:textId="77777777" w:rsidR="00E2190B" w:rsidRPr="008C0EB7" w:rsidRDefault="00E2190B" w:rsidP="00525151">
            <w:pPr>
              <w:pStyle w:val="Normal1"/>
              <w:spacing w:line="480" w:lineRule="auto"/>
            </w:pPr>
            <w:r w:rsidRPr="008C0EB7">
              <w:t xml:space="preserve">Regulation: Aquaculture Permit, 312 Ind. Admin. Code 9-10-17 (2001), </w:t>
            </w:r>
            <w:hyperlink r:id="rId24">
              <w:r w:rsidRPr="008C0EB7">
                <w:rPr>
                  <w:rStyle w:val="Hyperlink"/>
                </w:rPr>
                <w:t>https://www.in.gov/dnr/fishwild/files/aquaculture_permit.pdf</w:t>
              </w:r>
            </w:hyperlink>
            <w:r w:rsidRPr="008C0EB7">
              <w:t xml:space="preserve">. </w:t>
            </w:r>
          </w:p>
        </w:tc>
        <w:tc>
          <w:tcPr>
            <w:tcW w:w="4140" w:type="dxa"/>
          </w:tcPr>
          <w:p w14:paraId="63E20376" w14:textId="77777777" w:rsidR="00E2190B" w:rsidRPr="008C0EB7" w:rsidRDefault="00E2190B" w:rsidP="00525151">
            <w:pPr>
              <w:pStyle w:val="Normal1"/>
              <w:spacing w:line="480" w:lineRule="auto"/>
            </w:pPr>
            <w:r w:rsidRPr="008C0EB7">
              <w:t>A permit is needed from Indiana Department of Agriculture, which requires records retention and inspection of the facility at any time.</w:t>
            </w:r>
          </w:p>
        </w:tc>
      </w:tr>
      <w:tr w:rsidR="00E2190B" w:rsidRPr="008C0EB7" w14:paraId="06693432" w14:textId="77777777" w:rsidTr="00525151">
        <w:tc>
          <w:tcPr>
            <w:tcW w:w="1435" w:type="dxa"/>
          </w:tcPr>
          <w:p w14:paraId="05F4D395" w14:textId="77777777" w:rsidR="00E2190B" w:rsidRPr="008C0EB7" w:rsidRDefault="00E2190B" w:rsidP="00525151">
            <w:pPr>
              <w:pStyle w:val="Normal1"/>
              <w:spacing w:line="480" w:lineRule="auto"/>
            </w:pPr>
            <w:r w:rsidRPr="008C0EB7">
              <w:t>Iowa</w:t>
            </w:r>
          </w:p>
        </w:tc>
        <w:tc>
          <w:tcPr>
            <w:tcW w:w="4415" w:type="dxa"/>
          </w:tcPr>
          <w:p w14:paraId="1C65A338" w14:textId="77777777" w:rsidR="00E2190B" w:rsidRPr="008C0EB7" w:rsidRDefault="00E2190B" w:rsidP="00525151">
            <w:pPr>
              <w:pStyle w:val="Normal1"/>
              <w:spacing w:line="480" w:lineRule="auto"/>
            </w:pPr>
            <w:r w:rsidRPr="008C0EB7">
              <w:t xml:space="preserve">Regulation: Iowa Admin. Code r. 571-89 (1992), </w:t>
            </w:r>
            <w:hyperlink r:id="rId25">
              <w:r w:rsidRPr="008C0EB7">
                <w:rPr>
                  <w:rStyle w:val="Hyperlink"/>
                </w:rPr>
                <w:t>https://www.legis.iowa.gov/docs/iac/chapter/05-09-2018.571.89.pdf</w:t>
              </w:r>
            </w:hyperlink>
            <w:r w:rsidRPr="008C0EB7">
              <w:t xml:space="preserve">. </w:t>
            </w:r>
          </w:p>
        </w:tc>
        <w:tc>
          <w:tcPr>
            <w:tcW w:w="4140" w:type="dxa"/>
          </w:tcPr>
          <w:p w14:paraId="023355A4" w14:textId="77777777" w:rsidR="00E2190B" w:rsidRPr="008C0EB7" w:rsidRDefault="00E2190B" w:rsidP="00525151">
            <w:pPr>
              <w:pStyle w:val="Normal1"/>
              <w:spacing w:line="480" w:lineRule="auto"/>
            </w:pPr>
            <w:r w:rsidRPr="008C0EB7">
              <w:t>Annual License required through Iowa Department of Natural Resources, which includes an annual reporting requirement.</w:t>
            </w:r>
          </w:p>
        </w:tc>
      </w:tr>
      <w:tr w:rsidR="00E2190B" w:rsidRPr="008C0EB7" w14:paraId="4275A904" w14:textId="77777777" w:rsidTr="00525151">
        <w:tc>
          <w:tcPr>
            <w:tcW w:w="1435" w:type="dxa"/>
          </w:tcPr>
          <w:p w14:paraId="0D041DD0" w14:textId="77777777" w:rsidR="00E2190B" w:rsidRPr="008C0EB7" w:rsidRDefault="00E2190B" w:rsidP="00525151">
            <w:pPr>
              <w:pStyle w:val="Normal1"/>
              <w:spacing w:line="480" w:lineRule="auto"/>
            </w:pPr>
            <w:r w:rsidRPr="008C0EB7">
              <w:t>Louisiana</w:t>
            </w:r>
          </w:p>
        </w:tc>
        <w:tc>
          <w:tcPr>
            <w:tcW w:w="4415" w:type="dxa"/>
          </w:tcPr>
          <w:p w14:paraId="71F86F25" w14:textId="77777777" w:rsidR="00E2190B" w:rsidRPr="008C0EB7" w:rsidRDefault="00E2190B" w:rsidP="00525151">
            <w:pPr>
              <w:pStyle w:val="Normal1"/>
              <w:spacing w:line="480" w:lineRule="auto"/>
            </w:pPr>
            <w:r w:rsidRPr="008C0EB7">
              <w:t xml:space="preserve">Regulation: La. Admin. Code tit. 76, § 901-907, </w:t>
            </w:r>
          </w:p>
          <w:p w14:paraId="62CCD108" w14:textId="77777777" w:rsidR="00E2190B" w:rsidRPr="008C0EB7" w:rsidRDefault="0004418A" w:rsidP="00525151">
            <w:pPr>
              <w:pStyle w:val="Normal1"/>
              <w:spacing w:line="480" w:lineRule="auto"/>
            </w:pPr>
            <w:hyperlink r:id="rId26">
              <w:r w:rsidR="00E2190B" w:rsidRPr="008C0EB7">
                <w:rPr>
                  <w:rStyle w:val="Hyperlink"/>
                </w:rPr>
                <w:t>http://www.wlf.louisiana.gov/sites/default/files/pdf/document/39939-title/ose_legal_forms_title_76.pdf</w:t>
              </w:r>
            </w:hyperlink>
            <w:r w:rsidR="00E2190B" w:rsidRPr="008C0EB7">
              <w:t>.</w:t>
            </w:r>
          </w:p>
        </w:tc>
        <w:tc>
          <w:tcPr>
            <w:tcW w:w="4140" w:type="dxa"/>
          </w:tcPr>
          <w:p w14:paraId="667C1D1C" w14:textId="77777777" w:rsidR="00E2190B" w:rsidRPr="008C0EB7" w:rsidRDefault="00E2190B" w:rsidP="00525151">
            <w:pPr>
              <w:pStyle w:val="Normal1"/>
              <w:spacing w:line="480" w:lineRule="auto"/>
            </w:pPr>
            <w:r w:rsidRPr="008C0EB7">
              <w:t>Permit applications currently available for Catfish, Tilapia and Oysters.  Other species must enter a separate approval process for permitting through Louisiana Department of Fish and Wildlife</w:t>
            </w:r>
          </w:p>
        </w:tc>
      </w:tr>
      <w:tr w:rsidR="00E2190B" w:rsidRPr="008C0EB7" w14:paraId="2464F57F" w14:textId="77777777" w:rsidTr="00525151">
        <w:tc>
          <w:tcPr>
            <w:tcW w:w="1435" w:type="dxa"/>
          </w:tcPr>
          <w:p w14:paraId="36E1E33C" w14:textId="77777777" w:rsidR="00E2190B" w:rsidRPr="008C0EB7" w:rsidRDefault="00E2190B" w:rsidP="00525151">
            <w:pPr>
              <w:pStyle w:val="Normal1"/>
              <w:spacing w:line="480" w:lineRule="auto"/>
            </w:pPr>
            <w:r w:rsidRPr="008C0EB7">
              <w:t>Maine</w:t>
            </w:r>
          </w:p>
        </w:tc>
        <w:tc>
          <w:tcPr>
            <w:tcW w:w="4415" w:type="dxa"/>
          </w:tcPr>
          <w:p w14:paraId="12D7340A" w14:textId="77777777" w:rsidR="00E2190B" w:rsidRPr="008C0EB7" w:rsidRDefault="00E2190B" w:rsidP="00525151">
            <w:pPr>
              <w:pStyle w:val="Normal1"/>
              <w:spacing w:line="480" w:lineRule="auto"/>
            </w:pPr>
            <w:r w:rsidRPr="008C0EB7">
              <w:t xml:space="preserve">Statutes: Me. Rev. Stat. Ann.  tit. 12, § 6072 (2017), </w:t>
            </w:r>
          </w:p>
          <w:p w14:paraId="64F422CC" w14:textId="77777777" w:rsidR="00E2190B" w:rsidRPr="008C0EB7" w:rsidRDefault="0004418A" w:rsidP="00525151">
            <w:pPr>
              <w:pStyle w:val="Normal1"/>
              <w:spacing w:line="480" w:lineRule="auto"/>
            </w:pPr>
            <w:hyperlink r:id="rId27" w:history="1">
              <w:r w:rsidR="00E2190B" w:rsidRPr="008C0EB7">
                <w:rPr>
                  <w:rStyle w:val="Hyperlink"/>
                </w:rPr>
                <w:t>http://www.mainelegislature.org/legis/statutes/12/title12sec6072.html</w:t>
              </w:r>
            </w:hyperlink>
            <w:r w:rsidR="00E2190B" w:rsidRPr="008C0EB7">
              <w:t>;</w:t>
            </w:r>
          </w:p>
          <w:p w14:paraId="04E7CAAC" w14:textId="77777777" w:rsidR="00E2190B" w:rsidRPr="008C0EB7" w:rsidRDefault="00E2190B" w:rsidP="00525151">
            <w:pPr>
              <w:pStyle w:val="Normal1"/>
              <w:spacing w:line="480" w:lineRule="auto"/>
            </w:pPr>
            <w:r w:rsidRPr="008C0EB7">
              <w:t xml:space="preserve">Me. Rev. Stat. Ann. tit. 7 §1501 (2017), </w:t>
            </w:r>
          </w:p>
          <w:p w14:paraId="4B56E4CD" w14:textId="77777777" w:rsidR="00E2190B" w:rsidRPr="008C0EB7" w:rsidRDefault="0004418A" w:rsidP="00525151">
            <w:pPr>
              <w:pStyle w:val="Normal1"/>
              <w:spacing w:line="480" w:lineRule="auto"/>
            </w:pPr>
            <w:hyperlink r:id="rId28" w:history="1">
              <w:r w:rsidR="00E2190B" w:rsidRPr="008C0EB7">
                <w:rPr>
                  <w:rStyle w:val="Hyperlink"/>
                </w:rPr>
                <w:t>http://www.mainelegislature.org/legis/statutes/7/title7sec1501.html</w:t>
              </w:r>
            </w:hyperlink>
            <w:r w:rsidR="00E2190B" w:rsidRPr="008C0EB7">
              <w:t>.</w:t>
            </w:r>
          </w:p>
          <w:p w14:paraId="5F946EC7" w14:textId="77777777" w:rsidR="00E2190B" w:rsidRPr="008C0EB7" w:rsidRDefault="00E2190B" w:rsidP="00525151">
            <w:pPr>
              <w:pStyle w:val="Normal1"/>
              <w:spacing w:line="480" w:lineRule="auto"/>
            </w:pPr>
            <w:r w:rsidRPr="008C0EB7">
              <w:t>Regulation: 13 188 Me. Code R. 2 (2018),</w:t>
            </w:r>
          </w:p>
          <w:p w14:paraId="5C6AAE1E" w14:textId="77777777" w:rsidR="00E2190B" w:rsidRPr="008C0EB7" w:rsidRDefault="0004418A" w:rsidP="00525151">
            <w:pPr>
              <w:pStyle w:val="Normal1"/>
              <w:spacing w:line="480" w:lineRule="auto"/>
            </w:pPr>
            <w:hyperlink r:id="rId29" w:history="1">
              <w:r w:rsidR="00E2190B" w:rsidRPr="008C0EB7">
                <w:rPr>
                  <w:rStyle w:val="Hyperlink"/>
                </w:rPr>
                <w:t>http://www.maine.gov/dmr/laws-regulations/regulations/documents/Chapter2_031918%20.pdf</w:t>
              </w:r>
            </w:hyperlink>
            <w:r w:rsidR="00E2190B" w:rsidRPr="008C0EB7">
              <w:t xml:space="preserve">. </w:t>
            </w:r>
          </w:p>
        </w:tc>
        <w:tc>
          <w:tcPr>
            <w:tcW w:w="4140" w:type="dxa"/>
          </w:tcPr>
          <w:p w14:paraId="03A6AF56" w14:textId="77777777" w:rsidR="00E2190B" w:rsidRPr="008C0EB7" w:rsidRDefault="00E2190B" w:rsidP="00525151">
            <w:pPr>
              <w:pStyle w:val="Normal1"/>
              <w:spacing w:line="480" w:lineRule="auto"/>
            </w:pPr>
            <w:r w:rsidRPr="008C0EB7">
              <w:t xml:space="preserve">Coastal aquaculture through 20 year leases from Maine Department of Marine Resources with annual rent and record-keeping requirements. </w:t>
            </w:r>
          </w:p>
          <w:p w14:paraId="2CA12214" w14:textId="77777777" w:rsidR="00E2190B" w:rsidRPr="008C0EB7" w:rsidRDefault="00E2190B" w:rsidP="00525151">
            <w:pPr>
              <w:pStyle w:val="Normal1"/>
              <w:spacing w:line="480" w:lineRule="auto"/>
            </w:pPr>
          </w:p>
          <w:p w14:paraId="3CA516B5" w14:textId="77777777" w:rsidR="00E2190B" w:rsidRPr="008C0EB7" w:rsidRDefault="00E2190B" w:rsidP="00525151">
            <w:pPr>
              <w:pStyle w:val="Normal1"/>
              <w:spacing w:line="480" w:lineRule="auto"/>
            </w:pPr>
            <w:r w:rsidRPr="008C0EB7">
              <w:t>Land-based aquaculture is licensed through Department of Agriculture, Conservation &amp; Forestry</w:t>
            </w:r>
          </w:p>
        </w:tc>
      </w:tr>
      <w:tr w:rsidR="00E2190B" w:rsidRPr="008C0EB7" w14:paraId="2AC97B58" w14:textId="77777777" w:rsidTr="00525151">
        <w:tc>
          <w:tcPr>
            <w:tcW w:w="1435" w:type="dxa"/>
          </w:tcPr>
          <w:p w14:paraId="502AD783" w14:textId="77777777" w:rsidR="00E2190B" w:rsidRPr="008C0EB7" w:rsidRDefault="00E2190B" w:rsidP="00525151">
            <w:pPr>
              <w:pStyle w:val="Normal1"/>
              <w:spacing w:line="480" w:lineRule="auto"/>
            </w:pPr>
            <w:r w:rsidRPr="008C0EB7">
              <w:t>Maryland</w:t>
            </w:r>
          </w:p>
        </w:tc>
        <w:tc>
          <w:tcPr>
            <w:tcW w:w="4415" w:type="dxa"/>
          </w:tcPr>
          <w:p w14:paraId="169A9648" w14:textId="77777777" w:rsidR="00E2190B" w:rsidRPr="008C0EB7" w:rsidRDefault="00E2190B" w:rsidP="00525151">
            <w:pPr>
              <w:pStyle w:val="Normal1"/>
              <w:spacing w:line="480" w:lineRule="auto"/>
            </w:pPr>
            <w:r w:rsidRPr="008C0EB7">
              <w:t xml:space="preserve">Regulation: Md. Code Regs. 08.02.14 (2016), </w:t>
            </w:r>
            <w:hyperlink r:id="rId30">
              <w:r w:rsidRPr="008C0EB7">
                <w:rPr>
                  <w:rStyle w:val="Hyperlink"/>
                </w:rPr>
                <w:t>http://mdrules.elaws.us/comar/08.02.14</w:t>
              </w:r>
            </w:hyperlink>
            <w:r w:rsidRPr="008C0EB7">
              <w:t>.</w:t>
            </w:r>
          </w:p>
          <w:p w14:paraId="43840BE4" w14:textId="77777777" w:rsidR="00E2190B" w:rsidRPr="008C0EB7" w:rsidRDefault="00E2190B" w:rsidP="00525151">
            <w:pPr>
              <w:pStyle w:val="Normal1"/>
              <w:spacing w:line="480" w:lineRule="auto"/>
            </w:pPr>
          </w:p>
        </w:tc>
        <w:tc>
          <w:tcPr>
            <w:tcW w:w="4140" w:type="dxa"/>
          </w:tcPr>
          <w:p w14:paraId="3BC90B76" w14:textId="77777777" w:rsidR="00E2190B" w:rsidRPr="008C0EB7" w:rsidRDefault="00E2190B" w:rsidP="00525151">
            <w:pPr>
              <w:pStyle w:val="Normal1"/>
              <w:spacing w:line="480" w:lineRule="auto"/>
            </w:pPr>
            <w:r w:rsidRPr="008C0EB7">
              <w:t>Must be permitted before operating a facility through Maryland Department of Natural Resources</w:t>
            </w:r>
          </w:p>
        </w:tc>
      </w:tr>
      <w:tr w:rsidR="00E2190B" w:rsidRPr="008C0EB7" w14:paraId="6EB3E953" w14:textId="77777777" w:rsidTr="00525151">
        <w:tc>
          <w:tcPr>
            <w:tcW w:w="1435" w:type="dxa"/>
          </w:tcPr>
          <w:p w14:paraId="0E8DB1C5" w14:textId="77777777" w:rsidR="00E2190B" w:rsidRPr="008C0EB7" w:rsidRDefault="00E2190B" w:rsidP="00525151">
            <w:pPr>
              <w:pStyle w:val="Normal1"/>
              <w:spacing w:line="480" w:lineRule="auto"/>
            </w:pPr>
            <w:r w:rsidRPr="008C0EB7">
              <w:t>Massachusetts</w:t>
            </w:r>
          </w:p>
        </w:tc>
        <w:tc>
          <w:tcPr>
            <w:tcW w:w="4415" w:type="dxa"/>
          </w:tcPr>
          <w:p w14:paraId="6CE97B06" w14:textId="77777777" w:rsidR="00E2190B" w:rsidRPr="008C0EB7" w:rsidRDefault="00E2190B" w:rsidP="00525151">
            <w:pPr>
              <w:pStyle w:val="Normal1"/>
              <w:spacing w:line="480" w:lineRule="auto"/>
            </w:pPr>
            <w:r w:rsidRPr="008C0EB7">
              <w:t xml:space="preserve">Statute: Mass. Gen. Laws ch. 130, § 80, </w:t>
            </w:r>
            <w:hyperlink r:id="rId31">
              <w:r w:rsidRPr="008C0EB7">
                <w:rPr>
                  <w:rStyle w:val="Hyperlink"/>
                </w:rPr>
                <w:t>https://malegislature.gov/Laws/GeneralLaws/PartI/TitleXIX/Chapter130/Section80</w:t>
              </w:r>
            </w:hyperlink>
            <w:r w:rsidRPr="008C0EB7">
              <w:t xml:space="preserve">. </w:t>
            </w:r>
          </w:p>
          <w:p w14:paraId="542198AE" w14:textId="77777777" w:rsidR="00E2190B" w:rsidRPr="008C0EB7" w:rsidRDefault="00E2190B" w:rsidP="00525151">
            <w:pPr>
              <w:pStyle w:val="Normal1"/>
              <w:spacing w:line="480" w:lineRule="auto"/>
            </w:pPr>
            <w:r w:rsidRPr="008C0EB7">
              <w:t xml:space="preserve">Regulation: 322 Mass. Code Regs. 7.01-02 (2017), </w:t>
            </w:r>
            <w:hyperlink r:id="rId32">
              <w:r w:rsidRPr="008C0EB7">
                <w:rPr>
                  <w:rStyle w:val="Hyperlink"/>
                </w:rPr>
                <w:t>https://www.mass.gov/files/documents/2018/03/20/322%20CMR%207.00.pdf</w:t>
              </w:r>
            </w:hyperlink>
            <w:r w:rsidRPr="008C0EB7">
              <w:t>.</w:t>
            </w:r>
          </w:p>
          <w:p w14:paraId="27EB1CA9" w14:textId="77777777" w:rsidR="00E2190B" w:rsidRPr="008C0EB7" w:rsidRDefault="00E2190B" w:rsidP="00525151">
            <w:pPr>
              <w:pStyle w:val="Normal1"/>
              <w:spacing w:line="480" w:lineRule="auto"/>
            </w:pPr>
            <w:r w:rsidRPr="008C0EB7">
              <w:t xml:space="preserve">Guidance: Dept. of Food &amp; Agriculture, </w:t>
            </w:r>
            <w:r w:rsidRPr="008C0EB7">
              <w:rPr>
                <w:i/>
              </w:rPr>
              <w:t>Mass. Aquaculture Permits Guidance Doc.</w:t>
            </w:r>
            <w:r w:rsidRPr="008C0EB7">
              <w:t xml:space="preserve"> (April 1, 1998), </w:t>
            </w:r>
            <w:hyperlink r:id="rId33">
              <w:r w:rsidRPr="008C0EB7">
                <w:rPr>
                  <w:rStyle w:val="Hyperlink"/>
                </w:rPr>
                <w:t>https://www.mass.gov/files/documents/2016/08/rp/aquaculture-permit-guidance-document.pdf</w:t>
              </w:r>
            </w:hyperlink>
            <w:r w:rsidRPr="008C0EB7">
              <w:t xml:space="preserve">. </w:t>
            </w:r>
          </w:p>
        </w:tc>
        <w:tc>
          <w:tcPr>
            <w:tcW w:w="4140" w:type="dxa"/>
          </w:tcPr>
          <w:p w14:paraId="01B743E2" w14:textId="77777777" w:rsidR="00E2190B" w:rsidRPr="008C0EB7" w:rsidRDefault="00E2190B" w:rsidP="00525151">
            <w:pPr>
              <w:pStyle w:val="Normal1"/>
              <w:spacing w:line="480" w:lineRule="auto"/>
            </w:pPr>
            <w:r w:rsidRPr="008C0EB7">
              <w:t>Facilities must be permitted and the permit has a record keeping component and requires a State Inspection prior to permitting . Both the Department of Environmental Protection and the Division of Fisheries and Wildlife are involved in permitting.</w:t>
            </w:r>
          </w:p>
        </w:tc>
      </w:tr>
      <w:tr w:rsidR="00E2190B" w:rsidRPr="008C0EB7" w14:paraId="0F488B8B" w14:textId="77777777" w:rsidTr="00525151">
        <w:tc>
          <w:tcPr>
            <w:tcW w:w="1435" w:type="dxa"/>
          </w:tcPr>
          <w:p w14:paraId="070B0626" w14:textId="77777777" w:rsidR="00E2190B" w:rsidRPr="008C0EB7" w:rsidRDefault="00E2190B" w:rsidP="00525151">
            <w:pPr>
              <w:pStyle w:val="Normal1"/>
              <w:spacing w:line="480" w:lineRule="auto"/>
            </w:pPr>
            <w:r w:rsidRPr="008C0EB7">
              <w:t>Michigan</w:t>
            </w:r>
          </w:p>
        </w:tc>
        <w:tc>
          <w:tcPr>
            <w:tcW w:w="4415" w:type="dxa"/>
          </w:tcPr>
          <w:p w14:paraId="4CF7A710" w14:textId="77777777" w:rsidR="00E2190B" w:rsidRPr="008C0EB7" w:rsidRDefault="00E2190B" w:rsidP="00525151">
            <w:pPr>
              <w:pStyle w:val="Normal1"/>
              <w:spacing w:line="480" w:lineRule="auto"/>
            </w:pPr>
            <w:r w:rsidRPr="008C0EB7">
              <w:t xml:space="preserve">Statute: Mich. Comp. Laws § 286.871-884 (1996), </w:t>
            </w:r>
            <w:hyperlink r:id="rId34">
              <w:r w:rsidRPr="008C0EB7">
                <w:rPr>
                  <w:rStyle w:val="Hyperlink"/>
                </w:rPr>
                <w:t>http://www.legislature.mi.gov/(S(vfrgtb55ih0jydqw2wuzj545))/documents/mcl/pdf/mcl-act-199-of-1996.pdf</w:t>
              </w:r>
            </w:hyperlink>
            <w:r w:rsidRPr="008C0EB7">
              <w:t>.</w:t>
            </w:r>
          </w:p>
        </w:tc>
        <w:tc>
          <w:tcPr>
            <w:tcW w:w="4140" w:type="dxa"/>
          </w:tcPr>
          <w:p w14:paraId="53D0E0AF" w14:textId="77777777" w:rsidR="00E2190B" w:rsidRPr="008C0EB7" w:rsidRDefault="00E2190B" w:rsidP="00525151">
            <w:pPr>
              <w:pStyle w:val="Normal1"/>
              <w:spacing w:line="480" w:lineRule="auto"/>
            </w:pPr>
            <w:r w:rsidRPr="008C0EB7">
              <w:t>Aquaculture facilities must be registered annually with Michigan Department of Agriculture and Rural Development and are limited to approve species.  Operations may be inspected by State Officials at any time.</w:t>
            </w:r>
          </w:p>
        </w:tc>
      </w:tr>
      <w:tr w:rsidR="00E2190B" w:rsidRPr="008C0EB7" w14:paraId="1323380E" w14:textId="77777777" w:rsidTr="00525151">
        <w:tc>
          <w:tcPr>
            <w:tcW w:w="1435" w:type="dxa"/>
          </w:tcPr>
          <w:p w14:paraId="6D1E1189" w14:textId="77777777" w:rsidR="00E2190B" w:rsidRPr="008C0EB7" w:rsidRDefault="00E2190B" w:rsidP="00525151">
            <w:pPr>
              <w:pStyle w:val="Normal1"/>
              <w:spacing w:line="480" w:lineRule="auto"/>
            </w:pPr>
            <w:r w:rsidRPr="008C0EB7">
              <w:t>Mississippi</w:t>
            </w:r>
          </w:p>
        </w:tc>
        <w:tc>
          <w:tcPr>
            <w:tcW w:w="4415" w:type="dxa"/>
          </w:tcPr>
          <w:p w14:paraId="35939DE5" w14:textId="77777777" w:rsidR="00E2190B" w:rsidRPr="008C0EB7" w:rsidRDefault="00E2190B" w:rsidP="00525151">
            <w:pPr>
              <w:pStyle w:val="Normal1"/>
              <w:spacing w:line="480" w:lineRule="auto"/>
            </w:pPr>
            <w:r w:rsidRPr="008C0EB7">
              <w:t xml:space="preserve">Statute: Miss. Code Ann. §79-22-13 (2013), </w:t>
            </w:r>
          </w:p>
          <w:p w14:paraId="7B1D2E08" w14:textId="77777777" w:rsidR="00E2190B" w:rsidRPr="008C0EB7" w:rsidRDefault="0004418A" w:rsidP="00525151">
            <w:pPr>
              <w:pStyle w:val="Normal1"/>
              <w:spacing w:line="480" w:lineRule="auto"/>
            </w:pPr>
            <w:hyperlink r:id="rId35" w:history="1">
              <w:r w:rsidR="00E2190B" w:rsidRPr="008C0EB7">
                <w:rPr>
                  <w:rStyle w:val="Hyperlink"/>
                </w:rPr>
                <w:t>https://law.justia.com/codes/mississippi/2013/title-79/chapter-22/section-79-22-9/</w:t>
              </w:r>
            </w:hyperlink>
            <w:r w:rsidR="00E2190B" w:rsidRPr="008C0EB7">
              <w:t xml:space="preserve">. </w:t>
            </w:r>
          </w:p>
        </w:tc>
        <w:tc>
          <w:tcPr>
            <w:tcW w:w="4140" w:type="dxa"/>
          </w:tcPr>
          <w:p w14:paraId="297BF2ED" w14:textId="77777777" w:rsidR="00E2190B" w:rsidRPr="008C0EB7" w:rsidRDefault="00E2190B" w:rsidP="00525151">
            <w:pPr>
              <w:pStyle w:val="Normal1"/>
              <w:spacing w:line="480" w:lineRule="auto"/>
            </w:pPr>
            <w:r w:rsidRPr="008C0EB7">
              <w:t>Some types of aquaculture require a permit from MS Department of Agriculture and Commerce. A requirement of the permit is record-keeping</w:t>
            </w:r>
          </w:p>
        </w:tc>
      </w:tr>
      <w:tr w:rsidR="00E2190B" w:rsidRPr="008C0EB7" w14:paraId="6AE13F68" w14:textId="77777777" w:rsidTr="00525151">
        <w:tc>
          <w:tcPr>
            <w:tcW w:w="1435" w:type="dxa"/>
          </w:tcPr>
          <w:p w14:paraId="492A2F47" w14:textId="77777777" w:rsidR="00E2190B" w:rsidRPr="008C0EB7" w:rsidRDefault="00E2190B" w:rsidP="00525151">
            <w:pPr>
              <w:pStyle w:val="Normal1"/>
              <w:spacing w:line="480" w:lineRule="auto"/>
            </w:pPr>
            <w:r w:rsidRPr="008C0EB7">
              <w:t>Nevada</w:t>
            </w:r>
          </w:p>
        </w:tc>
        <w:tc>
          <w:tcPr>
            <w:tcW w:w="4415" w:type="dxa"/>
          </w:tcPr>
          <w:p w14:paraId="7264877D" w14:textId="77777777" w:rsidR="00E2190B" w:rsidRPr="008C0EB7" w:rsidRDefault="00E2190B" w:rsidP="00525151">
            <w:pPr>
              <w:pStyle w:val="Normal1"/>
              <w:spacing w:line="480" w:lineRule="auto"/>
            </w:pPr>
            <w:r w:rsidRPr="008C0EB7">
              <w:t xml:space="preserve">Statutes: Nev. Rev. Stat. § 561.301, </w:t>
            </w:r>
            <w:hyperlink r:id="rId36" w:anchor="NRS561Sec301">
              <w:r w:rsidRPr="008C0EB7">
                <w:rPr>
                  <w:rStyle w:val="Hyperlink"/>
                </w:rPr>
                <w:t>https://www.leg.state.nv.us/NRS/NRS-561.html#NRS561Sec301</w:t>
              </w:r>
            </w:hyperlink>
            <w:r w:rsidRPr="008C0EB7">
              <w:t xml:space="preserve">;  Nev. Rev. Stat. § 576.128, </w:t>
            </w:r>
            <w:hyperlink r:id="rId37" w:anchor="NRS576Sec128">
              <w:r w:rsidRPr="008C0EB7">
                <w:rPr>
                  <w:rStyle w:val="Hyperlink"/>
                </w:rPr>
                <w:t>https://www.leg.state.nv.us/NRS/NRS-576.html#NRS576Sec128</w:t>
              </w:r>
            </w:hyperlink>
            <w:r w:rsidRPr="008C0EB7">
              <w:t xml:space="preserve">. </w:t>
            </w:r>
          </w:p>
        </w:tc>
        <w:tc>
          <w:tcPr>
            <w:tcW w:w="4140" w:type="dxa"/>
          </w:tcPr>
          <w:p w14:paraId="15AEB84E" w14:textId="77777777" w:rsidR="00E2190B" w:rsidRPr="008C0EB7" w:rsidRDefault="00E2190B" w:rsidP="00525151">
            <w:pPr>
              <w:pStyle w:val="Normal1"/>
              <w:spacing w:line="480" w:lineRule="auto"/>
            </w:pPr>
            <w:r w:rsidRPr="008C0EB7">
              <w:t>Aquaculture registration (same as farm registration) is annual with Nevada Department of Agriculture</w:t>
            </w:r>
          </w:p>
        </w:tc>
      </w:tr>
      <w:tr w:rsidR="00E2190B" w:rsidRPr="008C0EB7" w14:paraId="48F2407B" w14:textId="77777777" w:rsidTr="00525151">
        <w:tc>
          <w:tcPr>
            <w:tcW w:w="1435" w:type="dxa"/>
          </w:tcPr>
          <w:p w14:paraId="5E4A6606" w14:textId="77777777" w:rsidR="00E2190B" w:rsidRPr="008C0EB7" w:rsidRDefault="00E2190B" w:rsidP="00525151">
            <w:pPr>
              <w:pStyle w:val="Normal1"/>
              <w:spacing w:line="480" w:lineRule="auto"/>
            </w:pPr>
            <w:r w:rsidRPr="008C0EB7">
              <w:t>New Hampshire</w:t>
            </w:r>
          </w:p>
        </w:tc>
        <w:tc>
          <w:tcPr>
            <w:tcW w:w="4415" w:type="dxa"/>
          </w:tcPr>
          <w:p w14:paraId="6738EE16" w14:textId="77777777" w:rsidR="00E2190B" w:rsidRPr="008C0EB7" w:rsidRDefault="00E2190B" w:rsidP="00525151">
            <w:pPr>
              <w:pStyle w:val="Normal1"/>
              <w:spacing w:line="480" w:lineRule="auto"/>
            </w:pPr>
            <w:r w:rsidRPr="008C0EB7">
              <w:t xml:space="preserve">Statute: N.H. Rev. Stat. Ann.  § 211: 62-e (2016), </w:t>
            </w:r>
          </w:p>
          <w:p w14:paraId="0E12B024" w14:textId="77777777" w:rsidR="00E2190B" w:rsidRPr="008C0EB7" w:rsidRDefault="0004418A" w:rsidP="00525151">
            <w:pPr>
              <w:pStyle w:val="Normal1"/>
              <w:spacing w:line="480" w:lineRule="auto"/>
            </w:pPr>
            <w:hyperlink r:id="rId38" w:history="1">
              <w:r w:rsidR="00E2190B" w:rsidRPr="008C0EB7">
                <w:rPr>
                  <w:rStyle w:val="Hyperlink"/>
                </w:rPr>
                <w:t>https://law.justia.com/codes/new-hampshire/2016/title-xviii/chapter-211/section-211-62-e</w:t>
              </w:r>
            </w:hyperlink>
            <w:r w:rsidR="00E2190B" w:rsidRPr="008C0EB7">
              <w:t>.</w:t>
            </w:r>
          </w:p>
        </w:tc>
        <w:tc>
          <w:tcPr>
            <w:tcW w:w="4140" w:type="dxa"/>
          </w:tcPr>
          <w:p w14:paraId="7DFC0900" w14:textId="77777777" w:rsidR="00E2190B" w:rsidRPr="008C0EB7" w:rsidRDefault="00E2190B" w:rsidP="00525151">
            <w:pPr>
              <w:pStyle w:val="Normal1"/>
              <w:spacing w:line="480" w:lineRule="auto"/>
            </w:pPr>
            <w:r w:rsidRPr="008C0EB7">
              <w:t>Aquaculture must be permitted through the New Hampshire Department of Fish and Game</w:t>
            </w:r>
          </w:p>
        </w:tc>
      </w:tr>
      <w:tr w:rsidR="00E2190B" w:rsidRPr="008C0EB7" w14:paraId="26E1B9FB" w14:textId="77777777" w:rsidTr="00525151">
        <w:tc>
          <w:tcPr>
            <w:tcW w:w="1435" w:type="dxa"/>
          </w:tcPr>
          <w:p w14:paraId="10A095B7" w14:textId="77777777" w:rsidR="00E2190B" w:rsidRPr="008C0EB7" w:rsidRDefault="00E2190B" w:rsidP="00525151">
            <w:pPr>
              <w:pStyle w:val="Normal1"/>
              <w:spacing w:line="480" w:lineRule="auto"/>
            </w:pPr>
            <w:r w:rsidRPr="008C0EB7">
              <w:t>New Jersey</w:t>
            </w:r>
          </w:p>
        </w:tc>
        <w:tc>
          <w:tcPr>
            <w:tcW w:w="4415" w:type="dxa"/>
          </w:tcPr>
          <w:p w14:paraId="7B9C3796" w14:textId="77777777" w:rsidR="00E2190B" w:rsidRPr="008C0EB7" w:rsidRDefault="00E2190B" w:rsidP="00525151">
            <w:pPr>
              <w:pStyle w:val="Normal1"/>
              <w:spacing w:line="480" w:lineRule="auto"/>
            </w:pPr>
            <w:r w:rsidRPr="008C0EB7">
              <w:t xml:space="preserve">Statute: N.J. Rev. Stat.  § 4:27 (1997), </w:t>
            </w:r>
            <w:hyperlink r:id="rId39" w:history="1">
              <w:r w:rsidRPr="008C0EB7">
                <w:rPr>
                  <w:rStyle w:val="Hyperlink"/>
                </w:rPr>
                <w:t>https://law.justia.com/codes/new-jersey/2013/title-4/</w:t>
              </w:r>
            </w:hyperlink>
            <w:r w:rsidRPr="008C0EB7">
              <w:t>.</w:t>
            </w:r>
          </w:p>
        </w:tc>
        <w:tc>
          <w:tcPr>
            <w:tcW w:w="4140" w:type="dxa"/>
          </w:tcPr>
          <w:p w14:paraId="330D78D8" w14:textId="77777777" w:rsidR="00E2190B" w:rsidRPr="008C0EB7" w:rsidRDefault="00E2190B" w:rsidP="00525151">
            <w:pPr>
              <w:pStyle w:val="Normal1"/>
              <w:spacing w:line="480" w:lineRule="auto"/>
            </w:pPr>
            <w:r w:rsidRPr="008C0EB7">
              <w:t xml:space="preserve">Aquaculture permit is required along with a license for operations through both Department of Environmental Protection and Department of Agriculture. </w:t>
            </w:r>
          </w:p>
        </w:tc>
      </w:tr>
      <w:tr w:rsidR="00E2190B" w:rsidRPr="008C0EB7" w14:paraId="0F0BF006" w14:textId="77777777" w:rsidTr="00525151">
        <w:tc>
          <w:tcPr>
            <w:tcW w:w="1435" w:type="dxa"/>
          </w:tcPr>
          <w:p w14:paraId="3CA89EE9" w14:textId="77777777" w:rsidR="00E2190B" w:rsidRPr="008C0EB7" w:rsidRDefault="00E2190B" w:rsidP="00525151">
            <w:pPr>
              <w:pStyle w:val="Normal1"/>
              <w:spacing w:line="480" w:lineRule="auto"/>
            </w:pPr>
            <w:r w:rsidRPr="008C0EB7">
              <w:t>New York</w:t>
            </w:r>
          </w:p>
        </w:tc>
        <w:tc>
          <w:tcPr>
            <w:tcW w:w="4415" w:type="dxa"/>
          </w:tcPr>
          <w:p w14:paraId="2BE52A7C" w14:textId="77777777" w:rsidR="00E2190B" w:rsidRPr="008C0EB7" w:rsidRDefault="00E2190B" w:rsidP="00525151">
            <w:pPr>
              <w:pStyle w:val="Normal1"/>
              <w:spacing w:line="480" w:lineRule="auto"/>
            </w:pPr>
            <w:r w:rsidRPr="008C0EB7">
              <w:t xml:space="preserve">Regulation: N.Y. Comp. Codes R. &amp; Regs. tit. 6, § 48 (2018), </w:t>
            </w:r>
            <w:hyperlink r:id="rId40" w:history="1">
              <w:r w:rsidRPr="008C0EB7">
                <w:rPr>
                  <w:rStyle w:val="Hyperlink"/>
                </w:rPr>
                <w:t>https://govt.westlaw.com/nycrr/Browse/Home/NewYork/NewYorkCodesRulesandRegulations?guid=Ia57ed350b5a011dda0a4e17826ebc834&amp;originationContext=documenttoc&amp;transitionType=Default&amp;contextData=(sc.Default)</w:t>
              </w:r>
            </w:hyperlink>
            <w:r w:rsidRPr="008C0EB7">
              <w:t>.</w:t>
            </w:r>
          </w:p>
          <w:p w14:paraId="119BA8B9" w14:textId="77777777" w:rsidR="00E2190B" w:rsidRPr="008C0EB7" w:rsidRDefault="00E2190B" w:rsidP="00525151">
            <w:pPr>
              <w:pStyle w:val="Normal1"/>
              <w:spacing w:line="480" w:lineRule="auto"/>
            </w:pPr>
          </w:p>
        </w:tc>
        <w:tc>
          <w:tcPr>
            <w:tcW w:w="4140" w:type="dxa"/>
          </w:tcPr>
          <w:p w14:paraId="1BA4743C" w14:textId="77777777" w:rsidR="00E2190B" w:rsidRPr="008C0EB7" w:rsidRDefault="00E2190B" w:rsidP="00525151">
            <w:pPr>
              <w:pStyle w:val="Normal1"/>
              <w:spacing w:line="480" w:lineRule="auto"/>
            </w:pPr>
            <w:r w:rsidRPr="008C0EB7">
              <w:t>New York Department of Environmental Conservation issues annual permits that require record-keeping.</w:t>
            </w:r>
          </w:p>
        </w:tc>
      </w:tr>
      <w:tr w:rsidR="00E2190B" w:rsidRPr="008C0EB7" w14:paraId="42956BB2" w14:textId="77777777" w:rsidTr="00525151">
        <w:tc>
          <w:tcPr>
            <w:tcW w:w="1435" w:type="dxa"/>
          </w:tcPr>
          <w:p w14:paraId="5803E1EE" w14:textId="77777777" w:rsidR="00E2190B" w:rsidRPr="008C0EB7" w:rsidRDefault="00E2190B" w:rsidP="00525151">
            <w:pPr>
              <w:pStyle w:val="Normal1"/>
              <w:spacing w:line="480" w:lineRule="auto"/>
            </w:pPr>
            <w:r w:rsidRPr="008C0EB7">
              <w:t>North Carolina</w:t>
            </w:r>
          </w:p>
        </w:tc>
        <w:tc>
          <w:tcPr>
            <w:tcW w:w="4415" w:type="dxa"/>
          </w:tcPr>
          <w:p w14:paraId="27FF59CE" w14:textId="77777777" w:rsidR="00E2190B" w:rsidRPr="008C0EB7" w:rsidRDefault="00E2190B" w:rsidP="00525151">
            <w:pPr>
              <w:pStyle w:val="Normal1"/>
              <w:spacing w:line="480" w:lineRule="auto"/>
            </w:pPr>
            <w:r w:rsidRPr="008C0EB7">
              <w:t xml:space="preserve">Statutes: N.C. Gen. Stat. § </w:t>
            </w:r>
          </w:p>
          <w:p w14:paraId="0A24EE5C" w14:textId="77777777" w:rsidR="00E2190B" w:rsidRPr="008C0EB7" w:rsidRDefault="00E2190B" w:rsidP="00525151">
            <w:pPr>
              <w:pStyle w:val="Normal1"/>
              <w:spacing w:line="480" w:lineRule="auto"/>
            </w:pPr>
            <w:r w:rsidRPr="008C0EB7">
              <w:t xml:space="preserve">63-106,   </w:t>
            </w:r>
            <w:hyperlink r:id="rId41" w:history="1">
              <w:r w:rsidRPr="008C0EB7">
                <w:rPr>
                  <w:rStyle w:val="Hyperlink"/>
                </w:rPr>
                <w:t>https://www.ncga.state.nc.us/EnactedLegislation/Statutes/HTML/ByArticle/Chapter_106/Article_63.html</w:t>
              </w:r>
            </w:hyperlink>
            <w:r w:rsidRPr="008C0EB7">
              <w:t>;</w:t>
            </w:r>
          </w:p>
          <w:p w14:paraId="45D8ED94" w14:textId="77777777" w:rsidR="00E2190B" w:rsidRPr="008C0EB7" w:rsidRDefault="00E2190B" w:rsidP="00525151">
            <w:pPr>
              <w:pStyle w:val="Normal1"/>
              <w:spacing w:line="480" w:lineRule="auto"/>
            </w:pPr>
            <w:r w:rsidRPr="008C0EB7">
              <w:t xml:space="preserve">N.C. Gen. Stat. § 16A-113 (2017), </w:t>
            </w:r>
            <w:hyperlink r:id="rId42" w:history="1">
              <w:r w:rsidRPr="008C0EB7">
                <w:rPr>
                  <w:rStyle w:val="Hyperlink"/>
                </w:rPr>
                <w:t>https://www.ncleg.net/EnactedLegislation/Statutes/PDF/ByArticle/Chapter_113/Article_16A.pdf</w:t>
              </w:r>
            </w:hyperlink>
            <w:r w:rsidRPr="008C0EB7">
              <w:t>.</w:t>
            </w:r>
          </w:p>
          <w:p w14:paraId="2E1F1C69" w14:textId="77777777" w:rsidR="00E2190B" w:rsidRPr="008C0EB7" w:rsidRDefault="00E2190B" w:rsidP="00525151">
            <w:pPr>
              <w:pStyle w:val="Normal1"/>
              <w:spacing w:line="480" w:lineRule="auto"/>
            </w:pPr>
          </w:p>
        </w:tc>
        <w:tc>
          <w:tcPr>
            <w:tcW w:w="4140" w:type="dxa"/>
          </w:tcPr>
          <w:p w14:paraId="7A91B338" w14:textId="77777777" w:rsidR="00E2190B" w:rsidRPr="008C0EB7" w:rsidRDefault="00E2190B" w:rsidP="00525151">
            <w:pPr>
              <w:pStyle w:val="Normal1"/>
              <w:spacing w:line="480" w:lineRule="auto"/>
            </w:pPr>
            <w:r w:rsidRPr="008C0EB7">
              <w:t>North Carolina Department of Agriculture and Consumer Services administers permits for allowable freshwater species.  North Carolina Division of Marine Fisheries authorizes marine aquaculture leases with annual fees.</w:t>
            </w:r>
          </w:p>
        </w:tc>
      </w:tr>
      <w:tr w:rsidR="00E2190B" w:rsidRPr="008C0EB7" w14:paraId="7940B2CB" w14:textId="77777777" w:rsidTr="00525151">
        <w:tc>
          <w:tcPr>
            <w:tcW w:w="1435" w:type="dxa"/>
          </w:tcPr>
          <w:p w14:paraId="79516B58" w14:textId="77777777" w:rsidR="00E2190B" w:rsidRPr="008C0EB7" w:rsidRDefault="00E2190B" w:rsidP="00525151">
            <w:pPr>
              <w:pStyle w:val="Normal1"/>
              <w:spacing w:line="480" w:lineRule="auto"/>
            </w:pPr>
            <w:r w:rsidRPr="008C0EB7">
              <w:t>Ohio</w:t>
            </w:r>
          </w:p>
        </w:tc>
        <w:tc>
          <w:tcPr>
            <w:tcW w:w="4415" w:type="dxa"/>
          </w:tcPr>
          <w:p w14:paraId="43900D73" w14:textId="77777777" w:rsidR="00E2190B" w:rsidRPr="008C0EB7" w:rsidRDefault="00E2190B" w:rsidP="00525151">
            <w:pPr>
              <w:pStyle w:val="Normal1"/>
              <w:spacing w:line="480" w:lineRule="auto"/>
            </w:pPr>
            <w:r w:rsidRPr="008C0EB7">
              <w:t xml:space="preserve">Regulation: Ohio Adm. Code 1501:31-39-01, </w:t>
            </w:r>
          </w:p>
          <w:p w14:paraId="0860BFA2" w14:textId="77777777" w:rsidR="00E2190B" w:rsidRPr="008C0EB7" w:rsidRDefault="0004418A" w:rsidP="00525151">
            <w:pPr>
              <w:pStyle w:val="Normal1"/>
              <w:spacing w:line="480" w:lineRule="auto"/>
            </w:pPr>
            <w:hyperlink r:id="rId43">
              <w:r w:rsidR="00E2190B" w:rsidRPr="008C0EB7">
                <w:rPr>
                  <w:rStyle w:val="Hyperlink"/>
                </w:rPr>
                <w:t>http://codes.ohio.gov/oac/1501:31-39-01</w:t>
              </w:r>
            </w:hyperlink>
            <w:r w:rsidR="00E2190B" w:rsidRPr="008C0EB7">
              <w:t xml:space="preserve">. </w:t>
            </w:r>
          </w:p>
        </w:tc>
        <w:tc>
          <w:tcPr>
            <w:tcW w:w="4140" w:type="dxa"/>
          </w:tcPr>
          <w:p w14:paraId="02A46EF1" w14:textId="77777777" w:rsidR="00E2190B" w:rsidRPr="008C0EB7" w:rsidRDefault="00E2190B" w:rsidP="00525151">
            <w:pPr>
              <w:pStyle w:val="Normal1"/>
              <w:spacing w:line="480" w:lineRule="auto"/>
            </w:pPr>
            <w:r w:rsidRPr="008C0EB7">
              <w:t>Annual Permit from Ohio Division of Wildlife is required along with a recordkeeping requirement.</w:t>
            </w:r>
          </w:p>
        </w:tc>
      </w:tr>
      <w:tr w:rsidR="00E2190B" w:rsidRPr="008C0EB7" w14:paraId="491F9BE0" w14:textId="77777777" w:rsidTr="00525151">
        <w:tc>
          <w:tcPr>
            <w:tcW w:w="1435" w:type="dxa"/>
          </w:tcPr>
          <w:p w14:paraId="42180C23" w14:textId="77777777" w:rsidR="00E2190B" w:rsidRPr="008C0EB7" w:rsidRDefault="00E2190B" w:rsidP="00525151">
            <w:pPr>
              <w:pStyle w:val="Normal1"/>
              <w:spacing w:line="480" w:lineRule="auto"/>
            </w:pPr>
            <w:r w:rsidRPr="008C0EB7">
              <w:t>Oregon</w:t>
            </w:r>
          </w:p>
        </w:tc>
        <w:tc>
          <w:tcPr>
            <w:tcW w:w="4415" w:type="dxa"/>
          </w:tcPr>
          <w:p w14:paraId="2F9664F8" w14:textId="77777777" w:rsidR="00E2190B" w:rsidRPr="008C0EB7" w:rsidRDefault="00E2190B" w:rsidP="00525151">
            <w:pPr>
              <w:pStyle w:val="Normal1"/>
              <w:spacing w:line="480" w:lineRule="auto"/>
            </w:pPr>
            <w:r w:rsidRPr="008C0EB7">
              <w:t xml:space="preserve">Statutes: Or. Rev. Stat. Ann. § 215.213 (2018), </w:t>
            </w:r>
            <w:hyperlink r:id="rId44" w:history="1">
              <w:r w:rsidRPr="008C0EB7">
                <w:rPr>
                  <w:rStyle w:val="Hyperlink"/>
                </w:rPr>
                <w:t>https://www.oregonlaws.org/ors/215.213</w:t>
              </w:r>
            </w:hyperlink>
            <w:r w:rsidRPr="008C0EB7">
              <w:t>;</w:t>
            </w:r>
          </w:p>
          <w:p w14:paraId="37AC5829" w14:textId="77777777" w:rsidR="00E2190B" w:rsidRPr="008C0EB7" w:rsidRDefault="00E2190B" w:rsidP="00525151">
            <w:pPr>
              <w:pStyle w:val="Normal1"/>
              <w:spacing w:line="480" w:lineRule="auto"/>
            </w:pPr>
            <w:r w:rsidRPr="008C0EB7">
              <w:t>Or. Rev. Stat. Ann. § 622.270</w:t>
            </w:r>
          </w:p>
          <w:p w14:paraId="69BEDD1B" w14:textId="77777777" w:rsidR="00E2190B" w:rsidRPr="008C0EB7" w:rsidRDefault="0004418A" w:rsidP="00525151">
            <w:pPr>
              <w:pStyle w:val="Normal1"/>
              <w:spacing w:line="480" w:lineRule="auto"/>
            </w:pPr>
            <w:hyperlink r:id="rId45" w:history="1">
              <w:r w:rsidR="00E2190B" w:rsidRPr="008C0EB7">
                <w:rPr>
                  <w:rStyle w:val="Hyperlink"/>
                </w:rPr>
                <w:t>https://www.oregonlaws.org/ors/622.270</w:t>
              </w:r>
            </w:hyperlink>
            <w:r w:rsidR="00E2190B" w:rsidRPr="008C0EB7">
              <w:t>.</w:t>
            </w:r>
          </w:p>
        </w:tc>
        <w:tc>
          <w:tcPr>
            <w:tcW w:w="4140" w:type="dxa"/>
          </w:tcPr>
          <w:p w14:paraId="5A354832" w14:textId="77777777" w:rsidR="00E2190B" w:rsidRPr="008C0EB7" w:rsidRDefault="00E2190B" w:rsidP="00525151">
            <w:pPr>
              <w:pStyle w:val="Normal1"/>
              <w:spacing w:line="480" w:lineRule="auto"/>
            </w:pPr>
            <w:r w:rsidRPr="008C0EB7">
              <w:t>Annual permit for shellfish required through Oregon Department of Agriculture with record-keeping and an annual report submission.</w:t>
            </w:r>
          </w:p>
        </w:tc>
      </w:tr>
      <w:tr w:rsidR="00E2190B" w:rsidRPr="008C0EB7" w14:paraId="053209D9" w14:textId="77777777" w:rsidTr="00525151">
        <w:tc>
          <w:tcPr>
            <w:tcW w:w="1435" w:type="dxa"/>
          </w:tcPr>
          <w:p w14:paraId="5CABC7ED" w14:textId="77777777" w:rsidR="00E2190B" w:rsidRPr="008C0EB7" w:rsidRDefault="00E2190B" w:rsidP="00525151">
            <w:pPr>
              <w:pStyle w:val="Normal1"/>
              <w:spacing w:line="480" w:lineRule="auto"/>
            </w:pPr>
            <w:r w:rsidRPr="008C0EB7">
              <w:t>Rhode Island</w:t>
            </w:r>
          </w:p>
        </w:tc>
        <w:tc>
          <w:tcPr>
            <w:tcW w:w="4415" w:type="dxa"/>
          </w:tcPr>
          <w:p w14:paraId="4521A9FC" w14:textId="77777777" w:rsidR="00E2190B" w:rsidRPr="008C0EB7" w:rsidRDefault="00E2190B" w:rsidP="00525151">
            <w:pPr>
              <w:pStyle w:val="Normal1"/>
              <w:spacing w:line="480" w:lineRule="auto"/>
            </w:pPr>
            <w:r w:rsidRPr="008C0EB7">
              <w:t>Statute: 20 R.I. Gen. Laws § 20-10 (2013),</w:t>
            </w:r>
          </w:p>
          <w:p w14:paraId="37830F0D" w14:textId="77777777" w:rsidR="00E2190B" w:rsidRPr="008C0EB7" w:rsidRDefault="0004418A" w:rsidP="00525151">
            <w:pPr>
              <w:pStyle w:val="Normal1"/>
              <w:spacing w:line="480" w:lineRule="auto"/>
            </w:pPr>
            <w:hyperlink r:id="rId46" w:history="1">
              <w:r w:rsidR="00E2190B" w:rsidRPr="008C0EB7">
                <w:rPr>
                  <w:rStyle w:val="Hyperlink"/>
                </w:rPr>
                <w:t>https://law.justia.com/codes/rhode-island/2013/title-20/chapter-20-10</w:t>
              </w:r>
            </w:hyperlink>
          </w:p>
          <w:p w14:paraId="39E52BC8" w14:textId="77777777" w:rsidR="00E2190B" w:rsidRPr="008C0EB7" w:rsidRDefault="00E2190B" w:rsidP="00525151">
            <w:pPr>
              <w:pStyle w:val="Normal1"/>
              <w:spacing w:line="480" w:lineRule="auto"/>
            </w:pPr>
          </w:p>
          <w:p w14:paraId="27CD6B21" w14:textId="77777777" w:rsidR="00E2190B" w:rsidRPr="008C0EB7" w:rsidRDefault="00E2190B" w:rsidP="00525151">
            <w:pPr>
              <w:pStyle w:val="Normal1"/>
              <w:spacing w:line="480" w:lineRule="auto"/>
            </w:pPr>
            <w:r w:rsidRPr="008C0EB7">
              <w:t xml:space="preserve">Regulation: 250 R.I. Code R. § 40-00-1 (2017), </w:t>
            </w:r>
            <w:hyperlink r:id="rId47" w:history="1">
              <w:r w:rsidRPr="008C0EB7">
                <w:rPr>
                  <w:rStyle w:val="Hyperlink"/>
                </w:rPr>
                <w:t>http://sos.ri.gov/documents/archives/regdocs/released/pdf/DEM/9028.pdf</w:t>
              </w:r>
            </w:hyperlink>
            <w:r w:rsidRPr="008C0EB7">
              <w:t>.</w:t>
            </w:r>
          </w:p>
          <w:p w14:paraId="0E9391CE" w14:textId="77777777" w:rsidR="00E2190B" w:rsidRPr="008C0EB7" w:rsidRDefault="00E2190B" w:rsidP="00525151">
            <w:pPr>
              <w:pStyle w:val="Normal1"/>
              <w:spacing w:line="480" w:lineRule="auto"/>
            </w:pPr>
          </w:p>
        </w:tc>
        <w:tc>
          <w:tcPr>
            <w:tcW w:w="4140" w:type="dxa"/>
          </w:tcPr>
          <w:p w14:paraId="4E4D43E2" w14:textId="77777777" w:rsidR="00E2190B" w:rsidRPr="008C0EB7" w:rsidRDefault="00E2190B" w:rsidP="00525151">
            <w:pPr>
              <w:pStyle w:val="Normal1"/>
              <w:spacing w:line="480" w:lineRule="auto"/>
            </w:pPr>
            <w:r w:rsidRPr="008C0EB7">
              <w:t>Permit through the Coastal Resources Management Council is required, and automatically renewed annually. Other permits may also be required.</w:t>
            </w:r>
          </w:p>
        </w:tc>
      </w:tr>
      <w:tr w:rsidR="00E2190B" w:rsidRPr="008C0EB7" w14:paraId="7B9A4A3D" w14:textId="77777777" w:rsidTr="00525151">
        <w:tc>
          <w:tcPr>
            <w:tcW w:w="1435" w:type="dxa"/>
          </w:tcPr>
          <w:p w14:paraId="6BB08E04" w14:textId="77777777" w:rsidR="00E2190B" w:rsidRPr="008C0EB7" w:rsidRDefault="00E2190B" w:rsidP="00525151">
            <w:pPr>
              <w:pStyle w:val="Normal1"/>
              <w:spacing w:line="480" w:lineRule="auto"/>
            </w:pPr>
            <w:r w:rsidRPr="008C0EB7">
              <w:t>South Carolina</w:t>
            </w:r>
          </w:p>
        </w:tc>
        <w:tc>
          <w:tcPr>
            <w:tcW w:w="4415" w:type="dxa"/>
          </w:tcPr>
          <w:p w14:paraId="6F451487" w14:textId="77777777" w:rsidR="00E2190B" w:rsidRPr="008C0EB7" w:rsidRDefault="00E2190B" w:rsidP="00525151">
            <w:pPr>
              <w:pStyle w:val="Normal1"/>
              <w:spacing w:line="480" w:lineRule="auto"/>
            </w:pPr>
            <w:r w:rsidRPr="008C0EB7">
              <w:t xml:space="preserve">Statute: S.C. Code Ann. § 50-18-2 (2003), </w:t>
            </w:r>
          </w:p>
          <w:p w14:paraId="48318098" w14:textId="77777777" w:rsidR="00E2190B" w:rsidRPr="008C0EB7" w:rsidRDefault="0004418A" w:rsidP="00525151">
            <w:pPr>
              <w:pStyle w:val="Normal1"/>
              <w:spacing w:line="480" w:lineRule="auto"/>
            </w:pPr>
            <w:hyperlink r:id="rId48">
              <w:r w:rsidR="00E2190B" w:rsidRPr="008C0EB7">
                <w:rPr>
                  <w:rStyle w:val="Hyperlink"/>
                </w:rPr>
                <w:t>https://www.scstatehouse.gov/code/t50c018.php</w:t>
              </w:r>
            </w:hyperlink>
            <w:r w:rsidR="00E2190B" w:rsidRPr="008C0EB7">
              <w:t>.</w:t>
            </w:r>
          </w:p>
        </w:tc>
        <w:tc>
          <w:tcPr>
            <w:tcW w:w="4140" w:type="dxa"/>
          </w:tcPr>
          <w:p w14:paraId="2E1F234F" w14:textId="77777777" w:rsidR="00E2190B" w:rsidRPr="008C0EB7" w:rsidRDefault="00E2190B" w:rsidP="00525151">
            <w:pPr>
              <w:pStyle w:val="Normal1"/>
              <w:spacing w:line="480" w:lineRule="auto"/>
            </w:pPr>
            <w:r w:rsidRPr="008C0EB7">
              <w:t>Permit required for freshwater game fish aquaculture through South Caroline Department of Natural Resources, with a record keeping requirement. Annual permits also required for shellfish.</w:t>
            </w:r>
          </w:p>
        </w:tc>
      </w:tr>
      <w:tr w:rsidR="00E2190B" w:rsidRPr="008C0EB7" w14:paraId="1DE8D4FA" w14:textId="77777777" w:rsidTr="00525151">
        <w:tc>
          <w:tcPr>
            <w:tcW w:w="1435" w:type="dxa"/>
          </w:tcPr>
          <w:p w14:paraId="691EFD5E" w14:textId="77777777" w:rsidR="00E2190B" w:rsidRPr="008C0EB7" w:rsidRDefault="00E2190B" w:rsidP="00525151">
            <w:pPr>
              <w:pStyle w:val="Normal1"/>
              <w:spacing w:line="480" w:lineRule="auto"/>
            </w:pPr>
            <w:r w:rsidRPr="008C0EB7">
              <w:t>Texas</w:t>
            </w:r>
          </w:p>
        </w:tc>
        <w:tc>
          <w:tcPr>
            <w:tcW w:w="4415" w:type="dxa"/>
          </w:tcPr>
          <w:p w14:paraId="64EAFF0D" w14:textId="77777777" w:rsidR="00E2190B" w:rsidRPr="008C0EB7" w:rsidRDefault="00E2190B" w:rsidP="00525151">
            <w:pPr>
              <w:pStyle w:val="Normal1"/>
              <w:spacing w:line="480" w:lineRule="auto"/>
            </w:pPr>
            <w:r w:rsidRPr="008C0EB7">
              <w:t xml:space="preserve">Statute: Tex. Agriculture Code §§ 134.011 – 134.023 (1999), </w:t>
            </w:r>
            <w:hyperlink r:id="rId49" w:anchor="B">
              <w:r w:rsidRPr="008C0EB7">
                <w:rPr>
                  <w:rStyle w:val="Hyperlink"/>
                </w:rPr>
                <w:t>http://www.statutes.legis.state.tx.us/Docs/AG/htm/AG.134.htm#B</w:t>
              </w:r>
            </w:hyperlink>
            <w:r w:rsidRPr="008C0EB7">
              <w:t>.</w:t>
            </w:r>
          </w:p>
        </w:tc>
        <w:tc>
          <w:tcPr>
            <w:tcW w:w="4140" w:type="dxa"/>
          </w:tcPr>
          <w:p w14:paraId="264771E3" w14:textId="77777777" w:rsidR="00E2190B" w:rsidRPr="008C0EB7" w:rsidRDefault="00E2190B" w:rsidP="00525151">
            <w:pPr>
              <w:pStyle w:val="Normal1"/>
              <w:spacing w:line="480" w:lineRule="auto"/>
            </w:pPr>
            <w:r w:rsidRPr="008C0EB7">
              <w:t>Texas Department of Agriculture license. Texas Natural Resource Conservation Commission permit to dispose of wastewater. The license is valid for two years and is renewable.</w:t>
            </w:r>
          </w:p>
        </w:tc>
      </w:tr>
      <w:tr w:rsidR="00E2190B" w:rsidRPr="008C0EB7" w14:paraId="11D99340" w14:textId="77777777" w:rsidTr="00525151">
        <w:tc>
          <w:tcPr>
            <w:tcW w:w="1435" w:type="dxa"/>
          </w:tcPr>
          <w:p w14:paraId="083F478D" w14:textId="77777777" w:rsidR="00E2190B" w:rsidRPr="008C0EB7" w:rsidRDefault="00E2190B" w:rsidP="00525151">
            <w:pPr>
              <w:pStyle w:val="Normal1"/>
              <w:spacing w:line="480" w:lineRule="auto"/>
            </w:pPr>
            <w:r w:rsidRPr="008C0EB7">
              <w:t>Washington</w:t>
            </w:r>
          </w:p>
        </w:tc>
        <w:tc>
          <w:tcPr>
            <w:tcW w:w="4415" w:type="dxa"/>
          </w:tcPr>
          <w:p w14:paraId="7EA89FB2" w14:textId="77777777" w:rsidR="00E2190B" w:rsidRPr="008C0EB7" w:rsidRDefault="00E2190B" w:rsidP="00525151">
            <w:pPr>
              <w:pStyle w:val="Normal1"/>
              <w:spacing w:line="480" w:lineRule="auto"/>
            </w:pPr>
            <w:r w:rsidRPr="008C0EB7">
              <w:t>Statutes: Wash. Aadmin. Code § 220-370-060 (2017),</w:t>
            </w:r>
          </w:p>
          <w:p w14:paraId="260367B3" w14:textId="77777777" w:rsidR="00E2190B" w:rsidRPr="008C0EB7" w:rsidRDefault="0004418A" w:rsidP="00525151">
            <w:pPr>
              <w:pStyle w:val="Normal1"/>
              <w:spacing w:line="480" w:lineRule="auto"/>
            </w:pPr>
            <w:hyperlink r:id="rId50" w:history="1">
              <w:r w:rsidR="00E2190B" w:rsidRPr="008C0EB7">
                <w:rPr>
                  <w:rStyle w:val="Hyperlink"/>
                </w:rPr>
                <w:t>http://apps.leg.wa.gov/WAC/default.aspx?cite=220-370-060</w:t>
              </w:r>
            </w:hyperlink>
            <w:r w:rsidR="00E2190B" w:rsidRPr="008C0EB7">
              <w:t>;</w:t>
            </w:r>
          </w:p>
          <w:p w14:paraId="6BAE1790" w14:textId="77777777" w:rsidR="00E2190B" w:rsidRPr="008C0EB7" w:rsidRDefault="00E2190B" w:rsidP="00525151">
            <w:pPr>
              <w:pStyle w:val="Normal1"/>
              <w:spacing w:line="480" w:lineRule="auto"/>
            </w:pPr>
          </w:p>
          <w:p w14:paraId="10CAF1D7" w14:textId="77777777" w:rsidR="00E2190B" w:rsidRPr="008C0EB7" w:rsidRDefault="00E2190B" w:rsidP="00525151">
            <w:pPr>
              <w:pStyle w:val="Normal1"/>
              <w:spacing w:line="480" w:lineRule="auto"/>
            </w:pPr>
            <w:r w:rsidRPr="008C0EB7">
              <w:t xml:space="preserve">Wash. Admin. Code § 220-370-090 (2017), </w:t>
            </w:r>
          </w:p>
          <w:p w14:paraId="54AC88C4" w14:textId="77777777" w:rsidR="00E2190B" w:rsidRPr="008C0EB7" w:rsidRDefault="0004418A" w:rsidP="00525151">
            <w:pPr>
              <w:pStyle w:val="Normal1"/>
              <w:spacing w:line="480" w:lineRule="auto"/>
            </w:pPr>
            <w:hyperlink r:id="rId51" w:history="1">
              <w:r w:rsidR="00E2190B" w:rsidRPr="008C0EB7">
                <w:rPr>
                  <w:rStyle w:val="Hyperlink"/>
                </w:rPr>
                <w:t>http://apps.leg.wa.gov/WAC/default.aspx?cite=220-370-090</w:t>
              </w:r>
            </w:hyperlink>
            <w:r w:rsidR="00E2190B" w:rsidRPr="008C0EB7">
              <w:t>.</w:t>
            </w:r>
          </w:p>
        </w:tc>
        <w:tc>
          <w:tcPr>
            <w:tcW w:w="4140" w:type="dxa"/>
          </w:tcPr>
          <w:p w14:paraId="7A07A1DD" w14:textId="77777777" w:rsidR="00E2190B" w:rsidRPr="008C0EB7" w:rsidRDefault="00E2190B" w:rsidP="00525151">
            <w:pPr>
              <w:pStyle w:val="Normal1"/>
              <w:spacing w:line="480" w:lineRule="auto"/>
            </w:pPr>
            <w:r w:rsidRPr="008C0EB7">
              <w:t>In addition to various permits for different types of aquaculture, all aquatic farms must register with the WA Department of Fish and Wildlife. Finfish farms must also have record keeping</w:t>
            </w:r>
          </w:p>
        </w:tc>
      </w:tr>
    </w:tbl>
    <w:p w14:paraId="4832C995" w14:textId="77777777" w:rsidR="00E2190B" w:rsidRDefault="00E2190B">
      <w:pPr>
        <w:rPr>
          <w:sz w:val="24"/>
          <w:szCs w:val="24"/>
        </w:rPr>
      </w:pPr>
    </w:p>
    <w:p w14:paraId="5B2CE74F" w14:textId="77777777" w:rsidR="00595F0C" w:rsidRDefault="00595F0C">
      <w:pPr>
        <w:rPr>
          <w:sz w:val="24"/>
          <w:szCs w:val="24"/>
        </w:rPr>
      </w:pPr>
    </w:p>
    <w:p w14:paraId="0790E4ED"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5CAB0ECB" w14:textId="77777777" w:rsidR="004F26E9" w:rsidRDefault="004F26E9">
      <w:pPr>
        <w:rPr>
          <w:sz w:val="24"/>
          <w:szCs w:val="24"/>
        </w:rPr>
      </w:pPr>
    </w:p>
    <w:p w14:paraId="015E94A3" w14:textId="4DACD192" w:rsidR="00C20972" w:rsidRPr="006E1578" w:rsidRDefault="00C20972" w:rsidP="006E1578">
      <w:pPr>
        <w:pStyle w:val="CM110"/>
        <w:spacing w:after="0"/>
        <w:rPr>
          <w:rFonts w:ascii="Times New Roman" w:hAnsi="Times New Roman"/>
          <w:color w:val="000000"/>
          <w:szCs w:val="24"/>
        </w:rPr>
      </w:pPr>
      <w:r>
        <w:rPr>
          <w:rFonts w:ascii="Times New Roman" w:hAnsi="Times New Roman"/>
          <w:color w:val="000000"/>
          <w:szCs w:val="24"/>
        </w:rPr>
        <w:t xml:space="preserve">Since most </w:t>
      </w:r>
      <w:r w:rsidR="00614A63" w:rsidRPr="00A03462">
        <w:rPr>
          <w:rFonts w:ascii="Times New Roman" w:hAnsi="Times New Roman"/>
          <w:color w:val="000000"/>
          <w:szCs w:val="24"/>
        </w:rPr>
        <w:t xml:space="preserve">of the </w:t>
      </w:r>
      <w:r>
        <w:rPr>
          <w:rFonts w:ascii="Times New Roman" w:hAnsi="Times New Roman"/>
          <w:color w:val="000000"/>
          <w:szCs w:val="24"/>
        </w:rPr>
        <w:t>producers</w:t>
      </w:r>
      <w:r w:rsidR="00614A63" w:rsidRPr="00A03462">
        <w:rPr>
          <w:rFonts w:ascii="Times New Roman" w:hAnsi="Times New Roman"/>
          <w:color w:val="000000"/>
          <w:szCs w:val="24"/>
        </w:rPr>
        <w:t xml:space="preserve"> are considered small businesses, separate requirements based on size of business </w:t>
      </w:r>
      <w:r w:rsidR="002C6158">
        <w:rPr>
          <w:rFonts w:ascii="Times New Roman" w:hAnsi="Times New Roman"/>
          <w:color w:val="000000"/>
          <w:szCs w:val="24"/>
        </w:rPr>
        <w:t>have</w:t>
      </w:r>
      <w:r w:rsidR="00025339">
        <w:rPr>
          <w:rFonts w:ascii="Times New Roman" w:hAnsi="Times New Roman"/>
          <w:color w:val="000000"/>
          <w:szCs w:val="24"/>
        </w:rPr>
        <w:t xml:space="preserve"> </w:t>
      </w:r>
      <w:r w:rsidR="00614A63" w:rsidRPr="00A03462">
        <w:rPr>
          <w:rFonts w:ascii="Times New Roman" w:hAnsi="Times New Roman"/>
          <w:color w:val="000000"/>
          <w:szCs w:val="24"/>
        </w:rPr>
        <w:t>not</w:t>
      </w:r>
      <w:r w:rsidR="00640054">
        <w:rPr>
          <w:rFonts w:ascii="Times New Roman" w:hAnsi="Times New Roman"/>
          <w:color w:val="000000"/>
          <w:szCs w:val="24"/>
        </w:rPr>
        <w:t xml:space="preserve"> be</w:t>
      </w:r>
      <w:r w:rsidR="002C6158">
        <w:rPr>
          <w:rFonts w:ascii="Times New Roman" w:hAnsi="Times New Roman"/>
          <w:color w:val="000000"/>
          <w:szCs w:val="24"/>
        </w:rPr>
        <w:t>en</w:t>
      </w:r>
      <w:r w:rsidR="00640054">
        <w:rPr>
          <w:rFonts w:ascii="Times New Roman" w:hAnsi="Times New Roman"/>
          <w:color w:val="000000"/>
          <w:szCs w:val="24"/>
        </w:rPr>
        <w:t xml:space="preserve"> developed. </w:t>
      </w:r>
      <w:r w:rsidR="00686143">
        <w:rPr>
          <w:rFonts w:ascii="Times New Roman" w:hAnsi="Times New Roman"/>
          <w:color w:val="000000"/>
          <w:szCs w:val="24"/>
        </w:rPr>
        <w:t xml:space="preserve"> </w:t>
      </w:r>
      <w:r w:rsidR="00E72DF2">
        <w:rPr>
          <w:rFonts w:ascii="Times New Roman" w:hAnsi="Times New Roman"/>
          <w:color w:val="000000"/>
          <w:szCs w:val="24"/>
        </w:rPr>
        <w:t xml:space="preserve">The </w:t>
      </w:r>
      <w:r>
        <w:rPr>
          <w:rFonts w:ascii="Times New Roman" w:hAnsi="Times New Roman"/>
          <w:color w:val="000000"/>
          <w:szCs w:val="24"/>
        </w:rPr>
        <w:t>program</w:t>
      </w:r>
      <w:r w:rsidR="00E72DF2">
        <w:rPr>
          <w:rFonts w:ascii="Times New Roman" w:hAnsi="Times New Roman"/>
          <w:color w:val="000000"/>
          <w:szCs w:val="24"/>
        </w:rPr>
        <w:t xml:space="preserve"> would create an exemption </w:t>
      </w:r>
      <w:r>
        <w:rPr>
          <w:rFonts w:ascii="Times New Roman" w:hAnsi="Times New Roman"/>
          <w:color w:val="000000"/>
          <w:szCs w:val="24"/>
        </w:rPr>
        <w:t>for very small business with sales under $1,000 per year.</w:t>
      </w:r>
    </w:p>
    <w:p w14:paraId="672CF397" w14:textId="77777777" w:rsidR="000900CF" w:rsidRDefault="000900CF">
      <w:pPr>
        <w:rPr>
          <w:sz w:val="24"/>
          <w:szCs w:val="24"/>
        </w:rPr>
      </w:pPr>
    </w:p>
    <w:p w14:paraId="4289C631"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3A851394" w14:textId="77777777" w:rsidR="004F26E9" w:rsidRDefault="004F26E9">
      <w:pPr>
        <w:rPr>
          <w:sz w:val="24"/>
          <w:szCs w:val="24"/>
        </w:rPr>
      </w:pPr>
    </w:p>
    <w:p w14:paraId="05C9E03F" w14:textId="5A455EDD" w:rsidR="000900CF" w:rsidRDefault="00247D7C" w:rsidP="00461EFA">
      <w:pPr>
        <w:widowControl/>
        <w:rPr>
          <w:sz w:val="24"/>
        </w:rPr>
      </w:pPr>
      <w:r>
        <w:rPr>
          <w:sz w:val="24"/>
        </w:rPr>
        <w:t>If the rule is not implemented</w:t>
      </w:r>
      <w:r w:rsidR="00C20972">
        <w:rPr>
          <w:sz w:val="24"/>
        </w:rPr>
        <w:t xml:space="preserve">, </w:t>
      </w:r>
      <w:r w:rsidR="006064EF">
        <w:rPr>
          <w:sz w:val="24"/>
        </w:rPr>
        <w:t xml:space="preserve">the </w:t>
      </w:r>
      <w:r w:rsidR="00C20972">
        <w:rPr>
          <w:sz w:val="24"/>
        </w:rPr>
        <w:t>D</w:t>
      </w:r>
      <w:r w:rsidR="006064EF">
        <w:rPr>
          <w:sz w:val="24"/>
        </w:rPr>
        <w:t xml:space="preserve">epartment of </w:t>
      </w:r>
      <w:r w:rsidR="00C20972">
        <w:rPr>
          <w:sz w:val="24"/>
        </w:rPr>
        <w:t>C</w:t>
      </w:r>
      <w:r w:rsidR="006064EF">
        <w:rPr>
          <w:sz w:val="24"/>
        </w:rPr>
        <w:t>ommerce</w:t>
      </w:r>
      <w:r w:rsidR="00C20972">
        <w:rPr>
          <w:sz w:val="24"/>
        </w:rPr>
        <w:t xml:space="preserve"> would not be in compliance with the </w:t>
      </w:r>
      <w:r w:rsidR="006064EF">
        <w:rPr>
          <w:sz w:val="24"/>
        </w:rPr>
        <w:t>2018</w:t>
      </w:r>
      <w:r w:rsidR="00C20972">
        <w:rPr>
          <w:sz w:val="24"/>
        </w:rPr>
        <w:t xml:space="preserve"> Appropriations Act.  </w:t>
      </w:r>
      <w:r w:rsidR="00FE3334">
        <w:rPr>
          <w:sz w:val="24"/>
        </w:rPr>
        <w:t>In part,</w:t>
      </w:r>
      <w:r w:rsidR="00C20972">
        <w:rPr>
          <w:sz w:val="24"/>
        </w:rPr>
        <w:t xml:space="preserve"> this program is established for the purpose of establishing </w:t>
      </w:r>
      <w:r w:rsidR="00FE3334">
        <w:rPr>
          <w:sz w:val="24"/>
        </w:rPr>
        <w:t>reporting and recordkeeping requirements for domestic aquaculture of shrimp and abalone so that U.S. requirements will be equivalent to the reporting and recordkeeping requirements applicable to</w:t>
      </w:r>
      <w:r w:rsidR="00C20972">
        <w:rPr>
          <w:sz w:val="24"/>
        </w:rPr>
        <w:t xml:space="preserve"> imported shrimp and abalone effective December 31, 2018.  Delay</w:t>
      </w:r>
      <w:r w:rsidR="00FE3334">
        <w:rPr>
          <w:sz w:val="24"/>
        </w:rPr>
        <w:t xml:space="preserve"> in the implementation of this rule to collect such information domestically</w:t>
      </w:r>
      <w:r w:rsidR="00C20972">
        <w:rPr>
          <w:sz w:val="24"/>
        </w:rPr>
        <w:t xml:space="preserve"> will increase litigation risk in international trade fora.</w:t>
      </w:r>
    </w:p>
    <w:p w14:paraId="79F0BECE" w14:textId="77777777" w:rsidR="006E1578" w:rsidRPr="00C20972" w:rsidRDefault="006E1578" w:rsidP="00461EFA">
      <w:pPr>
        <w:widowControl/>
        <w:rPr>
          <w:sz w:val="24"/>
          <w:szCs w:val="24"/>
        </w:rPr>
      </w:pPr>
    </w:p>
    <w:p w14:paraId="2CAC8929"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7216AD2D" w14:textId="77777777" w:rsidR="004F26E9" w:rsidRDefault="004F26E9">
      <w:pPr>
        <w:rPr>
          <w:sz w:val="24"/>
          <w:szCs w:val="24"/>
        </w:rPr>
      </w:pPr>
    </w:p>
    <w:p w14:paraId="6AFE9BE5" w14:textId="77777777" w:rsidR="00B6597B" w:rsidRDefault="00B6597B" w:rsidP="00B6597B">
      <w:r w:rsidRPr="00B6597B">
        <w:rPr>
          <w:sz w:val="24"/>
        </w:rPr>
        <w:t>Collection of information will be made in a manner consistent with OMB guidelines.</w:t>
      </w:r>
    </w:p>
    <w:p w14:paraId="44AF8678" w14:textId="77777777" w:rsidR="004F26E9" w:rsidRDefault="004F26E9">
      <w:pPr>
        <w:rPr>
          <w:sz w:val="24"/>
          <w:szCs w:val="24"/>
        </w:rPr>
      </w:pPr>
    </w:p>
    <w:p w14:paraId="1CC68130"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0656CEE1" w14:textId="77777777" w:rsidR="004F26E9" w:rsidRDefault="004F26E9">
      <w:pPr>
        <w:rPr>
          <w:sz w:val="24"/>
          <w:szCs w:val="24"/>
        </w:rPr>
      </w:pPr>
    </w:p>
    <w:p w14:paraId="4B4B494E" w14:textId="728491B4" w:rsidR="00952314" w:rsidRDefault="00640054" w:rsidP="000E3360">
      <w:r>
        <w:rPr>
          <w:sz w:val="24"/>
          <w:szCs w:val="24"/>
        </w:rPr>
        <w:t>A proposed rule, RIN 0648-</w:t>
      </w:r>
      <w:r w:rsidR="00C20972">
        <w:rPr>
          <w:sz w:val="24"/>
          <w:szCs w:val="24"/>
        </w:rPr>
        <w:t>BH87</w:t>
      </w:r>
      <w:r w:rsidR="002C6158">
        <w:rPr>
          <w:sz w:val="24"/>
          <w:szCs w:val="24"/>
        </w:rPr>
        <w:t xml:space="preserve">, </w:t>
      </w:r>
      <w:r w:rsidR="00247D7C">
        <w:rPr>
          <w:sz w:val="24"/>
          <w:szCs w:val="24"/>
        </w:rPr>
        <w:t xml:space="preserve">will be </w:t>
      </w:r>
      <w:r>
        <w:rPr>
          <w:sz w:val="24"/>
          <w:szCs w:val="24"/>
        </w:rPr>
        <w:t>published coincident with this submission</w:t>
      </w:r>
      <w:r w:rsidR="00C20972">
        <w:rPr>
          <w:sz w:val="24"/>
          <w:szCs w:val="24"/>
        </w:rPr>
        <w:t xml:space="preserve"> to OMB.  </w:t>
      </w:r>
      <w:r w:rsidR="002C6158">
        <w:rPr>
          <w:sz w:val="24"/>
          <w:szCs w:val="24"/>
        </w:rPr>
        <w:t xml:space="preserve">The notice of proposed rulemaking </w:t>
      </w:r>
      <w:r w:rsidR="00247D7C">
        <w:rPr>
          <w:sz w:val="24"/>
          <w:szCs w:val="24"/>
        </w:rPr>
        <w:t xml:space="preserve">will </w:t>
      </w:r>
      <w:r w:rsidR="002C6158">
        <w:rPr>
          <w:sz w:val="24"/>
          <w:szCs w:val="24"/>
        </w:rPr>
        <w:t>solicit</w:t>
      </w:r>
      <w:r>
        <w:rPr>
          <w:sz w:val="24"/>
          <w:szCs w:val="24"/>
        </w:rPr>
        <w:t xml:space="preserve"> public comment</w:t>
      </w:r>
      <w:r w:rsidR="002C6158">
        <w:rPr>
          <w:sz w:val="24"/>
          <w:szCs w:val="24"/>
        </w:rPr>
        <w:t xml:space="preserve"> on the</w:t>
      </w:r>
      <w:r w:rsidR="006A7B90">
        <w:rPr>
          <w:sz w:val="24"/>
          <w:szCs w:val="24"/>
        </w:rPr>
        <w:t xml:space="preserve"> </w:t>
      </w:r>
      <w:r w:rsidR="00C20972">
        <w:rPr>
          <w:sz w:val="24"/>
          <w:szCs w:val="24"/>
        </w:rPr>
        <w:t>registration</w:t>
      </w:r>
      <w:r w:rsidR="005362A6">
        <w:rPr>
          <w:sz w:val="24"/>
          <w:szCs w:val="24"/>
        </w:rPr>
        <w:t xml:space="preserve">, </w:t>
      </w:r>
      <w:r w:rsidR="002C6158">
        <w:rPr>
          <w:sz w:val="24"/>
          <w:szCs w:val="24"/>
        </w:rPr>
        <w:t>report</w:t>
      </w:r>
      <w:r w:rsidR="00C20972">
        <w:rPr>
          <w:sz w:val="24"/>
          <w:szCs w:val="24"/>
        </w:rPr>
        <w:t xml:space="preserve">ing </w:t>
      </w:r>
      <w:r w:rsidR="005F62A8">
        <w:rPr>
          <w:sz w:val="24"/>
          <w:szCs w:val="24"/>
        </w:rPr>
        <w:t xml:space="preserve">and </w:t>
      </w:r>
      <w:r w:rsidR="002C6158">
        <w:rPr>
          <w:sz w:val="24"/>
          <w:szCs w:val="24"/>
        </w:rPr>
        <w:t>recordkeeping requirement</w:t>
      </w:r>
      <w:r w:rsidR="00C20972">
        <w:rPr>
          <w:sz w:val="24"/>
          <w:szCs w:val="24"/>
        </w:rPr>
        <w:t>s of the Traceability Information Program for Seafood.</w:t>
      </w:r>
    </w:p>
    <w:p w14:paraId="22481EB0" w14:textId="77777777" w:rsidR="00640054" w:rsidRDefault="00640054">
      <w:pPr>
        <w:rPr>
          <w:sz w:val="24"/>
          <w:szCs w:val="24"/>
        </w:rPr>
      </w:pPr>
    </w:p>
    <w:p w14:paraId="43CE0840"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521F4F93" w14:textId="77777777" w:rsidR="004F26E9" w:rsidRDefault="004F26E9">
      <w:pPr>
        <w:rPr>
          <w:sz w:val="24"/>
          <w:szCs w:val="24"/>
        </w:rPr>
      </w:pPr>
    </w:p>
    <w:p w14:paraId="163C8974" w14:textId="77777777" w:rsidR="004F26E9" w:rsidRPr="00B6597B" w:rsidRDefault="00B6597B">
      <w:pPr>
        <w:rPr>
          <w:spacing w:val="-2"/>
          <w:sz w:val="24"/>
          <w:szCs w:val="24"/>
        </w:rPr>
      </w:pPr>
      <w:r w:rsidRPr="00B6597B">
        <w:rPr>
          <w:spacing w:val="-2"/>
          <w:sz w:val="24"/>
          <w:szCs w:val="24"/>
        </w:rPr>
        <w:t>No payments or gifts are made.</w:t>
      </w:r>
    </w:p>
    <w:p w14:paraId="2B71F2D2" w14:textId="77777777" w:rsidR="000900CF" w:rsidRDefault="000900CF">
      <w:pPr>
        <w:rPr>
          <w:sz w:val="24"/>
          <w:szCs w:val="24"/>
        </w:rPr>
      </w:pPr>
    </w:p>
    <w:p w14:paraId="4D7D274C"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5559739D" w14:textId="77777777" w:rsidR="004F26E9" w:rsidRDefault="004F26E9">
      <w:pPr>
        <w:rPr>
          <w:sz w:val="24"/>
          <w:szCs w:val="24"/>
        </w:rPr>
      </w:pPr>
    </w:p>
    <w:p w14:paraId="63B5222E" w14:textId="23EF3C5B" w:rsidR="00B6597B" w:rsidRDefault="00E82C6F" w:rsidP="00B6597B">
      <w:pPr>
        <w:widowControl/>
        <w:rPr>
          <w:sz w:val="24"/>
          <w:szCs w:val="24"/>
        </w:rPr>
      </w:pPr>
      <w:r w:rsidRPr="0081408F">
        <w:rPr>
          <w:sz w:val="24"/>
          <w:szCs w:val="24"/>
        </w:rPr>
        <w:t>T</w:t>
      </w:r>
      <w:r w:rsidR="00B6597B" w:rsidRPr="0081408F">
        <w:rPr>
          <w:sz w:val="24"/>
          <w:szCs w:val="24"/>
        </w:rPr>
        <w:t xml:space="preserve">he information collection </w:t>
      </w:r>
      <w:r w:rsidR="006B70E0" w:rsidRPr="0081408F">
        <w:rPr>
          <w:sz w:val="24"/>
          <w:szCs w:val="24"/>
        </w:rPr>
        <w:t>will be</w:t>
      </w:r>
      <w:r w:rsidR="00B6597B" w:rsidRPr="0081408F">
        <w:rPr>
          <w:sz w:val="24"/>
          <w:szCs w:val="24"/>
        </w:rPr>
        <w:t xml:space="preserve"> considered</w:t>
      </w:r>
      <w:r w:rsidR="006A7B90" w:rsidRPr="0081408F">
        <w:rPr>
          <w:sz w:val="24"/>
          <w:szCs w:val="24"/>
        </w:rPr>
        <w:t xml:space="preserve"> and treated as</w:t>
      </w:r>
      <w:r w:rsidR="00B6597B" w:rsidRPr="0081408F">
        <w:rPr>
          <w:sz w:val="24"/>
          <w:szCs w:val="24"/>
        </w:rPr>
        <w:t xml:space="preserve"> confidential </w:t>
      </w:r>
      <w:r w:rsidR="007772DD" w:rsidRPr="0081408F">
        <w:rPr>
          <w:sz w:val="24"/>
          <w:szCs w:val="24"/>
        </w:rPr>
        <w:t>as required by section 402(b) of the Magnuson-Stevens Act</w:t>
      </w:r>
      <w:r w:rsidR="00766DE6" w:rsidRPr="0081408F">
        <w:rPr>
          <w:sz w:val="24"/>
          <w:szCs w:val="24"/>
        </w:rPr>
        <w:t>, 16 U.S.C. 1881a(b),</w:t>
      </w:r>
      <w:r w:rsidR="007772DD" w:rsidRPr="0081408F">
        <w:rPr>
          <w:sz w:val="24"/>
          <w:szCs w:val="24"/>
        </w:rPr>
        <w:t xml:space="preserve"> and</w:t>
      </w:r>
      <w:r w:rsidR="002A271C" w:rsidRPr="0081408F">
        <w:rPr>
          <w:sz w:val="24"/>
          <w:szCs w:val="24"/>
        </w:rPr>
        <w:t xml:space="preserve"> </w:t>
      </w:r>
      <w:hyperlink r:id="rId52" w:history="1">
        <w:r w:rsidR="002A271C" w:rsidRPr="0081408F">
          <w:rPr>
            <w:rStyle w:val="Hyperlink"/>
            <w:sz w:val="24"/>
            <w:szCs w:val="24"/>
          </w:rPr>
          <w:t>NOAA Administrat</w:t>
        </w:r>
        <w:r w:rsidR="009D3BE1" w:rsidRPr="0081408F">
          <w:rPr>
            <w:rStyle w:val="Hyperlink"/>
            <w:sz w:val="24"/>
            <w:szCs w:val="24"/>
          </w:rPr>
          <w:t>ive</w:t>
        </w:r>
        <w:r w:rsidR="002A271C" w:rsidRPr="0081408F">
          <w:rPr>
            <w:rStyle w:val="Hyperlink"/>
            <w:sz w:val="24"/>
            <w:szCs w:val="24"/>
          </w:rPr>
          <w:t xml:space="preserve"> Order 216-100</w:t>
        </w:r>
      </w:hyperlink>
      <w:r w:rsidR="002A271C">
        <w:rPr>
          <w:sz w:val="24"/>
          <w:szCs w:val="24"/>
        </w:rPr>
        <w:t xml:space="preserve">. </w:t>
      </w:r>
      <w:r w:rsidR="00A3689C">
        <w:rPr>
          <w:sz w:val="24"/>
          <w:szCs w:val="24"/>
        </w:rPr>
        <w:t xml:space="preserve"> </w:t>
      </w:r>
    </w:p>
    <w:p w14:paraId="0B890192" w14:textId="77777777" w:rsidR="00444BDF" w:rsidRDefault="00444BDF" w:rsidP="00B6597B">
      <w:pPr>
        <w:widowControl/>
        <w:rPr>
          <w:sz w:val="24"/>
          <w:szCs w:val="24"/>
        </w:rPr>
      </w:pPr>
    </w:p>
    <w:p w14:paraId="220DF244" w14:textId="1EAB014E" w:rsidR="00444BDF" w:rsidRPr="00444BDF" w:rsidRDefault="00444BDF" w:rsidP="00B6597B">
      <w:pPr>
        <w:widowControl/>
        <w:rPr>
          <w:sz w:val="24"/>
          <w:szCs w:val="24"/>
        </w:rPr>
      </w:pPr>
      <w:r w:rsidRPr="00444BDF">
        <w:rPr>
          <w:sz w:val="24"/>
          <w:szCs w:val="24"/>
        </w:rPr>
        <w:t>The Privacy Act System of Records that will cover this information is COMMERCE/NOAA-19, Permits and Registrations for United States Regulated Fisheries. Amended version published on August 7 (80  FR 47457).</w:t>
      </w:r>
    </w:p>
    <w:p w14:paraId="36ED17E0" w14:textId="77777777" w:rsidR="00E82C6F" w:rsidRDefault="00E82C6F">
      <w:pPr>
        <w:rPr>
          <w:b/>
          <w:bCs/>
          <w:sz w:val="24"/>
          <w:szCs w:val="24"/>
        </w:rPr>
      </w:pPr>
    </w:p>
    <w:p w14:paraId="40B9CC0F" w14:textId="77777777"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32D63391" w14:textId="77777777" w:rsidR="004F26E9" w:rsidRDefault="004F26E9">
      <w:pPr>
        <w:rPr>
          <w:sz w:val="24"/>
          <w:szCs w:val="24"/>
        </w:rPr>
      </w:pPr>
    </w:p>
    <w:p w14:paraId="5E850C87" w14:textId="77777777" w:rsidR="00B6597B" w:rsidRPr="00A03462" w:rsidRDefault="00B6597B" w:rsidP="00B6597B">
      <w:pPr>
        <w:pStyle w:val="CM110"/>
        <w:spacing w:after="0"/>
        <w:jc w:val="both"/>
        <w:rPr>
          <w:rFonts w:ascii="Times New Roman" w:hAnsi="Times New Roman"/>
          <w:color w:val="000000"/>
          <w:szCs w:val="24"/>
        </w:rPr>
      </w:pPr>
      <w:r w:rsidRPr="00A03462">
        <w:rPr>
          <w:rFonts w:ascii="Times New Roman" w:hAnsi="Times New Roman"/>
          <w:color w:val="000000"/>
          <w:szCs w:val="24"/>
        </w:rPr>
        <w:t xml:space="preserve">There are no questions of a sensitive nature. </w:t>
      </w:r>
    </w:p>
    <w:p w14:paraId="313E827E" w14:textId="77777777" w:rsidR="000900CF" w:rsidRDefault="000900CF">
      <w:pPr>
        <w:rPr>
          <w:sz w:val="24"/>
          <w:szCs w:val="24"/>
        </w:rPr>
      </w:pPr>
    </w:p>
    <w:p w14:paraId="4620E162"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5B60521E" w14:textId="77777777" w:rsidR="003B13ED" w:rsidRDefault="003B13ED" w:rsidP="00E2190B">
      <w:pPr>
        <w:rPr>
          <w:sz w:val="24"/>
          <w:szCs w:val="24"/>
        </w:rPr>
      </w:pPr>
    </w:p>
    <w:p w14:paraId="0B8F1C86" w14:textId="2B104FA4" w:rsidR="00E2190B" w:rsidRDefault="003B13ED" w:rsidP="00E2190B">
      <w:pPr>
        <w:rPr>
          <w:sz w:val="24"/>
          <w:szCs w:val="24"/>
        </w:rPr>
      </w:pPr>
      <w:r>
        <w:rPr>
          <w:sz w:val="24"/>
          <w:szCs w:val="24"/>
        </w:rPr>
        <w:t>]</w:t>
      </w:r>
      <w:r w:rsidR="00E82CD5" w:rsidRPr="00E2190B">
        <w:rPr>
          <w:sz w:val="24"/>
          <w:szCs w:val="24"/>
        </w:rPr>
        <w:t xml:space="preserve">This rule requires that the producer, or representative acting on their behalf, report the data required to NMFS via an electronic reporting system at monthly intervals.  </w:t>
      </w:r>
      <w:r w:rsidR="000D2F96" w:rsidRPr="000D2F96">
        <w:rPr>
          <w:sz w:val="24"/>
          <w:szCs w:val="24"/>
        </w:rPr>
        <w:t>NMFS proposes that at monthly intervals</w:t>
      </w:r>
      <w:r w:rsidR="00444BDF">
        <w:rPr>
          <w:sz w:val="24"/>
          <w:szCs w:val="24"/>
        </w:rPr>
        <w:t>,</w:t>
      </w:r>
      <w:r w:rsidR="000D2F96" w:rsidRPr="000D2F96">
        <w:rPr>
          <w:sz w:val="24"/>
          <w:szCs w:val="24"/>
        </w:rPr>
        <w:t xml:space="preserve"> producers would be required to report information for each entry into U.S. commerce of fish or fish products intended for human consumption from the previous month.  For example, a producer would be required to report each applicable entry occurring in the month of May on or before the last day of June.  If no applicable entries occurred in a given month, no report to NMFS is required.  However, if a producer has no reportable production events for an entire 12-month period, the producer must certify that through the electronic reporting system established by NMFS in order to renew its registration.</w:t>
      </w:r>
    </w:p>
    <w:p w14:paraId="243C9A89" w14:textId="77777777" w:rsidR="000D2F96" w:rsidRDefault="000D2F96" w:rsidP="00E2190B">
      <w:pPr>
        <w:rPr>
          <w:sz w:val="24"/>
          <w:szCs w:val="24"/>
        </w:rPr>
      </w:pPr>
    </w:p>
    <w:p w14:paraId="1D005754" w14:textId="02F2A3FA" w:rsidR="00E82CD5" w:rsidRDefault="00E82CD5" w:rsidP="00E2190B">
      <w:pPr>
        <w:rPr>
          <w:sz w:val="24"/>
          <w:szCs w:val="24"/>
        </w:rPr>
      </w:pPr>
      <w:r w:rsidRPr="00E2190B">
        <w:rPr>
          <w:sz w:val="24"/>
          <w:szCs w:val="24"/>
        </w:rPr>
        <w:t xml:space="preserve">In order to collect the required data on covered, NMFS proposes establishing an electronic registration and reporting system which will consist of two parts.  The first will be a publicly accessible registration page where producers will provide basic identification </w:t>
      </w:r>
      <w:r w:rsidR="0084361B">
        <w:rPr>
          <w:sz w:val="24"/>
          <w:szCs w:val="24"/>
        </w:rPr>
        <w:t>of</w:t>
      </w:r>
      <w:r w:rsidRPr="00E2190B">
        <w:rPr>
          <w:sz w:val="24"/>
          <w:szCs w:val="24"/>
        </w:rPr>
        <w:t xml:space="preserve"> their business and if needed, receive a registrant identifier from NMFS.  After logging in to the reporting site, the producer will be able to provide the required data elements for the interval required.</w:t>
      </w:r>
    </w:p>
    <w:p w14:paraId="4B606D7C" w14:textId="77777777" w:rsidR="00E82CD5" w:rsidRPr="00A472A1" w:rsidRDefault="00E82CD5" w:rsidP="00A472A1">
      <w:pPr>
        <w:rPr>
          <w:sz w:val="24"/>
          <w:szCs w:val="24"/>
        </w:rPr>
      </w:pPr>
    </w:p>
    <w:p w14:paraId="31249F64" w14:textId="294D9C89" w:rsidR="00A472A1" w:rsidRDefault="00C0417E" w:rsidP="00E2190B">
      <w:pPr>
        <w:rPr>
          <w:sz w:val="24"/>
          <w:szCs w:val="24"/>
        </w:rPr>
      </w:pPr>
      <w:r w:rsidRPr="00A472A1">
        <w:rPr>
          <w:sz w:val="24"/>
          <w:szCs w:val="24"/>
        </w:rPr>
        <w:t xml:space="preserve">With the requirement to register as a producer under this program, there would be approximately </w:t>
      </w:r>
      <w:r w:rsidR="00B46141">
        <w:rPr>
          <w:sz w:val="24"/>
          <w:szCs w:val="24"/>
        </w:rPr>
        <w:t>66</w:t>
      </w:r>
      <w:r w:rsidR="00B46141" w:rsidRPr="00A472A1">
        <w:rPr>
          <w:sz w:val="24"/>
          <w:szCs w:val="24"/>
        </w:rPr>
        <w:t xml:space="preserve"> </w:t>
      </w:r>
      <w:r w:rsidRPr="00A472A1">
        <w:rPr>
          <w:sz w:val="24"/>
          <w:szCs w:val="24"/>
        </w:rPr>
        <w:t xml:space="preserve">respondents who would need approximately 5 minutes to fill out the online registration form (estimate consistent with that used for ITDS proposed rule 0648-AX63) resulting in a total annual burden of </w:t>
      </w:r>
      <w:r w:rsidR="00525151">
        <w:rPr>
          <w:sz w:val="24"/>
          <w:szCs w:val="24"/>
        </w:rPr>
        <w:t>5.</w:t>
      </w:r>
      <w:r w:rsidRPr="00A472A1">
        <w:rPr>
          <w:sz w:val="24"/>
          <w:szCs w:val="24"/>
        </w:rPr>
        <w:t>5 hours</w:t>
      </w:r>
      <w:r w:rsidR="00525151">
        <w:rPr>
          <w:sz w:val="24"/>
          <w:szCs w:val="24"/>
        </w:rPr>
        <w:t xml:space="preserve"> (1.83 hours annualized)</w:t>
      </w:r>
      <w:r w:rsidRPr="00A472A1">
        <w:rPr>
          <w:sz w:val="24"/>
          <w:szCs w:val="24"/>
        </w:rPr>
        <w:t xml:space="preserve">. </w:t>
      </w:r>
      <w:r w:rsidR="00A472A1">
        <w:rPr>
          <w:sz w:val="24"/>
          <w:szCs w:val="24"/>
        </w:rPr>
        <w:t xml:space="preserve"> </w:t>
      </w:r>
      <w:r w:rsidR="00525151">
        <w:rPr>
          <w:sz w:val="24"/>
          <w:szCs w:val="24"/>
        </w:rPr>
        <w:t xml:space="preserve">A maximum reporting requirement would be approximate .5 hours per month for a total of </w:t>
      </w:r>
      <w:r w:rsidR="003A40B7">
        <w:rPr>
          <w:sz w:val="24"/>
          <w:szCs w:val="24"/>
        </w:rPr>
        <w:t xml:space="preserve">33 hours for all respondents per year.  </w:t>
      </w:r>
      <w:r w:rsidR="00A472A1" w:rsidRPr="00EB6792">
        <w:rPr>
          <w:sz w:val="24"/>
          <w:szCs w:val="24"/>
        </w:rPr>
        <w:t>The estimate is calculated as follows</w:t>
      </w:r>
      <w:r w:rsidR="00A472A1">
        <w:rPr>
          <w:sz w:val="24"/>
          <w:szCs w:val="24"/>
        </w:rPr>
        <w:t>:</w:t>
      </w:r>
    </w:p>
    <w:p w14:paraId="6B4CF14C" w14:textId="77777777" w:rsidR="00A472A1" w:rsidRDefault="00A472A1" w:rsidP="00A472A1">
      <w:pPr>
        <w:rPr>
          <w:sz w:val="24"/>
          <w:szCs w:val="24"/>
        </w:rPr>
      </w:pPr>
    </w:p>
    <w:p w14:paraId="5A1D4E4B" w14:textId="77777777" w:rsidR="003B13ED" w:rsidRPr="00E2190B" w:rsidRDefault="003B13ED" w:rsidP="003B13ED">
      <w:pPr>
        <w:rPr>
          <w:sz w:val="24"/>
          <w:szCs w:val="24"/>
          <w:u w:val="single"/>
        </w:rPr>
      </w:pPr>
      <w:r>
        <w:rPr>
          <w:sz w:val="24"/>
          <w:szCs w:val="24"/>
          <w:u w:val="single"/>
        </w:rPr>
        <w:t>Max</w:t>
      </w:r>
      <w:r w:rsidRPr="00E2190B">
        <w:rPr>
          <w:sz w:val="24"/>
          <w:szCs w:val="24"/>
          <w:u w:val="single"/>
        </w:rPr>
        <w:t>imum First year Registering Burden</w:t>
      </w:r>
    </w:p>
    <w:p w14:paraId="315183CA" w14:textId="77777777" w:rsidR="003B13ED" w:rsidRDefault="003B13ED" w:rsidP="003B13ED">
      <w:pPr>
        <w:ind w:firstLine="720"/>
        <w:rPr>
          <w:sz w:val="24"/>
          <w:szCs w:val="24"/>
        </w:rPr>
      </w:pPr>
      <w:r>
        <w:rPr>
          <w:sz w:val="24"/>
          <w:szCs w:val="24"/>
        </w:rPr>
        <w:t xml:space="preserve">66 </w:t>
      </w:r>
      <w:r w:rsidRPr="007D17EB">
        <w:rPr>
          <w:sz w:val="24"/>
          <w:szCs w:val="24"/>
        </w:rPr>
        <w:t>producers of</w:t>
      </w:r>
      <w:r>
        <w:rPr>
          <w:sz w:val="24"/>
          <w:szCs w:val="24"/>
        </w:rPr>
        <w:t xml:space="preserve"> </w:t>
      </w:r>
      <w:r w:rsidRPr="007D17EB">
        <w:rPr>
          <w:sz w:val="24"/>
          <w:szCs w:val="24"/>
        </w:rPr>
        <w:t xml:space="preserve">shrimp and </w:t>
      </w:r>
      <w:r>
        <w:rPr>
          <w:sz w:val="24"/>
          <w:szCs w:val="24"/>
        </w:rPr>
        <w:t>abalone for consumption as food/year = 66 per annum</w:t>
      </w:r>
    </w:p>
    <w:p w14:paraId="1F39AF7B" w14:textId="77777777" w:rsidR="003B13ED" w:rsidRDefault="003B13ED" w:rsidP="003B13ED">
      <w:pPr>
        <w:ind w:firstLine="720"/>
        <w:rPr>
          <w:sz w:val="24"/>
          <w:szCs w:val="24"/>
        </w:rPr>
      </w:pPr>
      <w:r>
        <w:rPr>
          <w:sz w:val="24"/>
          <w:szCs w:val="24"/>
        </w:rPr>
        <w:t>66 per annum x 0.0833 hours (5 minutes) to register = 5.5 hours</w:t>
      </w:r>
    </w:p>
    <w:p w14:paraId="030DC606" w14:textId="2B06E413" w:rsidR="003B13ED" w:rsidRDefault="003B13ED" w:rsidP="003B13ED">
      <w:pPr>
        <w:ind w:firstLine="720"/>
        <w:rPr>
          <w:sz w:val="24"/>
          <w:szCs w:val="24"/>
        </w:rPr>
      </w:pPr>
      <w:r>
        <w:rPr>
          <w:sz w:val="24"/>
          <w:szCs w:val="24"/>
        </w:rPr>
        <w:t>Annualized Registration burden = 1.83 (2)</w:t>
      </w:r>
    </w:p>
    <w:p w14:paraId="42727A78" w14:textId="77777777" w:rsidR="003B13ED" w:rsidRDefault="003B13ED" w:rsidP="003B13ED">
      <w:pPr>
        <w:rPr>
          <w:sz w:val="24"/>
          <w:szCs w:val="24"/>
        </w:rPr>
      </w:pPr>
    </w:p>
    <w:p w14:paraId="3CD12078" w14:textId="77777777" w:rsidR="003B13ED" w:rsidRDefault="003B13ED" w:rsidP="003B13ED">
      <w:pPr>
        <w:rPr>
          <w:sz w:val="24"/>
          <w:szCs w:val="24"/>
        </w:rPr>
      </w:pPr>
      <w:r>
        <w:rPr>
          <w:sz w:val="24"/>
          <w:szCs w:val="24"/>
        </w:rPr>
        <w:t xml:space="preserve">With the requirement to register at a minimum report once per year or a maximum of 1 per month (12 reports per year).  The maximum </w:t>
      </w:r>
      <w:r w:rsidRPr="00EB6792">
        <w:rPr>
          <w:sz w:val="24"/>
          <w:szCs w:val="24"/>
        </w:rPr>
        <w:t>estimate is calculated as follows</w:t>
      </w:r>
      <w:r>
        <w:rPr>
          <w:sz w:val="24"/>
          <w:szCs w:val="24"/>
        </w:rPr>
        <w:t>:</w:t>
      </w:r>
    </w:p>
    <w:p w14:paraId="3DD76207" w14:textId="77777777" w:rsidR="003B13ED" w:rsidRDefault="003B13ED" w:rsidP="003B13ED">
      <w:pPr>
        <w:rPr>
          <w:sz w:val="24"/>
          <w:szCs w:val="24"/>
        </w:rPr>
      </w:pPr>
    </w:p>
    <w:p w14:paraId="0AD8767F" w14:textId="77777777" w:rsidR="003B13ED" w:rsidRPr="00E2190B" w:rsidRDefault="003B13ED" w:rsidP="003B13ED">
      <w:pPr>
        <w:rPr>
          <w:sz w:val="24"/>
          <w:szCs w:val="24"/>
          <w:u w:val="single"/>
        </w:rPr>
      </w:pPr>
      <w:r w:rsidRPr="00E2190B">
        <w:rPr>
          <w:sz w:val="24"/>
          <w:szCs w:val="24"/>
          <w:u w:val="single"/>
        </w:rPr>
        <w:t>Maximum Annual Reporting Burden</w:t>
      </w:r>
    </w:p>
    <w:p w14:paraId="2D469259" w14:textId="77777777" w:rsidR="003B13ED" w:rsidRDefault="003B13ED" w:rsidP="003B13ED">
      <w:pPr>
        <w:rPr>
          <w:sz w:val="24"/>
          <w:szCs w:val="24"/>
        </w:rPr>
      </w:pPr>
      <w:r>
        <w:rPr>
          <w:sz w:val="24"/>
          <w:szCs w:val="24"/>
        </w:rPr>
        <w:t xml:space="preserve">            66 </w:t>
      </w:r>
      <w:r w:rsidRPr="007D17EB">
        <w:rPr>
          <w:sz w:val="24"/>
          <w:szCs w:val="24"/>
        </w:rPr>
        <w:t>producers of</w:t>
      </w:r>
      <w:r>
        <w:rPr>
          <w:sz w:val="24"/>
          <w:szCs w:val="24"/>
        </w:rPr>
        <w:t xml:space="preserve"> </w:t>
      </w:r>
      <w:r w:rsidRPr="007D17EB">
        <w:rPr>
          <w:sz w:val="24"/>
          <w:szCs w:val="24"/>
        </w:rPr>
        <w:t xml:space="preserve">shrimp and </w:t>
      </w:r>
      <w:r>
        <w:rPr>
          <w:sz w:val="24"/>
          <w:szCs w:val="24"/>
        </w:rPr>
        <w:t>abalone for consumption as food/year = 66 per annum</w:t>
      </w:r>
    </w:p>
    <w:p w14:paraId="07691A41" w14:textId="77777777" w:rsidR="003B13ED" w:rsidRDefault="003B13ED" w:rsidP="003B13ED">
      <w:pPr>
        <w:ind w:firstLine="720"/>
        <w:rPr>
          <w:sz w:val="24"/>
          <w:szCs w:val="24"/>
        </w:rPr>
      </w:pPr>
      <w:r>
        <w:rPr>
          <w:sz w:val="24"/>
          <w:szCs w:val="24"/>
        </w:rPr>
        <w:t>66 per annum x 0.5 hours per report x 12 monthly reports = 33 hours</w:t>
      </w:r>
    </w:p>
    <w:p w14:paraId="6620F2BF" w14:textId="77777777" w:rsidR="003B13ED" w:rsidRDefault="003B13ED" w:rsidP="003B13ED">
      <w:pPr>
        <w:rPr>
          <w:sz w:val="24"/>
          <w:szCs w:val="24"/>
          <w:u w:val="single"/>
        </w:rPr>
      </w:pPr>
    </w:p>
    <w:p w14:paraId="190D8000" w14:textId="77777777" w:rsidR="003B13ED" w:rsidRPr="00E2190B" w:rsidRDefault="003B13ED" w:rsidP="003B13ED">
      <w:pPr>
        <w:rPr>
          <w:sz w:val="24"/>
          <w:szCs w:val="24"/>
          <w:u w:val="single"/>
        </w:rPr>
      </w:pPr>
      <w:r>
        <w:rPr>
          <w:sz w:val="24"/>
          <w:szCs w:val="24"/>
          <w:u w:val="single"/>
        </w:rPr>
        <w:t xml:space="preserve">Annualized </w:t>
      </w:r>
      <w:r w:rsidRPr="00E2190B">
        <w:rPr>
          <w:sz w:val="24"/>
          <w:szCs w:val="24"/>
          <w:u w:val="single"/>
        </w:rPr>
        <w:t>Registration and Reporting Burden</w:t>
      </w:r>
    </w:p>
    <w:p w14:paraId="35F44815" w14:textId="77777777" w:rsidR="003B13ED" w:rsidRDefault="003B13ED" w:rsidP="003B13ED">
      <w:pPr>
        <w:ind w:firstLine="720"/>
        <w:rPr>
          <w:b/>
          <w:sz w:val="24"/>
          <w:szCs w:val="24"/>
        </w:rPr>
      </w:pPr>
      <w:r>
        <w:rPr>
          <w:b/>
          <w:sz w:val="24"/>
          <w:szCs w:val="24"/>
        </w:rPr>
        <w:t>Annualized responses: 66/3 per registration = 22 + 792 reports = 814.</w:t>
      </w:r>
    </w:p>
    <w:p w14:paraId="777E1D6D" w14:textId="77777777" w:rsidR="003B13ED" w:rsidRDefault="003B13ED" w:rsidP="003B13ED">
      <w:pPr>
        <w:ind w:firstLine="720"/>
        <w:rPr>
          <w:b/>
          <w:sz w:val="24"/>
          <w:szCs w:val="24"/>
        </w:rPr>
      </w:pPr>
    </w:p>
    <w:p w14:paraId="3C3BC999" w14:textId="626B81C7" w:rsidR="003B13ED" w:rsidRPr="00B36158" w:rsidRDefault="003B13ED" w:rsidP="003B13ED">
      <w:pPr>
        <w:ind w:firstLine="720"/>
        <w:rPr>
          <w:b/>
          <w:sz w:val="24"/>
          <w:szCs w:val="24"/>
        </w:rPr>
      </w:pPr>
      <w:r w:rsidRPr="00B36158">
        <w:rPr>
          <w:b/>
          <w:sz w:val="24"/>
          <w:szCs w:val="24"/>
        </w:rPr>
        <w:t xml:space="preserve">Annualized registering burden hours: </w:t>
      </w:r>
      <w:r>
        <w:rPr>
          <w:b/>
          <w:sz w:val="24"/>
          <w:szCs w:val="24"/>
        </w:rPr>
        <w:t>2</w:t>
      </w:r>
      <w:r w:rsidRPr="00B36158">
        <w:rPr>
          <w:b/>
          <w:sz w:val="24"/>
          <w:szCs w:val="24"/>
        </w:rPr>
        <w:t xml:space="preserve"> +</w:t>
      </w:r>
      <w:r w:rsidR="007D547E">
        <w:rPr>
          <w:b/>
          <w:sz w:val="24"/>
          <w:szCs w:val="24"/>
        </w:rPr>
        <w:t xml:space="preserve"> </w:t>
      </w:r>
      <w:r w:rsidRPr="00B36158">
        <w:rPr>
          <w:b/>
          <w:sz w:val="24"/>
          <w:szCs w:val="24"/>
        </w:rPr>
        <w:t>3</w:t>
      </w:r>
      <w:r w:rsidR="007D547E">
        <w:rPr>
          <w:b/>
          <w:sz w:val="24"/>
          <w:szCs w:val="24"/>
        </w:rPr>
        <w:t>96</w:t>
      </w:r>
      <w:r w:rsidRPr="00B36158">
        <w:rPr>
          <w:b/>
          <w:sz w:val="24"/>
          <w:szCs w:val="24"/>
        </w:rPr>
        <w:t xml:space="preserve"> reporting burden hours = </w:t>
      </w:r>
      <w:r w:rsidR="007D547E">
        <w:rPr>
          <w:b/>
          <w:sz w:val="24"/>
          <w:szCs w:val="24"/>
        </w:rPr>
        <w:t>398</w:t>
      </w:r>
      <w:r w:rsidRPr="00B36158">
        <w:rPr>
          <w:b/>
          <w:sz w:val="24"/>
          <w:szCs w:val="24"/>
        </w:rPr>
        <w:t>.</w:t>
      </w:r>
    </w:p>
    <w:p w14:paraId="5CB1B4BE" w14:textId="77777777" w:rsidR="003B13ED" w:rsidRDefault="003B13ED" w:rsidP="003B13ED">
      <w:pPr>
        <w:ind w:firstLine="720"/>
        <w:rPr>
          <w:sz w:val="24"/>
          <w:szCs w:val="24"/>
        </w:rPr>
      </w:pPr>
    </w:p>
    <w:p w14:paraId="286FC5C6" w14:textId="77777777" w:rsidR="003B13ED" w:rsidRDefault="003B13ED" w:rsidP="003B13ED">
      <w:pPr>
        <w:ind w:firstLine="720"/>
        <w:rPr>
          <w:sz w:val="24"/>
          <w:szCs w:val="24"/>
        </w:rPr>
      </w:pPr>
    </w:p>
    <w:p w14:paraId="63031438" w14:textId="77777777" w:rsidR="003B13ED" w:rsidRDefault="003B13ED" w:rsidP="003B13ED">
      <w:pPr>
        <w:ind w:firstLine="720"/>
        <w:rPr>
          <w:sz w:val="24"/>
          <w:szCs w:val="24"/>
        </w:rPr>
      </w:pPr>
      <w:r>
        <w:rPr>
          <w:sz w:val="24"/>
          <w:szCs w:val="24"/>
        </w:rPr>
        <w:t>Labor cost for 1.83 hours: $19.76 (book-keeping/registration mean labor rate) x 1.83=$36.23</w:t>
      </w:r>
    </w:p>
    <w:p w14:paraId="082B99A4" w14:textId="4C718C82" w:rsidR="003B13ED" w:rsidRDefault="003B13ED" w:rsidP="003B13ED">
      <w:pPr>
        <w:ind w:firstLine="720"/>
        <w:rPr>
          <w:sz w:val="24"/>
          <w:szCs w:val="24"/>
        </w:rPr>
      </w:pPr>
      <w:r>
        <w:rPr>
          <w:sz w:val="24"/>
          <w:szCs w:val="24"/>
        </w:rPr>
        <w:t xml:space="preserve">Labor cost for </w:t>
      </w:r>
      <w:r w:rsidR="007D547E">
        <w:rPr>
          <w:sz w:val="24"/>
          <w:szCs w:val="24"/>
        </w:rPr>
        <w:t>396</w:t>
      </w:r>
      <w:r>
        <w:rPr>
          <w:sz w:val="24"/>
          <w:szCs w:val="24"/>
        </w:rPr>
        <w:t xml:space="preserve"> hours; $19.76 (book-keeping/reporting mean labor rate) x 33 = $</w:t>
      </w:r>
      <w:r w:rsidR="007D547E">
        <w:rPr>
          <w:sz w:val="24"/>
          <w:szCs w:val="24"/>
        </w:rPr>
        <w:t>7825</w:t>
      </w:r>
      <w:r>
        <w:rPr>
          <w:sz w:val="24"/>
          <w:szCs w:val="24"/>
        </w:rPr>
        <w:t>.</w:t>
      </w:r>
    </w:p>
    <w:p w14:paraId="0BB1CE45" w14:textId="6A5CBCBF" w:rsidR="003B13ED" w:rsidRDefault="003B13ED" w:rsidP="003B13ED">
      <w:pPr>
        <w:ind w:firstLine="720"/>
        <w:rPr>
          <w:sz w:val="24"/>
          <w:szCs w:val="24"/>
        </w:rPr>
      </w:pPr>
      <w:r>
        <w:rPr>
          <w:sz w:val="24"/>
          <w:szCs w:val="24"/>
        </w:rPr>
        <w:t xml:space="preserve">Total annualized labor cost: $36.23 + </w:t>
      </w:r>
      <w:r w:rsidR="007D547E">
        <w:rPr>
          <w:sz w:val="24"/>
          <w:szCs w:val="24"/>
        </w:rPr>
        <w:t>7824</w:t>
      </w:r>
      <w:r>
        <w:rPr>
          <w:sz w:val="24"/>
          <w:szCs w:val="24"/>
        </w:rPr>
        <w:t xml:space="preserve"> = $</w:t>
      </w:r>
      <w:r w:rsidR="007D547E">
        <w:rPr>
          <w:sz w:val="24"/>
          <w:szCs w:val="24"/>
        </w:rPr>
        <w:t>7860.96.</w:t>
      </w:r>
    </w:p>
    <w:p w14:paraId="3F42EE8E" w14:textId="77777777" w:rsidR="003B13ED" w:rsidRDefault="003B13ED" w:rsidP="003B13ED">
      <w:pPr>
        <w:rPr>
          <w:szCs w:val="24"/>
        </w:rPr>
      </w:pPr>
    </w:p>
    <w:p w14:paraId="2E706705" w14:textId="77777777" w:rsidR="00CC19E0" w:rsidRDefault="00CC19E0" w:rsidP="008B7F00">
      <w:pPr>
        <w:rPr>
          <w:szCs w:val="24"/>
        </w:rPr>
      </w:pPr>
    </w:p>
    <w:p w14:paraId="53AFA455" w14:textId="5A67E876" w:rsidR="004F26E9" w:rsidRDefault="004F26E9">
      <w:pPr>
        <w:rPr>
          <w:b/>
          <w:bCs/>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1B8BAC79" w14:textId="77777777" w:rsidR="009643F7" w:rsidRDefault="009643F7" w:rsidP="00350CFE">
      <w:pPr>
        <w:rPr>
          <w:sz w:val="24"/>
          <w:szCs w:val="24"/>
        </w:rPr>
      </w:pPr>
    </w:p>
    <w:p w14:paraId="0B2A2A55" w14:textId="69EF0E89" w:rsidR="00350CFE" w:rsidRPr="00EB6792" w:rsidRDefault="00350CFE" w:rsidP="00350CFE">
      <w:pPr>
        <w:rPr>
          <w:sz w:val="24"/>
          <w:szCs w:val="24"/>
        </w:rPr>
      </w:pPr>
      <w:r w:rsidRPr="00EB6792">
        <w:rPr>
          <w:sz w:val="24"/>
          <w:szCs w:val="24"/>
        </w:rPr>
        <w:t>Total r</w:t>
      </w:r>
      <w:r w:rsidR="009643F7">
        <w:rPr>
          <w:sz w:val="24"/>
          <w:szCs w:val="24"/>
        </w:rPr>
        <w:t xml:space="preserve">ecordkeeping/reporting costs: </w:t>
      </w:r>
      <w:r w:rsidRPr="00EB6792">
        <w:rPr>
          <w:sz w:val="24"/>
          <w:szCs w:val="24"/>
        </w:rPr>
        <w:t>First year</w:t>
      </w:r>
      <w:r w:rsidR="000E1131">
        <w:rPr>
          <w:sz w:val="24"/>
          <w:szCs w:val="24"/>
        </w:rPr>
        <w:t>:  $</w:t>
      </w:r>
      <w:r w:rsidR="00525151">
        <w:rPr>
          <w:sz w:val="24"/>
          <w:szCs w:val="24"/>
        </w:rPr>
        <w:t>1980</w:t>
      </w:r>
      <w:r w:rsidR="000E1131">
        <w:rPr>
          <w:sz w:val="24"/>
          <w:szCs w:val="24"/>
        </w:rPr>
        <w:t>, Ongoing:</w:t>
      </w:r>
      <w:r w:rsidRPr="00EB6792">
        <w:rPr>
          <w:sz w:val="24"/>
          <w:szCs w:val="24"/>
        </w:rPr>
        <w:t xml:space="preserve"> $</w:t>
      </w:r>
      <w:r w:rsidR="00525151">
        <w:rPr>
          <w:sz w:val="24"/>
          <w:szCs w:val="24"/>
        </w:rPr>
        <w:t>0</w:t>
      </w:r>
    </w:p>
    <w:p w14:paraId="1AA5F25A" w14:textId="130D7B6F" w:rsidR="00350CFE" w:rsidRDefault="00350CFE" w:rsidP="00350CFE">
      <w:pPr>
        <w:rPr>
          <w:sz w:val="24"/>
          <w:szCs w:val="24"/>
        </w:rPr>
      </w:pPr>
      <w:r w:rsidRPr="00EB6792">
        <w:rPr>
          <w:sz w:val="24"/>
          <w:szCs w:val="24"/>
        </w:rPr>
        <w:t>The estimate is calculated as follows</w:t>
      </w:r>
      <w:r w:rsidR="002E1384">
        <w:rPr>
          <w:sz w:val="24"/>
          <w:szCs w:val="24"/>
        </w:rPr>
        <w:t xml:space="preserve"> and summarized below</w:t>
      </w:r>
      <w:r w:rsidRPr="00EB6792">
        <w:rPr>
          <w:sz w:val="24"/>
          <w:szCs w:val="24"/>
        </w:rPr>
        <w:t>:</w:t>
      </w:r>
    </w:p>
    <w:p w14:paraId="77BC292A" w14:textId="18D91C2F" w:rsidR="002E1384" w:rsidRDefault="002E1384" w:rsidP="00350CFE">
      <w:pPr>
        <w:rPr>
          <w:sz w:val="24"/>
          <w:szCs w:val="24"/>
        </w:rPr>
      </w:pPr>
    </w:p>
    <w:p w14:paraId="24B15EDA" w14:textId="7CC37084" w:rsidR="00334BDB" w:rsidRPr="00EB6792" w:rsidRDefault="00334BDB" w:rsidP="00350CFE">
      <w:pPr>
        <w:rPr>
          <w:sz w:val="24"/>
          <w:szCs w:val="24"/>
          <w:u w:val="single"/>
        </w:rPr>
      </w:pPr>
      <w:r w:rsidRPr="00EB6792">
        <w:rPr>
          <w:sz w:val="24"/>
          <w:szCs w:val="24"/>
          <w:u w:val="single"/>
        </w:rPr>
        <w:t xml:space="preserve">First </w:t>
      </w:r>
      <w:r w:rsidR="007731A7">
        <w:rPr>
          <w:sz w:val="24"/>
          <w:szCs w:val="24"/>
          <w:u w:val="single"/>
        </w:rPr>
        <w:t>Y</w:t>
      </w:r>
      <w:r w:rsidRPr="00EB6792">
        <w:rPr>
          <w:sz w:val="24"/>
          <w:szCs w:val="24"/>
          <w:u w:val="single"/>
        </w:rPr>
        <w:t>ear Estimate</w:t>
      </w:r>
    </w:p>
    <w:p w14:paraId="71581426" w14:textId="4CFDA0F3" w:rsidR="00334BDB" w:rsidRPr="00EB6792" w:rsidRDefault="00525151" w:rsidP="00350CFE">
      <w:pPr>
        <w:rPr>
          <w:sz w:val="24"/>
          <w:szCs w:val="24"/>
        </w:rPr>
      </w:pPr>
      <w:r>
        <w:rPr>
          <w:sz w:val="24"/>
          <w:szCs w:val="24"/>
        </w:rPr>
        <w:t>66</w:t>
      </w:r>
      <w:r w:rsidRPr="00EB6792">
        <w:rPr>
          <w:sz w:val="24"/>
          <w:szCs w:val="24"/>
        </w:rPr>
        <w:t xml:space="preserve"> </w:t>
      </w:r>
      <w:r w:rsidR="00350CFE" w:rsidRPr="00EB6792">
        <w:rPr>
          <w:sz w:val="24"/>
          <w:szCs w:val="24"/>
        </w:rPr>
        <w:t xml:space="preserve">x </w:t>
      </w:r>
      <w:r w:rsidR="009643F7">
        <w:rPr>
          <w:sz w:val="24"/>
          <w:szCs w:val="24"/>
        </w:rPr>
        <w:t>$</w:t>
      </w:r>
      <w:r w:rsidR="00350CFE" w:rsidRPr="00EB6792">
        <w:rPr>
          <w:sz w:val="24"/>
          <w:szCs w:val="24"/>
        </w:rPr>
        <w:t xml:space="preserve">30 one time registration fee = </w:t>
      </w:r>
      <w:r w:rsidR="00877007" w:rsidRPr="00EB6792">
        <w:rPr>
          <w:sz w:val="24"/>
          <w:szCs w:val="24"/>
        </w:rPr>
        <w:t>$</w:t>
      </w:r>
      <w:r>
        <w:rPr>
          <w:sz w:val="24"/>
          <w:szCs w:val="24"/>
        </w:rPr>
        <w:t>1980</w:t>
      </w:r>
      <w:r w:rsidR="00350CFE" w:rsidRPr="00EB6792">
        <w:rPr>
          <w:sz w:val="24"/>
          <w:szCs w:val="24"/>
        </w:rPr>
        <w:t>.</w:t>
      </w:r>
    </w:p>
    <w:p w14:paraId="6369842A" w14:textId="0B415731" w:rsidR="007731A7" w:rsidRDefault="007731A7" w:rsidP="00EB6792">
      <w:pPr>
        <w:rPr>
          <w:sz w:val="24"/>
          <w:szCs w:val="24"/>
        </w:rPr>
      </w:pPr>
      <w:r w:rsidRPr="007731A7">
        <w:rPr>
          <w:sz w:val="24"/>
          <w:szCs w:val="24"/>
        </w:rPr>
        <w:t>$0 for data storage as these records are already required for tax and business purposes.</w:t>
      </w:r>
    </w:p>
    <w:p w14:paraId="64BAA813" w14:textId="042250A3" w:rsidR="00CC19E0" w:rsidRPr="003B13ED" w:rsidRDefault="00CC19E0" w:rsidP="00EB6792">
      <w:pPr>
        <w:rPr>
          <w:b/>
          <w:sz w:val="24"/>
          <w:szCs w:val="24"/>
        </w:rPr>
      </w:pPr>
      <w:r w:rsidRPr="003B13ED">
        <w:rPr>
          <w:b/>
          <w:sz w:val="24"/>
          <w:szCs w:val="24"/>
        </w:rPr>
        <w:t>Annualized total cost burden = $</w:t>
      </w:r>
      <w:r w:rsidR="00525151" w:rsidRPr="003B13ED">
        <w:rPr>
          <w:b/>
          <w:sz w:val="24"/>
          <w:szCs w:val="24"/>
        </w:rPr>
        <w:t>660</w:t>
      </w:r>
      <w:r w:rsidR="003B13ED" w:rsidRPr="003B13ED">
        <w:rPr>
          <w:b/>
          <w:sz w:val="24"/>
          <w:szCs w:val="24"/>
        </w:rPr>
        <w:t>.</w:t>
      </w:r>
    </w:p>
    <w:p w14:paraId="5BBBC436" w14:textId="77777777" w:rsidR="00EB6792" w:rsidRPr="00EB6792" w:rsidRDefault="00EB6792" w:rsidP="00350CFE">
      <w:pPr>
        <w:rPr>
          <w:sz w:val="24"/>
          <w:szCs w:val="24"/>
        </w:rPr>
      </w:pPr>
    </w:p>
    <w:p w14:paraId="57D92392" w14:textId="6C35094E" w:rsidR="004F26E9" w:rsidRDefault="004F26E9">
      <w:pPr>
        <w:rPr>
          <w:b/>
          <w:bCs/>
          <w:sz w:val="24"/>
          <w:szCs w:val="24"/>
        </w:rPr>
      </w:pPr>
      <w:r w:rsidRPr="00695D5B">
        <w:rPr>
          <w:b/>
          <w:bCs/>
          <w:sz w:val="24"/>
          <w:szCs w:val="24"/>
        </w:rPr>
        <w:t xml:space="preserve">14.  </w:t>
      </w:r>
      <w:r w:rsidRPr="00695D5B">
        <w:rPr>
          <w:b/>
          <w:bCs/>
          <w:sz w:val="24"/>
          <w:szCs w:val="24"/>
          <w:u w:val="single"/>
        </w:rPr>
        <w:t>Provide estimates of annualized cost to the Federal government</w:t>
      </w:r>
      <w:r w:rsidRPr="00695D5B">
        <w:rPr>
          <w:b/>
          <w:bCs/>
          <w:sz w:val="24"/>
          <w:szCs w:val="24"/>
        </w:rPr>
        <w:t>.</w:t>
      </w:r>
    </w:p>
    <w:p w14:paraId="2C97606A" w14:textId="054B114C" w:rsidR="00D801CE" w:rsidRDefault="00D801CE" w:rsidP="00D801CE">
      <w:pPr>
        <w:rPr>
          <w:bCs/>
          <w:sz w:val="24"/>
          <w:szCs w:val="24"/>
        </w:rPr>
      </w:pPr>
      <w:r w:rsidRPr="007D17EB">
        <w:rPr>
          <w:bCs/>
          <w:sz w:val="24"/>
          <w:szCs w:val="24"/>
        </w:rPr>
        <w:t xml:space="preserve">The estimated </w:t>
      </w:r>
      <w:r>
        <w:rPr>
          <w:bCs/>
          <w:sz w:val="24"/>
          <w:szCs w:val="24"/>
        </w:rPr>
        <w:t>cost for processing registrations and reports</w:t>
      </w:r>
      <w:r w:rsidR="00557037">
        <w:rPr>
          <w:bCs/>
          <w:sz w:val="24"/>
          <w:szCs w:val="24"/>
        </w:rPr>
        <w:t xml:space="preserve">, verifying data for accuracy, and identifying and investigating potential fraud </w:t>
      </w:r>
      <w:r>
        <w:rPr>
          <w:bCs/>
          <w:sz w:val="24"/>
          <w:szCs w:val="24"/>
        </w:rPr>
        <w:t xml:space="preserve">= </w:t>
      </w:r>
      <w:r w:rsidR="003449FB">
        <w:rPr>
          <w:bCs/>
          <w:sz w:val="24"/>
          <w:szCs w:val="24"/>
        </w:rPr>
        <w:t>$</w:t>
      </w:r>
      <w:r w:rsidR="00557037">
        <w:rPr>
          <w:bCs/>
          <w:sz w:val="24"/>
          <w:szCs w:val="24"/>
        </w:rPr>
        <w:t>94,892.50</w:t>
      </w:r>
    </w:p>
    <w:p w14:paraId="056BBE27" w14:textId="77777777" w:rsidR="003B13ED" w:rsidRDefault="003B13ED" w:rsidP="000E1131">
      <w:pPr>
        <w:rPr>
          <w:rFonts w:eastAsia="Arial Unicode MS"/>
          <w:sz w:val="24"/>
          <w:szCs w:val="24"/>
        </w:rPr>
      </w:pPr>
    </w:p>
    <w:p w14:paraId="19995161" w14:textId="4FE0FD8C" w:rsidR="000E1131" w:rsidRDefault="00D801CE" w:rsidP="000E1131">
      <w:pPr>
        <w:rPr>
          <w:rFonts w:eastAsia="Arial Unicode MS"/>
          <w:sz w:val="24"/>
          <w:szCs w:val="24"/>
        </w:rPr>
      </w:pPr>
      <w:r w:rsidRPr="00D801CE">
        <w:rPr>
          <w:rFonts w:eastAsia="Arial Unicode MS"/>
          <w:sz w:val="24"/>
          <w:szCs w:val="24"/>
        </w:rPr>
        <w:t>Business rules are programmed into the electronic reporting system established by NMFS to automatically validate that the registrant has populated all data fields that conform to format specifications.  Absent validation of the NMFS requirements in the registration portal, the report submission would be rejected and the registrant would be notified of the deficiencies that must be addressed in order for the report to be accepted.</w:t>
      </w:r>
      <w:r>
        <w:rPr>
          <w:rFonts w:eastAsia="Arial Unicode MS"/>
          <w:sz w:val="24"/>
          <w:szCs w:val="24"/>
        </w:rPr>
        <w:t xml:space="preserve"> </w:t>
      </w:r>
      <w:r w:rsidRPr="00D801CE">
        <w:rPr>
          <w:rFonts w:eastAsia="Arial Unicode MS"/>
          <w:sz w:val="24"/>
          <w:szCs w:val="24"/>
        </w:rPr>
        <w:tab/>
      </w:r>
    </w:p>
    <w:p w14:paraId="7D552904" w14:textId="77777777" w:rsidR="003B13ED" w:rsidRDefault="003B13ED" w:rsidP="000E1131">
      <w:pPr>
        <w:rPr>
          <w:bCs/>
          <w:sz w:val="24"/>
          <w:szCs w:val="24"/>
        </w:rPr>
      </w:pPr>
    </w:p>
    <w:p w14:paraId="5C6EAD3E" w14:textId="194814DD" w:rsidR="000E1131" w:rsidRDefault="000E1131" w:rsidP="000E1131">
      <w:pPr>
        <w:rPr>
          <w:bCs/>
          <w:sz w:val="24"/>
          <w:szCs w:val="24"/>
        </w:rPr>
      </w:pPr>
      <w:r>
        <w:rPr>
          <w:bCs/>
          <w:sz w:val="24"/>
          <w:szCs w:val="24"/>
        </w:rPr>
        <w:t>The estimate is calculated as follows:</w:t>
      </w:r>
    </w:p>
    <w:p w14:paraId="1CF911BF" w14:textId="29810075" w:rsidR="000E1131" w:rsidRDefault="000E1131" w:rsidP="000E1131">
      <w:pPr>
        <w:rPr>
          <w:bCs/>
          <w:sz w:val="24"/>
          <w:szCs w:val="24"/>
        </w:rPr>
      </w:pPr>
      <w:r>
        <w:rPr>
          <w:bCs/>
          <w:sz w:val="24"/>
          <w:szCs w:val="24"/>
        </w:rPr>
        <w:t>Subject Matter Expert annual rate of 20% of ZA03 for review, verification, data input, analysis and reports = $43,000.</w:t>
      </w:r>
    </w:p>
    <w:p w14:paraId="2EDECD19" w14:textId="77777777" w:rsidR="000E1131" w:rsidRDefault="000E1131" w:rsidP="00D801CE">
      <w:pPr>
        <w:rPr>
          <w:rFonts w:eastAsia="Arial Unicode MS"/>
          <w:sz w:val="24"/>
          <w:szCs w:val="24"/>
        </w:rPr>
      </w:pPr>
    </w:p>
    <w:p w14:paraId="3F8BB1F1" w14:textId="07E66D96" w:rsidR="000E1131" w:rsidRDefault="00D801CE" w:rsidP="00D801CE">
      <w:pPr>
        <w:rPr>
          <w:rFonts w:eastAsia="Arial Unicode MS"/>
          <w:sz w:val="24"/>
          <w:szCs w:val="24"/>
        </w:rPr>
      </w:pPr>
      <w:r w:rsidRPr="00D801CE">
        <w:rPr>
          <w:rFonts w:eastAsia="Arial Unicode MS"/>
          <w:sz w:val="24"/>
          <w:szCs w:val="24"/>
        </w:rPr>
        <w:t>In addition to automated validation of the data submitted, entries may be subject to verification by NMFS</w:t>
      </w:r>
      <w:r w:rsidR="000E1131">
        <w:rPr>
          <w:rFonts w:eastAsia="Arial Unicode MS"/>
          <w:sz w:val="24"/>
          <w:szCs w:val="24"/>
        </w:rPr>
        <w:t xml:space="preserve"> Office of Law Enforcement</w:t>
      </w:r>
      <w:r w:rsidRPr="00D801CE">
        <w:rPr>
          <w:rFonts w:eastAsia="Arial Unicode MS"/>
          <w:sz w:val="24"/>
          <w:szCs w:val="24"/>
        </w:rPr>
        <w:t xml:space="preserve"> </w:t>
      </w:r>
      <w:r w:rsidR="006A6C22">
        <w:rPr>
          <w:rFonts w:eastAsia="Arial Unicode MS"/>
          <w:sz w:val="24"/>
          <w:szCs w:val="24"/>
        </w:rPr>
        <w:t xml:space="preserve">(OLE) </w:t>
      </w:r>
      <w:r w:rsidRPr="00D801CE">
        <w:rPr>
          <w:rFonts w:eastAsia="Arial Unicode MS"/>
          <w:sz w:val="24"/>
          <w:szCs w:val="24"/>
        </w:rPr>
        <w:t>that the supplied data elements are true and can be corroborated via auditing procedures (e.g., production was authorized by the local authority where applicable, processor receipts correspond to outputs/deliveries)</w:t>
      </w:r>
      <w:r w:rsidR="000E1131">
        <w:rPr>
          <w:rFonts w:eastAsia="Arial Unicode MS"/>
          <w:sz w:val="24"/>
          <w:szCs w:val="24"/>
        </w:rPr>
        <w:t xml:space="preserve">.  In the event information cannot be verified via the automated process, OLE would be required to investigate any suspected misreported or fraudulent entries that were selected for audit.  </w:t>
      </w:r>
    </w:p>
    <w:p w14:paraId="545A3CBB" w14:textId="07D7F6CB" w:rsidR="00D801CE" w:rsidRDefault="000E1131" w:rsidP="00D801CE">
      <w:pPr>
        <w:rPr>
          <w:rFonts w:eastAsia="Arial Unicode MS"/>
          <w:sz w:val="24"/>
          <w:szCs w:val="24"/>
        </w:rPr>
      </w:pPr>
      <w:r>
        <w:rPr>
          <w:rFonts w:eastAsia="Arial Unicode MS"/>
          <w:sz w:val="24"/>
          <w:szCs w:val="24"/>
        </w:rPr>
        <w:t xml:space="preserve">The estimate is calculated as follows. </w:t>
      </w:r>
    </w:p>
    <w:p w14:paraId="4C81CBFC" w14:textId="4D2002D3" w:rsidR="00D801CE" w:rsidRPr="00D801CE" w:rsidRDefault="000E1131" w:rsidP="000E1131">
      <w:pPr>
        <w:rPr>
          <w:bCs/>
          <w:sz w:val="24"/>
          <w:szCs w:val="24"/>
        </w:rPr>
      </w:pPr>
      <w:r>
        <w:rPr>
          <w:rFonts w:eastAsia="Arial Unicode MS"/>
          <w:sz w:val="24"/>
          <w:szCs w:val="24"/>
        </w:rPr>
        <w:t>On average, 25% of 1- 2 FTE OLE officers at the top of band 2/3 for review and investigation of audit reports = $</w:t>
      </w:r>
      <w:r w:rsidR="00557037">
        <w:rPr>
          <w:rFonts w:eastAsia="Arial Unicode MS"/>
          <w:sz w:val="24"/>
          <w:szCs w:val="24"/>
        </w:rPr>
        <w:t>51,892.50</w:t>
      </w:r>
      <w:r w:rsidR="003B13ED">
        <w:rPr>
          <w:rFonts w:eastAsia="Arial Unicode MS"/>
          <w:sz w:val="24"/>
          <w:szCs w:val="24"/>
        </w:rPr>
        <w:t>.</w:t>
      </w:r>
    </w:p>
    <w:p w14:paraId="3DCB9078" w14:textId="77777777" w:rsidR="000E1131" w:rsidRPr="00695D5B" w:rsidRDefault="000E1131" w:rsidP="00877007">
      <w:pPr>
        <w:rPr>
          <w:sz w:val="24"/>
          <w:szCs w:val="24"/>
        </w:rPr>
      </w:pPr>
    </w:p>
    <w:p w14:paraId="4388F956" w14:textId="77777777" w:rsidR="00D06877" w:rsidRPr="009823F8" w:rsidRDefault="00D06877" w:rsidP="009823F8">
      <w:pPr>
        <w:rPr>
          <w:sz w:val="24"/>
          <w:szCs w:val="24"/>
        </w:rPr>
      </w:pPr>
    </w:p>
    <w:p w14:paraId="78D2427D"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354DA4FB" w14:textId="77777777" w:rsidR="004F26E9" w:rsidRDefault="004F26E9">
      <w:pPr>
        <w:rPr>
          <w:sz w:val="24"/>
          <w:szCs w:val="24"/>
        </w:rPr>
      </w:pPr>
    </w:p>
    <w:p w14:paraId="78341E90" w14:textId="751F6A00" w:rsidR="003C0337" w:rsidRPr="00B5267F" w:rsidRDefault="005F5737">
      <w:pPr>
        <w:rPr>
          <w:spacing w:val="-2"/>
          <w:sz w:val="24"/>
          <w:szCs w:val="24"/>
        </w:rPr>
      </w:pPr>
      <w:r>
        <w:rPr>
          <w:spacing w:val="-2"/>
          <w:sz w:val="24"/>
          <w:szCs w:val="24"/>
        </w:rPr>
        <w:t>This is a</w:t>
      </w:r>
      <w:r w:rsidR="00C20972">
        <w:rPr>
          <w:spacing w:val="-2"/>
          <w:sz w:val="24"/>
          <w:szCs w:val="24"/>
        </w:rPr>
        <w:t xml:space="preserve"> new collection.</w:t>
      </w:r>
    </w:p>
    <w:p w14:paraId="7F031A49" w14:textId="77777777" w:rsidR="00D82BA0" w:rsidRDefault="00D82BA0">
      <w:pPr>
        <w:rPr>
          <w:b/>
          <w:bCs/>
          <w:sz w:val="24"/>
          <w:szCs w:val="24"/>
        </w:rPr>
      </w:pPr>
    </w:p>
    <w:p w14:paraId="35144C8B"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66C94B3B" w14:textId="77777777" w:rsidR="004F26E9" w:rsidRDefault="004F26E9">
      <w:pPr>
        <w:rPr>
          <w:sz w:val="24"/>
          <w:szCs w:val="24"/>
        </w:rPr>
      </w:pPr>
    </w:p>
    <w:p w14:paraId="5358155C" w14:textId="310250DF" w:rsidR="00B5267F" w:rsidRDefault="007E59A9" w:rsidP="00B5267F">
      <w:pPr>
        <w:widowControl/>
        <w:rPr>
          <w:sz w:val="24"/>
          <w:szCs w:val="24"/>
        </w:rPr>
      </w:pPr>
      <w:r>
        <w:rPr>
          <w:sz w:val="24"/>
          <w:szCs w:val="24"/>
        </w:rPr>
        <w:t xml:space="preserve">NMFS </w:t>
      </w:r>
      <w:r w:rsidR="00C20972">
        <w:rPr>
          <w:sz w:val="24"/>
          <w:szCs w:val="24"/>
        </w:rPr>
        <w:t xml:space="preserve">does not plan to publish data collected under this program.  </w:t>
      </w:r>
      <w:r>
        <w:rPr>
          <w:sz w:val="24"/>
          <w:szCs w:val="24"/>
        </w:rPr>
        <w:t xml:space="preserve">NMFS </w:t>
      </w:r>
      <w:r w:rsidR="003200F8">
        <w:rPr>
          <w:sz w:val="24"/>
          <w:szCs w:val="24"/>
        </w:rPr>
        <w:t xml:space="preserve">may report aggregate statistics on the </w:t>
      </w:r>
      <w:r w:rsidR="00C20972">
        <w:rPr>
          <w:sz w:val="24"/>
          <w:szCs w:val="24"/>
        </w:rPr>
        <w:t xml:space="preserve">number of registrants and production for the benefit of industry, such as </w:t>
      </w:r>
      <w:r>
        <w:rPr>
          <w:sz w:val="24"/>
          <w:szCs w:val="24"/>
        </w:rPr>
        <w:t xml:space="preserve">NMFS’s </w:t>
      </w:r>
      <w:r w:rsidR="00C20972">
        <w:rPr>
          <w:sz w:val="24"/>
          <w:szCs w:val="24"/>
        </w:rPr>
        <w:t>annual Fisheries of the United States report</w:t>
      </w:r>
      <w:r w:rsidR="003200F8">
        <w:rPr>
          <w:sz w:val="24"/>
          <w:szCs w:val="24"/>
        </w:rPr>
        <w:t>.</w:t>
      </w:r>
    </w:p>
    <w:p w14:paraId="75385F15" w14:textId="77777777" w:rsidR="00D62965" w:rsidRDefault="00D62965" w:rsidP="00B5267F">
      <w:pPr>
        <w:widowControl/>
      </w:pPr>
    </w:p>
    <w:p w14:paraId="0EA4A1B7" w14:textId="77777777" w:rsidR="000900CF" w:rsidRPr="00F21F30" w:rsidRDefault="000900CF" w:rsidP="00B5267F">
      <w:pPr>
        <w:widowControl/>
      </w:pPr>
    </w:p>
    <w:p w14:paraId="5CDCB156"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198C1180" w14:textId="77777777" w:rsidR="004F26E9" w:rsidRDefault="004F26E9">
      <w:pPr>
        <w:rPr>
          <w:sz w:val="24"/>
          <w:szCs w:val="24"/>
        </w:rPr>
      </w:pPr>
    </w:p>
    <w:p w14:paraId="2D882C80" w14:textId="41ED0774" w:rsidR="005632BB" w:rsidRDefault="007601FD">
      <w:pPr>
        <w:rPr>
          <w:sz w:val="24"/>
          <w:szCs w:val="24"/>
        </w:rPr>
      </w:pPr>
      <w:r>
        <w:rPr>
          <w:sz w:val="24"/>
          <w:szCs w:val="24"/>
        </w:rPr>
        <w:t>NA.</w:t>
      </w:r>
    </w:p>
    <w:p w14:paraId="4F9BDA15" w14:textId="77777777" w:rsidR="00D06877" w:rsidRDefault="00D06877">
      <w:pPr>
        <w:rPr>
          <w:b/>
          <w:bCs/>
          <w:sz w:val="24"/>
          <w:szCs w:val="24"/>
        </w:rPr>
      </w:pPr>
    </w:p>
    <w:p w14:paraId="290A4660" w14:textId="77777777" w:rsidR="00D06877" w:rsidRDefault="00D06877">
      <w:pPr>
        <w:rPr>
          <w:b/>
          <w:bCs/>
          <w:sz w:val="24"/>
          <w:szCs w:val="24"/>
        </w:rPr>
      </w:pPr>
    </w:p>
    <w:p w14:paraId="0A3A9630"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04A06397" w14:textId="77777777" w:rsidR="004F26E9" w:rsidRDefault="004F26E9">
      <w:pPr>
        <w:rPr>
          <w:sz w:val="24"/>
          <w:szCs w:val="24"/>
        </w:rPr>
      </w:pPr>
    </w:p>
    <w:p w14:paraId="18195B85" w14:textId="77777777" w:rsidR="00B5267F" w:rsidRPr="00B5267F" w:rsidRDefault="00B5267F" w:rsidP="00B5267F">
      <w:pPr>
        <w:adjustRightInd/>
        <w:rPr>
          <w:spacing w:val="-2"/>
          <w:sz w:val="24"/>
          <w:szCs w:val="24"/>
        </w:rPr>
      </w:pPr>
      <w:r w:rsidRPr="00B5267F">
        <w:rPr>
          <w:sz w:val="24"/>
          <w:szCs w:val="24"/>
        </w:rPr>
        <w:t>There are no exceptions.</w:t>
      </w:r>
      <w:r>
        <w:rPr>
          <w:sz w:val="24"/>
          <w:szCs w:val="24"/>
        </w:rPr>
        <w:t xml:space="preserve">  </w:t>
      </w:r>
      <w:r w:rsidRPr="00B5267F">
        <w:rPr>
          <w:spacing w:val="-2"/>
          <w:sz w:val="24"/>
          <w:szCs w:val="24"/>
        </w:rPr>
        <w:t>Not applicable.</w:t>
      </w:r>
    </w:p>
    <w:p w14:paraId="1FD8B19E" w14:textId="77777777" w:rsidR="004F26E9" w:rsidRDefault="004F26E9">
      <w:pPr>
        <w:rPr>
          <w:sz w:val="24"/>
          <w:szCs w:val="24"/>
        </w:rPr>
      </w:pPr>
    </w:p>
    <w:p w14:paraId="5722CBFF" w14:textId="77777777" w:rsidR="000900CF" w:rsidRDefault="000900CF">
      <w:pPr>
        <w:rPr>
          <w:sz w:val="24"/>
          <w:szCs w:val="24"/>
        </w:rPr>
      </w:pPr>
    </w:p>
    <w:p w14:paraId="6CF8C80E" w14:textId="77777777" w:rsidR="004F26E9" w:rsidRDefault="004F26E9">
      <w:pPr>
        <w:rPr>
          <w:sz w:val="24"/>
          <w:szCs w:val="24"/>
        </w:rPr>
      </w:pPr>
      <w:r>
        <w:rPr>
          <w:b/>
          <w:bCs/>
          <w:sz w:val="24"/>
          <w:szCs w:val="24"/>
        </w:rPr>
        <w:t>B.  COLLECTIONS OF INFORMATION EMPLOYING STATISTICAL METHODS</w:t>
      </w:r>
    </w:p>
    <w:p w14:paraId="1F1FB9CC" w14:textId="77777777" w:rsidR="00E6654B" w:rsidRDefault="00E6654B" w:rsidP="00E6654B">
      <w:pPr>
        <w:pStyle w:val="Default"/>
        <w:rPr>
          <w:rFonts w:ascii="Times New Roman" w:hAnsi="Times New Roman"/>
          <w:szCs w:val="24"/>
        </w:rPr>
      </w:pPr>
    </w:p>
    <w:p w14:paraId="1F279291" w14:textId="77777777" w:rsidR="00E6654B" w:rsidRPr="00A03462" w:rsidRDefault="00E6654B" w:rsidP="00E6654B">
      <w:pPr>
        <w:pStyle w:val="Default"/>
        <w:rPr>
          <w:rFonts w:ascii="Times New Roman" w:hAnsi="Times New Roman"/>
          <w:szCs w:val="24"/>
        </w:rPr>
      </w:pPr>
      <w:r w:rsidRPr="00A03462">
        <w:rPr>
          <w:rFonts w:ascii="Times New Roman" w:hAnsi="Times New Roman"/>
          <w:szCs w:val="24"/>
        </w:rPr>
        <w:t xml:space="preserve">This collection does not employ statistical methods. </w:t>
      </w:r>
    </w:p>
    <w:sectPr w:rsidR="00E6654B" w:rsidRPr="00A03462">
      <w:footerReference w:type="default" r:id="rId53"/>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6702E" w14:textId="77777777" w:rsidR="00690B07" w:rsidRDefault="00690B07">
      <w:r>
        <w:separator/>
      </w:r>
    </w:p>
  </w:endnote>
  <w:endnote w:type="continuationSeparator" w:id="0">
    <w:p w14:paraId="0A596029" w14:textId="77777777" w:rsidR="00690B07" w:rsidRDefault="00690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08C75" w14:textId="23F4A1C1" w:rsidR="00525151" w:rsidRDefault="0052515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04418A">
      <w:rPr>
        <w:rStyle w:val="PageNumber"/>
        <w:noProof/>
        <w:sz w:val="24"/>
        <w:szCs w:val="24"/>
      </w:rPr>
      <w:t>1</w:t>
    </w:r>
    <w:r>
      <w:rPr>
        <w:rStyle w:val="PageNumber"/>
        <w:sz w:val="24"/>
        <w:szCs w:val="24"/>
      </w:rPr>
      <w:fldChar w:fldCharType="end"/>
    </w:r>
  </w:p>
  <w:p w14:paraId="276948C3" w14:textId="77777777" w:rsidR="00525151" w:rsidRDefault="005251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0F6C6" w14:textId="436F55A5" w:rsidR="00525151" w:rsidRDefault="00525151">
    <w:pPr>
      <w:pStyle w:val="Footer"/>
      <w:jc w:val="center"/>
    </w:pPr>
    <w:r>
      <w:fldChar w:fldCharType="begin"/>
    </w:r>
    <w:r>
      <w:instrText xml:space="preserve"> PAGE   \* MERGEFORMAT </w:instrText>
    </w:r>
    <w:r>
      <w:fldChar w:fldCharType="separate"/>
    </w:r>
    <w:r w:rsidR="0004418A">
      <w:rPr>
        <w:noProof/>
      </w:rPr>
      <w:t>2</w:t>
    </w:r>
    <w:r>
      <w:fldChar w:fldCharType="end"/>
    </w:r>
  </w:p>
  <w:p w14:paraId="20E7BF81" w14:textId="77777777" w:rsidR="00525151" w:rsidRDefault="00525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E90D5" w14:textId="77777777" w:rsidR="00690B07" w:rsidRDefault="00690B07">
      <w:r>
        <w:separator/>
      </w:r>
    </w:p>
  </w:footnote>
  <w:footnote w:type="continuationSeparator" w:id="0">
    <w:p w14:paraId="1A620EF2" w14:textId="77777777" w:rsidR="00690B07" w:rsidRDefault="00690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B1D17"/>
    <w:multiLevelType w:val="hybridMultilevel"/>
    <w:tmpl w:val="4A7A8C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211EA"/>
    <w:multiLevelType w:val="hybridMultilevel"/>
    <w:tmpl w:val="7D6A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79264B5"/>
    <w:multiLevelType w:val="hybridMultilevel"/>
    <w:tmpl w:val="68DC49A2"/>
    <w:lvl w:ilvl="0" w:tplc="2298A9B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2C0"/>
    <w:rsid w:val="000034E5"/>
    <w:rsid w:val="00003B59"/>
    <w:rsid w:val="000042DB"/>
    <w:rsid w:val="00011D4E"/>
    <w:rsid w:val="00014305"/>
    <w:rsid w:val="000153B7"/>
    <w:rsid w:val="0001691F"/>
    <w:rsid w:val="0001753C"/>
    <w:rsid w:val="00025339"/>
    <w:rsid w:val="0002604F"/>
    <w:rsid w:val="000260E9"/>
    <w:rsid w:val="00031002"/>
    <w:rsid w:val="00034159"/>
    <w:rsid w:val="00040489"/>
    <w:rsid w:val="00041420"/>
    <w:rsid w:val="000432AE"/>
    <w:rsid w:val="00043A24"/>
    <w:rsid w:val="0004418A"/>
    <w:rsid w:val="00044DE2"/>
    <w:rsid w:val="00045A1B"/>
    <w:rsid w:val="00045EB2"/>
    <w:rsid w:val="000503FA"/>
    <w:rsid w:val="00051317"/>
    <w:rsid w:val="00053817"/>
    <w:rsid w:val="000545F4"/>
    <w:rsid w:val="00055166"/>
    <w:rsid w:val="00056DB5"/>
    <w:rsid w:val="0006005E"/>
    <w:rsid w:val="00060FC2"/>
    <w:rsid w:val="00066BF6"/>
    <w:rsid w:val="0007356F"/>
    <w:rsid w:val="000749A6"/>
    <w:rsid w:val="00077E1F"/>
    <w:rsid w:val="000801CB"/>
    <w:rsid w:val="00082547"/>
    <w:rsid w:val="00085F87"/>
    <w:rsid w:val="000869B9"/>
    <w:rsid w:val="000900CF"/>
    <w:rsid w:val="00090CCE"/>
    <w:rsid w:val="00090CE7"/>
    <w:rsid w:val="00096F86"/>
    <w:rsid w:val="0009744D"/>
    <w:rsid w:val="000A766E"/>
    <w:rsid w:val="000A7C4F"/>
    <w:rsid w:val="000B30FD"/>
    <w:rsid w:val="000B3BE8"/>
    <w:rsid w:val="000B6C0F"/>
    <w:rsid w:val="000B6EF5"/>
    <w:rsid w:val="000C33AC"/>
    <w:rsid w:val="000C5AC3"/>
    <w:rsid w:val="000C5F4E"/>
    <w:rsid w:val="000D2F96"/>
    <w:rsid w:val="000D7A9B"/>
    <w:rsid w:val="000E1131"/>
    <w:rsid w:val="000E3360"/>
    <w:rsid w:val="000E3442"/>
    <w:rsid w:val="000F0B7E"/>
    <w:rsid w:val="000F116F"/>
    <w:rsid w:val="000F1645"/>
    <w:rsid w:val="001059BA"/>
    <w:rsid w:val="00105A26"/>
    <w:rsid w:val="00106846"/>
    <w:rsid w:val="00107F5D"/>
    <w:rsid w:val="0011414A"/>
    <w:rsid w:val="001152FE"/>
    <w:rsid w:val="001158EC"/>
    <w:rsid w:val="0012073B"/>
    <w:rsid w:val="00122051"/>
    <w:rsid w:val="001233F9"/>
    <w:rsid w:val="00125590"/>
    <w:rsid w:val="001258C9"/>
    <w:rsid w:val="00127924"/>
    <w:rsid w:val="00133D5C"/>
    <w:rsid w:val="001340CF"/>
    <w:rsid w:val="00136EDF"/>
    <w:rsid w:val="00136F81"/>
    <w:rsid w:val="00137351"/>
    <w:rsid w:val="00153819"/>
    <w:rsid w:val="001601E3"/>
    <w:rsid w:val="00160D0B"/>
    <w:rsid w:val="00161508"/>
    <w:rsid w:val="00167441"/>
    <w:rsid w:val="00177C10"/>
    <w:rsid w:val="00183721"/>
    <w:rsid w:val="00184D2C"/>
    <w:rsid w:val="0018501B"/>
    <w:rsid w:val="00186240"/>
    <w:rsid w:val="001925DF"/>
    <w:rsid w:val="001A431F"/>
    <w:rsid w:val="001A434A"/>
    <w:rsid w:val="001A68BE"/>
    <w:rsid w:val="001C0D30"/>
    <w:rsid w:val="001C37F9"/>
    <w:rsid w:val="001D3301"/>
    <w:rsid w:val="001D400D"/>
    <w:rsid w:val="001D4693"/>
    <w:rsid w:val="001E3052"/>
    <w:rsid w:val="001E34B8"/>
    <w:rsid w:val="001E36EE"/>
    <w:rsid w:val="001E6F72"/>
    <w:rsid w:val="001F19F0"/>
    <w:rsid w:val="001F3EBB"/>
    <w:rsid w:val="001F428D"/>
    <w:rsid w:val="002024E6"/>
    <w:rsid w:val="00203017"/>
    <w:rsid w:val="00203DD4"/>
    <w:rsid w:val="0021080E"/>
    <w:rsid w:val="002153A0"/>
    <w:rsid w:val="002160CB"/>
    <w:rsid w:val="00217D4B"/>
    <w:rsid w:val="00217FBE"/>
    <w:rsid w:val="0022635C"/>
    <w:rsid w:val="002319B3"/>
    <w:rsid w:val="00237342"/>
    <w:rsid w:val="00240722"/>
    <w:rsid w:val="00247D7C"/>
    <w:rsid w:val="00253B36"/>
    <w:rsid w:val="002553F7"/>
    <w:rsid w:val="00255E9A"/>
    <w:rsid w:val="00264219"/>
    <w:rsid w:val="00266EDB"/>
    <w:rsid w:val="00267D47"/>
    <w:rsid w:val="0027112C"/>
    <w:rsid w:val="0027144B"/>
    <w:rsid w:val="00274FCB"/>
    <w:rsid w:val="00295557"/>
    <w:rsid w:val="00297735"/>
    <w:rsid w:val="002A271C"/>
    <w:rsid w:val="002B03FE"/>
    <w:rsid w:val="002B27B0"/>
    <w:rsid w:val="002B3770"/>
    <w:rsid w:val="002B523D"/>
    <w:rsid w:val="002B595B"/>
    <w:rsid w:val="002C41E9"/>
    <w:rsid w:val="002C6158"/>
    <w:rsid w:val="002C7151"/>
    <w:rsid w:val="002D2A43"/>
    <w:rsid w:val="002D63C1"/>
    <w:rsid w:val="002E1384"/>
    <w:rsid w:val="002E1917"/>
    <w:rsid w:val="002F1670"/>
    <w:rsid w:val="002F1C20"/>
    <w:rsid w:val="002F783F"/>
    <w:rsid w:val="002F7FCC"/>
    <w:rsid w:val="00315123"/>
    <w:rsid w:val="00315C7E"/>
    <w:rsid w:val="003200F8"/>
    <w:rsid w:val="003216D4"/>
    <w:rsid w:val="00327165"/>
    <w:rsid w:val="003302DE"/>
    <w:rsid w:val="00331481"/>
    <w:rsid w:val="00334BDB"/>
    <w:rsid w:val="003449FB"/>
    <w:rsid w:val="0035098B"/>
    <w:rsid w:val="00350CFE"/>
    <w:rsid w:val="00354D0C"/>
    <w:rsid w:val="00357CEF"/>
    <w:rsid w:val="00374E59"/>
    <w:rsid w:val="003816E1"/>
    <w:rsid w:val="00383279"/>
    <w:rsid w:val="003847F1"/>
    <w:rsid w:val="00394169"/>
    <w:rsid w:val="003953D4"/>
    <w:rsid w:val="003971F2"/>
    <w:rsid w:val="003974D3"/>
    <w:rsid w:val="003A40B7"/>
    <w:rsid w:val="003A62F3"/>
    <w:rsid w:val="003A6FF0"/>
    <w:rsid w:val="003B13ED"/>
    <w:rsid w:val="003B1553"/>
    <w:rsid w:val="003B2468"/>
    <w:rsid w:val="003B3257"/>
    <w:rsid w:val="003B3FBE"/>
    <w:rsid w:val="003C0337"/>
    <w:rsid w:val="003C14C5"/>
    <w:rsid w:val="003D2336"/>
    <w:rsid w:val="003D621B"/>
    <w:rsid w:val="003E791D"/>
    <w:rsid w:val="003E7F56"/>
    <w:rsid w:val="003F5703"/>
    <w:rsid w:val="003F7A33"/>
    <w:rsid w:val="004007F0"/>
    <w:rsid w:val="00414CBE"/>
    <w:rsid w:val="0041684A"/>
    <w:rsid w:val="004237CA"/>
    <w:rsid w:val="00425D53"/>
    <w:rsid w:val="0042763E"/>
    <w:rsid w:val="0042798D"/>
    <w:rsid w:val="00434A37"/>
    <w:rsid w:val="00437D5C"/>
    <w:rsid w:val="00444299"/>
    <w:rsid w:val="00444BDF"/>
    <w:rsid w:val="00447883"/>
    <w:rsid w:val="004478AF"/>
    <w:rsid w:val="00456AAB"/>
    <w:rsid w:val="00460CB8"/>
    <w:rsid w:val="00461EFA"/>
    <w:rsid w:val="00463182"/>
    <w:rsid w:val="004632C2"/>
    <w:rsid w:val="00463A24"/>
    <w:rsid w:val="00465745"/>
    <w:rsid w:val="00466DD3"/>
    <w:rsid w:val="00471861"/>
    <w:rsid w:val="00485ECF"/>
    <w:rsid w:val="00486ABC"/>
    <w:rsid w:val="0049487C"/>
    <w:rsid w:val="004A2E90"/>
    <w:rsid w:val="004A380D"/>
    <w:rsid w:val="004A41BC"/>
    <w:rsid w:val="004A7DC8"/>
    <w:rsid w:val="004B6ADD"/>
    <w:rsid w:val="004C36DB"/>
    <w:rsid w:val="004C65BD"/>
    <w:rsid w:val="004D4106"/>
    <w:rsid w:val="004D5675"/>
    <w:rsid w:val="004E2F7B"/>
    <w:rsid w:val="004F1478"/>
    <w:rsid w:val="004F26E9"/>
    <w:rsid w:val="004F333D"/>
    <w:rsid w:val="004F5008"/>
    <w:rsid w:val="004F56B3"/>
    <w:rsid w:val="00501F6C"/>
    <w:rsid w:val="0050313B"/>
    <w:rsid w:val="00522C85"/>
    <w:rsid w:val="00525151"/>
    <w:rsid w:val="00532DD5"/>
    <w:rsid w:val="005362A6"/>
    <w:rsid w:val="00547C5F"/>
    <w:rsid w:val="00550EE3"/>
    <w:rsid w:val="00553509"/>
    <w:rsid w:val="005556CC"/>
    <w:rsid w:val="00557037"/>
    <w:rsid w:val="00562160"/>
    <w:rsid w:val="005632BB"/>
    <w:rsid w:val="005707D9"/>
    <w:rsid w:val="00571A45"/>
    <w:rsid w:val="0057534F"/>
    <w:rsid w:val="00575D41"/>
    <w:rsid w:val="00576187"/>
    <w:rsid w:val="00582389"/>
    <w:rsid w:val="00582976"/>
    <w:rsid w:val="00585107"/>
    <w:rsid w:val="00593E22"/>
    <w:rsid w:val="005953D4"/>
    <w:rsid w:val="00595F0C"/>
    <w:rsid w:val="0059624C"/>
    <w:rsid w:val="005A1D57"/>
    <w:rsid w:val="005A3EFA"/>
    <w:rsid w:val="005B14E9"/>
    <w:rsid w:val="005B2C75"/>
    <w:rsid w:val="005B4345"/>
    <w:rsid w:val="005B76CC"/>
    <w:rsid w:val="005B7F70"/>
    <w:rsid w:val="005C1616"/>
    <w:rsid w:val="005C6FD6"/>
    <w:rsid w:val="005D0365"/>
    <w:rsid w:val="005D3675"/>
    <w:rsid w:val="005D42DD"/>
    <w:rsid w:val="005E152F"/>
    <w:rsid w:val="005E25A5"/>
    <w:rsid w:val="005E4FF0"/>
    <w:rsid w:val="005E6742"/>
    <w:rsid w:val="005F5737"/>
    <w:rsid w:val="005F62A8"/>
    <w:rsid w:val="005F6F98"/>
    <w:rsid w:val="0060153C"/>
    <w:rsid w:val="00602197"/>
    <w:rsid w:val="00606471"/>
    <w:rsid w:val="006064EF"/>
    <w:rsid w:val="00612B32"/>
    <w:rsid w:val="00614A63"/>
    <w:rsid w:val="00615C12"/>
    <w:rsid w:val="00620C42"/>
    <w:rsid w:val="00624187"/>
    <w:rsid w:val="00640054"/>
    <w:rsid w:val="00640EA1"/>
    <w:rsid w:val="00643CCB"/>
    <w:rsid w:val="00645F12"/>
    <w:rsid w:val="0065176D"/>
    <w:rsid w:val="006572A8"/>
    <w:rsid w:val="00670C28"/>
    <w:rsid w:val="00670E20"/>
    <w:rsid w:val="006829BB"/>
    <w:rsid w:val="00686143"/>
    <w:rsid w:val="00690B07"/>
    <w:rsid w:val="00695D5B"/>
    <w:rsid w:val="00696912"/>
    <w:rsid w:val="006A429C"/>
    <w:rsid w:val="006A6C22"/>
    <w:rsid w:val="006A6F51"/>
    <w:rsid w:val="006A7B90"/>
    <w:rsid w:val="006B70E0"/>
    <w:rsid w:val="006C0EF7"/>
    <w:rsid w:val="006C0F75"/>
    <w:rsid w:val="006C1C6F"/>
    <w:rsid w:val="006C2DAF"/>
    <w:rsid w:val="006C47E8"/>
    <w:rsid w:val="006D0B72"/>
    <w:rsid w:val="006D2AC0"/>
    <w:rsid w:val="006D3B4F"/>
    <w:rsid w:val="006E1578"/>
    <w:rsid w:val="006E1D6A"/>
    <w:rsid w:val="006E2CE9"/>
    <w:rsid w:val="006E6065"/>
    <w:rsid w:val="006E7F38"/>
    <w:rsid w:val="006F2C70"/>
    <w:rsid w:val="006F40B8"/>
    <w:rsid w:val="006F49E3"/>
    <w:rsid w:val="007030A3"/>
    <w:rsid w:val="00703DEF"/>
    <w:rsid w:val="0070671A"/>
    <w:rsid w:val="00713A99"/>
    <w:rsid w:val="00713DCC"/>
    <w:rsid w:val="007169A7"/>
    <w:rsid w:val="00716E0B"/>
    <w:rsid w:val="00720FE0"/>
    <w:rsid w:val="007244F7"/>
    <w:rsid w:val="00725C5C"/>
    <w:rsid w:val="0073334E"/>
    <w:rsid w:val="0073654E"/>
    <w:rsid w:val="00740EBC"/>
    <w:rsid w:val="00751816"/>
    <w:rsid w:val="00753EB2"/>
    <w:rsid w:val="00755FFF"/>
    <w:rsid w:val="007601FD"/>
    <w:rsid w:val="0076405B"/>
    <w:rsid w:val="007643B1"/>
    <w:rsid w:val="0076574C"/>
    <w:rsid w:val="00766DE6"/>
    <w:rsid w:val="007724D8"/>
    <w:rsid w:val="007731A7"/>
    <w:rsid w:val="00775464"/>
    <w:rsid w:val="00776DF2"/>
    <w:rsid w:val="007772DD"/>
    <w:rsid w:val="00781838"/>
    <w:rsid w:val="00785878"/>
    <w:rsid w:val="007925C7"/>
    <w:rsid w:val="0079423B"/>
    <w:rsid w:val="00796CB1"/>
    <w:rsid w:val="007A07D5"/>
    <w:rsid w:val="007A0951"/>
    <w:rsid w:val="007A1A85"/>
    <w:rsid w:val="007A4C6D"/>
    <w:rsid w:val="007A5DB5"/>
    <w:rsid w:val="007A79E7"/>
    <w:rsid w:val="007B2C20"/>
    <w:rsid w:val="007B2E85"/>
    <w:rsid w:val="007B7775"/>
    <w:rsid w:val="007C71D5"/>
    <w:rsid w:val="007D1509"/>
    <w:rsid w:val="007D17EB"/>
    <w:rsid w:val="007D23A2"/>
    <w:rsid w:val="007D547E"/>
    <w:rsid w:val="007D5FD4"/>
    <w:rsid w:val="007E02B5"/>
    <w:rsid w:val="007E10F8"/>
    <w:rsid w:val="007E387F"/>
    <w:rsid w:val="007E59A9"/>
    <w:rsid w:val="007E6D6E"/>
    <w:rsid w:val="007E6EA3"/>
    <w:rsid w:val="008101B4"/>
    <w:rsid w:val="008105E3"/>
    <w:rsid w:val="00813547"/>
    <w:rsid w:val="00813B09"/>
    <w:rsid w:val="0081408F"/>
    <w:rsid w:val="00816E9B"/>
    <w:rsid w:val="00821200"/>
    <w:rsid w:val="00821DEF"/>
    <w:rsid w:val="00821EE5"/>
    <w:rsid w:val="00822FBF"/>
    <w:rsid w:val="00823A73"/>
    <w:rsid w:val="008310D1"/>
    <w:rsid w:val="00831D74"/>
    <w:rsid w:val="00834C73"/>
    <w:rsid w:val="0084361B"/>
    <w:rsid w:val="00843F84"/>
    <w:rsid w:val="00857DA2"/>
    <w:rsid w:val="00857F24"/>
    <w:rsid w:val="00862A69"/>
    <w:rsid w:val="008708BF"/>
    <w:rsid w:val="00877007"/>
    <w:rsid w:val="0088349A"/>
    <w:rsid w:val="008B4F86"/>
    <w:rsid w:val="008B7F00"/>
    <w:rsid w:val="008C7554"/>
    <w:rsid w:val="008D1304"/>
    <w:rsid w:val="008D1992"/>
    <w:rsid w:val="008D5C4B"/>
    <w:rsid w:val="008E4439"/>
    <w:rsid w:val="008E5C6F"/>
    <w:rsid w:val="008E5DB8"/>
    <w:rsid w:val="008E77C4"/>
    <w:rsid w:val="008F113A"/>
    <w:rsid w:val="008F38F1"/>
    <w:rsid w:val="008F3D91"/>
    <w:rsid w:val="008F4783"/>
    <w:rsid w:val="00900F8E"/>
    <w:rsid w:val="0090123E"/>
    <w:rsid w:val="009046B6"/>
    <w:rsid w:val="009062C4"/>
    <w:rsid w:val="00913F6A"/>
    <w:rsid w:val="00925BFA"/>
    <w:rsid w:val="00926025"/>
    <w:rsid w:val="009263D4"/>
    <w:rsid w:val="00930C07"/>
    <w:rsid w:val="00931D10"/>
    <w:rsid w:val="00935077"/>
    <w:rsid w:val="00937D12"/>
    <w:rsid w:val="00943FE9"/>
    <w:rsid w:val="00946F89"/>
    <w:rsid w:val="00952314"/>
    <w:rsid w:val="009546AD"/>
    <w:rsid w:val="00963AC6"/>
    <w:rsid w:val="009643F7"/>
    <w:rsid w:val="00965E62"/>
    <w:rsid w:val="00966D01"/>
    <w:rsid w:val="00973651"/>
    <w:rsid w:val="00977C45"/>
    <w:rsid w:val="00980FB9"/>
    <w:rsid w:val="00981392"/>
    <w:rsid w:val="00981636"/>
    <w:rsid w:val="00981FE3"/>
    <w:rsid w:val="009823F8"/>
    <w:rsid w:val="009831DE"/>
    <w:rsid w:val="00986611"/>
    <w:rsid w:val="009903BB"/>
    <w:rsid w:val="00990D59"/>
    <w:rsid w:val="00992768"/>
    <w:rsid w:val="00994324"/>
    <w:rsid w:val="00995322"/>
    <w:rsid w:val="009964AD"/>
    <w:rsid w:val="0099713C"/>
    <w:rsid w:val="00997685"/>
    <w:rsid w:val="009A0C11"/>
    <w:rsid w:val="009A2085"/>
    <w:rsid w:val="009A2ED2"/>
    <w:rsid w:val="009A4C78"/>
    <w:rsid w:val="009B23C8"/>
    <w:rsid w:val="009B4CEA"/>
    <w:rsid w:val="009C7AD5"/>
    <w:rsid w:val="009D3BE1"/>
    <w:rsid w:val="009E29D8"/>
    <w:rsid w:val="009E43A3"/>
    <w:rsid w:val="009E5132"/>
    <w:rsid w:val="009E5BA5"/>
    <w:rsid w:val="009F134D"/>
    <w:rsid w:val="009F2D91"/>
    <w:rsid w:val="009F7F7C"/>
    <w:rsid w:val="00A139B4"/>
    <w:rsid w:val="00A14FE4"/>
    <w:rsid w:val="00A23A20"/>
    <w:rsid w:val="00A25145"/>
    <w:rsid w:val="00A31152"/>
    <w:rsid w:val="00A34C03"/>
    <w:rsid w:val="00A3689C"/>
    <w:rsid w:val="00A36965"/>
    <w:rsid w:val="00A40A31"/>
    <w:rsid w:val="00A40A32"/>
    <w:rsid w:val="00A41830"/>
    <w:rsid w:val="00A472A1"/>
    <w:rsid w:val="00A51C01"/>
    <w:rsid w:val="00A52249"/>
    <w:rsid w:val="00A53E0E"/>
    <w:rsid w:val="00A57C2D"/>
    <w:rsid w:val="00A61C7C"/>
    <w:rsid w:val="00A657F2"/>
    <w:rsid w:val="00A657F3"/>
    <w:rsid w:val="00A728DF"/>
    <w:rsid w:val="00A7524D"/>
    <w:rsid w:val="00A815A7"/>
    <w:rsid w:val="00A91D34"/>
    <w:rsid w:val="00A92A19"/>
    <w:rsid w:val="00A9315E"/>
    <w:rsid w:val="00A94F91"/>
    <w:rsid w:val="00A95B8F"/>
    <w:rsid w:val="00A971DF"/>
    <w:rsid w:val="00AA0171"/>
    <w:rsid w:val="00AA20D4"/>
    <w:rsid w:val="00AA4ADE"/>
    <w:rsid w:val="00AB30C5"/>
    <w:rsid w:val="00AC08C2"/>
    <w:rsid w:val="00AC6D5F"/>
    <w:rsid w:val="00AD0810"/>
    <w:rsid w:val="00AD3FC3"/>
    <w:rsid w:val="00AD441D"/>
    <w:rsid w:val="00AD532E"/>
    <w:rsid w:val="00AE117E"/>
    <w:rsid w:val="00AF4F75"/>
    <w:rsid w:val="00B00951"/>
    <w:rsid w:val="00B011BA"/>
    <w:rsid w:val="00B074E5"/>
    <w:rsid w:val="00B22613"/>
    <w:rsid w:val="00B3080F"/>
    <w:rsid w:val="00B3086F"/>
    <w:rsid w:val="00B315AE"/>
    <w:rsid w:val="00B3407D"/>
    <w:rsid w:val="00B36DE0"/>
    <w:rsid w:val="00B423D9"/>
    <w:rsid w:val="00B44864"/>
    <w:rsid w:val="00B45418"/>
    <w:rsid w:val="00B46141"/>
    <w:rsid w:val="00B5267F"/>
    <w:rsid w:val="00B55E40"/>
    <w:rsid w:val="00B6102C"/>
    <w:rsid w:val="00B6597B"/>
    <w:rsid w:val="00B67819"/>
    <w:rsid w:val="00B76B31"/>
    <w:rsid w:val="00B818CB"/>
    <w:rsid w:val="00B90358"/>
    <w:rsid w:val="00B92164"/>
    <w:rsid w:val="00B94E53"/>
    <w:rsid w:val="00B966BE"/>
    <w:rsid w:val="00BA2C99"/>
    <w:rsid w:val="00BA3E67"/>
    <w:rsid w:val="00BA4028"/>
    <w:rsid w:val="00BA42D5"/>
    <w:rsid w:val="00BB03A9"/>
    <w:rsid w:val="00BB5B1D"/>
    <w:rsid w:val="00BC064B"/>
    <w:rsid w:val="00BC142F"/>
    <w:rsid w:val="00BC2810"/>
    <w:rsid w:val="00BC581C"/>
    <w:rsid w:val="00BC647D"/>
    <w:rsid w:val="00BC7AB9"/>
    <w:rsid w:val="00BD5923"/>
    <w:rsid w:val="00BD6094"/>
    <w:rsid w:val="00BE39FA"/>
    <w:rsid w:val="00BF578B"/>
    <w:rsid w:val="00C02003"/>
    <w:rsid w:val="00C0378E"/>
    <w:rsid w:val="00C0417E"/>
    <w:rsid w:val="00C06818"/>
    <w:rsid w:val="00C11226"/>
    <w:rsid w:val="00C20972"/>
    <w:rsid w:val="00C22579"/>
    <w:rsid w:val="00C4385B"/>
    <w:rsid w:val="00C60113"/>
    <w:rsid w:val="00C6674A"/>
    <w:rsid w:val="00C67B68"/>
    <w:rsid w:val="00C75C99"/>
    <w:rsid w:val="00C81FCA"/>
    <w:rsid w:val="00C83EC9"/>
    <w:rsid w:val="00C86BE6"/>
    <w:rsid w:val="00C875C2"/>
    <w:rsid w:val="00C87FDA"/>
    <w:rsid w:val="00C939F0"/>
    <w:rsid w:val="00C962DD"/>
    <w:rsid w:val="00C966FD"/>
    <w:rsid w:val="00C9775F"/>
    <w:rsid w:val="00CA038B"/>
    <w:rsid w:val="00CB26A1"/>
    <w:rsid w:val="00CB45C7"/>
    <w:rsid w:val="00CB4AB5"/>
    <w:rsid w:val="00CB5680"/>
    <w:rsid w:val="00CB633B"/>
    <w:rsid w:val="00CB6696"/>
    <w:rsid w:val="00CC19E0"/>
    <w:rsid w:val="00CC3CA2"/>
    <w:rsid w:val="00CC7A7E"/>
    <w:rsid w:val="00CD0381"/>
    <w:rsid w:val="00CD2150"/>
    <w:rsid w:val="00CD2582"/>
    <w:rsid w:val="00CE1E61"/>
    <w:rsid w:val="00CE4514"/>
    <w:rsid w:val="00CF1A3A"/>
    <w:rsid w:val="00CF1A40"/>
    <w:rsid w:val="00CF3E48"/>
    <w:rsid w:val="00CF6EA3"/>
    <w:rsid w:val="00D03E25"/>
    <w:rsid w:val="00D06877"/>
    <w:rsid w:val="00D06EC9"/>
    <w:rsid w:val="00D116BD"/>
    <w:rsid w:val="00D11EB7"/>
    <w:rsid w:val="00D13C56"/>
    <w:rsid w:val="00D160E6"/>
    <w:rsid w:val="00D171F1"/>
    <w:rsid w:val="00D210E1"/>
    <w:rsid w:val="00D24063"/>
    <w:rsid w:val="00D34156"/>
    <w:rsid w:val="00D4253A"/>
    <w:rsid w:val="00D4677B"/>
    <w:rsid w:val="00D46F8B"/>
    <w:rsid w:val="00D5001F"/>
    <w:rsid w:val="00D50D15"/>
    <w:rsid w:val="00D52D00"/>
    <w:rsid w:val="00D54333"/>
    <w:rsid w:val="00D572A4"/>
    <w:rsid w:val="00D62965"/>
    <w:rsid w:val="00D700E4"/>
    <w:rsid w:val="00D713BA"/>
    <w:rsid w:val="00D7397F"/>
    <w:rsid w:val="00D73AC4"/>
    <w:rsid w:val="00D74892"/>
    <w:rsid w:val="00D75C10"/>
    <w:rsid w:val="00D76D9B"/>
    <w:rsid w:val="00D801CE"/>
    <w:rsid w:val="00D82BA0"/>
    <w:rsid w:val="00D83019"/>
    <w:rsid w:val="00D86F89"/>
    <w:rsid w:val="00D9579F"/>
    <w:rsid w:val="00DA4953"/>
    <w:rsid w:val="00DA566B"/>
    <w:rsid w:val="00DB4C4E"/>
    <w:rsid w:val="00DB5AE0"/>
    <w:rsid w:val="00DC02BE"/>
    <w:rsid w:val="00DC2796"/>
    <w:rsid w:val="00DC5D40"/>
    <w:rsid w:val="00DD3577"/>
    <w:rsid w:val="00DD7739"/>
    <w:rsid w:val="00DE3E10"/>
    <w:rsid w:val="00DE4CA1"/>
    <w:rsid w:val="00DE550B"/>
    <w:rsid w:val="00DF0219"/>
    <w:rsid w:val="00DF0608"/>
    <w:rsid w:val="00DF06BA"/>
    <w:rsid w:val="00DF5F32"/>
    <w:rsid w:val="00DF7EA6"/>
    <w:rsid w:val="00E00DE9"/>
    <w:rsid w:val="00E05AA2"/>
    <w:rsid w:val="00E11726"/>
    <w:rsid w:val="00E14643"/>
    <w:rsid w:val="00E166E6"/>
    <w:rsid w:val="00E2017C"/>
    <w:rsid w:val="00E21574"/>
    <w:rsid w:val="00E2190B"/>
    <w:rsid w:val="00E23456"/>
    <w:rsid w:val="00E3010B"/>
    <w:rsid w:val="00E3021E"/>
    <w:rsid w:val="00E30712"/>
    <w:rsid w:val="00E31C1E"/>
    <w:rsid w:val="00E33B5A"/>
    <w:rsid w:val="00E40275"/>
    <w:rsid w:val="00E43532"/>
    <w:rsid w:val="00E436DE"/>
    <w:rsid w:val="00E527E4"/>
    <w:rsid w:val="00E641F3"/>
    <w:rsid w:val="00E6654B"/>
    <w:rsid w:val="00E724CC"/>
    <w:rsid w:val="00E72812"/>
    <w:rsid w:val="00E72DF2"/>
    <w:rsid w:val="00E730AB"/>
    <w:rsid w:val="00E749D2"/>
    <w:rsid w:val="00E82C6F"/>
    <w:rsid w:val="00E82CD5"/>
    <w:rsid w:val="00E84D96"/>
    <w:rsid w:val="00E879C5"/>
    <w:rsid w:val="00E90466"/>
    <w:rsid w:val="00E929B3"/>
    <w:rsid w:val="00E95C20"/>
    <w:rsid w:val="00E96BCF"/>
    <w:rsid w:val="00EA5A4B"/>
    <w:rsid w:val="00EB20C8"/>
    <w:rsid w:val="00EB3F87"/>
    <w:rsid w:val="00EB6792"/>
    <w:rsid w:val="00EC0618"/>
    <w:rsid w:val="00EC084B"/>
    <w:rsid w:val="00EC4C86"/>
    <w:rsid w:val="00EC4E3E"/>
    <w:rsid w:val="00ED2EB8"/>
    <w:rsid w:val="00EE24F7"/>
    <w:rsid w:val="00EE6A36"/>
    <w:rsid w:val="00EF041E"/>
    <w:rsid w:val="00EF45C3"/>
    <w:rsid w:val="00F009CB"/>
    <w:rsid w:val="00F012F8"/>
    <w:rsid w:val="00F1082A"/>
    <w:rsid w:val="00F15A1B"/>
    <w:rsid w:val="00F1623A"/>
    <w:rsid w:val="00F16BFA"/>
    <w:rsid w:val="00F26BC2"/>
    <w:rsid w:val="00F33867"/>
    <w:rsid w:val="00F414F6"/>
    <w:rsid w:val="00F4203B"/>
    <w:rsid w:val="00F456E9"/>
    <w:rsid w:val="00F5072A"/>
    <w:rsid w:val="00F5180A"/>
    <w:rsid w:val="00F519F7"/>
    <w:rsid w:val="00F54C5A"/>
    <w:rsid w:val="00F55948"/>
    <w:rsid w:val="00F618F0"/>
    <w:rsid w:val="00F625F4"/>
    <w:rsid w:val="00F63FED"/>
    <w:rsid w:val="00F6416B"/>
    <w:rsid w:val="00F65A8B"/>
    <w:rsid w:val="00F71C26"/>
    <w:rsid w:val="00F72E74"/>
    <w:rsid w:val="00F74B09"/>
    <w:rsid w:val="00F76A17"/>
    <w:rsid w:val="00F80B68"/>
    <w:rsid w:val="00F82851"/>
    <w:rsid w:val="00F85B88"/>
    <w:rsid w:val="00F86618"/>
    <w:rsid w:val="00F931A1"/>
    <w:rsid w:val="00F9343F"/>
    <w:rsid w:val="00F9751D"/>
    <w:rsid w:val="00FA2048"/>
    <w:rsid w:val="00FA2E05"/>
    <w:rsid w:val="00FB003C"/>
    <w:rsid w:val="00FB316F"/>
    <w:rsid w:val="00FB34DC"/>
    <w:rsid w:val="00FB3783"/>
    <w:rsid w:val="00FB38F0"/>
    <w:rsid w:val="00FB7FA4"/>
    <w:rsid w:val="00FD06CF"/>
    <w:rsid w:val="00FD784E"/>
    <w:rsid w:val="00FE0C5B"/>
    <w:rsid w:val="00FE13CE"/>
    <w:rsid w:val="00FE3334"/>
    <w:rsid w:val="00FF0669"/>
    <w:rsid w:val="00FF2FBF"/>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55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21080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A2E90"/>
    <w:pPr>
      <w:keepNext/>
      <w:widowControl/>
      <w:autoSpaceDE/>
      <w:autoSpaceDN/>
      <w:adjustRightInd/>
      <w:spacing w:line="480" w:lineRule="auto"/>
      <w:outlineLvl w:val="3"/>
    </w:pPr>
    <w:rPr>
      <w:rFonts w:ascii="Courier New" w:hAnsi="Courier New"/>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110">
    <w:name w:val="CM110"/>
    <w:basedOn w:val="Normal"/>
    <w:next w:val="Normal"/>
    <w:rsid w:val="004A2E90"/>
    <w:pPr>
      <w:spacing w:after="295"/>
    </w:pPr>
    <w:rPr>
      <w:rFonts w:ascii="Arial" w:hAnsi="Arial"/>
      <w:sz w:val="24"/>
    </w:rPr>
  </w:style>
  <w:style w:type="character" w:styleId="Hyperlink">
    <w:name w:val="Hyperlink"/>
    <w:rsid w:val="004A2E90"/>
    <w:rPr>
      <w:color w:val="0000FF"/>
      <w:u w:val="single"/>
    </w:rPr>
  </w:style>
  <w:style w:type="character" w:customStyle="1" w:styleId="FooterChar">
    <w:name w:val="Footer Char"/>
    <w:link w:val="Footer"/>
    <w:locked/>
    <w:rsid w:val="004A2E90"/>
    <w:rPr>
      <w:lang w:val="en-US" w:eastAsia="en-US" w:bidi="ar-SA"/>
    </w:rPr>
  </w:style>
  <w:style w:type="paragraph" w:styleId="BalloonText">
    <w:name w:val="Balloon Text"/>
    <w:basedOn w:val="Normal"/>
    <w:semiHidden/>
    <w:rsid w:val="004A2E90"/>
    <w:rPr>
      <w:rFonts w:ascii="Tahoma" w:hAnsi="Tahoma" w:cs="Tahoma"/>
      <w:sz w:val="16"/>
      <w:szCs w:val="16"/>
    </w:rPr>
  </w:style>
  <w:style w:type="paragraph" w:customStyle="1" w:styleId="Default">
    <w:name w:val="Default"/>
    <w:rsid w:val="00B6597B"/>
    <w:pPr>
      <w:widowControl w:val="0"/>
      <w:autoSpaceDE w:val="0"/>
      <w:autoSpaceDN w:val="0"/>
      <w:adjustRightInd w:val="0"/>
    </w:pPr>
    <w:rPr>
      <w:rFonts w:ascii="Arial" w:hAnsi="Arial"/>
      <w:color w:val="000000"/>
      <w:sz w:val="24"/>
    </w:rPr>
  </w:style>
  <w:style w:type="paragraph" w:customStyle="1" w:styleId="CM105">
    <w:name w:val="CM105"/>
    <w:basedOn w:val="Default"/>
    <w:next w:val="Default"/>
    <w:rsid w:val="00B5267F"/>
    <w:pPr>
      <w:spacing w:after="460"/>
    </w:pPr>
    <w:rPr>
      <w:color w:val="auto"/>
    </w:rPr>
  </w:style>
  <w:style w:type="character" w:styleId="CommentReference">
    <w:name w:val="annotation reference"/>
    <w:uiPriority w:val="99"/>
    <w:rsid w:val="005D42DD"/>
    <w:rPr>
      <w:sz w:val="16"/>
      <w:szCs w:val="16"/>
    </w:rPr>
  </w:style>
  <w:style w:type="paragraph" w:styleId="CommentText">
    <w:name w:val="annotation text"/>
    <w:basedOn w:val="Normal"/>
    <w:link w:val="CommentTextChar"/>
    <w:uiPriority w:val="99"/>
    <w:rsid w:val="005D42DD"/>
  </w:style>
  <w:style w:type="character" w:customStyle="1" w:styleId="CommentTextChar">
    <w:name w:val="Comment Text Char"/>
    <w:basedOn w:val="DefaultParagraphFont"/>
    <w:link w:val="CommentText"/>
    <w:uiPriority w:val="99"/>
    <w:rsid w:val="005D42DD"/>
  </w:style>
  <w:style w:type="paragraph" w:styleId="CommentSubject">
    <w:name w:val="annotation subject"/>
    <w:basedOn w:val="CommentText"/>
    <w:next w:val="CommentText"/>
    <w:link w:val="CommentSubjectChar"/>
    <w:rsid w:val="005D42DD"/>
    <w:rPr>
      <w:b/>
      <w:bCs/>
      <w:lang w:val="x-none" w:eastAsia="x-none"/>
    </w:rPr>
  </w:style>
  <w:style w:type="character" w:customStyle="1" w:styleId="CommentSubjectChar">
    <w:name w:val="Comment Subject Char"/>
    <w:link w:val="CommentSubject"/>
    <w:rsid w:val="005D42DD"/>
    <w:rPr>
      <w:b/>
      <w:bCs/>
    </w:rPr>
  </w:style>
  <w:style w:type="character" w:styleId="FollowedHyperlink">
    <w:name w:val="FollowedHyperlink"/>
    <w:rsid w:val="000034E5"/>
    <w:rPr>
      <w:color w:val="800080"/>
      <w:u w:val="single"/>
    </w:rPr>
  </w:style>
  <w:style w:type="paragraph" w:styleId="NormalWeb">
    <w:name w:val="Normal (Web)"/>
    <w:basedOn w:val="Normal"/>
    <w:uiPriority w:val="99"/>
    <w:unhideWhenUsed/>
    <w:rsid w:val="00F33867"/>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rsid w:val="001A431F"/>
    <w:pPr>
      <w:widowControl/>
      <w:autoSpaceDE/>
      <w:autoSpaceDN/>
      <w:adjustRightInd/>
    </w:pPr>
    <w:rPr>
      <w:rFonts w:ascii="Cambria" w:eastAsia="Cambria" w:hAnsi="Cambria"/>
    </w:rPr>
  </w:style>
  <w:style w:type="character" w:customStyle="1" w:styleId="FootnoteTextChar">
    <w:name w:val="Footnote Text Char"/>
    <w:link w:val="FootnoteText"/>
    <w:uiPriority w:val="99"/>
    <w:rsid w:val="001A431F"/>
    <w:rPr>
      <w:rFonts w:ascii="Cambria" w:eastAsia="Cambria" w:hAnsi="Cambria"/>
    </w:rPr>
  </w:style>
  <w:style w:type="character" w:styleId="FootnoteReference">
    <w:name w:val="footnote reference"/>
    <w:uiPriority w:val="99"/>
    <w:rsid w:val="001A431F"/>
    <w:rPr>
      <w:vertAlign w:val="superscript"/>
    </w:rPr>
  </w:style>
  <w:style w:type="paragraph" w:customStyle="1" w:styleId="StyleHeading1TimesNewRoman12pt">
    <w:name w:val="Style Heading 1 + Times New Roman 12 pt"/>
    <w:basedOn w:val="Heading1"/>
    <w:autoRedefine/>
    <w:rsid w:val="0021080E"/>
    <w:pPr>
      <w:widowControl/>
      <w:tabs>
        <w:tab w:val="right" w:pos="8640"/>
      </w:tabs>
      <w:autoSpaceDE/>
      <w:autoSpaceDN/>
      <w:adjustRightInd/>
      <w:spacing w:before="0" w:after="0"/>
      <w:jc w:val="center"/>
    </w:pPr>
    <w:rPr>
      <w:rFonts w:ascii="Times New Roman" w:hAnsi="Times New Roman" w:cs="Arial"/>
      <w:b w:val="0"/>
      <w:caps/>
      <w:sz w:val="24"/>
      <w:szCs w:val="24"/>
    </w:rPr>
  </w:style>
  <w:style w:type="paragraph" w:styleId="ListParagraph">
    <w:name w:val="List Paragraph"/>
    <w:basedOn w:val="Normal"/>
    <w:uiPriority w:val="34"/>
    <w:qFormat/>
    <w:rsid w:val="0021080E"/>
    <w:pPr>
      <w:widowControl/>
      <w:autoSpaceDE/>
      <w:autoSpaceDN/>
      <w:adjustRightInd/>
      <w:ind w:left="720"/>
      <w:contextualSpacing/>
    </w:pPr>
    <w:rPr>
      <w:rFonts w:ascii="Cambria" w:eastAsia="Cambria" w:hAnsi="Cambria"/>
      <w:sz w:val="24"/>
      <w:szCs w:val="24"/>
    </w:rPr>
  </w:style>
  <w:style w:type="character" w:customStyle="1" w:styleId="Heading1Char">
    <w:name w:val="Heading 1 Char"/>
    <w:link w:val="Heading1"/>
    <w:rsid w:val="0021080E"/>
    <w:rPr>
      <w:rFonts w:ascii="Cambria" w:eastAsia="Times New Roman" w:hAnsi="Cambria" w:cs="Times New Roman"/>
      <w:b/>
      <w:bCs/>
      <w:kern w:val="32"/>
      <w:sz w:val="32"/>
      <w:szCs w:val="32"/>
    </w:rPr>
  </w:style>
  <w:style w:type="table" w:styleId="TableGrid">
    <w:name w:val="Table Grid"/>
    <w:basedOn w:val="TableNormal"/>
    <w:rsid w:val="00D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3360"/>
  </w:style>
  <w:style w:type="paragraph" w:customStyle="1" w:styleId="Normal1">
    <w:name w:val="Normal1"/>
    <w:rsid w:val="00E2190B"/>
    <w:pPr>
      <w:pBdr>
        <w:top w:val="nil"/>
        <w:left w:val="nil"/>
        <w:bottom w:val="nil"/>
        <w:right w:val="nil"/>
        <w:between w:val="nil"/>
      </w:pBdr>
      <w:contextualSpacing/>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21080E"/>
    <w:pPr>
      <w:keepNext/>
      <w:spacing w:before="240" w:after="60"/>
      <w:outlineLvl w:val="0"/>
    </w:pPr>
    <w:rPr>
      <w:rFonts w:ascii="Cambria" w:hAnsi="Cambria"/>
      <w:b/>
      <w:bCs/>
      <w:kern w:val="32"/>
      <w:sz w:val="32"/>
      <w:szCs w:val="32"/>
    </w:rPr>
  </w:style>
  <w:style w:type="paragraph" w:styleId="Heading4">
    <w:name w:val="heading 4"/>
    <w:basedOn w:val="Normal"/>
    <w:next w:val="Normal"/>
    <w:qFormat/>
    <w:rsid w:val="004A2E90"/>
    <w:pPr>
      <w:keepNext/>
      <w:widowControl/>
      <w:autoSpaceDE/>
      <w:autoSpaceDN/>
      <w:adjustRightInd/>
      <w:spacing w:line="480" w:lineRule="auto"/>
      <w:outlineLvl w:val="3"/>
    </w:pPr>
    <w:rPr>
      <w:rFonts w:ascii="Courier New" w:hAnsi="Courier New"/>
      <w:color w:val="FF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CM110">
    <w:name w:val="CM110"/>
    <w:basedOn w:val="Normal"/>
    <w:next w:val="Normal"/>
    <w:rsid w:val="004A2E90"/>
    <w:pPr>
      <w:spacing w:after="295"/>
    </w:pPr>
    <w:rPr>
      <w:rFonts w:ascii="Arial" w:hAnsi="Arial"/>
      <w:sz w:val="24"/>
    </w:rPr>
  </w:style>
  <w:style w:type="character" w:styleId="Hyperlink">
    <w:name w:val="Hyperlink"/>
    <w:rsid w:val="004A2E90"/>
    <w:rPr>
      <w:color w:val="0000FF"/>
      <w:u w:val="single"/>
    </w:rPr>
  </w:style>
  <w:style w:type="character" w:customStyle="1" w:styleId="FooterChar">
    <w:name w:val="Footer Char"/>
    <w:link w:val="Footer"/>
    <w:locked/>
    <w:rsid w:val="004A2E90"/>
    <w:rPr>
      <w:lang w:val="en-US" w:eastAsia="en-US" w:bidi="ar-SA"/>
    </w:rPr>
  </w:style>
  <w:style w:type="paragraph" w:styleId="BalloonText">
    <w:name w:val="Balloon Text"/>
    <w:basedOn w:val="Normal"/>
    <w:semiHidden/>
    <w:rsid w:val="004A2E90"/>
    <w:rPr>
      <w:rFonts w:ascii="Tahoma" w:hAnsi="Tahoma" w:cs="Tahoma"/>
      <w:sz w:val="16"/>
      <w:szCs w:val="16"/>
    </w:rPr>
  </w:style>
  <w:style w:type="paragraph" w:customStyle="1" w:styleId="Default">
    <w:name w:val="Default"/>
    <w:rsid w:val="00B6597B"/>
    <w:pPr>
      <w:widowControl w:val="0"/>
      <w:autoSpaceDE w:val="0"/>
      <w:autoSpaceDN w:val="0"/>
      <w:adjustRightInd w:val="0"/>
    </w:pPr>
    <w:rPr>
      <w:rFonts w:ascii="Arial" w:hAnsi="Arial"/>
      <w:color w:val="000000"/>
      <w:sz w:val="24"/>
    </w:rPr>
  </w:style>
  <w:style w:type="paragraph" w:customStyle="1" w:styleId="CM105">
    <w:name w:val="CM105"/>
    <w:basedOn w:val="Default"/>
    <w:next w:val="Default"/>
    <w:rsid w:val="00B5267F"/>
    <w:pPr>
      <w:spacing w:after="460"/>
    </w:pPr>
    <w:rPr>
      <w:color w:val="auto"/>
    </w:rPr>
  </w:style>
  <w:style w:type="character" w:styleId="CommentReference">
    <w:name w:val="annotation reference"/>
    <w:uiPriority w:val="99"/>
    <w:rsid w:val="005D42DD"/>
    <w:rPr>
      <w:sz w:val="16"/>
      <w:szCs w:val="16"/>
    </w:rPr>
  </w:style>
  <w:style w:type="paragraph" w:styleId="CommentText">
    <w:name w:val="annotation text"/>
    <w:basedOn w:val="Normal"/>
    <w:link w:val="CommentTextChar"/>
    <w:uiPriority w:val="99"/>
    <w:rsid w:val="005D42DD"/>
  </w:style>
  <w:style w:type="character" w:customStyle="1" w:styleId="CommentTextChar">
    <w:name w:val="Comment Text Char"/>
    <w:basedOn w:val="DefaultParagraphFont"/>
    <w:link w:val="CommentText"/>
    <w:uiPriority w:val="99"/>
    <w:rsid w:val="005D42DD"/>
  </w:style>
  <w:style w:type="paragraph" w:styleId="CommentSubject">
    <w:name w:val="annotation subject"/>
    <w:basedOn w:val="CommentText"/>
    <w:next w:val="CommentText"/>
    <w:link w:val="CommentSubjectChar"/>
    <w:rsid w:val="005D42DD"/>
    <w:rPr>
      <w:b/>
      <w:bCs/>
      <w:lang w:val="x-none" w:eastAsia="x-none"/>
    </w:rPr>
  </w:style>
  <w:style w:type="character" w:customStyle="1" w:styleId="CommentSubjectChar">
    <w:name w:val="Comment Subject Char"/>
    <w:link w:val="CommentSubject"/>
    <w:rsid w:val="005D42DD"/>
    <w:rPr>
      <w:b/>
      <w:bCs/>
    </w:rPr>
  </w:style>
  <w:style w:type="character" w:styleId="FollowedHyperlink">
    <w:name w:val="FollowedHyperlink"/>
    <w:rsid w:val="000034E5"/>
    <w:rPr>
      <w:color w:val="800080"/>
      <w:u w:val="single"/>
    </w:rPr>
  </w:style>
  <w:style w:type="paragraph" w:styleId="NormalWeb">
    <w:name w:val="Normal (Web)"/>
    <w:basedOn w:val="Normal"/>
    <w:uiPriority w:val="99"/>
    <w:unhideWhenUsed/>
    <w:rsid w:val="00F33867"/>
    <w:pPr>
      <w:widowControl/>
      <w:autoSpaceDE/>
      <w:autoSpaceDN/>
      <w:adjustRightInd/>
      <w:spacing w:before="100" w:beforeAutospacing="1" w:after="100" w:afterAutospacing="1"/>
    </w:pPr>
    <w:rPr>
      <w:sz w:val="24"/>
      <w:szCs w:val="24"/>
    </w:rPr>
  </w:style>
  <w:style w:type="paragraph" w:styleId="FootnoteText">
    <w:name w:val="footnote text"/>
    <w:basedOn w:val="Normal"/>
    <w:link w:val="FootnoteTextChar"/>
    <w:uiPriority w:val="99"/>
    <w:rsid w:val="001A431F"/>
    <w:pPr>
      <w:widowControl/>
      <w:autoSpaceDE/>
      <w:autoSpaceDN/>
      <w:adjustRightInd/>
    </w:pPr>
    <w:rPr>
      <w:rFonts w:ascii="Cambria" w:eastAsia="Cambria" w:hAnsi="Cambria"/>
    </w:rPr>
  </w:style>
  <w:style w:type="character" w:customStyle="1" w:styleId="FootnoteTextChar">
    <w:name w:val="Footnote Text Char"/>
    <w:link w:val="FootnoteText"/>
    <w:uiPriority w:val="99"/>
    <w:rsid w:val="001A431F"/>
    <w:rPr>
      <w:rFonts w:ascii="Cambria" w:eastAsia="Cambria" w:hAnsi="Cambria"/>
    </w:rPr>
  </w:style>
  <w:style w:type="character" w:styleId="FootnoteReference">
    <w:name w:val="footnote reference"/>
    <w:uiPriority w:val="99"/>
    <w:rsid w:val="001A431F"/>
    <w:rPr>
      <w:vertAlign w:val="superscript"/>
    </w:rPr>
  </w:style>
  <w:style w:type="paragraph" w:customStyle="1" w:styleId="StyleHeading1TimesNewRoman12pt">
    <w:name w:val="Style Heading 1 + Times New Roman 12 pt"/>
    <w:basedOn w:val="Heading1"/>
    <w:autoRedefine/>
    <w:rsid w:val="0021080E"/>
    <w:pPr>
      <w:widowControl/>
      <w:tabs>
        <w:tab w:val="right" w:pos="8640"/>
      </w:tabs>
      <w:autoSpaceDE/>
      <w:autoSpaceDN/>
      <w:adjustRightInd/>
      <w:spacing w:before="0" w:after="0"/>
      <w:jc w:val="center"/>
    </w:pPr>
    <w:rPr>
      <w:rFonts w:ascii="Times New Roman" w:hAnsi="Times New Roman" w:cs="Arial"/>
      <w:b w:val="0"/>
      <w:caps/>
      <w:sz w:val="24"/>
      <w:szCs w:val="24"/>
    </w:rPr>
  </w:style>
  <w:style w:type="paragraph" w:styleId="ListParagraph">
    <w:name w:val="List Paragraph"/>
    <w:basedOn w:val="Normal"/>
    <w:uiPriority w:val="34"/>
    <w:qFormat/>
    <w:rsid w:val="0021080E"/>
    <w:pPr>
      <w:widowControl/>
      <w:autoSpaceDE/>
      <w:autoSpaceDN/>
      <w:adjustRightInd/>
      <w:ind w:left="720"/>
      <w:contextualSpacing/>
    </w:pPr>
    <w:rPr>
      <w:rFonts w:ascii="Cambria" w:eastAsia="Cambria" w:hAnsi="Cambria"/>
      <w:sz w:val="24"/>
      <w:szCs w:val="24"/>
    </w:rPr>
  </w:style>
  <w:style w:type="character" w:customStyle="1" w:styleId="Heading1Char">
    <w:name w:val="Heading 1 Char"/>
    <w:link w:val="Heading1"/>
    <w:rsid w:val="0021080E"/>
    <w:rPr>
      <w:rFonts w:ascii="Cambria" w:eastAsia="Times New Roman" w:hAnsi="Cambria" w:cs="Times New Roman"/>
      <w:b/>
      <w:bCs/>
      <w:kern w:val="32"/>
      <w:sz w:val="32"/>
      <w:szCs w:val="32"/>
    </w:rPr>
  </w:style>
  <w:style w:type="table" w:styleId="TableGrid">
    <w:name w:val="Table Grid"/>
    <w:basedOn w:val="TableNormal"/>
    <w:rsid w:val="00D7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3360"/>
  </w:style>
  <w:style w:type="paragraph" w:customStyle="1" w:styleId="Normal1">
    <w:name w:val="Normal1"/>
    <w:rsid w:val="00E2190B"/>
    <w:pPr>
      <w:pBdr>
        <w:top w:val="nil"/>
        <w:left w:val="nil"/>
        <w:bottom w:val="nil"/>
        <w:right w:val="nil"/>
        <w:between w:val="nil"/>
      </w:pBdr>
      <w:contextualSpacing/>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491">
      <w:bodyDiv w:val="1"/>
      <w:marLeft w:val="0"/>
      <w:marRight w:val="0"/>
      <w:marTop w:val="0"/>
      <w:marBottom w:val="0"/>
      <w:divBdr>
        <w:top w:val="none" w:sz="0" w:space="0" w:color="auto"/>
        <w:left w:val="none" w:sz="0" w:space="0" w:color="auto"/>
        <w:bottom w:val="none" w:sz="0" w:space="0" w:color="auto"/>
        <w:right w:val="none" w:sz="0" w:space="0" w:color="auto"/>
      </w:divBdr>
      <w:divsChild>
        <w:div w:id="1075005684">
          <w:marLeft w:val="0"/>
          <w:marRight w:val="0"/>
          <w:marTop w:val="0"/>
          <w:marBottom w:val="0"/>
          <w:divBdr>
            <w:top w:val="none" w:sz="0" w:space="0" w:color="auto"/>
            <w:left w:val="none" w:sz="0" w:space="0" w:color="auto"/>
            <w:bottom w:val="none" w:sz="0" w:space="0" w:color="auto"/>
            <w:right w:val="none" w:sz="0" w:space="0" w:color="auto"/>
          </w:divBdr>
        </w:div>
        <w:div w:id="1216354923">
          <w:marLeft w:val="0"/>
          <w:marRight w:val="0"/>
          <w:marTop w:val="30"/>
          <w:marBottom w:val="0"/>
          <w:divBdr>
            <w:top w:val="none" w:sz="0" w:space="0" w:color="auto"/>
            <w:left w:val="none" w:sz="0" w:space="0" w:color="auto"/>
            <w:bottom w:val="none" w:sz="0" w:space="0" w:color="auto"/>
            <w:right w:val="none" w:sz="0" w:space="0" w:color="auto"/>
          </w:divBdr>
          <w:divsChild>
            <w:div w:id="16561093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6030174">
      <w:bodyDiv w:val="1"/>
      <w:marLeft w:val="0"/>
      <w:marRight w:val="0"/>
      <w:marTop w:val="0"/>
      <w:marBottom w:val="0"/>
      <w:divBdr>
        <w:top w:val="none" w:sz="0" w:space="0" w:color="auto"/>
        <w:left w:val="none" w:sz="0" w:space="0" w:color="auto"/>
        <w:bottom w:val="none" w:sz="0" w:space="0" w:color="auto"/>
        <w:right w:val="none" w:sz="0" w:space="0" w:color="auto"/>
      </w:divBdr>
    </w:div>
    <w:div w:id="1241140407">
      <w:bodyDiv w:val="1"/>
      <w:marLeft w:val="0"/>
      <w:marRight w:val="0"/>
      <w:marTop w:val="0"/>
      <w:marBottom w:val="0"/>
      <w:divBdr>
        <w:top w:val="none" w:sz="0" w:space="0" w:color="auto"/>
        <w:left w:val="none" w:sz="0" w:space="0" w:color="auto"/>
        <w:bottom w:val="none" w:sz="0" w:space="0" w:color="auto"/>
        <w:right w:val="none" w:sz="0" w:space="0" w:color="auto"/>
      </w:divBdr>
    </w:div>
    <w:div w:id="1401178028">
      <w:bodyDiv w:val="1"/>
      <w:marLeft w:val="0"/>
      <w:marRight w:val="0"/>
      <w:marTop w:val="0"/>
      <w:marBottom w:val="0"/>
      <w:divBdr>
        <w:top w:val="none" w:sz="0" w:space="0" w:color="auto"/>
        <w:left w:val="none" w:sz="0" w:space="0" w:color="auto"/>
        <w:bottom w:val="none" w:sz="0" w:space="0" w:color="auto"/>
        <w:right w:val="none" w:sz="0" w:space="0" w:color="auto"/>
      </w:divBdr>
    </w:div>
    <w:div w:id="1573079109">
      <w:bodyDiv w:val="1"/>
      <w:marLeft w:val="0"/>
      <w:marRight w:val="0"/>
      <w:marTop w:val="0"/>
      <w:marBottom w:val="0"/>
      <w:divBdr>
        <w:top w:val="none" w:sz="0" w:space="0" w:color="auto"/>
        <w:left w:val="none" w:sz="0" w:space="0" w:color="auto"/>
        <w:bottom w:val="none" w:sz="0" w:space="0" w:color="auto"/>
        <w:right w:val="none" w:sz="0" w:space="0" w:color="auto"/>
      </w:divBdr>
    </w:div>
    <w:div w:id="2119519357">
      <w:bodyDiv w:val="1"/>
      <w:marLeft w:val="0"/>
      <w:marRight w:val="0"/>
      <w:marTop w:val="0"/>
      <w:marBottom w:val="0"/>
      <w:divBdr>
        <w:top w:val="none" w:sz="0" w:space="0" w:color="auto"/>
        <w:left w:val="none" w:sz="0" w:space="0" w:color="auto"/>
        <w:bottom w:val="none" w:sz="0" w:space="0" w:color="auto"/>
        <w:right w:val="none" w:sz="0" w:space="0" w:color="auto"/>
      </w:divBdr>
      <w:divsChild>
        <w:div w:id="1677999842">
          <w:marLeft w:val="0"/>
          <w:marRight w:val="0"/>
          <w:marTop w:val="0"/>
          <w:marBottom w:val="0"/>
          <w:divBdr>
            <w:top w:val="none" w:sz="0" w:space="0" w:color="auto"/>
            <w:left w:val="none" w:sz="0" w:space="0" w:color="auto"/>
            <w:bottom w:val="none" w:sz="0" w:space="0" w:color="auto"/>
            <w:right w:val="none" w:sz="0" w:space="0" w:color="auto"/>
          </w:divBdr>
        </w:div>
        <w:div w:id="1878735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ga.ct.gov/2015/pub/chap_491.htm" TargetMode="External"/><Relationship Id="rId18" Type="http://schemas.openxmlformats.org/officeDocument/2006/relationships/hyperlink" Target="http://www.cnmilaw.org/pdf/public_laws/15/pl15-43.pdf" TargetMode="External"/><Relationship Id="rId26" Type="http://schemas.openxmlformats.org/officeDocument/2006/relationships/hyperlink" Target="http://www.wlf.louisiana.gov/sites/default/files/pdf/document/39939-title/ose_legal_forms_title_76.pdf" TargetMode="External"/><Relationship Id="rId39" Type="http://schemas.openxmlformats.org/officeDocument/2006/relationships/hyperlink" Target="https://law.justia.com/codes/new-jersey/2013/title-4/" TargetMode="External"/><Relationship Id="rId21" Type="http://schemas.openxmlformats.org/officeDocument/2006/relationships/hyperlink" Target="https://law.justia.com/codes/hawaii/2012/title-12/chapter-187a/section-187a-3.5/" TargetMode="External"/><Relationship Id="rId34" Type="http://schemas.openxmlformats.org/officeDocument/2006/relationships/hyperlink" Target="http://www.legislature.mi.gov/(S(vfrgtb55ih0jydqw2wuzj545))/documents/mcl/pdf/mcl-act-199-of-1996.pdf" TargetMode="External"/><Relationship Id="rId42" Type="http://schemas.openxmlformats.org/officeDocument/2006/relationships/hyperlink" Target="https://www.ncleg.net/EnactedLegislation/Statutes/PDF/ByArticle/Chapter_113/Article_16A.pdf" TargetMode="External"/><Relationship Id="rId47" Type="http://schemas.openxmlformats.org/officeDocument/2006/relationships/hyperlink" Target="http://sos.ri.gov/documents/archives/regdocs/released/pdf/DEM/9028.pdf" TargetMode="External"/><Relationship Id="rId50" Type="http://schemas.openxmlformats.org/officeDocument/2006/relationships/hyperlink" Target="http://apps.leg.wa.gov/WAC/default.aspx?cite=220-370-060"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ga.ct.gov/2015/pub/chap_491.htm" TargetMode="External"/><Relationship Id="rId17" Type="http://schemas.openxmlformats.org/officeDocument/2006/relationships/hyperlink" Target="http://regulations.delaware.gov/AdminCode/title7/3000/3800/3801.shtml" TargetMode="External"/><Relationship Id="rId25" Type="http://schemas.openxmlformats.org/officeDocument/2006/relationships/hyperlink" Target="https://www.legis.iowa.gov/docs/iac/chapter/05-09-2018.571.89.pdf" TargetMode="External"/><Relationship Id="rId33" Type="http://schemas.openxmlformats.org/officeDocument/2006/relationships/hyperlink" Target="https://www.mass.gov/files/documents/2016/08/rp/aquaculture-permit-guidance-document.pdf" TargetMode="External"/><Relationship Id="rId38" Type="http://schemas.openxmlformats.org/officeDocument/2006/relationships/hyperlink" Target="https://law.justia.com/codes/new-hampshire/2016/title-xviii/chapter-211/section-211-62-e" TargetMode="External"/><Relationship Id="rId46" Type="http://schemas.openxmlformats.org/officeDocument/2006/relationships/hyperlink" Target="https://law.justia.com/codes/rhode-island/2013/title-20/chapter-20-10" TargetMode="External"/><Relationship Id="rId2" Type="http://schemas.openxmlformats.org/officeDocument/2006/relationships/numbering" Target="numbering.xml"/><Relationship Id="rId16" Type="http://schemas.openxmlformats.org/officeDocument/2006/relationships/hyperlink" Target="http://delcode.delaware.gov/title3/c004/index.shtml" TargetMode="External"/><Relationship Id="rId20" Type="http://schemas.openxmlformats.org/officeDocument/2006/relationships/hyperlink" Target="https://advance.lexis.com/api/document/collection/statutes-legislation/id/5NYG-GGG0-004D-8406-00008-00?cite=O.C.G.A.%20%C2%A7%2027-4-255&amp;context=1000516" TargetMode="External"/><Relationship Id="rId29" Type="http://schemas.openxmlformats.org/officeDocument/2006/relationships/hyperlink" Target="http://www.maine.gov/dmr/laws-regulations/regulations/documents/Chapter2_031918%20.pdf" TargetMode="External"/><Relationship Id="rId41" Type="http://schemas.openxmlformats.org/officeDocument/2006/relationships/hyperlink" Target="https://www.ncga.state.nc.us/EnactedLegislation/Statutes/HTML/ByArticle/Chapter_106/Article_63.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nfo.legislature.ca.gov/faces/codes_displayText.xhtml?lawCode=FGC&amp;division=12.&amp;title=&amp;part=&amp;chapter=5.&amp;article" TargetMode="External"/><Relationship Id="rId24" Type="http://schemas.openxmlformats.org/officeDocument/2006/relationships/hyperlink" Target="https://www.in.gov/dnr/fishwild/files/aquaculture_permit.pdf" TargetMode="External"/><Relationship Id="rId32" Type="http://schemas.openxmlformats.org/officeDocument/2006/relationships/hyperlink" Target="https://www.mass.gov/files/documents/2018/03/20/322%20CMR%207.00.pdf" TargetMode="External"/><Relationship Id="rId37" Type="http://schemas.openxmlformats.org/officeDocument/2006/relationships/hyperlink" Target="https://www.leg.state.nv.us/NRS/NRS-576.html" TargetMode="External"/><Relationship Id="rId40" Type="http://schemas.openxmlformats.org/officeDocument/2006/relationships/hyperlink" Target="https://govt.westlaw.com/nycrr/Browse/Home/NewYork/NewYorkCodesRulesandRegulations?guid=Ia57ed350b5a011dda0a4e17826ebc834&amp;originationContext=documenttoc&amp;transitionType=Default&amp;contextData=(sc.Default)" TargetMode="External"/><Relationship Id="rId45" Type="http://schemas.openxmlformats.org/officeDocument/2006/relationships/hyperlink" Target="https://www.oregonlaws.org/ors/622.270" TargetMode="External"/><Relationship Id="rId53"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ga.ct.gov/2015/pub/chap_422.htm" TargetMode="External"/><Relationship Id="rId23" Type="http://schemas.openxmlformats.org/officeDocument/2006/relationships/hyperlink" Target="ftp://www.ilga.gov/jcar/admincode/017/01700870sections.html" TargetMode="External"/><Relationship Id="rId28" Type="http://schemas.openxmlformats.org/officeDocument/2006/relationships/hyperlink" Target="http://www.mainelegislature.org/legis/statutes/7/title7sec1501.html" TargetMode="External"/><Relationship Id="rId36" Type="http://schemas.openxmlformats.org/officeDocument/2006/relationships/hyperlink" Target="https://www.leg.state.nv.us/NRS/NRS-561.html" TargetMode="External"/><Relationship Id="rId49" Type="http://schemas.openxmlformats.org/officeDocument/2006/relationships/hyperlink" Target="http://www.statutes.legis.state.tx.us/Docs/AG/htm/AG.134.htm" TargetMode="External"/><Relationship Id="rId10" Type="http://schemas.openxmlformats.org/officeDocument/2006/relationships/hyperlink" Target="https://law.justia.com/codes/alabama/2015/title-9/chapter-2/article-8/section-9-2-150/" TargetMode="External"/><Relationship Id="rId19" Type="http://schemas.openxmlformats.org/officeDocument/2006/relationships/hyperlink" Target="http://www.leg.state.fl.us/statutes/index.cfm?App_mode=Display_Statute&amp;Search_String=&amp;URL=0500-0599/0597/Sections/0597.004.html" TargetMode="External"/><Relationship Id="rId31" Type="http://schemas.openxmlformats.org/officeDocument/2006/relationships/hyperlink" Target="https://malegislature.gov/Laws/GeneralLaws/PartI/TitleXIX/Chapter130/Section80" TargetMode="External"/><Relationship Id="rId44" Type="http://schemas.openxmlformats.org/officeDocument/2006/relationships/hyperlink" Target="https://www.oregonlaws.org/ors/215.213" TargetMode="External"/><Relationship Id="rId52"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ga.ct.gov/2015/pub/chap_422.htm" TargetMode="External"/><Relationship Id="rId22" Type="http://schemas.openxmlformats.org/officeDocument/2006/relationships/hyperlink" Target="https://dlnr.hawaii.gov/dar/files/2014/04/ch74.pdf" TargetMode="External"/><Relationship Id="rId27" Type="http://schemas.openxmlformats.org/officeDocument/2006/relationships/hyperlink" Target="http://www.mainelegislature.org/legis/statutes/12/title12sec6072.html" TargetMode="External"/><Relationship Id="rId30" Type="http://schemas.openxmlformats.org/officeDocument/2006/relationships/hyperlink" Target="http://mdrules.elaws.us/comar/08.02.14" TargetMode="External"/><Relationship Id="rId35" Type="http://schemas.openxmlformats.org/officeDocument/2006/relationships/hyperlink" Target="https://law.justia.com/codes/mississippi/2013/title-79/chapter-22/section-79-22-9/" TargetMode="External"/><Relationship Id="rId43" Type="http://schemas.openxmlformats.org/officeDocument/2006/relationships/hyperlink" Target="http://codes.ohio.gov/oac/1501:31-39-01" TargetMode="External"/><Relationship Id="rId48" Type="http://schemas.openxmlformats.org/officeDocument/2006/relationships/hyperlink" Target="https://www.scstatehouse.gov/code/t50c018.php" TargetMode="External"/><Relationship Id="rId8" Type="http://schemas.openxmlformats.org/officeDocument/2006/relationships/endnotes" Target="endnotes.xml"/><Relationship Id="rId51" Type="http://schemas.openxmlformats.org/officeDocument/2006/relationships/hyperlink" Target="http://apps.leg.wa.gov/WAC/default.aspx?cite=220-370-090"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30DA-C986-4385-B02F-5C2D8C2E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31812</CharactersWithSpaces>
  <SharedDoc>false</SharedDoc>
  <HLinks>
    <vt:vector size="6" baseType="variant">
      <vt:variant>
        <vt:i4>7798847</vt:i4>
      </vt:variant>
      <vt:variant>
        <vt:i4>7</vt:i4>
      </vt:variant>
      <vt:variant>
        <vt:i4>0</vt:i4>
      </vt:variant>
      <vt:variant>
        <vt:i4>5</vt:i4>
      </vt:variant>
      <vt:variant>
        <vt:lpwstr>http://www.corporateservices.noaa.gov/ames/administrative_orders/chapter_216/216-100.html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SYSTEM</cp:lastModifiedBy>
  <cp:revision>2</cp:revision>
  <cp:lastPrinted>2017-08-29T18:06:00Z</cp:lastPrinted>
  <dcterms:created xsi:type="dcterms:W3CDTF">2018-11-06T18:29:00Z</dcterms:created>
  <dcterms:modified xsi:type="dcterms:W3CDTF">2018-11-06T18:29:00Z</dcterms:modified>
</cp:coreProperties>
</file>