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7828A" w14:textId="470CC556" w:rsidR="00151CB3" w:rsidRPr="0016670E" w:rsidRDefault="00953AF3" w:rsidP="00151CB3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iCs/>
          <w:color w:val="auto"/>
        </w:rPr>
        <w:t xml:space="preserve">U.S. </w:t>
      </w:r>
      <w:r w:rsidR="00151CB3" w:rsidRPr="0016670E">
        <w:rPr>
          <w:b/>
          <w:bCs/>
          <w:iCs/>
          <w:color w:val="auto"/>
        </w:rPr>
        <w:t>Department of Commerce</w:t>
      </w:r>
    </w:p>
    <w:p w14:paraId="6587E8A2" w14:textId="77777777" w:rsidR="00151CB3" w:rsidRDefault="00151CB3" w:rsidP="00151CB3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U.S. Census Bureau</w:t>
      </w:r>
    </w:p>
    <w:p w14:paraId="29F47C79" w14:textId="77777777" w:rsidR="00151CB3" w:rsidRDefault="00151CB3" w:rsidP="00151CB3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OMB Information Collection Request</w:t>
      </w:r>
    </w:p>
    <w:p w14:paraId="08AA180C" w14:textId="5FD4C719" w:rsidR="00953AF3" w:rsidRPr="00873933" w:rsidRDefault="00953AF3" w:rsidP="00953AF3">
      <w:pPr>
        <w:widowControl w:val="0"/>
        <w:jc w:val="center"/>
        <w:rPr>
          <w:b/>
        </w:rPr>
      </w:pPr>
      <w:r w:rsidRPr="00051A07">
        <w:rPr>
          <w:b/>
        </w:rPr>
        <w:t>Data Collection Form for Reporting on Audits of States, Local Governments, Indian Tribes, Institutio</w:t>
      </w:r>
      <w:r w:rsidR="00934907">
        <w:rPr>
          <w:b/>
        </w:rPr>
        <w:t>ns of Higher Education, and Non</w:t>
      </w:r>
      <w:r w:rsidRPr="00051A07">
        <w:rPr>
          <w:b/>
        </w:rPr>
        <w:t>profit Organizations</w:t>
      </w:r>
      <w:r w:rsidRPr="00873933">
        <w:rPr>
          <w:b/>
        </w:rPr>
        <w:t xml:space="preserve"> </w:t>
      </w:r>
    </w:p>
    <w:p w14:paraId="01B19FFC" w14:textId="79FD12C2" w:rsidR="00151CB3" w:rsidRDefault="00953AF3" w:rsidP="00151CB3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OMB Control Number 0607-0518</w:t>
      </w:r>
    </w:p>
    <w:p w14:paraId="16534497" w14:textId="77777777" w:rsidR="00151CB3" w:rsidRDefault="00151CB3" w:rsidP="00151CB3">
      <w:pPr>
        <w:pStyle w:val="NormalWeb"/>
        <w:spacing w:before="0" w:beforeAutospacing="0" w:after="0" w:afterAutospacing="0"/>
        <w:jc w:val="center"/>
        <w:rPr>
          <w:color w:val="auto"/>
        </w:rPr>
      </w:pPr>
    </w:p>
    <w:p w14:paraId="24E44E17" w14:textId="664CF34A" w:rsidR="00953AF3" w:rsidRPr="00953AF3" w:rsidRDefault="00953AF3" w:rsidP="00B868F3">
      <w:pPr>
        <w:widowControl w:val="0"/>
        <w:numPr>
          <w:ilvl w:val="0"/>
          <w:numId w:val="5"/>
        </w:numPr>
        <w:ind w:left="720" w:hanging="720"/>
        <w:rPr>
          <w:b/>
          <w:szCs w:val="20"/>
          <w:u w:val="single"/>
        </w:rPr>
      </w:pPr>
      <w:r w:rsidRPr="00873933">
        <w:rPr>
          <w:b/>
          <w:szCs w:val="20"/>
        </w:rPr>
        <w:tab/>
      </w:r>
      <w:r w:rsidRPr="00953AF3">
        <w:rPr>
          <w:rStyle w:val="Strong"/>
          <w:u w:val="single"/>
        </w:rPr>
        <w:t>Collections of Information Employing Statistical Methods</w:t>
      </w:r>
    </w:p>
    <w:p w14:paraId="65947D67" w14:textId="77777777" w:rsidR="00953AF3" w:rsidRPr="00873933" w:rsidRDefault="00953AF3" w:rsidP="00953AF3">
      <w:pPr>
        <w:widowControl w:val="0"/>
        <w:ind w:left="1440"/>
      </w:pPr>
    </w:p>
    <w:p w14:paraId="7445F32B" w14:textId="35FEEA93" w:rsidR="00151CB3" w:rsidRPr="00953AF3" w:rsidRDefault="00953AF3" w:rsidP="00953AF3">
      <w:pPr>
        <w:widowControl w:val="0"/>
        <w:numPr>
          <w:ilvl w:val="1"/>
          <w:numId w:val="5"/>
        </w:numPr>
        <w:ind w:left="1440" w:hanging="720"/>
        <w:rPr>
          <w:szCs w:val="20"/>
        </w:rPr>
      </w:pPr>
      <w:r w:rsidRPr="00873933">
        <w:rPr>
          <w:szCs w:val="20"/>
        </w:rPr>
        <w:tab/>
      </w:r>
      <w:r w:rsidR="00151CB3" w:rsidRPr="00953AF3">
        <w:rPr>
          <w:color w:val="auto"/>
          <w:u w:val="single"/>
        </w:rPr>
        <w:t>Universe and Respondent Selection</w:t>
      </w:r>
    </w:p>
    <w:p w14:paraId="3A8EB29B" w14:textId="41AA06CF" w:rsidR="00151CB3" w:rsidRDefault="003241FF" w:rsidP="00793207">
      <w:pPr>
        <w:pStyle w:val="NormalWeb"/>
        <w:ind w:left="1440"/>
        <w:rPr>
          <w:color w:val="auto"/>
        </w:rPr>
      </w:pPr>
      <w:r>
        <w:rPr>
          <w:color w:val="auto"/>
        </w:rPr>
        <w:t>The Federal Audit Clearinghouse</w:t>
      </w:r>
      <w:r w:rsidR="00934907">
        <w:rPr>
          <w:color w:val="auto"/>
        </w:rPr>
        <w:t xml:space="preserve"> (FAC)</w:t>
      </w:r>
      <w:r>
        <w:rPr>
          <w:color w:val="auto"/>
        </w:rPr>
        <w:t xml:space="preserve"> s</w:t>
      </w:r>
      <w:r w:rsidR="00151CB3">
        <w:rPr>
          <w:color w:val="auto"/>
        </w:rPr>
        <w:t xml:space="preserve">urvey is mandatory and sampling is not performed. </w:t>
      </w:r>
      <w:r>
        <w:rPr>
          <w:color w:val="auto"/>
        </w:rPr>
        <w:t>The respondent u</w:t>
      </w:r>
      <w:r w:rsidR="00151CB3">
        <w:rPr>
          <w:color w:val="auto"/>
        </w:rPr>
        <w:t xml:space="preserve">niverse includes all states (all 50 states, the District of Columbia, the Commonwealth of Puerto Rico, the Virgin Islands, Guam, American Samoa, </w:t>
      </w:r>
      <w:r>
        <w:rPr>
          <w:color w:val="auto"/>
        </w:rPr>
        <w:t xml:space="preserve">and </w:t>
      </w:r>
      <w:r w:rsidR="00151CB3">
        <w:rPr>
          <w:color w:val="auto"/>
        </w:rPr>
        <w:t>the Commonwealth of the Northern Mariana Islands</w:t>
      </w:r>
      <w:r>
        <w:rPr>
          <w:color w:val="auto"/>
        </w:rPr>
        <w:t>)</w:t>
      </w:r>
      <w:r w:rsidR="00151CB3">
        <w:rPr>
          <w:color w:val="auto"/>
        </w:rPr>
        <w:t>, local governments, Indian tribes, institutions of higher education, an</w:t>
      </w:r>
      <w:r w:rsidR="00145761">
        <w:rPr>
          <w:color w:val="auto"/>
        </w:rPr>
        <w:t>d non</w:t>
      </w:r>
      <w:r>
        <w:rPr>
          <w:color w:val="auto"/>
        </w:rPr>
        <w:t>profit organizations that</w:t>
      </w:r>
      <w:r w:rsidR="00151CB3">
        <w:rPr>
          <w:color w:val="auto"/>
        </w:rPr>
        <w:t xml:space="preserve"> expend $</w:t>
      </w:r>
      <w:r>
        <w:rPr>
          <w:color w:val="auto"/>
        </w:rPr>
        <w:t>750,0</w:t>
      </w:r>
      <w:r w:rsidR="00151CB3">
        <w:rPr>
          <w:color w:val="auto"/>
        </w:rPr>
        <w:t xml:space="preserve">00 or more in </w:t>
      </w:r>
      <w:r>
        <w:rPr>
          <w:color w:val="auto"/>
        </w:rPr>
        <w:t>F</w:t>
      </w:r>
      <w:r w:rsidR="00151CB3">
        <w:rPr>
          <w:color w:val="auto"/>
        </w:rPr>
        <w:t xml:space="preserve">ederal awards during their fiscal </w:t>
      </w:r>
      <w:r>
        <w:rPr>
          <w:color w:val="auto"/>
        </w:rPr>
        <w:t>period</w:t>
      </w:r>
      <w:r w:rsidR="00151CB3">
        <w:rPr>
          <w:color w:val="auto"/>
        </w:rPr>
        <w:t>. Respondents who meet</w:t>
      </w:r>
      <w:r w:rsidR="002070BD">
        <w:rPr>
          <w:color w:val="auto"/>
        </w:rPr>
        <w:t xml:space="preserve"> submission</w:t>
      </w:r>
      <w:r w:rsidR="00151CB3">
        <w:rPr>
          <w:color w:val="auto"/>
        </w:rPr>
        <w:t xml:space="preserve"> requirements </w:t>
      </w:r>
      <w:r w:rsidR="002070BD">
        <w:rPr>
          <w:color w:val="auto"/>
        </w:rPr>
        <w:t>in accordance with 2 CFR Part 200</w:t>
      </w:r>
      <w:r w:rsidR="00145761">
        <w:rPr>
          <w:color w:val="auto"/>
        </w:rPr>
        <w:t xml:space="preserve"> (or Uniform Guidance)</w:t>
      </w:r>
      <w:r w:rsidR="002070BD">
        <w:rPr>
          <w:color w:val="auto"/>
        </w:rPr>
        <w:t xml:space="preserve"> must submit the data collection form (Form SF-SAC) and reporting package within the earlier of 30 days after receipt of the auditor’s report(s) or nine months after the end of the fiscal period.</w:t>
      </w:r>
    </w:p>
    <w:p w14:paraId="0F66B310" w14:textId="4D89DB7B" w:rsidR="00151CB3" w:rsidRPr="00B868F3" w:rsidRDefault="00B868F3" w:rsidP="00B868F3">
      <w:pPr>
        <w:widowControl w:val="0"/>
        <w:numPr>
          <w:ilvl w:val="1"/>
          <w:numId w:val="5"/>
        </w:numPr>
        <w:ind w:left="1440" w:hanging="720"/>
        <w:rPr>
          <w:szCs w:val="20"/>
        </w:rPr>
      </w:pPr>
      <w:r w:rsidRPr="00873933">
        <w:rPr>
          <w:szCs w:val="20"/>
        </w:rPr>
        <w:tab/>
      </w:r>
      <w:r w:rsidR="00151CB3" w:rsidRPr="00B868F3">
        <w:rPr>
          <w:color w:val="auto"/>
          <w:u w:val="single"/>
        </w:rPr>
        <w:t>Procedures for Collecting Information</w:t>
      </w:r>
    </w:p>
    <w:p w14:paraId="38D83F33" w14:textId="13569F38" w:rsidR="0058299F" w:rsidRDefault="0058299F" w:rsidP="00793207">
      <w:pPr>
        <w:pStyle w:val="NormalWeb"/>
        <w:ind w:left="1440"/>
        <w:rPr>
          <w:color w:val="auto"/>
        </w:rPr>
      </w:pPr>
      <w:r>
        <w:rPr>
          <w:color w:val="auto"/>
        </w:rPr>
        <w:t xml:space="preserve">All data elements are collected via a Web application designed by Census Bureau staff, thus eliminating the need for mass mailings to individual respondents. After a respondent’s fiscal period ends, a senior level representative from the entity visits our website </w:t>
      </w:r>
      <w:r w:rsidR="00676E28">
        <w:rPr>
          <w:color w:val="auto"/>
        </w:rPr>
        <w:t>to submit</w:t>
      </w:r>
      <w:r>
        <w:rPr>
          <w:color w:val="auto"/>
        </w:rPr>
        <w:t xml:space="preserve"> the required information</w:t>
      </w:r>
      <w:r w:rsidR="00676E28">
        <w:rPr>
          <w:color w:val="auto"/>
        </w:rPr>
        <w:t xml:space="preserve"> and certify it</w:t>
      </w:r>
      <w:r>
        <w:rPr>
          <w:color w:val="auto"/>
        </w:rPr>
        <w:t>.</w:t>
      </w:r>
      <w:r w:rsidR="00676E28">
        <w:rPr>
          <w:color w:val="auto"/>
        </w:rPr>
        <w:t xml:space="preserve"> The auditor that completed the reporting package also visits our website to enter any required data and certify the information. No paper submissions are accepted as of 2008.</w:t>
      </w:r>
    </w:p>
    <w:p w14:paraId="5538515E" w14:textId="5D88DD5D" w:rsidR="00151CB3" w:rsidRPr="00B868F3" w:rsidRDefault="00B868F3" w:rsidP="00B868F3">
      <w:pPr>
        <w:widowControl w:val="0"/>
        <w:numPr>
          <w:ilvl w:val="1"/>
          <w:numId w:val="5"/>
        </w:numPr>
        <w:ind w:left="1440" w:hanging="720"/>
        <w:rPr>
          <w:szCs w:val="20"/>
        </w:rPr>
      </w:pPr>
      <w:r w:rsidRPr="00873933">
        <w:rPr>
          <w:szCs w:val="20"/>
        </w:rPr>
        <w:tab/>
      </w:r>
      <w:r w:rsidR="00151CB3" w:rsidRPr="00B868F3">
        <w:rPr>
          <w:color w:val="auto"/>
          <w:u w:val="single"/>
        </w:rPr>
        <w:t>Methods to Maximize Response</w:t>
      </w:r>
    </w:p>
    <w:p w14:paraId="6C965E25" w14:textId="4AC99DD4" w:rsidR="00151CB3" w:rsidRDefault="00153759" w:rsidP="00793207">
      <w:pPr>
        <w:pStyle w:val="NormalWeb"/>
        <w:ind w:left="1440"/>
        <w:rPr>
          <w:color w:val="auto"/>
        </w:rPr>
      </w:pPr>
      <w:r>
        <w:rPr>
          <w:color w:val="auto"/>
        </w:rPr>
        <w:t xml:space="preserve">Respondents are required by law to submit. </w:t>
      </w:r>
      <w:r w:rsidR="00596CF8">
        <w:rPr>
          <w:color w:val="auto"/>
        </w:rPr>
        <w:t xml:space="preserve">No sampling methods are used. </w:t>
      </w:r>
      <w:r>
        <w:rPr>
          <w:color w:val="auto"/>
        </w:rPr>
        <w:t>Consequences for non-response are handled by Federal Awarding agencies and not by the FAC.</w:t>
      </w:r>
      <w:r w:rsidR="003F2921">
        <w:rPr>
          <w:color w:val="auto"/>
        </w:rPr>
        <w:t xml:space="preserve"> In an attempt to reduce non-response, automated emails are sent from the </w:t>
      </w:r>
      <w:r w:rsidR="00934907">
        <w:rPr>
          <w:color w:val="auto"/>
        </w:rPr>
        <w:t>W</w:t>
      </w:r>
      <w:r w:rsidR="003F2921">
        <w:rPr>
          <w:color w:val="auto"/>
        </w:rPr>
        <w:t>eb application to respondents/users who have begun but not completed a submission.</w:t>
      </w:r>
    </w:p>
    <w:p w14:paraId="5FA6B59D" w14:textId="149F5D4C" w:rsidR="00151CB3" w:rsidRPr="00B868F3" w:rsidRDefault="00B868F3" w:rsidP="00B868F3">
      <w:pPr>
        <w:widowControl w:val="0"/>
        <w:numPr>
          <w:ilvl w:val="1"/>
          <w:numId w:val="5"/>
        </w:numPr>
        <w:ind w:left="1440" w:hanging="720"/>
        <w:rPr>
          <w:szCs w:val="20"/>
        </w:rPr>
      </w:pPr>
      <w:r w:rsidRPr="00873933">
        <w:rPr>
          <w:szCs w:val="20"/>
        </w:rPr>
        <w:tab/>
      </w:r>
      <w:r w:rsidR="00151CB3" w:rsidRPr="00B868F3">
        <w:rPr>
          <w:color w:val="auto"/>
          <w:u w:val="single"/>
        </w:rPr>
        <w:t>Tests of Procedures or Methods</w:t>
      </w:r>
    </w:p>
    <w:p w14:paraId="188BC4A2" w14:textId="5B6DDB5C" w:rsidR="00151CB3" w:rsidRDefault="007832B3" w:rsidP="00793207">
      <w:pPr>
        <w:pStyle w:val="NormalWeb"/>
        <w:ind w:left="1440"/>
        <w:rPr>
          <w:color w:val="auto"/>
        </w:rPr>
      </w:pPr>
      <w:r>
        <w:rPr>
          <w:color w:val="auto"/>
        </w:rPr>
        <w:t xml:space="preserve">Auditing experts and Federal </w:t>
      </w:r>
      <w:r w:rsidR="00934907">
        <w:rPr>
          <w:color w:val="auto"/>
        </w:rPr>
        <w:t>a</w:t>
      </w:r>
      <w:r>
        <w:rPr>
          <w:color w:val="auto"/>
        </w:rPr>
        <w:t xml:space="preserve">gency representatives have reviewed the questions on the form, as well as the instructions, for accuracy and significance. </w:t>
      </w:r>
      <w:r w:rsidR="00D62F4F">
        <w:rPr>
          <w:color w:val="auto"/>
        </w:rPr>
        <w:t>The FAC conducts internal pre-testing, but plans to involve stakeholders in pre-testing</w:t>
      </w:r>
      <w:r w:rsidR="00934907">
        <w:rPr>
          <w:color w:val="auto"/>
        </w:rPr>
        <w:t xml:space="preserve"> and/or trainings</w:t>
      </w:r>
      <w:r w:rsidR="00D62F4F">
        <w:rPr>
          <w:color w:val="auto"/>
        </w:rPr>
        <w:t xml:space="preserve"> to minimize burden and improve utility.</w:t>
      </w:r>
    </w:p>
    <w:p w14:paraId="45033692" w14:textId="0CEA72D1" w:rsidR="00151CB3" w:rsidRPr="00B868F3" w:rsidRDefault="00B868F3" w:rsidP="00B868F3">
      <w:pPr>
        <w:widowControl w:val="0"/>
        <w:numPr>
          <w:ilvl w:val="1"/>
          <w:numId w:val="5"/>
        </w:numPr>
        <w:ind w:left="1440" w:hanging="720"/>
        <w:rPr>
          <w:szCs w:val="20"/>
        </w:rPr>
      </w:pPr>
      <w:r w:rsidRPr="00873933">
        <w:rPr>
          <w:szCs w:val="20"/>
        </w:rPr>
        <w:lastRenderedPageBreak/>
        <w:tab/>
      </w:r>
      <w:r w:rsidR="00151CB3" w:rsidRPr="00B868F3">
        <w:rPr>
          <w:color w:val="auto"/>
          <w:u w:val="single"/>
        </w:rPr>
        <w:t>Contacts for Statistical Aspects and Data Collection</w:t>
      </w:r>
    </w:p>
    <w:p w14:paraId="163ECA16" w14:textId="2946CE6B" w:rsidR="00347A0E" w:rsidRDefault="00347A0E" w:rsidP="00B868F3">
      <w:pPr>
        <w:pStyle w:val="NormalWeb"/>
        <w:ind w:left="1440"/>
        <w:rPr>
          <w:color w:val="auto"/>
        </w:rPr>
      </w:pPr>
      <w:r>
        <w:rPr>
          <w:color w:val="auto"/>
        </w:rPr>
        <w:t>Representatives at the Census Bureau, Federal agencies, and auditing organizations have been consulted on data collection issues.</w:t>
      </w:r>
    </w:p>
    <w:p w14:paraId="2922B29A" w14:textId="010A79F1" w:rsidR="00347A0E" w:rsidRDefault="00347A0E" w:rsidP="00B868F3">
      <w:pPr>
        <w:pStyle w:val="NormalWeb"/>
        <w:ind w:left="1440"/>
        <w:rPr>
          <w:color w:val="auto"/>
        </w:rPr>
      </w:pPr>
      <w:r>
        <w:rPr>
          <w:color w:val="auto"/>
        </w:rPr>
        <w:t>Responsible for data collection and dissemination:</w:t>
      </w:r>
    </w:p>
    <w:p w14:paraId="114AFBEC" w14:textId="1D3A1029" w:rsidR="00347A0E" w:rsidRDefault="00347A0E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  <w:r>
        <w:rPr>
          <w:color w:val="auto"/>
        </w:rPr>
        <w:t>Federal Audit Clearinghouse staff</w:t>
      </w:r>
    </w:p>
    <w:p w14:paraId="578AC4D8" w14:textId="7DB85810" w:rsidR="00347A0E" w:rsidRDefault="00347A0E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  <w:r>
        <w:rPr>
          <w:color w:val="auto"/>
        </w:rPr>
        <w:t>Economic Reimbursable Surveys Division</w:t>
      </w:r>
    </w:p>
    <w:p w14:paraId="2417662F" w14:textId="235B28F0" w:rsidR="00347A0E" w:rsidRDefault="00347A0E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  <w:r>
        <w:rPr>
          <w:color w:val="auto"/>
        </w:rPr>
        <w:t>U.S. Census Bureau</w:t>
      </w:r>
    </w:p>
    <w:p w14:paraId="7B3E36DB" w14:textId="71585005" w:rsidR="00075910" w:rsidRDefault="00075910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  <w:r>
        <w:rPr>
          <w:color w:val="auto"/>
        </w:rPr>
        <w:t>(800) 253-0696</w:t>
      </w:r>
      <w:r w:rsidR="00934907">
        <w:rPr>
          <w:color w:val="auto"/>
        </w:rPr>
        <w:t>, 866-306-8779</w:t>
      </w:r>
    </w:p>
    <w:p w14:paraId="350B84C0" w14:textId="656A8066" w:rsidR="00075910" w:rsidRDefault="00075910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  <w:r w:rsidRPr="00075910">
        <w:rPr>
          <w:color w:val="auto"/>
        </w:rPr>
        <w:t>erd.fac@census.gov</w:t>
      </w:r>
      <w:r w:rsidR="00934907">
        <w:rPr>
          <w:color w:val="auto"/>
        </w:rPr>
        <w:t>, govs.fac.ides@census.gov</w:t>
      </w:r>
    </w:p>
    <w:p w14:paraId="0CDD26FE" w14:textId="77777777" w:rsidR="00075910" w:rsidRDefault="00075910" w:rsidP="00B868F3">
      <w:pPr>
        <w:pStyle w:val="NormalWeb"/>
        <w:spacing w:before="0" w:beforeAutospacing="0" w:after="0" w:afterAutospacing="0"/>
        <w:ind w:left="1440"/>
        <w:rPr>
          <w:color w:val="auto"/>
        </w:rPr>
      </w:pPr>
    </w:p>
    <w:p w14:paraId="2D0F0789" w14:textId="273EB4A6" w:rsidR="00151CB3" w:rsidRDefault="00075910" w:rsidP="00B868F3">
      <w:pPr>
        <w:pStyle w:val="NormalWeb"/>
        <w:ind w:left="1440"/>
        <w:rPr>
          <w:rStyle w:val="Strong"/>
          <w:color w:val="auto"/>
        </w:rPr>
      </w:pPr>
      <w:bookmarkStart w:id="1" w:name="Attachments_to_the_Supporting_Statement"/>
      <w:bookmarkEnd w:id="1"/>
      <w:r>
        <w:rPr>
          <w:rStyle w:val="Strong"/>
          <w:color w:val="auto"/>
        </w:rPr>
        <w:t>List of Attachments</w:t>
      </w:r>
    </w:p>
    <w:p w14:paraId="2BA50B1D" w14:textId="47F31432" w:rsidR="00934907" w:rsidRDefault="00934907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Form SF-SAC and Instructions</w:t>
      </w:r>
    </w:p>
    <w:p w14:paraId="39485540" w14:textId="785B3763" w:rsidR="00934907" w:rsidRDefault="00934907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Submission Criteria Check to Determine Submission Eligibility</w:t>
      </w:r>
    </w:p>
    <w:p w14:paraId="30FAC4C2" w14:textId="4EAE7BC8" w:rsidR="00934907" w:rsidRDefault="00934907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PDF Component Page Numbers Entry</w:t>
      </w:r>
    </w:p>
    <w:p w14:paraId="5A8447B3" w14:textId="05481C6A" w:rsidR="00934907" w:rsidRDefault="00934907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Summary of Comments and Responses</w:t>
      </w:r>
    </w:p>
    <w:p w14:paraId="53E3B708" w14:textId="56177FC2" w:rsidR="00934907" w:rsidRDefault="00934907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IDES Introductory/Login Page</w:t>
      </w:r>
    </w:p>
    <w:p w14:paraId="5E8D27F7" w14:textId="31676B1A" w:rsidR="006E75F9" w:rsidRDefault="006E75F9" w:rsidP="00934907">
      <w:pPr>
        <w:pStyle w:val="NormalWeb"/>
        <w:numPr>
          <w:ilvl w:val="0"/>
          <w:numId w:val="8"/>
        </w:numPr>
        <w:rPr>
          <w:color w:val="auto"/>
        </w:rPr>
      </w:pPr>
      <w:r>
        <w:rPr>
          <w:color w:val="auto"/>
        </w:rPr>
        <w:t>List of Items Changed on Revision</w:t>
      </w:r>
    </w:p>
    <w:p w14:paraId="34A0D635" w14:textId="77777777" w:rsidR="000F5346" w:rsidRDefault="000F5346"/>
    <w:sectPr w:rsidR="000F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3A1B0C"/>
    <w:lvl w:ilvl="0">
      <w:start w:val="2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12E04A01"/>
    <w:multiLevelType w:val="hybridMultilevel"/>
    <w:tmpl w:val="AF42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7CAF"/>
    <w:multiLevelType w:val="multilevel"/>
    <w:tmpl w:val="0EB2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FA3468"/>
    <w:multiLevelType w:val="hybridMultilevel"/>
    <w:tmpl w:val="61B6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B2111"/>
    <w:multiLevelType w:val="hybridMultilevel"/>
    <w:tmpl w:val="A52E3EF8"/>
    <w:lvl w:ilvl="0" w:tplc="B966293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B1C682E"/>
    <w:multiLevelType w:val="multilevel"/>
    <w:tmpl w:val="0C5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771AC"/>
    <w:multiLevelType w:val="multilevel"/>
    <w:tmpl w:val="2FE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3F1590"/>
    <w:multiLevelType w:val="multilevel"/>
    <w:tmpl w:val="00000001"/>
    <w:lvl w:ilvl="0">
      <w:start w:val="1"/>
      <w:numFmt w:val="upperLetter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B3"/>
    <w:rsid w:val="00075910"/>
    <w:rsid w:val="000F5346"/>
    <w:rsid w:val="00145761"/>
    <w:rsid w:val="00151CB3"/>
    <w:rsid w:val="00153759"/>
    <w:rsid w:val="002070BD"/>
    <w:rsid w:val="0030711F"/>
    <w:rsid w:val="003241FF"/>
    <w:rsid w:val="00347A0E"/>
    <w:rsid w:val="003D3092"/>
    <w:rsid w:val="003F2921"/>
    <w:rsid w:val="0058299F"/>
    <w:rsid w:val="00596CF8"/>
    <w:rsid w:val="005D6B3A"/>
    <w:rsid w:val="00676E28"/>
    <w:rsid w:val="006E75F9"/>
    <w:rsid w:val="007832B3"/>
    <w:rsid w:val="00793207"/>
    <w:rsid w:val="00884223"/>
    <w:rsid w:val="00934907"/>
    <w:rsid w:val="00953AF3"/>
    <w:rsid w:val="00B868F3"/>
    <w:rsid w:val="00D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E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CB3"/>
    <w:pPr>
      <w:keepNext/>
      <w:keepLines/>
      <w:spacing w:before="40"/>
      <w:outlineLvl w:val="3"/>
    </w:pPr>
    <w:rPr>
      <w:rFonts w:eastAsiaTheme="majorEastAsia" w:cstheme="majorBidi"/>
      <w:b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51CB3"/>
    <w:rPr>
      <w:rFonts w:ascii="Times New Roman" w:eastAsiaTheme="majorEastAsia" w:hAnsi="Times New Roman" w:cstheme="majorBidi"/>
      <w:b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1C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1C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1C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76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6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1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CB3"/>
    <w:pPr>
      <w:keepNext/>
      <w:keepLines/>
      <w:spacing w:before="40"/>
      <w:outlineLvl w:val="3"/>
    </w:pPr>
    <w:rPr>
      <w:rFonts w:eastAsiaTheme="majorEastAsia" w:cstheme="majorBidi"/>
      <w:b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51CB3"/>
    <w:rPr>
      <w:rFonts w:ascii="Times New Roman" w:eastAsiaTheme="majorEastAsia" w:hAnsi="Times New Roman" w:cstheme="majorBidi"/>
      <w:b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1C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1C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1C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76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6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391BE18EC64DA24A69D734FA8242" ma:contentTypeVersion="53" ma:contentTypeDescription="Create a new document." ma:contentTypeScope="" ma:versionID="a2e4e361f5a112f8c0043c3584e09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0a1ad005aec5672b496abb8eae1d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Props1.xml><?xml version="1.0" encoding="utf-8"?>
<ds:datastoreItem xmlns:ds="http://schemas.openxmlformats.org/officeDocument/2006/customXml" ds:itemID="{82536CCA-F5DF-4348-BA8F-DD29F7F4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EA424-FF67-42B6-A1C9-82A92851CD0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50D7B1-8C98-479C-865F-18064CC28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AF4A1-1EDC-480B-987D-9F45B9027B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 Minnich (CENSUS/ERD FED)</dc:creator>
  <cp:keywords/>
  <dc:description/>
  <cp:lastModifiedBy>SYSTEM</cp:lastModifiedBy>
  <cp:revision>2</cp:revision>
  <dcterms:created xsi:type="dcterms:W3CDTF">2019-01-29T13:51:00Z</dcterms:created>
  <dcterms:modified xsi:type="dcterms:W3CDTF">2019-01-29T13:51:00Z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0x010100D803391BE18EC64DA24A69D734FA8242</vt:lpwstr>
  </property>
</Properties>
</file>