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1B" w:rsidRDefault="00000B1B" w:rsidP="0031088D">
      <w:pPr>
        <w:pStyle w:val="NoSpacing"/>
        <w:rPr>
          <w:rFonts w:asciiTheme="minorHAnsi" w:hAnsiTheme="minorHAnsi"/>
          <w:b w:val="0"/>
          <w:szCs w:val="24"/>
        </w:rPr>
      </w:pPr>
      <w:bookmarkStart w:id="0" w:name="_GoBack"/>
      <w:bookmarkEnd w:id="0"/>
      <w:r>
        <w:rPr>
          <w:rFonts w:asciiTheme="minorHAnsi" w:hAnsiTheme="minorHAnsi"/>
          <w:szCs w:val="24"/>
        </w:rPr>
        <w:t xml:space="preserve">SUPPORTING STATEMENT PART </w:t>
      </w:r>
      <w:r w:rsidR="007A5A5F">
        <w:rPr>
          <w:rFonts w:asciiTheme="minorHAnsi" w:hAnsiTheme="minorHAnsi"/>
          <w:szCs w:val="24"/>
        </w:rPr>
        <w:t xml:space="preserve">B </w:t>
      </w:r>
      <w:r>
        <w:rPr>
          <w:rFonts w:asciiTheme="minorHAnsi" w:hAnsiTheme="minorHAnsi"/>
          <w:szCs w:val="24"/>
        </w:rPr>
        <w:t>FOR</w:t>
      </w:r>
    </w:p>
    <w:p w:rsidR="00000B1B" w:rsidRDefault="00000B1B" w:rsidP="00000B1B">
      <w:pPr>
        <w:pStyle w:val="NoSpacing"/>
        <w:rPr>
          <w:rFonts w:asciiTheme="minorHAnsi" w:hAnsiTheme="minorHAnsi"/>
          <w:b w:val="0"/>
          <w:szCs w:val="24"/>
        </w:rPr>
      </w:pPr>
    </w:p>
    <w:p w:rsidR="00000B1B" w:rsidRDefault="00000B1B" w:rsidP="00000B1B">
      <w:pPr>
        <w:jc w:val="center"/>
        <w:rPr>
          <w:rFonts w:asciiTheme="minorHAnsi" w:hAnsiTheme="minorHAnsi"/>
          <w:b/>
          <w:szCs w:val="24"/>
        </w:rPr>
      </w:pPr>
      <w:r>
        <w:rPr>
          <w:rFonts w:asciiTheme="minorHAnsi" w:hAnsiTheme="minorHAnsi"/>
          <w:b/>
          <w:szCs w:val="24"/>
        </w:rPr>
        <w:t>Evaluation of the Food Insecurity Nutrition Incentives (FINI)</w:t>
      </w:r>
    </w:p>
    <w:p w:rsidR="00000B1B" w:rsidRDefault="00000B1B" w:rsidP="00000B1B">
      <w:pPr>
        <w:pStyle w:val="NoSpacing"/>
        <w:rPr>
          <w:rFonts w:asciiTheme="minorHAnsi" w:hAnsiTheme="minorHAnsi"/>
          <w:b w:val="0"/>
          <w:szCs w:val="24"/>
        </w:rPr>
      </w:pPr>
    </w:p>
    <w:p w:rsidR="00000B1B" w:rsidRDefault="00000B1B" w:rsidP="00000B1B">
      <w:pPr>
        <w:pStyle w:val="NoSpacing"/>
        <w:rPr>
          <w:rFonts w:asciiTheme="minorHAnsi" w:hAnsiTheme="minorHAnsi"/>
          <w:b w:val="0"/>
          <w:szCs w:val="24"/>
        </w:rPr>
      </w:pPr>
    </w:p>
    <w:p w:rsidR="00000B1B" w:rsidRDefault="00000B1B" w:rsidP="00000B1B">
      <w:pPr>
        <w:pStyle w:val="NoSpacing"/>
        <w:rPr>
          <w:rFonts w:asciiTheme="minorHAnsi" w:hAnsiTheme="minorHAnsi"/>
          <w:b w:val="0"/>
          <w:szCs w:val="24"/>
        </w:rPr>
      </w:pPr>
      <w:r>
        <w:rPr>
          <w:rFonts w:asciiTheme="minorHAnsi" w:hAnsiTheme="minorHAnsi"/>
          <w:szCs w:val="24"/>
        </w:rPr>
        <w:t>Office of Research and Analysis</w:t>
      </w:r>
    </w:p>
    <w:p w:rsidR="00000B1B" w:rsidRDefault="00000B1B" w:rsidP="00000B1B">
      <w:pPr>
        <w:pStyle w:val="NoSpacing"/>
        <w:rPr>
          <w:rFonts w:asciiTheme="minorHAnsi" w:hAnsiTheme="minorHAnsi"/>
          <w:b w:val="0"/>
          <w:szCs w:val="24"/>
        </w:rPr>
      </w:pPr>
      <w:r>
        <w:rPr>
          <w:rFonts w:asciiTheme="minorHAnsi" w:hAnsiTheme="minorHAnsi"/>
          <w:szCs w:val="24"/>
        </w:rPr>
        <w:t>Food and Nutrition Service</w:t>
      </w:r>
    </w:p>
    <w:p w:rsidR="00000B1B" w:rsidRDefault="00000B1B" w:rsidP="00000B1B">
      <w:pPr>
        <w:pStyle w:val="NoSpacing"/>
        <w:rPr>
          <w:rFonts w:asciiTheme="minorHAnsi" w:hAnsiTheme="minorHAnsi"/>
          <w:b w:val="0"/>
          <w:szCs w:val="24"/>
        </w:rPr>
      </w:pPr>
      <w:r>
        <w:rPr>
          <w:rFonts w:asciiTheme="minorHAnsi" w:hAnsiTheme="minorHAnsi"/>
          <w:szCs w:val="24"/>
        </w:rPr>
        <w:t>US Department of Agriculture</w:t>
      </w:r>
    </w:p>
    <w:p w:rsidR="00000B1B" w:rsidRDefault="00000B1B" w:rsidP="00000B1B">
      <w:pPr>
        <w:pStyle w:val="NoSpacing"/>
        <w:rPr>
          <w:rFonts w:asciiTheme="minorHAnsi" w:hAnsiTheme="minorHAnsi"/>
          <w:b w:val="0"/>
          <w:szCs w:val="24"/>
        </w:rPr>
      </w:pPr>
      <w:r>
        <w:rPr>
          <w:rFonts w:asciiTheme="minorHAnsi" w:hAnsiTheme="minorHAnsi"/>
          <w:szCs w:val="24"/>
        </w:rPr>
        <w:t>3101 Park Center Drive</w:t>
      </w:r>
    </w:p>
    <w:p w:rsidR="00000B1B" w:rsidRDefault="00000B1B" w:rsidP="00000B1B">
      <w:pPr>
        <w:pStyle w:val="NoSpacing"/>
        <w:rPr>
          <w:rFonts w:asciiTheme="minorHAnsi" w:hAnsiTheme="minorHAnsi"/>
          <w:b w:val="0"/>
          <w:szCs w:val="24"/>
        </w:rPr>
      </w:pPr>
      <w:r>
        <w:rPr>
          <w:rFonts w:asciiTheme="minorHAnsi" w:hAnsiTheme="minorHAnsi"/>
          <w:szCs w:val="24"/>
        </w:rPr>
        <w:t>Alexandria, VA 22302</w:t>
      </w:r>
    </w:p>
    <w:p w:rsidR="00000B1B" w:rsidRDefault="00000B1B" w:rsidP="00000B1B">
      <w:pPr>
        <w:pStyle w:val="NoSpacing"/>
        <w:rPr>
          <w:rFonts w:asciiTheme="minorHAnsi" w:hAnsiTheme="minorHAnsi"/>
          <w:b w:val="0"/>
          <w:szCs w:val="24"/>
        </w:rPr>
      </w:pPr>
      <w:r>
        <w:rPr>
          <w:rFonts w:asciiTheme="minorHAnsi" w:hAnsiTheme="minorHAnsi"/>
          <w:szCs w:val="24"/>
        </w:rPr>
        <w:t>Phone: 703-305-2640</w:t>
      </w:r>
    </w:p>
    <w:p w:rsidR="00000B1B" w:rsidRDefault="00000B1B" w:rsidP="00000B1B">
      <w:pPr>
        <w:pStyle w:val="NoSpacing"/>
        <w:rPr>
          <w:rFonts w:asciiTheme="minorHAnsi" w:hAnsiTheme="minorHAnsi"/>
          <w:b w:val="0"/>
          <w:szCs w:val="24"/>
        </w:rPr>
      </w:pPr>
      <w:r>
        <w:rPr>
          <w:rFonts w:asciiTheme="minorHAnsi" w:hAnsiTheme="minorHAnsi"/>
          <w:szCs w:val="24"/>
        </w:rPr>
        <w:t>Fax: 703-305-2576</w:t>
      </w:r>
    </w:p>
    <w:p w:rsidR="0051381C" w:rsidRDefault="00000B1B" w:rsidP="007C28BE">
      <w:pPr>
        <w:pStyle w:val="NoSpacing"/>
        <w:sectPr w:rsidR="0051381C" w:rsidSect="0051381C">
          <w:footerReference w:type="default" r:id="rId9"/>
          <w:headerReference w:type="first" r:id="rId10"/>
          <w:pgSz w:w="12240" w:h="15840" w:code="1"/>
          <w:pgMar w:top="2520" w:right="576" w:bottom="432" w:left="662" w:header="720" w:footer="576" w:gutter="0"/>
          <w:cols w:space="720"/>
          <w:titlePg/>
          <w:docGrid w:linePitch="360"/>
        </w:sectPr>
      </w:pPr>
      <w:r>
        <w:rPr>
          <w:rFonts w:asciiTheme="minorHAnsi" w:hAnsiTheme="minorHAnsi"/>
          <w:szCs w:val="24"/>
        </w:rPr>
        <w:t>E-mail: Eric.Williams@fns.usda.gov</w:t>
      </w:r>
    </w:p>
    <w:p w:rsidR="0051381C" w:rsidRPr="00586512" w:rsidRDefault="0051381C" w:rsidP="0051381C">
      <w:pPr>
        <w:spacing w:line="14" w:lineRule="exact"/>
      </w:pPr>
    </w:p>
    <w:p w:rsidR="007C2CD6" w:rsidRDefault="007C2CD6" w:rsidP="007C2CD6">
      <w:pPr>
        <w:pStyle w:val="TC-TableofContentsHeading"/>
      </w:pPr>
      <w:r>
        <w:t>Table of Contents</w:t>
      </w:r>
    </w:p>
    <w:p w:rsidR="007C2CD6" w:rsidRDefault="009C4246" w:rsidP="007C2CD6">
      <w:pPr>
        <w:pStyle w:val="T0-ChapPgHd"/>
      </w:pPr>
      <w:r>
        <w:t>Section</w:t>
      </w:r>
      <w:r w:rsidR="007C2CD6">
        <w:tab/>
        <w:t>Page</w:t>
      </w:r>
    </w:p>
    <w:p w:rsidR="007C2CD6" w:rsidRDefault="007C2CD6" w:rsidP="007C2CD6">
      <w:pPr>
        <w:pStyle w:val="T0-ChapPgHd"/>
      </w:pPr>
    </w:p>
    <w:p w:rsidR="00BE4CF0" w:rsidRDefault="00BE4CF0" w:rsidP="00BE4CF0">
      <w:pPr>
        <w:pStyle w:val="TOC1"/>
      </w:pPr>
      <w:r w:rsidRPr="00182144">
        <w:t>B</w:t>
      </w:r>
      <w:r>
        <w:tab/>
      </w:r>
      <w:r w:rsidRPr="00182144">
        <w:t>Collections of Information Employing Statistical Methods</w:t>
      </w:r>
      <w:r w:rsidRPr="00182144">
        <w:tab/>
      </w:r>
      <w:r>
        <w:tab/>
      </w:r>
      <w:r w:rsidRPr="00182144">
        <w:t>1</w:t>
      </w:r>
    </w:p>
    <w:p w:rsidR="00BE4CF0" w:rsidRPr="00182144" w:rsidRDefault="00BE4CF0" w:rsidP="00BE4CF0">
      <w:pPr>
        <w:pStyle w:val="TOC1"/>
        <w:rPr>
          <w:rFonts w:eastAsiaTheme="minorEastAsia"/>
        </w:rPr>
      </w:pPr>
    </w:p>
    <w:p w:rsidR="00BE4CF0" w:rsidRDefault="00BE4CF0" w:rsidP="00BE4CF0">
      <w:pPr>
        <w:pStyle w:val="TOC2"/>
      </w:pPr>
      <w:r w:rsidRPr="00182144">
        <w:t>B.1</w:t>
      </w:r>
      <w:r w:rsidRPr="00182144">
        <w:rPr>
          <w:rFonts w:eastAsiaTheme="minorEastAsia"/>
        </w:rPr>
        <w:tab/>
      </w:r>
      <w:r w:rsidRPr="00182144">
        <w:t>Respondent Universe and Sampling Methods</w:t>
      </w:r>
      <w:r w:rsidRPr="00182144">
        <w:tab/>
      </w:r>
      <w:r>
        <w:tab/>
      </w:r>
      <w:r w:rsidRPr="00182144">
        <w:t>1</w:t>
      </w:r>
    </w:p>
    <w:p w:rsidR="00BE4CF0" w:rsidRPr="00182144" w:rsidRDefault="00BE4CF0" w:rsidP="00BE4CF0">
      <w:pPr>
        <w:pStyle w:val="TOC2"/>
        <w:rPr>
          <w:rFonts w:eastAsiaTheme="minorEastAsia"/>
        </w:rPr>
      </w:pPr>
    </w:p>
    <w:p w:rsidR="00BE4CF0" w:rsidRPr="00182144" w:rsidRDefault="00BE4CF0" w:rsidP="00BE4CF0">
      <w:pPr>
        <w:pStyle w:val="TOC3"/>
        <w:rPr>
          <w:rFonts w:eastAsiaTheme="minorEastAsia"/>
        </w:rPr>
      </w:pPr>
      <w:r w:rsidRPr="00182144">
        <w:t>Respondent Universe</w:t>
      </w:r>
      <w:r w:rsidRPr="00182144">
        <w:tab/>
      </w:r>
      <w:r>
        <w:tab/>
      </w:r>
      <w:r w:rsidRPr="00182144">
        <w:t>1</w:t>
      </w:r>
    </w:p>
    <w:p w:rsidR="00BE4CF0" w:rsidRPr="00182144" w:rsidRDefault="00BE4CF0" w:rsidP="00BE4CF0">
      <w:pPr>
        <w:pStyle w:val="TOC3"/>
        <w:rPr>
          <w:rFonts w:eastAsiaTheme="minorEastAsia"/>
        </w:rPr>
      </w:pPr>
      <w:r w:rsidRPr="00182144">
        <w:t>Sampling Design for the SNAP Participant Survey</w:t>
      </w:r>
      <w:r w:rsidRPr="00182144">
        <w:tab/>
      </w:r>
      <w:r>
        <w:tab/>
      </w:r>
      <w:r w:rsidRPr="00182144">
        <w:t>2</w:t>
      </w:r>
    </w:p>
    <w:p w:rsidR="00BE4CF0" w:rsidRPr="00182144" w:rsidRDefault="00BE4CF0" w:rsidP="00BE4CF0">
      <w:pPr>
        <w:pStyle w:val="TOC3"/>
        <w:rPr>
          <w:rFonts w:eastAsiaTheme="minorEastAsia"/>
        </w:rPr>
      </w:pPr>
      <w:r w:rsidRPr="00182144">
        <w:t>Sampling Design for Key Informant Interviews with SNAP Participants</w:t>
      </w:r>
      <w:r w:rsidRPr="00182144">
        <w:tab/>
      </w:r>
      <w:r>
        <w:tab/>
      </w:r>
      <w:r w:rsidR="000A055D">
        <w:t>5</w:t>
      </w:r>
    </w:p>
    <w:p w:rsidR="00BE4CF0" w:rsidRPr="00182144" w:rsidRDefault="00BE4CF0" w:rsidP="00BE4CF0">
      <w:pPr>
        <w:pStyle w:val="TOC3"/>
        <w:rPr>
          <w:rFonts w:eastAsiaTheme="minorEastAsia"/>
        </w:rPr>
      </w:pPr>
      <w:r w:rsidRPr="00182144">
        <w:t>Sampling Design for Key Informant Interviews with Grantee Administrators</w:t>
      </w:r>
      <w:r w:rsidRPr="00182144">
        <w:tab/>
      </w:r>
      <w:r>
        <w:tab/>
      </w:r>
      <w:r w:rsidR="000A055D">
        <w:t>5</w:t>
      </w:r>
    </w:p>
    <w:p w:rsidR="00BE4CF0" w:rsidRPr="00182144" w:rsidRDefault="00BE4CF0" w:rsidP="00BE4CF0">
      <w:pPr>
        <w:pStyle w:val="TOC3"/>
        <w:rPr>
          <w:rFonts w:eastAsiaTheme="minorEastAsia"/>
        </w:rPr>
      </w:pPr>
      <w:r w:rsidRPr="00182144">
        <w:t>Sampling Design for the Core Program Data</w:t>
      </w:r>
      <w:r w:rsidRPr="00182144">
        <w:tab/>
      </w:r>
      <w:r>
        <w:tab/>
      </w:r>
      <w:r w:rsidR="000A055D">
        <w:t>6</w:t>
      </w:r>
    </w:p>
    <w:p w:rsidR="00BE4CF0" w:rsidRDefault="00BE4CF0" w:rsidP="00BE4CF0">
      <w:pPr>
        <w:pStyle w:val="TOC3"/>
      </w:pPr>
      <w:r w:rsidRPr="00182144">
        <w:t>Sampling Design for the Outlet Survey</w:t>
      </w:r>
      <w:r w:rsidRPr="00182144">
        <w:tab/>
      </w:r>
      <w:r>
        <w:tab/>
      </w:r>
      <w:r w:rsidR="000A055D">
        <w:t>6</w:t>
      </w:r>
    </w:p>
    <w:p w:rsidR="00BE4CF0" w:rsidRPr="00182144" w:rsidRDefault="00BE4CF0" w:rsidP="00BE4CF0">
      <w:pPr>
        <w:pStyle w:val="TOC3"/>
        <w:rPr>
          <w:rFonts w:eastAsiaTheme="minorEastAsia"/>
        </w:rPr>
      </w:pPr>
    </w:p>
    <w:p w:rsidR="00BE4CF0" w:rsidRDefault="00BE4CF0" w:rsidP="00BE4CF0">
      <w:pPr>
        <w:pStyle w:val="TOC2"/>
      </w:pPr>
      <w:r w:rsidRPr="00182144">
        <w:t>B.2</w:t>
      </w:r>
      <w:r w:rsidRPr="00182144">
        <w:rPr>
          <w:rFonts w:eastAsiaTheme="minorEastAsia"/>
        </w:rPr>
        <w:tab/>
      </w:r>
      <w:r w:rsidRPr="00182144">
        <w:t>Procedures for the Collection of Information</w:t>
      </w:r>
      <w:r w:rsidRPr="00182144">
        <w:tab/>
      </w:r>
      <w:r>
        <w:tab/>
      </w:r>
      <w:r w:rsidR="000A055D">
        <w:t>6</w:t>
      </w:r>
    </w:p>
    <w:p w:rsidR="00BE4CF0" w:rsidRPr="00182144" w:rsidRDefault="00BE4CF0" w:rsidP="00BE4CF0">
      <w:pPr>
        <w:pStyle w:val="TOC2"/>
        <w:rPr>
          <w:rFonts w:eastAsiaTheme="minorEastAsia"/>
        </w:rPr>
      </w:pPr>
    </w:p>
    <w:p w:rsidR="00BE4CF0" w:rsidRPr="00182144" w:rsidRDefault="00BE4CF0" w:rsidP="00BE4CF0">
      <w:pPr>
        <w:pStyle w:val="TOC3"/>
        <w:rPr>
          <w:rFonts w:eastAsiaTheme="minorEastAsia"/>
        </w:rPr>
      </w:pPr>
      <w:r w:rsidRPr="00182144">
        <w:t>Statistical Methodology for SNAP Participant Survey Sample Selection</w:t>
      </w:r>
      <w:r w:rsidRPr="00182144">
        <w:tab/>
      </w:r>
      <w:r>
        <w:tab/>
      </w:r>
      <w:r w:rsidR="000A055D">
        <w:t>6</w:t>
      </w:r>
    </w:p>
    <w:p w:rsidR="00BE4CF0" w:rsidRPr="00182144" w:rsidRDefault="00BE4CF0" w:rsidP="00BE4CF0">
      <w:pPr>
        <w:pStyle w:val="TOC3"/>
        <w:rPr>
          <w:rFonts w:eastAsiaTheme="minorEastAsia"/>
        </w:rPr>
      </w:pPr>
      <w:r w:rsidRPr="00182144">
        <w:t>Methodology for SNAP Participant Key Informant Interview Sample Selection</w:t>
      </w:r>
      <w:r w:rsidRPr="00182144">
        <w:tab/>
      </w:r>
      <w:r>
        <w:tab/>
      </w:r>
      <w:r w:rsidR="000A055D">
        <w:t>8</w:t>
      </w:r>
    </w:p>
    <w:p w:rsidR="00BE4CF0" w:rsidRPr="00182144" w:rsidRDefault="00BE4CF0" w:rsidP="00BE4CF0">
      <w:pPr>
        <w:pStyle w:val="TOC3"/>
        <w:rPr>
          <w:rFonts w:eastAsiaTheme="minorEastAsia"/>
        </w:rPr>
      </w:pPr>
      <w:r w:rsidRPr="00182144">
        <w:t>Methodology for Program Administrator Key Informant Interview Sample Selection</w:t>
      </w:r>
      <w:r w:rsidRPr="00182144">
        <w:tab/>
      </w:r>
      <w:r>
        <w:tab/>
      </w:r>
      <w:r w:rsidR="000A055D">
        <w:t>8</w:t>
      </w:r>
    </w:p>
    <w:p w:rsidR="00BE4CF0" w:rsidRPr="00182144" w:rsidRDefault="00BE4CF0" w:rsidP="00BE4CF0">
      <w:pPr>
        <w:pStyle w:val="TOC3"/>
        <w:rPr>
          <w:rFonts w:eastAsiaTheme="minorEastAsia"/>
        </w:rPr>
      </w:pPr>
      <w:r w:rsidRPr="00182144">
        <w:t>Methodology for Core Program Data Sample Selection</w:t>
      </w:r>
      <w:r w:rsidRPr="00182144">
        <w:tab/>
      </w:r>
      <w:r>
        <w:tab/>
      </w:r>
      <w:r w:rsidR="000A055D">
        <w:t>8</w:t>
      </w:r>
    </w:p>
    <w:p w:rsidR="00BE4CF0" w:rsidRPr="00182144" w:rsidRDefault="00BE4CF0" w:rsidP="00BE4CF0">
      <w:pPr>
        <w:pStyle w:val="TOC3"/>
        <w:rPr>
          <w:rFonts w:eastAsiaTheme="minorEastAsia"/>
        </w:rPr>
      </w:pPr>
      <w:r w:rsidRPr="00182144">
        <w:t>Methodology for Outlet Survey Sample Selection</w:t>
      </w:r>
      <w:r w:rsidRPr="00182144">
        <w:tab/>
      </w:r>
      <w:r>
        <w:tab/>
      </w:r>
      <w:r w:rsidR="000A055D">
        <w:t>8</w:t>
      </w:r>
    </w:p>
    <w:p w:rsidR="00BE4CF0" w:rsidRDefault="00BE4CF0" w:rsidP="0076468D">
      <w:pPr>
        <w:pStyle w:val="TOC3"/>
        <w:spacing w:after="120"/>
      </w:pPr>
      <w:r w:rsidRPr="00182144">
        <w:t>Degree of Accuracy in the SNAP Participant Survey</w:t>
      </w:r>
      <w:r w:rsidRPr="00182144">
        <w:tab/>
      </w:r>
      <w:r>
        <w:tab/>
      </w:r>
      <w:r w:rsidR="000A055D">
        <w:t>9</w:t>
      </w:r>
    </w:p>
    <w:p w:rsidR="0076468D" w:rsidRDefault="0076468D" w:rsidP="0076468D">
      <w:pPr>
        <w:pStyle w:val="TOC4"/>
      </w:pPr>
      <w:r w:rsidRPr="00095DDA">
        <w:t>Minimum Detectable Difference</w:t>
      </w:r>
      <w:r>
        <w:tab/>
      </w:r>
      <w:r>
        <w:tab/>
      </w:r>
      <w:r w:rsidR="000A055D">
        <w:t>9</w:t>
      </w:r>
    </w:p>
    <w:p w:rsidR="00BE4CF0" w:rsidRDefault="00BE4CF0" w:rsidP="0076468D">
      <w:pPr>
        <w:pStyle w:val="TOC3"/>
        <w:spacing w:before="120" w:after="120"/>
      </w:pPr>
      <w:r w:rsidRPr="00182144">
        <w:t>Estimation Procedures for the SNAP Participant Survey</w:t>
      </w:r>
      <w:r w:rsidRPr="00182144">
        <w:tab/>
      </w:r>
      <w:r>
        <w:tab/>
      </w:r>
      <w:r w:rsidR="000A055D">
        <w:t>13</w:t>
      </w:r>
    </w:p>
    <w:p w:rsidR="0076468D" w:rsidRDefault="0076468D" w:rsidP="0076468D">
      <w:pPr>
        <w:pStyle w:val="TOC4"/>
      </w:pPr>
      <w:r w:rsidRPr="00AB2A0D">
        <w:t>Sample Weights</w:t>
      </w:r>
      <w:r w:rsidR="000A055D">
        <w:tab/>
      </w:r>
      <w:r w:rsidR="000A055D">
        <w:tab/>
        <w:t>13</w:t>
      </w:r>
    </w:p>
    <w:p w:rsidR="0076468D" w:rsidRDefault="000A055D" w:rsidP="0076468D">
      <w:pPr>
        <w:pStyle w:val="TOC4"/>
      </w:pPr>
      <w:r>
        <w:t>Sampling Error Estimation</w:t>
      </w:r>
      <w:r>
        <w:tab/>
      </w:r>
      <w:r>
        <w:tab/>
        <w:t>14</w:t>
      </w:r>
    </w:p>
    <w:p w:rsidR="00BE4CF0" w:rsidRPr="00182144" w:rsidRDefault="00BE4CF0" w:rsidP="0076468D">
      <w:pPr>
        <w:pStyle w:val="TOC3"/>
        <w:spacing w:before="120"/>
        <w:rPr>
          <w:rFonts w:eastAsiaTheme="minorEastAsia"/>
        </w:rPr>
      </w:pPr>
      <w:r w:rsidRPr="00182144">
        <w:t>Unusual Problems Requiring Specialized Sampling Procedures</w:t>
      </w:r>
      <w:r w:rsidRPr="00182144">
        <w:tab/>
      </w:r>
      <w:r>
        <w:tab/>
      </w:r>
      <w:r w:rsidR="000A055D">
        <w:t>14</w:t>
      </w:r>
    </w:p>
    <w:p w:rsidR="00BE4CF0" w:rsidRDefault="00BE4CF0" w:rsidP="0076468D">
      <w:pPr>
        <w:pStyle w:val="TOC3"/>
        <w:spacing w:after="120"/>
      </w:pPr>
      <w:r w:rsidRPr="00182144">
        <w:t xml:space="preserve">Any </w:t>
      </w:r>
      <w:r w:rsidR="0076468D">
        <w:t>Use of Periodic (Less Frequent T</w:t>
      </w:r>
      <w:r w:rsidRPr="00182144">
        <w:t>han Annual) Data Collection Cycles to Reduce Burden</w:t>
      </w:r>
      <w:r w:rsidRPr="00182144">
        <w:tab/>
      </w:r>
      <w:r>
        <w:tab/>
      </w:r>
      <w:r w:rsidR="000A055D">
        <w:t>15</w:t>
      </w:r>
    </w:p>
    <w:p w:rsidR="00BE4CF0" w:rsidRDefault="00BE4CF0" w:rsidP="0076468D">
      <w:pPr>
        <w:pStyle w:val="TOC2"/>
        <w:tabs>
          <w:tab w:val="left" w:pos="3060"/>
        </w:tabs>
        <w:spacing w:after="120"/>
      </w:pPr>
      <w:r w:rsidRPr="00182144">
        <w:t>B.3</w:t>
      </w:r>
      <w:r w:rsidRPr="00182144">
        <w:rPr>
          <w:rFonts w:eastAsiaTheme="minorEastAsia"/>
        </w:rPr>
        <w:tab/>
      </w:r>
      <w:r w:rsidRPr="00182144">
        <w:t>Methods to Maximize Response Rates and to Deal With</w:t>
      </w:r>
      <w:r w:rsidR="0076468D">
        <w:br/>
      </w:r>
      <w:r w:rsidR="0076468D">
        <w:tab/>
      </w:r>
      <w:r w:rsidRPr="00182144">
        <w:t>Issues of Nonresponse</w:t>
      </w:r>
      <w:r w:rsidRPr="00182144">
        <w:tab/>
      </w:r>
      <w:r>
        <w:tab/>
      </w:r>
      <w:r w:rsidR="000A055D">
        <w:t>15</w:t>
      </w:r>
    </w:p>
    <w:p w:rsidR="0076468D" w:rsidRDefault="0076468D" w:rsidP="0076468D">
      <w:pPr>
        <w:pStyle w:val="TOC4"/>
      </w:pPr>
      <w:r w:rsidRPr="00C77794">
        <w:t>Nonresponse Bias Analysis</w:t>
      </w:r>
      <w:r w:rsidR="000A055D">
        <w:tab/>
      </w:r>
      <w:r w:rsidR="000A055D">
        <w:tab/>
        <w:t>16</w:t>
      </w:r>
    </w:p>
    <w:p w:rsidR="00BE4CF0" w:rsidRPr="00182144" w:rsidRDefault="00BE4CF0" w:rsidP="0076468D">
      <w:pPr>
        <w:pStyle w:val="TOC2"/>
        <w:tabs>
          <w:tab w:val="left" w:pos="3060"/>
        </w:tabs>
        <w:spacing w:before="120"/>
        <w:rPr>
          <w:rFonts w:eastAsiaTheme="minorEastAsia"/>
        </w:rPr>
      </w:pPr>
      <w:r w:rsidRPr="00182144">
        <w:t>B.4</w:t>
      </w:r>
      <w:r w:rsidRPr="00182144">
        <w:rPr>
          <w:rFonts w:eastAsiaTheme="minorEastAsia"/>
        </w:rPr>
        <w:tab/>
      </w:r>
      <w:r w:rsidRPr="00182144">
        <w:t>Test of Procedures or Methods to be Undertaken</w:t>
      </w:r>
      <w:r w:rsidRPr="00182144">
        <w:tab/>
      </w:r>
      <w:r>
        <w:tab/>
      </w:r>
      <w:r w:rsidR="000A055D">
        <w:t>16</w:t>
      </w:r>
    </w:p>
    <w:p w:rsidR="00BE4CF0" w:rsidRDefault="00BE4CF0" w:rsidP="0076468D">
      <w:pPr>
        <w:pStyle w:val="TOC2"/>
        <w:tabs>
          <w:tab w:val="left" w:pos="3060"/>
        </w:tabs>
      </w:pPr>
      <w:r w:rsidRPr="00182144">
        <w:t>B.5</w:t>
      </w:r>
      <w:r w:rsidRPr="00182144">
        <w:rPr>
          <w:rFonts w:eastAsiaTheme="minorEastAsia"/>
        </w:rPr>
        <w:tab/>
      </w:r>
      <w:r w:rsidRPr="00182144">
        <w:t xml:space="preserve">Individuals Consulted on Statistical Aspects and </w:t>
      </w:r>
      <w:r w:rsidR="0076468D">
        <w:br/>
      </w:r>
      <w:r w:rsidR="0076468D">
        <w:tab/>
      </w:r>
      <w:r w:rsidRPr="00182144">
        <w:t>Individuals Collecting and/or Analyzing Data</w:t>
      </w:r>
      <w:r w:rsidRPr="00182144">
        <w:tab/>
      </w:r>
      <w:r>
        <w:tab/>
      </w:r>
      <w:r w:rsidR="000A055D">
        <w:t>17</w:t>
      </w:r>
      <w:r>
        <w:br w:type="page"/>
      </w:r>
    </w:p>
    <w:p w:rsidR="00C467A9" w:rsidRPr="00C467A9" w:rsidRDefault="00C467A9" w:rsidP="00C467A9">
      <w:pPr>
        <w:pStyle w:val="TC-TableofContentsHeading"/>
        <w:rPr>
          <w:sz w:val="24"/>
          <w:szCs w:val="24"/>
        </w:rPr>
      </w:pPr>
      <w:r w:rsidRPr="00C467A9">
        <w:rPr>
          <w:sz w:val="24"/>
          <w:szCs w:val="24"/>
        </w:rPr>
        <w:lastRenderedPageBreak/>
        <w:t>Contents (continued)</w:t>
      </w:r>
    </w:p>
    <w:p w:rsidR="00C467A9" w:rsidRDefault="00C467A9" w:rsidP="00C467A9">
      <w:pPr>
        <w:pStyle w:val="T0-ChapPgHd"/>
      </w:pPr>
      <w:r>
        <w:t>Tables</w:t>
      </w:r>
      <w:r>
        <w:tab/>
        <w:t>Page</w:t>
      </w:r>
    </w:p>
    <w:p w:rsidR="00C467A9" w:rsidRDefault="00C467A9" w:rsidP="00C467A9">
      <w:pPr>
        <w:pStyle w:val="T0-ChapPgHd"/>
      </w:pPr>
    </w:p>
    <w:p w:rsidR="00360484" w:rsidRPr="00182144" w:rsidRDefault="00360484" w:rsidP="00360484">
      <w:pPr>
        <w:pStyle w:val="TOC5"/>
        <w:rPr>
          <w:rFonts w:eastAsiaTheme="minorEastAsia"/>
        </w:rPr>
      </w:pPr>
      <w:r>
        <w:t>B2.1</w:t>
      </w:r>
      <w:r w:rsidRPr="00182144">
        <w:rPr>
          <w:rFonts w:eastAsiaTheme="minorEastAsia"/>
        </w:rPr>
        <w:tab/>
      </w:r>
      <w:r w:rsidRPr="00182144">
        <w:t>Sample size of SNAP participants for an intervention cluster and a comparison site</w:t>
      </w:r>
      <w:r w:rsidRPr="00182144">
        <w:tab/>
      </w:r>
      <w:r>
        <w:tab/>
      </w:r>
      <w:r w:rsidR="000A055D">
        <w:t>8</w:t>
      </w:r>
    </w:p>
    <w:p w:rsidR="00360484" w:rsidRDefault="00360484" w:rsidP="00360484">
      <w:pPr>
        <w:pStyle w:val="TOC5"/>
      </w:pPr>
    </w:p>
    <w:p w:rsidR="00360484" w:rsidRPr="00182144" w:rsidRDefault="00360484" w:rsidP="00360484">
      <w:pPr>
        <w:pStyle w:val="TOC5"/>
        <w:rPr>
          <w:rFonts w:eastAsiaTheme="minorEastAsia"/>
        </w:rPr>
      </w:pPr>
      <w:r>
        <w:t>B2.2</w:t>
      </w:r>
      <w:r w:rsidRPr="00182144">
        <w:rPr>
          <w:rFonts w:eastAsiaTheme="minorEastAsia"/>
        </w:rPr>
        <w:tab/>
      </w:r>
      <w:r w:rsidRPr="00182144">
        <w:t>Minimum detectable difference (MDD) for one-tailed test with alpha = .05, power = .80</w:t>
      </w:r>
      <w:r w:rsidRPr="00182144">
        <w:tab/>
      </w:r>
      <w:r>
        <w:tab/>
      </w:r>
      <w:r w:rsidR="000A055D">
        <w:t>11</w:t>
      </w:r>
    </w:p>
    <w:p w:rsidR="00360484" w:rsidRDefault="00360484" w:rsidP="00360484">
      <w:pPr>
        <w:pStyle w:val="TOC5"/>
      </w:pPr>
    </w:p>
    <w:p w:rsidR="00360484" w:rsidRPr="00182144" w:rsidRDefault="00360484" w:rsidP="00360484">
      <w:pPr>
        <w:pStyle w:val="TOC5"/>
        <w:rPr>
          <w:rFonts w:eastAsiaTheme="minorEastAsia"/>
        </w:rPr>
      </w:pPr>
      <w:r>
        <w:t>B2.3</w:t>
      </w:r>
      <w:r w:rsidRPr="00182144">
        <w:rPr>
          <w:rFonts w:eastAsiaTheme="minorEastAsia"/>
        </w:rPr>
        <w:tab/>
      </w:r>
      <w:r w:rsidRPr="00182144">
        <w:t>Minimum detectable difference (MDD) between groups of clusters and the comparison group for individual intake, one-tailed test with alpha = .05, power = .80</w:t>
      </w:r>
      <w:r w:rsidRPr="00182144">
        <w:tab/>
      </w:r>
      <w:r>
        <w:tab/>
      </w:r>
      <w:r w:rsidR="000A055D">
        <w:t>12</w:t>
      </w:r>
    </w:p>
    <w:p w:rsidR="00360484" w:rsidRDefault="00360484" w:rsidP="00360484">
      <w:pPr>
        <w:pStyle w:val="TOC5"/>
      </w:pPr>
    </w:p>
    <w:p w:rsidR="00360484" w:rsidRPr="00182144" w:rsidRDefault="00360484" w:rsidP="00360484">
      <w:pPr>
        <w:pStyle w:val="TOC5"/>
        <w:rPr>
          <w:rFonts w:eastAsiaTheme="minorEastAsia"/>
        </w:rPr>
      </w:pPr>
      <w:r>
        <w:t>B2.4</w:t>
      </w:r>
      <w:r w:rsidRPr="00182144">
        <w:rPr>
          <w:rFonts w:eastAsiaTheme="minorEastAsia"/>
        </w:rPr>
        <w:tab/>
      </w:r>
      <w:r w:rsidRPr="00182144">
        <w:t>Minimum detectable difference (MDD) between groups of clusters and the control group for food insecurity status, one-tailed test with alpha = .05, power = .80</w:t>
      </w:r>
      <w:r w:rsidRPr="00182144">
        <w:tab/>
      </w:r>
      <w:r>
        <w:tab/>
      </w:r>
      <w:r w:rsidR="000A055D">
        <w:t>12</w:t>
      </w:r>
    </w:p>
    <w:p w:rsidR="00360484" w:rsidRDefault="00360484" w:rsidP="00360484">
      <w:pPr>
        <w:pStyle w:val="TOC5"/>
      </w:pPr>
    </w:p>
    <w:p w:rsidR="00360484" w:rsidRDefault="00360484" w:rsidP="00360484">
      <w:pPr>
        <w:pStyle w:val="TOC5"/>
      </w:pPr>
      <w:r>
        <w:t>B2.5</w:t>
      </w:r>
      <w:r w:rsidRPr="00182144">
        <w:rPr>
          <w:rFonts w:eastAsiaTheme="minorEastAsia"/>
        </w:rPr>
        <w:tab/>
      </w:r>
      <w:r w:rsidRPr="00182144">
        <w:t xml:space="preserve">Minimum detectable difference (MDD) between groups of clusters and the control group for selected secondary outcome </w:t>
      </w:r>
      <w:proofErr w:type="spellStart"/>
      <w:r w:rsidRPr="00182144">
        <w:t>prevalences</w:t>
      </w:r>
      <w:proofErr w:type="spellEnd"/>
      <w:r w:rsidRPr="00182144">
        <w:t xml:space="preserve"> (P), one-tailed test with alpha = .05, power = .80</w:t>
      </w:r>
      <w:r w:rsidRPr="00182144">
        <w:tab/>
      </w:r>
      <w:r>
        <w:tab/>
      </w:r>
      <w:r w:rsidR="000A055D">
        <w:t>13</w:t>
      </w:r>
    </w:p>
    <w:p w:rsidR="00360484" w:rsidRDefault="00360484" w:rsidP="00360484">
      <w:pPr>
        <w:pStyle w:val="TOC5"/>
      </w:pPr>
    </w:p>
    <w:p w:rsidR="00360484" w:rsidRPr="00182144" w:rsidRDefault="00360484" w:rsidP="00360484">
      <w:pPr>
        <w:pStyle w:val="TOC5"/>
        <w:rPr>
          <w:rFonts w:eastAsiaTheme="minorEastAsia"/>
        </w:rPr>
      </w:pPr>
    </w:p>
    <w:p w:rsidR="0022221F" w:rsidRDefault="0022221F" w:rsidP="00501EE6">
      <w:pPr>
        <w:pStyle w:val="T0-ChapPgHd"/>
      </w:pPr>
    </w:p>
    <w:p w:rsidR="00AF28AE" w:rsidRDefault="00AF28AE" w:rsidP="001B265D">
      <w:pPr>
        <w:pStyle w:val="Heading1"/>
        <w:sectPr w:rsidR="00AF28AE" w:rsidSect="008A6A7C">
          <w:headerReference w:type="default" r:id="rId11"/>
          <w:footerReference w:type="default" r:id="rId12"/>
          <w:headerReference w:type="first" r:id="rId13"/>
          <w:footerReference w:type="first" r:id="rId14"/>
          <w:pgSz w:w="12240" w:h="15840" w:code="1"/>
          <w:pgMar w:top="1440" w:right="1440" w:bottom="1440" w:left="1440" w:header="720" w:footer="576" w:gutter="0"/>
          <w:pgNumType w:start="1"/>
          <w:cols w:space="720"/>
          <w:titlePg/>
          <w:docGrid w:linePitch="326"/>
        </w:sectPr>
      </w:pPr>
      <w:bookmarkStart w:id="1" w:name="_Toc286158948"/>
      <w:bookmarkStart w:id="2" w:name="_Toc286160537"/>
      <w:bookmarkStart w:id="3" w:name="_Toc290021760"/>
      <w:bookmarkStart w:id="4" w:name="_Toc282506023"/>
      <w:bookmarkStart w:id="5" w:name="_Toc329675296"/>
      <w:bookmarkStart w:id="6" w:name="_Toc329675884"/>
    </w:p>
    <w:p w:rsidR="00271489" w:rsidRDefault="00271489" w:rsidP="001B265D">
      <w:pPr>
        <w:pStyle w:val="Heading1"/>
      </w:pPr>
      <w:r w:rsidRPr="00127EE4">
        <w:t xml:space="preserve">Part </w:t>
      </w:r>
      <w:r w:rsidR="001B265D">
        <w:t>B</w:t>
      </w:r>
      <w:r w:rsidRPr="00127EE4">
        <w:t xml:space="preserve">. </w:t>
      </w:r>
      <w:bookmarkStart w:id="7" w:name="_Toc409090898"/>
      <w:bookmarkStart w:id="8" w:name="_Toc400377717"/>
      <w:r w:rsidR="00127EE4" w:rsidRPr="0074555B">
        <w:t>Collections of Information Employing</w:t>
      </w:r>
      <w:bookmarkStart w:id="9" w:name="_Toc409090899"/>
      <w:bookmarkEnd w:id="7"/>
      <w:r w:rsidR="00067184">
        <w:t xml:space="preserve"> </w:t>
      </w:r>
      <w:r w:rsidR="00127EE4" w:rsidRPr="0074555B">
        <w:t>Statistical Methods</w:t>
      </w:r>
      <w:bookmarkEnd w:id="8"/>
      <w:bookmarkEnd w:id="9"/>
    </w:p>
    <w:p w:rsidR="00271489" w:rsidRDefault="00271489" w:rsidP="001B265D">
      <w:pPr>
        <w:pStyle w:val="Heading1"/>
      </w:pPr>
    </w:p>
    <w:p w:rsidR="008A6A7C" w:rsidRPr="0074555B" w:rsidRDefault="008A6A7C" w:rsidP="001B265D">
      <w:pPr>
        <w:pStyle w:val="Heading2"/>
      </w:pPr>
      <w:bookmarkStart w:id="10" w:name="_Toc329341099"/>
      <w:bookmarkStart w:id="11" w:name="_Toc400377718"/>
      <w:bookmarkStart w:id="12" w:name="_Toc409090900"/>
      <w:bookmarkStart w:id="13" w:name="_Toc290021780"/>
      <w:r w:rsidRPr="0074555B">
        <w:t>B.1</w:t>
      </w:r>
      <w:r w:rsidRPr="0074555B">
        <w:tab/>
        <w:t>Respondent Universe and Sampling Methods</w:t>
      </w:r>
      <w:bookmarkEnd w:id="10"/>
      <w:bookmarkEnd w:id="11"/>
      <w:bookmarkEnd w:id="12"/>
    </w:p>
    <w:p w:rsidR="008A6A7C" w:rsidRPr="002232F7" w:rsidRDefault="008A6A7C" w:rsidP="001B265D">
      <w:pPr>
        <w:pStyle w:val="L1-FlLSp12"/>
        <w:rPr>
          <w:b/>
        </w:rPr>
      </w:pPr>
      <w:bookmarkStart w:id="14" w:name="_Toc316652505"/>
      <w:bookmarkStart w:id="15" w:name="_Toc325550963"/>
      <w:bookmarkStart w:id="16" w:name="_Toc400377719"/>
      <w:bookmarkStart w:id="17" w:name="_Toc290021779"/>
      <w:r w:rsidRPr="002232F7">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4"/>
      <w:bookmarkEnd w:id="15"/>
      <w:bookmarkEnd w:id="16"/>
    </w:p>
    <w:p w:rsidR="008A6A7C" w:rsidRDefault="008A6A7C" w:rsidP="001B265D">
      <w:pPr>
        <w:pStyle w:val="L1-FlLSp12"/>
      </w:pPr>
    </w:p>
    <w:p w:rsidR="001B265D" w:rsidRPr="0074555B" w:rsidRDefault="001B265D" w:rsidP="001B265D">
      <w:pPr>
        <w:pStyle w:val="L1-FlLSp12"/>
      </w:pPr>
    </w:p>
    <w:p w:rsidR="008A6A7C" w:rsidRPr="0074555B" w:rsidRDefault="001B265D" w:rsidP="00E329A7">
      <w:pPr>
        <w:pStyle w:val="Heading3"/>
      </w:pPr>
      <w:bookmarkStart w:id="18" w:name="_Toc400377720"/>
      <w:bookmarkEnd w:id="17"/>
      <w:r>
        <w:tab/>
      </w:r>
      <w:r w:rsidR="008A6A7C" w:rsidRPr="0074555B">
        <w:t>Respondent Universe</w:t>
      </w:r>
      <w:bookmarkEnd w:id="18"/>
    </w:p>
    <w:p w:rsidR="008A6A7C" w:rsidRDefault="006E100E" w:rsidP="001B265D">
      <w:pPr>
        <w:pStyle w:val="L1-FlLSp12"/>
      </w:pPr>
      <w:r>
        <w:t xml:space="preserve">Four </w:t>
      </w:r>
      <w:r w:rsidR="008A6A7C">
        <w:t>types of respondent universes are specified for the proposed evaluatio</w:t>
      </w:r>
      <w:r w:rsidR="00DE375C">
        <w:t>n of the Food Insecurity Nutrition Incentives (FINI) Grant Program</w:t>
      </w:r>
      <w:r w:rsidR="008A6A7C">
        <w:t>:</w:t>
      </w:r>
    </w:p>
    <w:p w:rsidR="001B265D" w:rsidRDefault="001B265D" w:rsidP="001B265D">
      <w:pPr>
        <w:pStyle w:val="L1-FlLSp12"/>
      </w:pPr>
    </w:p>
    <w:p w:rsidR="006E100E" w:rsidRDefault="006E100E" w:rsidP="002120F1">
      <w:pPr>
        <w:pStyle w:val="N1-1stBullet"/>
        <w:numPr>
          <w:ilvl w:val="0"/>
          <w:numId w:val="19"/>
        </w:numPr>
      </w:pPr>
      <w:r>
        <w:t>The first group of respondents includes State/local government agenc</w:t>
      </w:r>
      <w:r w:rsidR="001636C3">
        <w:t>ies</w:t>
      </w:r>
      <w:r>
        <w:t xml:space="preserve">, i.e. SNAP administrative staff.  We will request the SNAP administrative files from States that host FINI outlets; the information contained in these files will be used to develop a sampling frame of SNAP participants (the second respondent group, described below).  To reduce the burden on State agencies, we will review the number of FINI outlets in all States and identify </w:t>
      </w:r>
      <w:r w:rsidR="001636C3">
        <w:t>S</w:t>
      </w:r>
      <w:r>
        <w:t xml:space="preserve">tates with more than </w:t>
      </w:r>
      <w:r w:rsidR="00DC5575">
        <w:t xml:space="preserve">5 </w:t>
      </w:r>
      <w:r>
        <w:t>FINI outlets</w:t>
      </w:r>
      <w:r w:rsidR="00DC5575">
        <w:rPr>
          <w:rStyle w:val="FootnoteReference"/>
        </w:rPr>
        <w:footnoteReference w:id="1"/>
      </w:r>
      <w:r>
        <w:t xml:space="preserve">.  </w:t>
      </w:r>
      <w:r w:rsidR="007C28BE">
        <w:t xml:space="preserve">For purpose of estimating burden, we have assumed that SNAP administrative data will be obtained from 51 </w:t>
      </w:r>
      <w:r w:rsidR="00416248">
        <w:t>S</w:t>
      </w:r>
      <w:r w:rsidR="007C28BE">
        <w:t xml:space="preserve">tate/local agencies.  </w:t>
      </w:r>
      <w:r>
        <w:t xml:space="preserve">All SNAP administrative files will be obtained either using </w:t>
      </w:r>
      <w:r w:rsidR="001636C3">
        <w:t xml:space="preserve">secure methods such as </w:t>
      </w:r>
      <w:r>
        <w:t>a secure FTP site or encrypted email.</w:t>
      </w:r>
    </w:p>
    <w:p w:rsidR="008A6A7C" w:rsidRDefault="008A6A7C" w:rsidP="002120F1">
      <w:pPr>
        <w:pStyle w:val="N1-1stBullet"/>
        <w:numPr>
          <w:ilvl w:val="0"/>
          <w:numId w:val="19"/>
        </w:numPr>
      </w:pPr>
      <w:r>
        <w:t xml:space="preserve">The </w:t>
      </w:r>
      <w:r w:rsidR="006E100E">
        <w:t xml:space="preserve">second </w:t>
      </w:r>
      <w:r>
        <w:t xml:space="preserve">group of respondents includes </w:t>
      </w:r>
      <w:r w:rsidR="005C1586">
        <w:t xml:space="preserve">individuals/households: i.e. </w:t>
      </w:r>
      <w:r>
        <w:t>Supplemental Nutrition Assistance Program (</w:t>
      </w:r>
      <w:r w:rsidRPr="00825B03">
        <w:t>SNAP</w:t>
      </w:r>
      <w:r>
        <w:t>)</w:t>
      </w:r>
      <w:r w:rsidRPr="00825B03">
        <w:t xml:space="preserve"> </w:t>
      </w:r>
      <w:r>
        <w:t>participants assigned to the intervention and comparison groups. Survey data collected from the SNAP participants will be used to support the outcome evaluatio</w:t>
      </w:r>
      <w:r w:rsidR="002D408E">
        <w:t>n. We will work with the local/S</w:t>
      </w:r>
      <w:r>
        <w:t>tate SNAP office to obtain SNAP case files and select participants from the intervention and comparison areas. To gather data prior to incentive program implementation, we will identify the SNAP participants several months before the Pre-SNAP Participant Survey (SPS) data collection. The SPS target sample sizes are based on the sample needed to support minimum detectable differences (MDD) between subgroup estimates. Key informant interviews will also be conducted with a small number of SNAP participants who completed the post-SPS and are willing to participate in a follow-up interview.</w:t>
      </w:r>
    </w:p>
    <w:p w:rsidR="008A6A7C" w:rsidRDefault="008A6A7C" w:rsidP="002120F1">
      <w:pPr>
        <w:pStyle w:val="N1-1stBullet"/>
        <w:numPr>
          <w:ilvl w:val="0"/>
          <w:numId w:val="19"/>
        </w:numPr>
      </w:pPr>
      <w:r>
        <w:t xml:space="preserve">The </w:t>
      </w:r>
      <w:r w:rsidR="006E100E">
        <w:t xml:space="preserve">third </w:t>
      </w:r>
      <w:r>
        <w:t xml:space="preserve">group of respondents includes </w:t>
      </w:r>
      <w:r w:rsidR="001636C3">
        <w:t>b</w:t>
      </w:r>
      <w:r w:rsidR="00414A7D">
        <w:t>usiness-not-for pro</w:t>
      </w:r>
      <w:r w:rsidR="00FE2B47">
        <w:t>f</w:t>
      </w:r>
      <w:r w:rsidR="00414A7D">
        <w:t>i</w:t>
      </w:r>
      <w:r w:rsidR="001636C3">
        <w:t xml:space="preserve">t (i.e., </w:t>
      </w:r>
      <w:r>
        <w:t>Food Insecurity Nutrition Incentives (FINI) Grantees</w:t>
      </w:r>
      <w:r w:rsidR="001636C3">
        <w:t>)</w:t>
      </w:r>
      <w:r w:rsidR="00C15446">
        <w:t>.</w:t>
      </w:r>
      <w:r>
        <w:t xml:space="preserve"> All large-scale and multiyear FINI grantees</w:t>
      </w:r>
      <w:r w:rsidR="00C15446">
        <w:t>’</w:t>
      </w:r>
      <w:r>
        <w:t xml:space="preserve"> program administrators will </w:t>
      </w:r>
      <w:r w:rsidR="007C28BE">
        <w:t xml:space="preserve">complete the outlet characteristics form which will be used to identify the location and sample SNAP households in the treatment clusters.  These grantees will also </w:t>
      </w:r>
      <w:r>
        <w:t xml:space="preserve">participate in key informant interviews and provide contextual and process data for the programs included in the evaluation. FINI grantees will also provide annual and quarterly </w:t>
      </w:r>
      <w:r w:rsidR="002D408E">
        <w:t>C</w:t>
      </w:r>
      <w:r>
        <w:t xml:space="preserve">ore </w:t>
      </w:r>
      <w:r w:rsidR="002D408E">
        <w:t>P</w:t>
      </w:r>
      <w:r>
        <w:t xml:space="preserve">rogram </w:t>
      </w:r>
      <w:r w:rsidR="002D408E">
        <w:t>D</w:t>
      </w:r>
      <w:r>
        <w:t xml:space="preserve">ata about their program operations and performance. The </w:t>
      </w:r>
      <w:r w:rsidR="001C555E">
        <w:t>C</w:t>
      </w:r>
      <w:r>
        <w:t xml:space="preserve">ore </w:t>
      </w:r>
      <w:r w:rsidR="001C555E">
        <w:t>P</w:t>
      </w:r>
      <w:r>
        <w:t xml:space="preserve">rogram </w:t>
      </w:r>
      <w:r w:rsidR="001C555E">
        <w:t>D</w:t>
      </w:r>
      <w:r>
        <w:t xml:space="preserve">ata collection is the minimum needed to fulfil the congressional requirement of using </w:t>
      </w:r>
      <w:r w:rsidR="000A4805">
        <w:t>“</w:t>
      </w:r>
      <w:r>
        <w:t>rigorous methodologies capable of producing scientifically valid information regarding the effectiveness of the project.</w:t>
      </w:r>
      <w:r w:rsidR="000A4805">
        <w:t>”</w:t>
      </w:r>
    </w:p>
    <w:p w:rsidR="008A6A7C" w:rsidRDefault="008A6A7C" w:rsidP="002120F1">
      <w:pPr>
        <w:pStyle w:val="N1-1stBullet"/>
        <w:numPr>
          <w:ilvl w:val="0"/>
          <w:numId w:val="19"/>
        </w:numPr>
      </w:pPr>
      <w:r>
        <w:t xml:space="preserve">The </w:t>
      </w:r>
      <w:r w:rsidR="006E100E">
        <w:t xml:space="preserve">fourth </w:t>
      </w:r>
      <w:r>
        <w:t xml:space="preserve">group of respondents includes </w:t>
      </w:r>
      <w:r w:rsidR="001636C3">
        <w:t>b</w:t>
      </w:r>
      <w:r w:rsidR="00414A7D">
        <w:t>usiness-not-for-profit</w:t>
      </w:r>
      <w:r w:rsidR="001636C3">
        <w:t xml:space="preserve"> </w:t>
      </w:r>
      <w:r w:rsidR="00FE2B47">
        <w:t xml:space="preserve">and for-profit businesses </w:t>
      </w:r>
      <w:r w:rsidR="001636C3">
        <w:t>(i.e.,</w:t>
      </w:r>
      <w:r w:rsidR="00414A7D">
        <w:t xml:space="preserve"> </w:t>
      </w:r>
      <w:r>
        <w:t>FINI Retail Operators</w:t>
      </w:r>
      <w:r w:rsidR="001636C3">
        <w:t>)</w:t>
      </w:r>
      <w:r>
        <w:t xml:space="preserve">. The quarterly </w:t>
      </w:r>
      <w:r w:rsidR="002D408E">
        <w:t>Core P</w:t>
      </w:r>
      <w:r>
        <w:t xml:space="preserve">rogram </w:t>
      </w:r>
      <w:r w:rsidR="002D408E">
        <w:t>D</w:t>
      </w:r>
      <w:r>
        <w:t xml:space="preserve">ata files will be the source used to identify the FINI </w:t>
      </w:r>
      <w:r w:rsidR="003F3309">
        <w:t>R</w:t>
      </w:r>
      <w:r>
        <w:t xml:space="preserve">etail </w:t>
      </w:r>
      <w:r w:rsidR="003F3309">
        <w:t>O</w:t>
      </w:r>
      <w:r>
        <w:t>perators. All FINI retail operators will complete a survey about their experience with impl</w:t>
      </w:r>
      <w:r w:rsidR="00C15446">
        <w:t>ementing FINI at their outlet (Outlet S</w:t>
      </w:r>
      <w:r>
        <w:t xml:space="preserve">urvey). Data collected from FINI retail operators is the minimum needed to fulfill the congressional requirement of using </w:t>
      </w:r>
      <w:r w:rsidR="000A4805">
        <w:t>“</w:t>
      </w:r>
      <w:r>
        <w:t>rigorous methodologies capable of producing scientifically valid information regarding the effectiveness of the project.</w:t>
      </w:r>
      <w:r w:rsidR="000A4805">
        <w:t>”</w:t>
      </w:r>
    </w:p>
    <w:p w:rsidR="001B265D" w:rsidRDefault="001B265D" w:rsidP="001B265D">
      <w:pPr>
        <w:pStyle w:val="L1-FlLSp12"/>
      </w:pPr>
    </w:p>
    <w:p w:rsidR="008A6A7C" w:rsidRPr="0074555B" w:rsidRDefault="00E329A7" w:rsidP="00E329A7">
      <w:pPr>
        <w:pStyle w:val="Heading3"/>
      </w:pPr>
      <w:bookmarkStart w:id="19" w:name="_Toc400377721"/>
      <w:bookmarkEnd w:id="13"/>
      <w:r>
        <w:tab/>
      </w:r>
      <w:r w:rsidR="008A6A7C" w:rsidRPr="0074555B">
        <w:t xml:space="preserve">Sampling </w:t>
      </w:r>
      <w:bookmarkEnd w:id="19"/>
      <w:r w:rsidR="008A6A7C">
        <w:t xml:space="preserve">Design for the </w:t>
      </w:r>
      <w:r w:rsidR="00C518C9">
        <w:t>SNAP Participant</w:t>
      </w:r>
      <w:r w:rsidR="008A6A7C" w:rsidRPr="00302BC2">
        <w:t xml:space="preserve"> Survey</w:t>
      </w:r>
    </w:p>
    <w:p w:rsidR="002120F1" w:rsidRDefault="008A6A7C" w:rsidP="001B265D">
      <w:pPr>
        <w:pStyle w:val="L1-FlLSp12"/>
      </w:pPr>
      <w:r>
        <w:t>This evaluation will utilize a quasi-experimental design with clustered intervention groups and matched comparison groups. In total, we will have six clusters—four intervention clusters and two comparison clusters. Based on a review of the 2015 grantee programs and consultation with U.S. Department of Agriculture (USDA) staff, FINI outlets will be included in one of four clusters, based on outlet type and size of the incentive match. The types of outlets to be included are farmers markets and farm stands combined into one intervention group, and grocery stores as a second intervention group.</w:t>
      </w:r>
      <w:r w:rsidRPr="00780E10">
        <w:rPr>
          <w:rStyle w:val="FootnoteReference"/>
        </w:rPr>
        <w:footnoteReference w:id="2"/>
      </w:r>
      <w:r>
        <w:t xml:space="preserve"> These two intervention groups will be subdivided into outlets that offer dollar-for-dollar incentive matches and those that offer less than dollar-for-dollar matches.</w:t>
      </w:r>
      <w:r w:rsidR="00602999">
        <w:rPr>
          <w:rStyle w:val="FootnoteReference"/>
        </w:rPr>
        <w:footnoteReference w:id="3"/>
      </w:r>
      <w:r>
        <w:t xml:space="preserve"> Thus, the resulting four intervention clusters will include (1) farmers markets and farm stands with a dollar-for-dollar match rate, (2) farmers markets and farm stands with less than a dollar-for-dollar match rate, (3)</w:t>
      </w:r>
      <w:r w:rsidR="002120F1">
        <w:t> </w:t>
      </w:r>
      <w:r>
        <w:t>grocery stores with a dollar-for-dollar match rate, and (4) grocery stores with less than a dollar-for-dollar match rate</w:t>
      </w:r>
      <w:r w:rsidR="002120F1">
        <w:t>.</w:t>
      </w:r>
    </w:p>
    <w:p w:rsidR="008A6A7C" w:rsidRDefault="008A6A7C" w:rsidP="001B265D">
      <w:pPr>
        <w:pStyle w:val="L1-FlLSp12"/>
      </w:pPr>
    </w:p>
    <w:p w:rsidR="002120F1" w:rsidRDefault="008A6A7C" w:rsidP="001B265D">
      <w:pPr>
        <w:pStyle w:val="L1-FlLSp12"/>
      </w:pPr>
      <w:r>
        <w:t>We will construct two matched comparison groups, one consisting of farmers markets and farm stands to serve as the comparison group for clusters 1 and 2, and the other consisting of grocery stores to serve as the comparison group for clusters 3 and 4</w:t>
      </w:r>
      <w:r w:rsidR="002120F1">
        <w:t>.</w:t>
      </w:r>
    </w:p>
    <w:p w:rsidR="00DE24CF" w:rsidRDefault="00DE24CF" w:rsidP="001B265D">
      <w:pPr>
        <w:pStyle w:val="L1-FlLSp12"/>
      </w:pPr>
    </w:p>
    <w:p w:rsidR="000E32E5" w:rsidRDefault="000E32E5" w:rsidP="001B265D">
      <w:pPr>
        <w:pStyle w:val="L1-FlLSp12"/>
      </w:pPr>
      <w:r>
        <w:t xml:space="preserve">Separate sampling frames will be created </w:t>
      </w:r>
      <w:r w:rsidR="00000B1B">
        <w:t>for</w:t>
      </w:r>
      <w:r w:rsidR="00DE24CF">
        <w:t xml:space="preserve"> the </w:t>
      </w:r>
      <w:r w:rsidR="00000B1B">
        <w:t xml:space="preserve">four </w:t>
      </w:r>
      <w:r w:rsidR="00DE24CF">
        <w:t xml:space="preserve">intervention </w:t>
      </w:r>
      <w:r w:rsidR="00000B1B">
        <w:t xml:space="preserve">two </w:t>
      </w:r>
      <w:r w:rsidR="00DE24CF">
        <w:t xml:space="preserve">comparison </w:t>
      </w:r>
      <w:r w:rsidR="00892178">
        <w:t>clusters</w:t>
      </w:r>
      <w:r>
        <w:t>.</w:t>
      </w:r>
      <w:r w:rsidR="00892178" w:rsidRPr="00892178">
        <w:t xml:space="preserve"> </w:t>
      </w:r>
    </w:p>
    <w:p w:rsidR="00892178" w:rsidRDefault="00892178" w:rsidP="001B265D">
      <w:pPr>
        <w:pStyle w:val="L1-FlLSp12"/>
      </w:pPr>
    </w:p>
    <w:p w:rsidR="00000B1B" w:rsidRDefault="00000B1B" w:rsidP="00A34B6C">
      <w:pPr>
        <w:pStyle w:val="L1-FlLSp12"/>
        <w:ind w:left="720"/>
      </w:pPr>
      <w:r>
        <w:t xml:space="preserve">Four data sources will be employed as building blocks for creating the SNAP participant </w:t>
      </w:r>
      <w:proofErr w:type="spellStart"/>
      <w:r>
        <w:t>samping</w:t>
      </w:r>
      <w:proofErr w:type="spellEnd"/>
      <w:r>
        <w:t xml:space="preserve"> frame</w:t>
      </w:r>
      <w:r w:rsidR="00A34B6C">
        <w:t>:</w:t>
      </w:r>
    </w:p>
    <w:p w:rsidR="00A34B6C" w:rsidRDefault="00A34B6C" w:rsidP="00A34B6C">
      <w:pPr>
        <w:pStyle w:val="L1-FlLSp12"/>
        <w:ind w:left="720"/>
      </w:pPr>
    </w:p>
    <w:p w:rsidR="00000B1B" w:rsidRDefault="00000B1B" w:rsidP="00A34B6C">
      <w:pPr>
        <w:pStyle w:val="L1-FlLSp12"/>
        <w:ind w:left="720"/>
      </w:pPr>
      <w:r>
        <w:t xml:space="preserve">(1) SNAP administrative data from the </w:t>
      </w:r>
      <w:r w:rsidR="00A34B6C">
        <w:t>S</w:t>
      </w:r>
      <w:r>
        <w:t xml:space="preserve">tate agencies, which includes SNAP household records with contact information, SNAP status and benefit, and basic demographic information;  </w:t>
      </w:r>
    </w:p>
    <w:p w:rsidR="00000B1B" w:rsidRDefault="00A34B6C" w:rsidP="00A34B6C">
      <w:pPr>
        <w:pStyle w:val="L1-FlLSp12"/>
        <w:ind w:left="720"/>
      </w:pPr>
      <w:r>
        <w:t xml:space="preserve">(2) </w:t>
      </w:r>
      <w:r w:rsidR="00195DD0" w:rsidRPr="00195DD0">
        <w:t>Anti-Fraud Locator Using Electronic Benefit Transfer (EBT) Retailer Transactions</w:t>
      </w:r>
      <w:r w:rsidR="00000B1B">
        <w:t xml:space="preserve"> data</w:t>
      </w:r>
      <w:r w:rsidR="00195DD0">
        <w:t xml:space="preserve"> (ALERT)</w:t>
      </w:r>
      <w:r w:rsidR="00000B1B">
        <w:t xml:space="preserve">, </w:t>
      </w:r>
      <w:r>
        <w:t xml:space="preserve">maintained by FNS, </w:t>
      </w:r>
      <w:r w:rsidR="00000B1B">
        <w:t>which includes the SNAP participants’ transaction records that can be matched to the SNAP participant records by EBT card number, and to the outlet records by FNS number</w:t>
      </w:r>
      <w:r>
        <w:t>;</w:t>
      </w:r>
    </w:p>
    <w:p w:rsidR="00000B1B" w:rsidRDefault="00000B1B" w:rsidP="00A34B6C">
      <w:pPr>
        <w:pStyle w:val="L1-FlLSp12"/>
        <w:ind w:left="720"/>
      </w:pPr>
      <w:r>
        <w:t xml:space="preserve">(3) </w:t>
      </w:r>
      <w:r w:rsidR="00195DD0">
        <w:t>Store Tracking and Redemption System data (STARS)</w:t>
      </w:r>
      <w:r>
        <w:t xml:space="preserve">, </w:t>
      </w:r>
      <w:r w:rsidR="00A34B6C">
        <w:t xml:space="preserve">maintained by FNS, </w:t>
      </w:r>
      <w:r>
        <w:t>which includes a list of SNAP authorized farmers markets and grocers</w:t>
      </w:r>
      <w:r w:rsidRPr="00E023B8">
        <w:t xml:space="preserve"> </w:t>
      </w:r>
      <w:r>
        <w:t>with store type, status,</w:t>
      </w:r>
      <w:r w:rsidR="00A34B6C">
        <w:t xml:space="preserve"> characteristics,</w:t>
      </w:r>
      <w:r>
        <w:t xml:space="preserve"> and geographic information</w:t>
      </w:r>
      <w:r w:rsidR="00A34B6C">
        <w:t xml:space="preserve"> that c</w:t>
      </w:r>
      <w:r>
        <w:t xml:space="preserve">an be matched to the outlet records by FNS number; and </w:t>
      </w:r>
    </w:p>
    <w:p w:rsidR="00000B1B" w:rsidRDefault="00000B1B" w:rsidP="00A34B6C">
      <w:pPr>
        <w:pStyle w:val="L1-FlLSp12"/>
        <w:ind w:left="720"/>
      </w:pPr>
      <w:r>
        <w:t xml:space="preserve">(4) </w:t>
      </w:r>
      <w:r w:rsidR="00A34B6C">
        <w:t xml:space="preserve">FINI outlet characteristics (e.g., retailer type, incentive structure, operating schedule) obtained from </w:t>
      </w:r>
      <w:proofErr w:type="gramStart"/>
      <w:r w:rsidR="00A34B6C">
        <w:t xml:space="preserve">the </w:t>
      </w:r>
      <w:r>
        <w:t xml:space="preserve"> FINI</w:t>
      </w:r>
      <w:proofErr w:type="gramEnd"/>
      <w:r>
        <w:t xml:space="preserve"> grantees. </w:t>
      </w:r>
    </w:p>
    <w:p w:rsidR="00000B1B" w:rsidRDefault="00000B1B">
      <w:pPr>
        <w:pStyle w:val="L1-FlLSp12"/>
      </w:pPr>
    </w:p>
    <w:p w:rsidR="00DE24CF" w:rsidRDefault="003B0490" w:rsidP="001B265D">
      <w:pPr>
        <w:pStyle w:val="L1-FlLSp12"/>
      </w:pPr>
      <w:r>
        <w:t xml:space="preserve">By linking the data sources and </w:t>
      </w:r>
      <w:r w:rsidR="00B66484">
        <w:t xml:space="preserve">by </w:t>
      </w:r>
      <w:r>
        <w:t xml:space="preserve">using geocoding, </w:t>
      </w:r>
      <w:r w:rsidR="00000B1B">
        <w:t xml:space="preserve">we will develop </w:t>
      </w:r>
      <w:r>
        <w:t xml:space="preserve">a list of SNAP participants living within </w:t>
      </w:r>
      <w:r w:rsidR="00B66484">
        <w:t>an</w:t>
      </w:r>
      <w:r>
        <w:t xml:space="preserve"> </w:t>
      </w:r>
      <w:r w:rsidR="00B66484">
        <w:t xml:space="preserve">outlet’s </w:t>
      </w:r>
      <w:r>
        <w:t xml:space="preserve">catchment area </w:t>
      </w:r>
      <w:r w:rsidR="00000B1B">
        <w:t>(</w:t>
      </w:r>
      <w:r w:rsidR="0017175D">
        <w:t xml:space="preserve">e.g., </w:t>
      </w:r>
      <w:r w:rsidR="00000B1B">
        <w:t xml:space="preserve">2 mile radius </w:t>
      </w:r>
      <w:r w:rsidR="009B1798">
        <w:t xml:space="preserve">for </w:t>
      </w:r>
      <w:r w:rsidR="00000B1B">
        <w:t xml:space="preserve">urban </w:t>
      </w:r>
      <w:r w:rsidR="009B1798">
        <w:t>outlets</w:t>
      </w:r>
      <w:r w:rsidR="00000B1B">
        <w:t xml:space="preserve"> and 8 miles for rural outlets) </w:t>
      </w:r>
      <w:r w:rsidR="00597A9C">
        <w:t xml:space="preserve">for each of the intervention and comparison </w:t>
      </w:r>
      <w:r w:rsidR="00892178">
        <w:t>clusters</w:t>
      </w:r>
      <w:r>
        <w:t>.</w:t>
      </w:r>
      <w:r w:rsidR="007E5FDD">
        <w:t xml:space="preserve"> </w:t>
      </w:r>
      <w:r w:rsidR="00F4404B">
        <w:t>Then, w</w:t>
      </w:r>
      <w:r w:rsidR="007E5FDD">
        <w:t xml:space="preserve">e will </w:t>
      </w:r>
      <w:r w:rsidR="00F4404B">
        <w:t>c</w:t>
      </w:r>
      <w:r w:rsidR="007E5FDD">
        <w:t xml:space="preserve">reate </w:t>
      </w:r>
      <w:r w:rsidR="00F4404B">
        <w:t>a frame</w:t>
      </w:r>
      <w:r w:rsidR="007E5FDD">
        <w:t xml:space="preserve"> </w:t>
      </w:r>
      <w:r w:rsidR="00F4404B">
        <w:t xml:space="preserve">of SNAP participants </w:t>
      </w:r>
      <w:r w:rsidR="007E5FDD">
        <w:t xml:space="preserve">by pooling the lists </w:t>
      </w:r>
      <w:r w:rsidR="00F4404B">
        <w:t>for</w:t>
      </w:r>
      <w:r w:rsidR="007E5FDD">
        <w:t xml:space="preserve"> all catchment areas</w:t>
      </w:r>
      <w:r w:rsidR="00F4404B">
        <w:t xml:space="preserve"> </w:t>
      </w:r>
      <w:r w:rsidR="007E54A4">
        <w:t>in each</w:t>
      </w:r>
      <w:r w:rsidR="00F4404B">
        <w:t xml:space="preserve"> cluster or group</w:t>
      </w:r>
      <w:r w:rsidR="007E5FDD">
        <w:t>.</w:t>
      </w:r>
      <w:r w:rsidR="00F4404B">
        <w:t xml:space="preserve"> </w:t>
      </w:r>
      <w:r w:rsidR="009B1798">
        <w:t>Thus, we</w:t>
      </w:r>
      <w:r w:rsidR="00F4404B">
        <w:t xml:space="preserve"> will </w:t>
      </w:r>
      <w:r w:rsidR="009B1798">
        <w:t xml:space="preserve">develop </w:t>
      </w:r>
      <w:r w:rsidR="00F4404B">
        <w:t>six SNAP participant frames</w:t>
      </w:r>
      <w:r w:rsidR="007E54A4">
        <w:t xml:space="preserve">, four for </w:t>
      </w:r>
      <w:r w:rsidR="00A45E07">
        <w:t xml:space="preserve">the </w:t>
      </w:r>
      <w:r w:rsidR="007E54A4">
        <w:t xml:space="preserve">intervention clusters and two for </w:t>
      </w:r>
      <w:r w:rsidR="00A45E07">
        <w:t xml:space="preserve">the </w:t>
      </w:r>
      <w:r w:rsidR="007E54A4">
        <w:t>comparison groups</w:t>
      </w:r>
      <w:r w:rsidR="00F4404B">
        <w:t>.</w:t>
      </w:r>
    </w:p>
    <w:p w:rsidR="00A34B6C" w:rsidRDefault="00A34B6C" w:rsidP="001B265D">
      <w:pPr>
        <w:pStyle w:val="L1-FlLSp12"/>
      </w:pPr>
    </w:p>
    <w:p w:rsidR="00BC0930" w:rsidRDefault="009B1798" w:rsidP="001B265D">
      <w:pPr>
        <w:pStyle w:val="L1-FlLSp12"/>
        <w:rPr>
          <w:color w:val="000000"/>
        </w:rPr>
      </w:pPr>
      <w:r>
        <w:t xml:space="preserve">Before selecting the sample, we will sort </w:t>
      </w:r>
      <w:r>
        <w:rPr>
          <w:color w:val="000000"/>
        </w:rPr>
        <w:t xml:space="preserve">the </w:t>
      </w:r>
      <w:r>
        <w:t>SNAP participant records</w:t>
      </w:r>
      <w:r>
        <w:rPr>
          <w:color w:val="000000"/>
        </w:rPr>
        <w:t xml:space="preserve"> on the frame by State, urbanicity, and outlet ID, and then, from the sorted frame, a SNAP participant sample will be selected with equal probability systematic sampling method.</w:t>
      </w:r>
    </w:p>
    <w:p w:rsidR="00246C5D" w:rsidRDefault="00246C5D" w:rsidP="001B265D">
      <w:pPr>
        <w:pStyle w:val="L1-FlLSp12"/>
      </w:pPr>
    </w:p>
    <w:p w:rsidR="00602535" w:rsidRDefault="009B1798" w:rsidP="001B265D">
      <w:pPr>
        <w:pStyle w:val="L1-FlLSp12"/>
      </w:pPr>
      <w:r>
        <w:t>It is likely</w:t>
      </w:r>
      <w:r w:rsidR="00602535">
        <w:t xml:space="preserve"> that some catchment areas may overlap</w:t>
      </w:r>
      <w:r w:rsidR="002D1B31">
        <w:t>, especially in de</w:t>
      </w:r>
      <w:r w:rsidR="00727565">
        <w:t>nsely populated areas or states</w:t>
      </w:r>
      <w:r>
        <w:t>.  In such instances</w:t>
      </w:r>
      <w:proofErr w:type="gramStart"/>
      <w:r>
        <w:t xml:space="preserve">, </w:t>
      </w:r>
      <w:r w:rsidR="002D1B31">
        <w:t xml:space="preserve"> a</w:t>
      </w:r>
      <w:proofErr w:type="gramEnd"/>
      <w:r w:rsidR="002D1B31">
        <w:t xml:space="preserve"> SNAP participant may </w:t>
      </w:r>
      <w:r>
        <w:t xml:space="preserve">be included in more than one sampling frame.  </w:t>
      </w:r>
      <w:r w:rsidR="002D1B31" w:rsidRPr="002D1B31">
        <w:t xml:space="preserve"> </w:t>
      </w:r>
      <w:r w:rsidR="002D1B31">
        <w:t xml:space="preserve">To address this issue, we will </w:t>
      </w:r>
      <w:r>
        <w:t xml:space="preserve">investigate the overlap in outlet locations and if an overlap is identified, </w:t>
      </w:r>
      <w:r w:rsidR="002D1B31">
        <w:t>we will</w:t>
      </w:r>
      <w:r w:rsidR="008B0617">
        <w:t xml:space="preserve"> </w:t>
      </w:r>
      <w:r>
        <w:t xml:space="preserve">employ </w:t>
      </w:r>
      <w:r w:rsidR="008B0617">
        <w:t>random select</w:t>
      </w:r>
      <w:r w:rsidR="007C77C0">
        <w:t xml:space="preserve">ion </w:t>
      </w:r>
      <w:r>
        <w:t xml:space="preserve">method to retain the SNAP participant in only one of the </w:t>
      </w:r>
      <w:r w:rsidR="00917829">
        <w:t>overlapp</w:t>
      </w:r>
      <w:r>
        <w:t xml:space="preserve">ing </w:t>
      </w:r>
      <w:r w:rsidR="00917829">
        <w:t>catchment areas</w:t>
      </w:r>
      <w:r w:rsidR="008B0617">
        <w:t>.</w:t>
      </w:r>
      <w:r w:rsidR="002D1B31">
        <w:t xml:space="preserve"> </w:t>
      </w:r>
    </w:p>
    <w:p w:rsidR="008A6A7C" w:rsidRDefault="008A6A7C" w:rsidP="001B265D">
      <w:pPr>
        <w:pStyle w:val="L1-FlLSp12"/>
      </w:pPr>
    </w:p>
    <w:p w:rsidR="002120F1" w:rsidRDefault="008A6A7C" w:rsidP="001B265D">
      <w:pPr>
        <w:pStyle w:val="L1-FlLSp12"/>
      </w:pPr>
      <w:r>
        <w:t>Based on the findings from the Healthy Incentive Pilot (HIP) evaluation,</w:t>
      </w:r>
      <w:r>
        <w:rPr>
          <w:rStyle w:val="FootnoteReference"/>
        </w:rPr>
        <w:footnoteReference w:id="4"/>
      </w:r>
      <w:r>
        <w:t xml:space="preserve"> we have estimated that the minimum sample size required to detect a 1/4 cup difference in daily fruit and vegetable intakes is 385 (Table B2.1). </w:t>
      </w:r>
      <w:r w:rsidRPr="00396B02">
        <w:t xml:space="preserve">Since each </w:t>
      </w:r>
      <w:r>
        <w:t>intervention</w:t>
      </w:r>
      <w:r w:rsidRPr="00396B02">
        <w:t xml:space="preserve"> cluster will be compared with </w:t>
      </w:r>
      <w:r>
        <w:t>a</w:t>
      </w:r>
      <w:r w:rsidRPr="00396B02">
        <w:t xml:space="preserve"> </w:t>
      </w:r>
      <w:r>
        <w:t>comparison</w:t>
      </w:r>
      <w:r w:rsidRPr="00396B02">
        <w:t xml:space="preserve"> group, the total number of cases (</w:t>
      </w:r>
      <w:r>
        <w:t>SNAP participants</w:t>
      </w:r>
      <w:r w:rsidRPr="00396B02">
        <w:t xml:space="preserve">) required for analysis </w:t>
      </w:r>
      <w:r>
        <w:t xml:space="preserve">at the end of the second cycle of data collection </w:t>
      </w:r>
      <w:r w:rsidRPr="00396B02">
        <w:t xml:space="preserve">would </w:t>
      </w:r>
      <w:r w:rsidRPr="007704F8">
        <w:t xml:space="preserve">be 385 x </w:t>
      </w:r>
      <w:r w:rsidRPr="006A3E92">
        <w:t>6</w:t>
      </w:r>
      <w:r w:rsidRPr="007704F8">
        <w:t xml:space="preserve"> = 2,310 in order to ensure that a 1/4 cup difference in targeted fruit and vegetable</w:t>
      </w:r>
      <w:r w:rsidRPr="00396B02">
        <w:t xml:space="preserve"> consumption can be detected between each </w:t>
      </w:r>
      <w:r>
        <w:t>intervention</w:t>
      </w:r>
      <w:r w:rsidRPr="00396B02">
        <w:t xml:space="preserve"> cluster and the </w:t>
      </w:r>
      <w:r>
        <w:t>comparison</w:t>
      </w:r>
      <w:r w:rsidRPr="00396B02">
        <w:t xml:space="preserve"> group. Note that the sample size refers to the number of responding individuals who provide useable intake data at two points in time.</w:t>
      </w:r>
      <w:r>
        <w:t xml:space="preserve"> We will begin with a higher sample count to obtain the final sample size, to account for the </w:t>
      </w:r>
      <w:r w:rsidRPr="00396B02">
        <w:t>expected sample losses due to nonresponse and attrition (e.g., participants who move or leave SNAP after their initial recruitment into the study)</w:t>
      </w:r>
      <w:r w:rsidR="002120F1">
        <w:t>.</w:t>
      </w:r>
    </w:p>
    <w:p w:rsidR="00E329A7" w:rsidRDefault="00E329A7" w:rsidP="001B265D">
      <w:pPr>
        <w:pStyle w:val="L1-FlLSp12"/>
      </w:pPr>
    </w:p>
    <w:p w:rsidR="002120F1" w:rsidRDefault="008A6A7C" w:rsidP="001B265D">
      <w:pPr>
        <w:pStyle w:val="L1-FlLSp12"/>
      </w:pPr>
      <w:r>
        <w:t xml:space="preserve">The universe for the intervention group is defined as all </w:t>
      </w:r>
      <w:r w:rsidRPr="00524CF6">
        <w:rPr>
          <w:iCs/>
        </w:rPr>
        <w:t xml:space="preserve">SNAP participants </w:t>
      </w:r>
      <w:r>
        <w:rPr>
          <w:iCs/>
        </w:rPr>
        <w:t xml:space="preserve">in </w:t>
      </w:r>
      <w:r w:rsidRPr="00524CF6">
        <w:rPr>
          <w:iCs/>
        </w:rPr>
        <w:t xml:space="preserve">neighborhoods </w:t>
      </w:r>
      <w:r w:rsidRPr="00524CF6">
        <w:t xml:space="preserve">in which </w:t>
      </w:r>
      <w:r>
        <w:t xml:space="preserve">the </w:t>
      </w:r>
      <w:r w:rsidRPr="00524CF6">
        <w:t>incentive programs operate</w:t>
      </w:r>
      <w:r>
        <w:t xml:space="preserve">. Such a definition is both practical and efficient since lists (sampling frames) of SNAP participants can be constructed from </w:t>
      </w:r>
      <w:r w:rsidR="006E100E">
        <w:t xml:space="preserve">SNAP </w:t>
      </w:r>
      <w:r>
        <w:t>admi</w:t>
      </w:r>
      <w:r w:rsidR="0017175D">
        <w:t>nistrative files maintained by S</w:t>
      </w:r>
      <w:r>
        <w:t>tate agencies</w:t>
      </w:r>
      <w:r w:rsidR="006E100E">
        <w:t xml:space="preserve"> (obtained using secure </w:t>
      </w:r>
      <w:r w:rsidR="00FA3840">
        <w:t xml:space="preserve">file transfer method such as </w:t>
      </w:r>
      <w:r w:rsidR="006E100E">
        <w:t>FTP or encrypted email)</w:t>
      </w:r>
      <w:r>
        <w:t xml:space="preserve">, without the need to employ expensive listing or other frame construction methods. </w:t>
      </w:r>
      <w:r w:rsidR="006E100E">
        <w:t xml:space="preserve"> </w:t>
      </w:r>
      <w:r>
        <w:t>By not restricting the evaluation population to those persons who receive the incentive, the study design also permits an evaluation of the penetration of the program in the target population</w:t>
      </w:r>
      <w:r w:rsidR="002120F1">
        <w:t>.</w:t>
      </w:r>
    </w:p>
    <w:p w:rsidR="004A7048" w:rsidRDefault="004A7048" w:rsidP="001B265D">
      <w:pPr>
        <w:pStyle w:val="L1-FlLSp12"/>
      </w:pPr>
    </w:p>
    <w:p w:rsidR="0022221F" w:rsidRDefault="0022221F" w:rsidP="001B265D">
      <w:pPr>
        <w:pStyle w:val="L1-FlLSp12"/>
      </w:pPr>
    </w:p>
    <w:p w:rsidR="008A6A7C" w:rsidRPr="006A3E92" w:rsidRDefault="00E329A7" w:rsidP="00E329A7">
      <w:pPr>
        <w:pStyle w:val="Heading3"/>
      </w:pPr>
      <w:r>
        <w:tab/>
      </w:r>
      <w:r w:rsidR="008A6A7C" w:rsidRPr="006A3E92">
        <w:t>Sampl</w:t>
      </w:r>
      <w:r w:rsidR="008A6A7C">
        <w:t>ing</w:t>
      </w:r>
      <w:r w:rsidR="008A6A7C" w:rsidRPr="006A3E92">
        <w:t xml:space="preserve"> Design for Key Informant Interviews </w:t>
      </w:r>
      <w:r w:rsidR="00392857" w:rsidRPr="006A3E92">
        <w:t xml:space="preserve">with </w:t>
      </w:r>
      <w:r w:rsidR="008A6A7C" w:rsidRPr="006A3E92">
        <w:t>SNAP Participants</w:t>
      </w:r>
    </w:p>
    <w:p w:rsidR="00067184" w:rsidRPr="00145F5D" w:rsidRDefault="00145F5D" w:rsidP="001B265D">
      <w:pPr>
        <w:pStyle w:val="L1-FlLSp12"/>
        <w:rPr>
          <w:szCs w:val="24"/>
        </w:rPr>
      </w:pPr>
      <w:r w:rsidRPr="003702B9">
        <w:t>Using the response to the post-</w:t>
      </w:r>
      <w:r>
        <w:t>SPS</w:t>
      </w:r>
      <w:r w:rsidRPr="003702B9">
        <w:t xml:space="preserve"> question </w:t>
      </w:r>
      <w:r w:rsidR="000A4805">
        <w:t>“</w:t>
      </w:r>
      <w:r>
        <w:t>W</w:t>
      </w:r>
      <w:r w:rsidRPr="003702B9">
        <w:t>ould you be willing to participate in a telephone survey</w:t>
      </w:r>
      <w:proofErr w:type="gramStart"/>
      <w:r w:rsidRPr="003702B9">
        <w:t>?</w:t>
      </w:r>
      <w:r>
        <w:t>,</w:t>
      </w:r>
      <w:proofErr w:type="gramEnd"/>
      <w:r w:rsidR="000A4805">
        <w:t>”</w:t>
      </w:r>
      <w:r w:rsidRPr="003702B9">
        <w:t xml:space="preserve"> we will select 60 SNAP participants who agreed to a telephone interview. We will schedule interviews with 5</w:t>
      </w:r>
      <w:r>
        <w:t>0</w:t>
      </w:r>
      <w:r w:rsidRPr="003702B9">
        <w:t xml:space="preserve"> SNAP participants to ensure that we complete 4</w:t>
      </w:r>
      <w:r>
        <w:t>0</w:t>
      </w:r>
      <w:r w:rsidRPr="003702B9">
        <w:t xml:space="preserve"> interviews.</w:t>
      </w:r>
      <w:r>
        <w:rPr>
          <w:rStyle w:val="FootnoteReference"/>
        </w:rPr>
        <w:footnoteReference w:id="5"/>
      </w:r>
      <w:r>
        <w:t xml:space="preserve"> </w:t>
      </w:r>
      <w:r w:rsidR="00EF6A3E">
        <w:rPr>
          <w:szCs w:val="24"/>
        </w:rPr>
        <w:t>The interviews</w:t>
      </w:r>
      <w:r w:rsidR="00967F34" w:rsidRPr="00CB3412">
        <w:t xml:space="preserve"> will be allocated as </w:t>
      </w:r>
      <w:r w:rsidR="00967F34">
        <w:t xml:space="preserve">10 </w:t>
      </w:r>
      <w:r w:rsidR="00967F34" w:rsidRPr="005D6946">
        <w:t>interviews</w:t>
      </w:r>
      <w:r w:rsidR="00967F34" w:rsidRPr="00CB3412">
        <w:t xml:space="preserve"> per </w:t>
      </w:r>
      <w:r w:rsidR="00967F34">
        <w:t xml:space="preserve">treatment </w:t>
      </w:r>
      <w:r w:rsidR="00967F34" w:rsidRPr="00CB3412">
        <w:t xml:space="preserve">cluster </w:t>
      </w:r>
      <w:r w:rsidR="00967F34" w:rsidRPr="005D6946">
        <w:t>and will be conducted after the post-</w:t>
      </w:r>
      <w:r w:rsidR="00967F34">
        <w:t>SPS</w:t>
      </w:r>
      <w:r w:rsidR="00967F34" w:rsidRPr="005D6946">
        <w:t xml:space="preserve">. Although </w:t>
      </w:r>
      <w:r w:rsidR="00967F34">
        <w:t>10</w:t>
      </w:r>
      <w:r w:rsidR="00967F34" w:rsidRPr="005D6946">
        <w:t xml:space="preserve"> interviews</w:t>
      </w:r>
      <w:r w:rsidR="00967F34" w:rsidRPr="00CB3412">
        <w:t xml:space="preserve"> per </w:t>
      </w:r>
      <w:r w:rsidR="00967F34">
        <w:t xml:space="preserve">treatment </w:t>
      </w:r>
      <w:r w:rsidR="00967F34" w:rsidRPr="00CB3412">
        <w:t xml:space="preserve">cluster </w:t>
      </w:r>
      <w:r w:rsidR="00967F34">
        <w:t>is not a</w:t>
      </w:r>
      <w:r w:rsidR="00967F34" w:rsidRPr="00CB3412">
        <w:t xml:space="preserve"> representative sample, we will purposely choose respondent-types </w:t>
      </w:r>
      <w:r w:rsidR="00967F34" w:rsidRPr="005D6946">
        <w:t>that</w:t>
      </w:r>
      <w:r w:rsidR="00967F34" w:rsidRPr="00CB3412">
        <w:t xml:space="preserve"> will provide the best </w:t>
      </w:r>
      <w:r w:rsidR="00967F34">
        <w:t>context for the results of the Outcome Evaluation</w:t>
      </w:r>
      <w:r w:rsidR="00967F34" w:rsidRPr="00CB3412">
        <w:t>. Answers to pa</w:t>
      </w:r>
      <w:r w:rsidR="00967F34">
        <w:t xml:space="preserve">rticular questions in the post-SPS </w:t>
      </w:r>
      <w:r w:rsidR="00967F34" w:rsidRPr="00CB3412">
        <w:t xml:space="preserve">will be used to determine eligible candidates for participation in the additional telephone interview. The goal is to interview </w:t>
      </w:r>
      <w:r w:rsidR="00967F34">
        <w:t>approximately five</w:t>
      </w:r>
      <w:r w:rsidR="00967F34" w:rsidRPr="00CB3412">
        <w:t xml:space="preserve"> participants who have perceived </w:t>
      </w:r>
      <w:r w:rsidR="000A4805">
        <w:t>“</w:t>
      </w:r>
      <w:r w:rsidR="00967F34" w:rsidRPr="00CB3412">
        <w:t>positive</w:t>
      </w:r>
      <w:r w:rsidR="000A4805">
        <w:t>”</w:t>
      </w:r>
      <w:r w:rsidR="00967F34" w:rsidRPr="00CB3412">
        <w:t xml:space="preserve"> outcomes from program participation and </w:t>
      </w:r>
      <w:r w:rsidR="00967F34">
        <w:t>five</w:t>
      </w:r>
      <w:r w:rsidR="00967F34" w:rsidRPr="00CB3412">
        <w:t xml:space="preserve"> participants who have perceived </w:t>
      </w:r>
      <w:r w:rsidR="000A4805">
        <w:t>“</w:t>
      </w:r>
      <w:r w:rsidR="00967F34" w:rsidRPr="00CB3412">
        <w:t>negative</w:t>
      </w:r>
      <w:r w:rsidR="000A4805">
        <w:t>”</w:t>
      </w:r>
      <w:r w:rsidR="00967F34" w:rsidRPr="00CB3412">
        <w:t xml:space="preserve"> outcomes from program participation</w:t>
      </w:r>
      <w:r w:rsidR="00967F34">
        <w:t>.</w:t>
      </w:r>
      <w:r w:rsidR="008A6A7C">
        <w:rPr>
          <w:rStyle w:val="FootnoteReference"/>
        </w:rPr>
        <w:footnoteReference w:id="6"/>
      </w:r>
      <w:r>
        <w:t xml:space="preserve"> </w:t>
      </w:r>
      <w:r w:rsidRPr="005D6946">
        <w:t>The timing</w:t>
      </w:r>
      <w:r w:rsidR="001A1114">
        <w:t xml:space="preserve"> of the interviews</w:t>
      </w:r>
      <w:r w:rsidRPr="005D6946">
        <w:t xml:space="preserve"> is estimated as </w:t>
      </w:r>
      <w:proofErr w:type="gramStart"/>
      <w:r w:rsidR="00E57E9B">
        <w:t>W</w:t>
      </w:r>
      <w:r w:rsidRPr="005D6946">
        <w:t>inter</w:t>
      </w:r>
      <w:proofErr w:type="gramEnd"/>
      <w:r w:rsidRPr="005D6946">
        <w:t xml:space="preserve"> 2018.</w:t>
      </w:r>
    </w:p>
    <w:p w:rsidR="008A6A7C" w:rsidRDefault="008A6A7C" w:rsidP="001B265D">
      <w:pPr>
        <w:pStyle w:val="L1-FlLSp12"/>
      </w:pPr>
    </w:p>
    <w:p w:rsidR="0022221F" w:rsidRDefault="0022221F" w:rsidP="001B265D">
      <w:pPr>
        <w:pStyle w:val="L1-FlLSp12"/>
      </w:pPr>
    </w:p>
    <w:p w:rsidR="004A7048" w:rsidRDefault="00A20174" w:rsidP="00A20174">
      <w:pPr>
        <w:pStyle w:val="Heading3"/>
      </w:pPr>
      <w:r>
        <w:tab/>
      </w:r>
      <w:r w:rsidRPr="006A3E92">
        <w:t>Sampl</w:t>
      </w:r>
      <w:r>
        <w:t>ing</w:t>
      </w:r>
      <w:r w:rsidRPr="006A3E92">
        <w:t xml:space="preserve"> Design for Key Informant Interviews with </w:t>
      </w:r>
      <w:r>
        <w:t>Grantee Administrators</w:t>
      </w:r>
    </w:p>
    <w:p w:rsidR="00AC314D" w:rsidRDefault="001A1114" w:rsidP="00AC314D">
      <w:pPr>
        <w:pStyle w:val="L1-FlLSp12"/>
      </w:pPr>
      <w:r>
        <w:rPr>
          <w:rFonts w:eastAsiaTheme="minorEastAsia"/>
        </w:rPr>
        <w:t xml:space="preserve">We will </w:t>
      </w:r>
      <w:r w:rsidR="000D39A9">
        <w:rPr>
          <w:rFonts w:eastAsiaTheme="minorEastAsia"/>
        </w:rPr>
        <w:t xml:space="preserve">contact all grantees to obtain </w:t>
      </w:r>
      <w:r w:rsidR="000D39A9">
        <w:t>basic information about their outlet, such as type (farmers market/farm stand, grocery store, etc.), FINI operation structure (</w:t>
      </w:r>
      <w:r w:rsidR="00FA3840">
        <w:t xml:space="preserve">incentive value; </w:t>
      </w:r>
      <w:r w:rsidR="000D39A9">
        <w:t xml:space="preserve">year round/seasonal), and months FINI incentive will be offered in 2017. This information will be used to identify </w:t>
      </w:r>
      <w:r w:rsidR="00FA3840">
        <w:t>FINI outlets eligible for sampling</w:t>
      </w:r>
      <w:r w:rsidR="000D39A9">
        <w:t xml:space="preserve">. We will also </w:t>
      </w:r>
      <w:r>
        <w:rPr>
          <w:rFonts w:eastAsiaTheme="minorEastAsia"/>
        </w:rPr>
        <w:t xml:space="preserve">interview a program administrator from each FINI grantee. </w:t>
      </w:r>
      <w:r w:rsidR="00AC314D">
        <w:rPr>
          <w:rFonts w:eastAsiaTheme="minorEastAsia"/>
        </w:rPr>
        <w:t>T</w:t>
      </w:r>
      <w:r w:rsidR="00AC314D">
        <w:t xml:space="preserve">he program administrator interviews will take place twice in the fall – once in </w:t>
      </w:r>
      <w:r w:rsidR="00AD0971">
        <w:t xml:space="preserve">grant </w:t>
      </w:r>
      <w:r w:rsidR="00E57E9B">
        <w:t>Y</w:t>
      </w:r>
      <w:r w:rsidR="00AC314D">
        <w:t>ear 2 and once in</w:t>
      </w:r>
      <w:r w:rsidR="00AD0971">
        <w:t xml:space="preserve"> grant</w:t>
      </w:r>
      <w:r w:rsidR="00AC314D">
        <w:t xml:space="preserve"> </w:t>
      </w:r>
      <w:r w:rsidR="00E57E9B">
        <w:t>Y</w:t>
      </w:r>
      <w:r w:rsidR="00AC314D">
        <w:t>ear 3. Any grantee whose grant ends before the Year 3 round of interviews will only have the Year 2 interview. Within the Cycle 2015 of grantees, there are four whose grant ends before the late interview. The total number of grantee interviews is estimated to be up to 70: 35 grantees over Cycles 1 and 2, each interviewed twice.</w:t>
      </w:r>
      <w:r>
        <w:t xml:space="preserve"> </w:t>
      </w:r>
    </w:p>
    <w:p w:rsidR="00A20174" w:rsidRDefault="00A20174" w:rsidP="00A20174">
      <w:pPr>
        <w:pStyle w:val="L1-FlLSp12"/>
      </w:pPr>
    </w:p>
    <w:p w:rsidR="0022221F" w:rsidRPr="00A20174" w:rsidRDefault="0022221F" w:rsidP="00A20174">
      <w:pPr>
        <w:pStyle w:val="L1-FlLSp12"/>
      </w:pPr>
    </w:p>
    <w:p w:rsidR="00A20174" w:rsidRDefault="00E329A7" w:rsidP="00E329A7">
      <w:pPr>
        <w:pStyle w:val="Heading3"/>
      </w:pPr>
      <w:r>
        <w:tab/>
      </w:r>
      <w:r w:rsidR="00A20174" w:rsidRPr="006A3E92">
        <w:t>Sampl</w:t>
      </w:r>
      <w:r w:rsidR="00A20174">
        <w:t>ing</w:t>
      </w:r>
      <w:r w:rsidR="00A20174" w:rsidRPr="006A3E92">
        <w:t xml:space="preserve"> Design for the </w:t>
      </w:r>
      <w:r w:rsidR="00A20174">
        <w:t>Core Program Data</w:t>
      </w:r>
    </w:p>
    <w:p w:rsidR="00967F34" w:rsidRDefault="00967F34" w:rsidP="00967F34">
      <w:pPr>
        <w:pStyle w:val="L1-FlLSp12"/>
      </w:pPr>
      <w:r w:rsidRPr="00974A71">
        <w:rPr>
          <w:rFonts w:eastAsiaTheme="minorEastAsia"/>
        </w:rPr>
        <w:t xml:space="preserve">All FINI grantees are required to collect </w:t>
      </w:r>
      <w:r w:rsidR="001A1114">
        <w:rPr>
          <w:rFonts w:eastAsiaTheme="minorEastAsia"/>
        </w:rPr>
        <w:t>Outlet Quarterly Core Program Data (for all outlets operating FINI) and Grantee Annual Core Program Data.</w:t>
      </w:r>
    </w:p>
    <w:p w:rsidR="00A20174" w:rsidRDefault="00A20174" w:rsidP="00A20174">
      <w:pPr>
        <w:pStyle w:val="L1-FlLSp12"/>
      </w:pPr>
    </w:p>
    <w:p w:rsidR="0022221F" w:rsidRPr="00A20174" w:rsidRDefault="0022221F" w:rsidP="00A20174">
      <w:pPr>
        <w:pStyle w:val="L1-FlLSp12"/>
      </w:pPr>
    </w:p>
    <w:p w:rsidR="008A6A7C" w:rsidRPr="006A3E92" w:rsidRDefault="00A20174" w:rsidP="00E329A7">
      <w:pPr>
        <w:pStyle w:val="Heading3"/>
      </w:pPr>
      <w:r>
        <w:tab/>
      </w:r>
      <w:r w:rsidR="008A6A7C" w:rsidRPr="006A3E92">
        <w:t>Sampl</w:t>
      </w:r>
      <w:r w:rsidR="008A6A7C">
        <w:t>ing</w:t>
      </w:r>
      <w:r w:rsidR="008A6A7C" w:rsidRPr="006A3E92">
        <w:t xml:space="preserve"> Design for the Outlet Survey</w:t>
      </w:r>
    </w:p>
    <w:p w:rsidR="00967F34" w:rsidRPr="00E02EC0" w:rsidRDefault="001A1114" w:rsidP="00967F34">
      <w:pPr>
        <w:pStyle w:val="L1-FlLSp12"/>
        <w:rPr>
          <w:rFonts w:eastAsiaTheme="minorEastAsia"/>
        </w:rPr>
      </w:pPr>
      <w:r>
        <w:rPr>
          <w:rFonts w:eastAsiaTheme="minorEastAsia"/>
        </w:rPr>
        <w:t xml:space="preserve">The sample for the </w:t>
      </w:r>
      <w:r w:rsidR="00A653B4">
        <w:rPr>
          <w:rFonts w:eastAsiaTheme="minorEastAsia"/>
        </w:rPr>
        <w:t>O</w:t>
      </w:r>
      <w:r>
        <w:rPr>
          <w:rFonts w:eastAsiaTheme="minorEastAsia"/>
        </w:rPr>
        <w:t xml:space="preserve">utlet </w:t>
      </w:r>
      <w:r w:rsidR="00A653B4">
        <w:rPr>
          <w:rFonts w:eastAsiaTheme="minorEastAsia"/>
        </w:rPr>
        <w:t>S</w:t>
      </w:r>
      <w:r>
        <w:rPr>
          <w:rFonts w:eastAsiaTheme="minorEastAsia"/>
        </w:rPr>
        <w:t>urvey will include all outlets operating FINI at the time of time of data collection (</w:t>
      </w:r>
      <w:r w:rsidR="00E57E9B">
        <w:rPr>
          <w:rFonts w:eastAsiaTheme="minorEastAsia"/>
        </w:rPr>
        <w:t>F</w:t>
      </w:r>
      <w:r>
        <w:rPr>
          <w:rFonts w:eastAsiaTheme="minorEastAsia"/>
        </w:rPr>
        <w:t xml:space="preserve">all 2016 for 2015 grantees and </w:t>
      </w:r>
      <w:proofErr w:type="gramStart"/>
      <w:r w:rsidR="00E57E9B">
        <w:rPr>
          <w:rFonts w:eastAsiaTheme="minorEastAsia"/>
        </w:rPr>
        <w:t>F</w:t>
      </w:r>
      <w:r>
        <w:rPr>
          <w:rFonts w:eastAsiaTheme="minorEastAsia"/>
        </w:rPr>
        <w:t>all</w:t>
      </w:r>
      <w:proofErr w:type="gramEnd"/>
      <w:r>
        <w:rPr>
          <w:rFonts w:eastAsiaTheme="minorEastAsia"/>
        </w:rPr>
        <w:t xml:space="preserve"> 2017 for 2016 grantees). </w:t>
      </w:r>
      <w:r w:rsidR="00967F34">
        <w:rPr>
          <w:rFonts w:eastAsiaTheme="minorEastAsia"/>
        </w:rPr>
        <w:t xml:space="preserve">Westat will extract the outlet name and contact information from the grantees’ Core Program Data and generate the universe (sampling frame) of participating outlets. </w:t>
      </w:r>
    </w:p>
    <w:p w:rsidR="00967F34" w:rsidRDefault="00967F34" w:rsidP="00967F34">
      <w:pPr>
        <w:pStyle w:val="L1-FlLSp12"/>
      </w:pPr>
    </w:p>
    <w:p w:rsidR="0022221F" w:rsidRDefault="0022221F" w:rsidP="00967F34">
      <w:pPr>
        <w:pStyle w:val="L1-FlLSp12"/>
      </w:pPr>
    </w:p>
    <w:p w:rsidR="008A6A7C" w:rsidRPr="0074555B" w:rsidRDefault="008A6A7C" w:rsidP="00E329A7">
      <w:pPr>
        <w:pStyle w:val="Heading2"/>
      </w:pPr>
      <w:bookmarkStart w:id="20" w:name="_Toc329341117"/>
      <w:bookmarkStart w:id="21" w:name="_Toc290021782"/>
      <w:bookmarkStart w:id="22" w:name="_Toc287257090"/>
      <w:bookmarkStart w:id="23" w:name="_Toc287257036"/>
      <w:bookmarkStart w:id="24" w:name="_Toc400377724"/>
      <w:bookmarkStart w:id="25" w:name="_Toc409090901"/>
      <w:r w:rsidRPr="0074555B">
        <w:t>B.2</w:t>
      </w:r>
      <w:r w:rsidRPr="0074555B">
        <w:tab/>
        <w:t>Procedures for the Collection of Information</w:t>
      </w:r>
      <w:bookmarkEnd w:id="20"/>
      <w:bookmarkEnd w:id="21"/>
      <w:bookmarkEnd w:id="22"/>
      <w:bookmarkEnd w:id="23"/>
      <w:bookmarkEnd w:id="24"/>
      <w:bookmarkEnd w:id="25"/>
    </w:p>
    <w:p w:rsidR="008A6A7C" w:rsidRPr="002232F7" w:rsidRDefault="008A6A7C" w:rsidP="001B265D">
      <w:pPr>
        <w:pStyle w:val="L1-FlLSp12"/>
        <w:rPr>
          <w:b/>
        </w:rPr>
      </w:pPr>
      <w:bookmarkStart w:id="26" w:name="_Toc400377725"/>
      <w:bookmarkStart w:id="27" w:name="_Toc290021783"/>
      <w:bookmarkStart w:id="28" w:name="_Toc280185474"/>
      <w:r w:rsidRPr="002232F7">
        <w:rPr>
          <w:b/>
        </w:rPr>
        <w:t>Describe the procedures for the collection of information including:</w:t>
      </w:r>
      <w:bookmarkEnd w:id="26"/>
    </w:p>
    <w:p w:rsidR="008A6A7C" w:rsidRPr="002232F7" w:rsidRDefault="008A6A7C" w:rsidP="001B265D">
      <w:pPr>
        <w:pStyle w:val="L1-FlLSp12"/>
        <w:rPr>
          <w:b/>
        </w:rPr>
      </w:pPr>
    </w:p>
    <w:p w:rsidR="008A6A7C" w:rsidRPr="002232F7" w:rsidRDefault="008A6A7C" w:rsidP="004A7048">
      <w:pPr>
        <w:pStyle w:val="N1-1stBullet"/>
        <w:rPr>
          <w:b/>
        </w:rPr>
      </w:pPr>
      <w:bookmarkStart w:id="29" w:name="_Toc325550967"/>
      <w:bookmarkStart w:id="30" w:name="_Toc316652509"/>
      <w:bookmarkStart w:id="31" w:name="_Toc400377726"/>
      <w:r w:rsidRPr="002232F7">
        <w:rPr>
          <w:b/>
        </w:rPr>
        <w:t>Statistical methodology for stratification and sample selection,</w:t>
      </w:r>
      <w:bookmarkEnd w:id="29"/>
      <w:bookmarkEnd w:id="30"/>
      <w:bookmarkEnd w:id="31"/>
    </w:p>
    <w:p w:rsidR="008A6A7C" w:rsidRPr="002232F7" w:rsidRDefault="008A6A7C" w:rsidP="004A7048">
      <w:pPr>
        <w:pStyle w:val="N1-1stBullet"/>
        <w:rPr>
          <w:b/>
        </w:rPr>
      </w:pPr>
      <w:bookmarkStart w:id="32" w:name="_Toc325550968"/>
      <w:bookmarkStart w:id="33" w:name="_Toc316652510"/>
      <w:bookmarkStart w:id="34" w:name="_Toc400377727"/>
      <w:r w:rsidRPr="002232F7">
        <w:rPr>
          <w:b/>
        </w:rPr>
        <w:t>Estimation procedure,</w:t>
      </w:r>
      <w:bookmarkEnd w:id="32"/>
      <w:bookmarkEnd w:id="33"/>
      <w:bookmarkEnd w:id="34"/>
    </w:p>
    <w:p w:rsidR="008A6A7C" w:rsidRPr="002232F7" w:rsidRDefault="008A6A7C" w:rsidP="004A7048">
      <w:pPr>
        <w:pStyle w:val="N1-1stBullet"/>
        <w:rPr>
          <w:b/>
        </w:rPr>
      </w:pPr>
      <w:bookmarkStart w:id="35" w:name="_Toc325550969"/>
      <w:bookmarkStart w:id="36" w:name="_Toc316652511"/>
      <w:bookmarkStart w:id="37" w:name="_Toc400377728"/>
      <w:r w:rsidRPr="002232F7">
        <w:rPr>
          <w:b/>
        </w:rPr>
        <w:t>Degree of accuracy needed for the purpose described in the justification,</w:t>
      </w:r>
      <w:bookmarkEnd w:id="35"/>
      <w:bookmarkEnd w:id="36"/>
      <w:bookmarkEnd w:id="37"/>
    </w:p>
    <w:p w:rsidR="008A6A7C" w:rsidRPr="002232F7" w:rsidRDefault="008A6A7C" w:rsidP="004A7048">
      <w:pPr>
        <w:pStyle w:val="N1-1stBullet"/>
        <w:rPr>
          <w:b/>
        </w:rPr>
      </w:pPr>
      <w:bookmarkStart w:id="38" w:name="_Toc325550970"/>
      <w:bookmarkStart w:id="39" w:name="_Toc316652512"/>
      <w:bookmarkStart w:id="40" w:name="_Toc400377729"/>
      <w:r w:rsidRPr="002232F7">
        <w:rPr>
          <w:b/>
        </w:rPr>
        <w:t>Unusual problems requiring specialized sampling procedures, and</w:t>
      </w:r>
      <w:bookmarkEnd w:id="38"/>
      <w:bookmarkEnd w:id="39"/>
      <w:bookmarkEnd w:id="40"/>
    </w:p>
    <w:p w:rsidR="008A6A7C" w:rsidRPr="002232F7" w:rsidRDefault="008A6A7C" w:rsidP="004A7048">
      <w:pPr>
        <w:pStyle w:val="N1-1stBullet"/>
        <w:rPr>
          <w:b/>
        </w:rPr>
      </w:pPr>
      <w:bookmarkStart w:id="41" w:name="_Toc325550971"/>
      <w:bookmarkStart w:id="42" w:name="_Toc316652513"/>
      <w:bookmarkStart w:id="43" w:name="_Toc400377730"/>
      <w:r w:rsidRPr="002232F7">
        <w:rPr>
          <w:b/>
        </w:rPr>
        <w:t>Any use of periodic (less frequent than annual) data collection cycles to reduce burden.</w:t>
      </w:r>
      <w:bookmarkEnd w:id="41"/>
      <w:bookmarkEnd w:id="42"/>
      <w:bookmarkEnd w:id="43"/>
    </w:p>
    <w:p w:rsidR="008A6A7C" w:rsidRPr="0074555B" w:rsidRDefault="008A6A7C" w:rsidP="001B265D">
      <w:pPr>
        <w:pStyle w:val="L1-FlLSp12"/>
      </w:pPr>
    </w:p>
    <w:p w:rsidR="008A6A7C" w:rsidRPr="0074555B" w:rsidRDefault="00E329A7" w:rsidP="00E329A7">
      <w:pPr>
        <w:pStyle w:val="Heading3"/>
      </w:pPr>
      <w:bookmarkStart w:id="44" w:name="_Toc400377731"/>
      <w:bookmarkEnd w:id="27"/>
      <w:bookmarkEnd w:id="28"/>
      <w:r>
        <w:tab/>
      </w:r>
      <w:r w:rsidR="008A6A7C" w:rsidRPr="0074555B">
        <w:t xml:space="preserve">Statistical Methodology for </w:t>
      </w:r>
      <w:r w:rsidR="008A6A7C">
        <w:t>SNAP Participant Survey</w:t>
      </w:r>
      <w:r w:rsidR="008A6A7C" w:rsidRPr="0074555B">
        <w:t xml:space="preserve"> Sample Selection</w:t>
      </w:r>
      <w:bookmarkEnd w:id="44"/>
    </w:p>
    <w:p w:rsidR="002120F1" w:rsidRDefault="008A6A7C" w:rsidP="001B265D">
      <w:pPr>
        <w:pStyle w:val="L1-FlLSp12"/>
      </w:pPr>
      <w:r>
        <w:t>The SPS sample</w:t>
      </w:r>
      <w:r w:rsidRPr="00524CF6">
        <w:t xml:space="preserve"> for the outcome evalu</w:t>
      </w:r>
      <w:r>
        <w:t>ation will be selected prior to the start of the incentive program</w:t>
      </w:r>
      <w:r w:rsidR="00162E28">
        <w:t xml:space="preserve"> at participating outlets</w:t>
      </w:r>
      <w:r>
        <w:t xml:space="preserve">. The sampled SNAP households will be invited to provide pre-intervention data on food </w:t>
      </w:r>
      <w:r w:rsidR="00523BA6">
        <w:t>purchase behavior, food security</w:t>
      </w:r>
      <w:r>
        <w:t xml:space="preserve">, fruit and vegetable intake, and household socio-demographics. </w:t>
      </w:r>
      <w:r w:rsidR="00523BA6" w:rsidRPr="00C518C9">
        <w:t xml:space="preserve">The post-intervention </w:t>
      </w:r>
      <w:r w:rsidR="00C518C9" w:rsidRPr="00C518C9">
        <w:t>survey</w:t>
      </w:r>
      <w:r w:rsidR="00523BA6" w:rsidRPr="00C518C9">
        <w:t xml:space="preserve"> will also include question</w:t>
      </w:r>
      <w:r w:rsidR="00C518C9" w:rsidRPr="00C518C9">
        <w:t>s</w:t>
      </w:r>
      <w:r w:rsidR="00523BA6" w:rsidRPr="00C518C9">
        <w:t xml:space="preserve"> on experience with FINI.</w:t>
      </w:r>
      <w:r w:rsidR="00523BA6">
        <w:t xml:space="preserve"> </w:t>
      </w:r>
      <w:r>
        <w:t xml:space="preserve">As indicated above, the respondents will be selected from sampling frames constructed from SNAP administrative files where applicable. Eligible participants will be restricted to those who have been participating in SNAP for at least 3 months </w:t>
      </w:r>
      <w:r w:rsidR="00B43AD0">
        <w:t>to ensure households are past the initial learning curve on how to manage their benefit</w:t>
      </w:r>
      <w:r>
        <w:t xml:space="preserve">. </w:t>
      </w:r>
      <w:r w:rsidR="00922361">
        <w:t>T</w:t>
      </w:r>
      <w:r w:rsidR="00B43AD0" w:rsidRPr="00B43AD0">
        <w:t xml:space="preserve">here is </w:t>
      </w:r>
      <w:r w:rsidR="00922361">
        <w:t xml:space="preserve">also </w:t>
      </w:r>
      <w:r w:rsidR="00B43AD0" w:rsidRPr="00B43AD0">
        <w:t>some evidence that being on SNAP for less than three months has only marginal impact on food insecurity and diet quality.</w:t>
      </w:r>
      <w:r w:rsidR="00B43AD0">
        <w:rPr>
          <w:rStyle w:val="FootnoteReference"/>
        </w:rPr>
        <w:footnoteReference w:id="7"/>
      </w:r>
      <w:r w:rsidR="00B43AD0" w:rsidRPr="00B43AD0">
        <w:t xml:space="preserve">  Including these cases could exaggerate outcome estimates if some of the gains achieved are due to SNAP alone. </w:t>
      </w:r>
      <w:r>
        <w:t>Sample households who completed the pre-SPS will be re-contacted approximately 6</w:t>
      </w:r>
      <w:r w:rsidR="00067184">
        <w:t> </w:t>
      </w:r>
      <w:r>
        <w:t>months after program implementation to complete the post-SPS. Using a 6-month window between the pre- and post-data collection allows sufficient time for the programs to have an impact, while limiting sample losses due to the cumulative effects of attrition from SNAP over time</w:t>
      </w:r>
      <w:r w:rsidR="002120F1">
        <w:t>.</w:t>
      </w:r>
    </w:p>
    <w:p w:rsidR="004A7048" w:rsidRDefault="004A7048" w:rsidP="001B265D">
      <w:pPr>
        <w:pStyle w:val="L1-FlLSp12"/>
      </w:pPr>
    </w:p>
    <w:p w:rsidR="008A6A7C" w:rsidRDefault="008A6A7C" w:rsidP="001B265D">
      <w:pPr>
        <w:pStyle w:val="L1-FlLSp12"/>
      </w:pPr>
      <w:r>
        <w:t xml:space="preserve">We expect some loss of the sampled households between sample selection and pre-SPS as well as between pre-SPS and post-SPS, due to ineligibility and nonresponse. Ineligibility losses occur because the administrative data lags; by the time we use the lists, some SNAP participants will no longer be eligible for benefits or have moved outside of the target area (neighborhood). We have assumed a pre-SPS ineligibility rate of </w:t>
      </w:r>
      <w:r w:rsidRPr="00CD62A0">
        <w:t xml:space="preserve">15 percent (this is roughly consistent with the experience in the </w:t>
      </w:r>
      <w:r w:rsidRPr="00727AE4">
        <w:t xml:space="preserve">Healthy Incentive Pilot </w:t>
      </w:r>
      <w:r>
        <w:t>[</w:t>
      </w:r>
      <w:r w:rsidRPr="00CD62A0">
        <w:t>HIP</w:t>
      </w:r>
      <w:r>
        <w:t>]</w:t>
      </w:r>
      <w:r w:rsidRPr="00CD62A0">
        <w:t xml:space="preserve"> study)</w:t>
      </w:r>
      <w:r>
        <w:t xml:space="preserve">, and a pre-SPS response rate of </w:t>
      </w:r>
      <w:r w:rsidRPr="00CD62A0">
        <w:t xml:space="preserve">80 percent. </w:t>
      </w:r>
      <w:r>
        <w:t xml:space="preserve">As indicated above, we expect sample attrition between pre- and post-SPS, </w:t>
      </w:r>
      <w:r w:rsidRPr="00CD62A0">
        <w:t>due to both</w:t>
      </w:r>
      <w:r>
        <w:t xml:space="preserve"> nonresponse and ineligibility. In this case, nonresponse applies to those sample persons who completed the pre-SPS and were still eligible for but did not complete the post-SPS. Ineligibility applies to sample persons who completed the pre-SPS but were determined to be out of scope of the study by the post-SPS (e.g., no longer in SNAP, moved out of area, deceased, or institutionalized). Further, we assume a 6</w:t>
      </w:r>
      <w:r w:rsidR="00067184">
        <w:noBreakHyphen/>
      </w:r>
      <w:r>
        <w:t>month cumulative ineligibility rate of 30 percent based on the newly released SNAP participation data,</w:t>
      </w:r>
      <w:r w:rsidRPr="00CD62A0">
        <w:rPr>
          <w:rStyle w:val="FootnoteReference"/>
        </w:rPr>
        <w:footnoteReference w:id="8"/>
      </w:r>
      <w:r>
        <w:t xml:space="preserve"> and a response rate of 80 percent for the post-SPS.</w:t>
      </w:r>
    </w:p>
    <w:p w:rsidR="004A7048" w:rsidRDefault="004A7048" w:rsidP="001B265D">
      <w:pPr>
        <w:pStyle w:val="L1-FlLSp12"/>
      </w:pPr>
    </w:p>
    <w:p w:rsidR="002120F1" w:rsidRDefault="008A6A7C" w:rsidP="001B265D">
      <w:pPr>
        <w:pStyle w:val="L1-FlLSp12"/>
      </w:pPr>
      <w:r>
        <w:t xml:space="preserve">Table B2.1 summarizes the sample sizes proposed for the outcome evaluation based on the assumptions described above. The sample sizes shown are for a </w:t>
      </w:r>
      <w:r w:rsidRPr="00CA453A">
        <w:t>single</w:t>
      </w:r>
      <w:r>
        <w:t xml:space="preserve"> intervention cluster and a single comparison </w:t>
      </w:r>
      <w:r w:rsidR="004C2846">
        <w:t>cluster</w:t>
      </w:r>
      <w:r>
        <w:t>. Because of the potential for sample losses between the pre- and the post- SPS, we plan to oversample at baseline to ensure we have adequate sample for the post-SPS</w:t>
      </w:r>
      <w:r w:rsidR="002120F1">
        <w:t>.</w:t>
      </w:r>
    </w:p>
    <w:p w:rsidR="004A7048" w:rsidRDefault="004A7048" w:rsidP="001B265D">
      <w:pPr>
        <w:pStyle w:val="L1-FlLSp12"/>
      </w:pPr>
    </w:p>
    <w:p w:rsidR="008A6A7C" w:rsidRDefault="008A6A7C" w:rsidP="004A7048">
      <w:pPr>
        <w:pStyle w:val="TT-TableTitle"/>
      </w:pPr>
      <w:r>
        <w:t>Table B2.1.</w:t>
      </w:r>
      <w:r>
        <w:tab/>
      </w:r>
      <w:r w:rsidRPr="00213E55">
        <w:t>Sample size</w:t>
      </w:r>
      <w:r w:rsidR="00C518C9">
        <w:t xml:space="preserve"> of</w:t>
      </w:r>
      <w:r>
        <w:t xml:space="preserve"> SNAP participants for an intervention cluster and a comparison site</w:t>
      </w:r>
    </w:p>
    <w:p w:rsidR="004A7048" w:rsidRDefault="004A7048" w:rsidP="004A7048">
      <w:pPr>
        <w:pStyle w:val="TT-TableTitle"/>
      </w:pPr>
    </w:p>
    <w:tbl>
      <w:tblPr>
        <w:tblW w:w="4985" w:type="pct"/>
        <w:tblBorders>
          <w:top w:val="single" w:sz="4" w:space="0" w:color="auto"/>
          <w:bottom w:val="single" w:sz="4" w:space="0" w:color="auto"/>
        </w:tblBorders>
        <w:tblLayout w:type="fixed"/>
        <w:tblCellMar>
          <w:left w:w="29" w:type="dxa"/>
          <w:right w:w="29" w:type="dxa"/>
        </w:tblCellMar>
        <w:tblLook w:val="04A0" w:firstRow="1" w:lastRow="0" w:firstColumn="1" w:lastColumn="0" w:noHBand="0" w:noVBand="1"/>
      </w:tblPr>
      <w:tblGrid>
        <w:gridCol w:w="2640"/>
        <w:gridCol w:w="719"/>
        <w:gridCol w:w="721"/>
        <w:gridCol w:w="811"/>
        <w:gridCol w:w="719"/>
        <w:gridCol w:w="721"/>
        <w:gridCol w:w="809"/>
        <w:gridCol w:w="721"/>
        <w:gridCol w:w="629"/>
        <w:gridCol w:w="900"/>
      </w:tblGrid>
      <w:tr w:rsidR="000A4805" w:rsidRPr="00E84995" w:rsidTr="000A4805">
        <w:tc>
          <w:tcPr>
            <w:tcW w:w="1405" w:type="pct"/>
            <w:vMerge w:val="restart"/>
            <w:tcBorders>
              <w:top w:val="single" w:sz="4" w:space="0" w:color="auto"/>
              <w:bottom w:val="nil"/>
            </w:tcBorders>
            <w:shd w:val="clear" w:color="auto" w:fill="AFBED7"/>
            <w:vAlign w:val="bottom"/>
          </w:tcPr>
          <w:p w:rsidR="008A6A7C" w:rsidRPr="00BF6FD8" w:rsidRDefault="008A6A7C" w:rsidP="00CB386A">
            <w:pPr>
              <w:pStyle w:val="TH-TableHeading"/>
            </w:pPr>
            <w:r>
              <w:t>Intervention</w:t>
            </w:r>
            <w:r w:rsidRPr="00BF6FD8">
              <w:br/>
              <w:t>status</w:t>
            </w:r>
          </w:p>
        </w:tc>
        <w:tc>
          <w:tcPr>
            <w:tcW w:w="2397" w:type="pct"/>
            <w:gridSpan w:val="6"/>
            <w:tcBorders>
              <w:top w:val="single" w:sz="4" w:space="0" w:color="auto"/>
              <w:bottom w:val="single" w:sz="4" w:space="0" w:color="auto"/>
            </w:tcBorders>
            <w:shd w:val="clear" w:color="auto" w:fill="AFBED7"/>
            <w:vAlign w:val="bottom"/>
          </w:tcPr>
          <w:p w:rsidR="008A6A7C" w:rsidRDefault="008A6A7C" w:rsidP="00CB386A">
            <w:pPr>
              <w:pStyle w:val="TH-TableHeading"/>
            </w:pPr>
            <w:r>
              <w:t>Pre-SPS</w:t>
            </w:r>
          </w:p>
        </w:tc>
        <w:tc>
          <w:tcPr>
            <w:tcW w:w="1198" w:type="pct"/>
            <w:gridSpan w:val="3"/>
            <w:tcBorders>
              <w:top w:val="single" w:sz="4" w:space="0" w:color="auto"/>
              <w:bottom w:val="single" w:sz="4" w:space="0" w:color="auto"/>
            </w:tcBorders>
            <w:shd w:val="clear" w:color="auto" w:fill="AFBED7"/>
            <w:vAlign w:val="bottom"/>
          </w:tcPr>
          <w:p w:rsidR="008A6A7C" w:rsidRDefault="008A6A7C" w:rsidP="00CB386A">
            <w:pPr>
              <w:pStyle w:val="TH-TableHeading"/>
            </w:pPr>
            <w:r>
              <w:t>Post-SPS</w:t>
            </w:r>
          </w:p>
        </w:tc>
      </w:tr>
      <w:tr w:rsidR="000A4805" w:rsidRPr="00E84995" w:rsidTr="000A4805">
        <w:trPr>
          <w:cantSplit/>
          <w:trHeight w:val="1754"/>
        </w:trPr>
        <w:tc>
          <w:tcPr>
            <w:tcW w:w="1405" w:type="pct"/>
            <w:vMerge/>
            <w:tcBorders>
              <w:top w:val="nil"/>
              <w:bottom w:val="single" w:sz="4" w:space="0" w:color="auto"/>
            </w:tcBorders>
            <w:shd w:val="clear" w:color="auto" w:fill="AFBED7"/>
            <w:vAlign w:val="bottom"/>
            <w:hideMark/>
          </w:tcPr>
          <w:p w:rsidR="008A6A7C" w:rsidRPr="00BF6FD8" w:rsidRDefault="008A6A7C" w:rsidP="00CB386A">
            <w:pPr>
              <w:pStyle w:val="TH-TableHeading"/>
            </w:pPr>
          </w:p>
        </w:tc>
        <w:tc>
          <w:tcPr>
            <w:tcW w:w="383"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vertAlign w:val="superscript"/>
              </w:rPr>
            </w:pPr>
            <w:r w:rsidRPr="0020288E">
              <w:rPr>
                <w:sz w:val="18"/>
                <w:szCs w:val="18"/>
              </w:rPr>
              <w:t xml:space="preserve">No. in pre </w:t>
            </w:r>
            <w:proofErr w:type="spellStart"/>
            <w:r w:rsidRPr="0020288E">
              <w:rPr>
                <w:sz w:val="18"/>
                <w:szCs w:val="18"/>
              </w:rPr>
              <w:t>sample</w:t>
            </w:r>
            <w:r w:rsidRPr="0020288E">
              <w:rPr>
                <w:sz w:val="18"/>
                <w:szCs w:val="18"/>
                <w:vertAlign w:val="superscript"/>
              </w:rPr>
              <w:t>a</w:t>
            </w:r>
            <w:proofErr w:type="spellEnd"/>
            <w:r w:rsidRPr="0020288E">
              <w:rPr>
                <w:sz w:val="18"/>
                <w:szCs w:val="18"/>
                <w:vertAlign w:val="superscript"/>
              </w:rPr>
              <w:t xml:space="preserve"> </w:t>
            </w:r>
          </w:p>
        </w:tc>
        <w:tc>
          <w:tcPr>
            <w:tcW w:w="384"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rPr>
            </w:pPr>
            <w:r w:rsidRPr="0020288E">
              <w:rPr>
                <w:sz w:val="18"/>
                <w:szCs w:val="18"/>
              </w:rPr>
              <w:t>No. in reserve sample</w:t>
            </w:r>
          </w:p>
        </w:tc>
        <w:tc>
          <w:tcPr>
            <w:tcW w:w="432"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rPr>
            </w:pPr>
            <w:r w:rsidRPr="0020288E">
              <w:rPr>
                <w:sz w:val="18"/>
                <w:szCs w:val="18"/>
              </w:rPr>
              <w:t xml:space="preserve">No. in </w:t>
            </w:r>
            <w:r w:rsidRPr="0020288E">
              <w:rPr>
                <w:bCs/>
                <w:sz w:val="18"/>
                <w:szCs w:val="18"/>
              </w:rPr>
              <w:t>primary</w:t>
            </w:r>
            <w:r w:rsidRPr="0020288E">
              <w:rPr>
                <w:sz w:val="18"/>
                <w:szCs w:val="18"/>
              </w:rPr>
              <w:t xml:space="preserve"> sample</w:t>
            </w:r>
          </w:p>
        </w:tc>
        <w:tc>
          <w:tcPr>
            <w:tcW w:w="383" w:type="pct"/>
            <w:tcBorders>
              <w:top w:val="single" w:sz="4" w:space="0" w:color="auto"/>
              <w:bottom w:val="single" w:sz="4" w:space="0" w:color="auto"/>
            </w:tcBorders>
            <w:shd w:val="clear" w:color="auto" w:fill="AFBED7"/>
            <w:textDirection w:val="btLr"/>
            <w:vAlign w:val="center"/>
            <w:hideMark/>
          </w:tcPr>
          <w:p w:rsidR="008A6A7C" w:rsidRPr="0020288E" w:rsidRDefault="00067184" w:rsidP="000A4805">
            <w:pPr>
              <w:pStyle w:val="TH-TableHeading"/>
              <w:ind w:left="113" w:right="113"/>
              <w:jc w:val="left"/>
              <w:rPr>
                <w:sz w:val="18"/>
                <w:szCs w:val="18"/>
              </w:rPr>
            </w:pPr>
            <w:r>
              <w:rPr>
                <w:sz w:val="18"/>
                <w:szCs w:val="18"/>
              </w:rPr>
              <w:t>Eligibility rate</w:t>
            </w:r>
          </w:p>
        </w:tc>
        <w:tc>
          <w:tcPr>
            <w:tcW w:w="384"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rPr>
            </w:pPr>
            <w:r w:rsidRPr="0020288E">
              <w:rPr>
                <w:sz w:val="18"/>
                <w:szCs w:val="18"/>
              </w:rPr>
              <w:t>Response rate</w:t>
            </w:r>
          </w:p>
        </w:tc>
        <w:tc>
          <w:tcPr>
            <w:tcW w:w="431"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vertAlign w:val="superscript"/>
              </w:rPr>
            </w:pPr>
            <w:r w:rsidRPr="0020288E">
              <w:rPr>
                <w:sz w:val="18"/>
                <w:szCs w:val="18"/>
              </w:rPr>
              <w:t>No. of pre-survey respondents</w:t>
            </w:r>
            <w:r w:rsidRPr="0020288E">
              <w:rPr>
                <w:sz w:val="18"/>
                <w:szCs w:val="18"/>
                <w:vertAlign w:val="superscript"/>
              </w:rPr>
              <w:t xml:space="preserve"> </w:t>
            </w:r>
          </w:p>
        </w:tc>
        <w:tc>
          <w:tcPr>
            <w:tcW w:w="384"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rPr>
            </w:pPr>
            <w:r w:rsidRPr="0020288E">
              <w:rPr>
                <w:sz w:val="18"/>
                <w:szCs w:val="18"/>
              </w:rPr>
              <w:t>Eligibility rate</w:t>
            </w:r>
          </w:p>
        </w:tc>
        <w:tc>
          <w:tcPr>
            <w:tcW w:w="335"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pacing w:val="-4"/>
                <w:sz w:val="18"/>
                <w:szCs w:val="18"/>
              </w:rPr>
            </w:pPr>
            <w:r w:rsidRPr="0020288E">
              <w:rPr>
                <w:spacing w:val="-4"/>
                <w:sz w:val="18"/>
                <w:szCs w:val="18"/>
              </w:rPr>
              <w:t>Response rate</w:t>
            </w:r>
          </w:p>
        </w:tc>
        <w:tc>
          <w:tcPr>
            <w:tcW w:w="479" w:type="pct"/>
            <w:tcBorders>
              <w:top w:val="single" w:sz="4" w:space="0" w:color="auto"/>
              <w:bottom w:val="single" w:sz="4" w:space="0" w:color="auto"/>
            </w:tcBorders>
            <w:shd w:val="clear" w:color="auto" w:fill="AFBED7"/>
            <w:textDirection w:val="btLr"/>
            <w:vAlign w:val="center"/>
            <w:hideMark/>
          </w:tcPr>
          <w:p w:rsidR="008A6A7C" w:rsidRPr="0020288E" w:rsidRDefault="008A6A7C" w:rsidP="000A4805">
            <w:pPr>
              <w:pStyle w:val="TH-TableHeading"/>
              <w:ind w:left="113" w:right="113"/>
              <w:jc w:val="left"/>
              <w:rPr>
                <w:sz w:val="18"/>
                <w:szCs w:val="18"/>
                <w:vertAlign w:val="superscript"/>
              </w:rPr>
            </w:pPr>
            <w:r w:rsidRPr="0020288E">
              <w:rPr>
                <w:sz w:val="18"/>
                <w:szCs w:val="18"/>
              </w:rPr>
              <w:t>No. of post-survey respondents</w:t>
            </w:r>
          </w:p>
        </w:tc>
      </w:tr>
      <w:tr w:rsidR="000A4805" w:rsidRPr="002F0121" w:rsidTr="000A4805">
        <w:tc>
          <w:tcPr>
            <w:tcW w:w="1405" w:type="pct"/>
            <w:tcBorders>
              <w:top w:val="single" w:sz="4" w:space="0" w:color="auto"/>
              <w:bottom w:val="nil"/>
            </w:tcBorders>
            <w:shd w:val="clear" w:color="auto" w:fill="auto"/>
            <w:noWrap/>
            <w:vAlign w:val="center"/>
            <w:hideMark/>
          </w:tcPr>
          <w:p w:rsidR="008A6A7C" w:rsidRPr="001D4920" w:rsidRDefault="008A6A7C" w:rsidP="00CB386A">
            <w:pPr>
              <w:pStyle w:val="TX-TableText"/>
            </w:pPr>
            <w:r>
              <w:t xml:space="preserve">1 Intervention </w:t>
            </w:r>
            <w:r w:rsidRPr="001D4920">
              <w:t>cluster</w:t>
            </w:r>
          </w:p>
        </w:tc>
        <w:tc>
          <w:tcPr>
            <w:tcW w:w="383" w:type="pct"/>
            <w:tcBorders>
              <w:top w:val="single" w:sz="4" w:space="0" w:color="auto"/>
              <w:bottom w:val="nil"/>
            </w:tcBorders>
            <w:shd w:val="clear" w:color="auto" w:fill="auto"/>
            <w:noWrap/>
            <w:vAlign w:val="center"/>
            <w:hideMark/>
          </w:tcPr>
          <w:p w:rsidR="008A6A7C" w:rsidRPr="007704F8" w:rsidRDefault="00067184" w:rsidP="00CB386A">
            <w:pPr>
              <w:pStyle w:val="TX-TableText"/>
              <w:jc w:val="center"/>
            </w:pPr>
            <w:r>
              <w:rPr>
                <w:szCs w:val="16"/>
              </w:rPr>
              <w:t>1,265</w:t>
            </w:r>
          </w:p>
        </w:tc>
        <w:tc>
          <w:tcPr>
            <w:tcW w:w="384" w:type="pct"/>
            <w:tcBorders>
              <w:top w:val="single" w:sz="4" w:space="0" w:color="auto"/>
              <w:bottom w:val="nil"/>
            </w:tcBorders>
            <w:shd w:val="clear" w:color="auto" w:fill="auto"/>
            <w:noWrap/>
            <w:vAlign w:val="center"/>
            <w:hideMark/>
          </w:tcPr>
          <w:p w:rsidR="008A6A7C" w:rsidRPr="007704F8" w:rsidRDefault="00067184" w:rsidP="00067184">
            <w:pPr>
              <w:pStyle w:val="TX-TableText"/>
              <w:tabs>
                <w:tab w:val="decimal" w:pos="547"/>
              </w:tabs>
              <w:jc w:val="both"/>
            </w:pPr>
            <w:r>
              <w:rPr>
                <w:szCs w:val="16"/>
              </w:rPr>
              <w:t>253</w:t>
            </w:r>
          </w:p>
        </w:tc>
        <w:tc>
          <w:tcPr>
            <w:tcW w:w="432" w:type="pct"/>
            <w:tcBorders>
              <w:top w:val="single" w:sz="4" w:space="0" w:color="auto"/>
              <w:bottom w:val="nil"/>
            </w:tcBorders>
            <w:shd w:val="clear" w:color="auto" w:fill="auto"/>
            <w:noWrap/>
            <w:vAlign w:val="center"/>
            <w:hideMark/>
          </w:tcPr>
          <w:p w:rsidR="008A6A7C" w:rsidRPr="007704F8" w:rsidRDefault="00067184" w:rsidP="00CB386A">
            <w:pPr>
              <w:pStyle w:val="TX-TableText"/>
              <w:jc w:val="center"/>
            </w:pPr>
            <w:r>
              <w:rPr>
                <w:szCs w:val="16"/>
              </w:rPr>
              <w:t>1,012</w:t>
            </w:r>
          </w:p>
        </w:tc>
        <w:tc>
          <w:tcPr>
            <w:tcW w:w="383" w:type="pct"/>
            <w:tcBorders>
              <w:top w:val="single" w:sz="4" w:space="0" w:color="auto"/>
              <w:bottom w:val="nil"/>
            </w:tcBorders>
            <w:shd w:val="clear" w:color="auto" w:fill="auto"/>
            <w:noWrap/>
            <w:vAlign w:val="center"/>
            <w:hideMark/>
          </w:tcPr>
          <w:p w:rsidR="008A6A7C" w:rsidRPr="007704F8" w:rsidRDefault="00067184" w:rsidP="00CB386A">
            <w:pPr>
              <w:pStyle w:val="TX-TableText"/>
              <w:jc w:val="center"/>
            </w:pPr>
            <w:r>
              <w:rPr>
                <w:szCs w:val="16"/>
              </w:rPr>
              <w:t>0.85</w:t>
            </w:r>
          </w:p>
        </w:tc>
        <w:tc>
          <w:tcPr>
            <w:tcW w:w="384" w:type="pct"/>
            <w:tcBorders>
              <w:top w:val="single" w:sz="4" w:space="0" w:color="auto"/>
              <w:bottom w:val="nil"/>
            </w:tcBorders>
            <w:shd w:val="clear" w:color="auto" w:fill="auto"/>
            <w:noWrap/>
            <w:vAlign w:val="center"/>
            <w:hideMark/>
          </w:tcPr>
          <w:p w:rsidR="008A6A7C" w:rsidRPr="007704F8" w:rsidRDefault="00067184" w:rsidP="00CB386A">
            <w:pPr>
              <w:pStyle w:val="TX-TableText"/>
              <w:jc w:val="center"/>
            </w:pPr>
            <w:r>
              <w:rPr>
                <w:szCs w:val="16"/>
              </w:rPr>
              <w:t>0.80</w:t>
            </w:r>
          </w:p>
        </w:tc>
        <w:tc>
          <w:tcPr>
            <w:tcW w:w="431" w:type="pct"/>
            <w:tcBorders>
              <w:top w:val="single" w:sz="4" w:space="0" w:color="auto"/>
              <w:bottom w:val="nil"/>
            </w:tcBorders>
            <w:shd w:val="clear" w:color="auto" w:fill="auto"/>
            <w:noWrap/>
            <w:vAlign w:val="center"/>
            <w:hideMark/>
          </w:tcPr>
          <w:p w:rsidR="008A6A7C" w:rsidRPr="007704F8" w:rsidRDefault="00067184" w:rsidP="00067184">
            <w:pPr>
              <w:pStyle w:val="TX-TableText"/>
              <w:tabs>
                <w:tab w:val="decimal" w:pos="715"/>
              </w:tabs>
              <w:ind w:right="65"/>
              <w:jc w:val="both"/>
            </w:pPr>
            <w:r>
              <w:rPr>
                <w:szCs w:val="16"/>
              </w:rPr>
              <w:t>688</w:t>
            </w:r>
          </w:p>
        </w:tc>
        <w:tc>
          <w:tcPr>
            <w:tcW w:w="384" w:type="pct"/>
            <w:tcBorders>
              <w:top w:val="single" w:sz="4" w:space="0" w:color="auto"/>
              <w:bottom w:val="nil"/>
            </w:tcBorders>
            <w:shd w:val="clear" w:color="auto" w:fill="auto"/>
            <w:noWrap/>
            <w:vAlign w:val="center"/>
            <w:hideMark/>
          </w:tcPr>
          <w:p w:rsidR="008A6A7C" w:rsidRPr="007704F8" w:rsidRDefault="00067184" w:rsidP="00CB386A">
            <w:pPr>
              <w:pStyle w:val="TX-TableText"/>
              <w:jc w:val="center"/>
            </w:pPr>
            <w:r>
              <w:rPr>
                <w:szCs w:val="16"/>
              </w:rPr>
              <w:t>0.70</w:t>
            </w:r>
          </w:p>
        </w:tc>
        <w:tc>
          <w:tcPr>
            <w:tcW w:w="335" w:type="pct"/>
            <w:tcBorders>
              <w:top w:val="single" w:sz="4" w:space="0" w:color="auto"/>
              <w:bottom w:val="nil"/>
            </w:tcBorders>
            <w:shd w:val="clear" w:color="auto" w:fill="auto"/>
            <w:noWrap/>
            <w:vAlign w:val="center"/>
            <w:hideMark/>
          </w:tcPr>
          <w:p w:rsidR="008A6A7C" w:rsidRPr="007704F8" w:rsidRDefault="00067184" w:rsidP="00CB386A">
            <w:pPr>
              <w:pStyle w:val="TX-TableText"/>
              <w:jc w:val="center"/>
            </w:pPr>
            <w:r>
              <w:rPr>
                <w:szCs w:val="16"/>
              </w:rPr>
              <w:t>0.80</w:t>
            </w:r>
          </w:p>
        </w:tc>
        <w:tc>
          <w:tcPr>
            <w:tcW w:w="479" w:type="pct"/>
            <w:tcBorders>
              <w:top w:val="single" w:sz="4" w:space="0" w:color="auto"/>
              <w:bottom w:val="nil"/>
            </w:tcBorders>
            <w:shd w:val="clear" w:color="auto" w:fill="auto"/>
            <w:noWrap/>
            <w:vAlign w:val="center"/>
            <w:hideMark/>
          </w:tcPr>
          <w:p w:rsidR="008A6A7C" w:rsidRPr="007704F8" w:rsidRDefault="00067184" w:rsidP="00067184">
            <w:pPr>
              <w:pStyle w:val="TX-TableText"/>
              <w:tabs>
                <w:tab w:val="decimal" w:pos="763"/>
              </w:tabs>
              <w:jc w:val="both"/>
            </w:pPr>
            <w:r>
              <w:rPr>
                <w:szCs w:val="16"/>
              </w:rPr>
              <w:t>385</w:t>
            </w:r>
          </w:p>
        </w:tc>
      </w:tr>
      <w:tr w:rsidR="000A4805" w:rsidRPr="002F0121" w:rsidTr="000A4805">
        <w:tc>
          <w:tcPr>
            <w:tcW w:w="1405" w:type="pct"/>
            <w:tcBorders>
              <w:top w:val="nil"/>
              <w:bottom w:val="nil"/>
            </w:tcBorders>
            <w:shd w:val="clear" w:color="auto" w:fill="auto"/>
            <w:noWrap/>
            <w:vAlign w:val="center"/>
          </w:tcPr>
          <w:p w:rsidR="00CB386A" w:rsidRDefault="00CB386A" w:rsidP="00CB386A">
            <w:pPr>
              <w:pStyle w:val="TX-TableText"/>
            </w:pPr>
          </w:p>
        </w:tc>
        <w:tc>
          <w:tcPr>
            <w:tcW w:w="383" w:type="pct"/>
            <w:tcBorders>
              <w:top w:val="nil"/>
              <w:bottom w:val="nil"/>
            </w:tcBorders>
            <w:shd w:val="clear" w:color="auto" w:fill="auto"/>
            <w:noWrap/>
            <w:vAlign w:val="center"/>
          </w:tcPr>
          <w:p w:rsidR="00CB386A" w:rsidRDefault="00CB386A" w:rsidP="00CB386A">
            <w:pPr>
              <w:pStyle w:val="TX-TableText"/>
              <w:jc w:val="center"/>
              <w:rPr>
                <w:szCs w:val="16"/>
              </w:rPr>
            </w:pPr>
          </w:p>
        </w:tc>
        <w:tc>
          <w:tcPr>
            <w:tcW w:w="384" w:type="pct"/>
            <w:tcBorders>
              <w:top w:val="nil"/>
              <w:bottom w:val="nil"/>
            </w:tcBorders>
            <w:shd w:val="clear" w:color="auto" w:fill="auto"/>
            <w:noWrap/>
            <w:vAlign w:val="center"/>
          </w:tcPr>
          <w:p w:rsidR="00CB386A" w:rsidRDefault="00CB386A" w:rsidP="00067184">
            <w:pPr>
              <w:pStyle w:val="TX-TableText"/>
              <w:tabs>
                <w:tab w:val="decimal" w:pos="547"/>
              </w:tabs>
              <w:jc w:val="both"/>
              <w:rPr>
                <w:szCs w:val="16"/>
              </w:rPr>
            </w:pPr>
          </w:p>
        </w:tc>
        <w:tc>
          <w:tcPr>
            <w:tcW w:w="432" w:type="pct"/>
            <w:tcBorders>
              <w:top w:val="nil"/>
              <w:bottom w:val="nil"/>
            </w:tcBorders>
            <w:shd w:val="clear" w:color="auto" w:fill="auto"/>
            <w:noWrap/>
            <w:vAlign w:val="center"/>
          </w:tcPr>
          <w:p w:rsidR="00CB386A" w:rsidRDefault="00CB386A" w:rsidP="00CB386A">
            <w:pPr>
              <w:pStyle w:val="TX-TableText"/>
              <w:jc w:val="center"/>
              <w:rPr>
                <w:szCs w:val="16"/>
              </w:rPr>
            </w:pPr>
          </w:p>
        </w:tc>
        <w:tc>
          <w:tcPr>
            <w:tcW w:w="383" w:type="pct"/>
            <w:tcBorders>
              <w:top w:val="nil"/>
              <w:bottom w:val="nil"/>
            </w:tcBorders>
            <w:shd w:val="clear" w:color="auto" w:fill="auto"/>
            <w:noWrap/>
            <w:vAlign w:val="center"/>
          </w:tcPr>
          <w:p w:rsidR="00CB386A" w:rsidRDefault="00CB386A" w:rsidP="00CB386A">
            <w:pPr>
              <w:pStyle w:val="TX-TableText"/>
              <w:jc w:val="center"/>
              <w:rPr>
                <w:szCs w:val="16"/>
              </w:rPr>
            </w:pPr>
          </w:p>
        </w:tc>
        <w:tc>
          <w:tcPr>
            <w:tcW w:w="384" w:type="pct"/>
            <w:tcBorders>
              <w:top w:val="nil"/>
              <w:bottom w:val="nil"/>
            </w:tcBorders>
            <w:shd w:val="clear" w:color="auto" w:fill="auto"/>
            <w:noWrap/>
            <w:vAlign w:val="center"/>
          </w:tcPr>
          <w:p w:rsidR="00CB386A" w:rsidRDefault="00CB386A" w:rsidP="00CB386A">
            <w:pPr>
              <w:pStyle w:val="TX-TableText"/>
              <w:jc w:val="center"/>
              <w:rPr>
                <w:szCs w:val="16"/>
              </w:rPr>
            </w:pPr>
          </w:p>
        </w:tc>
        <w:tc>
          <w:tcPr>
            <w:tcW w:w="431" w:type="pct"/>
            <w:tcBorders>
              <w:top w:val="nil"/>
              <w:bottom w:val="nil"/>
            </w:tcBorders>
            <w:shd w:val="clear" w:color="auto" w:fill="auto"/>
            <w:noWrap/>
            <w:vAlign w:val="center"/>
          </w:tcPr>
          <w:p w:rsidR="00CB386A" w:rsidRDefault="00CB386A" w:rsidP="00067184">
            <w:pPr>
              <w:pStyle w:val="TX-TableText"/>
              <w:tabs>
                <w:tab w:val="decimal" w:pos="715"/>
              </w:tabs>
              <w:ind w:right="65"/>
              <w:jc w:val="both"/>
              <w:rPr>
                <w:szCs w:val="16"/>
              </w:rPr>
            </w:pPr>
          </w:p>
        </w:tc>
        <w:tc>
          <w:tcPr>
            <w:tcW w:w="384" w:type="pct"/>
            <w:tcBorders>
              <w:top w:val="nil"/>
              <w:bottom w:val="nil"/>
            </w:tcBorders>
            <w:shd w:val="clear" w:color="auto" w:fill="auto"/>
            <w:noWrap/>
            <w:vAlign w:val="center"/>
          </w:tcPr>
          <w:p w:rsidR="00CB386A" w:rsidRDefault="00CB386A" w:rsidP="00CB386A">
            <w:pPr>
              <w:pStyle w:val="TX-TableText"/>
              <w:jc w:val="center"/>
              <w:rPr>
                <w:szCs w:val="16"/>
              </w:rPr>
            </w:pPr>
          </w:p>
        </w:tc>
        <w:tc>
          <w:tcPr>
            <w:tcW w:w="335" w:type="pct"/>
            <w:tcBorders>
              <w:top w:val="nil"/>
              <w:bottom w:val="nil"/>
            </w:tcBorders>
            <w:shd w:val="clear" w:color="auto" w:fill="auto"/>
            <w:noWrap/>
            <w:vAlign w:val="center"/>
          </w:tcPr>
          <w:p w:rsidR="00CB386A" w:rsidRDefault="00CB386A" w:rsidP="00CB386A">
            <w:pPr>
              <w:pStyle w:val="TX-TableText"/>
              <w:jc w:val="center"/>
              <w:rPr>
                <w:szCs w:val="16"/>
              </w:rPr>
            </w:pPr>
          </w:p>
        </w:tc>
        <w:tc>
          <w:tcPr>
            <w:tcW w:w="479" w:type="pct"/>
            <w:tcBorders>
              <w:top w:val="nil"/>
              <w:bottom w:val="nil"/>
            </w:tcBorders>
            <w:shd w:val="clear" w:color="auto" w:fill="auto"/>
            <w:noWrap/>
            <w:vAlign w:val="center"/>
          </w:tcPr>
          <w:p w:rsidR="00CB386A" w:rsidRDefault="00CB386A" w:rsidP="00067184">
            <w:pPr>
              <w:pStyle w:val="TX-TableText"/>
              <w:tabs>
                <w:tab w:val="decimal" w:pos="763"/>
              </w:tabs>
              <w:jc w:val="both"/>
              <w:rPr>
                <w:szCs w:val="16"/>
              </w:rPr>
            </w:pPr>
          </w:p>
        </w:tc>
      </w:tr>
      <w:tr w:rsidR="000A4805" w:rsidRPr="002F0121" w:rsidTr="000A4805">
        <w:tc>
          <w:tcPr>
            <w:tcW w:w="1405" w:type="pct"/>
            <w:tcBorders>
              <w:top w:val="nil"/>
            </w:tcBorders>
            <w:shd w:val="clear" w:color="auto" w:fill="auto"/>
            <w:noWrap/>
            <w:vAlign w:val="center"/>
          </w:tcPr>
          <w:p w:rsidR="008A6A7C" w:rsidRPr="001D4920" w:rsidRDefault="008A6A7C" w:rsidP="00CB386A">
            <w:pPr>
              <w:pStyle w:val="TX-TableText"/>
            </w:pPr>
            <w:r>
              <w:t>1 Comparison</w:t>
            </w:r>
            <w:r w:rsidRPr="001D4920">
              <w:t xml:space="preserve"> </w:t>
            </w:r>
            <w:r>
              <w:t>cluster</w:t>
            </w:r>
          </w:p>
        </w:tc>
        <w:tc>
          <w:tcPr>
            <w:tcW w:w="383" w:type="pct"/>
            <w:tcBorders>
              <w:top w:val="nil"/>
            </w:tcBorders>
            <w:shd w:val="clear" w:color="auto" w:fill="auto"/>
            <w:noWrap/>
            <w:vAlign w:val="center"/>
          </w:tcPr>
          <w:p w:rsidR="008A6A7C" w:rsidRPr="007704F8" w:rsidRDefault="00067184" w:rsidP="00CB386A">
            <w:pPr>
              <w:pStyle w:val="TX-TableText"/>
              <w:jc w:val="center"/>
            </w:pPr>
            <w:r>
              <w:rPr>
                <w:szCs w:val="16"/>
              </w:rPr>
              <w:t>1,265</w:t>
            </w:r>
          </w:p>
        </w:tc>
        <w:tc>
          <w:tcPr>
            <w:tcW w:w="384" w:type="pct"/>
            <w:tcBorders>
              <w:top w:val="nil"/>
            </w:tcBorders>
            <w:shd w:val="clear" w:color="auto" w:fill="auto"/>
            <w:noWrap/>
            <w:vAlign w:val="center"/>
          </w:tcPr>
          <w:p w:rsidR="008A6A7C" w:rsidRPr="007704F8" w:rsidRDefault="00067184" w:rsidP="00067184">
            <w:pPr>
              <w:pStyle w:val="TX-TableText"/>
              <w:tabs>
                <w:tab w:val="decimal" w:pos="547"/>
              </w:tabs>
              <w:jc w:val="both"/>
            </w:pPr>
            <w:r>
              <w:rPr>
                <w:szCs w:val="16"/>
              </w:rPr>
              <w:t>253</w:t>
            </w:r>
          </w:p>
        </w:tc>
        <w:tc>
          <w:tcPr>
            <w:tcW w:w="432" w:type="pct"/>
            <w:tcBorders>
              <w:top w:val="nil"/>
            </w:tcBorders>
            <w:shd w:val="clear" w:color="auto" w:fill="auto"/>
            <w:noWrap/>
            <w:vAlign w:val="center"/>
          </w:tcPr>
          <w:p w:rsidR="008A6A7C" w:rsidRPr="007704F8" w:rsidRDefault="00067184" w:rsidP="00CB386A">
            <w:pPr>
              <w:pStyle w:val="TX-TableText"/>
              <w:jc w:val="center"/>
            </w:pPr>
            <w:r>
              <w:rPr>
                <w:szCs w:val="16"/>
              </w:rPr>
              <w:t>1,012</w:t>
            </w:r>
          </w:p>
        </w:tc>
        <w:tc>
          <w:tcPr>
            <w:tcW w:w="383" w:type="pct"/>
            <w:tcBorders>
              <w:top w:val="nil"/>
            </w:tcBorders>
            <w:shd w:val="clear" w:color="auto" w:fill="auto"/>
            <w:noWrap/>
            <w:vAlign w:val="center"/>
          </w:tcPr>
          <w:p w:rsidR="008A6A7C" w:rsidRPr="007704F8" w:rsidRDefault="00067184" w:rsidP="00CB386A">
            <w:pPr>
              <w:pStyle w:val="TX-TableText"/>
              <w:jc w:val="center"/>
            </w:pPr>
            <w:r>
              <w:rPr>
                <w:szCs w:val="16"/>
              </w:rPr>
              <w:t>0.85</w:t>
            </w:r>
          </w:p>
        </w:tc>
        <w:tc>
          <w:tcPr>
            <w:tcW w:w="384" w:type="pct"/>
            <w:tcBorders>
              <w:top w:val="nil"/>
            </w:tcBorders>
            <w:shd w:val="clear" w:color="auto" w:fill="auto"/>
            <w:noWrap/>
            <w:vAlign w:val="center"/>
          </w:tcPr>
          <w:p w:rsidR="008A6A7C" w:rsidRPr="007704F8" w:rsidRDefault="00067184" w:rsidP="00CB386A">
            <w:pPr>
              <w:pStyle w:val="TX-TableText"/>
              <w:jc w:val="center"/>
            </w:pPr>
            <w:r>
              <w:rPr>
                <w:szCs w:val="16"/>
              </w:rPr>
              <w:t>0.80</w:t>
            </w:r>
          </w:p>
        </w:tc>
        <w:tc>
          <w:tcPr>
            <w:tcW w:w="431" w:type="pct"/>
            <w:tcBorders>
              <w:top w:val="nil"/>
            </w:tcBorders>
            <w:shd w:val="clear" w:color="auto" w:fill="auto"/>
            <w:noWrap/>
            <w:vAlign w:val="center"/>
          </w:tcPr>
          <w:p w:rsidR="008A6A7C" w:rsidRPr="007704F8" w:rsidRDefault="00067184" w:rsidP="00067184">
            <w:pPr>
              <w:pStyle w:val="TX-TableText"/>
              <w:tabs>
                <w:tab w:val="decimal" w:pos="715"/>
              </w:tabs>
              <w:ind w:right="65"/>
              <w:jc w:val="both"/>
            </w:pPr>
            <w:r>
              <w:rPr>
                <w:szCs w:val="16"/>
              </w:rPr>
              <w:t>688</w:t>
            </w:r>
          </w:p>
        </w:tc>
        <w:tc>
          <w:tcPr>
            <w:tcW w:w="384" w:type="pct"/>
            <w:tcBorders>
              <w:top w:val="nil"/>
            </w:tcBorders>
            <w:shd w:val="clear" w:color="auto" w:fill="auto"/>
            <w:noWrap/>
            <w:vAlign w:val="center"/>
          </w:tcPr>
          <w:p w:rsidR="008A6A7C" w:rsidRPr="007704F8" w:rsidRDefault="00067184" w:rsidP="00CB386A">
            <w:pPr>
              <w:pStyle w:val="TX-TableText"/>
              <w:jc w:val="center"/>
            </w:pPr>
            <w:r>
              <w:rPr>
                <w:szCs w:val="16"/>
              </w:rPr>
              <w:t>0.70</w:t>
            </w:r>
          </w:p>
        </w:tc>
        <w:tc>
          <w:tcPr>
            <w:tcW w:w="335" w:type="pct"/>
            <w:tcBorders>
              <w:top w:val="nil"/>
            </w:tcBorders>
            <w:shd w:val="clear" w:color="auto" w:fill="auto"/>
            <w:noWrap/>
            <w:vAlign w:val="center"/>
          </w:tcPr>
          <w:p w:rsidR="008A6A7C" w:rsidRPr="007704F8" w:rsidRDefault="00067184" w:rsidP="00CB386A">
            <w:pPr>
              <w:pStyle w:val="TX-TableText"/>
              <w:jc w:val="center"/>
            </w:pPr>
            <w:r>
              <w:rPr>
                <w:szCs w:val="16"/>
              </w:rPr>
              <w:t>0.80</w:t>
            </w:r>
          </w:p>
        </w:tc>
        <w:tc>
          <w:tcPr>
            <w:tcW w:w="479" w:type="pct"/>
            <w:tcBorders>
              <w:top w:val="nil"/>
            </w:tcBorders>
            <w:shd w:val="clear" w:color="auto" w:fill="auto"/>
            <w:noWrap/>
            <w:vAlign w:val="center"/>
          </w:tcPr>
          <w:p w:rsidR="008A6A7C" w:rsidRPr="007704F8" w:rsidRDefault="00067184" w:rsidP="00067184">
            <w:pPr>
              <w:pStyle w:val="TX-TableText"/>
              <w:tabs>
                <w:tab w:val="decimal" w:pos="763"/>
              </w:tabs>
              <w:jc w:val="both"/>
            </w:pPr>
            <w:r>
              <w:rPr>
                <w:szCs w:val="16"/>
              </w:rPr>
              <w:t>385</w:t>
            </w:r>
          </w:p>
        </w:tc>
      </w:tr>
      <w:tr w:rsidR="000A4805" w:rsidRPr="002F0121" w:rsidTr="000A4805">
        <w:tc>
          <w:tcPr>
            <w:tcW w:w="1405" w:type="pct"/>
            <w:shd w:val="clear" w:color="auto" w:fill="auto"/>
            <w:noWrap/>
            <w:vAlign w:val="center"/>
          </w:tcPr>
          <w:p w:rsidR="00CB386A" w:rsidRDefault="00CB386A" w:rsidP="00CB386A">
            <w:pPr>
              <w:pStyle w:val="TX-TableText"/>
            </w:pPr>
          </w:p>
        </w:tc>
        <w:tc>
          <w:tcPr>
            <w:tcW w:w="383" w:type="pct"/>
            <w:shd w:val="clear" w:color="auto" w:fill="auto"/>
            <w:noWrap/>
            <w:vAlign w:val="center"/>
          </w:tcPr>
          <w:p w:rsidR="00CB386A" w:rsidRDefault="00CB386A" w:rsidP="00CB386A">
            <w:pPr>
              <w:pStyle w:val="TX-TableText"/>
              <w:jc w:val="center"/>
              <w:rPr>
                <w:szCs w:val="16"/>
              </w:rPr>
            </w:pPr>
          </w:p>
        </w:tc>
        <w:tc>
          <w:tcPr>
            <w:tcW w:w="384" w:type="pct"/>
            <w:shd w:val="clear" w:color="auto" w:fill="auto"/>
            <w:noWrap/>
            <w:vAlign w:val="center"/>
          </w:tcPr>
          <w:p w:rsidR="00CB386A" w:rsidRDefault="00CB386A" w:rsidP="00067184">
            <w:pPr>
              <w:pStyle w:val="TX-TableText"/>
              <w:tabs>
                <w:tab w:val="decimal" w:pos="547"/>
              </w:tabs>
              <w:jc w:val="both"/>
              <w:rPr>
                <w:szCs w:val="16"/>
              </w:rPr>
            </w:pPr>
          </w:p>
        </w:tc>
        <w:tc>
          <w:tcPr>
            <w:tcW w:w="432" w:type="pct"/>
            <w:shd w:val="clear" w:color="auto" w:fill="auto"/>
            <w:noWrap/>
            <w:vAlign w:val="center"/>
          </w:tcPr>
          <w:p w:rsidR="00CB386A" w:rsidRDefault="00CB386A" w:rsidP="00CB386A">
            <w:pPr>
              <w:pStyle w:val="TX-TableText"/>
              <w:jc w:val="center"/>
              <w:rPr>
                <w:szCs w:val="16"/>
              </w:rPr>
            </w:pPr>
          </w:p>
        </w:tc>
        <w:tc>
          <w:tcPr>
            <w:tcW w:w="383" w:type="pct"/>
            <w:shd w:val="clear" w:color="auto" w:fill="auto"/>
            <w:noWrap/>
            <w:vAlign w:val="center"/>
          </w:tcPr>
          <w:p w:rsidR="00CB386A" w:rsidRDefault="00CB386A" w:rsidP="00CB386A">
            <w:pPr>
              <w:pStyle w:val="TX-TableText"/>
              <w:jc w:val="center"/>
              <w:rPr>
                <w:szCs w:val="16"/>
              </w:rPr>
            </w:pPr>
          </w:p>
        </w:tc>
        <w:tc>
          <w:tcPr>
            <w:tcW w:w="384" w:type="pct"/>
            <w:shd w:val="clear" w:color="auto" w:fill="auto"/>
            <w:noWrap/>
            <w:vAlign w:val="center"/>
          </w:tcPr>
          <w:p w:rsidR="00CB386A" w:rsidRDefault="00CB386A" w:rsidP="00CB386A">
            <w:pPr>
              <w:pStyle w:val="TX-TableText"/>
              <w:jc w:val="center"/>
              <w:rPr>
                <w:szCs w:val="16"/>
              </w:rPr>
            </w:pPr>
          </w:p>
        </w:tc>
        <w:tc>
          <w:tcPr>
            <w:tcW w:w="431" w:type="pct"/>
            <w:shd w:val="clear" w:color="auto" w:fill="auto"/>
            <w:noWrap/>
            <w:vAlign w:val="center"/>
          </w:tcPr>
          <w:p w:rsidR="00CB386A" w:rsidRDefault="00CB386A" w:rsidP="00067184">
            <w:pPr>
              <w:pStyle w:val="TX-TableText"/>
              <w:tabs>
                <w:tab w:val="decimal" w:pos="715"/>
              </w:tabs>
              <w:ind w:right="65"/>
              <w:jc w:val="both"/>
              <w:rPr>
                <w:szCs w:val="16"/>
              </w:rPr>
            </w:pPr>
          </w:p>
        </w:tc>
        <w:tc>
          <w:tcPr>
            <w:tcW w:w="384" w:type="pct"/>
            <w:shd w:val="clear" w:color="auto" w:fill="auto"/>
            <w:noWrap/>
            <w:vAlign w:val="center"/>
          </w:tcPr>
          <w:p w:rsidR="00CB386A" w:rsidRDefault="00CB386A" w:rsidP="00CB386A">
            <w:pPr>
              <w:pStyle w:val="TX-TableText"/>
              <w:jc w:val="center"/>
              <w:rPr>
                <w:szCs w:val="16"/>
              </w:rPr>
            </w:pPr>
          </w:p>
        </w:tc>
        <w:tc>
          <w:tcPr>
            <w:tcW w:w="335" w:type="pct"/>
            <w:shd w:val="clear" w:color="auto" w:fill="auto"/>
            <w:noWrap/>
            <w:vAlign w:val="center"/>
          </w:tcPr>
          <w:p w:rsidR="00CB386A" w:rsidRDefault="00CB386A" w:rsidP="00CB386A">
            <w:pPr>
              <w:pStyle w:val="TX-TableText"/>
              <w:jc w:val="center"/>
              <w:rPr>
                <w:szCs w:val="16"/>
              </w:rPr>
            </w:pPr>
          </w:p>
        </w:tc>
        <w:tc>
          <w:tcPr>
            <w:tcW w:w="479" w:type="pct"/>
            <w:shd w:val="clear" w:color="auto" w:fill="auto"/>
            <w:noWrap/>
            <w:vAlign w:val="center"/>
          </w:tcPr>
          <w:p w:rsidR="00CB386A" w:rsidRDefault="00CB386A" w:rsidP="00067184">
            <w:pPr>
              <w:pStyle w:val="TX-TableText"/>
              <w:tabs>
                <w:tab w:val="decimal" w:pos="763"/>
              </w:tabs>
              <w:jc w:val="both"/>
              <w:rPr>
                <w:szCs w:val="16"/>
              </w:rPr>
            </w:pPr>
          </w:p>
        </w:tc>
      </w:tr>
      <w:tr w:rsidR="000A4805" w:rsidRPr="002F0121" w:rsidTr="000A4805">
        <w:tc>
          <w:tcPr>
            <w:tcW w:w="1405" w:type="pct"/>
            <w:shd w:val="clear" w:color="auto" w:fill="auto"/>
            <w:noWrap/>
            <w:vAlign w:val="center"/>
            <w:hideMark/>
          </w:tcPr>
          <w:p w:rsidR="008A6A7C" w:rsidRPr="00AF5B79" w:rsidRDefault="008A6A7C" w:rsidP="00067184">
            <w:pPr>
              <w:pStyle w:val="TX-TableText"/>
            </w:pPr>
            <w:r w:rsidRPr="00AF5B79">
              <w:t>Total sampled (</w:t>
            </w:r>
            <w:r w:rsidRPr="006A3E92">
              <w:t>4</w:t>
            </w:r>
            <w:r w:rsidR="00067184">
              <w:t> </w:t>
            </w:r>
            <w:r>
              <w:t xml:space="preserve">intervention </w:t>
            </w:r>
            <w:r w:rsidRPr="00AF5B79">
              <w:t xml:space="preserve">clusters and 2 </w:t>
            </w:r>
            <w:r>
              <w:t>comparison clusters</w:t>
            </w:r>
            <w:r w:rsidR="00067184">
              <w:t>)</w:t>
            </w:r>
          </w:p>
        </w:tc>
        <w:tc>
          <w:tcPr>
            <w:tcW w:w="383" w:type="pct"/>
            <w:shd w:val="clear" w:color="auto" w:fill="auto"/>
            <w:noWrap/>
            <w:vAlign w:val="center"/>
            <w:hideMark/>
          </w:tcPr>
          <w:p w:rsidR="008A6A7C" w:rsidRPr="00AF5B79" w:rsidRDefault="00067184" w:rsidP="00CB386A">
            <w:pPr>
              <w:pStyle w:val="TX-TableText"/>
              <w:jc w:val="center"/>
            </w:pPr>
            <w:r>
              <w:rPr>
                <w:szCs w:val="16"/>
              </w:rPr>
              <w:t>7,590</w:t>
            </w:r>
          </w:p>
        </w:tc>
        <w:tc>
          <w:tcPr>
            <w:tcW w:w="384" w:type="pct"/>
            <w:shd w:val="clear" w:color="auto" w:fill="auto"/>
            <w:noWrap/>
            <w:vAlign w:val="center"/>
            <w:hideMark/>
          </w:tcPr>
          <w:p w:rsidR="008A6A7C" w:rsidRPr="00AF5B79" w:rsidRDefault="00067184" w:rsidP="00067184">
            <w:pPr>
              <w:pStyle w:val="TX-TableText"/>
              <w:tabs>
                <w:tab w:val="decimal" w:pos="547"/>
              </w:tabs>
              <w:jc w:val="both"/>
            </w:pPr>
            <w:r>
              <w:rPr>
                <w:szCs w:val="16"/>
              </w:rPr>
              <w:t>1,518</w:t>
            </w:r>
          </w:p>
        </w:tc>
        <w:tc>
          <w:tcPr>
            <w:tcW w:w="432" w:type="pct"/>
            <w:shd w:val="clear" w:color="auto" w:fill="auto"/>
            <w:noWrap/>
            <w:vAlign w:val="center"/>
            <w:hideMark/>
          </w:tcPr>
          <w:p w:rsidR="008A6A7C" w:rsidRPr="00AF5B79" w:rsidRDefault="00067184" w:rsidP="00CB386A">
            <w:pPr>
              <w:pStyle w:val="TX-TableText"/>
              <w:jc w:val="center"/>
            </w:pPr>
            <w:r>
              <w:rPr>
                <w:szCs w:val="16"/>
              </w:rPr>
              <w:t>6,072</w:t>
            </w:r>
          </w:p>
        </w:tc>
        <w:tc>
          <w:tcPr>
            <w:tcW w:w="383" w:type="pct"/>
            <w:shd w:val="clear" w:color="auto" w:fill="auto"/>
            <w:noWrap/>
            <w:vAlign w:val="center"/>
            <w:hideMark/>
          </w:tcPr>
          <w:p w:rsidR="008A6A7C" w:rsidRPr="00AF5B79" w:rsidRDefault="00067184" w:rsidP="00CB386A">
            <w:pPr>
              <w:pStyle w:val="TX-TableText"/>
              <w:jc w:val="center"/>
            </w:pPr>
            <w:r>
              <w:rPr>
                <w:szCs w:val="16"/>
              </w:rPr>
              <w:t>0.85</w:t>
            </w:r>
          </w:p>
        </w:tc>
        <w:tc>
          <w:tcPr>
            <w:tcW w:w="384" w:type="pct"/>
            <w:shd w:val="clear" w:color="auto" w:fill="auto"/>
            <w:noWrap/>
            <w:vAlign w:val="center"/>
            <w:hideMark/>
          </w:tcPr>
          <w:p w:rsidR="008A6A7C" w:rsidRPr="00AF5B79" w:rsidRDefault="00067184" w:rsidP="00CB386A">
            <w:pPr>
              <w:pStyle w:val="TX-TableText"/>
              <w:jc w:val="center"/>
            </w:pPr>
            <w:r>
              <w:rPr>
                <w:szCs w:val="16"/>
              </w:rPr>
              <w:t>0.80</w:t>
            </w:r>
          </w:p>
        </w:tc>
        <w:tc>
          <w:tcPr>
            <w:tcW w:w="431" w:type="pct"/>
            <w:shd w:val="clear" w:color="auto" w:fill="auto"/>
            <w:noWrap/>
            <w:vAlign w:val="center"/>
            <w:hideMark/>
          </w:tcPr>
          <w:p w:rsidR="008A6A7C" w:rsidRPr="00AF5B79" w:rsidRDefault="00067184" w:rsidP="00067184">
            <w:pPr>
              <w:pStyle w:val="TX-TableText"/>
              <w:tabs>
                <w:tab w:val="decimal" w:pos="715"/>
              </w:tabs>
              <w:ind w:right="65"/>
              <w:jc w:val="both"/>
            </w:pPr>
            <w:r>
              <w:rPr>
                <w:szCs w:val="16"/>
              </w:rPr>
              <w:t>4,128</w:t>
            </w:r>
          </w:p>
        </w:tc>
        <w:tc>
          <w:tcPr>
            <w:tcW w:w="384" w:type="pct"/>
            <w:shd w:val="clear" w:color="auto" w:fill="auto"/>
            <w:noWrap/>
            <w:vAlign w:val="center"/>
            <w:hideMark/>
          </w:tcPr>
          <w:p w:rsidR="008A6A7C" w:rsidRPr="00AF5B79" w:rsidRDefault="00067184" w:rsidP="00CB386A">
            <w:pPr>
              <w:pStyle w:val="TX-TableText"/>
              <w:jc w:val="center"/>
            </w:pPr>
            <w:r>
              <w:rPr>
                <w:szCs w:val="16"/>
              </w:rPr>
              <w:t>0.70</w:t>
            </w:r>
          </w:p>
        </w:tc>
        <w:tc>
          <w:tcPr>
            <w:tcW w:w="335" w:type="pct"/>
            <w:shd w:val="clear" w:color="auto" w:fill="auto"/>
            <w:noWrap/>
            <w:vAlign w:val="center"/>
            <w:hideMark/>
          </w:tcPr>
          <w:p w:rsidR="008A6A7C" w:rsidRPr="00AF5B79" w:rsidRDefault="00067184" w:rsidP="00CB386A">
            <w:pPr>
              <w:pStyle w:val="TX-TableText"/>
              <w:jc w:val="center"/>
            </w:pPr>
            <w:r>
              <w:rPr>
                <w:szCs w:val="16"/>
              </w:rPr>
              <w:t>0.80</w:t>
            </w:r>
          </w:p>
        </w:tc>
        <w:tc>
          <w:tcPr>
            <w:tcW w:w="479" w:type="pct"/>
            <w:shd w:val="clear" w:color="auto" w:fill="auto"/>
            <w:noWrap/>
            <w:vAlign w:val="center"/>
            <w:hideMark/>
          </w:tcPr>
          <w:p w:rsidR="008A6A7C" w:rsidRPr="007704F8" w:rsidRDefault="00067184" w:rsidP="00067184">
            <w:pPr>
              <w:pStyle w:val="TX-TableText"/>
              <w:tabs>
                <w:tab w:val="decimal" w:pos="763"/>
              </w:tabs>
              <w:jc w:val="both"/>
            </w:pPr>
            <w:r>
              <w:rPr>
                <w:szCs w:val="16"/>
              </w:rPr>
              <w:t>2,310</w:t>
            </w:r>
          </w:p>
        </w:tc>
      </w:tr>
    </w:tbl>
    <w:p w:rsidR="008A6A7C" w:rsidRPr="00EA5274" w:rsidRDefault="004A7048" w:rsidP="004A7048">
      <w:pPr>
        <w:pStyle w:val="TF-TblFN"/>
      </w:pPr>
      <w:r>
        <w:rPr>
          <w:vertAlign w:val="superscript"/>
        </w:rPr>
        <w:t>*</w:t>
      </w:r>
      <w:r w:rsidR="008A6A7C" w:rsidRPr="00EA5274">
        <w:t xml:space="preserve">Includes a reserve sample and an </w:t>
      </w:r>
      <w:r w:rsidR="000A4805">
        <w:t>“</w:t>
      </w:r>
      <w:r w:rsidR="008A6A7C" w:rsidRPr="00EA5274">
        <w:t>oversample</w:t>
      </w:r>
      <w:r w:rsidR="000A4805">
        <w:t>”</w:t>
      </w:r>
      <w:r w:rsidR="008A6A7C" w:rsidRPr="00EA5274">
        <w:t xml:space="preserve"> to account for ineligib</w:t>
      </w:r>
      <w:r w:rsidR="008A6A7C">
        <w:t>ility and nonresponse losses in the pre and post periods</w:t>
      </w:r>
      <w:r w:rsidR="008A6A7C" w:rsidRPr="00EA5274">
        <w:t>.</w:t>
      </w:r>
    </w:p>
    <w:p w:rsidR="00067184" w:rsidRDefault="00067184" w:rsidP="00067184">
      <w:pPr>
        <w:pStyle w:val="L1-FlLSp12"/>
      </w:pPr>
      <w:bookmarkStart w:id="45" w:name="_Toc409090902"/>
    </w:p>
    <w:p w:rsidR="00067184" w:rsidRDefault="00067184" w:rsidP="00067184">
      <w:pPr>
        <w:pStyle w:val="L1-FlLSp12"/>
      </w:pPr>
      <w:r>
        <w:t>SNAP participants are considered to be a hard-to-reach population be</w:t>
      </w:r>
      <w:r w:rsidR="00C518C9">
        <w:t>cause locator information from S</w:t>
      </w:r>
      <w:r>
        <w:t xml:space="preserve">tate agencies such as mailing address and telephone numbers are frequently incomplete, out of date, missing, or incorrect. SNAP participants also are more likely to use temporary (pre-paid) telephones, and they may change numbers more often than the population average. Considering the difficulties in </w:t>
      </w:r>
      <w:r w:rsidRPr="00C67D34">
        <w:t xml:space="preserve">reaching this population, we will also include a reserve sample, to be released if it appears that the respondent count in </w:t>
      </w:r>
      <w:r>
        <w:t>R</w:t>
      </w:r>
      <w:r w:rsidRPr="00C67D34">
        <w:t>ound</w:t>
      </w:r>
      <w:r>
        <w:t xml:space="preserve"> 2 will not reach the expected numbers. Thus, the pre-SPS will include an </w:t>
      </w:r>
      <w:r w:rsidR="000A4805">
        <w:t>“</w:t>
      </w:r>
      <w:r>
        <w:t>oversample,</w:t>
      </w:r>
      <w:r w:rsidR="000A4805">
        <w:t>”</w:t>
      </w:r>
      <w:r>
        <w:t xml:space="preserve"> of which 80 percent will be allocated to the primary sample and the remaining 20 percent allocated to the reserve sample</w:t>
      </w:r>
      <w:r w:rsidRPr="00BF48DB">
        <w:t>.</w:t>
      </w:r>
      <w:r>
        <w:t xml:space="preserve"> </w:t>
      </w:r>
      <w:r w:rsidRPr="00BF48DB">
        <w:t xml:space="preserve">If the 30 percent </w:t>
      </w:r>
      <w:r>
        <w:t>in</w:t>
      </w:r>
      <w:r w:rsidRPr="00BF48DB">
        <w:t>eligibility rate and the 8</w:t>
      </w:r>
      <w:r>
        <w:t>0</w:t>
      </w:r>
      <w:r w:rsidRPr="00BF48DB">
        <w:t xml:space="preserve"> percent response rate hold, we will not release the reserve</w:t>
      </w:r>
      <w:r>
        <w:t xml:space="preserve"> sample for the post-SPS.</w:t>
      </w:r>
    </w:p>
    <w:p w:rsidR="00067184" w:rsidRDefault="00067184" w:rsidP="00067184">
      <w:pPr>
        <w:pStyle w:val="L1-FlLSp12"/>
      </w:pPr>
    </w:p>
    <w:p w:rsidR="00067184" w:rsidRDefault="00067184" w:rsidP="00067184">
      <w:pPr>
        <w:pStyle w:val="L1-FlLSp12"/>
      </w:pPr>
      <w:r>
        <w:t>With four intervention clusters and two comparison clusters, the numbers corresponding to a single intervention</w:t>
      </w:r>
      <w:r w:rsidRPr="00BF48DB">
        <w:t xml:space="preserve"> cluster in Table B2.1 would be multiplied by </w:t>
      </w:r>
      <w:r>
        <w:t>6</w:t>
      </w:r>
      <w:r w:rsidRPr="00BF48DB">
        <w:t xml:space="preserve"> (e.g., </w:t>
      </w:r>
      <w:r w:rsidRPr="007704F8">
        <w:t>1,26</w:t>
      </w:r>
      <w:r w:rsidRPr="006A3E92">
        <w:t>5</w:t>
      </w:r>
      <w:r w:rsidRPr="007704F8">
        <w:t xml:space="preserve"> x </w:t>
      </w:r>
      <w:r w:rsidRPr="006A3E92">
        <w:t>6</w:t>
      </w:r>
      <w:r w:rsidRPr="007704F8">
        <w:t xml:space="preserve"> = </w:t>
      </w:r>
      <w:r w:rsidRPr="006A3E92">
        <w:t>7,590</w:t>
      </w:r>
      <w:r w:rsidRPr="007704F8">
        <w:t xml:space="preserve">) </w:t>
      </w:r>
      <w:r w:rsidRPr="00BF48DB">
        <w:t xml:space="preserve">to </w:t>
      </w:r>
      <w:r>
        <w:t>obtain the sample for the pre-SPS. The large number of SNAP households to be sampled for pre-SPS will ensure that the minimum of 385 respondents needed in each intervention cluster and comparison group by the post survey is achieved.</w:t>
      </w:r>
    </w:p>
    <w:p w:rsidR="00067184" w:rsidRDefault="00067184" w:rsidP="00067184">
      <w:pPr>
        <w:pStyle w:val="L1-FlLSp12"/>
      </w:pPr>
    </w:p>
    <w:p w:rsidR="008A6A7C" w:rsidRDefault="008A6A7C" w:rsidP="001B265D">
      <w:pPr>
        <w:pStyle w:val="L1-FlLSp12"/>
      </w:pPr>
    </w:p>
    <w:p w:rsidR="008A6A7C" w:rsidRPr="0074555B" w:rsidRDefault="00E329A7" w:rsidP="00E329A7">
      <w:pPr>
        <w:pStyle w:val="Heading3"/>
      </w:pPr>
      <w:r>
        <w:tab/>
      </w:r>
      <w:r w:rsidR="008A6A7C" w:rsidRPr="0074555B">
        <w:t xml:space="preserve">Methodology for </w:t>
      </w:r>
      <w:r w:rsidR="008A6A7C">
        <w:t>SNAP Participant Key Informant Interview</w:t>
      </w:r>
      <w:r w:rsidR="008A6A7C" w:rsidRPr="0074555B">
        <w:t xml:space="preserve"> Sample S</w:t>
      </w:r>
      <w:r w:rsidR="00967F34">
        <w:t>e</w:t>
      </w:r>
      <w:r w:rsidR="008A6A7C" w:rsidRPr="0074555B">
        <w:t>lection</w:t>
      </w:r>
    </w:p>
    <w:p w:rsidR="00EF6A3E" w:rsidRDefault="00967F34" w:rsidP="00967F34">
      <w:pPr>
        <w:pStyle w:val="L1-FlLSp12"/>
        <w:rPr>
          <w:szCs w:val="24"/>
        </w:rPr>
      </w:pPr>
      <w:r w:rsidRPr="0054447A">
        <w:rPr>
          <w:szCs w:val="24"/>
        </w:rPr>
        <w:t xml:space="preserve">The interviewers will contact the </w:t>
      </w:r>
      <w:r w:rsidR="00EF6A3E">
        <w:rPr>
          <w:szCs w:val="24"/>
        </w:rPr>
        <w:t xml:space="preserve">sampled </w:t>
      </w:r>
      <w:r w:rsidRPr="0054447A">
        <w:rPr>
          <w:szCs w:val="24"/>
        </w:rPr>
        <w:t xml:space="preserve">SNAP participants and invite them to participate in the interview right then or schedule for a later time. If not conducted immediately upon initial contact, on the designated day, the interviewer will </w:t>
      </w:r>
      <w:r w:rsidR="00AD0971">
        <w:rPr>
          <w:szCs w:val="24"/>
        </w:rPr>
        <w:t xml:space="preserve">set up a time </w:t>
      </w:r>
      <w:r w:rsidR="00C045FA">
        <w:rPr>
          <w:szCs w:val="24"/>
        </w:rPr>
        <w:t>convenient</w:t>
      </w:r>
      <w:r w:rsidR="00AD0971">
        <w:rPr>
          <w:szCs w:val="24"/>
        </w:rPr>
        <w:t xml:space="preserve"> to the participant at a later date to </w:t>
      </w:r>
      <w:r w:rsidRPr="0054447A">
        <w:rPr>
          <w:szCs w:val="24"/>
        </w:rPr>
        <w:t xml:space="preserve">conduct the semi-structured interviews. </w:t>
      </w:r>
    </w:p>
    <w:p w:rsidR="00EF6A3E" w:rsidRDefault="00EF6A3E" w:rsidP="00967F34">
      <w:pPr>
        <w:pStyle w:val="L1-FlLSp12"/>
        <w:rPr>
          <w:szCs w:val="24"/>
        </w:rPr>
      </w:pPr>
    </w:p>
    <w:p w:rsidR="0022221F" w:rsidRDefault="0022221F" w:rsidP="00967F34">
      <w:pPr>
        <w:pStyle w:val="L1-FlLSp12"/>
        <w:rPr>
          <w:szCs w:val="24"/>
        </w:rPr>
      </w:pPr>
    </w:p>
    <w:p w:rsidR="00EF6A3E" w:rsidRDefault="00EF6A3E" w:rsidP="00EF6A3E">
      <w:pPr>
        <w:pStyle w:val="Heading3"/>
      </w:pPr>
      <w:r>
        <w:tab/>
      </w:r>
      <w:r w:rsidRPr="0074555B">
        <w:t xml:space="preserve">Methodology for </w:t>
      </w:r>
      <w:r>
        <w:t>Program Administrator Key Informant Interview Sample Selection</w:t>
      </w:r>
    </w:p>
    <w:p w:rsidR="00EF6A3E" w:rsidRPr="0054447A" w:rsidRDefault="00EF6A3E" w:rsidP="00967F34">
      <w:pPr>
        <w:pStyle w:val="L1-FlLSp12"/>
        <w:rPr>
          <w:rStyle w:val="CommentReference"/>
          <w:szCs w:val="24"/>
        </w:rPr>
      </w:pPr>
      <w:r>
        <w:t xml:space="preserve">Westat will identify the program administrator, who will participate in the grantee program administrator interview, based on the information provided in the grant applications. </w:t>
      </w:r>
      <w:r w:rsidR="00971FDA">
        <w:t xml:space="preserve">Program administrators will be contacted to set up a time convenient to them for an interview. </w:t>
      </w:r>
    </w:p>
    <w:p w:rsidR="008A6A7C" w:rsidRDefault="008A6A7C" w:rsidP="001B265D">
      <w:pPr>
        <w:pStyle w:val="L1-FlLSp12"/>
      </w:pPr>
    </w:p>
    <w:p w:rsidR="0022221F" w:rsidRDefault="0022221F" w:rsidP="001B265D">
      <w:pPr>
        <w:pStyle w:val="L1-FlLSp12"/>
      </w:pPr>
    </w:p>
    <w:p w:rsidR="00EF6A3E" w:rsidRDefault="00E329A7" w:rsidP="00E329A7">
      <w:pPr>
        <w:pStyle w:val="Heading3"/>
      </w:pPr>
      <w:r>
        <w:tab/>
      </w:r>
      <w:r w:rsidR="00EF6A3E" w:rsidRPr="0074555B">
        <w:t xml:space="preserve">Methodology for </w:t>
      </w:r>
      <w:r w:rsidR="00EF6A3E">
        <w:t>Core Program Data Sample Selection</w:t>
      </w:r>
    </w:p>
    <w:p w:rsidR="00EF6A3E" w:rsidRDefault="00EF6A3E" w:rsidP="00EF6A3E">
      <w:pPr>
        <w:pStyle w:val="L1-FlLSp12"/>
      </w:pPr>
      <w:r>
        <w:rPr>
          <w:rFonts w:eastAsiaTheme="minorEastAsia"/>
        </w:rPr>
        <w:t xml:space="preserve">FINI grantees will report quarterly Core Program Data for all outlets operating FINI. </w:t>
      </w:r>
      <w:r w:rsidR="00627604">
        <w:rPr>
          <w:rFonts w:eastAsiaTheme="minorEastAsia"/>
        </w:rPr>
        <w:t xml:space="preserve">All FINI grantees will also report annual grantee-specific information. </w:t>
      </w:r>
      <w:r>
        <w:rPr>
          <w:rFonts w:eastAsiaTheme="minorEastAsia"/>
        </w:rPr>
        <w:t xml:space="preserve">A link to the Core Program Data forms will be provided on the FINI website and grantees will be able to able </w:t>
      </w:r>
      <w:r w:rsidRPr="00F45795">
        <w:t>to access it through a hyperlink.</w:t>
      </w:r>
      <w:r>
        <w:t xml:space="preserve"> </w:t>
      </w:r>
      <w:r w:rsidRPr="00F45795">
        <w:t xml:space="preserve">Access to the </w:t>
      </w:r>
      <w:r w:rsidR="00DA1F21">
        <w:t>electronic forms</w:t>
      </w:r>
      <w:r w:rsidRPr="00F45795">
        <w:t xml:space="preserve"> will require an ID and password for authentication. A hard</w:t>
      </w:r>
      <w:r>
        <w:t>-</w:t>
      </w:r>
      <w:r w:rsidRPr="00F45795">
        <w:t>copy form will be available on the FINI website for grantees and their outlets that prefer to complete the form on hard copy</w:t>
      </w:r>
      <w:r>
        <w:t>.</w:t>
      </w:r>
    </w:p>
    <w:p w:rsidR="00EF6A3E" w:rsidRDefault="00EF6A3E" w:rsidP="00EF6A3E">
      <w:pPr>
        <w:pStyle w:val="L1-FlLSp12"/>
      </w:pPr>
    </w:p>
    <w:p w:rsidR="0022221F" w:rsidRPr="00EF6A3E" w:rsidRDefault="0022221F" w:rsidP="00EF6A3E">
      <w:pPr>
        <w:pStyle w:val="L1-FlLSp12"/>
      </w:pPr>
    </w:p>
    <w:p w:rsidR="008A6A7C" w:rsidRDefault="00EF6A3E" w:rsidP="00E329A7">
      <w:pPr>
        <w:pStyle w:val="Heading3"/>
      </w:pPr>
      <w:r>
        <w:tab/>
      </w:r>
      <w:r w:rsidR="008A6A7C" w:rsidRPr="0074555B">
        <w:t xml:space="preserve">Methodology for </w:t>
      </w:r>
      <w:r w:rsidR="008A6A7C">
        <w:t>Outlet Survey Sample Selection</w:t>
      </w:r>
    </w:p>
    <w:p w:rsidR="00AC314D" w:rsidRDefault="00AC314D" w:rsidP="00AC314D">
      <w:pPr>
        <w:pStyle w:val="L1-FlLSp12"/>
        <w:rPr>
          <w:rFonts w:eastAsiaTheme="minorEastAsia"/>
        </w:rPr>
      </w:pPr>
      <w:r>
        <w:rPr>
          <w:rFonts w:eastAsiaTheme="minorEastAsia"/>
        </w:rPr>
        <w:t>The Outlet Survey will be mailed to the entire universe of participating outlets. Following procedures will be used to mail the Outlet Survey:</w:t>
      </w:r>
    </w:p>
    <w:p w:rsidR="00AC314D" w:rsidRDefault="00AC314D" w:rsidP="00AC314D">
      <w:pPr>
        <w:pStyle w:val="L1-FlLSp12"/>
        <w:rPr>
          <w:rFonts w:eastAsiaTheme="minorEastAsia"/>
        </w:rPr>
      </w:pPr>
    </w:p>
    <w:p w:rsidR="00AC314D" w:rsidRDefault="00AC314D" w:rsidP="00AC314D">
      <w:pPr>
        <w:pStyle w:val="N1-1stBullet"/>
        <w:numPr>
          <w:ilvl w:val="0"/>
          <w:numId w:val="21"/>
        </w:numPr>
        <w:rPr>
          <w:rFonts w:eastAsiaTheme="minorEastAsia"/>
        </w:rPr>
      </w:pPr>
      <w:r w:rsidRPr="00772FBA">
        <w:rPr>
          <w:rFonts w:eastAsiaTheme="minorEastAsia"/>
          <w:b/>
        </w:rPr>
        <w:t>Mail Invitation Letter and the Survey</w:t>
      </w:r>
      <w:r>
        <w:rPr>
          <w:rFonts w:eastAsiaTheme="minorEastAsia"/>
          <w:b/>
        </w:rPr>
        <w:t>.</w:t>
      </w:r>
      <w:r>
        <w:rPr>
          <w:rFonts w:eastAsiaTheme="minorEastAsia"/>
        </w:rPr>
        <w:t xml:space="preserve"> Westat will mail an invitation letter</w:t>
      </w:r>
      <w:r w:rsidR="001C4A08">
        <w:rPr>
          <w:rFonts w:eastAsiaTheme="minorEastAsia"/>
        </w:rPr>
        <w:t xml:space="preserve"> </w:t>
      </w:r>
      <w:r>
        <w:rPr>
          <w:rFonts w:eastAsiaTheme="minorEastAsia"/>
        </w:rPr>
        <w:t>and the hard copy survey</w:t>
      </w:r>
      <w:r w:rsidR="001C4A08">
        <w:rPr>
          <w:rFonts w:eastAsiaTheme="minorEastAsia"/>
        </w:rPr>
        <w:t xml:space="preserve"> </w:t>
      </w:r>
      <w:r>
        <w:rPr>
          <w:rFonts w:eastAsiaTheme="minorEastAsia"/>
        </w:rPr>
        <w:t>to all operating outlets. The invitation letter will incl</w:t>
      </w:r>
      <w:r w:rsidR="00DA1F21">
        <w:rPr>
          <w:rFonts w:eastAsiaTheme="minorEastAsia"/>
        </w:rPr>
        <w:t>ude the background to the study and</w:t>
      </w:r>
      <w:r>
        <w:rPr>
          <w:rFonts w:eastAsiaTheme="minorEastAsia"/>
        </w:rPr>
        <w:t xml:space="preserve"> the importance of their participation</w:t>
      </w:r>
      <w:r w:rsidR="00DA1F21">
        <w:rPr>
          <w:rFonts w:eastAsiaTheme="minorEastAsia"/>
        </w:rPr>
        <w:t xml:space="preserve">. </w:t>
      </w:r>
      <w:r>
        <w:rPr>
          <w:rFonts w:eastAsiaTheme="minorEastAsia"/>
        </w:rPr>
        <w:t>The mailing will also include a postage-paid envelope.</w:t>
      </w:r>
    </w:p>
    <w:p w:rsidR="00AC314D" w:rsidRDefault="00AC314D" w:rsidP="00AC314D">
      <w:pPr>
        <w:pStyle w:val="N1-1stBullet"/>
        <w:numPr>
          <w:ilvl w:val="0"/>
          <w:numId w:val="21"/>
        </w:numPr>
        <w:rPr>
          <w:rFonts w:eastAsiaTheme="minorEastAsia"/>
        </w:rPr>
      </w:pPr>
      <w:r w:rsidRPr="00772FBA">
        <w:rPr>
          <w:rFonts w:eastAsiaTheme="minorEastAsia"/>
          <w:b/>
        </w:rPr>
        <w:t>Reminder Postcard</w:t>
      </w:r>
      <w:r>
        <w:rPr>
          <w:rFonts w:eastAsiaTheme="minorEastAsia"/>
          <w:b/>
        </w:rPr>
        <w:t>.</w:t>
      </w:r>
      <w:r w:rsidRPr="00772FBA">
        <w:rPr>
          <w:rFonts w:eastAsiaTheme="minorEastAsia"/>
        </w:rPr>
        <w:t xml:space="preserve"> </w:t>
      </w:r>
      <w:r>
        <w:rPr>
          <w:rFonts w:eastAsiaTheme="minorEastAsia"/>
        </w:rPr>
        <w:t>Two weeks after the invitation letter mailing, Westat will mail a reminder postcard</w:t>
      </w:r>
      <w:r w:rsidR="001C4A08">
        <w:rPr>
          <w:rFonts w:eastAsiaTheme="minorEastAsia"/>
        </w:rPr>
        <w:t xml:space="preserve"> </w:t>
      </w:r>
      <w:r>
        <w:rPr>
          <w:rFonts w:eastAsiaTheme="minorEastAsia"/>
        </w:rPr>
        <w:t>to nonresponding outlet operators. The postcard will also include a toll free number to call, to request another copy of the survey in the event they have lost or misplaced the survey included in the invitation letter mailing.</w:t>
      </w:r>
    </w:p>
    <w:p w:rsidR="001C4A08" w:rsidRDefault="00AC314D" w:rsidP="001C4A08">
      <w:pPr>
        <w:pStyle w:val="N1-1stBullet"/>
        <w:numPr>
          <w:ilvl w:val="0"/>
          <w:numId w:val="21"/>
        </w:numPr>
        <w:rPr>
          <w:rFonts w:eastAsiaTheme="minorEastAsia"/>
        </w:rPr>
      </w:pPr>
      <w:r w:rsidRPr="00772FBA">
        <w:rPr>
          <w:rFonts w:eastAsiaTheme="minorEastAsia"/>
          <w:b/>
        </w:rPr>
        <w:t xml:space="preserve">Grantee Followup </w:t>
      </w:r>
      <w:proofErr w:type="gramStart"/>
      <w:r w:rsidRPr="00772FBA">
        <w:rPr>
          <w:rFonts w:eastAsiaTheme="minorEastAsia"/>
          <w:b/>
        </w:rPr>
        <w:t>With</w:t>
      </w:r>
      <w:proofErr w:type="gramEnd"/>
      <w:r w:rsidRPr="00772FBA">
        <w:rPr>
          <w:rFonts w:eastAsiaTheme="minorEastAsia"/>
          <w:b/>
        </w:rPr>
        <w:t xml:space="preserve"> Outlet Operators to Complete the Survey</w:t>
      </w:r>
      <w:r>
        <w:rPr>
          <w:rFonts w:eastAsiaTheme="minorEastAsia"/>
          <w:b/>
        </w:rPr>
        <w:t>.</w:t>
      </w:r>
      <w:r w:rsidRPr="00772FBA">
        <w:rPr>
          <w:rFonts w:eastAsiaTheme="minorEastAsia"/>
        </w:rPr>
        <w:t xml:space="preserve"> </w:t>
      </w:r>
      <w:r w:rsidRPr="00E02EC0">
        <w:rPr>
          <w:rFonts w:eastAsiaTheme="minorEastAsia"/>
        </w:rPr>
        <w:t xml:space="preserve">Finally, </w:t>
      </w:r>
      <w:r w:rsidR="00E57E9B">
        <w:rPr>
          <w:rFonts w:eastAsiaTheme="minorEastAsia"/>
        </w:rPr>
        <w:t>5</w:t>
      </w:r>
      <w:r w:rsidR="00E57E9B" w:rsidRPr="00E02EC0">
        <w:rPr>
          <w:rFonts w:eastAsiaTheme="minorEastAsia"/>
        </w:rPr>
        <w:t xml:space="preserve"> </w:t>
      </w:r>
      <w:r w:rsidRPr="00E02EC0">
        <w:rPr>
          <w:rFonts w:eastAsiaTheme="minorEastAsia"/>
        </w:rPr>
        <w:t>weeks after the invitation letter mailing, grantees will be provided a list of nonresponding outlets and requested that they follow</w:t>
      </w:r>
      <w:r>
        <w:rPr>
          <w:rFonts w:eastAsiaTheme="minorEastAsia"/>
        </w:rPr>
        <w:t xml:space="preserve"> </w:t>
      </w:r>
      <w:r w:rsidRPr="00E02EC0">
        <w:rPr>
          <w:rFonts w:eastAsiaTheme="minorEastAsia"/>
        </w:rPr>
        <w:t xml:space="preserve">up with the outlet operator to </w:t>
      </w:r>
      <w:r w:rsidR="00627604">
        <w:rPr>
          <w:rFonts w:eastAsiaTheme="minorEastAsia"/>
        </w:rPr>
        <w:t>c</w:t>
      </w:r>
      <w:r w:rsidRPr="00E02EC0">
        <w:rPr>
          <w:rFonts w:eastAsiaTheme="minorEastAsia"/>
        </w:rPr>
        <w:t>omplete the survey.</w:t>
      </w:r>
    </w:p>
    <w:p w:rsidR="0022221F" w:rsidRPr="00E02EC0" w:rsidRDefault="0022221F" w:rsidP="0022221F">
      <w:pPr>
        <w:pStyle w:val="L1-FlLSp12"/>
        <w:rPr>
          <w:rFonts w:eastAsiaTheme="minorEastAsia"/>
        </w:rPr>
      </w:pPr>
    </w:p>
    <w:p w:rsidR="008A6A7C" w:rsidRDefault="00E329A7" w:rsidP="00E329A7">
      <w:pPr>
        <w:pStyle w:val="Heading3"/>
      </w:pPr>
      <w:bookmarkStart w:id="46" w:name="_Toc400377733"/>
      <w:bookmarkEnd w:id="45"/>
      <w:r>
        <w:tab/>
      </w:r>
      <w:r w:rsidR="008A6A7C" w:rsidRPr="0074555B">
        <w:t xml:space="preserve">Degree of Accuracy </w:t>
      </w:r>
      <w:bookmarkEnd w:id="46"/>
      <w:r w:rsidR="008A6A7C">
        <w:t>in the S</w:t>
      </w:r>
      <w:r w:rsidR="00C518C9">
        <w:t>NAP Participant Survey</w:t>
      </w:r>
    </w:p>
    <w:p w:rsidR="008A6A7C" w:rsidRDefault="004A7048" w:rsidP="004A7048">
      <w:pPr>
        <w:pStyle w:val="Heading5"/>
      </w:pPr>
      <w:r>
        <w:tab/>
      </w:r>
      <w:r w:rsidR="008A6A7C" w:rsidRPr="00095DDA">
        <w:t>Minimum Detectable Difference</w:t>
      </w:r>
    </w:p>
    <w:p w:rsidR="00241635" w:rsidRDefault="008A6A7C" w:rsidP="001B265D">
      <w:pPr>
        <w:pStyle w:val="L1-FlLSp12"/>
      </w:pPr>
      <w:r>
        <w:t xml:space="preserve">For purposes of the outcome evaluation, a 1/4 cup change in fruit and vegetable consumption is considered </w:t>
      </w:r>
      <w:r w:rsidR="00CF63C0">
        <w:t>analytically</w:t>
      </w:r>
      <w:r>
        <w:t xml:space="preserve"> meaningful. </w:t>
      </w:r>
      <w:r w:rsidR="000527C5" w:rsidRPr="00BF6FD8">
        <w:t xml:space="preserve">For FINI grants, </w:t>
      </w:r>
      <w:r w:rsidR="000527C5">
        <w:t>USDA</w:t>
      </w:r>
      <w:r w:rsidR="000527C5" w:rsidRPr="00BF6FD8">
        <w:t xml:space="preserve"> defines</w:t>
      </w:r>
      <w:r w:rsidR="000527C5" w:rsidRPr="00396B02">
        <w:t xml:space="preserve"> </w:t>
      </w:r>
      <w:r w:rsidR="000A4805">
        <w:t>“</w:t>
      </w:r>
      <w:r w:rsidR="000527C5" w:rsidRPr="00396B02">
        <w:t>fruits and vegetables</w:t>
      </w:r>
      <w:r w:rsidR="000A4805">
        <w:t>”</w:t>
      </w:r>
      <w:r w:rsidR="000527C5" w:rsidRPr="00396B02">
        <w:t xml:space="preserve"> as </w:t>
      </w:r>
      <w:r w:rsidR="000A4805">
        <w:t>“</w:t>
      </w:r>
      <w:r w:rsidR="000527C5" w:rsidRPr="00396B02">
        <w:t>any variety of fresh, canned, dried, or frozen whole or cut fruits and vegetables without added sugars, fats, or oils, and salt (i.e.</w:t>
      </w:r>
      <w:r w:rsidR="000527C5">
        <w:t>,</w:t>
      </w:r>
      <w:r w:rsidR="000527C5" w:rsidRPr="00396B02">
        <w:t xml:space="preserve"> sodium).</w:t>
      </w:r>
      <w:r w:rsidR="000A4805">
        <w:t>”</w:t>
      </w:r>
      <w:r w:rsidR="000527C5" w:rsidRPr="00396B02">
        <w:t xml:space="preserve">  The results from the HIP</w:t>
      </w:r>
      <w:r w:rsidR="000527C5">
        <w:t xml:space="preserve"> study </w:t>
      </w:r>
      <w:r w:rsidR="000527C5" w:rsidRPr="00396B02">
        <w:t xml:space="preserve">indicate that the underlying </w:t>
      </w:r>
      <w:r w:rsidR="000527C5" w:rsidRPr="0027493A">
        <w:rPr>
          <w:i/>
        </w:rPr>
        <w:t>variation</w:t>
      </w:r>
      <w:r w:rsidR="000527C5" w:rsidRPr="00396B02">
        <w:t xml:space="preserve"> in the consumption of fruits and vegetables</w:t>
      </w:r>
      <w:r w:rsidR="00E2353A">
        <w:t>—</w:t>
      </w:r>
      <w:r w:rsidR="003C6AA0">
        <w:t>excluding</w:t>
      </w:r>
      <w:r w:rsidR="00E2353A">
        <w:t xml:space="preserve"> </w:t>
      </w:r>
      <w:r w:rsidR="003C6AA0">
        <w:t>fruit juice, white potatoes, and dried legumes</w:t>
      </w:r>
      <w:r w:rsidR="001E1D72">
        <w:rPr>
          <w:rStyle w:val="FootnoteReference"/>
        </w:rPr>
        <w:footnoteReference w:id="9"/>
      </w:r>
      <w:r w:rsidR="00E2353A">
        <w:t>—</w:t>
      </w:r>
      <w:r w:rsidR="000527C5" w:rsidRPr="00396B02">
        <w:t>is</w:t>
      </w:r>
      <w:r w:rsidR="00E2353A">
        <w:t xml:space="preserve"> </w:t>
      </w:r>
      <w:r w:rsidR="000527C5" w:rsidRPr="00396B02">
        <w:t>relatively low</w:t>
      </w:r>
      <w:r w:rsidR="000A4805">
        <w:t>.</w:t>
      </w:r>
      <w:r w:rsidR="000A4805">
        <w:rPr>
          <w:rStyle w:val="FootnoteReference"/>
        </w:rPr>
        <w:footnoteReference w:id="10"/>
      </w:r>
      <w:r w:rsidR="000A4805" w:rsidRPr="00396B02">
        <w:t xml:space="preserve"> </w:t>
      </w:r>
      <w:r w:rsidR="000527C5" w:rsidRPr="00396B02">
        <w:t>Thus</w:t>
      </w:r>
      <w:r w:rsidR="000527C5">
        <w:t>,</w:t>
      </w:r>
      <w:r w:rsidR="000527C5" w:rsidRPr="00396B02">
        <w:t xml:space="preserve"> the ability to detect relatively small differences in fruit and vegetable consumption </w:t>
      </w:r>
      <w:r w:rsidR="000527C5">
        <w:t xml:space="preserve">with statistical reliability </w:t>
      </w:r>
      <w:r w:rsidR="000527C5" w:rsidRPr="00396B02">
        <w:t>can be accomplished with</w:t>
      </w:r>
      <w:r w:rsidR="000527C5">
        <w:t xml:space="preserve">in the </w:t>
      </w:r>
      <w:r w:rsidR="000527C5" w:rsidRPr="00396B02">
        <w:t xml:space="preserve">relatively small samples of </w:t>
      </w:r>
      <w:r w:rsidR="000527C5">
        <w:t>respondents planned for this study</w:t>
      </w:r>
      <w:r w:rsidR="000527C5" w:rsidRPr="00396B02">
        <w:t>.</w:t>
      </w:r>
      <w:r w:rsidR="00241635">
        <w:t xml:space="preserve"> </w:t>
      </w:r>
    </w:p>
    <w:p w:rsidR="00241635" w:rsidRDefault="00241635" w:rsidP="001B265D">
      <w:pPr>
        <w:pStyle w:val="L1-FlLSp12"/>
      </w:pPr>
    </w:p>
    <w:p w:rsidR="008A6A7C" w:rsidRDefault="008A6A7C" w:rsidP="001B265D">
      <w:pPr>
        <w:pStyle w:val="L1-FlLSp12"/>
      </w:pPr>
      <w:r w:rsidRPr="00396B02">
        <w:t xml:space="preserve">Table </w:t>
      </w:r>
      <w:r>
        <w:t>B2.2</w:t>
      </w:r>
      <w:r w:rsidRPr="00396B02">
        <w:t xml:space="preserve"> summarizes the MDD for sample sizes ranging from 100 to 600 per </w:t>
      </w:r>
      <w:r>
        <w:t>intervention</w:t>
      </w:r>
      <w:r w:rsidRPr="00396B02">
        <w:t>/</w:t>
      </w:r>
      <w:r>
        <w:t>comparison</w:t>
      </w:r>
      <w:r w:rsidRPr="00396B02">
        <w:t xml:space="preserve"> group</w:t>
      </w:r>
      <w:r>
        <w:t xml:space="preserve"> under certain assumptions about the underlying variation of fruit and vegetable intake</w:t>
      </w:r>
      <w:r w:rsidRPr="00396B02">
        <w:t xml:space="preserve">. </w:t>
      </w:r>
      <w:r>
        <w:t xml:space="preserve">As shown, </w:t>
      </w:r>
      <w:r w:rsidRPr="00396B02">
        <w:t xml:space="preserve">a sample size of 385 respondents in each of the </w:t>
      </w:r>
      <w:r>
        <w:t>intervention</w:t>
      </w:r>
      <w:r w:rsidRPr="00396B02">
        <w:t xml:space="preserve"> and </w:t>
      </w:r>
      <w:r>
        <w:t>comparison</w:t>
      </w:r>
      <w:r w:rsidRPr="00396B02">
        <w:t xml:space="preserve"> groups</w:t>
      </w:r>
      <w:r>
        <w:t xml:space="preserve"> makes it </w:t>
      </w:r>
      <w:r w:rsidRPr="00396B02">
        <w:t xml:space="preserve">theoretically possible to detect a 1/4 cup difference in consumption between the </w:t>
      </w:r>
      <w:r>
        <w:t>intervention</w:t>
      </w:r>
      <w:r w:rsidRPr="00396B02">
        <w:t xml:space="preserve"> and </w:t>
      </w:r>
      <w:r>
        <w:t>comparison</w:t>
      </w:r>
      <w:r w:rsidRPr="00396B02">
        <w:t xml:space="preserve"> groups for fruits and vegetables</w:t>
      </w:r>
      <w:r w:rsidR="00E2353A">
        <w:t>—</w:t>
      </w:r>
      <w:r w:rsidR="003C6AA0">
        <w:t>excluding</w:t>
      </w:r>
      <w:r w:rsidR="00E2353A">
        <w:t xml:space="preserve"> </w:t>
      </w:r>
      <w:r w:rsidR="003C6AA0">
        <w:t>fruit juice, white potatoes, and dried legumes</w:t>
      </w:r>
      <w:r w:rsidRPr="00396B02">
        <w:t xml:space="preserve">. </w:t>
      </w:r>
      <w:r w:rsidR="003C6AA0">
        <w:t>Including a</w:t>
      </w:r>
      <w:r w:rsidRPr="00396B02">
        <w:t>ll fruits and vegetables, the same sample would be able to detect differences of approximately 1/3 cup or greater.</w:t>
      </w:r>
      <w:r w:rsidRPr="00D56C57">
        <w:t xml:space="preserve"> </w:t>
      </w:r>
    </w:p>
    <w:p w:rsidR="00241635" w:rsidRDefault="00241635" w:rsidP="001B265D">
      <w:pPr>
        <w:pStyle w:val="L1-FlLSp12"/>
      </w:pPr>
    </w:p>
    <w:p w:rsidR="00241635" w:rsidRDefault="00241635" w:rsidP="00241635">
      <w:pPr>
        <w:pStyle w:val="L1-FlLSp12"/>
      </w:pPr>
      <w:r>
        <w:t xml:space="preserve">If it is appropriate to combine (pool) certain intervention clusters for comparison with the comparison group, the resulting power of the statistical tests will be greater. </w:t>
      </w:r>
      <w:r w:rsidRPr="00396B02">
        <w:t xml:space="preserve">Table </w:t>
      </w:r>
      <w:r>
        <w:t>B2.3</w:t>
      </w:r>
      <w:r w:rsidRPr="00396B02">
        <w:t xml:space="preserve"> summarizes the range of MDDs that can be achieved under the proposed sample design for </w:t>
      </w:r>
      <w:r>
        <w:t>intervention</w:t>
      </w:r>
      <w:r w:rsidRPr="00396B02">
        <w:t xml:space="preserve"> groups consisting of a minimum of two to a maximum of </w:t>
      </w:r>
      <w:r>
        <w:t>four</w:t>
      </w:r>
      <w:r w:rsidRPr="00396B02">
        <w:t xml:space="preserve"> clusters.</w:t>
      </w:r>
      <w:r>
        <w:t xml:space="preserve"> As shown in this table, the MDDs can be reduced appreciably depending on the number of intervention clusters that are combined.</w:t>
      </w:r>
    </w:p>
    <w:p w:rsidR="00241635" w:rsidRDefault="00241635" w:rsidP="001B265D">
      <w:pPr>
        <w:pStyle w:val="L1-FlLSp12"/>
      </w:pPr>
    </w:p>
    <w:p w:rsidR="00241635" w:rsidRDefault="00241635" w:rsidP="00241635">
      <w:pPr>
        <w:pStyle w:val="L1-FlLSp12"/>
      </w:pPr>
      <w:r>
        <w:t>Table B2.4 shows</w:t>
      </w:r>
      <w:r w:rsidRPr="00491C2F">
        <w:t xml:space="preserve"> the range of MDDs</w:t>
      </w:r>
      <w:r>
        <w:t xml:space="preserve"> for food insecurity status under various cluster-pooling schemes. From the table it can be seen that, in comparison to no pooling (the bottom row), the MDD for total food insecurity estimate (low or very low) can be reduced from 9.4 percent to 5.9 percent if the four treatment clusters and the two intervention groups are combined, respectively. </w:t>
      </w:r>
    </w:p>
    <w:p w:rsidR="00241635" w:rsidRDefault="00241635" w:rsidP="00241635">
      <w:pPr>
        <w:pStyle w:val="L1-FlLSp12"/>
      </w:pPr>
    </w:p>
    <w:p w:rsidR="00241635" w:rsidRDefault="00241635" w:rsidP="00241635">
      <w:pPr>
        <w:pStyle w:val="L1-FlLSp12"/>
      </w:pPr>
      <w:r>
        <w:t xml:space="preserve">To assess the range of MDDs for secondary outcomes, Table B2.5 presents the MDDs </w:t>
      </w:r>
      <w:r w:rsidRPr="00491C2F">
        <w:t xml:space="preserve">for </w:t>
      </w:r>
      <w:r>
        <w:t xml:space="preserve">selected </w:t>
      </w:r>
      <w:proofErr w:type="spellStart"/>
      <w:r>
        <w:t>prevalences</w:t>
      </w:r>
      <w:proofErr w:type="spellEnd"/>
      <w:r>
        <w:t xml:space="preserve"> (P) with the same cluster-pooling schemes in the previous two tables. For example, the MDD for a 20 percent </w:t>
      </w:r>
      <w:proofErr w:type="spellStart"/>
      <w:r>
        <w:t>prevalences</w:t>
      </w:r>
      <w:proofErr w:type="spellEnd"/>
      <w:r>
        <w:t xml:space="preserve"> would be 7.5 percent when there is no pooling (bottom row), but it would be reduced to 4.7 percent if the four treatment clusters and the two intervention groups are combined, respectively. </w:t>
      </w:r>
    </w:p>
    <w:p w:rsidR="00241635" w:rsidRDefault="00241635" w:rsidP="00241635">
      <w:pPr>
        <w:pStyle w:val="L1-FlLSp12"/>
      </w:pPr>
    </w:p>
    <w:p w:rsidR="008A6A7C" w:rsidRDefault="008A6A7C" w:rsidP="00067184">
      <w:pPr>
        <w:pStyle w:val="TT-TableTitle"/>
      </w:pPr>
      <w:bookmarkStart w:id="47" w:name="_Toc408495510"/>
      <w:bookmarkStart w:id="48" w:name="_Toc408495664"/>
      <w:bookmarkStart w:id="49" w:name="_Toc409090903"/>
      <w:r w:rsidRPr="00396B02">
        <w:t xml:space="preserve">Table </w:t>
      </w:r>
      <w:r>
        <w:t>B2.2</w:t>
      </w:r>
      <w:r w:rsidR="004A7048">
        <w:t>.</w:t>
      </w:r>
      <w:r w:rsidR="004A7048">
        <w:tab/>
      </w:r>
      <w:r w:rsidRPr="00396B02">
        <w:t>Minimum detectable difference (MDD) for one-tailed test with alpha = .05, power = .80</w:t>
      </w:r>
      <w:bookmarkEnd w:id="47"/>
      <w:bookmarkEnd w:id="48"/>
      <w:bookmarkEnd w:id="49"/>
    </w:p>
    <w:p w:rsidR="00067184" w:rsidRDefault="00067184" w:rsidP="00067184">
      <w:pPr>
        <w:pStyle w:val="TT-TableTitle"/>
      </w:pPr>
    </w:p>
    <w:tbl>
      <w:tblPr>
        <w:tblW w:w="0" w:type="auto"/>
        <w:tblBorders>
          <w:top w:val="single" w:sz="4" w:space="0" w:color="auto"/>
          <w:bottom w:val="single" w:sz="4" w:space="0" w:color="auto"/>
        </w:tblBorders>
        <w:tblLook w:val="04A0" w:firstRow="1" w:lastRow="0" w:firstColumn="1" w:lastColumn="0" w:noHBand="0" w:noVBand="1"/>
      </w:tblPr>
      <w:tblGrid>
        <w:gridCol w:w="4663"/>
        <w:gridCol w:w="1253"/>
        <w:gridCol w:w="1254"/>
        <w:gridCol w:w="1249"/>
        <w:gridCol w:w="1157"/>
      </w:tblGrid>
      <w:tr w:rsidR="008A6A7C" w:rsidRPr="00976F6B" w:rsidTr="00067184">
        <w:tc>
          <w:tcPr>
            <w:tcW w:w="4699" w:type="dxa"/>
            <w:tcBorders>
              <w:top w:val="single" w:sz="4" w:space="0" w:color="auto"/>
              <w:bottom w:val="single" w:sz="4" w:space="0" w:color="auto"/>
            </w:tcBorders>
            <w:shd w:val="clear" w:color="auto" w:fill="AFBED7"/>
            <w:vAlign w:val="bottom"/>
            <w:hideMark/>
          </w:tcPr>
          <w:p w:rsidR="008A6A7C" w:rsidRPr="00976F6B" w:rsidRDefault="008A6A7C" w:rsidP="00067184">
            <w:pPr>
              <w:pStyle w:val="TH-TableHeading"/>
            </w:pPr>
            <w:r w:rsidRPr="00976F6B">
              <w:t>Daily individual intake (NHANES)</w:t>
            </w:r>
          </w:p>
        </w:tc>
        <w:tc>
          <w:tcPr>
            <w:tcW w:w="1253" w:type="dxa"/>
            <w:tcBorders>
              <w:top w:val="single" w:sz="4" w:space="0" w:color="auto"/>
              <w:bottom w:val="single" w:sz="4" w:space="0" w:color="auto"/>
            </w:tcBorders>
            <w:shd w:val="clear" w:color="auto" w:fill="AFBED7"/>
            <w:vAlign w:val="bottom"/>
            <w:hideMark/>
          </w:tcPr>
          <w:p w:rsidR="008A6A7C" w:rsidRPr="00976F6B" w:rsidRDefault="008A6A7C" w:rsidP="00067184">
            <w:pPr>
              <w:pStyle w:val="TH-TableHeading"/>
              <w:rPr>
                <w:position w:val="6"/>
              </w:rPr>
            </w:pPr>
            <w:r w:rsidRPr="00976F6B">
              <w:t>Total</w:t>
            </w:r>
            <w:r w:rsidRPr="00976F6B">
              <w:br/>
              <w:t>sample</w:t>
            </w:r>
            <w:r w:rsidRPr="00067184">
              <w:rPr>
                <w:position w:val="6"/>
                <w:vertAlign w:val="superscript"/>
              </w:rPr>
              <w:t>a</w:t>
            </w:r>
          </w:p>
        </w:tc>
        <w:tc>
          <w:tcPr>
            <w:tcW w:w="1254" w:type="dxa"/>
            <w:tcBorders>
              <w:top w:val="single" w:sz="4" w:space="0" w:color="auto"/>
              <w:bottom w:val="single" w:sz="4" w:space="0" w:color="auto"/>
            </w:tcBorders>
            <w:shd w:val="clear" w:color="auto" w:fill="AFBED7"/>
            <w:vAlign w:val="bottom"/>
            <w:hideMark/>
          </w:tcPr>
          <w:p w:rsidR="008A6A7C" w:rsidRPr="00976F6B" w:rsidRDefault="008A6A7C" w:rsidP="00067184">
            <w:pPr>
              <w:pStyle w:val="TH-TableHeading"/>
            </w:pPr>
            <w:r>
              <w:t>Intervention</w:t>
            </w:r>
            <w:r w:rsidRPr="00976F6B">
              <w:t xml:space="preserve"> sample</w:t>
            </w:r>
          </w:p>
        </w:tc>
        <w:tc>
          <w:tcPr>
            <w:tcW w:w="1213" w:type="dxa"/>
            <w:tcBorders>
              <w:top w:val="single" w:sz="4" w:space="0" w:color="auto"/>
              <w:bottom w:val="single" w:sz="4" w:space="0" w:color="auto"/>
            </w:tcBorders>
            <w:shd w:val="clear" w:color="auto" w:fill="AFBED7"/>
            <w:vAlign w:val="bottom"/>
            <w:hideMark/>
          </w:tcPr>
          <w:p w:rsidR="008A6A7C" w:rsidRPr="00976F6B" w:rsidRDefault="008A6A7C" w:rsidP="00067184">
            <w:pPr>
              <w:pStyle w:val="TH-TableHeading"/>
            </w:pPr>
            <w:r>
              <w:t>Comparison</w:t>
            </w:r>
            <w:r w:rsidRPr="00976F6B">
              <w:br/>
              <w:t>sample</w:t>
            </w:r>
          </w:p>
        </w:tc>
        <w:tc>
          <w:tcPr>
            <w:tcW w:w="1157" w:type="dxa"/>
            <w:tcBorders>
              <w:top w:val="single" w:sz="4" w:space="0" w:color="auto"/>
              <w:bottom w:val="single" w:sz="4" w:space="0" w:color="auto"/>
            </w:tcBorders>
            <w:shd w:val="clear" w:color="auto" w:fill="AFBED7"/>
            <w:vAlign w:val="bottom"/>
            <w:hideMark/>
          </w:tcPr>
          <w:p w:rsidR="008A6A7C" w:rsidRPr="00976F6B" w:rsidRDefault="008A6A7C" w:rsidP="00067184">
            <w:pPr>
              <w:pStyle w:val="TH-TableHeading"/>
            </w:pPr>
            <w:r w:rsidRPr="00976F6B">
              <w:t>MDD</w:t>
            </w:r>
            <w:r w:rsidRPr="00067184">
              <w:rPr>
                <w:position w:val="6"/>
                <w:vertAlign w:val="superscript"/>
              </w:rPr>
              <w:t>b</w:t>
            </w:r>
            <w:r w:rsidRPr="00976F6B">
              <w:br/>
              <w:t>(cups)</w:t>
            </w:r>
          </w:p>
        </w:tc>
      </w:tr>
      <w:tr w:rsidR="008A6A7C" w:rsidRPr="00976F6B" w:rsidTr="00067184">
        <w:tc>
          <w:tcPr>
            <w:tcW w:w="4699" w:type="dxa"/>
            <w:vMerge w:val="restart"/>
            <w:tcBorders>
              <w:top w:val="single" w:sz="4" w:space="0" w:color="auto"/>
            </w:tcBorders>
            <w:shd w:val="clear" w:color="auto" w:fill="auto"/>
            <w:vAlign w:val="center"/>
            <w:hideMark/>
          </w:tcPr>
          <w:p w:rsidR="008A6A7C" w:rsidRPr="00976F6B" w:rsidRDefault="003C6AA0" w:rsidP="009C675E">
            <w:pPr>
              <w:pStyle w:val="TX-TableText"/>
            </w:pPr>
            <w:r>
              <w:t>F</w:t>
            </w:r>
            <w:r w:rsidR="008A6A7C" w:rsidRPr="00976F6B">
              <w:t>ruit and vegetables (excl</w:t>
            </w:r>
            <w:r w:rsidR="009C675E">
              <w:t>uding fruit</w:t>
            </w:r>
            <w:r w:rsidR="008A6A7C" w:rsidRPr="00976F6B">
              <w:t xml:space="preserve"> juice, </w:t>
            </w:r>
            <w:r w:rsidR="009C675E">
              <w:t xml:space="preserve">white </w:t>
            </w:r>
            <w:r w:rsidR="008A6A7C" w:rsidRPr="00976F6B">
              <w:t xml:space="preserve">potatoes, </w:t>
            </w:r>
            <w:r w:rsidR="009C675E">
              <w:t xml:space="preserve">and dried </w:t>
            </w:r>
            <w:r w:rsidR="008A6A7C" w:rsidRPr="00976F6B">
              <w:t>legumes)</w:t>
            </w:r>
            <w:r w:rsidR="00E2353A" w:rsidRPr="00067184">
              <w:rPr>
                <w:position w:val="6"/>
                <w:vertAlign w:val="superscript"/>
              </w:rPr>
              <w:t>c</w:t>
            </w:r>
          </w:p>
        </w:tc>
        <w:tc>
          <w:tcPr>
            <w:tcW w:w="1253" w:type="dxa"/>
            <w:tcBorders>
              <w:top w:val="single" w:sz="4" w:space="0" w:color="auto"/>
            </w:tcBorders>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200</w:t>
            </w:r>
          </w:p>
        </w:tc>
        <w:tc>
          <w:tcPr>
            <w:tcW w:w="1254" w:type="dxa"/>
            <w:tcBorders>
              <w:top w:val="single" w:sz="4" w:space="0" w:color="auto"/>
            </w:tcBorders>
            <w:shd w:val="clear" w:color="auto" w:fill="auto"/>
            <w:noWrap/>
            <w:vAlign w:val="bottom"/>
            <w:hideMark/>
          </w:tcPr>
          <w:p w:rsidR="008A6A7C" w:rsidRPr="00976F6B" w:rsidRDefault="008A6A7C" w:rsidP="00067184">
            <w:pPr>
              <w:pStyle w:val="TX-TableText"/>
              <w:jc w:val="center"/>
            </w:pPr>
            <w:r w:rsidRPr="00976F6B">
              <w:t>100</w:t>
            </w:r>
          </w:p>
        </w:tc>
        <w:tc>
          <w:tcPr>
            <w:tcW w:w="1213" w:type="dxa"/>
            <w:tcBorders>
              <w:top w:val="single" w:sz="4" w:space="0" w:color="auto"/>
            </w:tcBorders>
            <w:shd w:val="clear" w:color="auto" w:fill="auto"/>
            <w:noWrap/>
            <w:vAlign w:val="bottom"/>
            <w:hideMark/>
          </w:tcPr>
          <w:p w:rsidR="008A6A7C" w:rsidRPr="00976F6B" w:rsidRDefault="008A6A7C" w:rsidP="00067184">
            <w:pPr>
              <w:pStyle w:val="TX-TableText"/>
              <w:jc w:val="center"/>
            </w:pPr>
            <w:r w:rsidRPr="00976F6B">
              <w:t>100</w:t>
            </w:r>
          </w:p>
        </w:tc>
        <w:tc>
          <w:tcPr>
            <w:tcW w:w="1157" w:type="dxa"/>
            <w:tcBorders>
              <w:top w:val="single" w:sz="4" w:space="0" w:color="auto"/>
            </w:tcBorders>
            <w:shd w:val="clear" w:color="auto" w:fill="auto"/>
            <w:noWrap/>
            <w:vAlign w:val="bottom"/>
            <w:hideMark/>
          </w:tcPr>
          <w:p w:rsidR="008A6A7C" w:rsidRPr="00976F6B" w:rsidRDefault="008A6A7C" w:rsidP="00067184">
            <w:pPr>
              <w:pStyle w:val="TX-TableText"/>
              <w:jc w:val="center"/>
            </w:pPr>
            <w:r w:rsidRPr="00976F6B">
              <w:t>0.49</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400</w:t>
            </w:r>
          </w:p>
        </w:tc>
        <w:tc>
          <w:tcPr>
            <w:tcW w:w="1254" w:type="dxa"/>
            <w:shd w:val="clear" w:color="auto" w:fill="auto"/>
            <w:noWrap/>
            <w:vAlign w:val="bottom"/>
            <w:hideMark/>
          </w:tcPr>
          <w:p w:rsidR="008A6A7C" w:rsidRPr="00976F6B" w:rsidRDefault="008A6A7C" w:rsidP="00067184">
            <w:pPr>
              <w:pStyle w:val="TX-TableText"/>
              <w:jc w:val="center"/>
            </w:pPr>
            <w:r w:rsidRPr="00976F6B">
              <w:t>200</w:t>
            </w:r>
          </w:p>
        </w:tc>
        <w:tc>
          <w:tcPr>
            <w:tcW w:w="1213" w:type="dxa"/>
            <w:shd w:val="clear" w:color="auto" w:fill="auto"/>
            <w:noWrap/>
            <w:vAlign w:val="bottom"/>
            <w:hideMark/>
          </w:tcPr>
          <w:p w:rsidR="008A6A7C" w:rsidRPr="00976F6B" w:rsidRDefault="008A6A7C" w:rsidP="00067184">
            <w:pPr>
              <w:pStyle w:val="TX-TableText"/>
              <w:jc w:val="center"/>
            </w:pPr>
            <w:r w:rsidRPr="00976F6B">
              <w:t>200</w:t>
            </w:r>
          </w:p>
        </w:tc>
        <w:tc>
          <w:tcPr>
            <w:tcW w:w="1157" w:type="dxa"/>
            <w:shd w:val="clear" w:color="auto" w:fill="auto"/>
            <w:noWrap/>
            <w:vAlign w:val="bottom"/>
            <w:hideMark/>
          </w:tcPr>
          <w:p w:rsidR="008A6A7C" w:rsidRPr="00976F6B" w:rsidRDefault="008A6A7C" w:rsidP="00067184">
            <w:pPr>
              <w:pStyle w:val="TX-TableText"/>
              <w:jc w:val="center"/>
            </w:pPr>
            <w:r w:rsidRPr="00976F6B">
              <w:t>0.35</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600</w:t>
            </w:r>
          </w:p>
        </w:tc>
        <w:tc>
          <w:tcPr>
            <w:tcW w:w="1254" w:type="dxa"/>
            <w:shd w:val="clear" w:color="auto" w:fill="auto"/>
            <w:noWrap/>
            <w:vAlign w:val="bottom"/>
            <w:hideMark/>
          </w:tcPr>
          <w:p w:rsidR="008A6A7C" w:rsidRPr="00976F6B" w:rsidRDefault="008A6A7C" w:rsidP="00067184">
            <w:pPr>
              <w:pStyle w:val="TX-TableText"/>
              <w:jc w:val="center"/>
            </w:pPr>
            <w:r w:rsidRPr="00976F6B">
              <w:t>300</w:t>
            </w:r>
          </w:p>
        </w:tc>
        <w:tc>
          <w:tcPr>
            <w:tcW w:w="1213" w:type="dxa"/>
            <w:shd w:val="clear" w:color="auto" w:fill="auto"/>
            <w:noWrap/>
            <w:vAlign w:val="bottom"/>
            <w:hideMark/>
          </w:tcPr>
          <w:p w:rsidR="008A6A7C" w:rsidRPr="00976F6B" w:rsidRDefault="008A6A7C" w:rsidP="00067184">
            <w:pPr>
              <w:pStyle w:val="TX-TableText"/>
              <w:jc w:val="center"/>
            </w:pPr>
            <w:r w:rsidRPr="00976F6B">
              <w:t>300</w:t>
            </w:r>
          </w:p>
        </w:tc>
        <w:tc>
          <w:tcPr>
            <w:tcW w:w="1157" w:type="dxa"/>
            <w:shd w:val="clear" w:color="auto" w:fill="auto"/>
            <w:noWrap/>
            <w:vAlign w:val="bottom"/>
            <w:hideMark/>
          </w:tcPr>
          <w:p w:rsidR="008A6A7C" w:rsidRPr="00976F6B" w:rsidRDefault="008A6A7C" w:rsidP="00067184">
            <w:pPr>
              <w:pStyle w:val="TX-TableText"/>
              <w:jc w:val="center"/>
            </w:pPr>
            <w:r w:rsidRPr="00976F6B">
              <w:t>0.28</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700</w:t>
            </w:r>
          </w:p>
        </w:tc>
        <w:tc>
          <w:tcPr>
            <w:tcW w:w="1254" w:type="dxa"/>
            <w:shd w:val="clear" w:color="auto" w:fill="auto"/>
            <w:noWrap/>
            <w:vAlign w:val="bottom"/>
            <w:hideMark/>
          </w:tcPr>
          <w:p w:rsidR="008A6A7C" w:rsidRPr="00976F6B" w:rsidRDefault="008A6A7C" w:rsidP="00067184">
            <w:pPr>
              <w:pStyle w:val="TX-TableText"/>
              <w:jc w:val="center"/>
            </w:pPr>
            <w:r w:rsidRPr="00976F6B">
              <w:t>350</w:t>
            </w:r>
          </w:p>
        </w:tc>
        <w:tc>
          <w:tcPr>
            <w:tcW w:w="1213" w:type="dxa"/>
            <w:shd w:val="clear" w:color="auto" w:fill="auto"/>
            <w:noWrap/>
            <w:vAlign w:val="bottom"/>
            <w:hideMark/>
          </w:tcPr>
          <w:p w:rsidR="008A6A7C" w:rsidRPr="00976F6B" w:rsidRDefault="008A6A7C" w:rsidP="00067184">
            <w:pPr>
              <w:pStyle w:val="TX-TableText"/>
              <w:jc w:val="center"/>
            </w:pPr>
            <w:r w:rsidRPr="00976F6B">
              <w:t>350</w:t>
            </w:r>
          </w:p>
        </w:tc>
        <w:tc>
          <w:tcPr>
            <w:tcW w:w="1157" w:type="dxa"/>
            <w:shd w:val="clear" w:color="auto" w:fill="auto"/>
            <w:noWrap/>
            <w:vAlign w:val="bottom"/>
            <w:hideMark/>
          </w:tcPr>
          <w:p w:rsidR="008A6A7C" w:rsidRPr="00976F6B" w:rsidRDefault="008A6A7C" w:rsidP="00067184">
            <w:pPr>
              <w:pStyle w:val="TX-TableText"/>
              <w:jc w:val="center"/>
            </w:pPr>
            <w:r w:rsidRPr="00976F6B">
              <w:t>0.26</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770</w:t>
            </w:r>
          </w:p>
        </w:tc>
        <w:tc>
          <w:tcPr>
            <w:tcW w:w="1254" w:type="dxa"/>
            <w:shd w:val="clear" w:color="auto" w:fill="auto"/>
            <w:noWrap/>
            <w:vAlign w:val="bottom"/>
            <w:hideMark/>
          </w:tcPr>
          <w:p w:rsidR="008A6A7C" w:rsidRPr="00976F6B" w:rsidRDefault="008A6A7C" w:rsidP="00067184">
            <w:pPr>
              <w:pStyle w:val="TX-TableText"/>
              <w:jc w:val="center"/>
            </w:pPr>
            <w:r w:rsidRPr="00976F6B">
              <w:t>385</w:t>
            </w:r>
          </w:p>
        </w:tc>
        <w:tc>
          <w:tcPr>
            <w:tcW w:w="1213" w:type="dxa"/>
            <w:shd w:val="clear" w:color="auto" w:fill="auto"/>
            <w:noWrap/>
            <w:vAlign w:val="bottom"/>
            <w:hideMark/>
          </w:tcPr>
          <w:p w:rsidR="008A6A7C" w:rsidRPr="00976F6B" w:rsidRDefault="008A6A7C" w:rsidP="00067184">
            <w:pPr>
              <w:pStyle w:val="TX-TableText"/>
              <w:jc w:val="center"/>
            </w:pPr>
            <w:r w:rsidRPr="00976F6B">
              <w:t>385</w:t>
            </w:r>
          </w:p>
        </w:tc>
        <w:tc>
          <w:tcPr>
            <w:tcW w:w="1157" w:type="dxa"/>
            <w:shd w:val="clear" w:color="auto" w:fill="auto"/>
            <w:noWrap/>
            <w:vAlign w:val="bottom"/>
            <w:hideMark/>
          </w:tcPr>
          <w:p w:rsidR="008A6A7C" w:rsidRPr="00976F6B" w:rsidRDefault="008A6A7C" w:rsidP="00067184">
            <w:pPr>
              <w:pStyle w:val="TX-TableText"/>
              <w:jc w:val="center"/>
            </w:pPr>
            <w:r w:rsidRPr="00976F6B">
              <w:t>0.25</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1,000</w:t>
            </w:r>
          </w:p>
        </w:tc>
        <w:tc>
          <w:tcPr>
            <w:tcW w:w="1254" w:type="dxa"/>
            <w:shd w:val="clear" w:color="auto" w:fill="auto"/>
            <w:noWrap/>
            <w:vAlign w:val="bottom"/>
            <w:hideMark/>
          </w:tcPr>
          <w:p w:rsidR="008A6A7C" w:rsidRPr="00976F6B" w:rsidRDefault="008A6A7C" w:rsidP="00067184">
            <w:pPr>
              <w:pStyle w:val="TX-TableText"/>
              <w:jc w:val="center"/>
            </w:pPr>
            <w:r w:rsidRPr="00976F6B">
              <w:t>500</w:t>
            </w:r>
          </w:p>
        </w:tc>
        <w:tc>
          <w:tcPr>
            <w:tcW w:w="1213" w:type="dxa"/>
            <w:shd w:val="clear" w:color="auto" w:fill="auto"/>
            <w:noWrap/>
            <w:vAlign w:val="bottom"/>
            <w:hideMark/>
          </w:tcPr>
          <w:p w:rsidR="008A6A7C" w:rsidRPr="00976F6B" w:rsidRDefault="008A6A7C" w:rsidP="00067184">
            <w:pPr>
              <w:pStyle w:val="TX-TableText"/>
              <w:jc w:val="center"/>
            </w:pPr>
            <w:r w:rsidRPr="00976F6B">
              <w:t>500</w:t>
            </w:r>
          </w:p>
        </w:tc>
        <w:tc>
          <w:tcPr>
            <w:tcW w:w="1157" w:type="dxa"/>
            <w:shd w:val="clear" w:color="auto" w:fill="auto"/>
            <w:noWrap/>
            <w:vAlign w:val="bottom"/>
            <w:hideMark/>
          </w:tcPr>
          <w:p w:rsidR="008A6A7C" w:rsidRPr="00976F6B" w:rsidRDefault="008A6A7C" w:rsidP="00067184">
            <w:pPr>
              <w:pStyle w:val="TX-TableText"/>
              <w:jc w:val="center"/>
            </w:pPr>
            <w:r w:rsidRPr="00976F6B">
              <w:t>0.22</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1,200</w:t>
            </w:r>
          </w:p>
        </w:tc>
        <w:tc>
          <w:tcPr>
            <w:tcW w:w="1254" w:type="dxa"/>
            <w:shd w:val="clear" w:color="auto" w:fill="auto"/>
            <w:noWrap/>
            <w:vAlign w:val="bottom"/>
            <w:hideMark/>
          </w:tcPr>
          <w:p w:rsidR="008A6A7C" w:rsidRPr="00976F6B" w:rsidRDefault="008A6A7C" w:rsidP="00067184">
            <w:pPr>
              <w:pStyle w:val="TX-TableText"/>
              <w:jc w:val="center"/>
            </w:pPr>
            <w:r w:rsidRPr="00976F6B">
              <w:t>600</w:t>
            </w:r>
          </w:p>
        </w:tc>
        <w:tc>
          <w:tcPr>
            <w:tcW w:w="1213" w:type="dxa"/>
            <w:shd w:val="clear" w:color="auto" w:fill="auto"/>
            <w:noWrap/>
            <w:vAlign w:val="bottom"/>
            <w:hideMark/>
          </w:tcPr>
          <w:p w:rsidR="008A6A7C" w:rsidRPr="00976F6B" w:rsidRDefault="008A6A7C" w:rsidP="00067184">
            <w:pPr>
              <w:pStyle w:val="TX-TableText"/>
              <w:jc w:val="center"/>
            </w:pPr>
            <w:r w:rsidRPr="00976F6B">
              <w:t>600</w:t>
            </w:r>
          </w:p>
        </w:tc>
        <w:tc>
          <w:tcPr>
            <w:tcW w:w="1157" w:type="dxa"/>
            <w:shd w:val="clear" w:color="auto" w:fill="auto"/>
            <w:noWrap/>
            <w:vAlign w:val="bottom"/>
            <w:hideMark/>
          </w:tcPr>
          <w:p w:rsidR="008A6A7C" w:rsidRPr="00976F6B" w:rsidRDefault="008A6A7C" w:rsidP="00067184">
            <w:pPr>
              <w:pStyle w:val="TX-TableText"/>
              <w:jc w:val="center"/>
            </w:pPr>
            <w:r w:rsidRPr="00976F6B">
              <w:t>0.20</w:t>
            </w:r>
          </w:p>
        </w:tc>
      </w:tr>
      <w:tr w:rsidR="00067184" w:rsidRPr="00976F6B" w:rsidTr="00067184">
        <w:tc>
          <w:tcPr>
            <w:tcW w:w="4699" w:type="dxa"/>
            <w:vAlign w:val="center"/>
          </w:tcPr>
          <w:p w:rsidR="00067184" w:rsidRPr="00976F6B" w:rsidRDefault="00067184" w:rsidP="00067184">
            <w:pPr>
              <w:pStyle w:val="TX-TableText"/>
            </w:pPr>
          </w:p>
        </w:tc>
        <w:tc>
          <w:tcPr>
            <w:tcW w:w="1253" w:type="dxa"/>
            <w:shd w:val="clear" w:color="auto" w:fill="auto"/>
            <w:noWrap/>
            <w:vAlign w:val="bottom"/>
          </w:tcPr>
          <w:p w:rsidR="00067184" w:rsidRPr="00976F6B" w:rsidRDefault="00067184" w:rsidP="00067184">
            <w:pPr>
              <w:pStyle w:val="TX-TableText"/>
              <w:tabs>
                <w:tab w:val="decimal" w:pos="737"/>
              </w:tabs>
              <w:jc w:val="both"/>
              <w:rPr>
                <w:bCs/>
              </w:rPr>
            </w:pPr>
          </w:p>
        </w:tc>
        <w:tc>
          <w:tcPr>
            <w:tcW w:w="1254" w:type="dxa"/>
            <w:shd w:val="clear" w:color="auto" w:fill="auto"/>
            <w:noWrap/>
            <w:vAlign w:val="bottom"/>
          </w:tcPr>
          <w:p w:rsidR="00067184" w:rsidRPr="00976F6B" w:rsidRDefault="00067184" w:rsidP="00067184">
            <w:pPr>
              <w:pStyle w:val="TX-TableText"/>
              <w:jc w:val="center"/>
            </w:pPr>
          </w:p>
        </w:tc>
        <w:tc>
          <w:tcPr>
            <w:tcW w:w="1213" w:type="dxa"/>
            <w:shd w:val="clear" w:color="auto" w:fill="auto"/>
            <w:noWrap/>
            <w:vAlign w:val="bottom"/>
          </w:tcPr>
          <w:p w:rsidR="00067184" w:rsidRPr="00976F6B" w:rsidRDefault="00067184" w:rsidP="00067184">
            <w:pPr>
              <w:pStyle w:val="TX-TableText"/>
              <w:jc w:val="center"/>
            </w:pPr>
          </w:p>
        </w:tc>
        <w:tc>
          <w:tcPr>
            <w:tcW w:w="1157" w:type="dxa"/>
            <w:shd w:val="clear" w:color="auto" w:fill="auto"/>
            <w:noWrap/>
            <w:vAlign w:val="bottom"/>
          </w:tcPr>
          <w:p w:rsidR="00067184" w:rsidRPr="00976F6B" w:rsidRDefault="00067184" w:rsidP="00067184">
            <w:pPr>
              <w:pStyle w:val="TX-TableText"/>
              <w:jc w:val="center"/>
            </w:pPr>
          </w:p>
        </w:tc>
      </w:tr>
      <w:tr w:rsidR="008A6A7C" w:rsidRPr="00976F6B" w:rsidTr="00067184">
        <w:tc>
          <w:tcPr>
            <w:tcW w:w="4699" w:type="dxa"/>
            <w:vMerge w:val="restart"/>
            <w:shd w:val="clear" w:color="auto" w:fill="auto"/>
            <w:vAlign w:val="center"/>
            <w:hideMark/>
          </w:tcPr>
          <w:p w:rsidR="008A6A7C" w:rsidRPr="00976F6B" w:rsidRDefault="008A6A7C" w:rsidP="009C675E">
            <w:pPr>
              <w:pStyle w:val="TX-TableText"/>
            </w:pPr>
            <w:r w:rsidRPr="00976F6B">
              <w:br/>
            </w:r>
            <w:r w:rsidR="009C675E">
              <w:t>F</w:t>
            </w:r>
            <w:r w:rsidRPr="00976F6B">
              <w:t xml:space="preserve">ruit and vegetables </w:t>
            </w:r>
            <w:r w:rsidR="009C675E" w:rsidRPr="00976F6B">
              <w:t>(</w:t>
            </w:r>
            <w:r w:rsidR="009C675E">
              <w:t>in</w:t>
            </w:r>
            <w:r w:rsidR="009C675E" w:rsidRPr="00976F6B">
              <w:t>cl</w:t>
            </w:r>
            <w:r w:rsidR="009C675E">
              <w:t>uding fruit</w:t>
            </w:r>
            <w:r w:rsidR="009C675E" w:rsidRPr="00976F6B">
              <w:t xml:space="preserve"> juice, </w:t>
            </w:r>
            <w:r w:rsidR="009C675E">
              <w:t xml:space="preserve">white </w:t>
            </w:r>
            <w:r w:rsidR="009C675E" w:rsidRPr="00976F6B">
              <w:t xml:space="preserve">potatoes, </w:t>
            </w:r>
            <w:r w:rsidR="009C675E">
              <w:t xml:space="preserve">and dried </w:t>
            </w:r>
            <w:r w:rsidR="009C675E" w:rsidRPr="00976F6B">
              <w:t>legumes)</w:t>
            </w:r>
            <w:r w:rsidR="00E2353A" w:rsidRPr="00067184">
              <w:rPr>
                <w:position w:val="6"/>
                <w:vertAlign w:val="superscript"/>
              </w:rPr>
              <w:t>d</w:t>
            </w: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200</w:t>
            </w:r>
          </w:p>
        </w:tc>
        <w:tc>
          <w:tcPr>
            <w:tcW w:w="1254" w:type="dxa"/>
            <w:shd w:val="clear" w:color="auto" w:fill="auto"/>
            <w:noWrap/>
            <w:vAlign w:val="bottom"/>
            <w:hideMark/>
          </w:tcPr>
          <w:p w:rsidR="008A6A7C" w:rsidRPr="00976F6B" w:rsidRDefault="008A6A7C" w:rsidP="00067184">
            <w:pPr>
              <w:pStyle w:val="TX-TableText"/>
              <w:jc w:val="center"/>
            </w:pPr>
            <w:r w:rsidRPr="00976F6B">
              <w:t>100</w:t>
            </w:r>
          </w:p>
        </w:tc>
        <w:tc>
          <w:tcPr>
            <w:tcW w:w="1213" w:type="dxa"/>
            <w:shd w:val="clear" w:color="auto" w:fill="auto"/>
            <w:noWrap/>
            <w:vAlign w:val="bottom"/>
            <w:hideMark/>
          </w:tcPr>
          <w:p w:rsidR="008A6A7C" w:rsidRPr="00976F6B" w:rsidRDefault="008A6A7C" w:rsidP="00067184">
            <w:pPr>
              <w:pStyle w:val="TX-TableText"/>
              <w:jc w:val="center"/>
            </w:pPr>
            <w:r w:rsidRPr="00976F6B">
              <w:t>100</w:t>
            </w:r>
          </w:p>
        </w:tc>
        <w:tc>
          <w:tcPr>
            <w:tcW w:w="1157" w:type="dxa"/>
            <w:shd w:val="clear" w:color="auto" w:fill="auto"/>
            <w:noWrap/>
            <w:vAlign w:val="bottom"/>
            <w:hideMark/>
          </w:tcPr>
          <w:p w:rsidR="008A6A7C" w:rsidRPr="00976F6B" w:rsidRDefault="008A6A7C" w:rsidP="00067184">
            <w:pPr>
              <w:pStyle w:val="TX-TableText"/>
              <w:jc w:val="center"/>
            </w:pPr>
            <w:r w:rsidRPr="00976F6B">
              <w:t>0.71</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400</w:t>
            </w:r>
          </w:p>
        </w:tc>
        <w:tc>
          <w:tcPr>
            <w:tcW w:w="1254" w:type="dxa"/>
            <w:shd w:val="clear" w:color="auto" w:fill="auto"/>
            <w:noWrap/>
            <w:vAlign w:val="bottom"/>
            <w:hideMark/>
          </w:tcPr>
          <w:p w:rsidR="008A6A7C" w:rsidRPr="00976F6B" w:rsidRDefault="008A6A7C" w:rsidP="00067184">
            <w:pPr>
              <w:pStyle w:val="TX-TableText"/>
              <w:jc w:val="center"/>
            </w:pPr>
            <w:r w:rsidRPr="00976F6B">
              <w:t>200</w:t>
            </w:r>
          </w:p>
        </w:tc>
        <w:tc>
          <w:tcPr>
            <w:tcW w:w="1213" w:type="dxa"/>
            <w:shd w:val="clear" w:color="auto" w:fill="auto"/>
            <w:noWrap/>
            <w:vAlign w:val="bottom"/>
            <w:hideMark/>
          </w:tcPr>
          <w:p w:rsidR="008A6A7C" w:rsidRPr="00976F6B" w:rsidRDefault="008A6A7C" w:rsidP="00067184">
            <w:pPr>
              <w:pStyle w:val="TX-TableText"/>
              <w:jc w:val="center"/>
            </w:pPr>
            <w:r w:rsidRPr="00976F6B">
              <w:t>200</w:t>
            </w:r>
          </w:p>
        </w:tc>
        <w:tc>
          <w:tcPr>
            <w:tcW w:w="1157" w:type="dxa"/>
            <w:shd w:val="clear" w:color="auto" w:fill="auto"/>
            <w:noWrap/>
            <w:vAlign w:val="bottom"/>
            <w:hideMark/>
          </w:tcPr>
          <w:p w:rsidR="008A6A7C" w:rsidRPr="00976F6B" w:rsidRDefault="008A6A7C" w:rsidP="00067184">
            <w:pPr>
              <w:pStyle w:val="TX-TableText"/>
              <w:jc w:val="center"/>
            </w:pPr>
            <w:r w:rsidRPr="00976F6B">
              <w:t>0.50</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600</w:t>
            </w:r>
          </w:p>
        </w:tc>
        <w:tc>
          <w:tcPr>
            <w:tcW w:w="1254" w:type="dxa"/>
            <w:shd w:val="clear" w:color="auto" w:fill="auto"/>
            <w:noWrap/>
            <w:vAlign w:val="bottom"/>
            <w:hideMark/>
          </w:tcPr>
          <w:p w:rsidR="008A6A7C" w:rsidRPr="00976F6B" w:rsidRDefault="008A6A7C" w:rsidP="00067184">
            <w:pPr>
              <w:pStyle w:val="TX-TableText"/>
              <w:jc w:val="center"/>
            </w:pPr>
            <w:r w:rsidRPr="00976F6B">
              <w:t>300</w:t>
            </w:r>
          </w:p>
        </w:tc>
        <w:tc>
          <w:tcPr>
            <w:tcW w:w="1213" w:type="dxa"/>
            <w:shd w:val="clear" w:color="auto" w:fill="auto"/>
            <w:noWrap/>
            <w:vAlign w:val="bottom"/>
            <w:hideMark/>
          </w:tcPr>
          <w:p w:rsidR="008A6A7C" w:rsidRPr="00976F6B" w:rsidRDefault="008A6A7C" w:rsidP="00067184">
            <w:pPr>
              <w:pStyle w:val="TX-TableText"/>
              <w:jc w:val="center"/>
            </w:pPr>
            <w:r w:rsidRPr="00976F6B">
              <w:t>300</w:t>
            </w:r>
          </w:p>
        </w:tc>
        <w:tc>
          <w:tcPr>
            <w:tcW w:w="1157" w:type="dxa"/>
            <w:shd w:val="clear" w:color="auto" w:fill="auto"/>
            <w:noWrap/>
            <w:vAlign w:val="bottom"/>
            <w:hideMark/>
          </w:tcPr>
          <w:p w:rsidR="008A6A7C" w:rsidRPr="00976F6B" w:rsidRDefault="008A6A7C" w:rsidP="00067184">
            <w:pPr>
              <w:pStyle w:val="TX-TableText"/>
              <w:jc w:val="center"/>
            </w:pPr>
            <w:r w:rsidRPr="00976F6B">
              <w:t>0.41</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700</w:t>
            </w:r>
          </w:p>
        </w:tc>
        <w:tc>
          <w:tcPr>
            <w:tcW w:w="1254" w:type="dxa"/>
            <w:shd w:val="clear" w:color="auto" w:fill="auto"/>
            <w:noWrap/>
            <w:vAlign w:val="bottom"/>
            <w:hideMark/>
          </w:tcPr>
          <w:p w:rsidR="008A6A7C" w:rsidRPr="00976F6B" w:rsidRDefault="008A6A7C" w:rsidP="00067184">
            <w:pPr>
              <w:pStyle w:val="TX-TableText"/>
              <w:jc w:val="center"/>
            </w:pPr>
            <w:r w:rsidRPr="00976F6B">
              <w:t>350</w:t>
            </w:r>
          </w:p>
        </w:tc>
        <w:tc>
          <w:tcPr>
            <w:tcW w:w="1213" w:type="dxa"/>
            <w:shd w:val="clear" w:color="auto" w:fill="auto"/>
            <w:noWrap/>
            <w:vAlign w:val="bottom"/>
            <w:hideMark/>
          </w:tcPr>
          <w:p w:rsidR="008A6A7C" w:rsidRPr="00976F6B" w:rsidRDefault="008A6A7C" w:rsidP="00067184">
            <w:pPr>
              <w:pStyle w:val="TX-TableText"/>
              <w:jc w:val="center"/>
            </w:pPr>
            <w:r w:rsidRPr="00976F6B">
              <w:t>350</w:t>
            </w:r>
          </w:p>
        </w:tc>
        <w:tc>
          <w:tcPr>
            <w:tcW w:w="1157" w:type="dxa"/>
            <w:shd w:val="clear" w:color="auto" w:fill="auto"/>
            <w:noWrap/>
            <w:vAlign w:val="bottom"/>
            <w:hideMark/>
          </w:tcPr>
          <w:p w:rsidR="008A6A7C" w:rsidRPr="00976F6B" w:rsidRDefault="008A6A7C" w:rsidP="00067184">
            <w:pPr>
              <w:pStyle w:val="TX-TableText"/>
              <w:jc w:val="center"/>
            </w:pPr>
            <w:r w:rsidRPr="00976F6B">
              <w:t>0.38</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770</w:t>
            </w:r>
          </w:p>
        </w:tc>
        <w:tc>
          <w:tcPr>
            <w:tcW w:w="1254" w:type="dxa"/>
            <w:shd w:val="clear" w:color="auto" w:fill="auto"/>
            <w:noWrap/>
            <w:vAlign w:val="bottom"/>
            <w:hideMark/>
          </w:tcPr>
          <w:p w:rsidR="008A6A7C" w:rsidRPr="00976F6B" w:rsidRDefault="008A6A7C" w:rsidP="00067184">
            <w:pPr>
              <w:pStyle w:val="TX-TableText"/>
              <w:jc w:val="center"/>
            </w:pPr>
            <w:r w:rsidRPr="00976F6B">
              <w:t>385</w:t>
            </w:r>
          </w:p>
        </w:tc>
        <w:tc>
          <w:tcPr>
            <w:tcW w:w="1213" w:type="dxa"/>
            <w:shd w:val="clear" w:color="auto" w:fill="auto"/>
            <w:noWrap/>
            <w:vAlign w:val="bottom"/>
            <w:hideMark/>
          </w:tcPr>
          <w:p w:rsidR="008A6A7C" w:rsidRPr="00976F6B" w:rsidRDefault="008A6A7C" w:rsidP="00067184">
            <w:pPr>
              <w:pStyle w:val="TX-TableText"/>
              <w:jc w:val="center"/>
            </w:pPr>
            <w:r w:rsidRPr="00976F6B">
              <w:t>385</w:t>
            </w:r>
          </w:p>
        </w:tc>
        <w:tc>
          <w:tcPr>
            <w:tcW w:w="1157" w:type="dxa"/>
            <w:shd w:val="clear" w:color="auto" w:fill="auto"/>
            <w:noWrap/>
            <w:vAlign w:val="bottom"/>
            <w:hideMark/>
          </w:tcPr>
          <w:p w:rsidR="008A6A7C" w:rsidRPr="00976F6B" w:rsidRDefault="008A6A7C" w:rsidP="00067184">
            <w:pPr>
              <w:pStyle w:val="TX-TableText"/>
              <w:jc w:val="center"/>
            </w:pPr>
            <w:r w:rsidRPr="00976F6B">
              <w:t>0.36</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1,000</w:t>
            </w:r>
          </w:p>
        </w:tc>
        <w:tc>
          <w:tcPr>
            <w:tcW w:w="1254" w:type="dxa"/>
            <w:shd w:val="clear" w:color="auto" w:fill="auto"/>
            <w:noWrap/>
            <w:vAlign w:val="bottom"/>
            <w:hideMark/>
          </w:tcPr>
          <w:p w:rsidR="008A6A7C" w:rsidRPr="00976F6B" w:rsidRDefault="008A6A7C" w:rsidP="00067184">
            <w:pPr>
              <w:pStyle w:val="TX-TableText"/>
              <w:jc w:val="center"/>
            </w:pPr>
            <w:r w:rsidRPr="00976F6B">
              <w:t>500</w:t>
            </w:r>
          </w:p>
        </w:tc>
        <w:tc>
          <w:tcPr>
            <w:tcW w:w="1213" w:type="dxa"/>
            <w:shd w:val="clear" w:color="auto" w:fill="auto"/>
            <w:noWrap/>
            <w:vAlign w:val="bottom"/>
            <w:hideMark/>
          </w:tcPr>
          <w:p w:rsidR="008A6A7C" w:rsidRPr="00976F6B" w:rsidRDefault="008A6A7C" w:rsidP="00067184">
            <w:pPr>
              <w:pStyle w:val="TX-TableText"/>
              <w:jc w:val="center"/>
            </w:pPr>
            <w:r w:rsidRPr="00976F6B">
              <w:t>500</w:t>
            </w:r>
          </w:p>
        </w:tc>
        <w:tc>
          <w:tcPr>
            <w:tcW w:w="1157" w:type="dxa"/>
            <w:shd w:val="clear" w:color="auto" w:fill="auto"/>
            <w:noWrap/>
            <w:vAlign w:val="bottom"/>
            <w:hideMark/>
          </w:tcPr>
          <w:p w:rsidR="008A6A7C" w:rsidRPr="00976F6B" w:rsidRDefault="008A6A7C" w:rsidP="00067184">
            <w:pPr>
              <w:pStyle w:val="TX-TableText"/>
              <w:jc w:val="center"/>
            </w:pPr>
            <w:r w:rsidRPr="00976F6B">
              <w:t>0.32</w:t>
            </w:r>
          </w:p>
        </w:tc>
      </w:tr>
      <w:tr w:rsidR="008A6A7C" w:rsidRPr="00976F6B" w:rsidTr="00067184">
        <w:tc>
          <w:tcPr>
            <w:tcW w:w="4699" w:type="dxa"/>
            <w:vMerge/>
            <w:vAlign w:val="center"/>
            <w:hideMark/>
          </w:tcPr>
          <w:p w:rsidR="008A6A7C" w:rsidRPr="00976F6B" w:rsidRDefault="008A6A7C" w:rsidP="00067184">
            <w:pPr>
              <w:pStyle w:val="TX-TableText"/>
            </w:pPr>
          </w:p>
        </w:tc>
        <w:tc>
          <w:tcPr>
            <w:tcW w:w="1253" w:type="dxa"/>
            <w:shd w:val="clear" w:color="auto" w:fill="auto"/>
            <w:noWrap/>
            <w:vAlign w:val="bottom"/>
            <w:hideMark/>
          </w:tcPr>
          <w:p w:rsidR="008A6A7C" w:rsidRPr="00976F6B" w:rsidRDefault="008A6A7C" w:rsidP="00067184">
            <w:pPr>
              <w:pStyle w:val="TX-TableText"/>
              <w:tabs>
                <w:tab w:val="decimal" w:pos="737"/>
              </w:tabs>
              <w:jc w:val="both"/>
              <w:rPr>
                <w:b/>
                <w:bCs/>
              </w:rPr>
            </w:pPr>
            <w:r w:rsidRPr="00976F6B">
              <w:rPr>
                <w:bCs/>
              </w:rPr>
              <w:t>1,200</w:t>
            </w:r>
          </w:p>
        </w:tc>
        <w:tc>
          <w:tcPr>
            <w:tcW w:w="1254" w:type="dxa"/>
            <w:shd w:val="clear" w:color="auto" w:fill="auto"/>
            <w:noWrap/>
            <w:vAlign w:val="bottom"/>
            <w:hideMark/>
          </w:tcPr>
          <w:p w:rsidR="008A6A7C" w:rsidRPr="00976F6B" w:rsidRDefault="008A6A7C" w:rsidP="00067184">
            <w:pPr>
              <w:pStyle w:val="TX-TableText"/>
              <w:jc w:val="center"/>
            </w:pPr>
            <w:r w:rsidRPr="00976F6B">
              <w:t>600</w:t>
            </w:r>
          </w:p>
        </w:tc>
        <w:tc>
          <w:tcPr>
            <w:tcW w:w="1213" w:type="dxa"/>
            <w:shd w:val="clear" w:color="auto" w:fill="auto"/>
            <w:noWrap/>
            <w:vAlign w:val="bottom"/>
            <w:hideMark/>
          </w:tcPr>
          <w:p w:rsidR="008A6A7C" w:rsidRPr="00976F6B" w:rsidRDefault="008A6A7C" w:rsidP="00067184">
            <w:pPr>
              <w:pStyle w:val="TX-TableText"/>
              <w:jc w:val="center"/>
            </w:pPr>
            <w:r w:rsidRPr="00976F6B">
              <w:t>600</w:t>
            </w:r>
          </w:p>
        </w:tc>
        <w:tc>
          <w:tcPr>
            <w:tcW w:w="1157" w:type="dxa"/>
            <w:shd w:val="clear" w:color="auto" w:fill="auto"/>
            <w:noWrap/>
            <w:vAlign w:val="bottom"/>
            <w:hideMark/>
          </w:tcPr>
          <w:p w:rsidR="008A6A7C" w:rsidRPr="00976F6B" w:rsidRDefault="008A6A7C" w:rsidP="00067184">
            <w:pPr>
              <w:pStyle w:val="TX-TableText"/>
              <w:jc w:val="center"/>
            </w:pPr>
            <w:r w:rsidRPr="00976F6B">
              <w:t>0.29</w:t>
            </w:r>
          </w:p>
        </w:tc>
      </w:tr>
    </w:tbl>
    <w:p w:rsidR="008A6A7C" w:rsidRPr="007E5FEC" w:rsidRDefault="008A6A7C" w:rsidP="00E329A7">
      <w:pPr>
        <w:pStyle w:val="TF-TblFN"/>
      </w:pPr>
      <w:proofErr w:type="gramStart"/>
      <w:r w:rsidRPr="007E5FEC">
        <w:rPr>
          <w:position w:val="6"/>
          <w:vertAlign w:val="superscript"/>
        </w:rPr>
        <w:t>a</w:t>
      </w:r>
      <w:proofErr w:type="gramEnd"/>
      <w:r w:rsidR="00067184">
        <w:tab/>
      </w:r>
      <w:r w:rsidRPr="007E5FEC">
        <w:t>Number of responding individuals providing pre- and post-intervention data.</w:t>
      </w:r>
    </w:p>
    <w:p w:rsidR="008A6A7C" w:rsidRPr="007E5FEC" w:rsidRDefault="008A6A7C" w:rsidP="00E329A7">
      <w:pPr>
        <w:pStyle w:val="TF-TblFN"/>
      </w:pPr>
      <w:proofErr w:type="gramStart"/>
      <w:r w:rsidRPr="007E5FEC">
        <w:rPr>
          <w:position w:val="6"/>
          <w:vertAlign w:val="superscript"/>
        </w:rPr>
        <w:t>b</w:t>
      </w:r>
      <w:proofErr w:type="gramEnd"/>
      <w:r w:rsidR="00067184">
        <w:tab/>
      </w:r>
      <w:r w:rsidRPr="007E5FEC">
        <w:t>MDDs are for the difference between the intervention and comparison groups in the change in intakes from pre- to post-intervention. The calculations assume a weighting design effect (DEFF) of 1.1 and a correlation between pre- and post- intervention measurements among the same respondents of 0.50.</w:t>
      </w:r>
    </w:p>
    <w:p w:rsidR="008A6A7C" w:rsidRPr="007E5FEC" w:rsidRDefault="008A6A7C" w:rsidP="00E329A7">
      <w:pPr>
        <w:pStyle w:val="TF-TblFN"/>
        <w:rPr>
          <w:position w:val="6"/>
        </w:rPr>
      </w:pPr>
      <w:proofErr w:type="gramStart"/>
      <w:r w:rsidRPr="007E5FEC">
        <w:rPr>
          <w:position w:val="6"/>
          <w:vertAlign w:val="superscript"/>
        </w:rPr>
        <w:t>c</w:t>
      </w:r>
      <w:proofErr w:type="gramEnd"/>
      <w:r w:rsidR="00067184">
        <w:rPr>
          <w:position w:val="6"/>
        </w:rPr>
        <w:tab/>
      </w:r>
      <w:r w:rsidRPr="007E5FEC">
        <w:rPr>
          <w:position w:val="6"/>
        </w:rPr>
        <w:t>Assumes an underlying standard deviation of approximately 1.3 based on NHANES tabulations.</w:t>
      </w:r>
    </w:p>
    <w:p w:rsidR="008A6A7C" w:rsidRPr="007E5FEC" w:rsidRDefault="008A6A7C" w:rsidP="00E329A7">
      <w:pPr>
        <w:pStyle w:val="TF-TblFN"/>
        <w:rPr>
          <w:position w:val="6"/>
        </w:rPr>
      </w:pPr>
      <w:proofErr w:type="gramStart"/>
      <w:r w:rsidRPr="007E5FEC">
        <w:rPr>
          <w:position w:val="6"/>
          <w:vertAlign w:val="superscript"/>
        </w:rPr>
        <w:t>d</w:t>
      </w:r>
      <w:proofErr w:type="gramEnd"/>
      <w:r w:rsidR="00067184">
        <w:rPr>
          <w:position w:val="6"/>
        </w:rPr>
        <w:tab/>
      </w:r>
      <w:r w:rsidRPr="007E5FEC">
        <w:rPr>
          <w:position w:val="6"/>
        </w:rPr>
        <w:t>Assumes an underlying standard deviation of approximately 1.9 based on NHANES tabulations.</w:t>
      </w:r>
    </w:p>
    <w:p w:rsidR="008A6A7C" w:rsidRPr="00396B02" w:rsidRDefault="008A6A7C" w:rsidP="001B265D">
      <w:pPr>
        <w:pStyle w:val="L1-FlLSp12"/>
      </w:pPr>
    </w:p>
    <w:p w:rsidR="00DC5575" w:rsidRDefault="00DC5575">
      <w:pPr>
        <w:spacing w:line="240" w:lineRule="auto"/>
        <w:rPr>
          <w:rFonts w:ascii="Franklin Gothic Medium" w:hAnsi="Franklin Gothic Medium"/>
          <w:sz w:val="22"/>
        </w:rPr>
      </w:pPr>
      <w:bookmarkStart w:id="50" w:name="_Toc408495511"/>
      <w:bookmarkStart w:id="51" w:name="_Toc408495665"/>
      <w:bookmarkStart w:id="52" w:name="_Toc409090904"/>
      <w:r>
        <w:br w:type="page"/>
      </w:r>
    </w:p>
    <w:p w:rsidR="008A6A7C" w:rsidRDefault="008A6A7C" w:rsidP="004A7048">
      <w:pPr>
        <w:pStyle w:val="TT-TableTitle"/>
      </w:pPr>
      <w:r w:rsidRPr="007704F8">
        <w:t>Table B</w:t>
      </w:r>
      <w:r w:rsidR="00241635">
        <w:t>2.</w:t>
      </w:r>
      <w:r w:rsidR="004A7048">
        <w:t>3.</w:t>
      </w:r>
      <w:r w:rsidRPr="00EF14A1">
        <w:tab/>
        <w:t xml:space="preserve">Minimum detectable difference (MDD) between groups of clusters and the </w:t>
      </w:r>
      <w:r>
        <w:t>comparison</w:t>
      </w:r>
      <w:r w:rsidRPr="00EF14A1">
        <w:t xml:space="preserve"> group for </w:t>
      </w:r>
      <w:r w:rsidR="00241635">
        <w:t xml:space="preserve">individual intake, </w:t>
      </w:r>
      <w:r w:rsidRPr="00EF14A1">
        <w:t>one-tailed test with alpha = .05, power = .80</w:t>
      </w:r>
      <w:bookmarkEnd w:id="50"/>
      <w:bookmarkEnd w:id="51"/>
      <w:bookmarkEnd w:id="52"/>
    </w:p>
    <w:p w:rsidR="004A7048" w:rsidRPr="003D1E25" w:rsidRDefault="004A7048" w:rsidP="004A7048">
      <w:pPr>
        <w:pStyle w:val="TT-TableTitle"/>
      </w:pPr>
    </w:p>
    <w:tbl>
      <w:tblPr>
        <w:tblW w:w="0" w:type="auto"/>
        <w:tblInd w:w="93" w:type="dxa"/>
        <w:tblBorders>
          <w:top w:val="single" w:sz="4" w:space="0" w:color="auto"/>
          <w:bottom w:val="single" w:sz="4" w:space="0" w:color="auto"/>
        </w:tblBorders>
        <w:tblLook w:val="04A0" w:firstRow="1" w:lastRow="0" w:firstColumn="1" w:lastColumn="0" w:noHBand="0" w:noVBand="1"/>
      </w:tblPr>
      <w:tblGrid>
        <w:gridCol w:w="2545"/>
        <w:gridCol w:w="1476"/>
        <w:gridCol w:w="1226"/>
        <w:gridCol w:w="1874"/>
        <w:gridCol w:w="1504"/>
        <w:gridCol w:w="858"/>
      </w:tblGrid>
      <w:tr w:rsidR="008A6A7C" w:rsidRPr="006B16C3" w:rsidTr="00CB386A">
        <w:tc>
          <w:tcPr>
            <w:tcW w:w="2627" w:type="dxa"/>
            <w:tcBorders>
              <w:top w:val="single" w:sz="4" w:space="0" w:color="auto"/>
              <w:bottom w:val="single" w:sz="4" w:space="0" w:color="auto"/>
            </w:tcBorders>
            <w:shd w:val="clear" w:color="auto" w:fill="AFBED7"/>
            <w:vAlign w:val="bottom"/>
            <w:hideMark/>
          </w:tcPr>
          <w:p w:rsidR="008A6A7C" w:rsidRPr="007E5FEC" w:rsidRDefault="008A6A7C" w:rsidP="00067184">
            <w:pPr>
              <w:pStyle w:val="TH-TableHeading"/>
            </w:pPr>
            <w:r w:rsidRPr="007E5FEC">
              <w:t>Daily individual intake (NHANES)</w:t>
            </w:r>
          </w:p>
        </w:tc>
        <w:tc>
          <w:tcPr>
            <w:tcW w:w="1476" w:type="dxa"/>
            <w:tcBorders>
              <w:top w:val="single" w:sz="4" w:space="0" w:color="auto"/>
              <w:bottom w:val="single" w:sz="4" w:space="0" w:color="auto"/>
            </w:tcBorders>
            <w:shd w:val="clear" w:color="auto" w:fill="AFBED7"/>
            <w:vAlign w:val="bottom"/>
            <w:hideMark/>
          </w:tcPr>
          <w:p w:rsidR="008A6A7C" w:rsidRPr="007E5FEC" w:rsidRDefault="008A6A7C" w:rsidP="00067184">
            <w:pPr>
              <w:pStyle w:val="TH-TableHeading"/>
            </w:pPr>
            <w:r w:rsidRPr="007E5FEC">
              <w:t>Number of clusters in combined intervention group</w:t>
            </w:r>
          </w:p>
        </w:tc>
        <w:tc>
          <w:tcPr>
            <w:tcW w:w="1144" w:type="dxa"/>
            <w:tcBorders>
              <w:top w:val="single" w:sz="4" w:space="0" w:color="auto"/>
              <w:bottom w:val="single" w:sz="4" w:space="0" w:color="auto"/>
            </w:tcBorders>
            <w:shd w:val="clear" w:color="auto" w:fill="AFBED7"/>
          </w:tcPr>
          <w:p w:rsidR="008A6A7C" w:rsidRPr="007E5FEC" w:rsidRDefault="008A6A7C" w:rsidP="00067184">
            <w:pPr>
              <w:pStyle w:val="TH-TableHeading"/>
            </w:pPr>
            <w:r w:rsidRPr="007E5FEC">
              <w:t>Number of groups in combined comparison group</w:t>
            </w:r>
          </w:p>
        </w:tc>
        <w:tc>
          <w:tcPr>
            <w:tcW w:w="1874" w:type="dxa"/>
            <w:tcBorders>
              <w:top w:val="single" w:sz="4" w:space="0" w:color="auto"/>
              <w:bottom w:val="single" w:sz="4" w:space="0" w:color="auto"/>
            </w:tcBorders>
            <w:shd w:val="clear" w:color="auto" w:fill="AFBED7"/>
            <w:vAlign w:val="bottom"/>
            <w:hideMark/>
          </w:tcPr>
          <w:p w:rsidR="008A6A7C" w:rsidRPr="007E5FEC" w:rsidRDefault="008A6A7C" w:rsidP="00067184">
            <w:pPr>
              <w:pStyle w:val="TH-TableHeading"/>
              <w:rPr>
                <w:position w:val="6"/>
                <w:vertAlign w:val="superscript"/>
              </w:rPr>
            </w:pPr>
            <w:r w:rsidRPr="007E5FEC">
              <w:t xml:space="preserve">Combined intervention group </w:t>
            </w:r>
            <w:proofErr w:type="spellStart"/>
            <w:r w:rsidRPr="007E5FEC">
              <w:t>respondents</w:t>
            </w:r>
            <w:r w:rsidRPr="007E5FEC">
              <w:rPr>
                <w:vertAlign w:val="superscript"/>
              </w:rPr>
              <w:t>a</w:t>
            </w:r>
            <w:proofErr w:type="spellEnd"/>
          </w:p>
        </w:tc>
        <w:tc>
          <w:tcPr>
            <w:tcW w:w="1504" w:type="dxa"/>
            <w:tcBorders>
              <w:top w:val="single" w:sz="4" w:space="0" w:color="auto"/>
              <w:bottom w:val="single" w:sz="4" w:space="0" w:color="auto"/>
            </w:tcBorders>
            <w:shd w:val="clear" w:color="auto" w:fill="AFBED7"/>
            <w:vAlign w:val="bottom"/>
            <w:hideMark/>
          </w:tcPr>
          <w:p w:rsidR="008A6A7C" w:rsidRPr="007E5FEC" w:rsidRDefault="008A6A7C" w:rsidP="00067184">
            <w:pPr>
              <w:pStyle w:val="TH-TableHeading"/>
              <w:rPr>
                <w:position w:val="6"/>
              </w:rPr>
            </w:pPr>
            <w:r w:rsidRPr="007E5FEC">
              <w:t xml:space="preserve">Comparison group </w:t>
            </w:r>
            <w:proofErr w:type="spellStart"/>
            <w:r w:rsidRPr="007E5FEC">
              <w:t>respondents</w:t>
            </w:r>
            <w:r w:rsidRPr="007E5FEC">
              <w:rPr>
                <w:vertAlign w:val="superscript"/>
              </w:rPr>
              <w:t>a</w:t>
            </w:r>
            <w:proofErr w:type="spellEnd"/>
          </w:p>
        </w:tc>
        <w:tc>
          <w:tcPr>
            <w:tcW w:w="858" w:type="dxa"/>
            <w:tcBorders>
              <w:top w:val="single" w:sz="4" w:space="0" w:color="auto"/>
              <w:bottom w:val="single" w:sz="4" w:space="0" w:color="auto"/>
            </w:tcBorders>
            <w:shd w:val="clear" w:color="auto" w:fill="AFBED7"/>
            <w:vAlign w:val="bottom"/>
            <w:hideMark/>
          </w:tcPr>
          <w:p w:rsidR="008A6A7C" w:rsidRPr="007E5FEC" w:rsidRDefault="008A6A7C" w:rsidP="00067184">
            <w:pPr>
              <w:pStyle w:val="TH-TableHeading"/>
            </w:pPr>
            <w:proofErr w:type="spellStart"/>
            <w:r w:rsidRPr="007E5FEC">
              <w:t>MDD</w:t>
            </w:r>
            <w:r w:rsidRPr="007E5FEC">
              <w:rPr>
                <w:vertAlign w:val="superscript"/>
              </w:rPr>
              <w:t>b</w:t>
            </w:r>
            <w:proofErr w:type="spellEnd"/>
            <w:r w:rsidRPr="007E5FEC">
              <w:br/>
              <w:t>(cups)</w:t>
            </w:r>
          </w:p>
        </w:tc>
      </w:tr>
      <w:tr w:rsidR="008A6A7C" w:rsidRPr="006B16C3" w:rsidTr="00CB386A">
        <w:tc>
          <w:tcPr>
            <w:tcW w:w="2627" w:type="dxa"/>
            <w:vMerge w:val="restart"/>
            <w:tcBorders>
              <w:top w:val="single" w:sz="4" w:space="0" w:color="auto"/>
            </w:tcBorders>
            <w:vAlign w:val="center"/>
            <w:hideMark/>
          </w:tcPr>
          <w:p w:rsidR="008A6A7C" w:rsidRPr="007E5FEC" w:rsidRDefault="008A6A7C" w:rsidP="00E2353A">
            <w:pPr>
              <w:pStyle w:val="TX-TableText"/>
            </w:pPr>
            <w:r w:rsidRPr="007E5FEC">
              <w:br/>
            </w:r>
            <w:r w:rsidR="003C6AA0">
              <w:t>F</w:t>
            </w:r>
            <w:r w:rsidRPr="007E5FEC">
              <w:t>ruit and vegetables (excluding juice, potatoes, legumes)</w:t>
            </w:r>
            <w:r w:rsidR="00E2353A" w:rsidRPr="007E5FEC">
              <w:rPr>
                <w:position w:val="6"/>
                <w:vertAlign w:val="superscript"/>
              </w:rPr>
              <w:t xml:space="preserve"> c</w:t>
            </w:r>
          </w:p>
        </w:tc>
        <w:tc>
          <w:tcPr>
            <w:tcW w:w="1476" w:type="dxa"/>
            <w:tcBorders>
              <w:top w:val="single" w:sz="4" w:space="0" w:color="auto"/>
              <w:bottom w:val="nil"/>
            </w:tcBorders>
            <w:shd w:val="clear" w:color="auto" w:fill="auto"/>
            <w:noWrap/>
            <w:vAlign w:val="bottom"/>
          </w:tcPr>
          <w:p w:rsidR="008A6A7C" w:rsidRPr="007E5FEC" w:rsidRDefault="008A6A7C" w:rsidP="00067184">
            <w:pPr>
              <w:pStyle w:val="TX-TableText"/>
              <w:jc w:val="center"/>
            </w:pPr>
            <w:r w:rsidRPr="007E5FEC">
              <w:t>4</w:t>
            </w:r>
          </w:p>
        </w:tc>
        <w:tc>
          <w:tcPr>
            <w:tcW w:w="1144" w:type="dxa"/>
            <w:tcBorders>
              <w:top w:val="single" w:sz="4" w:space="0" w:color="auto"/>
              <w:bottom w:val="nil"/>
            </w:tcBorders>
            <w:vAlign w:val="bottom"/>
          </w:tcPr>
          <w:p w:rsidR="008A6A7C" w:rsidRPr="007E5FEC" w:rsidRDefault="008A6A7C" w:rsidP="00067184">
            <w:pPr>
              <w:pStyle w:val="TX-TableText"/>
              <w:jc w:val="center"/>
            </w:pPr>
            <w:r w:rsidRPr="007E5FEC">
              <w:t>2</w:t>
            </w:r>
          </w:p>
        </w:tc>
        <w:tc>
          <w:tcPr>
            <w:tcW w:w="1874" w:type="dxa"/>
            <w:tcBorders>
              <w:top w:val="single" w:sz="4" w:space="0" w:color="auto"/>
              <w:bottom w:val="nil"/>
            </w:tcBorders>
            <w:shd w:val="clear" w:color="auto" w:fill="auto"/>
            <w:noWrap/>
            <w:vAlign w:val="bottom"/>
          </w:tcPr>
          <w:p w:rsidR="008A6A7C" w:rsidRPr="007E5FEC" w:rsidRDefault="008A6A7C" w:rsidP="00067184">
            <w:pPr>
              <w:pStyle w:val="TX-TableText"/>
              <w:tabs>
                <w:tab w:val="decimal" w:pos="1050"/>
              </w:tabs>
              <w:jc w:val="both"/>
            </w:pPr>
            <w:r w:rsidRPr="007E5FEC">
              <w:t>1,540</w:t>
            </w:r>
          </w:p>
        </w:tc>
        <w:tc>
          <w:tcPr>
            <w:tcW w:w="1504" w:type="dxa"/>
            <w:tcBorders>
              <w:top w:val="single" w:sz="4" w:space="0" w:color="auto"/>
              <w:bottom w:val="nil"/>
            </w:tcBorders>
            <w:shd w:val="clear" w:color="auto" w:fill="auto"/>
            <w:noWrap/>
            <w:vAlign w:val="bottom"/>
          </w:tcPr>
          <w:p w:rsidR="008A6A7C" w:rsidRPr="007E5FEC" w:rsidRDefault="008A6A7C" w:rsidP="00067184">
            <w:pPr>
              <w:pStyle w:val="TX-TableText"/>
              <w:jc w:val="center"/>
            </w:pPr>
            <w:r w:rsidRPr="007E5FEC">
              <w:t>770</w:t>
            </w:r>
          </w:p>
        </w:tc>
        <w:tc>
          <w:tcPr>
            <w:tcW w:w="858" w:type="dxa"/>
            <w:tcBorders>
              <w:top w:val="single" w:sz="4" w:space="0" w:color="auto"/>
              <w:bottom w:val="nil"/>
            </w:tcBorders>
            <w:shd w:val="clear" w:color="auto" w:fill="auto"/>
            <w:noWrap/>
            <w:vAlign w:val="bottom"/>
          </w:tcPr>
          <w:p w:rsidR="008A6A7C" w:rsidRPr="007E5FEC" w:rsidRDefault="008A6A7C" w:rsidP="00067184">
            <w:pPr>
              <w:pStyle w:val="TX-TableText"/>
              <w:jc w:val="center"/>
            </w:pPr>
            <w:r w:rsidRPr="007E5FEC">
              <w:t>0.15</w:t>
            </w:r>
          </w:p>
        </w:tc>
      </w:tr>
      <w:tr w:rsidR="00CB386A" w:rsidRPr="006B16C3" w:rsidTr="00CB386A">
        <w:tc>
          <w:tcPr>
            <w:tcW w:w="2627" w:type="dxa"/>
            <w:vMerge/>
            <w:tcBorders>
              <w:top w:val="single" w:sz="4" w:space="0" w:color="auto"/>
            </w:tcBorders>
            <w:vAlign w:val="center"/>
          </w:tcPr>
          <w:p w:rsidR="00CB386A" w:rsidRPr="007E5FEC" w:rsidRDefault="00CB386A" w:rsidP="00067184">
            <w:pPr>
              <w:pStyle w:val="TX-TableText"/>
            </w:pPr>
          </w:p>
        </w:tc>
        <w:tc>
          <w:tcPr>
            <w:tcW w:w="1476" w:type="dxa"/>
            <w:tcBorders>
              <w:top w:val="nil"/>
              <w:bottom w:val="nil"/>
            </w:tcBorders>
            <w:shd w:val="clear" w:color="auto" w:fill="auto"/>
            <w:noWrap/>
            <w:vAlign w:val="bottom"/>
          </w:tcPr>
          <w:p w:rsidR="00CB386A" w:rsidRPr="007E5FEC" w:rsidRDefault="00CB386A" w:rsidP="00067184">
            <w:pPr>
              <w:pStyle w:val="TX-TableText"/>
              <w:jc w:val="center"/>
            </w:pPr>
          </w:p>
        </w:tc>
        <w:tc>
          <w:tcPr>
            <w:tcW w:w="1144" w:type="dxa"/>
            <w:tcBorders>
              <w:top w:val="nil"/>
              <w:bottom w:val="nil"/>
            </w:tcBorders>
            <w:vAlign w:val="bottom"/>
          </w:tcPr>
          <w:p w:rsidR="00CB386A" w:rsidRPr="007E5FEC" w:rsidRDefault="00CB386A" w:rsidP="00067184">
            <w:pPr>
              <w:pStyle w:val="TX-TableText"/>
              <w:jc w:val="center"/>
            </w:pPr>
          </w:p>
        </w:tc>
        <w:tc>
          <w:tcPr>
            <w:tcW w:w="1874" w:type="dxa"/>
            <w:tcBorders>
              <w:top w:val="nil"/>
              <w:bottom w:val="nil"/>
            </w:tcBorders>
            <w:shd w:val="clear" w:color="auto" w:fill="auto"/>
            <w:noWrap/>
            <w:vAlign w:val="bottom"/>
          </w:tcPr>
          <w:p w:rsidR="00CB386A" w:rsidRPr="007E5FEC" w:rsidRDefault="00CB386A" w:rsidP="00067184">
            <w:pPr>
              <w:pStyle w:val="TX-TableText"/>
              <w:tabs>
                <w:tab w:val="decimal" w:pos="1050"/>
              </w:tabs>
              <w:jc w:val="both"/>
            </w:pPr>
          </w:p>
        </w:tc>
        <w:tc>
          <w:tcPr>
            <w:tcW w:w="1504" w:type="dxa"/>
            <w:tcBorders>
              <w:top w:val="nil"/>
              <w:bottom w:val="nil"/>
            </w:tcBorders>
            <w:shd w:val="clear" w:color="auto" w:fill="auto"/>
            <w:noWrap/>
            <w:vAlign w:val="bottom"/>
          </w:tcPr>
          <w:p w:rsidR="00CB386A" w:rsidRPr="007E5FEC" w:rsidRDefault="00CB386A" w:rsidP="00067184">
            <w:pPr>
              <w:pStyle w:val="TX-TableText"/>
              <w:jc w:val="center"/>
            </w:pPr>
          </w:p>
        </w:tc>
        <w:tc>
          <w:tcPr>
            <w:tcW w:w="858" w:type="dxa"/>
            <w:tcBorders>
              <w:top w:val="nil"/>
              <w:bottom w:val="nil"/>
            </w:tcBorders>
            <w:shd w:val="clear" w:color="auto" w:fill="auto"/>
            <w:noWrap/>
            <w:vAlign w:val="bottom"/>
          </w:tcPr>
          <w:p w:rsidR="00CB386A" w:rsidRPr="007E5FEC" w:rsidRDefault="00CB386A" w:rsidP="00067184">
            <w:pPr>
              <w:pStyle w:val="TX-TableText"/>
              <w:jc w:val="center"/>
            </w:pPr>
          </w:p>
        </w:tc>
      </w:tr>
      <w:tr w:rsidR="008A6A7C" w:rsidRPr="006B16C3" w:rsidTr="00CB386A">
        <w:tc>
          <w:tcPr>
            <w:tcW w:w="2627" w:type="dxa"/>
            <w:vMerge/>
            <w:vAlign w:val="center"/>
            <w:hideMark/>
          </w:tcPr>
          <w:p w:rsidR="008A6A7C" w:rsidRPr="007E5FEC" w:rsidRDefault="008A6A7C" w:rsidP="00067184">
            <w:pPr>
              <w:pStyle w:val="TX-TableText"/>
            </w:pPr>
          </w:p>
        </w:tc>
        <w:tc>
          <w:tcPr>
            <w:tcW w:w="1476" w:type="dxa"/>
            <w:tcBorders>
              <w:top w:val="nil"/>
            </w:tcBorders>
            <w:shd w:val="clear" w:color="auto" w:fill="auto"/>
            <w:noWrap/>
            <w:vAlign w:val="bottom"/>
            <w:hideMark/>
          </w:tcPr>
          <w:p w:rsidR="008A6A7C" w:rsidRPr="007E5FEC" w:rsidRDefault="008A6A7C" w:rsidP="00067184">
            <w:pPr>
              <w:pStyle w:val="TX-TableText"/>
              <w:jc w:val="center"/>
            </w:pPr>
            <w:r w:rsidRPr="007E5FEC">
              <w:t>4</w:t>
            </w:r>
          </w:p>
        </w:tc>
        <w:tc>
          <w:tcPr>
            <w:tcW w:w="1144" w:type="dxa"/>
            <w:tcBorders>
              <w:top w:val="nil"/>
            </w:tcBorders>
            <w:vAlign w:val="bottom"/>
          </w:tcPr>
          <w:p w:rsidR="008A6A7C" w:rsidRPr="007E5FEC" w:rsidRDefault="008A6A7C" w:rsidP="00067184">
            <w:pPr>
              <w:pStyle w:val="TX-TableText"/>
              <w:jc w:val="center"/>
            </w:pPr>
            <w:r w:rsidRPr="007E5FEC">
              <w:t>1</w:t>
            </w:r>
          </w:p>
        </w:tc>
        <w:tc>
          <w:tcPr>
            <w:tcW w:w="1874" w:type="dxa"/>
            <w:tcBorders>
              <w:top w:val="nil"/>
            </w:tcBorders>
            <w:shd w:val="clear" w:color="auto" w:fill="auto"/>
            <w:noWrap/>
            <w:vAlign w:val="bottom"/>
            <w:hideMark/>
          </w:tcPr>
          <w:p w:rsidR="008A6A7C" w:rsidRPr="007E5FEC" w:rsidRDefault="008A6A7C" w:rsidP="00067184">
            <w:pPr>
              <w:pStyle w:val="TX-TableText"/>
              <w:tabs>
                <w:tab w:val="decimal" w:pos="1050"/>
              </w:tabs>
              <w:jc w:val="both"/>
            </w:pPr>
            <w:r w:rsidRPr="007E5FEC">
              <w:t>1,540</w:t>
            </w:r>
          </w:p>
        </w:tc>
        <w:tc>
          <w:tcPr>
            <w:tcW w:w="1504" w:type="dxa"/>
            <w:tcBorders>
              <w:top w:val="nil"/>
            </w:tcBorders>
            <w:shd w:val="clear" w:color="auto" w:fill="auto"/>
            <w:noWrap/>
            <w:vAlign w:val="bottom"/>
            <w:hideMark/>
          </w:tcPr>
          <w:p w:rsidR="008A6A7C" w:rsidRPr="007E5FEC" w:rsidRDefault="008A6A7C" w:rsidP="00067184">
            <w:pPr>
              <w:pStyle w:val="TX-TableText"/>
              <w:jc w:val="center"/>
            </w:pPr>
            <w:r w:rsidRPr="007E5FEC">
              <w:t>385</w:t>
            </w:r>
          </w:p>
        </w:tc>
        <w:tc>
          <w:tcPr>
            <w:tcW w:w="858" w:type="dxa"/>
            <w:tcBorders>
              <w:top w:val="nil"/>
            </w:tcBorders>
            <w:shd w:val="clear" w:color="auto" w:fill="auto"/>
            <w:noWrap/>
            <w:vAlign w:val="bottom"/>
            <w:hideMark/>
          </w:tcPr>
          <w:p w:rsidR="008A6A7C" w:rsidRPr="007E5FEC" w:rsidRDefault="008A6A7C" w:rsidP="00067184">
            <w:pPr>
              <w:pStyle w:val="TX-TableText"/>
              <w:jc w:val="center"/>
            </w:pPr>
            <w:r w:rsidRPr="007E5FEC">
              <w:t>0.20</w:t>
            </w:r>
          </w:p>
        </w:tc>
      </w:tr>
      <w:tr w:rsidR="00CB386A" w:rsidRPr="006B16C3" w:rsidTr="00CB386A">
        <w:tc>
          <w:tcPr>
            <w:tcW w:w="2627" w:type="dxa"/>
            <w:vMerge/>
            <w:vAlign w:val="center"/>
          </w:tcPr>
          <w:p w:rsidR="00CB386A" w:rsidRPr="007E5FEC" w:rsidRDefault="00CB386A" w:rsidP="00067184">
            <w:pPr>
              <w:pStyle w:val="TX-TableText"/>
            </w:pPr>
          </w:p>
        </w:tc>
        <w:tc>
          <w:tcPr>
            <w:tcW w:w="1476" w:type="dxa"/>
            <w:shd w:val="clear" w:color="auto" w:fill="auto"/>
            <w:noWrap/>
            <w:vAlign w:val="bottom"/>
          </w:tcPr>
          <w:p w:rsidR="00CB386A" w:rsidRPr="007E5FEC" w:rsidRDefault="00CB386A" w:rsidP="00067184">
            <w:pPr>
              <w:pStyle w:val="TX-TableText"/>
              <w:jc w:val="center"/>
            </w:pPr>
          </w:p>
        </w:tc>
        <w:tc>
          <w:tcPr>
            <w:tcW w:w="1144" w:type="dxa"/>
            <w:vAlign w:val="bottom"/>
          </w:tcPr>
          <w:p w:rsidR="00CB386A" w:rsidRPr="007E5FEC" w:rsidRDefault="00CB386A" w:rsidP="00067184">
            <w:pPr>
              <w:pStyle w:val="TX-TableText"/>
              <w:jc w:val="center"/>
            </w:pPr>
          </w:p>
        </w:tc>
        <w:tc>
          <w:tcPr>
            <w:tcW w:w="1874" w:type="dxa"/>
            <w:shd w:val="clear" w:color="auto" w:fill="auto"/>
            <w:noWrap/>
            <w:vAlign w:val="bottom"/>
          </w:tcPr>
          <w:p w:rsidR="00CB386A" w:rsidRPr="007E5FEC" w:rsidRDefault="00CB386A" w:rsidP="00067184">
            <w:pPr>
              <w:pStyle w:val="TX-TableText"/>
              <w:tabs>
                <w:tab w:val="decimal" w:pos="1050"/>
              </w:tabs>
              <w:jc w:val="both"/>
            </w:pPr>
          </w:p>
        </w:tc>
        <w:tc>
          <w:tcPr>
            <w:tcW w:w="1504" w:type="dxa"/>
            <w:shd w:val="clear" w:color="auto" w:fill="auto"/>
            <w:noWrap/>
            <w:vAlign w:val="bottom"/>
          </w:tcPr>
          <w:p w:rsidR="00CB386A" w:rsidRPr="007E5FEC" w:rsidRDefault="00CB386A" w:rsidP="00067184">
            <w:pPr>
              <w:pStyle w:val="TX-TableText"/>
              <w:jc w:val="center"/>
            </w:pPr>
          </w:p>
        </w:tc>
        <w:tc>
          <w:tcPr>
            <w:tcW w:w="858" w:type="dxa"/>
            <w:shd w:val="clear" w:color="auto" w:fill="auto"/>
            <w:noWrap/>
            <w:vAlign w:val="bottom"/>
          </w:tcPr>
          <w:p w:rsidR="00CB386A" w:rsidRPr="007E5FEC" w:rsidRDefault="00CB386A" w:rsidP="00067184">
            <w:pPr>
              <w:pStyle w:val="TX-TableText"/>
              <w:jc w:val="center"/>
            </w:pPr>
          </w:p>
        </w:tc>
      </w:tr>
      <w:tr w:rsidR="008A6A7C" w:rsidRPr="006B16C3" w:rsidTr="00CB386A">
        <w:tc>
          <w:tcPr>
            <w:tcW w:w="2627" w:type="dxa"/>
            <w:vMerge/>
            <w:vAlign w:val="center"/>
            <w:hideMark/>
          </w:tcPr>
          <w:p w:rsidR="008A6A7C" w:rsidRPr="007E5FEC" w:rsidRDefault="008A6A7C" w:rsidP="00067184">
            <w:pPr>
              <w:pStyle w:val="TX-TableText"/>
            </w:pPr>
          </w:p>
        </w:tc>
        <w:tc>
          <w:tcPr>
            <w:tcW w:w="1476" w:type="dxa"/>
            <w:shd w:val="clear" w:color="auto" w:fill="auto"/>
            <w:noWrap/>
            <w:vAlign w:val="bottom"/>
            <w:hideMark/>
          </w:tcPr>
          <w:p w:rsidR="008A6A7C" w:rsidRPr="007E5FEC" w:rsidRDefault="008A6A7C" w:rsidP="00067184">
            <w:pPr>
              <w:pStyle w:val="TX-TableText"/>
              <w:jc w:val="center"/>
            </w:pPr>
            <w:r w:rsidRPr="007E5FEC">
              <w:t>2</w:t>
            </w:r>
          </w:p>
        </w:tc>
        <w:tc>
          <w:tcPr>
            <w:tcW w:w="1144" w:type="dxa"/>
            <w:vAlign w:val="bottom"/>
          </w:tcPr>
          <w:p w:rsidR="008A6A7C" w:rsidRPr="007E5FEC" w:rsidRDefault="008A6A7C" w:rsidP="00067184">
            <w:pPr>
              <w:pStyle w:val="TX-TableText"/>
              <w:jc w:val="center"/>
            </w:pPr>
            <w:r w:rsidRPr="007E5FEC">
              <w:t>1</w:t>
            </w:r>
          </w:p>
        </w:tc>
        <w:tc>
          <w:tcPr>
            <w:tcW w:w="1874" w:type="dxa"/>
            <w:shd w:val="clear" w:color="auto" w:fill="auto"/>
            <w:noWrap/>
            <w:vAlign w:val="bottom"/>
            <w:hideMark/>
          </w:tcPr>
          <w:p w:rsidR="008A6A7C" w:rsidRPr="007E5FEC" w:rsidRDefault="008A6A7C" w:rsidP="00067184">
            <w:pPr>
              <w:pStyle w:val="TX-TableText"/>
              <w:tabs>
                <w:tab w:val="decimal" w:pos="1050"/>
              </w:tabs>
              <w:jc w:val="both"/>
            </w:pPr>
            <w:r w:rsidRPr="007E5FEC">
              <w:t>770</w:t>
            </w:r>
          </w:p>
        </w:tc>
        <w:tc>
          <w:tcPr>
            <w:tcW w:w="1504" w:type="dxa"/>
            <w:shd w:val="clear" w:color="auto" w:fill="auto"/>
            <w:noWrap/>
            <w:vAlign w:val="bottom"/>
            <w:hideMark/>
          </w:tcPr>
          <w:p w:rsidR="008A6A7C" w:rsidRPr="007E5FEC" w:rsidRDefault="008A6A7C" w:rsidP="00067184">
            <w:pPr>
              <w:pStyle w:val="TX-TableText"/>
              <w:jc w:val="center"/>
            </w:pPr>
            <w:r w:rsidRPr="007E5FEC">
              <w:t>385</w:t>
            </w:r>
          </w:p>
        </w:tc>
        <w:tc>
          <w:tcPr>
            <w:tcW w:w="858" w:type="dxa"/>
            <w:shd w:val="clear" w:color="auto" w:fill="auto"/>
            <w:noWrap/>
            <w:vAlign w:val="bottom"/>
            <w:hideMark/>
          </w:tcPr>
          <w:p w:rsidR="008A6A7C" w:rsidRPr="007E5FEC" w:rsidRDefault="008A6A7C" w:rsidP="00067184">
            <w:pPr>
              <w:pStyle w:val="TX-TableText"/>
              <w:jc w:val="center"/>
            </w:pPr>
            <w:r w:rsidRPr="007E5FEC">
              <w:t>0.22</w:t>
            </w:r>
          </w:p>
        </w:tc>
      </w:tr>
    </w:tbl>
    <w:p w:rsidR="008A6A7C" w:rsidRPr="007E5FEC" w:rsidRDefault="008A6A7C" w:rsidP="004A7048">
      <w:pPr>
        <w:pStyle w:val="TF-TblFN"/>
      </w:pPr>
      <w:proofErr w:type="gramStart"/>
      <w:r w:rsidRPr="007E5FEC">
        <w:rPr>
          <w:position w:val="6"/>
          <w:vertAlign w:val="superscript"/>
        </w:rPr>
        <w:t>a</w:t>
      </w:r>
      <w:proofErr w:type="gramEnd"/>
      <w:r w:rsidR="00067184">
        <w:tab/>
      </w:r>
      <w:r w:rsidRPr="007E5FEC">
        <w:t>Number of responding individuals providing pre- and post-intervention data.</w:t>
      </w:r>
    </w:p>
    <w:p w:rsidR="008A6A7C" w:rsidRPr="007E5FEC" w:rsidRDefault="008A6A7C" w:rsidP="004A7048">
      <w:pPr>
        <w:pStyle w:val="TF-TblFN"/>
      </w:pPr>
      <w:proofErr w:type="gramStart"/>
      <w:r w:rsidRPr="007E5FEC">
        <w:rPr>
          <w:position w:val="6"/>
          <w:vertAlign w:val="superscript"/>
        </w:rPr>
        <w:t>b</w:t>
      </w:r>
      <w:proofErr w:type="gramEnd"/>
      <w:r w:rsidR="00067184">
        <w:tab/>
      </w:r>
      <w:r w:rsidRPr="007E5FEC">
        <w:t>MDDs are for the difference between the intervention and comparison groups in the change in intakes from pre- to post-intervention. The calculations assume a weighting design effect (DEFF) of 1.1 and correlation between pre- and post- intervention measurements among the same respondents of 0.50.</w:t>
      </w:r>
    </w:p>
    <w:p w:rsidR="008A6A7C" w:rsidRPr="007E5FEC" w:rsidRDefault="008A6A7C" w:rsidP="004A7048">
      <w:pPr>
        <w:pStyle w:val="TF-TblFN"/>
        <w:rPr>
          <w:position w:val="6"/>
        </w:rPr>
      </w:pPr>
      <w:proofErr w:type="gramStart"/>
      <w:r w:rsidRPr="007E5FEC">
        <w:rPr>
          <w:position w:val="6"/>
          <w:vertAlign w:val="superscript"/>
        </w:rPr>
        <w:t>c</w:t>
      </w:r>
      <w:proofErr w:type="gramEnd"/>
      <w:r w:rsidR="00067184">
        <w:rPr>
          <w:position w:val="6"/>
          <w:vertAlign w:val="superscript"/>
        </w:rPr>
        <w:tab/>
      </w:r>
      <w:r w:rsidRPr="007E5FEC">
        <w:rPr>
          <w:position w:val="6"/>
        </w:rPr>
        <w:t>Assumes an underlying standard deviation of approximately 1.3 based on NHANES tabulations.</w:t>
      </w:r>
    </w:p>
    <w:p w:rsidR="008A6A7C" w:rsidRDefault="008A6A7C" w:rsidP="001B265D">
      <w:pPr>
        <w:pStyle w:val="L1-FlLSp12"/>
      </w:pPr>
    </w:p>
    <w:p w:rsidR="00241635" w:rsidRDefault="00241635" w:rsidP="00241635">
      <w:pPr>
        <w:pStyle w:val="TT-TableTitle"/>
      </w:pPr>
      <w:r>
        <w:t>Table B2.4.</w:t>
      </w:r>
      <w:r>
        <w:tab/>
      </w:r>
      <w:r w:rsidRPr="00491C2F">
        <w:t xml:space="preserve">Minimum detectable difference (MDD) between groups of clusters and the control group for </w:t>
      </w:r>
      <w:r>
        <w:t xml:space="preserve">food insecurity status, </w:t>
      </w:r>
      <w:r w:rsidRPr="00491C2F">
        <w:t>one-tailed test with alpha = .05, power = .80</w:t>
      </w:r>
    </w:p>
    <w:p w:rsidR="00241635" w:rsidRDefault="00241635" w:rsidP="00241635">
      <w:pPr>
        <w:pStyle w:val="L1-FlLSp12"/>
      </w:pPr>
    </w:p>
    <w:tbl>
      <w:tblPr>
        <w:tblW w:w="9465" w:type="dxa"/>
        <w:tblInd w:w="93" w:type="dxa"/>
        <w:tblBorders>
          <w:top w:val="single" w:sz="4" w:space="0" w:color="auto"/>
          <w:bottom w:val="single" w:sz="4" w:space="0" w:color="auto"/>
        </w:tblBorders>
        <w:tblLayout w:type="fixed"/>
        <w:tblLook w:val="04A0" w:firstRow="1" w:lastRow="0" w:firstColumn="1" w:lastColumn="0" w:noHBand="0" w:noVBand="1"/>
      </w:tblPr>
      <w:tblGrid>
        <w:gridCol w:w="1275"/>
        <w:gridCol w:w="1260"/>
        <w:gridCol w:w="1350"/>
        <w:gridCol w:w="1350"/>
        <w:gridCol w:w="630"/>
        <w:gridCol w:w="720"/>
        <w:gridCol w:w="630"/>
        <w:gridCol w:w="720"/>
        <w:gridCol w:w="720"/>
        <w:gridCol w:w="810"/>
      </w:tblGrid>
      <w:tr w:rsidR="00241635" w:rsidRPr="009A756C" w:rsidTr="000A4805">
        <w:tc>
          <w:tcPr>
            <w:tcW w:w="1275" w:type="dxa"/>
            <w:vMerge w:val="restart"/>
            <w:tcBorders>
              <w:top w:val="single" w:sz="4" w:space="0" w:color="auto"/>
            </w:tcBorders>
            <w:shd w:val="clear" w:color="auto" w:fill="AFBED7"/>
            <w:vAlign w:val="bottom"/>
          </w:tcPr>
          <w:p w:rsidR="00241635" w:rsidRPr="009A756C" w:rsidRDefault="00241635" w:rsidP="00E57E9B">
            <w:pPr>
              <w:pStyle w:val="TH-TableHeading"/>
            </w:pPr>
            <w:r w:rsidRPr="009A756C">
              <w:t>Number of clusters in combined intervention group</w:t>
            </w:r>
          </w:p>
        </w:tc>
        <w:tc>
          <w:tcPr>
            <w:tcW w:w="1260" w:type="dxa"/>
            <w:vMerge w:val="restart"/>
            <w:tcBorders>
              <w:top w:val="single" w:sz="4" w:space="0" w:color="auto"/>
            </w:tcBorders>
            <w:shd w:val="clear" w:color="auto" w:fill="AFBED7"/>
          </w:tcPr>
          <w:p w:rsidR="00241635" w:rsidRPr="009A756C" w:rsidRDefault="00241635" w:rsidP="00E57E9B">
            <w:pPr>
              <w:pStyle w:val="TH-TableHeading"/>
            </w:pPr>
            <w:r w:rsidRPr="009A756C">
              <w:t>Number of groups in combined comparison group</w:t>
            </w:r>
          </w:p>
        </w:tc>
        <w:tc>
          <w:tcPr>
            <w:tcW w:w="1350" w:type="dxa"/>
            <w:vMerge w:val="restart"/>
            <w:tcBorders>
              <w:top w:val="single" w:sz="4" w:space="0" w:color="auto"/>
            </w:tcBorders>
            <w:shd w:val="clear" w:color="auto" w:fill="AFBED7"/>
            <w:vAlign w:val="bottom"/>
          </w:tcPr>
          <w:p w:rsidR="00241635" w:rsidRPr="009A756C" w:rsidRDefault="00241635" w:rsidP="00E57E9B">
            <w:pPr>
              <w:pStyle w:val="TH-TableHeading"/>
            </w:pPr>
            <w:r w:rsidRPr="009A756C">
              <w:t xml:space="preserve">Combined intervention group </w:t>
            </w:r>
            <w:proofErr w:type="spellStart"/>
            <w:r w:rsidRPr="009A756C">
              <w:t>respondents</w:t>
            </w:r>
            <w:r w:rsidRPr="009A756C">
              <w:rPr>
                <w:vertAlign w:val="superscript"/>
              </w:rPr>
              <w:t>a</w:t>
            </w:r>
            <w:proofErr w:type="spellEnd"/>
          </w:p>
        </w:tc>
        <w:tc>
          <w:tcPr>
            <w:tcW w:w="1350" w:type="dxa"/>
            <w:vMerge w:val="restart"/>
            <w:tcBorders>
              <w:top w:val="single" w:sz="4" w:space="0" w:color="auto"/>
              <w:right w:val="single" w:sz="4" w:space="0" w:color="auto"/>
            </w:tcBorders>
            <w:shd w:val="clear" w:color="auto" w:fill="AFBED7"/>
            <w:vAlign w:val="bottom"/>
          </w:tcPr>
          <w:p w:rsidR="00241635" w:rsidRPr="009A756C" w:rsidRDefault="00241635" w:rsidP="00E57E9B">
            <w:pPr>
              <w:pStyle w:val="TH-TableHeading"/>
            </w:pPr>
            <w:r w:rsidRPr="009A756C">
              <w:t xml:space="preserve">Comparison group </w:t>
            </w:r>
            <w:proofErr w:type="spellStart"/>
            <w:r w:rsidRPr="009A756C">
              <w:t>respondents</w:t>
            </w:r>
            <w:r w:rsidRPr="009A756C">
              <w:rPr>
                <w:vertAlign w:val="superscript"/>
              </w:rPr>
              <w:t>a</w:t>
            </w:r>
            <w:proofErr w:type="spellEnd"/>
          </w:p>
        </w:tc>
        <w:tc>
          <w:tcPr>
            <w:tcW w:w="4230" w:type="dxa"/>
            <w:gridSpan w:val="6"/>
            <w:tcBorders>
              <w:top w:val="single" w:sz="4" w:space="0" w:color="auto"/>
              <w:left w:val="single" w:sz="4" w:space="0" w:color="auto"/>
              <w:bottom w:val="single" w:sz="4" w:space="0" w:color="auto"/>
            </w:tcBorders>
            <w:shd w:val="clear" w:color="auto" w:fill="AFBED7"/>
            <w:vAlign w:val="bottom"/>
          </w:tcPr>
          <w:p w:rsidR="00241635" w:rsidRPr="00040962" w:rsidRDefault="00241635" w:rsidP="00E57E9B">
            <w:pPr>
              <w:pStyle w:val="TH-TableHeading"/>
              <w:rPr>
                <w:i/>
              </w:rPr>
            </w:pPr>
            <w:r w:rsidRPr="00B677AA">
              <w:t xml:space="preserve">Food Insecurity Status </w:t>
            </w:r>
            <w:r>
              <w:t xml:space="preserve">and MDD </w:t>
            </w:r>
            <w:r w:rsidRPr="00B677AA">
              <w:t>(%)</w:t>
            </w:r>
            <w:r w:rsidRPr="00040962">
              <w:rPr>
                <w:i/>
                <w:vertAlign w:val="superscript"/>
              </w:rPr>
              <w:t>b</w:t>
            </w:r>
          </w:p>
        </w:tc>
      </w:tr>
      <w:tr w:rsidR="000A4805" w:rsidRPr="009A756C" w:rsidTr="000A4805">
        <w:tc>
          <w:tcPr>
            <w:tcW w:w="1275" w:type="dxa"/>
            <w:vMerge/>
            <w:tcBorders>
              <w:bottom w:val="single" w:sz="4" w:space="0" w:color="auto"/>
            </w:tcBorders>
            <w:shd w:val="clear" w:color="auto" w:fill="AFBED7"/>
            <w:vAlign w:val="bottom"/>
            <w:hideMark/>
          </w:tcPr>
          <w:p w:rsidR="00241635" w:rsidRPr="009A756C" w:rsidRDefault="00241635" w:rsidP="00E57E9B">
            <w:pPr>
              <w:pStyle w:val="TH-TableHeading"/>
            </w:pPr>
          </w:p>
        </w:tc>
        <w:tc>
          <w:tcPr>
            <w:tcW w:w="1260" w:type="dxa"/>
            <w:vMerge/>
            <w:tcBorders>
              <w:bottom w:val="single" w:sz="4" w:space="0" w:color="auto"/>
            </w:tcBorders>
            <w:shd w:val="clear" w:color="auto" w:fill="AFBED7"/>
          </w:tcPr>
          <w:p w:rsidR="00241635" w:rsidRPr="009A756C" w:rsidRDefault="00241635" w:rsidP="00E57E9B">
            <w:pPr>
              <w:pStyle w:val="TH-TableHeading"/>
            </w:pPr>
          </w:p>
        </w:tc>
        <w:tc>
          <w:tcPr>
            <w:tcW w:w="1350" w:type="dxa"/>
            <w:vMerge/>
            <w:tcBorders>
              <w:bottom w:val="single" w:sz="4" w:space="0" w:color="auto"/>
            </w:tcBorders>
            <w:shd w:val="clear" w:color="auto" w:fill="AFBED7"/>
            <w:vAlign w:val="bottom"/>
            <w:hideMark/>
          </w:tcPr>
          <w:p w:rsidR="00241635" w:rsidRPr="009A756C" w:rsidRDefault="00241635" w:rsidP="00E57E9B">
            <w:pPr>
              <w:pStyle w:val="TH-TableHeading"/>
              <w:rPr>
                <w:position w:val="6"/>
                <w:vertAlign w:val="superscript"/>
              </w:rPr>
            </w:pPr>
          </w:p>
        </w:tc>
        <w:tc>
          <w:tcPr>
            <w:tcW w:w="1350" w:type="dxa"/>
            <w:vMerge/>
            <w:tcBorders>
              <w:bottom w:val="single" w:sz="4" w:space="0" w:color="auto"/>
              <w:right w:val="single" w:sz="4" w:space="0" w:color="auto"/>
            </w:tcBorders>
            <w:shd w:val="clear" w:color="auto" w:fill="AFBED7"/>
            <w:vAlign w:val="bottom"/>
            <w:hideMark/>
          </w:tcPr>
          <w:p w:rsidR="00241635" w:rsidRPr="009A756C" w:rsidRDefault="00241635" w:rsidP="00E57E9B">
            <w:pPr>
              <w:pStyle w:val="TH-TableHeading"/>
              <w:rPr>
                <w:position w:val="6"/>
              </w:rPr>
            </w:pPr>
          </w:p>
        </w:tc>
        <w:tc>
          <w:tcPr>
            <w:tcW w:w="630" w:type="dxa"/>
            <w:tcBorders>
              <w:top w:val="single" w:sz="4" w:space="0" w:color="auto"/>
              <w:left w:val="single" w:sz="4" w:space="0" w:color="auto"/>
              <w:bottom w:val="single" w:sz="4" w:space="0" w:color="auto"/>
            </w:tcBorders>
            <w:shd w:val="clear" w:color="auto" w:fill="AFBED7"/>
            <w:vAlign w:val="bottom"/>
          </w:tcPr>
          <w:p w:rsidR="00241635" w:rsidRPr="00B677AA" w:rsidRDefault="00241635" w:rsidP="00E57E9B">
            <w:pPr>
              <w:pStyle w:val="TH-TableHeading"/>
            </w:pPr>
            <w:r w:rsidRPr="00B677AA">
              <w:t>All</w:t>
            </w:r>
          </w:p>
        </w:tc>
        <w:tc>
          <w:tcPr>
            <w:tcW w:w="720" w:type="dxa"/>
            <w:tcBorders>
              <w:top w:val="single" w:sz="4" w:space="0" w:color="auto"/>
              <w:bottom w:val="single" w:sz="4" w:space="0" w:color="auto"/>
              <w:right w:val="single" w:sz="4" w:space="0" w:color="auto"/>
            </w:tcBorders>
            <w:shd w:val="clear" w:color="auto" w:fill="AFBED7"/>
            <w:vAlign w:val="bottom"/>
          </w:tcPr>
          <w:p w:rsidR="00241635" w:rsidRPr="009A756C" w:rsidRDefault="00241635" w:rsidP="00E57E9B">
            <w:pPr>
              <w:pStyle w:val="TH-TableHeading"/>
            </w:pPr>
            <w:proofErr w:type="spellStart"/>
            <w:r>
              <w:t>MDD</w:t>
            </w:r>
            <w:r w:rsidRPr="00040962">
              <w:rPr>
                <w:vertAlign w:val="superscript"/>
              </w:rPr>
              <w:t>c</w:t>
            </w:r>
            <w:proofErr w:type="spellEnd"/>
          </w:p>
        </w:tc>
        <w:tc>
          <w:tcPr>
            <w:tcW w:w="630" w:type="dxa"/>
            <w:tcBorders>
              <w:top w:val="single" w:sz="4" w:space="0" w:color="auto"/>
              <w:left w:val="single" w:sz="4" w:space="0" w:color="auto"/>
              <w:bottom w:val="single" w:sz="4" w:space="0" w:color="auto"/>
            </w:tcBorders>
            <w:shd w:val="clear" w:color="auto" w:fill="AFBED7"/>
            <w:vAlign w:val="bottom"/>
          </w:tcPr>
          <w:p w:rsidR="00241635" w:rsidRPr="009A756C" w:rsidRDefault="00241635" w:rsidP="00E57E9B">
            <w:pPr>
              <w:pStyle w:val="TH-TableHeading"/>
            </w:pPr>
            <w:r>
              <w:t>Low</w:t>
            </w:r>
          </w:p>
        </w:tc>
        <w:tc>
          <w:tcPr>
            <w:tcW w:w="720" w:type="dxa"/>
            <w:tcBorders>
              <w:top w:val="single" w:sz="4" w:space="0" w:color="auto"/>
              <w:bottom w:val="single" w:sz="4" w:space="0" w:color="auto"/>
              <w:right w:val="single" w:sz="4" w:space="0" w:color="auto"/>
            </w:tcBorders>
            <w:shd w:val="clear" w:color="auto" w:fill="AFBED7"/>
            <w:vAlign w:val="bottom"/>
          </w:tcPr>
          <w:p w:rsidR="00241635" w:rsidRPr="009A756C" w:rsidRDefault="00241635" w:rsidP="00E57E9B">
            <w:pPr>
              <w:pStyle w:val="TH-TableHeading"/>
            </w:pPr>
            <w:proofErr w:type="spellStart"/>
            <w:r>
              <w:t>MDD</w:t>
            </w:r>
            <w:r w:rsidRPr="00040962">
              <w:rPr>
                <w:vertAlign w:val="superscript"/>
              </w:rPr>
              <w:t>c</w:t>
            </w:r>
            <w:proofErr w:type="spellEnd"/>
          </w:p>
        </w:tc>
        <w:tc>
          <w:tcPr>
            <w:tcW w:w="720" w:type="dxa"/>
            <w:tcBorders>
              <w:top w:val="single" w:sz="4" w:space="0" w:color="auto"/>
              <w:left w:val="single" w:sz="4" w:space="0" w:color="auto"/>
              <w:bottom w:val="single" w:sz="4" w:space="0" w:color="auto"/>
            </w:tcBorders>
            <w:shd w:val="clear" w:color="auto" w:fill="AFBED7"/>
            <w:vAlign w:val="bottom"/>
          </w:tcPr>
          <w:p w:rsidR="00241635" w:rsidRDefault="00241635" w:rsidP="00E57E9B">
            <w:pPr>
              <w:pStyle w:val="TH-TableHeading"/>
            </w:pPr>
            <w:r>
              <w:t>Very Low</w:t>
            </w:r>
          </w:p>
        </w:tc>
        <w:tc>
          <w:tcPr>
            <w:tcW w:w="810" w:type="dxa"/>
            <w:tcBorders>
              <w:top w:val="single" w:sz="4" w:space="0" w:color="auto"/>
              <w:bottom w:val="single" w:sz="4" w:space="0" w:color="auto"/>
            </w:tcBorders>
            <w:shd w:val="clear" w:color="auto" w:fill="AFBED7"/>
            <w:vAlign w:val="bottom"/>
          </w:tcPr>
          <w:p w:rsidR="00241635" w:rsidRDefault="00241635" w:rsidP="00E57E9B">
            <w:pPr>
              <w:pStyle w:val="TH-TableHeading"/>
            </w:pPr>
            <w:proofErr w:type="spellStart"/>
            <w:r>
              <w:t>MDD</w:t>
            </w:r>
            <w:r w:rsidRPr="00040962">
              <w:rPr>
                <w:vertAlign w:val="superscript"/>
              </w:rPr>
              <w:t>c</w:t>
            </w:r>
            <w:proofErr w:type="spellEnd"/>
          </w:p>
        </w:tc>
      </w:tr>
      <w:tr w:rsidR="000A4805" w:rsidRPr="009A756C" w:rsidTr="000A4805">
        <w:tc>
          <w:tcPr>
            <w:tcW w:w="1275" w:type="dxa"/>
            <w:tcBorders>
              <w:top w:val="single" w:sz="4" w:space="0" w:color="auto"/>
            </w:tcBorders>
            <w:shd w:val="clear" w:color="auto" w:fill="auto"/>
            <w:noWrap/>
            <w:vAlign w:val="bottom"/>
          </w:tcPr>
          <w:p w:rsidR="00241635" w:rsidRPr="009A756C" w:rsidRDefault="00241635" w:rsidP="00E57E9B">
            <w:pPr>
              <w:pStyle w:val="TX-TableText"/>
              <w:jc w:val="center"/>
            </w:pPr>
            <w:r w:rsidRPr="009A756C">
              <w:t>4</w:t>
            </w:r>
          </w:p>
        </w:tc>
        <w:tc>
          <w:tcPr>
            <w:tcW w:w="1260" w:type="dxa"/>
            <w:tcBorders>
              <w:top w:val="single" w:sz="4" w:space="0" w:color="auto"/>
            </w:tcBorders>
            <w:vAlign w:val="bottom"/>
          </w:tcPr>
          <w:p w:rsidR="00241635" w:rsidRPr="009A756C" w:rsidRDefault="00241635" w:rsidP="00E57E9B">
            <w:pPr>
              <w:pStyle w:val="TX-TableText"/>
              <w:jc w:val="center"/>
            </w:pPr>
            <w:r w:rsidRPr="009A756C">
              <w:t>2</w:t>
            </w:r>
          </w:p>
        </w:tc>
        <w:tc>
          <w:tcPr>
            <w:tcW w:w="1350" w:type="dxa"/>
            <w:tcBorders>
              <w:top w:val="single" w:sz="4" w:space="0" w:color="auto"/>
            </w:tcBorders>
            <w:shd w:val="clear" w:color="auto" w:fill="auto"/>
            <w:noWrap/>
            <w:vAlign w:val="bottom"/>
          </w:tcPr>
          <w:p w:rsidR="00241635" w:rsidRPr="009A756C" w:rsidRDefault="00241635" w:rsidP="00E57E9B">
            <w:pPr>
              <w:pStyle w:val="TX-TableText"/>
              <w:tabs>
                <w:tab w:val="decimal" w:pos="972"/>
              </w:tabs>
            </w:pPr>
            <w:r w:rsidRPr="009A756C">
              <w:t>1,540</w:t>
            </w:r>
          </w:p>
        </w:tc>
        <w:tc>
          <w:tcPr>
            <w:tcW w:w="1350" w:type="dxa"/>
            <w:tcBorders>
              <w:top w:val="single" w:sz="4" w:space="0" w:color="auto"/>
              <w:right w:val="single" w:sz="4" w:space="0" w:color="auto"/>
            </w:tcBorders>
            <w:shd w:val="clear" w:color="auto" w:fill="auto"/>
            <w:noWrap/>
            <w:vAlign w:val="bottom"/>
          </w:tcPr>
          <w:p w:rsidR="00241635" w:rsidRPr="009A756C" w:rsidRDefault="00241635" w:rsidP="00E57E9B">
            <w:pPr>
              <w:pStyle w:val="TX-TableText"/>
              <w:jc w:val="center"/>
            </w:pPr>
            <w:r w:rsidRPr="009A756C">
              <w:t>770</w:t>
            </w:r>
          </w:p>
        </w:tc>
        <w:tc>
          <w:tcPr>
            <w:tcW w:w="630" w:type="dxa"/>
            <w:tcBorders>
              <w:top w:val="single" w:sz="4" w:space="0" w:color="auto"/>
              <w:left w:val="single" w:sz="4" w:space="0" w:color="auto"/>
            </w:tcBorders>
            <w:shd w:val="clear" w:color="auto" w:fill="auto"/>
            <w:noWrap/>
            <w:vAlign w:val="bottom"/>
          </w:tcPr>
          <w:p w:rsidR="00241635" w:rsidRPr="009A756C" w:rsidRDefault="00241635" w:rsidP="00E57E9B">
            <w:pPr>
              <w:pStyle w:val="TX-TableText"/>
              <w:jc w:val="center"/>
            </w:pPr>
            <w:r>
              <w:t>53.7</w:t>
            </w:r>
          </w:p>
        </w:tc>
        <w:tc>
          <w:tcPr>
            <w:tcW w:w="720" w:type="dxa"/>
            <w:tcBorders>
              <w:top w:val="single" w:sz="4" w:space="0" w:color="auto"/>
              <w:right w:val="single" w:sz="4" w:space="0" w:color="auto"/>
            </w:tcBorders>
          </w:tcPr>
          <w:p w:rsidR="00241635" w:rsidRPr="009A756C" w:rsidRDefault="00241635" w:rsidP="00E57E9B">
            <w:pPr>
              <w:pStyle w:val="TX-TableText"/>
              <w:jc w:val="center"/>
            </w:pPr>
            <w:r>
              <w:t>5.9</w:t>
            </w:r>
          </w:p>
        </w:tc>
        <w:tc>
          <w:tcPr>
            <w:tcW w:w="630" w:type="dxa"/>
            <w:tcBorders>
              <w:top w:val="single" w:sz="4" w:space="0" w:color="auto"/>
              <w:left w:val="single" w:sz="4" w:space="0" w:color="auto"/>
            </w:tcBorders>
          </w:tcPr>
          <w:p w:rsidR="00241635" w:rsidRPr="009A756C" w:rsidRDefault="00241635" w:rsidP="00E57E9B">
            <w:pPr>
              <w:pStyle w:val="TX-TableText"/>
              <w:jc w:val="center"/>
            </w:pPr>
            <w:r>
              <w:t>27.8</w:t>
            </w:r>
          </w:p>
        </w:tc>
        <w:tc>
          <w:tcPr>
            <w:tcW w:w="720" w:type="dxa"/>
            <w:tcBorders>
              <w:top w:val="single" w:sz="4" w:space="0" w:color="auto"/>
              <w:right w:val="single" w:sz="4" w:space="0" w:color="auto"/>
            </w:tcBorders>
          </w:tcPr>
          <w:p w:rsidR="00241635" w:rsidRPr="009A756C" w:rsidRDefault="00241635" w:rsidP="00E57E9B">
            <w:pPr>
              <w:pStyle w:val="TX-TableText"/>
              <w:jc w:val="center"/>
            </w:pPr>
            <w:r>
              <w:t>5.3</w:t>
            </w:r>
          </w:p>
        </w:tc>
        <w:tc>
          <w:tcPr>
            <w:tcW w:w="720" w:type="dxa"/>
            <w:tcBorders>
              <w:top w:val="single" w:sz="4" w:space="0" w:color="auto"/>
              <w:left w:val="single" w:sz="4" w:space="0" w:color="auto"/>
            </w:tcBorders>
          </w:tcPr>
          <w:p w:rsidR="00241635" w:rsidRPr="009A756C" w:rsidRDefault="00241635" w:rsidP="00E57E9B">
            <w:pPr>
              <w:pStyle w:val="TX-TableText"/>
              <w:jc w:val="center"/>
            </w:pPr>
            <w:r>
              <w:t>25.9</w:t>
            </w:r>
          </w:p>
        </w:tc>
        <w:tc>
          <w:tcPr>
            <w:tcW w:w="810" w:type="dxa"/>
            <w:tcBorders>
              <w:top w:val="single" w:sz="4" w:space="0" w:color="auto"/>
            </w:tcBorders>
          </w:tcPr>
          <w:p w:rsidR="00241635" w:rsidRPr="009A756C" w:rsidRDefault="00241635" w:rsidP="00E57E9B">
            <w:pPr>
              <w:pStyle w:val="TX-TableText"/>
              <w:jc w:val="center"/>
            </w:pPr>
            <w:r>
              <w:t>5.2</w:t>
            </w:r>
          </w:p>
        </w:tc>
      </w:tr>
      <w:tr w:rsidR="000A4805" w:rsidRPr="009A756C" w:rsidTr="000A4805">
        <w:tc>
          <w:tcPr>
            <w:tcW w:w="1275" w:type="dxa"/>
            <w:shd w:val="clear" w:color="auto" w:fill="auto"/>
            <w:noWrap/>
            <w:vAlign w:val="bottom"/>
            <w:hideMark/>
          </w:tcPr>
          <w:p w:rsidR="00241635" w:rsidRPr="009A756C" w:rsidRDefault="00241635" w:rsidP="00E57E9B">
            <w:pPr>
              <w:pStyle w:val="TX-TableText"/>
              <w:jc w:val="center"/>
            </w:pPr>
            <w:r w:rsidRPr="009A756C">
              <w:t>4</w:t>
            </w:r>
          </w:p>
        </w:tc>
        <w:tc>
          <w:tcPr>
            <w:tcW w:w="1260" w:type="dxa"/>
            <w:vAlign w:val="bottom"/>
          </w:tcPr>
          <w:p w:rsidR="00241635" w:rsidRPr="009A756C" w:rsidRDefault="00241635" w:rsidP="00E57E9B">
            <w:pPr>
              <w:pStyle w:val="TX-TableText"/>
              <w:jc w:val="center"/>
            </w:pPr>
            <w:r w:rsidRPr="009A756C">
              <w:t>1</w:t>
            </w:r>
          </w:p>
        </w:tc>
        <w:tc>
          <w:tcPr>
            <w:tcW w:w="1350" w:type="dxa"/>
            <w:shd w:val="clear" w:color="auto" w:fill="auto"/>
            <w:noWrap/>
            <w:vAlign w:val="bottom"/>
            <w:hideMark/>
          </w:tcPr>
          <w:p w:rsidR="00241635" w:rsidRPr="009A756C" w:rsidRDefault="00241635" w:rsidP="00E57E9B">
            <w:pPr>
              <w:pStyle w:val="TX-TableText"/>
              <w:tabs>
                <w:tab w:val="decimal" w:pos="972"/>
              </w:tabs>
            </w:pPr>
            <w:r w:rsidRPr="009A756C">
              <w:t>1,540</w:t>
            </w:r>
          </w:p>
        </w:tc>
        <w:tc>
          <w:tcPr>
            <w:tcW w:w="1350" w:type="dxa"/>
            <w:tcBorders>
              <w:right w:val="single" w:sz="4" w:space="0" w:color="auto"/>
            </w:tcBorders>
            <w:shd w:val="clear" w:color="auto" w:fill="auto"/>
            <w:noWrap/>
            <w:vAlign w:val="bottom"/>
            <w:hideMark/>
          </w:tcPr>
          <w:p w:rsidR="00241635" w:rsidRPr="009A756C" w:rsidRDefault="00241635" w:rsidP="00E57E9B">
            <w:pPr>
              <w:pStyle w:val="TX-TableText"/>
              <w:jc w:val="center"/>
            </w:pPr>
            <w:r w:rsidRPr="009A756C">
              <w:t>385</w:t>
            </w:r>
          </w:p>
        </w:tc>
        <w:tc>
          <w:tcPr>
            <w:tcW w:w="630" w:type="dxa"/>
            <w:tcBorders>
              <w:left w:val="single" w:sz="4" w:space="0" w:color="auto"/>
            </w:tcBorders>
            <w:shd w:val="clear" w:color="auto" w:fill="auto"/>
            <w:noWrap/>
            <w:vAlign w:val="bottom"/>
          </w:tcPr>
          <w:p w:rsidR="00241635" w:rsidRPr="009A756C" w:rsidRDefault="00241635" w:rsidP="00E57E9B">
            <w:pPr>
              <w:pStyle w:val="TX-TableText"/>
              <w:jc w:val="center"/>
            </w:pPr>
            <w:r>
              <w:t>53.7</w:t>
            </w:r>
          </w:p>
        </w:tc>
        <w:tc>
          <w:tcPr>
            <w:tcW w:w="720" w:type="dxa"/>
            <w:tcBorders>
              <w:right w:val="single" w:sz="4" w:space="0" w:color="auto"/>
            </w:tcBorders>
          </w:tcPr>
          <w:p w:rsidR="00241635" w:rsidRPr="009A756C" w:rsidRDefault="00241635" w:rsidP="00E57E9B">
            <w:pPr>
              <w:pStyle w:val="TX-TableText"/>
              <w:jc w:val="center"/>
            </w:pPr>
            <w:r>
              <w:t>8.1</w:t>
            </w:r>
          </w:p>
        </w:tc>
        <w:tc>
          <w:tcPr>
            <w:tcW w:w="630" w:type="dxa"/>
            <w:tcBorders>
              <w:left w:val="single" w:sz="4" w:space="0" w:color="auto"/>
            </w:tcBorders>
          </w:tcPr>
          <w:p w:rsidR="00241635" w:rsidRPr="009A756C" w:rsidRDefault="00241635" w:rsidP="00E57E9B">
            <w:pPr>
              <w:pStyle w:val="TX-TableText"/>
              <w:jc w:val="center"/>
            </w:pPr>
            <w:r>
              <w:t>27.8</w:t>
            </w:r>
          </w:p>
        </w:tc>
        <w:tc>
          <w:tcPr>
            <w:tcW w:w="720" w:type="dxa"/>
            <w:tcBorders>
              <w:right w:val="single" w:sz="4" w:space="0" w:color="auto"/>
            </w:tcBorders>
          </w:tcPr>
          <w:p w:rsidR="00241635" w:rsidRPr="009A756C" w:rsidRDefault="00241635" w:rsidP="00E57E9B">
            <w:pPr>
              <w:pStyle w:val="TX-TableText"/>
              <w:jc w:val="center"/>
            </w:pPr>
            <w:r>
              <w:t>7.3</w:t>
            </w:r>
          </w:p>
        </w:tc>
        <w:tc>
          <w:tcPr>
            <w:tcW w:w="720" w:type="dxa"/>
            <w:tcBorders>
              <w:left w:val="single" w:sz="4" w:space="0" w:color="auto"/>
            </w:tcBorders>
          </w:tcPr>
          <w:p w:rsidR="00241635" w:rsidRPr="009A756C" w:rsidRDefault="00241635" w:rsidP="00E57E9B">
            <w:pPr>
              <w:pStyle w:val="TX-TableText"/>
              <w:jc w:val="center"/>
            </w:pPr>
            <w:r>
              <w:t>25.9</w:t>
            </w:r>
          </w:p>
        </w:tc>
        <w:tc>
          <w:tcPr>
            <w:tcW w:w="810" w:type="dxa"/>
          </w:tcPr>
          <w:p w:rsidR="00241635" w:rsidRPr="009A756C" w:rsidRDefault="00241635" w:rsidP="00E57E9B">
            <w:pPr>
              <w:pStyle w:val="TX-TableText"/>
              <w:jc w:val="center"/>
            </w:pPr>
            <w:r>
              <w:t>7.1</w:t>
            </w:r>
          </w:p>
        </w:tc>
      </w:tr>
      <w:tr w:rsidR="000A4805" w:rsidRPr="009A756C" w:rsidTr="000A4805">
        <w:tc>
          <w:tcPr>
            <w:tcW w:w="1275" w:type="dxa"/>
            <w:shd w:val="clear" w:color="auto" w:fill="auto"/>
            <w:noWrap/>
            <w:vAlign w:val="bottom"/>
            <w:hideMark/>
          </w:tcPr>
          <w:p w:rsidR="00241635" w:rsidRPr="009A756C" w:rsidRDefault="00241635" w:rsidP="00E57E9B">
            <w:pPr>
              <w:pStyle w:val="TX-TableText"/>
              <w:jc w:val="center"/>
            </w:pPr>
            <w:r w:rsidRPr="009A756C">
              <w:t>2</w:t>
            </w:r>
          </w:p>
        </w:tc>
        <w:tc>
          <w:tcPr>
            <w:tcW w:w="1260" w:type="dxa"/>
            <w:vAlign w:val="bottom"/>
          </w:tcPr>
          <w:p w:rsidR="00241635" w:rsidRPr="009A756C" w:rsidRDefault="00241635" w:rsidP="00E57E9B">
            <w:pPr>
              <w:pStyle w:val="TX-TableText"/>
              <w:jc w:val="center"/>
            </w:pPr>
            <w:r w:rsidRPr="009A756C">
              <w:t>1</w:t>
            </w:r>
          </w:p>
        </w:tc>
        <w:tc>
          <w:tcPr>
            <w:tcW w:w="1350" w:type="dxa"/>
            <w:shd w:val="clear" w:color="auto" w:fill="auto"/>
            <w:noWrap/>
            <w:vAlign w:val="bottom"/>
            <w:hideMark/>
          </w:tcPr>
          <w:p w:rsidR="00241635" w:rsidRPr="009A756C" w:rsidRDefault="00241635" w:rsidP="00E57E9B">
            <w:pPr>
              <w:pStyle w:val="TX-TableText"/>
              <w:tabs>
                <w:tab w:val="decimal" w:pos="972"/>
              </w:tabs>
            </w:pPr>
            <w:r w:rsidRPr="009A756C">
              <w:t>770</w:t>
            </w:r>
          </w:p>
        </w:tc>
        <w:tc>
          <w:tcPr>
            <w:tcW w:w="1350" w:type="dxa"/>
            <w:tcBorders>
              <w:right w:val="single" w:sz="4" w:space="0" w:color="auto"/>
            </w:tcBorders>
            <w:shd w:val="clear" w:color="auto" w:fill="auto"/>
            <w:noWrap/>
            <w:vAlign w:val="bottom"/>
            <w:hideMark/>
          </w:tcPr>
          <w:p w:rsidR="00241635" w:rsidRPr="009A756C" w:rsidRDefault="00241635" w:rsidP="00E57E9B">
            <w:pPr>
              <w:pStyle w:val="TX-TableText"/>
              <w:jc w:val="center"/>
            </w:pPr>
            <w:r w:rsidRPr="009A756C">
              <w:t>385</w:t>
            </w:r>
          </w:p>
        </w:tc>
        <w:tc>
          <w:tcPr>
            <w:tcW w:w="630" w:type="dxa"/>
            <w:tcBorders>
              <w:left w:val="single" w:sz="4" w:space="0" w:color="auto"/>
            </w:tcBorders>
            <w:shd w:val="clear" w:color="auto" w:fill="auto"/>
            <w:noWrap/>
            <w:vAlign w:val="bottom"/>
          </w:tcPr>
          <w:p w:rsidR="00241635" w:rsidRPr="009A756C" w:rsidRDefault="00241635" w:rsidP="00E57E9B">
            <w:pPr>
              <w:pStyle w:val="TX-TableText"/>
              <w:jc w:val="center"/>
            </w:pPr>
            <w:r>
              <w:t>53.7</w:t>
            </w:r>
          </w:p>
        </w:tc>
        <w:tc>
          <w:tcPr>
            <w:tcW w:w="720" w:type="dxa"/>
            <w:tcBorders>
              <w:right w:val="single" w:sz="4" w:space="0" w:color="auto"/>
            </w:tcBorders>
          </w:tcPr>
          <w:p w:rsidR="00241635" w:rsidRPr="009A756C" w:rsidRDefault="00241635" w:rsidP="00E57E9B">
            <w:pPr>
              <w:pStyle w:val="TX-TableText"/>
              <w:jc w:val="center"/>
            </w:pPr>
            <w:r>
              <w:t>8.3</w:t>
            </w:r>
          </w:p>
        </w:tc>
        <w:tc>
          <w:tcPr>
            <w:tcW w:w="630" w:type="dxa"/>
            <w:tcBorders>
              <w:left w:val="single" w:sz="4" w:space="0" w:color="auto"/>
            </w:tcBorders>
          </w:tcPr>
          <w:p w:rsidR="00241635" w:rsidRPr="009A756C" w:rsidRDefault="00241635" w:rsidP="00E57E9B">
            <w:pPr>
              <w:pStyle w:val="TX-TableText"/>
              <w:jc w:val="center"/>
            </w:pPr>
            <w:r>
              <w:t>27.8</w:t>
            </w:r>
          </w:p>
        </w:tc>
        <w:tc>
          <w:tcPr>
            <w:tcW w:w="720" w:type="dxa"/>
            <w:tcBorders>
              <w:right w:val="single" w:sz="4" w:space="0" w:color="auto"/>
            </w:tcBorders>
          </w:tcPr>
          <w:p w:rsidR="00241635" w:rsidRPr="009A756C" w:rsidRDefault="00241635" w:rsidP="00E57E9B">
            <w:pPr>
              <w:pStyle w:val="TX-TableText"/>
              <w:jc w:val="center"/>
            </w:pPr>
            <w:r>
              <w:t>7.5</w:t>
            </w:r>
          </w:p>
        </w:tc>
        <w:tc>
          <w:tcPr>
            <w:tcW w:w="720" w:type="dxa"/>
            <w:tcBorders>
              <w:left w:val="single" w:sz="4" w:space="0" w:color="auto"/>
            </w:tcBorders>
          </w:tcPr>
          <w:p w:rsidR="00241635" w:rsidRPr="009A756C" w:rsidRDefault="00241635" w:rsidP="00E57E9B">
            <w:pPr>
              <w:pStyle w:val="TX-TableText"/>
              <w:jc w:val="center"/>
            </w:pPr>
            <w:r>
              <w:t>25.9</w:t>
            </w:r>
          </w:p>
        </w:tc>
        <w:tc>
          <w:tcPr>
            <w:tcW w:w="810" w:type="dxa"/>
          </w:tcPr>
          <w:p w:rsidR="00241635" w:rsidRPr="009A756C" w:rsidRDefault="00241635" w:rsidP="00E57E9B">
            <w:pPr>
              <w:pStyle w:val="TX-TableText"/>
              <w:jc w:val="center"/>
            </w:pPr>
            <w:r>
              <w:t>7.3</w:t>
            </w:r>
          </w:p>
        </w:tc>
      </w:tr>
      <w:tr w:rsidR="000A4805" w:rsidRPr="009A756C" w:rsidTr="000A4805">
        <w:tc>
          <w:tcPr>
            <w:tcW w:w="1275" w:type="dxa"/>
            <w:shd w:val="clear" w:color="auto" w:fill="auto"/>
            <w:noWrap/>
            <w:vAlign w:val="bottom"/>
          </w:tcPr>
          <w:p w:rsidR="00241635" w:rsidRPr="009A756C" w:rsidRDefault="00241635" w:rsidP="00E57E9B">
            <w:pPr>
              <w:pStyle w:val="TX-TableText"/>
              <w:jc w:val="center"/>
            </w:pPr>
            <w:r>
              <w:t>1</w:t>
            </w:r>
          </w:p>
        </w:tc>
        <w:tc>
          <w:tcPr>
            <w:tcW w:w="1260" w:type="dxa"/>
            <w:vAlign w:val="bottom"/>
          </w:tcPr>
          <w:p w:rsidR="00241635" w:rsidRPr="009A756C" w:rsidRDefault="00241635" w:rsidP="00E57E9B">
            <w:pPr>
              <w:pStyle w:val="TX-TableText"/>
              <w:jc w:val="center"/>
            </w:pPr>
            <w:r>
              <w:t>1</w:t>
            </w:r>
          </w:p>
        </w:tc>
        <w:tc>
          <w:tcPr>
            <w:tcW w:w="1350" w:type="dxa"/>
            <w:shd w:val="clear" w:color="auto" w:fill="auto"/>
            <w:noWrap/>
            <w:vAlign w:val="bottom"/>
          </w:tcPr>
          <w:p w:rsidR="00241635" w:rsidRPr="009A756C" w:rsidRDefault="00241635" w:rsidP="00E57E9B">
            <w:pPr>
              <w:pStyle w:val="TX-TableText"/>
              <w:tabs>
                <w:tab w:val="decimal" w:pos="972"/>
              </w:tabs>
            </w:pPr>
            <w:r>
              <w:t>385</w:t>
            </w:r>
          </w:p>
        </w:tc>
        <w:tc>
          <w:tcPr>
            <w:tcW w:w="1350" w:type="dxa"/>
            <w:tcBorders>
              <w:bottom w:val="single" w:sz="4" w:space="0" w:color="auto"/>
              <w:right w:val="single" w:sz="4" w:space="0" w:color="auto"/>
            </w:tcBorders>
            <w:shd w:val="clear" w:color="auto" w:fill="auto"/>
            <w:noWrap/>
            <w:vAlign w:val="bottom"/>
          </w:tcPr>
          <w:p w:rsidR="00241635" w:rsidRPr="009A756C" w:rsidRDefault="00241635" w:rsidP="00E57E9B">
            <w:pPr>
              <w:pStyle w:val="TX-TableText"/>
              <w:jc w:val="center"/>
            </w:pPr>
            <w:r>
              <w:t>385</w:t>
            </w:r>
          </w:p>
        </w:tc>
        <w:tc>
          <w:tcPr>
            <w:tcW w:w="630" w:type="dxa"/>
            <w:tcBorders>
              <w:left w:val="single" w:sz="4" w:space="0" w:color="auto"/>
            </w:tcBorders>
            <w:shd w:val="clear" w:color="auto" w:fill="auto"/>
            <w:noWrap/>
            <w:vAlign w:val="bottom"/>
          </w:tcPr>
          <w:p w:rsidR="00241635" w:rsidRDefault="00241635" w:rsidP="00E57E9B">
            <w:pPr>
              <w:pStyle w:val="TX-TableText"/>
              <w:jc w:val="center"/>
            </w:pPr>
            <w:r>
              <w:t>53.7</w:t>
            </w:r>
          </w:p>
        </w:tc>
        <w:tc>
          <w:tcPr>
            <w:tcW w:w="720" w:type="dxa"/>
            <w:tcBorders>
              <w:right w:val="single" w:sz="4" w:space="0" w:color="auto"/>
            </w:tcBorders>
          </w:tcPr>
          <w:p w:rsidR="00241635" w:rsidRDefault="00241635" w:rsidP="00E57E9B">
            <w:pPr>
              <w:pStyle w:val="TX-TableText"/>
              <w:jc w:val="center"/>
            </w:pPr>
            <w:r>
              <w:t>9.4</w:t>
            </w:r>
          </w:p>
        </w:tc>
        <w:tc>
          <w:tcPr>
            <w:tcW w:w="630" w:type="dxa"/>
            <w:tcBorders>
              <w:left w:val="single" w:sz="4" w:space="0" w:color="auto"/>
              <w:bottom w:val="single" w:sz="4" w:space="0" w:color="auto"/>
            </w:tcBorders>
          </w:tcPr>
          <w:p w:rsidR="00241635" w:rsidRDefault="00241635" w:rsidP="00E57E9B">
            <w:pPr>
              <w:pStyle w:val="TX-TableText"/>
              <w:jc w:val="center"/>
            </w:pPr>
            <w:r>
              <w:t>27.8</w:t>
            </w:r>
          </w:p>
        </w:tc>
        <w:tc>
          <w:tcPr>
            <w:tcW w:w="720" w:type="dxa"/>
            <w:tcBorders>
              <w:right w:val="single" w:sz="4" w:space="0" w:color="auto"/>
            </w:tcBorders>
          </w:tcPr>
          <w:p w:rsidR="00241635" w:rsidRDefault="00241635" w:rsidP="00E57E9B">
            <w:pPr>
              <w:pStyle w:val="TX-TableText"/>
              <w:jc w:val="center"/>
            </w:pPr>
            <w:r>
              <w:t>8.4</w:t>
            </w:r>
          </w:p>
        </w:tc>
        <w:tc>
          <w:tcPr>
            <w:tcW w:w="720" w:type="dxa"/>
            <w:tcBorders>
              <w:left w:val="single" w:sz="4" w:space="0" w:color="auto"/>
              <w:bottom w:val="single" w:sz="4" w:space="0" w:color="auto"/>
            </w:tcBorders>
          </w:tcPr>
          <w:p w:rsidR="00241635" w:rsidRDefault="00241635" w:rsidP="00E57E9B">
            <w:pPr>
              <w:pStyle w:val="TX-TableText"/>
              <w:jc w:val="center"/>
            </w:pPr>
            <w:r>
              <w:t>25.9</w:t>
            </w:r>
          </w:p>
        </w:tc>
        <w:tc>
          <w:tcPr>
            <w:tcW w:w="810" w:type="dxa"/>
          </w:tcPr>
          <w:p w:rsidR="00241635" w:rsidRDefault="00241635" w:rsidP="00E57E9B">
            <w:pPr>
              <w:pStyle w:val="TX-TableText"/>
              <w:jc w:val="center"/>
            </w:pPr>
            <w:r>
              <w:t>8.2</w:t>
            </w:r>
          </w:p>
        </w:tc>
      </w:tr>
    </w:tbl>
    <w:p w:rsidR="00241635" w:rsidRDefault="00241635" w:rsidP="00241635">
      <w:pPr>
        <w:pStyle w:val="TF-TblFN"/>
      </w:pPr>
      <w:proofErr w:type="gramStart"/>
      <w:r w:rsidRPr="009A756C">
        <w:rPr>
          <w:b/>
          <w:position w:val="6"/>
          <w:vertAlign w:val="superscript"/>
        </w:rPr>
        <w:t>a</w:t>
      </w:r>
      <w:proofErr w:type="gramEnd"/>
      <w:r w:rsidRPr="00736F06">
        <w:rPr>
          <w:vertAlign w:val="superscript"/>
        </w:rPr>
        <w:tab/>
      </w:r>
      <w:r w:rsidRPr="009A756C">
        <w:t>Number of responding individuals providing pre- and post-intervention data.</w:t>
      </w:r>
    </w:p>
    <w:p w:rsidR="00241635" w:rsidRPr="00040962" w:rsidRDefault="00241635" w:rsidP="00241635">
      <w:pPr>
        <w:pStyle w:val="TF-TblFN"/>
        <w:rPr>
          <w:sz w:val="14"/>
        </w:rPr>
      </w:pPr>
      <w:proofErr w:type="gramStart"/>
      <w:r w:rsidRPr="006602EA">
        <w:rPr>
          <w:b/>
          <w:position w:val="6"/>
          <w:vertAlign w:val="superscript"/>
        </w:rPr>
        <w:t>b</w:t>
      </w:r>
      <w:proofErr w:type="gramEnd"/>
      <w:r w:rsidRPr="006602EA">
        <w:rPr>
          <w:b/>
          <w:position w:val="6"/>
          <w:vertAlign w:val="superscript"/>
        </w:rPr>
        <w:tab/>
      </w:r>
      <w:r w:rsidRPr="006602EA">
        <w:t>Food i</w:t>
      </w:r>
      <w:r w:rsidRPr="00B677AA">
        <w:t xml:space="preserve">nsecurity status are 2014 estimates for households that </w:t>
      </w:r>
      <w:r w:rsidRPr="00040962">
        <w:rPr>
          <w:sz w:val="14"/>
        </w:rPr>
        <w:t>r</w:t>
      </w:r>
      <w:r w:rsidRPr="00040962">
        <w:rPr>
          <w:color w:val="231F20"/>
          <w:szCs w:val="18"/>
        </w:rPr>
        <w:t>eceived SNAP</w:t>
      </w:r>
      <w:r w:rsidRPr="00040962">
        <w:rPr>
          <w:color w:val="231F20"/>
          <w:sz w:val="12"/>
          <w:szCs w:val="14"/>
        </w:rPr>
        <w:t xml:space="preserve"> </w:t>
      </w:r>
      <w:r w:rsidRPr="00040962">
        <w:rPr>
          <w:color w:val="231F20"/>
          <w:szCs w:val="18"/>
        </w:rPr>
        <w:t>benefits in previous 12 months.</w:t>
      </w:r>
    </w:p>
    <w:p w:rsidR="00241635" w:rsidRPr="00040962" w:rsidRDefault="00241635" w:rsidP="00241635">
      <w:pPr>
        <w:pStyle w:val="TF-TblFN"/>
        <w:rPr>
          <w:sz w:val="10"/>
        </w:rPr>
      </w:pPr>
      <w:r w:rsidRPr="00040962">
        <w:rPr>
          <w:color w:val="231F20"/>
          <w:szCs w:val="22"/>
        </w:rPr>
        <w:tab/>
        <w:t xml:space="preserve">Source: Alisha Coleman-Jensen, Matthew P. Rabbitt, Christian Gregory, and Anita Singh. </w:t>
      </w:r>
      <w:r w:rsidRPr="00040962">
        <w:rPr>
          <w:i/>
          <w:iCs/>
          <w:color w:val="231F20"/>
          <w:szCs w:val="22"/>
        </w:rPr>
        <w:t>Household Food Security in the United States in 2014</w:t>
      </w:r>
      <w:r w:rsidRPr="00040962">
        <w:rPr>
          <w:color w:val="231F20"/>
          <w:szCs w:val="22"/>
        </w:rPr>
        <w:t>, ERR-194, U.S. Department of Agriculture, Economic Research Service, September 2015.</w:t>
      </w:r>
      <w:r>
        <w:rPr>
          <w:color w:val="231F20"/>
          <w:szCs w:val="22"/>
        </w:rPr>
        <w:t xml:space="preserve"> </w:t>
      </w:r>
      <w:proofErr w:type="gramStart"/>
      <w:r>
        <w:rPr>
          <w:color w:val="231F20"/>
          <w:szCs w:val="22"/>
        </w:rPr>
        <w:t>P.30.</w:t>
      </w:r>
      <w:proofErr w:type="gramEnd"/>
    </w:p>
    <w:p w:rsidR="00241635" w:rsidRPr="009A756C" w:rsidRDefault="00241635" w:rsidP="00241635">
      <w:pPr>
        <w:pStyle w:val="TF-TblFN"/>
      </w:pPr>
      <w:proofErr w:type="gramStart"/>
      <w:r>
        <w:rPr>
          <w:b/>
          <w:position w:val="6"/>
          <w:vertAlign w:val="superscript"/>
        </w:rPr>
        <w:t>c</w:t>
      </w:r>
      <w:proofErr w:type="gramEnd"/>
      <w:r w:rsidRPr="00736F06">
        <w:rPr>
          <w:vertAlign w:val="superscript"/>
        </w:rPr>
        <w:tab/>
      </w:r>
      <w:r w:rsidRPr="009A756C">
        <w:t xml:space="preserve">MDDs are for the difference between the treatment and control groups in the change in </w:t>
      </w:r>
      <w:r>
        <w:t>food insecurity percentages</w:t>
      </w:r>
      <w:r w:rsidRPr="009A756C">
        <w:t xml:space="preserve"> from pre- to post-intervention. The calculations assume a weighting design effect (DEFF) of 1.1 and correlation between pre- and post- intervention measurements among the same respondents of 0.50.</w:t>
      </w:r>
    </w:p>
    <w:p w:rsidR="00241635" w:rsidRDefault="00241635" w:rsidP="00241635">
      <w:pPr>
        <w:pStyle w:val="L1-FlLSp12"/>
      </w:pPr>
    </w:p>
    <w:p w:rsidR="00DC5575" w:rsidRDefault="00DC5575">
      <w:pPr>
        <w:spacing w:line="240" w:lineRule="auto"/>
        <w:rPr>
          <w:rFonts w:ascii="Franklin Gothic Medium" w:hAnsi="Franklin Gothic Medium"/>
          <w:sz w:val="22"/>
        </w:rPr>
      </w:pPr>
      <w:r>
        <w:br w:type="page"/>
      </w:r>
    </w:p>
    <w:p w:rsidR="00241635" w:rsidRDefault="00241635" w:rsidP="00241635">
      <w:pPr>
        <w:pStyle w:val="TT-TableTitle"/>
      </w:pPr>
      <w:r>
        <w:t>Table B2.5.</w:t>
      </w:r>
      <w:r>
        <w:tab/>
      </w:r>
      <w:r w:rsidRPr="00491C2F">
        <w:t xml:space="preserve">Minimum detectable difference (MDD) between groups of clusters and the control group for </w:t>
      </w:r>
      <w:r>
        <w:t xml:space="preserve">selected secondary outcome </w:t>
      </w:r>
      <w:proofErr w:type="spellStart"/>
      <w:r>
        <w:t>prevalences</w:t>
      </w:r>
      <w:proofErr w:type="spellEnd"/>
      <w:r>
        <w:t xml:space="preserve"> (P), </w:t>
      </w:r>
      <w:r w:rsidRPr="00491C2F">
        <w:t>one-tailed test with alpha = .05, power = .80</w:t>
      </w:r>
    </w:p>
    <w:p w:rsidR="00241635" w:rsidRDefault="00241635" w:rsidP="00241635">
      <w:pPr>
        <w:pStyle w:val="L1-FlLSp12"/>
      </w:pPr>
    </w:p>
    <w:tbl>
      <w:tblPr>
        <w:tblW w:w="5000" w:type="pct"/>
        <w:tblBorders>
          <w:top w:val="single" w:sz="4" w:space="0" w:color="auto"/>
          <w:bottom w:val="single" w:sz="4" w:space="0" w:color="auto"/>
        </w:tblBorders>
        <w:tblLook w:val="04A0" w:firstRow="1" w:lastRow="0" w:firstColumn="1" w:lastColumn="0" w:noHBand="0" w:noVBand="1"/>
      </w:tblPr>
      <w:tblGrid>
        <w:gridCol w:w="1240"/>
        <w:gridCol w:w="1226"/>
        <w:gridCol w:w="1348"/>
        <w:gridCol w:w="1348"/>
        <w:gridCol w:w="1085"/>
        <w:gridCol w:w="1111"/>
        <w:gridCol w:w="1109"/>
        <w:gridCol w:w="1109"/>
      </w:tblGrid>
      <w:tr w:rsidR="00241635" w:rsidRPr="009A756C" w:rsidTr="00E57E9B">
        <w:trPr>
          <w:trHeight w:val="240"/>
        </w:trPr>
        <w:tc>
          <w:tcPr>
            <w:tcW w:w="647" w:type="pct"/>
            <w:vMerge w:val="restart"/>
            <w:tcBorders>
              <w:top w:val="single" w:sz="4" w:space="0" w:color="auto"/>
            </w:tcBorders>
            <w:shd w:val="clear" w:color="auto" w:fill="AFBED7"/>
            <w:vAlign w:val="bottom"/>
          </w:tcPr>
          <w:p w:rsidR="00241635" w:rsidRPr="009A756C" w:rsidRDefault="00241635" w:rsidP="00E57E9B">
            <w:pPr>
              <w:pStyle w:val="TH-TableHeading"/>
            </w:pPr>
            <w:r w:rsidRPr="009A756C">
              <w:t>Number of clusters in combined intervention group</w:t>
            </w:r>
          </w:p>
        </w:tc>
        <w:tc>
          <w:tcPr>
            <w:tcW w:w="640" w:type="pct"/>
            <w:vMerge w:val="restart"/>
            <w:tcBorders>
              <w:top w:val="single" w:sz="4" w:space="0" w:color="auto"/>
            </w:tcBorders>
            <w:shd w:val="clear" w:color="auto" w:fill="AFBED7"/>
          </w:tcPr>
          <w:p w:rsidR="00241635" w:rsidRPr="009A756C" w:rsidRDefault="00241635" w:rsidP="00E57E9B">
            <w:pPr>
              <w:pStyle w:val="TH-TableHeading"/>
            </w:pPr>
            <w:r w:rsidRPr="009A756C">
              <w:t>Number of groups in combined comparison group</w:t>
            </w:r>
          </w:p>
        </w:tc>
        <w:tc>
          <w:tcPr>
            <w:tcW w:w="704" w:type="pct"/>
            <w:vMerge w:val="restart"/>
            <w:tcBorders>
              <w:top w:val="single" w:sz="4" w:space="0" w:color="auto"/>
            </w:tcBorders>
            <w:shd w:val="clear" w:color="auto" w:fill="AFBED7"/>
            <w:vAlign w:val="bottom"/>
          </w:tcPr>
          <w:p w:rsidR="00241635" w:rsidRPr="009A756C" w:rsidRDefault="00241635" w:rsidP="00E57E9B">
            <w:pPr>
              <w:pStyle w:val="TH-TableHeading"/>
            </w:pPr>
            <w:r w:rsidRPr="009A756C">
              <w:t xml:space="preserve">Combined intervention group </w:t>
            </w:r>
            <w:proofErr w:type="spellStart"/>
            <w:r w:rsidRPr="009A756C">
              <w:t>respondents</w:t>
            </w:r>
            <w:r w:rsidRPr="009A756C">
              <w:rPr>
                <w:vertAlign w:val="superscript"/>
              </w:rPr>
              <w:t>a</w:t>
            </w:r>
            <w:proofErr w:type="spellEnd"/>
          </w:p>
        </w:tc>
        <w:tc>
          <w:tcPr>
            <w:tcW w:w="704" w:type="pct"/>
            <w:vMerge w:val="restart"/>
            <w:tcBorders>
              <w:top w:val="single" w:sz="4" w:space="0" w:color="auto"/>
              <w:right w:val="single" w:sz="4" w:space="0" w:color="auto"/>
            </w:tcBorders>
            <w:shd w:val="clear" w:color="auto" w:fill="AFBED7"/>
            <w:vAlign w:val="bottom"/>
          </w:tcPr>
          <w:p w:rsidR="00241635" w:rsidRPr="009A756C" w:rsidRDefault="00241635" w:rsidP="00E57E9B">
            <w:pPr>
              <w:pStyle w:val="TH-TableHeading"/>
            </w:pPr>
            <w:r w:rsidRPr="009A756C">
              <w:t xml:space="preserve">Comparison group </w:t>
            </w:r>
            <w:proofErr w:type="spellStart"/>
            <w:r w:rsidRPr="009A756C">
              <w:t>respondents</w:t>
            </w:r>
            <w:r w:rsidRPr="009A756C">
              <w:rPr>
                <w:vertAlign w:val="superscript"/>
              </w:rPr>
              <w:t>a</w:t>
            </w:r>
            <w:proofErr w:type="spellEnd"/>
          </w:p>
        </w:tc>
        <w:tc>
          <w:tcPr>
            <w:tcW w:w="2305" w:type="pct"/>
            <w:gridSpan w:val="4"/>
            <w:tcBorders>
              <w:top w:val="single" w:sz="4" w:space="0" w:color="auto"/>
              <w:right w:val="single" w:sz="4" w:space="0" w:color="auto"/>
            </w:tcBorders>
            <w:shd w:val="clear" w:color="auto" w:fill="AFBED7"/>
          </w:tcPr>
          <w:p w:rsidR="00241635" w:rsidRPr="009A756C" w:rsidRDefault="00241635" w:rsidP="00E57E9B">
            <w:pPr>
              <w:pStyle w:val="TH-TableHeading"/>
            </w:pPr>
            <w:r>
              <w:t>MDD (%)</w:t>
            </w:r>
            <w:r w:rsidRPr="00040962">
              <w:rPr>
                <w:vertAlign w:val="superscript"/>
              </w:rPr>
              <w:t>b</w:t>
            </w:r>
          </w:p>
        </w:tc>
      </w:tr>
      <w:tr w:rsidR="00241635" w:rsidRPr="009A756C" w:rsidTr="00E57E9B">
        <w:trPr>
          <w:trHeight w:val="240"/>
        </w:trPr>
        <w:tc>
          <w:tcPr>
            <w:tcW w:w="647" w:type="pct"/>
            <w:vMerge/>
            <w:shd w:val="clear" w:color="auto" w:fill="AFBED7"/>
            <w:vAlign w:val="bottom"/>
          </w:tcPr>
          <w:p w:rsidR="00241635" w:rsidRPr="009A756C" w:rsidRDefault="00241635" w:rsidP="00E57E9B">
            <w:pPr>
              <w:pStyle w:val="TH-TableHeading"/>
            </w:pPr>
          </w:p>
        </w:tc>
        <w:tc>
          <w:tcPr>
            <w:tcW w:w="640" w:type="pct"/>
            <w:vMerge/>
            <w:shd w:val="clear" w:color="auto" w:fill="AFBED7"/>
          </w:tcPr>
          <w:p w:rsidR="00241635" w:rsidRPr="009A756C" w:rsidRDefault="00241635" w:rsidP="00E57E9B">
            <w:pPr>
              <w:pStyle w:val="TH-TableHeading"/>
            </w:pPr>
          </w:p>
        </w:tc>
        <w:tc>
          <w:tcPr>
            <w:tcW w:w="704" w:type="pct"/>
            <w:vMerge/>
            <w:shd w:val="clear" w:color="auto" w:fill="AFBED7"/>
            <w:vAlign w:val="bottom"/>
          </w:tcPr>
          <w:p w:rsidR="00241635" w:rsidRPr="009A756C" w:rsidRDefault="00241635" w:rsidP="00E57E9B">
            <w:pPr>
              <w:pStyle w:val="TH-TableHeading"/>
            </w:pPr>
          </w:p>
        </w:tc>
        <w:tc>
          <w:tcPr>
            <w:tcW w:w="704" w:type="pct"/>
            <w:vMerge/>
            <w:tcBorders>
              <w:right w:val="single" w:sz="4" w:space="0" w:color="auto"/>
            </w:tcBorders>
            <w:shd w:val="clear" w:color="auto" w:fill="AFBED7"/>
            <w:vAlign w:val="bottom"/>
          </w:tcPr>
          <w:p w:rsidR="00241635" w:rsidRPr="009A756C" w:rsidRDefault="00241635" w:rsidP="00E57E9B">
            <w:pPr>
              <w:pStyle w:val="TH-TableHeading"/>
            </w:pPr>
          </w:p>
        </w:tc>
        <w:tc>
          <w:tcPr>
            <w:tcW w:w="567" w:type="pct"/>
            <w:tcBorders>
              <w:top w:val="single" w:sz="4" w:space="0" w:color="auto"/>
              <w:right w:val="single" w:sz="4" w:space="0" w:color="auto"/>
            </w:tcBorders>
            <w:shd w:val="clear" w:color="auto" w:fill="AFBED7"/>
          </w:tcPr>
          <w:p w:rsidR="00241635" w:rsidRPr="009A756C" w:rsidRDefault="00241635" w:rsidP="00E57E9B">
            <w:pPr>
              <w:pStyle w:val="TH-TableHeading"/>
            </w:pPr>
          </w:p>
        </w:tc>
        <w:tc>
          <w:tcPr>
            <w:tcW w:w="580" w:type="pct"/>
            <w:tcBorders>
              <w:top w:val="single" w:sz="4" w:space="0" w:color="auto"/>
              <w:right w:val="single" w:sz="4" w:space="0" w:color="auto"/>
            </w:tcBorders>
            <w:shd w:val="clear" w:color="auto" w:fill="AFBED7"/>
          </w:tcPr>
          <w:p w:rsidR="00241635" w:rsidRPr="009A756C" w:rsidRDefault="00241635" w:rsidP="00E57E9B">
            <w:pPr>
              <w:pStyle w:val="TH-TableHeading"/>
            </w:pPr>
          </w:p>
        </w:tc>
        <w:tc>
          <w:tcPr>
            <w:tcW w:w="579" w:type="pct"/>
            <w:tcBorders>
              <w:top w:val="single" w:sz="4" w:space="0" w:color="auto"/>
              <w:right w:val="single" w:sz="4" w:space="0" w:color="auto"/>
            </w:tcBorders>
            <w:shd w:val="clear" w:color="auto" w:fill="AFBED7"/>
          </w:tcPr>
          <w:p w:rsidR="00241635" w:rsidRPr="009A756C" w:rsidRDefault="00241635" w:rsidP="00E57E9B">
            <w:pPr>
              <w:pStyle w:val="TH-TableHeading"/>
            </w:pPr>
          </w:p>
        </w:tc>
        <w:tc>
          <w:tcPr>
            <w:tcW w:w="579" w:type="pct"/>
            <w:tcBorders>
              <w:top w:val="single" w:sz="4" w:space="0" w:color="auto"/>
              <w:right w:val="single" w:sz="4" w:space="0" w:color="auto"/>
            </w:tcBorders>
            <w:shd w:val="clear" w:color="auto" w:fill="AFBED7"/>
          </w:tcPr>
          <w:p w:rsidR="00241635" w:rsidRPr="009A756C" w:rsidRDefault="00241635" w:rsidP="00E57E9B">
            <w:pPr>
              <w:pStyle w:val="TH-TableHeading"/>
            </w:pPr>
          </w:p>
        </w:tc>
      </w:tr>
      <w:tr w:rsidR="00241635" w:rsidRPr="009A756C" w:rsidTr="00E57E9B">
        <w:trPr>
          <w:trHeight w:val="240"/>
        </w:trPr>
        <w:tc>
          <w:tcPr>
            <w:tcW w:w="647" w:type="pct"/>
            <w:vMerge/>
            <w:tcBorders>
              <w:bottom w:val="single" w:sz="4" w:space="0" w:color="auto"/>
            </w:tcBorders>
            <w:shd w:val="clear" w:color="auto" w:fill="AFBED7"/>
            <w:vAlign w:val="bottom"/>
            <w:hideMark/>
          </w:tcPr>
          <w:p w:rsidR="00241635" w:rsidRPr="009A756C" w:rsidRDefault="00241635" w:rsidP="00E57E9B">
            <w:pPr>
              <w:pStyle w:val="TH-TableHeading"/>
            </w:pPr>
          </w:p>
        </w:tc>
        <w:tc>
          <w:tcPr>
            <w:tcW w:w="640" w:type="pct"/>
            <w:vMerge/>
            <w:tcBorders>
              <w:bottom w:val="single" w:sz="4" w:space="0" w:color="auto"/>
            </w:tcBorders>
            <w:shd w:val="clear" w:color="auto" w:fill="AFBED7"/>
          </w:tcPr>
          <w:p w:rsidR="00241635" w:rsidRPr="009A756C" w:rsidRDefault="00241635" w:rsidP="00E57E9B">
            <w:pPr>
              <w:pStyle w:val="TH-TableHeading"/>
            </w:pPr>
          </w:p>
        </w:tc>
        <w:tc>
          <w:tcPr>
            <w:tcW w:w="704" w:type="pct"/>
            <w:vMerge/>
            <w:tcBorders>
              <w:bottom w:val="single" w:sz="4" w:space="0" w:color="auto"/>
            </w:tcBorders>
            <w:shd w:val="clear" w:color="auto" w:fill="AFBED7"/>
            <w:vAlign w:val="bottom"/>
            <w:hideMark/>
          </w:tcPr>
          <w:p w:rsidR="00241635" w:rsidRPr="009A756C" w:rsidRDefault="00241635" w:rsidP="00E57E9B">
            <w:pPr>
              <w:pStyle w:val="TH-TableHeading"/>
              <w:rPr>
                <w:position w:val="6"/>
                <w:vertAlign w:val="superscript"/>
              </w:rPr>
            </w:pPr>
          </w:p>
        </w:tc>
        <w:tc>
          <w:tcPr>
            <w:tcW w:w="704" w:type="pct"/>
            <w:vMerge/>
            <w:tcBorders>
              <w:bottom w:val="single" w:sz="4" w:space="0" w:color="auto"/>
              <w:right w:val="single" w:sz="4" w:space="0" w:color="auto"/>
            </w:tcBorders>
            <w:shd w:val="clear" w:color="auto" w:fill="AFBED7"/>
            <w:vAlign w:val="bottom"/>
            <w:hideMark/>
          </w:tcPr>
          <w:p w:rsidR="00241635" w:rsidRPr="009A756C" w:rsidRDefault="00241635" w:rsidP="00E57E9B">
            <w:pPr>
              <w:pStyle w:val="TH-TableHeading"/>
              <w:rPr>
                <w:position w:val="6"/>
              </w:rPr>
            </w:pPr>
          </w:p>
        </w:tc>
        <w:tc>
          <w:tcPr>
            <w:tcW w:w="567" w:type="pct"/>
            <w:tcBorders>
              <w:bottom w:val="single" w:sz="4" w:space="0" w:color="auto"/>
              <w:right w:val="single" w:sz="4" w:space="0" w:color="auto"/>
            </w:tcBorders>
            <w:shd w:val="clear" w:color="auto" w:fill="AFBED7"/>
            <w:vAlign w:val="bottom"/>
          </w:tcPr>
          <w:p w:rsidR="00241635" w:rsidRPr="009A756C" w:rsidRDefault="00241635" w:rsidP="00E57E9B">
            <w:pPr>
              <w:pStyle w:val="TH-TableHeading"/>
              <w:rPr>
                <w:position w:val="6"/>
              </w:rPr>
            </w:pPr>
            <w:r>
              <w:t>P = 20%</w:t>
            </w:r>
          </w:p>
        </w:tc>
        <w:tc>
          <w:tcPr>
            <w:tcW w:w="580" w:type="pct"/>
            <w:tcBorders>
              <w:bottom w:val="single" w:sz="4" w:space="0" w:color="auto"/>
              <w:right w:val="single" w:sz="4" w:space="0" w:color="auto"/>
            </w:tcBorders>
            <w:shd w:val="clear" w:color="auto" w:fill="AFBED7"/>
            <w:vAlign w:val="bottom"/>
          </w:tcPr>
          <w:p w:rsidR="00241635" w:rsidRPr="009A756C" w:rsidRDefault="00241635" w:rsidP="00E57E9B">
            <w:pPr>
              <w:pStyle w:val="TH-TableHeading"/>
              <w:rPr>
                <w:position w:val="6"/>
              </w:rPr>
            </w:pPr>
            <w:r>
              <w:t>P = 30%</w:t>
            </w:r>
          </w:p>
        </w:tc>
        <w:tc>
          <w:tcPr>
            <w:tcW w:w="579" w:type="pct"/>
            <w:tcBorders>
              <w:bottom w:val="single" w:sz="4" w:space="0" w:color="auto"/>
              <w:right w:val="single" w:sz="4" w:space="0" w:color="auto"/>
            </w:tcBorders>
            <w:shd w:val="clear" w:color="auto" w:fill="AFBED7"/>
            <w:vAlign w:val="bottom"/>
          </w:tcPr>
          <w:p w:rsidR="00241635" w:rsidRPr="009A756C" w:rsidRDefault="00241635" w:rsidP="00E57E9B">
            <w:pPr>
              <w:pStyle w:val="TH-TableHeading"/>
              <w:rPr>
                <w:position w:val="6"/>
              </w:rPr>
            </w:pPr>
            <w:r>
              <w:t>P = 40%</w:t>
            </w:r>
          </w:p>
        </w:tc>
        <w:tc>
          <w:tcPr>
            <w:tcW w:w="579" w:type="pct"/>
            <w:tcBorders>
              <w:bottom w:val="single" w:sz="4" w:space="0" w:color="auto"/>
              <w:right w:val="single" w:sz="4" w:space="0" w:color="auto"/>
            </w:tcBorders>
            <w:shd w:val="clear" w:color="auto" w:fill="AFBED7"/>
            <w:vAlign w:val="bottom"/>
          </w:tcPr>
          <w:p w:rsidR="00241635" w:rsidRPr="009A756C" w:rsidRDefault="00241635" w:rsidP="00E57E9B">
            <w:pPr>
              <w:pStyle w:val="TH-TableHeading"/>
              <w:rPr>
                <w:position w:val="6"/>
              </w:rPr>
            </w:pPr>
            <w:r>
              <w:t>P = 50%</w:t>
            </w:r>
          </w:p>
        </w:tc>
      </w:tr>
      <w:tr w:rsidR="00241635" w:rsidRPr="009A756C" w:rsidTr="00E57E9B">
        <w:tc>
          <w:tcPr>
            <w:tcW w:w="647" w:type="pct"/>
            <w:tcBorders>
              <w:top w:val="single" w:sz="4" w:space="0" w:color="auto"/>
            </w:tcBorders>
            <w:shd w:val="clear" w:color="auto" w:fill="auto"/>
            <w:noWrap/>
            <w:vAlign w:val="bottom"/>
          </w:tcPr>
          <w:p w:rsidR="00241635" w:rsidRPr="009A756C" w:rsidRDefault="00241635" w:rsidP="00E57E9B">
            <w:pPr>
              <w:pStyle w:val="TX-TableText"/>
              <w:jc w:val="center"/>
            </w:pPr>
            <w:r w:rsidRPr="009A756C">
              <w:t>4</w:t>
            </w:r>
          </w:p>
        </w:tc>
        <w:tc>
          <w:tcPr>
            <w:tcW w:w="640" w:type="pct"/>
            <w:tcBorders>
              <w:top w:val="single" w:sz="4" w:space="0" w:color="auto"/>
            </w:tcBorders>
            <w:vAlign w:val="bottom"/>
          </w:tcPr>
          <w:p w:rsidR="00241635" w:rsidRPr="009A756C" w:rsidRDefault="00241635" w:rsidP="00E57E9B">
            <w:pPr>
              <w:pStyle w:val="TX-TableText"/>
              <w:jc w:val="center"/>
            </w:pPr>
            <w:r w:rsidRPr="009A756C">
              <w:t>2</w:t>
            </w:r>
          </w:p>
        </w:tc>
        <w:tc>
          <w:tcPr>
            <w:tcW w:w="704" w:type="pct"/>
            <w:tcBorders>
              <w:top w:val="single" w:sz="4" w:space="0" w:color="auto"/>
            </w:tcBorders>
            <w:shd w:val="clear" w:color="auto" w:fill="auto"/>
            <w:noWrap/>
            <w:vAlign w:val="bottom"/>
          </w:tcPr>
          <w:p w:rsidR="00241635" w:rsidRPr="009A756C" w:rsidRDefault="00241635" w:rsidP="00E57E9B">
            <w:pPr>
              <w:pStyle w:val="TX-TableText"/>
              <w:tabs>
                <w:tab w:val="decimal" w:pos="972"/>
              </w:tabs>
            </w:pPr>
            <w:r w:rsidRPr="009A756C">
              <w:t>1,540</w:t>
            </w:r>
          </w:p>
        </w:tc>
        <w:tc>
          <w:tcPr>
            <w:tcW w:w="704" w:type="pct"/>
            <w:tcBorders>
              <w:top w:val="single" w:sz="4" w:space="0" w:color="auto"/>
              <w:right w:val="single" w:sz="4" w:space="0" w:color="auto"/>
            </w:tcBorders>
            <w:shd w:val="clear" w:color="auto" w:fill="auto"/>
            <w:noWrap/>
            <w:vAlign w:val="bottom"/>
          </w:tcPr>
          <w:p w:rsidR="00241635" w:rsidRPr="009A756C" w:rsidRDefault="00241635" w:rsidP="00E57E9B">
            <w:pPr>
              <w:pStyle w:val="TX-TableText"/>
              <w:jc w:val="center"/>
            </w:pPr>
            <w:r w:rsidRPr="009A756C">
              <w:t>770</w:t>
            </w:r>
          </w:p>
        </w:tc>
        <w:tc>
          <w:tcPr>
            <w:tcW w:w="567" w:type="pct"/>
            <w:tcBorders>
              <w:top w:val="single" w:sz="4" w:space="0" w:color="auto"/>
              <w:right w:val="single" w:sz="4" w:space="0" w:color="auto"/>
            </w:tcBorders>
          </w:tcPr>
          <w:p w:rsidR="00241635" w:rsidRPr="009A756C" w:rsidRDefault="00241635" w:rsidP="00E57E9B">
            <w:pPr>
              <w:pStyle w:val="TX-TableText"/>
              <w:jc w:val="center"/>
            </w:pPr>
            <w:r>
              <w:t>4.7</w:t>
            </w:r>
          </w:p>
        </w:tc>
        <w:tc>
          <w:tcPr>
            <w:tcW w:w="580" w:type="pct"/>
            <w:tcBorders>
              <w:top w:val="single" w:sz="4" w:space="0" w:color="auto"/>
              <w:right w:val="single" w:sz="4" w:space="0" w:color="auto"/>
            </w:tcBorders>
          </w:tcPr>
          <w:p w:rsidR="00241635" w:rsidRPr="009A756C" w:rsidRDefault="00241635" w:rsidP="00E57E9B">
            <w:pPr>
              <w:pStyle w:val="TX-TableText"/>
              <w:jc w:val="center"/>
            </w:pPr>
            <w:r>
              <w:t>5.4</w:t>
            </w:r>
          </w:p>
        </w:tc>
        <w:tc>
          <w:tcPr>
            <w:tcW w:w="579" w:type="pct"/>
            <w:tcBorders>
              <w:top w:val="single" w:sz="4" w:space="0" w:color="auto"/>
              <w:right w:val="single" w:sz="4" w:space="0" w:color="auto"/>
            </w:tcBorders>
          </w:tcPr>
          <w:p w:rsidR="00241635" w:rsidRPr="009A756C" w:rsidRDefault="00241635" w:rsidP="00E57E9B">
            <w:pPr>
              <w:pStyle w:val="TX-TableText"/>
              <w:jc w:val="center"/>
            </w:pPr>
            <w:r>
              <w:t>5.8</w:t>
            </w:r>
          </w:p>
        </w:tc>
        <w:tc>
          <w:tcPr>
            <w:tcW w:w="579" w:type="pct"/>
            <w:tcBorders>
              <w:top w:val="single" w:sz="4" w:space="0" w:color="auto"/>
              <w:right w:val="single" w:sz="4" w:space="0" w:color="auto"/>
            </w:tcBorders>
          </w:tcPr>
          <w:p w:rsidR="00241635" w:rsidRPr="009A756C" w:rsidRDefault="00241635" w:rsidP="00E57E9B">
            <w:pPr>
              <w:pStyle w:val="TX-TableText"/>
              <w:jc w:val="center"/>
            </w:pPr>
            <w:r>
              <w:t>5.9</w:t>
            </w:r>
          </w:p>
        </w:tc>
      </w:tr>
      <w:tr w:rsidR="00241635" w:rsidRPr="009A756C" w:rsidTr="00E57E9B">
        <w:tc>
          <w:tcPr>
            <w:tcW w:w="647" w:type="pct"/>
            <w:shd w:val="clear" w:color="auto" w:fill="auto"/>
            <w:noWrap/>
            <w:vAlign w:val="bottom"/>
            <w:hideMark/>
          </w:tcPr>
          <w:p w:rsidR="00241635" w:rsidRPr="009A756C" w:rsidRDefault="00241635" w:rsidP="00E57E9B">
            <w:pPr>
              <w:pStyle w:val="TX-TableText"/>
              <w:jc w:val="center"/>
            </w:pPr>
            <w:r w:rsidRPr="009A756C">
              <w:t>4</w:t>
            </w:r>
          </w:p>
        </w:tc>
        <w:tc>
          <w:tcPr>
            <w:tcW w:w="640" w:type="pct"/>
            <w:vAlign w:val="bottom"/>
          </w:tcPr>
          <w:p w:rsidR="00241635" w:rsidRPr="009A756C" w:rsidRDefault="00241635" w:rsidP="00E57E9B">
            <w:pPr>
              <w:pStyle w:val="TX-TableText"/>
              <w:jc w:val="center"/>
            </w:pPr>
            <w:r w:rsidRPr="009A756C">
              <w:t>1</w:t>
            </w:r>
          </w:p>
        </w:tc>
        <w:tc>
          <w:tcPr>
            <w:tcW w:w="704" w:type="pct"/>
            <w:shd w:val="clear" w:color="auto" w:fill="auto"/>
            <w:noWrap/>
            <w:vAlign w:val="bottom"/>
            <w:hideMark/>
          </w:tcPr>
          <w:p w:rsidR="00241635" w:rsidRPr="009A756C" w:rsidRDefault="00241635" w:rsidP="00E57E9B">
            <w:pPr>
              <w:pStyle w:val="TX-TableText"/>
              <w:tabs>
                <w:tab w:val="decimal" w:pos="972"/>
              </w:tabs>
            </w:pPr>
            <w:r w:rsidRPr="009A756C">
              <w:t>1,540</w:t>
            </w:r>
          </w:p>
        </w:tc>
        <w:tc>
          <w:tcPr>
            <w:tcW w:w="704" w:type="pct"/>
            <w:tcBorders>
              <w:right w:val="single" w:sz="4" w:space="0" w:color="auto"/>
            </w:tcBorders>
            <w:shd w:val="clear" w:color="auto" w:fill="auto"/>
            <w:noWrap/>
            <w:vAlign w:val="bottom"/>
            <w:hideMark/>
          </w:tcPr>
          <w:p w:rsidR="00241635" w:rsidRPr="009A756C" w:rsidRDefault="00241635" w:rsidP="00E57E9B">
            <w:pPr>
              <w:pStyle w:val="TX-TableText"/>
              <w:jc w:val="center"/>
            </w:pPr>
            <w:r w:rsidRPr="009A756C">
              <w:t>385</w:t>
            </w:r>
          </w:p>
        </w:tc>
        <w:tc>
          <w:tcPr>
            <w:tcW w:w="567" w:type="pct"/>
            <w:tcBorders>
              <w:right w:val="single" w:sz="4" w:space="0" w:color="auto"/>
            </w:tcBorders>
          </w:tcPr>
          <w:p w:rsidR="00241635" w:rsidRPr="009A756C" w:rsidRDefault="00241635" w:rsidP="00E57E9B">
            <w:pPr>
              <w:pStyle w:val="TX-TableText"/>
              <w:jc w:val="center"/>
            </w:pPr>
            <w:r>
              <w:t>6.5</w:t>
            </w:r>
          </w:p>
        </w:tc>
        <w:tc>
          <w:tcPr>
            <w:tcW w:w="580" w:type="pct"/>
            <w:tcBorders>
              <w:right w:val="single" w:sz="4" w:space="0" w:color="auto"/>
            </w:tcBorders>
          </w:tcPr>
          <w:p w:rsidR="00241635" w:rsidRPr="009A756C" w:rsidRDefault="00241635" w:rsidP="00E57E9B">
            <w:pPr>
              <w:pStyle w:val="TX-TableText"/>
              <w:jc w:val="center"/>
            </w:pPr>
            <w:r>
              <w:t>7.5</w:t>
            </w:r>
          </w:p>
        </w:tc>
        <w:tc>
          <w:tcPr>
            <w:tcW w:w="579" w:type="pct"/>
            <w:tcBorders>
              <w:right w:val="single" w:sz="4" w:space="0" w:color="auto"/>
            </w:tcBorders>
          </w:tcPr>
          <w:p w:rsidR="00241635" w:rsidRPr="009A756C" w:rsidRDefault="00241635" w:rsidP="00E57E9B">
            <w:pPr>
              <w:pStyle w:val="TX-TableText"/>
              <w:jc w:val="center"/>
            </w:pPr>
            <w:r>
              <w:t>8.0</w:t>
            </w:r>
          </w:p>
        </w:tc>
        <w:tc>
          <w:tcPr>
            <w:tcW w:w="579" w:type="pct"/>
            <w:tcBorders>
              <w:right w:val="single" w:sz="4" w:space="0" w:color="auto"/>
            </w:tcBorders>
          </w:tcPr>
          <w:p w:rsidR="00241635" w:rsidRPr="009A756C" w:rsidRDefault="00241635" w:rsidP="00E57E9B">
            <w:pPr>
              <w:pStyle w:val="TX-TableText"/>
              <w:jc w:val="center"/>
            </w:pPr>
            <w:r>
              <w:t>8.1</w:t>
            </w:r>
          </w:p>
        </w:tc>
      </w:tr>
      <w:tr w:rsidR="00241635" w:rsidRPr="009A756C" w:rsidTr="00E57E9B">
        <w:tc>
          <w:tcPr>
            <w:tcW w:w="647" w:type="pct"/>
            <w:shd w:val="clear" w:color="auto" w:fill="auto"/>
            <w:noWrap/>
            <w:vAlign w:val="bottom"/>
            <w:hideMark/>
          </w:tcPr>
          <w:p w:rsidR="00241635" w:rsidRPr="009A756C" w:rsidRDefault="00241635" w:rsidP="00E57E9B">
            <w:pPr>
              <w:pStyle w:val="TX-TableText"/>
              <w:jc w:val="center"/>
            </w:pPr>
            <w:r w:rsidRPr="009A756C">
              <w:t>2</w:t>
            </w:r>
          </w:p>
        </w:tc>
        <w:tc>
          <w:tcPr>
            <w:tcW w:w="640" w:type="pct"/>
            <w:vAlign w:val="bottom"/>
          </w:tcPr>
          <w:p w:rsidR="00241635" w:rsidRPr="009A756C" w:rsidRDefault="00241635" w:rsidP="00E57E9B">
            <w:pPr>
              <w:pStyle w:val="TX-TableText"/>
              <w:jc w:val="center"/>
            </w:pPr>
            <w:r w:rsidRPr="009A756C">
              <w:t>1</w:t>
            </w:r>
          </w:p>
        </w:tc>
        <w:tc>
          <w:tcPr>
            <w:tcW w:w="704" w:type="pct"/>
            <w:shd w:val="clear" w:color="auto" w:fill="auto"/>
            <w:noWrap/>
            <w:vAlign w:val="bottom"/>
            <w:hideMark/>
          </w:tcPr>
          <w:p w:rsidR="00241635" w:rsidRPr="009A756C" w:rsidRDefault="00241635" w:rsidP="00E57E9B">
            <w:pPr>
              <w:pStyle w:val="TX-TableText"/>
              <w:tabs>
                <w:tab w:val="decimal" w:pos="972"/>
              </w:tabs>
            </w:pPr>
            <w:r w:rsidRPr="009A756C">
              <w:t>770</w:t>
            </w:r>
          </w:p>
        </w:tc>
        <w:tc>
          <w:tcPr>
            <w:tcW w:w="704" w:type="pct"/>
            <w:tcBorders>
              <w:right w:val="single" w:sz="4" w:space="0" w:color="auto"/>
            </w:tcBorders>
            <w:shd w:val="clear" w:color="auto" w:fill="auto"/>
            <w:noWrap/>
            <w:vAlign w:val="bottom"/>
            <w:hideMark/>
          </w:tcPr>
          <w:p w:rsidR="00241635" w:rsidRPr="009A756C" w:rsidRDefault="00241635" w:rsidP="00E57E9B">
            <w:pPr>
              <w:pStyle w:val="TX-TableText"/>
              <w:jc w:val="center"/>
            </w:pPr>
            <w:r w:rsidRPr="009A756C">
              <w:t>385</w:t>
            </w:r>
          </w:p>
        </w:tc>
        <w:tc>
          <w:tcPr>
            <w:tcW w:w="567" w:type="pct"/>
            <w:tcBorders>
              <w:right w:val="single" w:sz="4" w:space="0" w:color="auto"/>
            </w:tcBorders>
          </w:tcPr>
          <w:p w:rsidR="00241635" w:rsidRPr="009A756C" w:rsidRDefault="00241635" w:rsidP="00E57E9B">
            <w:pPr>
              <w:pStyle w:val="TX-TableText"/>
              <w:jc w:val="center"/>
            </w:pPr>
            <w:r>
              <w:t>6.7</w:t>
            </w:r>
          </w:p>
        </w:tc>
        <w:tc>
          <w:tcPr>
            <w:tcW w:w="580" w:type="pct"/>
            <w:tcBorders>
              <w:right w:val="single" w:sz="4" w:space="0" w:color="auto"/>
            </w:tcBorders>
          </w:tcPr>
          <w:p w:rsidR="00241635" w:rsidRPr="009A756C" w:rsidRDefault="00241635" w:rsidP="00E57E9B">
            <w:pPr>
              <w:pStyle w:val="TX-TableText"/>
              <w:jc w:val="center"/>
            </w:pPr>
            <w:r>
              <w:t>7.7</w:t>
            </w:r>
          </w:p>
        </w:tc>
        <w:tc>
          <w:tcPr>
            <w:tcW w:w="579" w:type="pct"/>
            <w:tcBorders>
              <w:right w:val="single" w:sz="4" w:space="0" w:color="auto"/>
            </w:tcBorders>
          </w:tcPr>
          <w:p w:rsidR="00241635" w:rsidRPr="009A756C" w:rsidRDefault="00241635" w:rsidP="00E57E9B">
            <w:pPr>
              <w:pStyle w:val="TX-TableText"/>
              <w:jc w:val="center"/>
            </w:pPr>
            <w:r>
              <w:t>8.2</w:t>
            </w:r>
          </w:p>
        </w:tc>
        <w:tc>
          <w:tcPr>
            <w:tcW w:w="579" w:type="pct"/>
            <w:tcBorders>
              <w:right w:val="single" w:sz="4" w:space="0" w:color="auto"/>
            </w:tcBorders>
          </w:tcPr>
          <w:p w:rsidR="00241635" w:rsidRPr="009A756C" w:rsidRDefault="00241635" w:rsidP="00E57E9B">
            <w:pPr>
              <w:pStyle w:val="TX-TableText"/>
              <w:jc w:val="center"/>
            </w:pPr>
            <w:r>
              <w:t>8.4</w:t>
            </w:r>
          </w:p>
        </w:tc>
      </w:tr>
      <w:tr w:rsidR="00241635" w:rsidRPr="009A756C" w:rsidTr="00E57E9B">
        <w:tc>
          <w:tcPr>
            <w:tcW w:w="647" w:type="pct"/>
            <w:shd w:val="clear" w:color="auto" w:fill="auto"/>
            <w:noWrap/>
            <w:vAlign w:val="bottom"/>
          </w:tcPr>
          <w:p w:rsidR="00241635" w:rsidRPr="009A756C" w:rsidRDefault="00241635" w:rsidP="00E57E9B">
            <w:pPr>
              <w:pStyle w:val="TX-TableText"/>
              <w:jc w:val="center"/>
            </w:pPr>
            <w:r>
              <w:t>1</w:t>
            </w:r>
          </w:p>
        </w:tc>
        <w:tc>
          <w:tcPr>
            <w:tcW w:w="640" w:type="pct"/>
            <w:vAlign w:val="bottom"/>
          </w:tcPr>
          <w:p w:rsidR="00241635" w:rsidRPr="009A756C" w:rsidRDefault="00241635" w:rsidP="00E57E9B">
            <w:pPr>
              <w:pStyle w:val="TX-TableText"/>
              <w:jc w:val="center"/>
            </w:pPr>
            <w:r>
              <w:t>1</w:t>
            </w:r>
          </w:p>
        </w:tc>
        <w:tc>
          <w:tcPr>
            <w:tcW w:w="704" w:type="pct"/>
            <w:shd w:val="clear" w:color="auto" w:fill="auto"/>
            <w:noWrap/>
            <w:vAlign w:val="bottom"/>
          </w:tcPr>
          <w:p w:rsidR="00241635" w:rsidRPr="009A756C" w:rsidRDefault="00241635" w:rsidP="00E57E9B">
            <w:pPr>
              <w:pStyle w:val="TX-TableText"/>
              <w:tabs>
                <w:tab w:val="decimal" w:pos="972"/>
              </w:tabs>
            </w:pPr>
            <w:r>
              <w:t>385</w:t>
            </w:r>
          </w:p>
        </w:tc>
        <w:tc>
          <w:tcPr>
            <w:tcW w:w="704" w:type="pct"/>
            <w:tcBorders>
              <w:bottom w:val="single" w:sz="4" w:space="0" w:color="auto"/>
              <w:right w:val="single" w:sz="4" w:space="0" w:color="auto"/>
            </w:tcBorders>
            <w:shd w:val="clear" w:color="auto" w:fill="auto"/>
            <w:noWrap/>
            <w:vAlign w:val="bottom"/>
          </w:tcPr>
          <w:p w:rsidR="00241635" w:rsidRPr="009A756C" w:rsidRDefault="00241635" w:rsidP="00E57E9B">
            <w:pPr>
              <w:pStyle w:val="TX-TableText"/>
              <w:jc w:val="center"/>
            </w:pPr>
            <w:r>
              <w:t>385</w:t>
            </w:r>
          </w:p>
        </w:tc>
        <w:tc>
          <w:tcPr>
            <w:tcW w:w="567" w:type="pct"/>
            <w:tcBorders>
              <w:bottom w:val="single" w:sz="4" w:space="0" w:color="auto"/>
              <w:right w:val="single" w:sz="4" w:space="0" w:color="auto"/>
            </w:tcBorders>
          </w:tcPr>
          <w:p w:rsidR="00241635" w:rsidRDefault="00241635" w:rsidP="00E57E9B">
            <w:pPr>
              <w:pStyle w:val="TX-TableText"/>
              <w:jc w:val="center"/>
            </w:pPr>
            <w:r>
              <w:t>7.5</w:t>
            </w:r>
          </w:p>
        </w:tc>
        <w:tc>
          <w:tcPr>
            <w:tcW w:w="580" w:type="pct"/>
            <w:tcBorders>
              <w:bottom w:val="single" w:sz="4" w:space="0" w:color="auto"/>
              <w:right w:val="single" w:sz="4" w:space="0" w:color="auto"/>
            </w:tcBorders>
          </w:tcPr>
          <w:p w:rsidR="00241635" w:rsidRDefault="00241635" w:rsidP="00E57E9B">
            <w:pPr>
              <w:pStyle w:val="TX-TableText"/>
              <w:jc w:val="center"/>
            </w:pPr>
            <w:r>
              <w:t>8.6</w:t>
            </w:r>
          </w:p>
        </w:tc>
        <w:tc>
          <w:tcPr>
            <w:tcW w:w="579" w:type="pct"/>
            <w:tcBorders>
              <w:bottom w:val="single" w:sz="4" w:space="0" w:color="auto"/>
              <w:right w:val="single" w:sz="4" w:space="0" w:color="auto"/>
            </w:tcBorders>
          </w:tcPr>
          <w:p w:rsidR="00241635" w:rsidRDefault="00241635" w:rsidP="00E57E9B">
            <w:pPr>
              <w:pStyle w:val="TX-TableText"/>
              <w:jc w:val="center"/>
            </w:pPr>
            <w:r>
              <w:t>9.2</w:t>
            </w:r>
          </w:p>
        </w:tc>
        <w:tc>
          <w:tcPr>
            <w:tcW w:w="579" w:type="pct"/>
            <w:tcBorders>
              <w:bottom w:val="single" w:sz="4" w:space="0" w:color="auto"/>
              <w:right w:val="single" w:sz="4" w:space="0" w:color="auto"/>
            </w:tcBorders>
          </w:tcPr>
          <w:p w:rsidR="00241635" w:rsidRDefault="00241635" w:rsidP="00E57E9B">
            <w:pPr>
              <w:pStyle w:val="TX-TableText"/>
              <w:jc w:val="center"/>
            </w:pPr>
            <w:r>
              <w:t>9.4</w:t>
            </w:r>
          </w:p>
        </w:tc>
      </w:tr>
    </w:tbl>
    <w:p w:rsidR="00241635" w:rsidRDefault="00241635" w:rsidP="00241635">
      <w:pPr>
        <w:pStyle w:val="TF-TblFN"/>
      </w:pPr>
      <w:proofErr w:type="gramStart"/>
      <w:r w:rsidRPr="009A756C">
        <w:rPr>
          <w:b/>
          <w:position w:val="6"/>
          <w:vertAlign w:val="superscript"/>
        </w:rPr>
        <w:t>a</w:t>
      </w:r>
      <w:proofErr w:type="gramEnd"/>
      <w:r w:rsidRPr="00736F06">
        <w:rPr>
          <w:vertAlign w:val="superscript"/>
        </w:rPr>
        <w:tab/>
      </w:r>
      <w:r w:rsidRPr="009A756C">
        <w:t>Number of responding individuals providing pre- and post-intervention data.</w:t>
      </w:r>
    </w:p>
    <w:p w:rsidR="00241635" w:rsidRPr="009A756C" w:rsidRDefault="00241635" w:rsidP="00241635">
      <w:pPr>
        <w:pStyle w:val="TF-TblFN"/>
      </w:pPr>
      <w:proofErr w:type="gramStart"/>
      <w:r w:rsidRPr="009A756C">
        <w:rPr>
          <w:b/>
          <w:position w:val="6"/>
          <w:vertAlign w:val="superscript"/>
        </w:rPr>
        <w:t>b</w:t>
      </w:r>
      <w:proofErr w:type="gramEnd"/>
      <w:r w:rsidRPr="00736F06">
        <w:rPr>
          <w:vertAlign w:val="superscript"/>
        </w:rPr>
        <w:tab/>
      </w:r>
      <w:r w:rsidRPr="009A756C">
        <w:t>MDDs are for the difference between the treatment and control groups in the change in intakes from pre- to post-intervention. The calculations assume a weighting design effect (DEFF) of 1.1 and correlation between pre- and post- intervention measurements among the same respondents of 0.50.</w:t>
      </w:r>
    </w:p>
    <w:p w:rsidR="00241635" w:rsidRDefault="00241635" w:rsidP="001B265D">
      <w:pPr>
        <w:pStyle w:val="L1-FlLSp12"/>
      </w:pPr>
    </w:p>
    <w:p w:rsidR="008A6A7C" w:rsidRDefault="008A6A7C" w:rsidP="001B265D">
      <w:pPr>
        <w:pStyle w:val="L1-FlLSp12"/>
      </w:pPr>
      <w:r>
        <w:t>I</w:t>
      </w:r>
      <w:r w:rsidRPr="00396B02">
        <w:t xml:space="preserve">t should be noted that a </w:t>
      </w:r>
      <w:r>
        <w:t xml:space="preserve">year-to-year </w:t>
      </w:r>
      <w:r w:rsidRPr="00396B02">
        <w:t xml:space="preserve">correlation of 0.50 is assumed in the calculation of the MDDs in Tables </w:t>
      </w:r>
      <w:r>
        <w:t>B2.2</w:t>
      </w:r>
      <w:r w:rsidRPr="00396B02">
        <w:t xml:space="preserve"> and </w:t>
      </w:r>
      <w:r>
        <w:t>B2.3</w:t>
      </w:r>
      <w:r w:rsidRPr="00396B02">
        <w:t xml:space="preserve">. </w:t>
      </w:r>
      <w:r w:rsidR="001201F4" w:rsidRPr="00BE41A6">
        <w:t xml:space="preserve">This correlation represents the correlation between the pre- and post-intervention </w:t>
      </w:r>
      <w:r w:rsidR="001201F4" w:rsidRPr="00396B02">
        <w:t>reports of fruit and vegetable intakes for the same set of respo</w:t>
      </w:r>
      <w:r w:rsidR="001201F4">
        <w:t xml:space="preserve">ndents in the two time periods. </w:t>
      </w:r>
      <w:r>
        <w:t>This correlation is unique to the longitudinal design and stems from the fact that the pre and post data are from the same individuals. Because this correlation reduces the variation in estimates of change between the pre- and post-intervention time periods, using a relatively high correlation for sample planning purposes could severely understate the sample size needed to detect a given level of change. We have used</w:t>
      </w:r>
      <w:r w:rsidRPr="00396B02">
        <w:t xml:space="preserve"> a somewhat conservative </w:t>
      </w:r>
      <w:r>
        <w:t>correlation of 0.50 in our sample size calculations to ensure that we do not overstate the advantages of the longitudinal design</w:t>
      </w:r>
      <w:r w:rsidRPr="00396B02">
        <w:t xml:space="preserve">. Assuming a larger correlation for sample design purposes </w:t>
      </w:r>
      <w:r>
        <w:t>would</w:t>
      </w:r>
      <w:r w:rsidRPr="00396B02">
        <w:t xml:space="preserve"> lead to smaller sample sizes, but </w:t>
      </w:r>
      <w:r>
        <w:t xml:space="preserve">would </w:t>
      </w:r>
      <w:r w:rsidRPr="00396B02">
        <w:t>incur the risk that the resulting analytic samples will be too underpowered to provide statistically meaningful results in the event that the correlations are observed to be lower than those assumed.</w:t>
      </w:r>
    </w:p>
    <w:p w:rsidR="001B265D" w:rsidRDefault="001B265D" w:rsidP="001B265D">
      <w:pPr>
        <w:pStyle w:val="L1-FlLSp12"/>
      </w:pPr>
    </w:p>
    <w:p w:rsidR="00C045FA" w:rsidRDefault="00C045FA" w:rsidP="001B265D">
      <w:pPr>
        <w:pStyle w:val="L1-FlLSp12"/>
      </w:pPr>
    </w:p>
    <w:p w:rsidR="008A6A7C" w:rsidRPr="0074555B" w:rsidRDefault="00E329A7" w:rsidP="00E329A7">
      <w:pPr>
        <w:pStyle w:val="Heading3"/>
      </w:pPr>
      <w:bookmarkStart w:id="53" w:name="_Toc400377747"/>
      <w:r>
        <w:tab/>
      </w:r>
      <w:r w:rsidR="008A6A7C" w:rsidRPr="0074555B">
        <w:t>Estimation Procedures</w:t>
      </w:r>
      <w:bookmarkEnd w:id="53"/>
      <w:r w:rsidR="008A6A7C">
        <w:t xml:space="preserve"> for the S</w:t>
      </w:r>
      <w:r w:rsidR="000E3226">
        <w:t xml:space="preserve">NAP </w:t>
      </w:r>
      <w:r w:rsidR="008A6A7C">
        <w:t>P</w:t>
      </w:r>
      <w:r w:rsidR="000E3226">
        <w:t xml:space="preserve">articipant </w:t>
      </w:r>
      <w:r w:rsidR="008A6A7C">
        <w:t>S</w:t>
      </w:r>
      <w:r w:rsidR="000E3226">
        <w:t>urvey</w:t>
      </w:r>
    </w:p>
    <w:p w:rsidR="008A6A7C" w:rsidRDefault="004A7048" w:rsidP="004A7048">
      <w:pPr>
        <w:pStyle w:val="Heading5"/>
      </w:pPr>
      <w:r>
        <w:tab/>
      </w:r>
      <w:r w:rsidR="008A6A7C" w:rsidRPr="00AB2A0D">
        <w:t>Sample Weights</w:t>
      </w:r>
    </w:p>
    <w:p w:rsidR="002120F1" w:rsidRDefault="008A6A7C" w:rsidP="001B265D">
      <w:pPr>
        <w:pStyle w:val="L1-FlLSp12"/>
      </w:pPr>
      <w:r>
        <w:t>To derive unbiased estimates of outcome measures and other descriptive statistics from the pre- and post-SPS data, s</w:t>
      </w:r>
      <w:r w:rsidRPr="00AB2A0D">
        <w:t xml:space="preserve">ample weights will be </w:t>
      </w:r>
      <w:r>
        <w:t>computed</w:t>
      </w:r>
      <w:r w:rsidRPr="00AB2A0D">
        <w:t xml:space="preserve"> for </w:t>
      </w:r>
      <w:r>
        <w:t>SNAP participants</w:t>
      </w:r>
      <w:r w:rsidRPr="00AB2A0D">
        <w:t xml:space="preserve"> responding to the survey.</w:t>
      </w:r>
      <w:r>
        <w:t xml:space="preserve"> </w:t>
      </w:r>
      <w:r w:rsidRPr="00AB2A0D">
        <w:t xml:space="preserve">Each sampled </w:t>
      </w:r>
      <w:r>
        <w:t>SNAP participant will be assigned a base weight</w:t>
      </w:r>
      <w:r w:rsidRPr="00AB2A0D">
        <w:t xml:space="preserve"> reflecting </w:t>
      </w:r>
      <w:r>
        <w:t>the</w:t>
      </w:r>
      <w:r w:rsidRPr="00AB2A0D">
        <w:t xml:space="preserve"> </w:t>
      </w:r>
      <w:r>
        <w:t>SNAP participant</w:t>
      </w:r>
      <w:r w:rsidRPr="00AB2A0D">
        <w:t>’s chance of selection.</w:t>
      </w:r>
      <w:r>
        <w:t xml:space="preserve"> </w:t>
      </w:r>
      <w:r w:rsidRPr="00B33AC0">
        <w:t xml:space="preserve">To compensate for unit nonresponse, </w:t>
      </w:r>
      <w:r>
        <w:t xml:space="preserve">appropriate </w:t>
      </w:r>
      <w:r w:rsidRPr="00B33AC0">
        <w:t xml:space="preserve">adjustment factors </w:t>
      </w:r>
      <w:r>
        <w:t xml:space="preserve">will be computed </w:t>
      </w:r>
      <w:r w:rsidRPr="00B33AC0">
        <w:t xml:space="preserve">within selected weighting classes, </w:t>
      </w:r>
      <w:r>
        <w:t xml:space="preserve">where the adjustment factor is </w:t>
      </w:r>
      <w:r w:rsidRPr="00F26572">
        <w:t xml:space="preserve">the ratio of the sum of the weights (using the base weights) of both respondents and </w:t>
      </w:r>
      <w:proofErr w:type="spellStart"/>
      <w:r w:rsidRPr="00F26572">
        <w:t>nonrespondents</w:t>
      </w:r>
      <w:proofErr w:type="spellEnd"/>
      <w:r w:rsidRPr="00F26572">
        <w:t xml:space="preserve"> to the sum of the weights for respondents alone</w:t>
      </w:r>
      <w:r>
        <w:t xml:space="preserve"> in each weighting class</w:t>
      </w:r>
      <w:r w:rsidRPr="00F26572">
        <w:t xml:space="preserve">. </w:t>
      </w:r>
      <w:r>
        <w:t>T</w:t>
      </w:r>
      <w:r w:rsidRPr="00B33AC0">
        <w:t>hese factors</w:t>
      </w:r>
      <w:r>
        <w:t xml:space="preserve"> will be used</w:t>
      </w:r>
      <w:r w:rsidRPr="00B33AC0">
        <w:t xml:space="preserve"> to inflate the base weights</w:t>
      </w:r>
      <w:r>
        <w:t xml:space="preserve">, </w:t>
      </w:r>
      <w:r w:rsidRPr="00F26572">
        <w:t xml:space="preserve">so that estimates from </w:t>
      </w:r>
      <w:r w:rsidRPr="00F75827">
        <w:t xml:space="preserve">responding </w:t>
      </w:r>
      <w:r w:rsidRPr="00F75827">
        <w:rPr>
          <w:shd w:val="clear" w:color="auto" w:fill="FFFFFF" w:themeFill="background1"/>
        </w:rPr>
        <w:t>SNAP participants can be used to make appropriate inference to the SNAP participant population. The weighting classes may be defined</w:t>
      </w:r>
      <w:r w:rsidRPr="00B33AC0">
        <w:t xml:space="preserve"> based on relevant characteristics that are available for both responding and nonresponding units.</w:t>
      </w:r>
      <w:r>
        <w:t xml:space="preserve"> </w:t>
      </w:r>
      <w:r w:rsidRPr="007C17D3">
        <w:t xml:space="preserve">Analyses of differential nonresponses (e.g., using a software package such as CHAID) will </w:t>
      </w:r>
      <w:r>
        <w:t xml:space="preserve">be used </w:t>
      </w:r>
      <w:r w:rsidRPr="007C17D3">
        <w:t xml:space="preserve">to identify </w:t>
      </w:r>
      <w:r>
        <w:t>classe</w:t>
      </w:r>
      <w:r w:rsidRPr="007C17D3">
        <w:t>s with important differences in response propensity, a critical criterion in the formation of useful nonresponse adjustment c</w:t>
      </w:r>
      <w:r>
        <w:t>lasses</w:t>
      </w:r>
      <w:r w:rsidRPr="007C17D3">
        <w:t>.</w:t>
      </w:r>
      <w:r>
        <w:t xml:space="preserve"> </w:t>
      </w:r>
      <w:r w:rsidRPr="00B33AC0">
        <w:t>The sum of the weights of the respondents</w:t>
      </w:r>
      <w:r>
        <w:t>,</w:t>
      </w:r>
      <w:r w:rsidRPr="00B33AC0">
        <w:t xml:space="preserve"> after the adjustment</w:t>
      </w:r>
      <w:r>
        <w:t>,</w:t>
      </w:r>
      <w:r w:rsidRPr="00B33AC0">
        <w:t xml:space="preserve"> will equal the sum of the weights of the respondents and </w:t>
      </w:r>
      <w:proofErr w:type="spellStart"/>
      <w:r w:rsidRPr="00B33AC0">
        <w:t>nonrespondents</w:t>
      </w:r>
      <w:proofErr w:type="spellEnd"/>
      <w:r w:rsidRPr="00B33AC0">
        <w:t xml:space="preserve"> before the adjustment</w:t>
      </w:r>
      <w:r w:rsidR="002120F1">
        <w:t>.</w:t>
      </w:r>
    </w:p>
    <w:p w:rsidR="004A7048" w:rsidRDefault="004A7048" w:rsidP="001B265D">
      <w:pPr>
        <w:pStyle w:val="L1-FlLSp12"/>
      </w:pPr>
    </w:p>
    <w:p w:rsidR="004A7048" w:rsidRDefault="004A7048" w:rsidP="001B265D">
      <w:pPr>
        <w:pStyle w:val="L1-FlLSp12"/>
      </w:pPr>
    </w:p>
    <w:p w:rsidR="008A6A7C" w:rsidRDefault="004A7048" w:rsidP="004A7048">
      <w:pPr>
        <w:pStyle w:val="Heading5"/>
      </w:pPr>
      <w:r>
        <w:tab/>
      </w:r>
      <w:r w:rsidR="008A6A7C">
        <w:t>Sampling Error Estimation</w:t>
      </w:r>
    </w:p>
    <w:p w:rsidR="002120F1" w:rsidRDefault="008A6A7C" w:rsidP="001B265D">
      <w:pPr>
        <w:pStyle w:val="L1-FlLSp12"/>
      </w:pPr>
      <w:r w:rsidRPr="00EE2533">
        <w:t xml:space="preserve">When a survey is conducted using a complex sample design, the design must be taken explicitly into account to produce unbiased estimates and </w:t>
      </w:r>
      <w:r>
        <w:t xml:space="preserve">their </w:t>
      </w:r>
      <w:r w:rsidRPr="00EE2533">
        <w:t>standard</w:t>
      </w:r>
      <w:r>
        <w:t xml:space="preserve"> errors. The calculation of standard errors is accomplished by dividing the complete sample into a number of subsamples known as replicates. Each replicate sample, when properly weighted, will provide appropriate estimates of population characteristics of interest, and these replicate estimates are then used to compute the variance of the full-sample estimate. In general, replicate samples are formed to mirror the original sampling of primary sampling units. In this study</w:t>
      </w:r>
      <w:r w:rsidRPr="00AB2A0D">
        <w:t>, replicate weights using the jackknife methodology will be developed as part of the weighting process</w:t>
      </w:r>
      <w:r>
        <w:t>. Software packages such as SAS, SUDAAN, STATA, and WESVAR can be used with replicate weights to take the sample design into account when calculating point estimates, correlations, regression coefficients, and their associated standard errors. A</w:t>
      </w:r>
      <w:r w:rsidRPr="002301A6">
        <w:t xml:space="preserve"> series of jackknife replicate weights will be created and attached to each data record for variance estimation purposes</w:t>
      </w:r>
      <w:r w:rsidR="002120F1">
        <w:t>.</w:t>
      </w:r>
    </w:p>
    <w:p w:rsidR="004A7048" w:rsidRDefault="004A7048" w:rsidP="001B265D">
      <w:pPr>
        <w:pStyle w:val="L1-FlLSp12"/>
      </w:pPr>
    </w:p>
    <w:p w:rsidR="008A6A7C" w:rsidRDefault="008A6A7C" w:rsidP="001B265D">
      <w:pPr>
        <w:pStyle w:val="L1-FlLSp12"/>
      </w:pPr>
    </w:p>
    <w:p w:rsidR="008A6A7C" w:rsidRPr="008126AB" w:rsidRDefault="00E329A7" w:rsidP="00E329A7">
      <w:pPr>
        <w:pStyle w:val="Heading3"/>
      </w:pPr>
      <w:bookmarkStart w:id="54" w:name="_Toc400377748"/>
      <w:r>
        <w:tab/>
      </w:r>
      <w:r w:rsidR="008A6A7C" w:rsidRPr="008126AB">
        <w:t>Unusual Problems Requiring Specialized Sampling Procedures</w:t>
      </w:r>
      <w:bookmarkEnd w:id="54"/>
    </w:p>
    <w:p w:rsidR="008A6A7C" w:rsidRDefault="008A6A7C" w:rsidP="001B265D">
      <w:pPr>
        <w:pStyle w:val="L1-FlLSp12"/>
      </w:pPr>
      <w:r>
        <w:t>No specialized sampling procedures are involved.</w:t>
      </w:r>
    </w:p>
    <w:p w:rsidR="008A6A7C" w:rsidRDefault="008A6A7C" w:rsidP="001B265D">
      <w:pPr>
        <w:pStyle w:val="L1-FlLSp12"/>
      </w:pPr>
    </w:p>
    <w:p w:rsidR="004A7048" w:rsidRDefault="004A7048" w:rsidP="001B265D">
      <w:pPr>
        <w:pStyle w:val="L1-FlLSp12"/>
      </w:pPr>
    </w:p>
    <w:p w:rsidR="008A6A7C" w:rsidRPr="008126AB" w:rsidRDefault="00E329A7" w:rsidP="00E329A7">
      <w:pPr>
        <w:pStyle w:val="Heading3"/>
      </w:pPr>
      <w:bookmarkStart w:id="55" w:name="_Toc400377750"/>
      <w:r>
        <w:tab/>
      </w:r>
      <w:r w:rsidR="008A6A7C" w:rsidRPr="008126AB">
        <w:t xml:space="preserve">Any </w:t>
      </w:r>
      <w:r w:rsidR="008A6A7C">
        <w:t>U</w:t>
      </w:r>
      <w:r w:rsidR="008A6A7C" w:rsidRPr="008126AB">
        <w:t>se of Periodic (</w:t>
      </w:r>
      <w:r w:rsidR="0076468D">
        <w:t>Less Frequent T</w:t>
      </w:r>
      <w:r w:rsidR="00392857" w:rsidRPr="008126AB">
        <w:t>han Annu</w:t>
      </w:r>
      <w:r w:rsidR="008A6A7C" w:rsidRPr="008126AB">
        <w:t>al) Data Collection Cycles to Reduce Burden</w:t>
      </w:r>
      <w:bookmarkEnd w:id="55"/>
    </w:p>
    <w:p w:rsidR="008A6A7C" w:rsidRPr="008126AB" w:rsidRDefault="008A6A7C" w:rsidP="001B265D">
      <w:pPr>
        <w:pStyle w:val="L1-FlLSp12"/>
      </w:pPr>
      <w:r w:rsidRPr="005E1CA5">
        <w:t>All data collection activities will occur within a 36</w:t>
      </w:r>
      <w:r>
        <w:t>-</w:t>
      </w:r>
      <w:r w:rsidRPr="005E1CA5">
        <w:t>month period.</w:t>
      </w:r>
      <w:r>
        <w:t xml:space="preserve"> </w:t>
      </w:r>
      <w:r w:rsidRPr="005E1CA5">
        <w:t>The study design requires that respondents be surveyed at multiple times, as described in Section B.1.</w:t>
      </w:r>
    </w:p>
    <w:p w:rsidR="008A6A7C" w:rsidRDefault="008A6A7C" w:rsidP="001B265D">
      <w:pPr>
        <w:pStyle w:val="L1-FlLSp12"/>
      </w:pPr>
    </w:p>
    <w:p w:rsidR="004A7048" w:rsidRDefault="004A7048" w:rsidP="001B265D">
      <w:pPr>
        <w:pStyle w:val="L1-FlLSp12"/>
      </w:pPr>
    </w:p>
    <w:p w:rsidR="008A6A7C" w:rsidRPr="008126AB" w:rsidRDefault="008A6A7C" w:rsidP="00E329A7">
      <w:pPr>
        <w:pStyle w:val="Heading2"/>
      </w:pPr>
      <w:bookmarkStart w:id="56" w:name="_Toc400377751"/>
      <w:bookmarkStart w:id="57" w:name="_Toc409090905"/>
      <w:r w:rsidRPr="008126AB">
        <w:t>B.3</w:t>
      </w:r>
      <w:r w:rsidRPr="008126AB">
        <w:tab/>
        <w:t>Methods to Maximize Response Rates and to Deal With Issues of Nonresponse</w:t>
      </w:r>
      <w:bookmarkEnd w:id="56"/>
      <w:bookmarkEnd w:id="57"/>
    </w:p>
    <w:p w:rsidR="008A6A7C" w:rsidRPr="002232F7" w:rsidRDefault="008A6A7C" w:rsidP="001B265D">
      <w:pPr>
        <w:pStyle w:val="L1-FlLSp12"/>
        <w:rPr>
          <w:b/>
        </w:rPr>
      </w:pPr>
      <w:bookmarkStart w:id="58" w:name="_Toc400377752"/>
      <w:r w:rsidRPr="002232F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0A4805">
        <w:rPr>
          <w:b/>
        </w:rPr>
        <w:t>“</w:t>
      </w:r>
      <w:r w:rsidRPr="002232F7">
        <w:rPr>
          <w:b/>
        </w:rPr>
        <w:t>reliable</w:t>
      </w:r>
      <w:r w:rsidR="000A4805">
        <w:rPr>
          <w:b/>
        </w:rPr>
        <w:t>”</w:t>
      </w:r>
      <w:r w:rsidRPr="002232F7">
        <w:rPr>
          <w:b/>
        </w:rPr>
        <w:t xml:space="preserve"> data that can be generalized to the universe studied.</w:t>
      </w:r>
      <w:bookmarkEnd w:id="58"/>
    </w:p>
    <w:p w:rsidR="008A6A7C" w:rsidRDefault="008A6A7C" w:rsidP="001B265D">
      <w:pPr>
        <w:pStyle w:val="L1-FlLSp12"/>
      </w:pPr>
    </w:p>
    <w:p w:rsidR="008A6A7C" w:rsidRDefault="008A6A7C" w:rsidP="001B265D">
      <w:pPr>
        <w:pStyle w:val="L1-FlLSp12"/>
      </w:pPr>
      <w:r w:rsidRPr="0069672B">
        <w:t>By explaining the importance and potential usefulness of the study findings in the introductory letters from FNS, and by implementing a series of follow-up reminders</w:t>
      </w:r>
      <w:r>
        <w:rPr>
          <w:color w:val="FF0000"/>
        </w:rPr>
        <w:t xml:space="preserve"> </w:t>
      </w:r>
      <w:r>
        <w:t>and</w:t>
      </w:r>
      <w:r w:rsidRPr="005B19E9">
        <w:t xml:space="preserve"> a final attempt to complete the survey</w:t>
      </w:r>
      <w:r w:rsidRPr="0069672B">
        <w:t xml:space="preserve"> by telephone, we expect to achieve an overall survey response rate of </w:t>
      </w:r>
      <w:r>
        <w:rPr>
          <w:rFonts w:cs="Garamond"/>
          <w:color w:val="000000"/>
          <w:szCs w:val="24"/>
        </w:rPr>
        <w:t>80</w:t>
      </w:r>
      <w:r w:rsidR="00067184">
        <w:rPr>
          <w:rFonts w:cs="Garamond"/>
          <w:color w:val="000000"/>
          <w:szCs w:val="24"/>
        </w:rPr>
        <w:t> </w:t>
      </w:r>
      <w:r>
        <w:rPr>
          <w:rFonts w:cs="Garamond"/>
          <w:color w:val="000000"/>
          <w:szCs w:val="24"/>
        </w:rPr>
        <w:t>percent</w:t>
      </w:r>
      <w:r w:rsidR="000E3226">
        <w:rPr>
          <w:rFonts w:cs="Garamond"/>
          <w:color w:val="000000"/>
          <w:szCs w:val="24"/>
        </w:rPr>
        <w:t xml:space="preserve"> for the SNAP Participant Survey</w:t>
      </w:r>
      <w:r>
        <w:t>. These</w:t>
      </w:r>
      <w:r w:rsidRPr="0069672B">
        <w:t xml:space="preserve"> procedures</w:t>
      </w:r>
      <w:r>
        <w:t xml:space="preserve"> will be used</w:t>
      </w:r>
      <w:r w:rsidRPr="0069672B">
        <w:t xml:space="preserve"> to maximize response rates</w:t>
      </w:r>
      <w:r w:rsidR="000E3226">
        <w:t xml:space="preserve"> from SNAP Participants</w:t>
      </w:r>
      <w:r w:rsidRPr="0069672B">
        <w:t>:</w:t>
      </w:r>
    </w:p>
    <w:p w:rsidR="00E329A7" w:rsidRDefault="00E329A7" w:rsidP="001B265D">
      <w:pPr>
        <w:pStyle w:val="L1-FlLSp12"/>
      </w:pPr>
    </w:p>
    <w:p w:rsidR="008A6A7C" w:rsidRPr="005E1CA5" w:rsidRDefault="008A6A7C" w:rsidP="00E329A7">
      <w:pPr>
        <w:pStyle w:val="N1-1stBullet"/>
      </w:pPr>
      <w:r>
        <w:t>Mail an introductory letter stating the importance of the study and their participation [</w:t>
      </w:r>
      <w:r w:rsidRPr="00876EAA">
        <w:t>Appendix</w:t>
      </w:r>
      <w:r w:rsidR="000E3226">
        <w:t xml:space="preserve">es D, M, S, and </w:t>
      </w:r>
      <w:r w:rsidRPr="00876EAA">
        <w:t>A</w:t>
      </w:r>
      <w:r w:rsidR="000E3226">
        <w:t>F</w:t>
      </w:r>
      <w:r>
        <w:t>]</w:t>
      </w:r>
      <w:r w:rsidRPr="00876EAA">
        <w:t>.</w:t>
      </w:r>
    </w:p>
    <w:p w:rsidR="008A6A7C" w:rsidRPr="004C4675" w:rsidRDefault="000E3226" w:rsidP="00E329A7">
      <w:pPr>
        <w:pStyle w:val="N1-1stBullet"/>
      </w:pPr>
      <w:r>
        <w:t>For the SPS, i</w:t>
      </w:r>
      <w:r w:rsidR="008A6A7C">
        <w:t>nclude a</w:t>
      </w:r>
      <w:r w:rsidR="008A6A7C" w:rsidRPr="004C4675">
        <w:t xml:space="preserve"> </w:t>
      </w:r>
      <w:r w:rsidR="008A6A7C">
        <w:t>$2 cash</w:t>
      </w:r>
      <w:r w:rsidR="008A6A7C" w:rsidRPr="004C4675">
        <w:t xml:space="preserve"> incentive with </w:t>
      </w:r>
      <w:r w:rsidR="008A6A7C">
        <w:t xml:space="preserve">the </w:t>
      </w:r>
      <w:r w:rsidR="008A6A7C" w:rsidRPr="004C4675">
        <w:t xml:space="preserve">introductory letter and </w:t>
      </w:r>
      <w:r w:rsidR="008A6A7C">
        <w:t>instructions to complete a web survey.</w:t>
      </w:r>
    </w:p>
    <w:p w:rsidR="008A6A7C" w:rsidRPr="004C4675" w:rsidRDefault="000E3226" w:rsidP="00E329A7">
      <w:pPr>
        <w:pStyle w:val="N1-1stBullet"/>
      </w:pPr>
      <w:r>
        <w:t>For the SPS, d</w:t>
      </w:r>
      <w:r w:rsidR="008A6A7C">
        <w:t>iscuss a</w:t>
      </w:r>
      <w:r w:rsidR="008A6A7C" w:rsidRPr="004C4675">
        <w:t xml:space="preserve"> </w:t>
      </w:r>
      <w:r w:rsidR="008A6A7C">
        <w:t xml:space="preserve">$20 </w:t>
      </w:r>
      <w:r w:rsidR="00FA3840">
        <w:t xml:space="preserve">cash </w:t>
      </w:r>
      <w:r w:rsidR="008A6A7C" w:rsidRPr="004C4675">
        <w:t xml:space="preserve">incentive </w:t>
      </w:r>
      <w:r w:rsidR="006E100E">
        <w:t xml:space="preserve">(to be mailed after survey is completed) </w:t>
      </w:r>
      <w:r w:rsidR="008A6A7C">
        <w:t>in the introductory letter</w:t>
      </w:r>
      <w:r w:rsidR="008A6A7C" w:rsidRPr="00F163C9">
        <w:t>.</w:t>
      </w:r>
    </w:p>
    <w:p w:rsidR="008A6A7C" w:rsidRDefault="000E3226" w:rsidP="00E329A7">
      <w:pPr>
        <w:pStyle w:val="N1-1stBullet"/>
      </w:pPr>
      <w:r>
        <w:t>Mail reminder postcards and letters</w:t>
      </w:r>
      <w:r w:rsidR="008A6A7C" w:rsidRPr="005E1CA5">
        <w:t xml:space="preserve"> to </w:t>
      </w:r>
      <w:r>
        <w:t>SPS participants</w:t>
      </w:r>
      <w:r w:rsidRPr="005E1CA5">
        <w:t xml:space="preserve"> </w:t>
      </w:r>
      <w:r w:rsidR="008A6A7C" w:rsidRPr="005E1CA5">
        <w:t xml:space="preserve">who have not completed the survey within </w:t>
      </w:r>
      <w:r w:rsidR="008A6A7C">
        <w:t xml:space="preserve">one </w:t>
      </w:r>
      <w:r w:rsidR="008A6A7C" w:rsidRPr="005E1CA5">
        <w:t xml:space="preserve">week of the </w:t>
      </w:r>
      <w:r w:rsidR="008A6A7C">
        <w:t xml:space="preserve">introductory letter to complete the Web survey, the </w:t>
      </w:r>
      <w:r w:rsidR="008A6A7C" w:rsidRPr="005E1CA5">
        <w:t>first</w:t>
      </w:r>
      <w:r w:rsidR="008A6A7C">
        <w:t xml:space="preserve"> survey mailing</w:t>
      </w:r>
      <w:r w:rsidR="008A6A7C" w:rsidRPr="005E1CA5">
        <w:t xml:space="preserve"> and second survey mailing </w:t>
      </w:r>
      <w:r w:rsidR="008A6A7C">
        <w:t>[</w:t>
      </w:r>
      <w:r w:rsidR="008A6A7C" w:rsidRPr="00876EAA">
        <w:t>Appendix</w:t>
      </w:r>
      <w:r>
        <w:t>es</w:t>
      </w:r>
      <w:r w:rsidR="008A6A7C" w:rsidRPr="00876EAA">
        <w:t xml:space="preserve"> </w:t>
      </w:r>
      <w:r>
        <w:t xml:space="preserve">F through </w:t>
      </w:r>
      <w:proofErr w:type="gramStart"/>
      <w:r>
        <w:t>I</w:t>
      </w:r>
      <w:proofErr w:type="gramEnd"/>
      <w:r>
        <w:t xml:space="preserve"> and P through Q</w:t>
      </w:r>
      <w:r w:rsidR="008A6A7C">
        <w:t>]</w:t>
      </w:r>
      <w:r w:rsidR="008A6A7C" w:rsidRPr="00876EAA">
        <w:t>.</w:t>
      </w:r>
      <w:r>
        <w:t xml:space="preserve"> Mail reminder letter to outlet operators who have not completed the survey in </w:t>
      </w:r>
      <w:r w:rsidR="00616257">
        <w:t>2</w:t>
      </w:r>
      <w:r w:rsidR="00171F6D">
        <w:t xml:space="preserve"> weeks [Appendix AH</w:t>
      </w:r>
      <w:r>
        <w:t>].</w:t>
      </w:r>
    </w:p>
    <w:p w:rsidR="008A6A7C" w:rsidRPr="005E1CA5" w:rsidRDefault="008A6A7C" w:rsidP="00E329A7">
      <w:pPr>
        <w:pStyle w:val="N1-1stBullet"/>
      </w:pPr>
      <w:r>
        <w:t>Provide t</w:t>
      </w:r>
      <w:r w:rsidRPr="005E1CA5">
        <w:t xml:space="preserve">wo </w:t>
      </w:r>
      <w:r>
        <w:t xml:space="preserve">primary </w:t>
      </w:r>
      <w:r w:rsidRPr="005E1CA5">
        <w:t>data collection modes (</w:t>
      </w:r>
      <w:r>
        <w:t>web</w:t>
      </w:r>
      <w:r w:rsidRPr="005E1CA5">
        <w:t xml:space="preserve"> or </w:t>
      </w:r>
      <w:r>
        <w:t>mail</w:t>
      </w:r>
      <w:r w:rsidRPr="005E1CA5">
        <w:t>) for participants’ convenience.</w:t>
      </w:r>
      <w:r>
        <w:t xml:space="preserve"> A third mode (telephone) will be used if the response rates are low.</w:t>
      </w:r>
    </w:p>
    <w:p w:rsidR="008A6A7C" w:rsidRPr="00876EAA" w:rsidRDefault="008A6A7C" w:rsidP="00E329A7">
      <w:pPr>
        <w:pStyle w:val="N1-1stBullet"/>
      </w:pPr>
      <w:r w:rsidRPr="00876EAA">
        <w:t xml:space="preserve">Make </w:t>
      </w:r>
      <w:r>
        <w:t>multiple</w:t>
      </w:r>
      <w:r w:rsidRPr="00876EAA">
        <w:t xml:space="preserve"> call attempts to a number without reaching someone before considering whether to treat the case as </w:t>
      </w:r>
      <w:r w:rsidR="000A4805">
        <w:t>“</w:t>
      </w:r>
      <w:r w:rsidRPr="00876EAA">
        <w:t>unable to contact.</w:t>
      </w:r>
      <w:r w:rsidR="000A4805">
        <w:t>”</w:t>
      </w:r>
    </w:p>
    <w:p w:rsidR="008A6A7C" w:rsidRPr="005B19E9" w:rsidRDefault="008A6A7C" w:rsidP="00E329A7">
      <w:pPr>
        <w:pStyle w:val="N1-1stBullet"/>
      </w:pPr>
      <w:r w:rsidRPr="005B19E9">
        <w:t>Provide a toll-free number for respondents to call to verify the study</w:t>
      </w:r>
      <w:r>
        <w:t>’</w:t>
      </w:r>
      <w:r w:rsidRPr="005B19E9">
        <w:t>s legitimacy or to ask other questions about the study.</w:t>
      </w:r>
    </w:p>
    <w:p w:rsidR="002120F1" w:rsidRDefault="008A6A7C" w:rsidP="00E329A7">
      <w:pPr>
        <w:pStyle w:val="N1-1stBullet"/>
      </w:pPr>
      <w:r w:rsidRPr="00876EAA">
        <w:t>Implement standardized training for telephone data collectors</w:t>
      </w:r>
      <w:r w:rsidR="002120F1">
        <w:t>.</w:t>
      </w:r>
    </w:p>
    <w:p w:rsidR="004A7048" w:rsidRPr="00876EAA" w:rsidRDefault="004A7048" w:rsidP="004A7048">
      <w:pPr>
        <w:pStyle w:val="L1-FlLSp12"/>
      </w:pPr>
    </w:p>
    <w:p w:rsidR="008A6A7C" w:rsidRDefault="004A7048" w:rsidP="004A7048">
      <w:pPr>
        <w:pStyle w:val="Heading5"/>
      </w:pPr>
      <w:r>
        <w:tab/>
      </w:r>
      <w:r w:rsidR="008A6A7C" w:rsidRPr="00C77794">
        <w:t>Nonresponse Bias Analysis</w:t>
      </w:r>
    </w:p>
    <w:p w:rsidR="008A6A7C" w:rsidRPr="00A6385F" w:rsidRDefault="008A6A7C" w:rsidP="001B265D">
      <w:pPr>
        <w:pStyle w:val="L1-FlLSp12"/>
      </w:pPr>
      <w:r w:rsidRPr="00A6385F">
        <w:t>Although efforts will be made to achieve as hig</w:t>
      </w:r>
      <w:r>
        <w:t>h a response rate as practicable</w:t>
      </w:r>
      <w:r w:rsidRPr="00A6385F">
        <w:t xml:space="preserve"> with the available resources</w:t>
      </w:r>
      <w:r w:rsidRPr="009D46CE">
        <w:t>,</w:t>
      </w:r>
      <w:r w:rsidRPr="00A6385F">
        <w:t xml:space="preserve"> nontrivial nonresponse losses are likely to occur. OMB requires that a nonresponse bias analysis (NRBA) be conducted if the overall response rate falls below 80 percent.</w:t>
      </w:r>
      <w:r w:rsidRPr="00E44E85">
        <w:rPr>
          <w:rStyle w:val="FootnoteReference"/>
          <w:szCs w:val="24"/>
        </w:rPr>
        <w:footnoteReference w:id="11"/>
      </w:r>
      <w:r w:rsidRPr="00A6385F">
        <w:t xml:space="preserve"> In this case, a nonresponse bias analysis will be conducted to assess the impact of nonresponse on the survey estimates and the effectiveness of the weight adjustments to dampen potential nonresponse</w:t>
      </w:r>
      <w:r>
        <w:t xml:space="preserve"> biases. </w:t>
      </w:r>
      <w:r w:rsidR="007B22FD">
        <w:t xml:space="preserve">Nonresponse bias analysis will be performed for variables that are available from the State SNAP administrative data files – as these data are available for both, respondents and non-respondents.    </w:t>
      </w:r>
      <w:r>
        <w:t>The types of analyses to be conducted to evaluate nonresponse will</w:t>
      </w:r>
      <w:r w:rsidRPr="00A6385F">
        <w:t xml:space="preserve"> include:</w:t>
      </w:r>
    </w:p>
    <w:p w:rsidR="008A6A7C" w:rsidRPr="00A6385F" w:rsidRDefault="008A6A7C" w:rsidP="001B265D">
      <w:pPr>
        <w:pStyle w:val="L1-FlLSp12"/>
      </w:pPr>
    </w:p>
    <w:p w:rsidR="008A6A7C" w:rsidRDefault="008A6A7C" w:rsidP="004A7048">
      <w:pPr>
        <w:pStyle w:val="N1-1stBullet"/>
      </w:pPr>
      <w:r w:rsidRPr="00A6385F">
        <w:t xml:space="preserve">Comparing </w:t>
      </w:r>
      <w:proofErr w:type="spellStart"/>
      <w:r w:rsidR="007B22FD">
        <w:t>sociodemograhic</w:t>
      </w:r>
      <w:proofErr w:type="spellEnd"/>
      <w:r w:rsidR="007B22FD">
        <w:t xml:space="preserve"> </w:t>
      </w:r>
      <w:r w:rsidRPr="00A6385F">
        <w:t xml:space="preserve">characteristics </w:t>
      </w:r>
      <w:r w:rsidR="007B22FD">
        <w:t xml:space="preserve">and geography </w:t>
      </w:r>
      <w:r w:rsidRPr="00A6385F">
        <w:t xml:space="preserve">of </w:t>
      </w:r>
      <w:r w:rsidR="007B22FD">
        <w:t xml:space="preserve">respondents and </w:t>
      </w:r>
      <w:proofErr w:type="spellStart"/>
      <w:r>
        <w:t>nonrespondents</w:t>
      </w:r>
      <w:proofErr w:type="spellEnd"/>
      <w:r w:rsidR="007B22FD">
        <w:t xml:space="preserve">.  The SNAP administrative casefiles will include information on age, gender, race/ethnicity, and household size;  </w:t>
      </w:r>
      <w:r>
        <w:t xml:space="preserve"> </w:t>
      </w:r>
    </w:p>
    <w:p w:rsidR="008A6A7C" w:rsidRDefault="008A6A7C" w:rsidP="004A7048">
      <w:pPr>
        <w:pStyle w:val="N1-1stBullet"/>
      </w:pPr>
      <w:r w:rsidRPr="00A6385F">
        <w:t>Modeling response propens</w:t>
      </w:r>
      <w:r>
        <w:t>ity using multivariate analyses;</w:t>
      </w:r>
    </w:p>
    <w:p w:rsidR="008A6A7C" w:rsidRDefault="008A6A7C" w:rsidP="004A7048">
      <w:pPr>
        <w:pStyle w:val="N1-1stBullet"/>
      </w:pPr>
      <w:r w:rsidRPr="00A6385F">
        <w:t>Evaluating differences found in comparisons between survey r</w:t>
      </w:r>
      <w:r>
        <w:t>espondents and comparable data from extant outside sources;</w:t>
      </w:r>
    </w:p>
    <w:p w:rsidR="008A6A7C" w:rsidRDefault="008A6A7C" w:rsidP="004A7048">
      <w:pPr>
        <w:pStyle w:val="N1-1stBullet"/>
      </w:pPr>
      <w:r w:rsidRPr="00A6385F">
        <w:t>Comparing cases completed at different l</w:t>
      </w:r>
      <w:r>
        <w:t xml:space="preserve">evels of data collection effort (e.g., cases completed with limited </w:t>
      </w:r>
      <w:r w:rsidRPr="00A6385F">
        <w:t xml:space="preserve">follow-up compared to those </w:t>
      </w:r>
      <w:r>
        <w:t>requiring</w:t>
      </w:r>
      <w:r w:rsidRPr="00A6385F">
        <w:t xml:space="preserve"> </w:t>
      </w:r>
      <w:r>
        <w:t>considerable</w:t>
      </w:r>
      <w:r w:rsidRPr="00A6385F">
        <w:t xml:space="preserve"> follow-up)</w:t>
      </w:r>
      <w:r>
        <w:t>;</w:t>
      </w:r>
    </w:p>
    <w:p w:rsidR="008A6A7C" w:rsidRDefault="008A6A7C" w:rsidP="004A7048">
      <w:pPr>
        <w:pStyle w:val="N1-1stBullet"/>
      </w:pPr>
      <w:r w:rsidRPr="00A6385F">
        <w:t>C</w:t>
      </w:r>
      <w:r>
        <w:t xml:space="preserve">omparing weighted estimates of characteristics available for both respondents and </w:t>
      </w:r>
      <w:proofErr w:type="spellStart"/>
      <w:r>
        <w:t>nonrespondents</w:t>
      </w:r>
      <w:proofErr w:type="spellEnd"/>
      <w:r>
        <w:t xml:space="preserve"> using unadjusted (base) weights versus nonresponse-adjusted weights; and</w:t>
      </w:r>
    </w:p>
    <w:p w:rsidR="008A6A7C" w:rsidRPr="00054F1D" w:rsidRDefault="008A6A7C" w:rsidP="004A7048">
      <w:pPr>
        <w:pStyle w:val="N1-1stBullet"/>
      </w:pPr>
      <w:r w:rsidRPr="00A6385F">
        <w:t>C</w:t>
      </w:r>
      <w:r>
        <w:t>omparing weighted survey estimates using unadjusted (base) weights versus nonresponse-adjusted weights.</w:t>
      </w:r>
    </w:p>
    <w:p w:rsidR="008A6A7C" w:rsidRPr="00AD629E" w:rsidRDefault="008A6A7C" w:rsidP="001B265D">
      <w:pPr>
        <w:pStyle w:val="L1-FlLSp12"/>
      </w:pPr>
    </w:p>
    <w:p w:rsidR="008A6A7C" w:rsidRPr="008126AB" w:rsidRDefault="008A6A7C" w:rsidP="00E329A7">
      <w:pPr>
        <w:pStyle w:val="Heading2"/>
      </w:pPr>
      <w:bookmarkStart w:id="59" w:name="_Toc329341130"/>
      <w:bookmarkStart w:id="60" w:name="_Toc400377755"/>
      <w:bookmarkStart w:id="61" w:name="_Toc409090906"/>
      <w:r w:rsidRPr="008126AB">
        <w:t>B.4</w:t>
      </w:r>
      <w:r w:rsidRPr="008126AB">
        <w:tab/>
        <w:t xml:space="preserve">Test of Procedures or Methods to be </w:t>
      </w:r>
      <w:proofErr w:type="gramStart"/>
      <w:r w:rsidRPr="008126AB">
        <w:t>Undertaken</w:t>
      </w:r>
      <w:bookmarkEnd w:id="59"/>
      <w:bookmarkEnd w:id="60"/>
      <w:bookmarkEnd w:id="61"/>
      <w:proofErr w:type="gramEnd"/>
    </w:p>
    <w:p w:rsidR="008A6A7C" w:rsidRPr="002232F7" w:rsidRDefault="008A6A7C" w:rsidP="001B265D">
      <w:pPr>
        <w:pStyle w:val="L1-FlLSp12"/>
        <w:rPr>
          <w:b/>
        </w:rPr>
      </w:pPr>
      <w:r w:rsidRPr="002232F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A6A7C" w:rsidRPr="008126AB" w:rsidRDefault="008A6A7C" w:rsidP="001B265D">
      <w:pPr>
        <w:pStyle w:val="L1-FlLSp12"/>
      </w:pPr>
    </w:p>
    <w:p w:rsidR="002120F1" w:rsidRDefault="008A6A7C" w:rsidP="001B265D">
      <w:pPr>
        <w:pStyle w:val="L1-FlLSp12"/>
      </w:pPr>
      <w:r>
        <w:t xml:space="preserve">The SPS was developed using items from instruments developed for similar evaluations with the exception of questions about the types of fruits and vegetables usually purchased by SNAP participants and experience with FINI. The item on types of fruits and </w:t>
      </w:r>
      <w:r w:rsidR="00CB386A">
        <w:t>vegetables</w:t>
      </w:r>
      <w:r>
        <w:t xml:space="preserve"> usually purchased by SNAP participants was tested with six SNAP participants who shopped at a farmers market in Massachusetts, to assess clarity, intent, and completeness</w:t>
      </w:r>
      <w:r w:rsidR="000E3226">
        <w:t xml:space="preserve"> [Appendix </w:t>
      </w:r>
      <w:r w:rsidR="005F6A7A">
        <w:t>AO</w:t>
      </w:r>
      <w:r w:rsidR="000E3226">
        <w:t>]</w:t>
      </w:r>
      <w:r>
        <w:t xml:space="preserve">. The format and wording of these items was revised per participants’ input. Specifically, rows were added to capture </w:t>
      </w:r>
      <w:r w:rsidR="00CB386A">
        <w:t>up to</w:t>
      </w:r>
      <w:r>
        <w:t xml:space="preserve"> five additional fruits (or vegetables), and a response option of </w:t>
      </w:r>
      <w:r w:rsidR="000A4805">
        <w:t>“</w:t>
      </w:r>
      <w:r>
        <w:t>do not purchase this item</w:t>
      </w:r>
      <w:r w:rsidR="000A4805">
        <w:t>”</w:t>
      </w:r>
      <w:r>
        <w:t xml:space="preserve"> was added</w:t>
      </w:r>
      <w:r w:rsidR="002120F1">
        <w:t>.</w:t>
      </w:r>
    </w:p>
    <w:p w:rsidR="004A7048" w:rsidRDefault="004A7048" w:rsidP="001B265D">
      <w:pPr>
        <w:pStyle w:val="L1-FlLSp12"/>
      </w:pPr>
    </w:p>
    <w:p w:rsidR="008A6A7C" w:rsidRDefault="008A6A7C" w:rsidP="001B265D">
      <w:pPr>
        <w:pStyle w:val="L1-FlLSp12"/>
      </w:pPr>
      <w:r>
        <w:t xml:space="preserve">The annual and quarterly Core Program Data forms specify items that are required from all grantees on a quarterly basis; the form was reviewed by eight large-scale FINI project grantees, for feasibly of data collection, clarity, and completeness. To improve clarity, the question wording was revised per grantee recommendations. Specifically, the terminology to reference locations where the incentive was being offered was standardized to </w:t>
      </w:r>
      <w:r w:rsidR="000A4805">
        <w:t>“</w:t>
      </w:r>
      <w:r>
        <w:t>outlet</w:t>
      </w:r>
      <w:r w:rsidR="000A4805">
        <w:t>”</w:t>
      </w:r>
      <w:r>
        <w:t xml:space="preserve">; instructions were added to clarify </w:t>
      </w:r>
      <w:r w:rsidR="000A4805">
        <w:t>“</w:t>
      </w:r>
      <w:r>
        <w:t>check all that apply</w:t>
      </w:r>
      <w:r w:rsidR="000A4805">
        <w:t>”</w:t>
      </w:r>
      <w:r>
        <w:t xml:space="preserve"> or </w:t>
      </w:r>
      <w:r w:rsidR="000A4805">
        <w:t>“</w:t>
      </w:r>
      <w:r>
        <w:t>check only one</w:t>
      </w:r>
      <w:r w:rsidR="000A4805">
        <w:t>”</w:t>
      </w:r>
      <w:r>
        <w:t>; revisions were made to the response options on types of outlets where an incentive was offered and education activities offered at the outlet; and two new questions were added to obtain the minimum denomination of incentive offered to SNAP participants and the number of days the outlet operated each quarter.</w:t>
      </w:r>
    </w:p>
    <w:p w:rsidR="004A7048" w:rsidRDefault="004A7048" w:rsidP="001B265D">
      <w:pPr>
        <w:pStyle w:val="L1-FlLSp12"/>
      </w:pPr>
    </w:p>
    <w:p w:rsidR="002120F1" w:rsidRDefault="008A6A7C" w:rsidP="001B265D">
      <w:pPr>
        <w:pStyle w:val="L1-FlLSp12"/>
      </w:pPr>
      <w:r>
        <w:t>The key informant interview guides for the SNAP participant and grantee interviews were reviewed by Westat’s senior qualitative researchers, who have developed guides for similar projects</w:t>
      </w:r>
      <w:r w:rsidR="002120F1">
        <w:t>.</w:t>
      </w:r>
    </w:p>
    <w:p w:rsidR="004A7048" w:rsidRDefault="004A7048" w:rsidP="001B265D">
      <w:pPr>
        <w:pStyle w:val="L1-FlLSp12"/>
      </w:pPr>
    </w:p>
    <w:p w:rsidR="002120F1" w:rsidRDefault="008A6A7C" w:rsidP="001B265D">
      <w:pPr>
        <w:pStyle w:val="L1-FlLSp12"/>
      </w:pPr>
      <w:r>
        <w:t xml:space="preserve">Finally, the </w:t>
      </w:r>
      <w:r w:rsidR="00A653B4">
        <w:t>O</w:t>
      </w:r>
      <w:r>
        <w:t xml:space="preserve">utlet </w:t>
      </w:r>
      <w:r w:rsidR="00A653B4">
        <w:t>S</w:t>
      </w:r>
      <w:r>
        <w:t xml:space="preserve">urvey was developed using items from instruments that were cognitively tested and used in Healthy Incentive Pilot (HIP) </w:t>
      </w:r>
      <w:r w:rsidR="00A653B4">
        <w:t>evaluation</w:t>
      </w:r>
      <w:r>
        <w:t>. Additional questions were developed specifically for the FINI evaluation</w:t>
      </w:r>
      <w:r w:rsidR="002120F1">
        <w:t xml:space="preserve">. </w:t>
      </w:r>
      <w:r>
        <w:t xml:space="preserve">The </w:t>
      </w:r>
      <w:r w:rsidR="00A653B4">
        <w:t>O</w:t>
      </w:r>
      <w:r>
        <w:t xml:space="preserve">utlet </w:t>
      </w:r>
      <w:r w:rsidR="00A653B4">
        <w:t>S</w:t>
      </w:r>
      <w:r>
        <w:t xml:space="preserve">urvey was </w:t>
      </w:r>
      <w:r w:rsidR="00CB386A">
        <w:t>pretested with</w:t>
      </w:r>
      <w:r>
        <w:t xml:space="preserve"> </w:t>
      </w:r>
      <w:r w:rsidR="00657599">
        <w:t xml:space="preserve">4 </w:t>
      </w:r>
      <w:r>
        <w:t xml:space="preserve">FINI outlets </w:t>
      </w:r>
      <w:r w:rsidR="00022342">
        <w:t xml:space="preserve">– three farmers market and one grocery store - </w:t>
      </w:r>
      <w:r>
        <w:t xml:space="preserve">operated by </w:t>
      </w:r>
      <w:r w:rsidR="00657599">
        <w:t xml:space="preserve">two </w:t>
      </w:r>
      <w:r>
        <w:t>FINI Pilot Project grantees</w:t>
      </w:r>
      <w:r w:rsidR="00657599">
        <w:t xml:space="preserve">.  Participating outlet managers were asked to assess difficulty in understanding questions, response options, and completion time.  All outlet managers indicated </w:t>
      </w:r>
      <w:r w:rsidR="00A653B4">
        <w:t xml:space="preserve">that </w:t>
      </w:r>
      <w:r w:rsidR="00657599">
        <w:t xml:space="preserve">the survey was </w:t>
      </w:r>
      <w:proofErr w:type="spellStart"/>
      <w:r w:rsidR="00A653B4">
        <w:t>quicky</w:t>
      </w:r>
      <w:proofErr w:type="spellEnd"/>
      <w:r w:rsidR="00A653B4">
        <w:t xml:space="preserve"> and </w:t>
      </w:r>
      <w:r w:rsidR="00657599">
        <w:t>easy to complete</w:t>
      </w:r>
      <w:r w:rsidR="00A653B4">
        <w:t>—taking them less than 1</w:t>
      </w:r>
      <w:r w:rsidR="00657599">
        <w:t>0 minut</w:t>
      </w:r>
      <w:r w:rsidR="00A653B4">
        <w:t>es</w:t>
      </w:r>
      <w:r w:rsidR="00657599">
        <w:t xml:space="preserve">.  No revisions were required for items or responses on the Outlet </w:t>
      </w:r>
      <w:proofErr w:type="gramStart"/>
      <w:r w:rsidR="00A653B4">
        <w:t>S</w:t>
      </w:r>
      <w:r w:rsidR="00657599">
        <w:t xml:space="preserve">urvey </w:t>
      </w:r>
      <w:r w:rsidR="000E3226">
        <w:t xml:space="preserve"> [</w:t>
      </w:r>
      <w:proofErr w:type="gramEnd"/>
      <w:r w:rsidR="000E3226">
        <w:t xml:space="preserve">Appendix </w:t>
      </w:r>
      <w:r w:rsidR="005F6A7A">
        <w:t>AP</w:t>
      </w:r>
      <w:r w:rsidR="000E3226">
        <w:t>]</w:t>
      </w:r>
      <w:r w:rsidR="002120F1">
        <w:t>.</w:t>
      </w:r>
    </w:p>
    <w:p w:rsidR="004A7048" w:rsidRDefault="004A7048" w:rsidP="001B265D">
      <w:pPr>
        <w:pStyle w:val="L1-FlLSp12"/>
      </w:pPr>
    </w:p>
    <w:p w:rsidR="004A7048" w:rsidRDefault="004A7048" w:rsidP="001B265D">
      <w:pPr>
        <w:pStyle w:val="L1-FlLSp12"/>
      </w:pPr>
    </w:p>
    <w:p w:rsidR="008A6A7C" w:rsidRPr="008126AB" w:rsidRDefault="008A6A7C" w:rsidP="00E329A7">
      <w:pPr>
        <w:pStyle w:val="Heading2"/>
      </w:pPr>
      <w:bookmarkStart w:id="62" w:name="_Toc400377756"/>
      <w:bookmarkStart w:id="63" w:name="_Toc409090907"/>
      <w:r w:rsidRPr="008126AB">
        <w:t>B.5</w:t>
      </w:r>
      <w:r w:rsidRPr="008126AB">
        <w:tab/>
        <w:t>Individuals Consulted on Statistical Aspects and Individuals Collecting and/or Analyzing Data</w:t>
      </w:r>
      <w:bookmarkEnd w:id="62"/>
      <w:bookmarkEnd w:id="63"/>
    </w:p>
    <w:p w:rsidR="008A6A7C" w:rsidRPr="00974E38" w:rsidRDefault="008A6A7C" w:rsidP="001B265D">
      <w:pPr>
        <w:pStyle w:val="L1-FlLSp12"/>
        <w:rPr>
          <w:b/>
        </w:rPr>
      </w:pPr>
      <w:r w:rsidRPr="00974E38">
        <w:rPr>
          <w:b/>
        </w:rPr>
        <w:t>Provide the name and telephone number of individuals consulted on statistical aspects of the design and the name of the agency unit, contractor(s), grantee(s), or other person(s) who will actually collect and/or analyze the information for the agency.</w:t>
      </w:r>
    </w:p>
    <w:p w:rsidR="008A6A7C" w:rsidRDefault="008A6A7C" w:rsidP="001B265D">
      <w:pPr>
        <w:pStyle w:val="L1-FlLSp12"/>
      </w:pPr>
    </w:p>
    <w:p w:rsidR="008A6A7C" w:rsidRDefault="008A6A7C" w:rsidP="001B265D">
      <w:pPr>
        <w:pStyle w:val="L1-FlLSp12"/>
      </w:pPr>
      <w:r>
        <w:t>The sampling plans were reviewed by Hongsheng Hao, Laurie May, and Tracy Vericker at Westat</w:t>
      </w:r>
      <w:r w:rsidR="002120F1">
        <w:t xml:space="preserve">. </w:t>
      </w:r>
      <w:r>
        <w:t xml:space="preserve">In addition, </w:t>
      </w:r>
      <w:r w:rsidR="0031088D" w:rsidRPr="0031088D">
        <w:t xml:space="preserve">Sarah </w:t>
      </w:r>
      <w:proofErr w:type="spellStart"/>
      <w:r w:rsidR="0031088D" w:rsidRPr="0031088D">
        <w:t>Goodale</w:t>
      </w:r>
      <w:proofErr w:type="spellEnd"/>
      <w:r>
        <w:t xml:space="preserve"> of the National Agricultural Statistical Service (NASS) has reviewed this supporting statement; this supporting statement was revised per comments from the </w:t>
      </w:r>
      <w:r w:rsidR="00CB386A">
        <w:t>Westat</w:t>
      </w:r>
      <w:r>
        <w:t xml:space="preserve"> team and NASS. All data collection and analysis will be conducted by Westat. </w:t>
      </w:r>
    </w:p>
    <w:p w:rsidR="008A6A7C" w:rsidRDefault="008A6A7C" w:rsidP="001B265D">
      <w:pPr>
        <w:pStyle w:val="L1-FlLSp12"/>
      </w:pPr>
    </w:p>
    <w:tbl>
      <w:tblPr>
        <w:tblW w:w="5000" w:type="pct"/>
        <w:tblBorders>
          <w:top w:val="single" w:sz="4" w:space="0" w:color="auto"/>
          <w:bottom w:val="single" w:sz="4" w:space="0" w:color="auto"/>
        </w:tblBorders>
        <w:tblLook w:val="01E0" w:firstRow="1" w:lastRow="1" w:firstColumn="1" w:lastColumn="1" w:noHBand="0" w:noVBand="0"/>
      </w:tblPr>
      <w:tblGrid>
        <w:gridCol w:w="1842"/>
        <w:gridCol w:w="2766"/>
        <w:gridCol w:w="2250"/>
        <w:gridCol w:w="2718"/>
      </w:tblGrid>
      <w:tr w:rsidR="008A6A7C" w:rsidRPr="004D5308" w:rsidTr="004A7048">
        <w:trPr>
          <w:cantSplit/>
        </w:trPr>
        <w:tc>
          <w:tcPr>
            <w:tcW w:w="962" w:type="pct"/>
            <w:tcBorders>
              <w:top w:val="single" w:sz="4" w:space="0" w:color="auto"/>
              <w:left w:val="nil"/>
              <w:bottom w:val="single" w:sz="4" w:space="0" w:color="auto"/>
              <w:right w:val="nil"/>
            </w:tcBorders>
            <w:shd w:val="clear" w:color="auto" w:fill="AFBED7"/>
            <w:vAlign w:val="bottom"/>
          </w:tcPr>
          <w:p w:rsidR="008A6A7C" w:rsidRPr="004D5308" w:rsidRDefault="008A6A7C" w:rsidP="00CB386A">
            <w:pPr>
              <w:pStyle w:val="TH-TableHeading"/>
            </w:pPr>
            <w:bookmarkStart w:id="64" w:name="_Toc329675004"/>
            <w:bookmarkStart w:id="65" w:name="_Toc409090908"/>
            <w:r w:rsidRPr="004D5308">
              <w:t>Name</w:t>
            </w:r>
            <w:bookmarkEnd w:id="64"/>
            <w:bookmarkEnd w:id="65"/>
          </w:p>
        </w:tc>
        <w:tc>
          <w:tcPr>
            <w:tcW w:w="1444" w:type="pct"/>
            <w:tcBorders>
              <w:top w:val="single" w:sz="4" w:space="0" w:color="auto"/>
              <w:left w:val="nil"/>
              <w:bottom w:val="single" w:sz="4" w:space="0" w:color="auto"/>
              <w:right w:val="nil"/>
            </w:tcBorders>
            <w:shd w:val="clear" w:color="auto" w:fill="AFBED7"/>
            <w:vAlign w:val="bottom"/>
          </w:tcPr>
          <w:p w:rsidR="008A6A7C" w:rsidRPr="004D5308" w:rsidRDefault="008A6A7C" w:rsidP="00CB386A">
            <w:pPr>
              <w:pStyle w:val="TH-TableHeading"/>
            </w:pPr>
            <w:bookmarkStart w:id="66" w:name="_Toc329675005"/>
            <w:bookmarkStart w:id="67" w:name="_Toc409090909"/>
            <w:r w:rsidRPr="004D5308">
              <w:t>Affiliation</w:t>
            </w:r>
            <w:bookmarkEnd w:id="66"/>
            <w:bookmarkEnd w:id="67"/>
          </w:p>
        </w:tc>
        <w:tc>
          <w:tcPr>
            <w:tcW w:w="1175" w:type="pct"/>
            <w:tcBorders>
              <w:top w:val="single" w:sz="4" w:space="0" w:color="auto"/>
              <w:left w:val="nil"/>
              <w:bottom w:val="single" w:sz="4" w:space="0" w:color="auto"/>
              <w:right w:val="nil"/>
            </w:tcBorders>
            <w:shd w:val="clear" w:color="auto" w:fill="AFBED7"/>
            <w:vAlign w:val="bottom"/>
          </w:tcPr>
          <w:p w:rsidR="008A6A7C" w:rsidRPr="004D5308" w:rsidRDefault="008A6A7C" w:rsidP="004A7048">
            <w:pPr>
              <w:pStyle w:val="TH-TableHeading"/>
            </w:pPr>
            <w:bookmarkStart w:id="68" w:name="_Toc329675006"/>
            <w:bookmarkStart w:id="69" w:name="_Toc409090910"/>
            <w:r w:rsidRPr="004D5308">
              <w:t xml:space="preserve">Telephone </w:t>
            </w:r>
            <w:r w:rsidR="004A7048">
              <w:t>n</w:t>
            </w:r>
            <w:r w:rsidRPr="004D5308">
              <w:t>umber</w:t>
            </w:r>
            <w:bookmarkEnd w:id="68"/>
            <w:bookmarkEnd w:id="69"/>
          </w:p>
        </w:tc>
        <w:tc>
          <w:tcPr>
            <w:tcW w:w="1419" w:type="pct"/>
            <w:tcBorders>
              <w:top w:val="single" w:sz="4" w:space="0" w:color="auto"/>
              <w:left w:val="nil"/>
              <w:bottom w:val="single" w:sz="4" w:space="0" w:color="auto"/>
              <w:right w:val="nil"/>
            </w:tcBorders>
            <w:shd w:val="clear" w:color="auto" w:fill="AFBED7"/>
            <w:vAlign w:val="bottom"/>
          </w:tcPr>
          <w:p w:rsidR="008A6A7C" w:rsidRPr="004D5308" w:rsidRDefault="008A6A7C" w:rsidP="00CB386A">
            <w:pPr>
              <w:pStyle w:val="TH-TableHeading"/>
            </w:pPr>
            <w:bookmarkStart w:id="70" w:name="_Toc329675007"/>
            <w:bookmarkStart w:id="71" w:name="_Toc409090911"/>
            <w:r w:rsidRPr="004D5308">
              <w:t>e-mail</w:t>
            </w:r>
            <w:bookmarkEnd w:id="70"/>
            <w:bookmarkEnd w:id="71"/>
          </w:p>
        </w:tc>
      </w:tr>
      <w:tr w:rsidR="008A6A7C" w:rsidRPr="00590D28" w:rsidTr="004A7048">
        <w:trPr>
          <w:cantSplit/>
        </w:trPr>
        <w:tc>
          <w:tcPr>
            <w:tcW w:w="962" w:type="pct"/>
            <w:tcBorders>
              <w:top w:val="single" w:sz="4" w:space="0" w:color="auto"/>
              <w:bottom w:val="single" w:sz="4" w:space="0" w:color="auto"/>
            </w:tcBorders>
          </w:tcPr>
          <w:p w:rsidR="008A6A7C" w:rsidRPr="00590D28" w:rsidRDefault="008A6A7C" w:rsidP="00CB386A">
            <w:pPr>
              <w:pStyle w:val="TX-TableText"/>
              <w:spacing w:before="40" w:after="40" w:line="240" w:lineRule="auto"/>
            </w:pPr>
            <w:r>
              <w:t>Laurie May</w:t>
            </w:r>
          </w:p>
        </w:tc>
        <w:tc>
          <w:tcPr>
            <w:tcW w:w="1444" w:type="pct"/>
            <w:tcBorders>
              <w:top w:val="single" w:sz="4" w:space="0" w:color="auto"/>
              <w:bottom w:val="single" w:sz="4" w:space="0" w:color="auto"/>
            </w:tcBorders>
          </w:tcPr>
          <w:p w:rsidR="008A6A7C" w:rsidRDefault="008A6A7C" w:rsidP="00CB386A">
            <w:pPr>
              <w:pStyle w:val="TX-TableText"/>
              <w:spacing w:before="40" w:after="40" w:line="240" w:lineRule="auto"/>
            </w:pPr>
            <w:r>
              <w:t>Principal Investigator, Westat</w:t>
            </w:r>
          </w:p>
        </w:tc>
        <w:tc>
          <w:tcPr>
            <w:tcW w:w="1175" w:type="pct"/>
            <w:tcBorders>
              <w:top w:val="single" w:sz="4" w:space="0" w:color="auto"/>
              <w:bottom w:val="single" w:sz="4" w:space="0" w:color="auto"/>
            </w:tcBorders>
          </w:tcPr>
          <w:p w:rsidR="008A6A7C" w:rsidRDefault="008A6A7C" w:rsidP="00CB386A">
            <w:pPr>
              <w:pStyle w:val="TX-TableText"/>
              <w:spacing w:before="40" w:after="40" w:line="240" w:lineRule="auto"/>
            </w:pPr>
            <w:r>
              <w:t>301-517-4076</w:t>
            </w:r>
          </w:p>
        </w:tc>
        <w:tc>
          <w:tcPr>
            <w:tcW w:w="1419" w:type="pct"/>
            <w:tcBorders>
              <w:top w:val="single" w:sz="4" w:space="0" w:color="auto"/>
              <w:bottom w:val="single" w:sz="4" w:space="0" w:color="auto"/>
            </w:tcBorders>
          </w:tcPr>
          <w:p w:rsidR="008A6A7C" w:rsidRDefault="00B33A9C" w:rsidP="00CB386A">
            <w:pPr>
              <w:pStyle w:val="TX-TableText"/>
              <w:spacing w:before="40" w:after="40" w:line="240" w:lineRule="auto"/>
            </w:pPr>
            <w:hyperlink r:id="rId15" w:history="1">
              <w:r w:rsidR="008A6A7C" w:rsidRPr="00A91384">
                <w:rPr>
                  <w:rStyle w:val="Hyperlink"/>
                </w:rPr>
                <w:t>LaurieMay@westat.com</w:t>
              </w:r>
            </w:hyperlink>
          </w:p>
        </w:tc>
      </w:tr>
      <w:tr w:rsidR="008A6A7C" w:rsidRPr="00590D28" w:rsidTr="004A7048">
        <w:trPr>
          <w:cantSplit/>
        </w:trPr>
        <w:tc>
          <w:tcPr>
            <w:tcW w:w="962" w:type="pct"/>
            <w:tcBorders>
              <w:top w:val="single" w:sz="4" w:space="0" w:color="auto"/>
              <w:bottom w:val="single" w:sz="4" w:space="0" w:color="auto"/>
            </w:tcBorders>
          </w:tcPr>
          <w:p w:rsidR="008A6A7C" w:rsidRPr="00590D28" w:rsidRDefault="008A6A7C" w:rsidP="00CB386A">
            <w:pPr>
              <w:pStyle w:val="TX-TableText"/>
              <w:spacing w:before="40" w:after="40" w:line="240" w:lineRule="auto"/>
            </w:pPr>
            <w:r>
              <w:t>Tracy Vericker</w:t>
            </w:r>
          </w:p>
        </w:tc>
        <w:tc>
          <w:tcPr>
            <w:tcW w:w="1444" w:type="pct"/>
            <w:tcBorders>
              <w:top w:val="single" w:sz="4" w:space="0" w:color="auto"/>
              <w:bottom w:val="single" w:sz="4" w:space="0" w:color="auto"/>
            </w:tcBorders>
          </w:tcPr>
          <w:p w:rsidR="008A6A7C" w:rsidRDefault="008A6A7C" w:rsidP="00CB386A">
            <w:pPr>
              <w:pStyle w:val="TX-TableText"/>
              <w:spacing w:before="40" w:after="40" w:line="240" w:lineRule="auto"/>
            </w:pPr>
            <w:r>
              <w:t>Project Director, Westat</w:t>
            </w:r>
          </w:p>
        </w:tc>
        <w:tc>
          <w:tcPr>
            <w:tcW w:w="1175" w:type="pct"/>
            <w:tcBorders>
              <w:top w:val="single" w:sz="4" w:space="0" w:color="auto"/>
              <w:bottom w:val="single" w:sz="4" w:space="0" w:color="auto"/>
            </w:tcBorders>
          </w:tcPr>
          <w:p w:rsidR="008A6A7C" w:rsidRPr="00590D28" w:rsidRDefault="008A6A7C" w:rsidP="00CB386A">
            <w:pPr>
              <w:pStyle w:val="TX-TableText"/>
              <w:spacing w:before="40" w:after="40" w:line="240" w:lineRule="auto"/>
            </w:pPr>
            <w:r>
              <w:t>301-251-4242</w:t>
            </w:r>
          </w:p>
        </w:tc>
        <w:tc>
          <w:tcPr>
            <w:tcW w:w="1419" w:type="pct"/>
            <w:tcBorders>
              <w:top w:val="single" w:sz="4" w:space="0" w:color="auto"/>
              <w:bottom w:val="single" w:sz="4" w:space="0" w:color="auto"/>
            </w:tcBorders>
          </w:tcPr>
          <w:p w:rsidR="008A6A7C" w:rsidRPr="00590D28" w:rsidRDefault="00B33A9C" w:rsidP="00CB386A">
            <w:pPr>
              <w:pStyle w:val="TX-TableText"/>
              <w:spacing w:before="40" w:after="40" w:line="240" w:lineRule="auto"/>
            </w:pPr>
            <w:hyperlink r:id="rId16" w:history="1">
              <w:r w:rsidR="008A6A7C" w:rsidRPr="00A91384">
                <w:rPr>
                  <w:rStyle w:val="Hyperlink"/>
                </w:rPr>
                <w:t>TracyVericker@westat.com</w:t>
              </w:r>
            </w:hyperlink>
          </w:p>
        </w:tc>
      </w:tr>
      <w:tr w:rsidR="008A6A7C" w:rsidRPr="00590D28" w:rsidTr="004A7048">
        <w:trPr>
          <w:cantSplit/>
        </w:trPr>
        <w:tc>
          <w:tcPr>
            <w:tcW w:w="962" w:type="pct"/>
            <w:tcBorders>
              <w:top w:val="single" w:sz="4" w:space="0" w:color="auto"/>
              <w:bottom w:val="single" w:sz="4" w:space="0" w:color="auto"/>
            </w:tcBorders>
          </w:tcPr>
          <w:p w:rsidR="008A6A7C" w:rsidRPr="00590D28" w:rsidRDefault="008A6A7C" w:rsidP="00CB386A">
            <w:pPr>
              <w:pStyle w:val="TX-TableText"/>
              <w:spacing w:before="40" w:after="40" w:line="240" w:lineRule="auto"/>
            </w:pPr>
            <w:r>
              <w:t>Hongsheng Hao</w:t>
            </w:r>
          </w:p>
        </w:tc>
        <w:tc>
          <w:tcPr>
            <w:tcW w:w="1444" w:type="pct"/>
            <w:tcBorders>
              <w:top w:val="single" w:sz="4" w:space="0" w:color="auto"/>
              <w:bottom w:val="single" w:sz="4" w:space="0" w:color="auto"/>
            </w:tcBorders>
          </w:tcPr>
          <w:p w:rsidR="008A6A7C" w:rsidRDefault="008A6A7C" w:rsidP="00CB386A">
            <w:pPr>
              <w:pStyle w:val="TX-TableText"/>
              <w:spacing w:before="40" w:after="40" w:line="240" w:lineRule="auto"/>
            </w:pPr>
            <w:r>
              <w:t>Senior Statistician, Westat</w:t>
            </w:r>
          </w:p>
        </w:tc>
        <w:tc>
          <w:tcPr>
            <w:tcW w:w="1175" w:type="pct"/>
            <w:tcBorders>
              <w:top w:val="single" w:sz="4" w:space="0" w:color="auto"/>
              <w:bottom w:val="single" w:sz="4" w:space="0" w:color="auto"/>
            </w:tcBorders>
          </w:tcPr>
          <w:p w:rsidR="008A6A7C" w:rsidRPr="00590D28" w:rsidRDefault="008A6A7C" w:rsidP="00CB386A">
            <w:pPr>
              <w:pStyle w:val="TX-TableText"/>
              <w:spacing w:before="40" w:after="40" w:line="240" w:lineRule="auto"/>
            </w:pPr>
            <w:r>
              <w:t>301-738-3540</w:t>
            </w:r>
          </w:p>
        </w:tc>
        <w:tc>
          <w:tcPr>
            <w:tcW w:w="1419" w:type="pct"/>
            <w:tcBorders>
              <w:top w:val="single" w:sz="4" w:space="0" w:color="auto"/>
              <w:bottom w:val="single" w:sz="4" w:space="0" w:color="auto"/>
            </w:tcBorders>
          </w:tcPr>
          <w:p w:rsidR="008A6A7C" w:rsidRPr="00590D28" w:rsidRDefault="00B33A9C" w:rsidP="00CB386A">
            <w:pPr>
              <w:pStyle w:val="TX-TableText"/>
              <w:spacing w:before="40" w:after="40" w:line="240" w:lineRule="auto"/>
            </w:pPr>
            <w:hyperlink r:id="rId17" w:history="1">
              <w:r w:rsidR="008A6A7C" w:rsidRPr="00A91384">
                <w:rPr>
                  <w:rStyle w:val="Hyperlink"/>
                </w:rPr>
                <w:t>HAOH@westat.com</w:t>
              </w:r>
            </w:hyperlink>
          </w:p>
        </w:tc>
      </w:tr>
      <w:tr w:rsidR="008A6A7C" w:rsidRPr="00590D28" w:rsidTr="004A7048">
        <w:trPr>
          <w:cantSplit/>
        </w:trPr>
        <w:tc>
          <w:tcPr>
            <w:tcW w:w="962" w:type="pct"/>
            <w:tcBorders>
              <w:top w:val="single" w:sz="4" w:space="0" w:color="auto"/>
              <w:bottom w:val="single" w:sz="4" w:space="0" w:color="auto"/>
            </w:tcBorders>
          </w:tcPr>
          <w:p w:rsidR="008A6A7C" w:rsidRPr="00590D28" w:rsidRDefault="008A6A7C" w:rsidP="00CB386A">
            <w:pPr>
              <w:pStyle w:val="TX-TableText"/>
            </w:pPr>
            <w:r>
              <w:t>Thomas Bosworth</w:t>
            </w:r>
          </w:p>
        </w:tc>
        <w:tc>
          <w:tcPr>
            <w:tcW w:w="1444" w:type="pct"/>
            <w:tcBorders>
              <w:top w:val="single" w:sz="4" w:space="0" w:color="auto"/>
              <w:bottom w:val="single" w:sz="4" w:space="0" w:color="auto"/>
            </w:tcBorders>
          </w:tcPr>
          <w:p w:rsidR="008A6A7C" w:rsidRDefault="008A6A7C" w:rsidP="00CB386A">
            <w:pPr>
              <w:pStyle w:val="TX-TableText"/>
            </w:pPr>
            <w:r>
              <w:t>Senior Study Director, Westat</w:t>
            </w:r>
          </w:p>
        </w:tc>
        <w:tc>
          <w:tcPr>
            <w:tcW w:w="1175" w:type="pct"/>
            <w:tcBorders>
              <w:top w:val="single" w:sz="4" w:space="0" w:color="auto"/>
              <w:bottom w:val="single" w:sz="4" w:space="0" w:color="auto"/>
            </w:tcBorders>
          </w:tcPr>
          <w:p w:rsidR="008A6A7C" w:rsidRPr="00590D28" w:rsidRDefault="008A6A7C" w:rsidP="00CB386A">
            <w:pPr>
              <w:pStyle w:val="TX-TableText"/>
              <w:spacing w:before="40" w:after="40" w:line="240" w:lineRule="auto"/>
            </w:pPr>
            <w:r>
              <w:t>301-610-5542</w:t>
            </w:r>
          </w:p>
        </w:tc>
        <w:tc>
          <w:tcPr>
            <w:tcW w:w="1419" w:type="pct"/>
            <w:tcBorders>
              <w:top w:val="single" w:sz="4" w:space="0" w:color="auto"/>
              <w:bottom w:val="single" w:sz="4" w:space="0" w:color="auto"/>
            </w:tcBorders>
          </w:tcPr>
          <w:p w:rsidR="008A6A7C" w:rsidRPr="00590D28" w:rsidRDefault="00B33A9C" w:rsidP="00CB386A">
            <w:pPr>
              <w:pStyle w:val="TX-TableText"/>
              <w:spacing w:before="40" w:after="40" w:line="240" w:lineRule="auto"/>
            </w:pPr>
            <w:hyperlink r:id="rId18" w:history="1">
              <w:r w:rsidR="008A6A7C" w:rsidRPr="00A91384">
                <w:rPr>
                  <w:rStyle w:val="Hyperlink"/>
                </w:rPr>
                <w:t>Boswort1@westat.com</w:t>
              </w:r>
            </w:hyperlink>
          </w:p>
        </w:tc>
      </w:tr>
      <w:bookmarkEnd w:id="1"/>
      <w:bookmarkEnd w:id="2"/>
      <w:bookmarkEnd w:id="3"/>
      <w:bookmarkEnd w:id="4"/>
      <w:bookmarkEnd w:id="5"/>
      <w:bookmarkEnd w:id="6"/>
    </w:tbl>
    <w:p w:rsidR="008A6A7C" w:rsidRDefault="008A6A7C" w:rsidP="004A7048">
      <w:pPr>
        <w:pStyle w:val="L1-FlLSp12"/>
      </w:pPr>
    </w:p>
    <w:sectPr w:rsidR="008A6A7C" w:rsidSect="008A6A7C">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1B" w:rsidRDefault="00000B1B">
      <w:pPr>
        <w:spacing w:line="240" w:lineRule="auto"/>
      </w:pPr>
      <w:r>
        <w:separator/>
      </w:r>
    </w:p>
  </w:endnote>
  <w:endnote w:type="continuationSeparator" w:id="0">
    <w:p w:rsidR="00000B1B" w:rsidRDefault="00000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B" w:rsidRDefault="00000B1B" w:rsidP="00D6308A">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B" w:rsidRPr="00E60620" w:rsidRDefault="00000B1B" w:rsidP="00E60620">
    <w:pPr>
      <w:pStyle w:val="Footer"/>
      <w:jc w:val="center"/>
    </w:pPr>
    <w:r>
      <w:fldChar w:fldCharType="begin"/>
    </w:r>
    <w:r>
      <w:instrText xml:space="preserve"> PAGE   \* MERGEFORMAT </w:instrText>
    </w:r>
    <w:r>
      <w:fldChar w:fldCharType="separate"/>
    </w:r>
    <w:r w:rsidR="00B33A9C">
      <w:rPr>
        <w:noProof/>
      </w:rPr>
      <w:t>18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B" w:rsidRPr="00D6415D" w:rsidRDefault="00000B1B" w:rsidP="00B55BAD">
    <w:pPr>
      <w:pStyle w:val="Footer"/>
      <w:jc w:val="center"/>
    </w:pPr>
    <w:r w:rsidRPr="00D6415D">
      <w:rPr>
        <w:noProof/>
      </w:rPr>
      <w:fldChar w:fldCharType="begin"/>
    </w:r>
    <w:r w:rsidRPr="00D6415D">
      <w:rPr>
        <w:noProof/>
      </w:rPr>
      <w:instrText xml:space="preserve"> PAGE   \* MERGEFORMAT </w:instrText>
    </w:r>
    <w:r w:rsidRPr="00D6415D">
      <w:rPr>
        <w:noProof/>
      </w:rPr>
      <w:fldChar w:fldCharType="separate"/>
    </w:r>
    <w:r w:rsidR="00B33A9C">
      <w:rPr>
        <w:noProof/>
      </w:rPr>
      <w:t>1</w:t>
    </w:r>
    <w:r w:rsidRPr="00D641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1B" w:rsidRDefault="00000B1B">
      <w:pPr>
        <w:spacing w:line="240" w:lineRule="auto"/>
      </w:pPr>
      <w:r>
        <w:separator/>
      </w:r>
    </w:p>
  </w:footnote>
  <w:footnote w:type="continuationSeparator" w:id="0">
    <w:p w:rsidR="00000B1B" w:rsidRDefault="00000B1B">
      <w:pPr>
        <w:spacing w:line="240" w:lineRule="auto"/>
      </w:pPr>
      <w:r>
        <w:continuationSeparator/>
      </w:r>
    </w:p>
  </w:footnote>
  <w:footnote w:id="1">
    <w:p w:rsidR="00DC5575" w:rsidRDefault="00DC5575">
      <w:pPr>
        <w:pStyle w:val="FootnoteText"/>
      </w:pPr>
      <w:r>
        <w:rPr>
          <w:rStyle w:val="FootnoteReference"/>
        </w:rPr>
        <w:footnoteRef/>
      </w:r>
      <w:r>
        <w:t xml:space="preserve"> We will not set a minimum threshold for number of outlets for gran</w:t>
      </w:r>
      <w:r w:rsidR="002A0BE7">
        <w:t>t</w:t>
      </w:r>
      <w:r>
        <w:t xml:space="preserve">ees that operate FINI in only one State.  </w:t>
      </w:r>
      <w:r w:rsidR="00DD302E">
        <w:t>This will ensure that all grantees have the potential to be represented in the national evaluation.</w:t>
      </w:r>
    </w:p>
  </w:footnote>
  <w:footnote w:id="2">
    <w:p w:rsidR="00000B1B" w:rsidRDefault="00000B1B" w:rsidP="00C045FA">
      <w:pPr>
        <w:pStyle w:val="FootnoteText"/>
        <w:tabs>
          <w:tab w:val="clear" w:pos="120"/>
          <w:tab w:val="left" w:pos="180"/>
        </w:tabs>
        <w:ind w:left="180" w:hanging="180"/>
      </w:pPr>
      <w:r w:rsidRPr="00780E10">
        <w:rPr>
          <w:rStyle w:val="FootnoteReference"/>
        </w:rPr>
        <w:footnoteRef/>
      </w:r>
      <w:r>
        <w:rPr>
          <w:vertAlign w:val="superscript"/>
        </w:rPr>
        <w:tab/>
      </w:r>
      <w:r w:rsidRPr="00A948C3">
        <w:t xml:space="preserve">Based on a review of Cycle 2015 grant applications, </w:t>
      </w:r>
      <w:r>
        <w:t>farmers</w:t>
      </w:r>
      <w:r w:rsidRPr="00A948C3">
        <w:t xml:space="preserve"> markets and farms stands comprise about 70 percent of all FINI outlet types; grocery stores comprise roughly 15 percent of FINI outlet types.</w:t>
      </w:r>
      <w:r>
        <w:t xml:space="preserve"> </w:t>
      </w:r>
      <w:r w:rsidRPr="00A948C3">
        <w:t xml:space="preserve">The remaining 15 percent are split between </w:t>
      </w:r>
      <w:r w:rsidRPr="001A6950">
        <w:t xml:space="preserve">community supported agriculture programs </w:t>
      </w:r>
      <w:r>
        <w:t>(</w:t>
      </w:r>
      <w:r w:rsidRPr="00A948C3">
        <w:t>CSAs</w:t>
      </w:r>
      <w:r>
        <w:t>)</w:t>
      </w:r>
      <w:r w:rsidRPr="00A948C3">
        <w:t xml:space="preserve"> and mobile markets.</w:t>
      </w:r>
    </w:p>
  </w:footnote>
  <w:footnote w:id="3">
    <w:p w:rsidR="00000B1B" w:rsidRDefault="00000B1B" w:rsidP="00602999">
      <w:pPr>
        <w:pStyle w:val="FootnoteText"/>
        <w:tabs>
          <w:tab w:val="clear" w:pos="120"/>
          <w:tab w:val="left" w:pos="180"/>
        </w:tabs>
        <w:ind w:left="180" w:hanging="180"/>
      </w:pPr>
      <w:r>
        <w:rPr>
          <w:rStyle w:val="FootnoteReference"/>
        </w:rPr>
        <w:footnoteRef/>
      </w:r>
      <w:r>
        <w:t xml:space="preserve">   A small subset of outlets will offer match rates that exceed dollar-for-dollar.  All of these outlets, however, will be part of a randomized control trial where SNAP participants—and not outlets—will be randomized to receive different levels of incentives. These outlets will not be included in the sampling frame because we will not know a priori what level of incentives sampled SNAP </w:t>
      </w:r>
      <w:proofErr w:type="spellStart"/>
      <w:r>
        <w:t>receipients</w:t>
      </w:r>
      <w:proofErr w:type="spellEnd"/>
      <w:r>
        <w:t xml:space="preserve"> received. </w:t>
      </w:r>
    </w:p>
  </w:footnote>
  <w:footnote w:id="4">
    <w:p w:rsidR="00000B1B" w:rsidRDefault="00000B1B" w:rsidP="00C045FA">
      <w:pPr>
        <w:pStyle w:val="FootnoteText"/>
        <w:tabs>
          <w:tab w:val="clear" w:pos="120"/>
          <w:tab w:val="left" w:pos="180"/>
        </w:tabs>
        <w:ind w:left="180" w:hanging="180"/>
      </w:pPr>
      <w:r>
        <w:rPr>
          <w:rStyle w:val="FootnoteReference"/>
        </w:rPr>
        <w:footnoteRef/>
      </w:r>
      <w:r>
        <w:tab/>
      </w:r>
      <w:proofErr w:type="gramStart"/>
      <w:r>
        <w:t>Bartlett, Susan; Jacob Klerman, Lauren Olsho, et al. (2014).</w:t>
      </w:r>
      <w:proofErr w:type="gramEnd"/>
      <w:r>
        <w:t xml:space="preserve"> Evaluation of the Healthy Incentives Pilot (HIP): Final Report. </w:t>
      </w:r>
      <w:proofErr w:type="gramStart"/>
      <w:r>
        <w:t>Prepared by Abt Associates for the U.S. Department of Agriculture, Food and Nutrition Service, September 2014.</w:t>
      </w:r>
      <w:proofErr w:type="gramEnd"/>
      <w:r>
        <w:t xml:space="preserve"> </w:t>
      </w:r>
      <w:r w:rsidR="006E100E">
        <w:t xml:space="preserve"> OMB control # 0584-0561, Expiration Date: 08/31/2014. </w:t>
      </w:r>
      <w:proofErr w:type="gramStart"/>
      <w:r>
        <w:t xml:space="preserve">Retrieved from </w:t>
      </w:r>
      <w:hyperlink r:id="rId1" w:history="1">
        <w:r w:rsidRPr="003C5F0D">
          <w:rPr>
            <w:rStyle w:val="Hyperlink"/>
          </w:rPr>
          <w:t>http://www.fns.usda.gov/healthy-incentives-pilot-final-evaluation-report</w:t>
        </w:r>
      </w:hyperlink>
      <w:r>
        <w:t>.</w:t>
      </w:r>
      <w:proofErr w:type="gramEnd"/>
    </w:p>
  </w:footnote>
  <w:footnote w:id="5">
    <w:p w:rsidR="00000B1B" w:rsidRDefault="00000B1B" w:rsidP="00C045FA">
      <w:pPr>
        <w:pStyle w:val="FootnoteText"/>
        <w:tabs>
          <w:tab w:val="clear" w:pos="120"/>
          <w:tab w:val="left" w:pos="180"/>
        </w:tabs>
        <w:ind w:left="180" w:hanging="180"/>
      </w:pPr>
      <w:r>
        <w:rPr>
          <w:rStyle w:val="FootnoteReference"/>
        </w:rPr>
        <w:footnoteRef/>
      </w:r>
      <w:r>
        <w:tab/>
        <w:t>We plan to schedule 50 interviews in the event of cancellations. In the event that we complete 40 interviews, we will cancel the remaining interviews and provide SNAP participants with whom interviews were scheduled (excluding no-shows) with the incentive, to thank them for being available for the interview.</w:t>
      </w:r>
    </w:p>
  </w:footnote>
  <w:footnote w:id="6">
    <w:p w:rsidR="00000B1B" w:rsidRDefault="00000B1B" w:rsidP="00C045FA">
      <w:pPr>
        <w:pStyle w:val="FootnoteText"/>
        <w:tabs>
          <w:tab w:val="clear" w:pos="120"/>
          <w:tab w:val="left" w:pos="180"/>
        </w:tabs>
        <w:ind w:left="180" w:hanging="180"/>
      </w:pPr>
      <w:r>
        <w:rPr>
          <w:rStyle w:val="FootnoteReference"/>
        </w:rPr>
        <w:footnoteRef/>
      </w:r>
      <w:r>
        <w:tab/>
        <w:t xml:space="preserve">Positive outcomes include increased frequency of shopping, change in types of fruits and vegetables </w:t>
      </w:r>
      <w:proofErr w:type="gramStart"/>
      <w:r>
        <w:t>purchased,</w:t>
      </w:r>
      <w:proofErr w:type="gramEnd"/>
      <w:r>
        <w:t xml:space="preserve"> increased expenditure on fruits and vegetables, increased consumption of fruits and vegetables. Negative outcomes include issues with receiving or redeeming incentives, and reduced purchase of fruits and vegetables because of issues with incentive receipt, redemption, or outlet staff.</w:t>
      </w:r>
    </w:p>
  </w:footnote>
  <w:footnote w:id="7">
    <w:p w:rsidR="00000B1B" w:rsidRDefault="00000B1B" w:rsidP="00C045FA">
      <w:pPr>
        <w:pStyle w:val="FootnoteText"/>
        <w:tabs>
          <w:tab w:val="clear" w:pos="120"/>
          <w:tab w:val="left" w:pos="180"/>
        </w:tabs>
        <w:ind w:left="180" w:hanging="180"/>
      </w:pPr>
      <w:r>
        <w:rPr>
          <w:rStyle w:val="FootnoteReference"/>
        </w:rPr>
        <w:footnoteRef/>
      </w:r>
      <w:r>
        <w:tab/>
      </w:r>
      <w:r w:rsidRPr="00B43AD0">
        <w:t xml:space="preserve">Leung, C.W., </w:t>
      </w:r>
      <w:proofErr w:type="spellStart"/>
      <w:r w:rsidRPr="00B43AD0">
        <w:t>Cluggish</w:t>
      </w:r>
      <w:proofErr w:type="spellEnd"/>
      <w:r w:rsidRPr="00B43AD0">
        <w:t xml:space="preserve">, S., </w:t>
      </w:r>
      <w:proofErr w:type="spellStart"/>
      <w:r w:rsidRPr="00B43AD0">
        <w:t>Villamor</w:t>
      </w:r>
      <w:proofErr w:type="spellEnd"/>
      <w:r w:rsidRPr="00B43AD0">
        <w:t xml:space="preserve">, E., Catalano, P.J., Willett, W.C., &amp; </w:t>
      </w:r>
      <w:proofErr w:type="spellStart"/>
      <w:r w:rsidRPr="00B43AD0">
        <w:t>Rimm</w:t>
      </w:r>
      <w:proofErr w:type="spellEnd"/>
      <w:r w:rsidRPr="00B43AD0">
        <w:t xml:space="preserve">, E.B. (2014). </w:t>
      </w:r>
      <w:proofErr w:type="gramStart"/>
      <w:r w:rsidRPr="00B43AD0">
        <w:t>Few changes in food security and dietary intake from short-term participation in the Supplemental Nutrition Assistance Program among low-income Massachusetts adults.</w:t>
      </w:r>
      <w:proofErr w:type="gramEnd"/>
      <w:r w:rsidRPr="00B43AD0">
        <w:t xml:space="preserve"> </w:t>
      </w:r>
      <w:proofErr w:type="gramStart"/>
      <w:r w:rsidRPr="00FE4559">
        <w:rPr>
          <w:i/>
        </w:rPr>
        <w:t>Journal of Nutrition Education and Behavior</w:t>
      </w:r>
      <w:r w:rsidRPr="00B43AD0">
        <w:t>, 46(1), 10.1016/j.jneb.2013.10.001.</w:t>
      </w:r>
      <w:proofErr w:type="gramEnd"/>
      <w:r w:rsidRPr="00B43AD0">
        <w:t xml:space="preserve"> http://doi.org/10.1016/j.jneb.2013.10.001.</w:t>
      </w:r>
    </w:p>
  </w:footnote>
  <w:footnote w:id="8">
    <w:p w:rsidR="00000B1B" w:rsidRDefault="00000B1B" w:rsidP="00C045FA">
      <w:pPr>
        <w:pStyle w:val="FootnoteText"/>
        <w:tabs>
          <w:tab w:val="clear" w:pos="120"/>
          <w:tab w:val="left" w:pos="180"/>
        </w:tabs>
        <w:ind w:left="180" w:hanging="180"/>
      </w:pPr>
      <w:r w:rsidRPr="0006292F">
        <w:rPr>
          <w:rStyle w:val="FootnoteReference"/>
        </w:rPr>
        <w:footnoteRef/>
      </w:r>
      <w:r>
        <w:tab/>
        <w:t xml:space="preserve">Mabli, J., Godfrey, T., </w:t>
      </w:r>
      <w:proofErr w:type="spellStart"/>
      <w:r>
        <w:t>Wemmerus</w:t>
      </w:r>
      <w:proofErr w:type="spellEnd"/>
      <w:r>
        <w:t xml:space="preserve">, N., </w:t>
      </w:r>
      <w:proofErr w:type="spellStart"/>
      <w:r>
        <w:t>Leftin</w:t>
      </w:r>
      <w:proofErr w:type="spellEnd"/>
      <w:r>
        <w:t xml:space="preserve">, J., &amp; </w:t>
      </w:r>
      <w:proofErr w:type="spellStart"/>
      <w:r>
        <w:t>Tordell</w:t>
      </w:r>
      <w:proofErr w:type="spellEnd"/>
      <w:r>
        <w:t>, S. (2014). Dynamics of Supplemental Nutrition Assistance Program (SNAP): Participation from 2008-2012 Final Report. December 2014.</w:t>
      </w:r>
    </w:p>
  </w:footnote>
  <w:footnote w:id="9">
    <w:p w:rsidR="00000B1B" w:rsidRDefault="00000B1B">
      <w:pPr>
        <w:pStyle w:val="FootnoteText"/>
      </w:pPr>
      <w:r>
        <w:rPr>
          <w:rStyle w:val="FootnoteReference"/>
        </w:rPr>
        <w:footnoteRef/>
      </w:r>
      <w:r>
        <w:t xml:space="preserve">  Many farmers markets participating in FINI may exclude these items.</w:t>
      </w:r>
    </w:p>
  </w:footnote>
  <w:footnote w:id="10">
    <w:p w:rsidR="00000B1B" w:rsidRDefault="00000B1B" w:rsidP="00C045FA">
      <w:pPr>
        <w:pStyle w:val="FootnoteText"/>
        <w:tabs>
          <w:tab w:val="clear" w:pos="120"/>
          <w:tab w:val="left" w:pos="180"/>
        </w:tabs>
        <w:ind w:left="180" w:hanging="180"/>
      </w:pPr>
      <w:r>
        <w:rPr>
          <w:rStyle w:val="FootnoteReference"/>
        </w:rPr>
        <w:footnoteRef/>
      </w:r>
      <w:r>
        <w:tab/>
      </w:r>
      <w:proofErr w:type="gramStart"/>
      <w:r w:rsidRPr="004A526B">
        <w:t xml:space="preserve">Bartlett et al., </w:t>
      </w:r>
      <w:r>
        <w:t>(</w:t>
      </w:r>
      <w:r w:rsidRPr="004A526B">
        <w:t>2014</w:t>
      </w:r>
      <w:r>
        <w:t>)</w:t>
      </w:r>
      <w:r w:rsidRPr="004A526B">
        <w:t>.</w:t>
      </w:r>
      <w:proofErr w:type="gramEnd"/>
    </w:p>
  </w:footnote>
  <w:footnote w:id="11">
    <w:p w:rsidR="00000B1B" w:rsidRPr="00373420" w:rsidRDefault="00000B1B" w:rsidP="00C045FA">
      <w:pPr>
        <w:pStyle w:val="FootnoteText"/>
        <w:tabs>
          <w:tab w:val="clear" w:pos="120"/>
          <w:tab w:val="left" w:pos="180"/>
        </w:tabs>
        <w:ind w:left="180" w:hanging="180"/>
      </w:pPr>
      <w:r w:rsidRPr="007219AE">
        <w:rPr>
          <w:rStyle w:val="FootnoteReference"/>
        </w:rPr>
        <w:footnoteRef/>
      </w:r>
      <w:r>
        <w:tab/>
      </w:r>
      <w:proofErr w:type="gramStart"/>
      <w:r>
        <w:t>Office of Management and Budget Standards and Guidelines for Statistical Surveys.</w:t>
      </w:r>
      <w:proofErr w:type="gramEnd"/>
      <w:r>
        <w:t xml:space="preserve"> </w:t>
      </w:r>
      <w:proofErr w:type="gramStart"/>
      <w:r>
        <w:t xml:space="preserve">Retrieved from </w:t>
      </w:r>
      <w:hyperlink r:id="rId2" w:history="1">
        <w:r w:rsidRPr="00373420">
          <w:rPr>
            <w:rStyle w:val="Hyperlink"/>
          </w:rPr>
          <w:t>http://www.whitehouse.gov/sites/default/files/omb/inforeg/statpolicy/standards_stat_surveys.pdf</w:t>
        </w:r>
      </w:hyperlink>
      <w:r>
        <w:rPr>
          <w:rStyle w:val="Hyperlink"/>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B" w:rsidRDefault="00000B1B" w:rsidP="00541C40">
    <w:pPr>
      <w:pStyle w:val="Header"/>
      <w:ind w:right="4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B" w:rsidRDefault="00000B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B" w:rsidRPr="007C2CD6" w:rsidRDefault="00000B1B" w:rsidP="007C2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B769BE"/>
    <w:multiLevelType w:val="hybridMultilevel"/>
    <w:tmpl w:val="B0FE84F6"/>
    <w:lvl w:ilvl="0" w:tplc="3D4A9B9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01F13"/>
    <w:multiLevelType w:val="hybridMultilevel"/>
    <w:tmpl w:val="9EF2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F274B01"/>
    <w:multiLevelType w:val="hybridMultilevel"/>
    <w:tmpl w:val="DA601CB6"/>
    <w:lvl w:ilvl="0" w:tplc="EB885550">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C1760"/>
    <w:multiLevelType w:val="hybridMultilevel"/>
    <w:tmpl w:val="F90ABD26"/>
    <w:lvl w:ilvl="0" w:tplc="AC026486">
      <w:start w:val="1"/>
      <w:numFmt w:val="decimal"/>
      <w:lvlText w:val="%1."/>
      <w:lvlJc w:val="left"/>
      <w:pPr>
        <w:tabs>
          <w:tab w:val="num" w:pos="1152"/>
        </w:tabs>
        <w:ind w:left="1152" w:hanging="576"/>
      </w:pPr>
      <w:rPr>
        <w:rFont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22442"/>
    <w:multiLevelType w:val="hybridMultilevel"/>
    <w:tmpl w:val="BC00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0317F"/>
    <w:multiLevelType w:val="hybridMultilevel"/>
    <w:tmpl w:val="10A62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6"/>
  </w:num>
  <w:num w:numId="2">
    <w:abstractNumId w:val="2"/>
  </w:num>
  <w:num w:numId="3">
    <w:abstractNumId w:val="3"/>
  </w:num>
  <w:num w:numId="4">
    <w:abstractNumId w:val="9"/>
    <w:lvlOverride w:ilvl="0">
      <w:startOverride w:val="1"/>
    </w:lvlOverride>
  </w:num>
  <w:num w:numId="5">
    <w:abstractNumId w:val="17"/>
  </w:num>
  <w:num w:numId="6">
    <w:abstractNumId w:val="5"/>
  </w:num>
  <w:num w:numId="7">
    <w:abstractNumId w:val="10"/>
  </w:num>
  <w:num w:numId="8">
    <w:abstractNumId w:val="12"/>
  </w:num>
  <w:num w:numId="9">
    <w:abstractNumId w:val="15"/>
  </w:num>
  <w:num w:numId="10">
    <w:abstractNumId w:val="20"/>
  </w:num>
  <w:num w:numId="11">
    <w:abstractNumId w:val="7"/>
  </w:num>
  <w:num w:numId="12">
    <w:abstractNumId w:val="11"/>
  </w:num>
  <w:num w:numId="13">
    <w:abstractNumId w:val="16"/>
  </w:num>
  <w:num w:numId="14">
    <w:abstractNumId w:val="1"/>
  </w:num>
  <w:num w:numId="15">
    <w:abstractNumId w:val="13"/>
  </w:num>
  <w:num w:numId="16">
    <w:abstractNumId w:val="0"/>
  </w:num>
  <w:num w:numId="17">
    <w:abstractNumId w:val="19"/>
  </w:num>
  <w:num w:numId="18">
    <w:abstractNumId w:val="18"/>
  </w:num>
  <w:num w:numId="19">
    <w:abstractNumId w:val="4"/>
  </w:num>
  <w:num w:numId="20">
    <w:abstractNumId w:val="2"/>
  </w:num>
  <w:num w:numId="21">
    <w:abstractNumId w:val="14"/>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89"/>
    <w:rsid w:val="00000B1B"/>
    <w:rsid w:val="00022342"/>
    <w:rsid w:val="00025CBC"/>
    <w:rsid w:val="000350E9"/>
    <w:rsid w:val="00036AF4"/>
    <w:rsid w:val="00043871"/>
    <w:rsid w:val="00044705"/>
    <w:rsid w:val="000447C2"/>
    <w:rsid w:val="00047007"/>
    <w:rsid w:val="00047085"/>
    <w:rsid w:val="00051FAB"/>
    <w:rsid w:val="000527C5"/>
    <w:rsid w:val="00057925"/>
    <w:rsid w:val="0006498E"/>
    <w:rsid w:val="00066207"/>
    <w:rsid w:val="00067184"/>
    <w:rsid w:val="00073632"/>
    <w:rsid w:val="00073F2D"/>
    <w:rsid w:val="00076495"/>
    <w:rsid w:val="000770CB"/>
    <w:rsid w:val="00080929"/>
    <w:rsid w:val="00091A23"/>
    <w:rsid w:val="00092F4F"/>
    <w:rsid w:val="000A055D"/>
    <w:rsid w:val="000A4805"/>
    <w:rsid w:val="000B2F07"/>
    <w:rsid w:val="000C33DB"/>
    <w:rsid w:val="000D02CD"/>
    <w:rsid w:val="000D39A9"/>
    <w:rsid w:val="000D51B5"/>
    <w:rsid w:val="000E07BE"/>
    <w:rsid w:val="000E3226"/>
    <w:rsid w:val="000E32E5"/>
    <w:rsid w:val="000F4CFB"/>
    <w:rsid w:val="000F5C49"/>
    <w:rsid w:val="000F65F3"/>
    <w:rsid w:val="00101C84"/>
    <w:rsid w:val="00114C6E"/>
    <w:rsid w:val="001201F4"/>
    <w:rsid w:val="00120A6B"/>
    <w:rsid w:val="00121A4A"/>
    <w:rsid w:val="00127EE4"/>
    <w:rsid w:val="00134EFB"/>
    <w:rsid w:val="001358D2"/>
    <w:rsid w:val="00145AF1"/>
    <w:rsid w:val="00145F5D"/>
    <w:rsid w:val="00147D20"/>
    <w:rsid w:val="00150369"/>
    <w:rsid w:val="00152B01"/>
    <w:rsid w:val="00154269"/>
    <w:rsid w:val="00156208"/>
    <w:rsid w:val="00162E28"/>
    <w:rsid w:val="001636C3"/>
    <w:rsid w:val="001659AC"/>
    <w:rsid w:val="0017175D"/>
    <w:rsid w:val="00171F6D"/>
    <w:rsid w:val="001768BA"/>
    <w:rsid w:val="001829F7"/>
    <w:rsid w:val="00184A10"/>
    <w:rsid w:val="0019341C"/>
    <w:rsid w:val="00195DD0"/>
    <w:rsid w:val="001A05FD"/>
    <w:rsid w:val="001A10A2"/>
    <w:rsid w:val="001A1114"/>
    <w:rsid w:val="001B097C"/>
    <w:rsid w:val="001B265D"/>
    <w:rsid w:val="001B6AA1"/>
    <w:rsid w:val="001C4A08"/>
    <w:rsid w:val="001C555E"/>
    <w:rsid w:val="001C69DD"/>
    <w:rsid w:val="001C6D8F"/>
    <w:rsid w:val="001D0187"/>
    <w:rsid w:val="001D1F70"/>
    <w:rsid w:val="001E1D72"/>
    <w:rsid w:val="001E22E8"/>
    <w:rsid w:val="001E3800"/>
    <w:rsid w:val="001E5F24"/>
    <w:rsid w:val="001E6079"/>
    <w:rsid w:val="00203CA4"/>
    <w:rsid w:val="00203EFB"/>
    <w:rsid w:val="0020415E"/>
    <w:rsid w:val="0020526D"/>
    <w:rsid w:val="002120F1"/>
    <w:rsid w:val="00212FFB"/>
    <w:rsid w:val="002143C2"/>
    <w:rsid w:val="00214B46"/>
    <w:rsid w:val="0022221F"/>
    <w:rsid w:val="002232F7"/>
    <w:rsid w:val="00241635"/>
    <w:rsid w:val="00246C5D"/>
    <w:rsid w:val="00255CED"/>
    <w:rsid w:val="00266495"/>
    <w:rsid w:val="00267642"/>
    <w:rsid w:val="00267F75"/>
    <w:rsid w:val="00271489"/>
    <w:rsid w:val="002747D9"/>
    <w:rsid w:val="0027493A"/>
    <w:rsid w:val="00277BDF"/>
    <w:rsid w:val="00282312"/>
    <w:rsid w:val="00284AAA"/>
    <w:rsid w:val="002851B1"/>
    <w:rsid w:val="002A0BE7"/>
    <w:rsid w:val="002A4D1F"/>
    <w:rsid w:val="002A6821"/>
    <w:rsid w:val="002D1420"/>
    <w:rsid w:val="002D1B31"/>
    <w:rsid w:val="002D3E8C"/>
    <w:rsid w:val="002D408E"/>
    <w:rsid w:val="002D727B"/>
    <w:rsid w:val="002F0F19"/>
    <w:rsid w:val="002F126A"/>
    <w:rsid w:val="002F5259"/>
    <w:rsid w:val="00300AB5"/>
    <w:rsid w:val="00302E5C"/>
    <w:rsid w:val="00304009"/>
    <w:rsid w:val="00306197"/>
    <w:rsid w:val="0030691F"/>
    <w:rsid w:val="0031088D"/>
    <w:rsid w:val="00313902"/>
    <w:rsid w:val="00315646"/>
    <w:rsid w:val="00322842"/>
    <w:rsid w:val="00323FC9"/>
    <w:rsid w:val="003254F9"/>
    <w:rsid w:val="00360484"/>
    <w:rsid w:val="00383C29"/>
    <w:rsid w:val="00392857"/>
    <w:rsid w:val="00396CF5"/>
    <w:rsid w:val="00397B0B"/>
    <w:rsid w:val="003A33F2"/>
    <w:rsid w:val="003A4615"/>
    <w:rsid w:val="003A522C"/>
    <w:rsid w:val="003A5336"/>
    <w:rsid w:val="003A5B7B"/>
    <w:rsid w:val="003A6AB6"/>
    <w:rsid w:val="003B0490"/>
    <w:rsid w:val="003B1A43"/>
    <w:rsid w:val="003B2111"/>
    <w:rsid w:val="003C3199"/>
    <w:rsid w:val="003C6AA0"/>
    <w:rsid w:val="003C7936"/>
    <w:rsid w:val="003D3B85"/>
    <w:rsid w:val="003E5FC5"/>
    <w:rsid w:val="003F3309"/>
    <w:rsid w:val="004144E2"/>
    <w:rsid w:val="00414A7D"/>
    <w:rsid w:val="00414B36"/>
    <w:rsid w:val="004153AF"/>
    <w:rsid w:val="00416248"/>
    <w:rsid w:val="00417366"/>
    <w:rsid w:val="00417779"/>
    <w:rsid w:val="00421E98"/>
    <w:rsid w:val="004273F4"/>
    <w:rsid w:val="0047041E"/>
    <w:rsid w:val="004762B0"/>
    <w:rsid w:val="0047782E"/>
    <w:rsid w:val="00481D46"/>
    <w:rsid w:val="00481DB2"/>
    <w:rsid w:val="00493E51"/>
    <w:rsid w:val="004A7048"/>
    <w:rsid w:val="004B3AEF"/>
    <w:rsid w:val="004C2846"/>
    <w:rsid w:val="004D0D4C"/>
    <w:rsid w:val="004D3719"/>
    <w:rsid w:val="004E2BB3"/>
    <w:rsid w:val="004E7AC1"/>
    <w:rsid w:val="00501EE6"/>
    <w:rsid w:val="0051381C"/>
    <w:rsid w:val="00517BD9"/>
    <w:rsid w:val="00523BA6"/>
    <w:rsid w:val="005322DB"/>
    <w:rsid w:val="00541C40"/>
    <w:rsid w:val="005444F4"/>
    <w:rsid w:val="005522D3"/>
    <w:rsid w:val="005547B9"/>
    <w:rsid w:val="00575C11"/>
    <w:rsid w:val="00580B23"/>
    <w:rsid w:val="00593313"/>
    <w:rsid w:val="00596C37"/>
    <w:rsid w:val="00597A9C"/>
    <w:rsid w:val="005A31EE"/>
    <w:rsid w:val="005A7798"/>
    <w:rsid w:val="005B1DD6"/>
    <w:rsid w:val="005B7031"/>
    <w:rsid w:val="005C1586"/>
    <w:rsid w:val="005D1174"/>
    <w:rsid w:val="005D46D8"/>
    <w:rsid w:val="005D5BBC"/>
    <w:rsid w:val="005D5CE0"/>
    <w:rsid w:val="005E3AA1"/>
    <w:rsid w:val="005E53FF"/>
    <w:rsid w:val="005F33C9"/>
    <w:rsid w:val="005F5509"/>
    <w:rsid w:val="005F6A7A"/>
    <w:rsid w:val="005F7D5D"/>
    <w:rsid w:val="00602535"/>
    <w:rsid w:val="00602999"/>
    <w:rsid w:val="00614494"/>
    <w:rsid w:val="00616257"/>
    <w:rsid w:val="00627604"/>
    <w:rsid w:val="006313A0"/>
    <w:rsid w:val="00644471"/>
    <w:rsid w:val="00647D6A"/>
    <w:rsid w:val="00650AFB"/>
    <w:rsid w:val="00651022"/>
    <w:rsid w:val="00657599"/>
    <w:rsid w:val="0066643F"/>
    <w:rsid w:val="00672E8F"/>
    <w:rsid w:val="006756A3"/>
    <w:rsid w:val="0068253C"/>
    <w:rsid w:val="00683296"/>
    <w:rsid w:val="0068381B"/>
    <w:rsid w:val="00683820"/>
    <w:rsid w:val="006849A8"/>
    <w:rsid w:val="006901D7"/>
    <w:rsid w:val="006A0637"/>
    <w:rsid w:val="006A238C"/>
    <w:rsid w:val="006A46F6"/>
    <w:rsid w:val="006A778D"/>
    <w:rsid w:val="006D0B4A"/>
    <w:rsid w:val="006D735C"/>
    <w:rsid w:val="006E100E"/>
    <w:rsid w:val="006E775D"/>
    <w:rsid w:val="006F0E7E"/>
    <w:rsid w:val="0070039E"/>
    <w:rsid w:val="00702301"/>
    <w:rsid w:val="007035CD"/>
    <w:rsid w:val="00705A09"/>
    <w:rsid w:val="00707A44"/>
    <w:rsid w:val="007100C9"/>
    <w:rsid w:val="00721588"/>
    <w:rsid w:val="007223AE"/>
    <w:rsid w:val="0072337A"/>
    <w:rsid w:val="00727565"/>
    <w:rsid w:val="007304BD"/>
    <w:rsid w:val="00731A44"/>
    <w:rsid w:val="00741FAB"/>
    <w:rsid w:val="0074389B"/>
    <w:rsid w:val="00744F53"/>
    <w:rsid w:val="00754B85"/>
    <w:rsid w:val="0076468D"/>
    <w:rsid w:val="00770E81"/>
    <w:rsid w:val="00774268"/>
    <w:rsid w:val="0077775D"/>
    <w:rsid w:val="007822CF"/>
    <w:rsid w:val="00793192"/>
    <w:rsid w:val="00795760"/>
    <w:rsid w:val="007A4BF5"/>
    <w:rsid w:val="007A5A5F"/>
    <w:rsid w:val="007A76FF"/>
    <w:rsid w:val="007A7CB3"/>
    <w:rsid w:val="007B22FD"/>
    <w:rsid w:val="007C0946"/>
    <w:rsid w:val="007C28BE"/>
    <w:rsid w:val="007C2CD6"/>
    <w:rsid w:val="007C2D80"/>
    <w:rsid w:val="007C77C0"/>
    <w:rsid w:val="007E136F"/>
    <w:rsid w:val="007E54A4"/>
    <w:rsid w:val="007E5FDD"/>
    <w:rsid w:val="008021F7"/>
    <w:rsid w:val="00820C97"/>
    <w:rsid w:val="00826A21"/>
    <w:rsid w:val="008478CF"/>
    <w:rsid w:val="00850A8B"/>
    <w:rsid w:val="00853851"/>
    <w:rsid w:val="008562F2"/>
    <w:rsid w:val="0086324B"/>
    <w:rsid w:val="008750B5"/>
    <w:rsid w:val="0088021E"/>
    <w:rsid w:val="008874B0"/>
    <w:rsid w:val="00887EC8"/>
    <w:rsid w:val="00892178"/>
    <w:rsid w:val="00894610"/>
    <w:rsid w:val="00895E95"/>
    <w:rsid w:val="008A6A7C"/>
    <w:rsid w:val="008A7554"/>
    <w:rsid w:val="008B0617"/>
    <w:rsid w:val="008B577C"/>
    <w:rsid w:val="008D45A5"/>
    <w:rsid w:val="008E6CDD"/>
    <w:rsid w:val="008F6388"/>
    <w:rsid w:val="00917829"/>
    <w:rsid w:val="00922361"/>
    <w:rsid w:val="00922CCE"/>
    <w:rsid w:val="00923737"/>
    <w:rsid w:val="00923C66"/>
    <w:rsid w:val="0092551B"/>
    <w:rsid w:val="009355F7"/>
    <w:rsid w:val="00940319"/>
    <w:rsid w:val="00950A60"/>
    <w:rsid w:val="0095362B"/>
    <w:rsid w:val="00960083"/>
    <w:rsid w:val="00967F34"/>
    <w:rsid w:val="0097142D"/>
    <w:rsid w:val="00971FDA"/>
    <w:rsid w:val="00974E38"/>
    <w:rsid w:val="009871D3"/>
    <w:rsid w:val="00992616"/>
    <w:rsid w:val="00992641"/>
    <w:rsid w:val="00993672"/>
    <w:rsid w:val="009943A4"/>
    <w:rsid w:val="009A23F9"/>
    <w:rsid w:val="009B1798"/>
    <w:rsid w:val="009B1DC5"/>
    <w:rsid w:val="009C4246"/>
    <w:rsid w:val="009C675E"/>
    <w:rsid w:val="009D254B"/>
    <w:rsid w:val="00A15A6F"/>
    <w:rsid w:val="00A20174"/>
    <w:rsid w:val="00A208AB"/>
    <w:rsid w:val="00A24702"/>
    <w:rsid w:val="00A257BE"/>
    <w:rsid w:val="00A26E08"/>
    <w:rsid w:val="00A34B6C"/>
    <w:rsid w:val="00A44935"/>
    <w:rsid w:val="00A45E07"/>
    <w:rsid w:val="00A5064E"/>
    <w:rsid w:val="00A511B0"/>
    <w:rsid w:val="00A653B4"/>
    <w:rsid w:val="00A668DB"/>
    <w:rsid w:val="00A755BD"/>
    <w:rsid w:val="00A75648"/>
    <w:rsid w:val="00A77D80"/>
    <w:rsid w:val="00A80085"/>
    <w:rsid w:val="00A80C12"/>
    <w:rsid w:val="00A877F4"/>
    <w:rsid w:val="00A9104B"/>
    <w:rsid w:val="00A93B3F"/>
    <w:rsid w:val="00AC314D"/>
    <w:rsid w:val="00AC64BC"/>
    <w:rsid w:val="00AD0971"/>
    <w:rsid w:val="00AD5980"/>
    <w:rsid w:val="00AD6A02"/>
    <w:rsid w:val="00AE3C51"/>
    <w:rsid w:val="00AF1251"/>
    <w:rsid w:val="00AF28AE"/>
    <w:rsid w:val="00AF3094"/>
    <w:rsid w:val="00AF43A7"/>
    <w:rsid w:val="00B06CAC"/>
    <w:rsid w:val="00B10719"/>
    <w:rsid w:val="00B118D4"/>
    <w:rsid w:val="00B11E90"/>
    <w:rsid w:val="00B2164F"/>
    <w:rsid w:val="00B231D1"/>
    <w:rsid w:val="00B33A9C"/>
    <w:rsid w:val="00B43AD0"/>
    <w:rsid w:val="00B54406"/>
    <w:rsid w:val="00B54566"/>
    <w:rsid w:val="00B55900"/>
    <w:rsid w:val="00B55B95"/>
    <w:rsid w:val="00B55BAD"/>
    <w:rsid w:val="00B57F6F"/>
    <w:rsid w:val="00B66484"/>
    <w:rsid w:val="00B70876"/>
    <w:rsid w:val="00B755EB"/>
    <w:rsid w:val="00B84D69"/>
    <w:rsid w:val="00B84F01"/>
    <w:rsid w:val="00B9677F"/>
    <w:rsid w:val="00BA48D5"/>
    <w:rsid w:val="00BA4999"/>
    <w:rsid w:val="00BB06E9"/>
    <w:rsid w:val="00BB3850"/>
    <w:rsid w:val="00BB46EA"/>
    <w:rsid w:val="00BC0930"/>
    <w:rsid w:val="00BC6E81"/>
    <w:rsid w:val="00BD1970"/>
    <w:rsid w:val="00BD4AB9"/>
    <w:rsid w:val="00BE3B60"/>
    <w:rsid w:val="00BE4CF0"/>
    <w:rsid w:val="00BE6197"/>
    <w:rsid w:val="00BF2625"/>
    <w:rsid w:val="00C02332"/>
    <w:rsid w:val="00C033B2"/>
    <w:rsid w:val="00C045FA"/>
    <w:rsid w:val="00C06140"/>
    <w:rsid w:val="00C07120"/>
    <w:rsid w:val="00C14B4C"/>
    <w:rsid w:val="00C15446"/>
    <w:rsid w:val="00C16990"/>
    <w:rsid w:val="00C23317"/>
    <w:rsid w:val="00C274BD"/>
    <w:rsid w:val="00C31396"/>
    <w:rsid w:val="00C41ADD"/>
    <w:rsid w:val="00C44186"/>
    <w:rsid w:val="00C45EEF"/>
    <w:rsid w:val="00C467A9"/>
    <w:rsid w:val="00C50612"/>
    <w:rsid w:val="00C518C9"/>
    <w:rsid w:val="00C61ED2"/>
    <w:rsid w:val="00C7573B"/>
    <w:rsid w:val="00C8014C"/>
    <w:rsid w:val="00C81152"/>
    <w:rsid w:val="00C90BF4"/>
    <w:rsid w:val="00C9296E"/>
    <w:rsid w:val="00C9473F"/>
    <w:rsid w:val="00CA053D"/>
    <w:rsid w:val="00CB386A"/>
    <w:rsid w:val="00CB6421"/>
    <w:rsid w:val="00CC0CA5"/>
    <w:rsid w:val="00CC4103"/>
    <w:rsid w:val="00CD70C0"/>
    <w:rsid w:val="00CE6820"/>
    <w:rsid w:val="00CF10E3"/>
    <w:rsid w:val="00CF2F50"/>
    <w:rsid w:val="00CF63C0"/>
    <w:rsid w:val="00D026CE"/>
    <w:rsid w:val="00D105BF"/>
    <w:rsid w:val="00D256B0"/>
    <w:rsid w:val="00D302BC"/>
    <w:rsid w:val="00D358CC"/>
    <w:rsid w:val="00D40CE8"/>
    <w:rsid w:val="00D528BE"/>
    <w:rsid w:val="00D564BE"/>
    <w:rsid w:val="00D6308A"/>
    <w:rsid w:val="00D63563"/>
    <w:rsid w:val="00D6415D"/>
    <w:rsid w:val="00D737EE"/>
    <w:rsid w:val="00DA1F21"/>
    <w:rsid w:val="00DB4B6E"/>
    <w:rsid w:val="00DB55C5"/>
    <w:rsid w:val="00DC5575"/>
    <w:rsid w:val="00DD302E"/>
    <w:rsid w:val="00DD4E06"/>
    <w:rsid w:val="00DE14B0"/>
    <w:rsid w:val="00DE24CF"/>
    <w:rsid w:val="00DE375C"/>
    <w:rsid w:val="00DE658E"/>
    <w:rsid w:val="00DF435E"/>
    <w:rsid w:val="00E00624"/>
    <w:rsid w:val="00E023B8"/>
    <w:rsid w:val="00E106C9"/>
    <w:rsid w:val="00E11011"/>
    <w:rsid w:val="00E11D52"/>
    <w:rsid w:val="00E1521A"/>
    <w:rsid w:val="00E2353A"/>
    <w:rsid w:val="00E265CF"/>
    <w:rsid w:val="00E3012C"/>
    <w:rsid w:val="00E30E6D"/>
    <w:rsid w:val="00E314C7"/>
    <w:rsid w:val="00E329A7"/>
    <w:rsid w:val="00E3309B"/>
    <w:rsid w:val="00E33761"/>
    <w:rsid w:val="00E47194"/>
    <w:rsid w:val="00E50E06"/>
    <w:rsid w:val="00E57E9B"/>
    <w:rsid w:val="00E60620"/>
    <w:rsid w:val="00E6096F"/>
    <w:rsid w:val="00E62BCD"/>
    <w:rsid w:val="00E65595"/>
    <w:rsid w:val="00E70DFB"/>
    <w:rsid w:val="00E90931"/>
    <w:rsid w:val="00E976F7"/>
    <w:rsid w:val="00EA6750"/>
    <w:rsid w:val="00EB2438"/>
    <w:rsid w:val="00EC17B6"/>
    <w:rsid w:val="00EC5256"/>
    <w:rsid w:val="00ED3B35"/>
    <w:rsid w:val="00ED4216"/>
    <w:rsid w:val="00EE593E"/>
    <w:rsid w:val="00EF4608"/>
    <w:rsid w:val="00EF6A3E"/>
    <w:rsid w:val="00F058E5"/>
    <w:rsid w:val="00F16A7B"/>
    <w:rsid w:val="00F4404B"/>
    <w:rsid w:val="00F54A25"/>
    <w:rsid w:val="00F72113"/>
    <w:rsid w:val="00F73187"/>
    <w:rsid w:val="00F81E79"/>
    <w:rsid w:val="00F849DF"/>
    <w:rsid w:val="00F94EDD"/>
    <w:rsid w:val="00FA3840"/>
    <w:rsid w:val="00FB2FBC"/>
    <w:rsid w:val="00FD55C2"/>
    <w:rsid w:val="00FD5EEF"/>
    <w:rsid w:val="00FE2B47"/>
    <w:rsid w:val="00FE4559"/>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71489"/>
    <w:pPr>
      <w:spacing w:line="240" w:lineRule="atLeast"/>
    </w:pPr>
    <w:rPr>
      <w:rFonts w:ascii="Garamond" w:hAnsi="Garamond"/>
      <w:sz w:val="24"/>
    </w:rPr>
  </w:style>
  <w:style w:type="paragraph" w:styleId="Heading1">
    <w:name w:val="heading 1"/>
    <w:aliases w:val="H1-Chap. Head,H1-Sec.Head"/>
    <w:basedOn w:val="Normal"/>
    <w:link w:val="Heading1Char"/>
    <w:qFormat/>
    <w:rsid w:val="0027148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27148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271489"/>
    <w:pPr>
      <w:spacing w:after="360"/>
      <w:ind w:left="1152" w:hanging="1152"/>
      <w:jc w:val="left"/>
      <w:outlineLvl w:val="2"/>
    </w:pPr>
    <w:rPr>
      <w:sz w:val="28"/>
    </w:rPr>
  </w:style>
  <w:style w:type="paragraph" w:styleId="Heading4">
    <w:name w:val="heading 4"/>
    <w:aliases w:val="H4-Sec. Head,H4 Sec.Heading"/>
    <w:basedOn w:val="Heading1"/>
    <w:next w:val="L1-FlLSp12"/>
    <w:link w:val="Heading4Char"/>
    <w:qFormat/>
    <w:rsid w:val="0027148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27148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271489"/>
    <w:pPr>
      <w:keepNext/>
      <w:spacing w:before="240"/>
      <w:jc w:val="center"/>
      <w:outlineLvl w:val="5"/>
    </w:pPr>
    <w:rPr>
      <w:b/>
      <w:caps/>
    </w:rPr>
  </w:style>
  <w:style w:type="paragraph" w:styleId="Heading7">
    <w:name w:val="heading 7"/>
    <w:basedOn w:val="Normal"/>
    <w:next w:val="Normal"/>
    <w:link w:val="Heading7Char"/>
    <w:qFormat/>
    <w:rsid w:val="00271489"/>
    <w:pPr>
      <w:spacing w:before="240" w:after="60"/>
      <w:outlineLvl w:val="6"/>
    </w:pPr>
  </w:style>
  <w:style w:type="paragraph" w:styleId="Heading8">
    <w:name w:val="heading 8"/>
    <w:basedOn w:val="Normal"/>
    <w:next w:val="Normal"/>
    <w:link w:val="Heading8Char"/>
    <w:uiPriority w:val="99"/>
    <w:qFormat/>
    <w:rsid w:val="00271489"/>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271489"/>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271489"/>
    <w:rPr>
      <w:rFonts w:ascii="Franklin Gothic Medium" w:hAnsi="Franklin Gothic Medium"/>
      <w:b/>
      <w:color w:val="324162"/>
      <w:sz w:val="40"/>
    </w:rPr>
  </w:style>
  <w:style w:type="paragraph" w:customStyle="1" w:styleId="L1-FlLSp12">
    <w:name w:val="L1-FlL Sp&amp;1/2"/>
    <w:basedOn w:val="Normal"/>
    <w:link w:val="L1-FlLSp12Char"/>
    <w:rsid w:val="00271489"/>
    <w:pPr>
      <w:tabs>
        <w:tab w:val="left" w:pos="1152"/>
      </w:tabs>
      <w:spacing w:line="360" w:lineRule="atLeast"/>
    </w:pPr>
  </w:style>
  <w:style w:type="character" w:customStyle="1" w:styleId="L1-FlLSp12Char">
    <w:name w:val="L1-FlL Sp&amp;1/2 Char"/>
    <w:basedOn w:val="DefaultParagraphFont"/>
    <w:link w:val="L1-FlLSp12"/>
    <w:locked/>
    <w:rsid w:val="00271489"/>
    <w:rPr>
      <w:rFonts w:ascii="Garamond" w:hAnsi="Garamond"/>
      <w:sz w:val="24"/>
    </w:rPr>
  </w:style>
  <w:style w:type="character" w:customStyle="1" w:styleId="Heading2Char">
    <w:name w:val="Heading 2 Char"/>
    <w:aliases w:val="H2-Sec. Head Char"/>
    <w:link w:val="Heading2"/>
    <w:rsid w:val="00271489"/>
    <w:rPr>
      <w:rFonts w:ascii="Franklin Gothic Medium" w:hAnsi="Franklin Gothic Medium"/>
      <w:b/>
      <w:color w:val="324162"/>
      <w:sz w:val="32"/>
    </w:rPr>
  </w:style>
  <w:style w:type="character" w:customStyle="1" w:styleId="Heading3Char">
    <w:name w:val="Heading 3 Char"/>
    <w:aliases w:val="H3-Sec. Head Char"/>
    <w:link w:val="Heading3"/>
    <w:rsid w:val="00271489"/>
    <w:rPr>
      <w:rFonts w:ascii="Franklin Gothic Medium" w:hAnsi="Franklin Gothic Medium"/>
      <w:b/>
      <w:color w:val="324162"/>
      <w:sz w:val="28"/>
    </w:rPr>
  </w:style>
  <w:style w:type="character" w:customStyle="1" w:styleId="Heading4Char">
    <w:name w:val="Heading 4 Char"/>
    <w:aliases w:val="H4-Sec. Head Char,H4 Sec.Heading Char"/>
    <w:link w:val="Heading4"/>
    <w:rsid w:val="00271489"/>
    <w:rPr>
      <w:rFonts w:ascii="Franklin Gothic Medium" w:hAnsi="Franklin Gothic Medium"/>
      <w:b/>
      <w:sz w:val="24"/>
    </w:rPr>
  </w:style>
  <w:style w:type="character" w:customStyle="1" w:styleId="Heading5Char">
    <w:name w:val="Heading 5 Char"/>
    <w:aliases w:val="H5-Sec. Head Char"/>
    <w:link w:val="Heading5"/>
    <w:rsid w:val="00271489"/>
    <w:rPr>
      <w:rFonts w:ascii="Franklin Gothic Medium" w:hAnsi="Franklin Gothic Medium"/>
      <w:b/>
      <w:i/>
      <w:sz w:val="24"/>
    </w:rPr>
  </w:style>
  <w:style w:type="character" w:customStyle="1" w:styleId="Heading6Char">
    <w:name w:val="Heading 6 Char"/>
    <w:link w:val="Heading6"/>
    <w:rsid w:val="00271489"/>
    <w:rPr>
      <w:rFonts w:ascii="Garamond" w:hAnsi="Garamond"/>
      <w:b/>
      <w:caps/>
      <w:sz w:val="24"/>
    </w:rPr>
  </w:style>
  <w:style w:type="character" w:customStyle="1" w:styleId="Heading7Char">
    <w:name w:val="Heading 7 Char"/>
    <w:link w:val="Heading7"/>
    <w:rsid w:val="00271489"/>
    <w:rPr>
      <w:rFonts w:ascii="Garamond" w:hAnsi="Garamond"/>
      <w:sz w:val="24"/>
    </w:rPr>
  </w:style>
  <w:style w:type="character" w:customStyle="1" w:styleId="Heading8Char">
    <w:name w:val="Heading 8 Char"/>
    <w:basedOn w:val="DefaultParagraphFont"/>
    <w:link w:val="Heading8"/>
    <w:uiPriority w:val="99"/>
    <w:rsid w:val="00271489"/>
    <w:rPr>
      <w:i/>
      <w:iCs/>
      <w:sz w:val="24"/>
      <w:szCs w:val="24"/>
    </w:rPr>
  </w:style>
  <w:style w:type="character" w:customStyle="1" w:styleId="Heading9Char">
    <w:name w:val="Heading 9 Char"/>
    <w:basedOn w:val="DefaultParagraphFont"/>
    <w:link w:val="Heading9"/>
    <w:uiPriority w:val="99"/>
    <w:rsid w:val="00271489"/>
    <w:rPr>
      <w:rFonts w:ascii="Arial" w:hAnsi="Arial"/>
      <w:sz w:val="24"/>
      <w:szCs w:val="24"/>
    </w:rPr>
  </w:style>
  <w:style w:type="paragraph" w:customStyle="1" w:styleId="C1-CtrBoldHd">
    <w:name w:val="C1-Ctr BoldHd"/>
    <w:rsid w:val="0027148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71489"/>
    <w:pPr>
      <w:keepLines/>
      <w:jc w:val="center"/>
    </w:pPr>
  </w:style>
  <w:style w:type="paragraph" w:customStyle="1" w:styleId="C3-CtrSp12">
    <w:name w:val="C3-Ctr Sp&amp;1/2"/>
    <w:basedOn w:val="Normal"/>
    <w:rsid w:val="00271489"/>
    <w:pPr>
      <w:keepLines/>
      <w:spacing w:line="360" w:lineRule="atLeast"/>
      <w:jc w:val="center"/>
    </w:pPr>
  </w:style>
  <w:style w:type="paragraph" w:customStyle="1" w:styleId="E1-Equation">
    <w:name w:val="E1-Equation"/>
    <w:basedOn w:val="Normal"/>
    <w:rsid w:val="00271489"/>
    <w:pPr>
      <w:tabs>
        <w:tab w:val="center" w:pos="4680"/>
        <w:tab w:val="right" w:pos="9360"/>
      </w:tabs>
    </w:pPr>
  </w:style>
  <w:style w:type="paragraph" w:customStyle="1" w:styleId="E2-Equation">
    <w:name w:val="E2-Equation"/>
    <w:basedOn w:val="Normal"/>
    <w:rsid w:val="00271489"/>
    <w:pPr>
      <w:tabs>
        <w:tab w:val="right" w:pos="1152"/>
        <w:tab w:val="center" w:pos="1440"/>
        <w:tab w:val="left" w:pos="1728"/>
      </w:tabs>
      <w:ind w:left="1728" w:hanging="1728"/>
    </w:pPr>
  </w:style>
  <w:style w:type="paragraph" w:styleId="Footer">
    <w:name w:val="footer"/>
    <w:basedOn w:val="Normal"/>
    <w:link w:val="FooterChar"/>
    <w:uiPriority w:val="99"/>
    <w:rsid w:val="00271489"/>
  </w:style>
  <w:style w:type="character" w:customStyle="1" w:styleId="FooterChar">
    <w:name w:val="Footer Char"/>
    <w:link w:val="Footer"/>
    <w:uiPriority w:val="99"/>
    <w:rsid w:val="00271489"/>
    <w:rPr>
      <w:rFonts w:ascii="Garamond" w:hAnsi="Garamond"/>
      <w:sz w:val="24"/>
    </w:rPr>
  </w:style>
  <w:style w:type="paragraph" w:styleId="FootnoteText">
    <w:name w:val="footnote text"/>
    <w:aliases w:val="F1,Footnote Text Char Char,Footnote Text2,F"/>
    <w:link w:val="FootnoteTextChar"/>
    <w:qFormat/>
    <w:rsid w:val="00271489"/>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link w:val="FootnoteText"/>
    <w:rsid w:val="00271489"/>
    <w:rPr>
      <w:rFonts w:ascii="Garamond" w:hAnsi="Garamond"/>
    </w:rPr>
  </w:style>
  <w:style w:type="paragraph" w:styleId="Header">
    <w:name w:val="header"/>
    <w:basedOn w:val="Normal"/>
    <w:link w:val="HeaderChar"/>
    <w:uiPriority w:val="99"/>
    <w:rsid w:val="00271489"/>
    <w:rPr>
      <w:sz w:val="20"/>
    </w:rPr>
  </w:style>
  <w:style w:type="character" w:customStyle="1" w:styleId="HeaderChar">
    <w:name w:val="Header Char"/>
    <w:link w:val="Header"/>
    <w:uiPriority w:val="99"/>
    <w:rsid w:val="00271489"/>
    <w:rPr>
      <w:rFonts w:ascii="Garamond" w:hAnsi="Garamond"/>
    </w:rPr>
  </w:style>
  <w:style w:type="paragraph" w:customStyle="1" w:styleId="N0-FlLftBullet">
    <w:name w:val="N0-Fl Lft Bullet"/>
    <w:basedOn w:val="Normal"/>
    <w:rsid w:val="00271489"/>
    <w:pPr>
      <w:tabs>
        <w:tab w:val="left" w:pos="576"/>
      </w:tabs>
      <w:spacing w:after="240"/>
      <w:ind w:left="576" w:hanging="576"/>
    </w:pPr>
  </w:style>
  <w:style w:type="paragraph" w:customStyle="1" w:styleId="N1-1stBullet">
    <w:name w:val="N1-1st Bullet"/>
    <w:basedOn w:val="Normal"/>
    <w:link w:val="N1-1stBulletChar"/>
    <w:rsid w:val="00271489"/>
    <w:pPr>
      <w:numPr>
        <w:numId w:val="2"/>
      </w:numPr>
      <w:spacing w:after="240"/>
    </w:pPr>
  </w:style>
  <w:style w:type="character" w:customStyle="1" w:styleId="N1-1stBulletChar">
    <w:name w:val="N1-1st Bullet Char"/>
    <w:basedOn w:val="DefaultParagraphFont"/>
    <w:link w:val="N1-1stBullet"/>
    <w:locked/>
    <w:rsid w:val="00271489"/>
    <w:rPr>
      <w:rFonts w:ascii="Garamond" w:hAnsi="Garamond"/>
      <w:sz w:val="24"/>
    </w:rPr>
  </w:style>
  <w:style w:type="paragraph" w:customStyle="1" w:styleId="N2-2ndBullet">
    <w:name w:val="N2-2nd Bullet"/>
    <w:basedOn w:val="Normal"/>
    <w:rsid w:val="00271489"/>
    <w:pPr>
      <w:numPr>
        <w:numId w:val="1"/>
      </w:numPr>
      <w:spacing w:after="240"/>
    </w:pPr>
  </w:style>
  <w:style w:type="paragraph" w:customStyle="1" w:styleId="N3-3rdBullet">
    <w:name w:val="N3-3rd Bullet"/>
    <w:basedOn w:val="Normal"/>
    <w:rsid w:val="00271489"/>
    <w:pPr>
      <w:numPr>
        <w:numId w:val="4"/>
      </w:numPr>
      <w:spacing w:after="240"/>
    </w:pPr>
  </w:style>
  <w:style w:type="paragraph" w:customStyle="1" w:styleId="N4-4thBullet">
    <w:name w:val="N4-4th Bullet"/>
    <w:basedOn w:val="Normal"/>
    <w:rsid w:val="00271489"/>
    <w:pPr>
      <w:numPr>
        <w:numId w:val="3"/>
      </w:numPr>
      <w:spacing w:after="240"/>
    </w:pPr>
  </w:style>
  <w:style w:type="paragraph" w:customStyle="1" w:styleId="N5-5thBullet">
    <w:name w:val="N5-5th Bullet"/>
    <w:basedOn w:val="Normal"/>
    <w:rsid w:val="00271489"/>
    <w:pPr>
      <w:tabs>
        <w:tab w:val="left" w:pos="3456"/>
      </w:tabs>
      <w:spacing w:after="240"/>
      <w:ind w:left="3456" w:hanging="576"/>
    </w:pPr>
  </w:style>
  <w:style w:type="paragraph" w:customStyle="1" w:styleId="N6-DateInd">
    <w:name w:val="N6-Date Ind."/>
    <w:basedOn w:val="Normal"/>
    <w:rsid w:val="00271489"/>
    <w:pPr>
      <w:tabs>
        <w:tab w:val="left" w:pos="4910"/>
      </w:tabs>
      <w:ind w:left="4910"/>
    </w:pPr>
  </w:style>
  <w:style w:type="paragraph" w:customStyle="1" w:styleId="N7-3Block">
    <w:name w:val="N7-3&quot; Block"/>
    <w:basedOn w:val="Normal"/>
    <w:rsid w:val="00271489"/>
    <w:pPr>
      <w:tabs>
        <w:tab w:val="left" w:pos="1152"/>
      </w:tabs>
      <w:ind w:left="1152" w:right="1152"/>
    </w:pPr>
  </w:style>
  <w:style w:type="paragraph" w:customStyle="1" w:styleId="N8-QxQBlock">
    <w:name w:val="N8-QxQ Block"/>
    <w:basedOn w:val="Normal"/>
    <w:rsid w:val="00271489"/>
    <w:pPr>
      <w:tabs>
        <w:tab w:val="left" w:pos="1152"/>
      </w:tabs>
      <w:spacing w:after="360" w:line="360" w:lineRule="atLeast"/>
      <w:ind w:left="1152" w:hanging="1152"/>
    </w:pPr>
  </w:style>
  <w:style w:type="paragraph" w:customStyle="1" w:styleId="P1-StandPara">
    <w:name w:val="P1-Stand Para"/>
    <w:basedOn w:val="Normal"/>
    <w:link w:val="P1-StandParaChar"/>
    <w:rsid w:val="00271489"/>
    <w:pPr>
      <w:spacing w:line="360" w:lineRule="atLeast"/>
      <w:ind w:firstLine="1152"/>
    </w:pPr>
  </w:style>
  <w:style w:type="character" w:customStyle="1" w:styleId="P1-StandParaChar">
    <w:name w:val="P1-Stand Para Char"/>
    <w:basedOn w:val="DefaultParagraphFont"/>
    <w:link w:val="P1-StandPara"/>
    <w:rsid w:val="00271489"/>
    <w:rPr>
      <w:rFonts w:ascii="Garamond" w:hAnsi="Garamond"/>
      <w:sz w:val="24"/>
    </w:rPr>
  </w:style>
  <w:style w:type="paragraph" w:customStyle="1" w:styleId="Q1-BestFinQ">
    <w:name w:val="Q1-Best/Fin Q"/>
    <w:rsid w:val="00271489"/>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271489"/>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271489"/>
  </w:style>
  <w:style w:type="paragraph" w:customStyle="1" w:styleId="SP-SglSpPara">
    <w:name w:val="SP-Sgl Sp Para"/>
    <w:basedOn w:val="Normal"/>
    <w:rsid w:val="00271489"/>
    <w:pPr>
      <w:tabs>
        <w:tab w:val="left" w:pos="576"/>
      </w:tabs>
      <w:ind w:firstLine="576"/>
    </w:pPr>
  </w:style>
  <w:style w:type="paragraph" w:customStyle="1" w:styleId="T0-ChapPgHd">
    <w:name w:val="T0-Chap/Pg Hd"/>
    <w:basedOn w:val="Normal"/>
    <w:rsid w:val="00271489"/>
    <w:pPr>
      <w:tabs>
        <w:tab w:val="left" w:pos="8640"/>
      </w:tabs>
    </w:pPr>
    <w:rPr>
      <w:rFonts w:ascii="Franklin Gothic Medium" w:hAnsi="Franklin Gothic Medium"/>
      <w:u w:val="words"/>
    </w:rPr>
  </w:style>
  <w:style w:type="paragraph" w:styleId="TOC1">
    <w:name w:val="toc 1"/>
    <w:basedOn w:val="Normal"/>
    <w:uiPriority w:val="39"/>
    <w:rsid w:val="00271489"/>
    <w:pPr>
      <w:tabs>
        <w:tab w:val="left" w:pos="1440"/>
        <w:tab w:val="right" w:leader="dot" w:pos="8208"/>
        <w:tab w:val="left" w:pos="8640"/>
      </w:tabs>
      <w:ind w:left="1440" w:right="1800" w:hanging="1152"/>
    </w:pPr>
  </w:style>
  <w:style w:type="paragraph" w:styleId="TOC2">
    <w:name w:val="toc 2"/>
    <w:basedOn w:val="Normal"/>
    <w:uiPriority w:val="39"/>
    <w:rsid w:val="00271489"/>
    <w:pPr>
      <w:tabs>
        <w:tab w:val="left" w:pos="2160"/>
        <w:tab w:val="right" w:leader="dot" w:pos="8208"/>
        <w:tab w:val="left" w:pos="8640"/>
      </w:tabs>
      <w:ind w:left="2160" w:right="1800" w:hanging="720"/>
    </w:pPr>
    <w:rPr>
      <w:szCs w:val="22"/>
    </w:rPr>
  </w:style>
  <w:style w:type="paragraph" w:styleId="TOC3">
    <w:name w:val="toc 3"/>
    <w:basedOn w:val="Normal"/>
    <w:uiPriority w:val="39"/>
    <w:rsid w:val="00271489"/>
    <w:pPr>
      <w:tabs>
        <w:tab w:val="left" w:pos="3024"/>
        <w:tab w:val="right" w:leader="dot" w:pos="8208"/>
        <w:tab w:val="left" w:pos="8640"/>
      </w:tabs>
      <w:ind w:left="3024" w:right="1800" w:hanging="864"/>
    </w:pPr>
  </w:style>
  <w:style w:type="paragraph" w:styleId="TOC4">
    <w:name w:val="toc 4"/>
    <w:basedOn w:val="Normal"/>
    <w:rsid w:val="00271489"/>
    <w:pPr>
      <w:tabs>
        <w:tab w:val="left" w:pos="3888"/>
        <w:tab w:val="right" w:leader="dot" w:pos="8208"/>
        <w:tab w:val="left" w:pos="8640"/>
      </w:tabs>
      <w:ind w:left="3888" w:right="1800" w:hanging="864"/>
    </w:pPr>
  </w:style>
  <w:style w:type="paragraph" w:styleId="TOC5">
    <w:name w:val="toc 5"/>
    <w:basedOn w:val="Normal"/>
    <w:uiPriority w:val="39"/>
    <w:rsid w:val="00271489"/>
    <w:pPr>
      <w:tabs>
        <w:tab w:val="left" w:pos="1440"/>
        <w:tab w:val="right" w:leader="dot" w:pos="8208"/>
        <w:tab w:val="left" w:pos="8640"/>
      </w:tabs>
      <w:ind w:left="1440" w:right="1800" w:hanging="1152"/>
    </w:pPr>
  </w:style>
  <w:style w:type="paragraph" w:customStyle="1" w:styleId="TT-TableTitle">
    <w:name w:val="TT-Table Title"/>
    <w:rsid w:val="00271489"/>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271489"/>
    <w:pPr>
      <w:tabs>
        <w:tab w:val="left" w:pos="2232"/>
      </w:tabs>
      <w:spacing w:line="240" w:lineRule="exact"/>
    </w:pPr>
  </w:style>
  <w:style w:type="paragraph" w:customStyle="1" w:styleId="R1-ResPara">
    <w:name w:val="R1-Res. Para"/>
    <w:rsid w:val="00271489"/>
    <w:pPr>
      <w:spacing w:line="240" w:lineRule="atLeast"/>
      <w:ind w:left="288"/>
    </w:pPr>
    <w:rPr>
      <w:rFonts w:ascii="Garamond" w:hAnsi="Garamond"/>
      <w:sz w:val="24"/>
    </w:rPr>
  </w:style>
  <w:style w:type="paragraph" w:customStyle="1" w:styleId="R2-ResBullet">
    <w:name w:val="R2-Res Bullet"/>
    <w:basedOn w:val="Normal"/>
    <w:rsid w:val="00271489"/>
    <w:pPr>
      <w:tabs>
        <w:tab w:val="left" w:pos="720"/>
      </w:tabs>
      <w:ind w:left="720" w:hanging="432"/>
    </w:pPr>
  </w:style>
  <w:style w:type="paragraph" w:customStyle="1" w:styleId="RF-Reference">
    <w:name w:val="RF-Reference"/>
    <w:basedOn w:val="Normal"/>
    <w:rsid w:val="00271489"/>
    <w:pPr>
      <w:spacing w:line="240" w:lineRule="exact"/>
      <w:ind w:left="216" w:hanging="216"/>
    </w:pPr>
  </w:style>
  <w:style w:type="paragraph" w:customStyle="1" w:styleId="RH-SglSpHead">
    <w:name w:val="RH-Sgl Sp Head"/>
    <w:next w:val="RL-FlLftSgl"/>
    <w:rsid w:val="00271489"/>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271489"/>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271489"/>
    <w:pPr>
      <w:keepNext/>
      <w:spacing w:line="240" w:lineRule="exact"/>
    </w:pPr>
    <w:rPr>
      <w:u w:val="single"/>
    </w:rPr>
  </w:style>
  <w:style w:type="paragraph" w:customStyle="1" w:styleId="Header-1">
    <w:name w:val="Header-1"/>
    <w:rsid w:val="00271489"/>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271489"/>
    <w:pPr>
      <w:numPr>
        <w:numId w:val="5"/>
      </w:numPr>
      <w:ind w:left="288" w:hanging="288"/>
    </w:pPr>
  </w:style>
  <w:style w:type="paragraph" w:customStyle="1" w:styleId="TX-TableText">
    <w:name w:val="TX-Table Text"/>
    <w:basedOn w:val="Normal"/>
    <w:rsid w:val="00271489"/>
    <w:rPr>
      <w:rFonts w:ascii="Franklin Gothic Medium" w:hAnsi="Franklin Gothic Medium"/>
      <w:sz w:val="20"/>
    </w:rPr>
  </w:style>
  <w:style w:type="character" w:styleId="PageNumber">
    <w:name w:val="page number"/>
    <w:basedOn w:val="DefaultParagraphFont"/>
    <w:rsid w:val="00271489"/>
  </w:style>
  <w:style w:type="paragraph" w:customStyle="1" w:styleId="R0-FLLftSglBoldItalic">
    <w:name w:val="R0-FL Lft Sgl Bold Italic"/>
    <w:rsid w:val="00271489"/>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7148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71489"/>
    <w:rPr>
      <w:rFonts w:ascii="Franklin Gothic Medium" w:hAnsi="Franklin Gothic Medium"/>
      <w:sz w:val="16"/>
    </w:rPr>
  </w:style>
  <w:style w:type="paragraph" w:customStyle="1" w:styleId="TH-TableHeading">
    <w:name w:val="TH-Table Heading"/>
    <w:qFormat/>
    <w:rsid w:val="00271489"/>
    <w:pPr>
      <w:keepNext/>
      <w:spacing w:line="240" w:lineRule="atLeast"/>
      <w:jc w:val="center"/>
    </w:pPr>
    <w:rPr>
      <w:rFonts w:ascii="Franklin Gothic Medium" w:hAnsi="Franklin Gothic Medium"/>
      <w:b/>
    </w:rPr>
  </w:style>
  <w:style w:type="paragraph" w:styleId="TOC6">
    <w:name w:val="toc 6"/>
    <w:rsid w:val="00271489"/>
    <w:pPr>
      <w:tabs>
        <w:tab w:val="right" w:leader="dot" w:pos="8208"/>
        <w:tab w:val="left" w:pos="8640"/>
      </w:tabs>
      <w:ind w:left="288"/>
    </w:pPr>
    <w:rPr>
      <w:rFonts w:ascii="Garamond" w:hAnsi="Garamond"/>
      <w:sz w:val="24"/>
      <w:szCs w:val="22"/>
    </w:rPr>
  </w:style>
  <w:style w:type="paragraph" w:styleId="TOC7">
    <w:name w:val="toc 7"/>
    <w:rsid w:val="00271489"/>
    <w:pPr>
      <w:tabs>
        <w:tab w:val="right" w:leader="dot" w:pos="8208"/>
        <w:tab w:val="left" w:pos="8640"/>
      </w:tabs>
      <w:ind w:left="1440"/>
    </w:pPr>
    <w:rPr>
      <w:rFonts w:ascii="Garamond" w:hAnsi="Garamond"/>
      <w:sz w:val="24"/>
      <w:szCs w:val="22"/>
    </w:rPr>
  </w:style>
  <w:style w:type="paragraph" w:styleId="TOC8">
    <w:name w:val="toc 8"/>
    <w:rsid w:val="00271489"/>
    <w:pPr>
      <w:tabs>
        <w:tab w:val="right" w:leader="dot" w:pos="8208"/>
        <w:tab w:val="left" w:pos="8640"/>
      </w:tabs>
      <w:ind w:left="2160"/>
    </w:pPr>
    <w:rPr>
      <w:rFonts w:ascii="Garamond" w:hAnsi="Garamond"/>
      <w:sz w:val="24"/>
      <w:szCs w:val="22"/>
    </w:rPr>
  </w:style>
  <w:style w:type="paragraph" w:styleId="TOC9">
    <w:name w:val="toc 9"/>
    <w:rsid w:val="00271489"/>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271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489"/>
    <w:rPr>
      <w:rFonts w:ascii="Tahoma" w:hAnsi="Tahoma" w:cs="Tahoma"/>
      <w:sz w:val="16"/>
      <w:szCs w:val="16"/>
    </w:rPr>
  </w:style>
  <w:style w:type="character" w:styleId="FootnoteReference">
    <w:name w:val="footnote reference"/>
    <w:basedOn w:val="DefaultParagraphFont"/>
    <w:uiPriority w:val="99"/>
    <w:unhideWhenUsed/>
    <w:rsid w:val="00271489"/>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uiPriority w:val="99"/>
    <w:rsid w:val="007C2CD6"/>
    <w:rPr>
      <w:rFonts w:ascii="Franklin Gothic Medium" w:hAnsi="Franklin Gothic Medium"/>
      <w:b/>
      <w:color w:val="003C79"/>
      <w:szCs w:val="24"/>
    </w:rPr>
  </w:style>
  <w:style w:type="paragraph" w:customStyle="1" w:styleId="ReportCover-Date">
    <w:name w:val="ReportCover-Date"/>
    <w:basedOn w:val="Normal"/>
    <w:uiPriority w:val="99"/>
    <w:rsid w:val="007C2CD6"/>
    <w:rPr>
      <w:rFonts w:ascii="Franklin Gothic Medium" w:hAnsi="Franklin Gothic Medium"/>
      <w:b/>
      <w:color w:val="003C79"/>
      <w:sz w:val="28"/>
    </w:rPr>
  </w:style>
  <w:style w:type="paragraph" w:customStyle="1" w:styleId="ReportCover-Prepared">
    <w:name w:val="ReportCover-Prepared"/>
    <w:basedOn w:val="Normal"/>
    <w:uiPriority w:val="99"/>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7C2CD6"/>
    <w:pPr>
      <w:spacing w:line="480" w:lineRule="exact"/>
    </w:pPr>
    <w:rPr>
      <w:rFonts w:ascii="Franklin Gothic Medium" w:hAnsi="Franklin Gothic Medium"/>
      <w:b/>
      <w:color w:val="003C79"/>
      <w:sz w:val="44"/>
      <w:szCs w:val="40"/>
    </w:rPr>
  </w:style>
  <w:style w:type="paragraph" w:customStyle="1" w:styleId="Heading0">
    <w:name w:val="Heading 0"/>
    <w:aliases w:val="H0-Chap Head"/>
    <w:basedOn w:val="Heading1"/>
    <w:rsid w:val="00271489"/>
    <w:pPr>
      <w:tabs>
        <w:tab w:val="clear" w:pos="1152"/>
      </w:tabs>
    </w:pPr>
    <w:rPr>
      <w:szCs w:val="32"/>
    </w:rPr>
  </w:style>
  <w:style w:type="paragraph" w:styleId="ListParagraph">
    <w:name w:val="List Paragraph"/>
    <w:basedOn w:val="Normal"/>
    <w:uiPriority w:val="34"/>
    <w:qFormat/>
    <w:rsid w:val="00271489"/>
  </w:style>
  <w:style w:type="paragraph" w:styleId="BodyTextIndent3">
    <w:name w:val="Body Text Indent 3"/>
    <w:basedOn w:val="Normal"/>
    <w:link w:val="BodyTextIndent3Char"/>
    <w:uiPriority w:val="99"/>
    <w:rsid w:val="00271489"/>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271489"/>
    <w:rPr>
      <w:rFonts w:ascii="Calibri" w:hAnsi="Calibri"/>
      <w:sz w:val="16"/>
      <w:szCs w:val="16"/>
    </w:rPr>
  </w:style>
  <w:style w:type="table" w:styleId="TableGrid">
    <w:name w:val="Table Grid"/>
    <w:basedOn w:val="TableNormal"/>
    <w:uiPriority w:val="59"/>
    <w:rsid w:val="0027148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271489"/>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271489"/>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271489"/>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7148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271489"/>
    <w:rPr>
      <w:rFonts w:cs="Times New Roman"/>
      <w:sz w:val="16"/>
      <w:szCs w:val="16"/>
    </w:rPr>
  </w:style>
  <w:style w:type="paragraph" w:styleId="CommentText">
    <w:name w:val="annotation text"/>
    <w:basedOn w:val="Normal"/>
    <w:link w:val="CommentTextChar"/>
    <w:uiPriority w:val="99"/>
    <w:rsid w:val="00271489"/>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271489"/>
  </w:style>
  <w:style w:type="paragraph" w:styleId="CommentSubject">
    <w:name w:val="annotation subject"/>
    <w:basedOn w:val="CommentText"/>
    <w:next w:val="CommentText"/>
    <w:link w:val="CommentSubjectChar"/>
    <w:uiPriority w:val="99"/>
    <w:semiHidden/>
    <w:rsid w:val="00271489"/>
    <w:rPr>
      <w:rFonts w:ascii="Garamond" w:hAnsi="Garamond"/>
      <w:b/>
      <w:bCs/>
    </w:rPr>
  </w:style>
  <w:style w:type="character" w:customStyle="1" w:styleId="CommentSubjectChar">
    <w:name w:val="Comment Subject Char"/>
    <w:basedOn w:val="CommentTextChar"/>
    <w:link w:val="CommentSubject"/>
    <w:uiPriority w:val="99"/>
    <w:semiHidden/>
    <w:rsid w:val="00271489"/>
    <w:rPr>
      <w:rFonts w:ascii="Garamond" w:hAnsi="Garamond"/>
      <w:b/>
      <w:bCs/>
    </w:rPr>
  </w:style>
  <w:style w:type="paragraph" w:styleId="BodyTextIndent">
    <w:name w:val="Body Text Indent"/>
    <w:basedOn w:val="Normal"/>
    <w:link w:val="BodyTextIndentChar"/>
    <w:uiPriority w:val="99"/>
    <w:rsid w:val="00271489"/>
    <w:pPr>
      <w:spacing w:after="120"/>
      <w:ind w:left="360"/>
    </w:pPr>
  </w:style>
  <w:style w:type="character" w:customStyle="1" w:styleId="BodyTextIndentChar">
    <w:name w:val="Body Text Indent Char"/>
    <w:basedOn w:val="DefaultParagraphFont"/>
    <w:link w:val="BodyTextIndent"/>
    <w:uiPriority w:val="99"/>
    <w:rsid w:val="00271489"/>
    <w:rPr>
      <w:rFonts w:ascii="Garamond" w:hAnsi="Garamond"/>
      <w:sz w:val="24"/>
    </w:rPr>
  </w:style>
  <w:style w:type="character" w:styleId="Hyperlink">
    <w:name w:val="Hyperlink"/>
    <w:basedOn w:val="DefaultParagraphFont"/>
    <w:uiPriority w:val="99"/>
    <w:rsid w:val="00271489"/>
    <w:rPr>
      <w:rFonts w:cs="Times New Roman"/>
      <w:color w:val="000000"/>
    </w:rPr>
  </w:style>
  <w:style w:type="table" w:customStyle="1" w:styleId="LightShading-Accent11">
    <w:name w:val="Light Shading - Accent 11"/>
    <w:basedOn w:val="TableNormal"/>
    <w:uiPriority w:val="60"/>
    <w:rsid w:val="0027148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271489"/>
    <w:pPr>
      <w:spacing w:after="120"/>
    </w:pPr>
  </w:style>
  <w:style w:type="character" w:customStyle="1" w:styleId="BodyTextChar">
    <w:name w:val="Body Text Char"/>
    <w:basedOn w:val="DefaultParagraphFont"/>
    <w:link w:val="BodyText"/>
    <w:uiPriority w:val="99"/>
    <w:rsid w:val="00271489"/>
    <w:rPr>
      <w:rFonts w:ascii="Garamond" w:hAnsi="Garamond"/>
      <w:sz w:val="24"/>
    </w:rPr>
  </w:style>
  <w:style w:type="paragraph" w:customStyle="1" w:styleId="L1-FlLfSp12">
    <w:name w:val="L1-FlLfSp&amp;1/2"/>
    <w:rsid w:val="00271489"/>
    <w:pPr>
      <w:tabs>
        <w:tab w:val="left" w:pos="1152"/>
      </w:tabs>
      <w:spacing w:line="360" w:lineRule="atLeast"/>
      <w:jc w:val="both"/>
    </w:pPr>
    <w:rPr>
      <w:rFonts w:ascii="Arial" w:hAnsi="Arial"/>
    </w:rPr>
  </w:style>
  <w:style w:type="paragraph" w:customStyle="1" w:styleId="Q1-FirstLevelQuestion">
    <w:name w:val="Q1-First Level Question"/>
    <w:rsid w:val="00271489"/>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271489"/>
    <w:pPr>
      <w:tabs>
        <w:tab w:val="left" w:pos="1440"/>
      </w:tabs>
      <w:spacing w:line="240" w:lineRule="atLeast"/>
      <w:ind w:left="1440" w:hanging="720"/>
      <w:jc w:val="both"/>
    </w:pPr>
    <w:rPr>
      <w:rFonts w:ascii="Arial" w:hAnsi="Arial"/>
    </w:rPr>
  </w:style>
  <w:style w:type="paragraph" w:customStyle="1" w:styleId="A1-1stLeader">
    <w:name w:val="A1-1st Leader"/>
    <w:rsid w:val="00271489"/>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271489"/>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27148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271489"/>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271489"/>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71489"/>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271489"/>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271489"/>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271489"/>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271489"/>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271489"/>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271489"/>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271489"/>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271489"/>
    <w:rPr>
      <w:b/>
      <w:i/>
      <w:vanish/>
      <w:color w:val="000000"/>
    </w:rPr>
  </w:style>
  <w:style w:type="paragraph" w:customStyle="1" w:styleId="AnnotatedParagraph">
    <w:name w:val="AnnotatedParagraph"/>
    <w:basedOn w:val="Normal"/>
    <w:rsid w:val="00271489"/>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271489"/>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271489"/>
    <w:rPr>
      <w:rFonts w:cs="Times New Roman"/>
      <w:b/>
      <w:bCs/>
    </w:rPr>
  </w:style>
  <w:style w:type="paragraph" w:styleId="ListBullet">
    <w:name w:val="List Bullet"/>
    <w:basedOn w:val="Normal"/>
    <w:uiPriority w:val="99"/>
    <w:unhideWhenUsed/>
    <w:rsid w:val="00271489"/>
    <w:pPr>
      <w:numPr>
        <w:numId w:val="6"/>
      </w:numPr>
      <w:spacing w:line="360" w:lineRule="atLeast"/>
      <w:contextualSpacing/>
      <w:jc w:val="both"/>
    </w:pPr>
    <w:rPr>
      <w:rFonts w:ascii="Arial" w:hAnsi="Arial"/>
      <w:sz w:val="20"/>
    </w:rPr>
  </w:style>
  <w:style w:type="paragraph" w:styleId="Revision">
    <w:name w:val="Revision"/>
    <w:hidden/>
    <w:uiPriority w:val="99"/>
    <w:semiHidden/>
    <w:rsid w:val="00271489"/>
    <w:rPr>
      <w:rFonts w:ascii="Arial" w:hAnsi="Arial"/>
    </w:rPr>
  </w:style>
  <w:style w:type="paragraph" w:styleId="NoSpacing">
    <w:name w:val="No Spacing"/>
    <w:link w:val="NoSpacingChar"/>
    <w:uiPriority w:val="1"/>
    <w:qFormat/>
    <w:rsid w:val="00271489"/>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271489"/>
    <w:rPr>
      <w:rFonts w:ascii="Calibri" w:hAnsi="Calibri"/>
      <w:b/>
      <w:sz w:val="24"/>
    </w:rPr>
  </w:style>
  <w:style w:type="paragraph" w:styleId="HTMLPreformatted">
    <w:name w:val="HTML Preformatted"/>
    <w:basedOn w:val="Normal"/>
    <w:link w:val="HTMLPreformattedChar"/>
    <w:uiPriority w:val="99"/>
    <w:unhideWhenUsed/>
    <w:rsid w:val="0027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71489"/>
    <w:rPr>
      <w:rFonts w:ascii="Courier New" w:hAnsi="Courier New" w:cs="Courier New"/>
    </w:rPr>
  </w:style>
  <w:style w:type="paragraph" w:styleId="TableofFigures">
    <w:name w:val="table of figures"/>
    <w:basedOn w:val="Normal"/>
    <w:next w:val="Normal"/>
    <w:uiPriority w:val="99"/>
    <w:rsid w:val="00271489"/>
  </w:style>
  <w:style w:type="paragraph" w:customStyle="1" w:styleId="bodytextblack">
    <w:name w:val="bodytextblack"/>
    <w:basedOn w:val="Normal"/>
    <w:rsid w:val="00271489"/>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271489"/>
  </w:style>
  <w:style w:type="character" w:customStyle="1" w:styleId="NormalChar">
    <w:name w:val="Normal Char"/>
    <w:link w:val="Normal1"/>
    <w:uiPriority w:val="99"/>
    <w:rsid w:val="00271489"/>
    <w:rPr>
      <w:rFonts w:ascii="Garamond" w:hAnsi="Garamond"/>
      <w:sz w:val="24"/>
    </w:rPr>
  </w:style>
  <w:style w:type="paragraph" w:customStyle="1" w:styleId="Default">
    <w:name w:val="Default"/>
    <w:rsid w:val="00271489"/>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271489"/>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271489"/>
    <w:rPr>
      <w:color w:val="800080" w:themeColor="followedHyperlink"/>
      <w:u w:val="single"/>
    </w:rPr>
  </w:style>
  <w:style w:type="paragraph" w:customStyle="1" w:styleId="ExhibitHead">
    <w:name w:val="Exhibit Head"/>
    <w:basedOn w:val="Normal"/>
    <w:uiPriority w:val="99"/>
    <w:rsid w:val="00271489"/>
    <w:pPr>
      <w:spacing w:after="120" w:line="240" w:lineRule="auto"/>
      <w:jc w:val="center"/>
    </w:pPr>
    <w:rPr>
      <w:rFonts w:ascii="Arial" w:hAnsi="Arial"/>
      <w:b/>
      <w:bCs/>
      <w:sz w:val="20"/>
    </w:rPr>
  </w:style>
  <w:style w:type="paragraph" w:customStyle="1" w:styleId="BodyText1">
    <w:name w:val="Body Text1"/>
    <w:link w:val="BodytextChar0"/>
    <w:uiPriority w:val="99"/>
    <w:rsid w:val="00271489"/>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271489"/>
    <w:rPr>
      <w:sz w:val="24"/>
      <w:szCs w:val="24"/>
    </w:rPr>
  </w:style>
  <w:style w:type="paragraph" w:customStyle="1" w:styleId="TableText">
    <w:name w:val="Table Text"/>
    <w:basedOn w:val="Normal"/>
    <w:uiPriority w:val="99"/>
    <w:rsid w:val="00271489"/>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271489"/>
    <w:pPr>
      <w:jc w:val="center"/>
    </w:pPr>
    <w:rPr>
      <w:b/>
      <w:bCs/>
    </w:rPr>
  </w:style>
  <w:style w:type="paragraph" w:customStyle="1" w:styleId="AbtHeadC">
    <w:name w:val="AbtHead C"/>
    <w:basedOn w:val="Normal"/>
    <w:next w:val="BodyText"/>
    <w:link w:val="AbtHeadCChar"/>
    <w:uiPriority w:val="99"/>
    <w:rsid w:val="00271489"/>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271489"/>
    <w:rPr>
      <w:rFonts w:ascii="Arial" w:hAnsi="Arial"/>
      <w:b/>
    </w:rPr>
  </w:style>
  <w:style w:type="character" w:customStyle="1" w:styleId="CommentTextChar2">
    <w:name w:val="Comment Text Char2"/>
    <w:uiPriority w:val="99"/>
    <w:locked/>
    <w:rsid w:val="00271489"/>
    <w:rPr>
      <w:rFonts w:cs="Times New Roman"/>
    </w:rPr>
  </w:style>
  <w:style w:type="paragraph" w:customStyle="1" w:styleId="ExhibitColumnHeads">
    <w:name w:val="Exhibit Column Heads"/>
    <w:basedOn w:val="BodyText"/>
    <w:uiPriority w:val="99"/>
    <w:rsid w:val="00271489"/>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271489"/>
    <w:pPr>
      <w:spacing w:line="240" w:lineRule="auto"/>
    </w:pPr>
    <w:rPr>
      <w:rFonts w:ascii="Arial Narrow" w:hAnsi="Arial Narrow"/>
      <w:sz w:val="18"/>
    </w:rPr>
  </w:style>
  <w:style w:type="paragraph" w:customStyle="1" w:styleId="ExhibitTitle">
    <w:name w:val="Exhibit Title"/>
    <w:basedOn w:val="Default"/>
    <w:next w:val="Default"/>
    <w:uiPriority w:val="99"/>
    <w:rsid w:val="00271489"/>
    <w:rPr>
      <w:color w:val="auto"/>
    </w:rPr>
  </w:style>
  <w:style w:type="paragraph" w:styleId="Caption">
    <w:name w:val="caption"/>
    <w:basedOn w:val="Normal"/>
    <w:next w:val="Normal"/>
    <w:uiPriority w:val="99"/>
    <w:qFormat/>
    <w:rsid w:val="00271489"/>
    <w:rPr>
      <w:b/>
      <w:bCs/>
      <w:sz w:val="20"/>
    </w:rPr>
  </w:style>
  <w:style w:type="paragraph" w:customStyle="1" w:styleId="TOCTitle">
    <w:name w:val="TOC Title"/>
    <w:basedOn w:val="Default"/>
    <w:next w:val="Default"/>
    <w:uiPriority w:val="99"/>
    <w:rsid w:val="00271489"/>
    <w:rPr>
      <w:color w:val="auto"/>
    </w:rPr>
  </w:style>
  <w:style w:type="paragraph" w:customStyle="1" w:styleId="BodyTextItalics">
    <w:name w:val="Body Text Italics"/>
    <w:basedOn w:val="Default"/>
    <w:next w:val="Default"/>
    <w:uiPriority w:val="99"/>
    <w:rsid w:val="00271489"/>
    <w:rPr>
      <w:color w:val="auto"/>
    </w:rPr>
  </w:style>
  <w:style w:type="paragraph" w:customStyle="1" w:styleId="HeadingUnderline">
    <w:name w:val="Heading Underline"/>
    <w:basedOn w:val="Default"/>
    <w:next w:val="Default"/>
    <w:uiPriority w:val="99"/>
    <w:rsid w:val="00271489"/>
    <w:rPr>
      <w:color w:val="auto"/>
    </w:rPr>
  </w:style>
  <w:style w:type="paragraph" w:customStyle="1" w:styleId="BodyText0">
    <w:name w:val="BodyText"/>
    <w:basedOn w:val="Default"/>
    <w:next w:val="Default"/>
    <w:link w:val="BodyTextCharChar"/>
    <w:uiPriority w:val="99"/>
    <w:rsid w:val="00271489"/>
    <w:rPr>
      <w:color w:val="auto"/>
    </w:rPr>
  </w:style>
  <w:style w:type="character" w:customStyle="1" w:styleId="BodyTextCharChar">
    <w:name w:val="BodyText Char Char"/>
    <w:link w:val="BodyText0"/>
    <w:uiPriority w:val="99"/>
    <w:locked/>
    <w:rsid w:val="00271489"/>
    <w:rPr>
      <w:rFonts w:eastAsia="Calibri"/>
      <w:sz w:val="24"/>
      <w:szCs w:val="24"/>
      <w:lang w:bidi="he-IL"/>
    </w:rPr>
  </w:style>
  <w:style w:type="paragraph" w:customStyle="1" w:styleId="BodyTextIndent1">
    <w:name w:val="Body Text Indent1"/>
    <w:basedOn w:val="Default"/>
    <w:next w:val="Default"/>
    <w:uiPriority w:val="99"/>
    <w:rsid w:val="00271489"/>
    <w:rPr>
      <w:color w:val="auto"/>
    </w:rPr>
  </w:style>
  <w:style w:type="paragraph" w:customStyle="1" w:styleId="Bullet">
    <w:name w:val="Bullet"/>
    <w:basedOn w:val="Default"/>
    <w:next w:val="Default"/>
    <w:link w:val="BulletChar"/>
    <w:uiPriority w:val="99"/>
    <w:rsid w:val="00271489"/>
    <w:rPr>
      <w:color w:val="auto"/>
    </w:rPr>
  </w:style>
  <w:style w:type="character" w:customStyle="1" w:styleId="BulletChar">
    <w:name w:val="Bullet Char"/>
    <w:link w:val="Bullet"/>
    <w:uiPriority w:val="99"/>
    <w:locked/>
    <w:rsid w:val="00271489"/>
    <w:rPr>
      <w:rFonts w:eastAsia="Calibri"/>
      <w:sz w:val="24"/>
      <w:szCs w:val="24"/>
      <w:lang w:bidi="he-IL"/>
    </w:rPr>
  </w:style>
  <w:style w:type="paragraph" w:customStyle="1" w:styleId="ExhibitColumnHeadLeft">
    <w:name w:val="Exhibit Column Head Left"/>
    <w:basedOn w:val="Default"/>
    <w:next w:val="Default"/>
    <w:uiPriority w:val="99"/>
    <w:rsid w:val="00271489"/>
    <w:rPr>
      <w:color w:val="auto"/>
    </w:rPr>
  </w:style>
  <w:style w:type="paragraph" w:customStyle="1" w:styleId="ExhibitColumnHead">
    <w:name w:val="Exhibit Column Head"/>
    <w:basedOn w:val="Default"/>
    <w:next w:val="Default"/>
    <w:uiPriority w:val="99"/>
    <w:rsid w:val="00271489"/>
    <w:rPr>
      <w:color w:val="auto"/>
    </w:rPr>
  </w:style>
  <w:style w:type="paragraph" w:customStyle="1" w:styleId="ExhibitInfo">
    <w:name w:val="Exhibit Info"/>
    <w:basedOn w:val="Default"/>
    <w:next w:val="Default"/>
    <w:uiPriority w:val="99"/>
    <w:rsid w:val="00271489"/>
    <w:rPr>
      <w:color w:val="auto"/>
    </w:rPr>
  </w:style>
  <w:style w:type="paragraph" w:customStyle="1" w:styleId="ExhibitInfoCentered">
    <w:name w:val="Exhibit Info Centered"/>
    <w:basedOn w:val="Default"/>
    <w:next w:val="Default"/>
    <w:uiPriority w:val="99"/>
    <w:rsid w:val="00271489"/>
    <w:rPr>
      <w:color w:val="auto"/>
    </w:rPr>
  </w:style>
  <w:style w:type="paragraph" w:customStyle="1" w:styleId="ContactInfo">
    <w:name w:val="Contact Info"/>
    <w:basedOn w:val="Default"/>
    <w:next w:val="Default"/>
    <w:uiPriority w:val="99"/>
    <w:rsid w:val="00271489"/>
    <w:rPr>
      <w:color w:val="auto"/>
    </w:rPr>
  </w:style>
  <w:style w:type="paragraph" w:customStyle="1" w:styleId="ContactInfoLAST">
    <w:name w:val="Contact Info LAST"/>
    <w:basedOn w:val="Default"/>
    <w:next w:val="Default"/>
    <w:uiPriority w:val="99"/>
    <w:rsid w:val="00271489"/>
    <w:rPr>
      <w:color w:val="auto"/>
    </w:rPr>
  </w:style>
  <w:style w:type="paragraph" w:customStyle="1" w:styleId="ConfPled">
    <w:name w:val="Conf Pled"/>
    <w:basedOn w:val="Default"/>
    <w:next w:val="Default"/>
    <w:uiPriority w:val="99"/>
    <w:rsid w:val="00271489"/>
    <w:rPr>
      <w:rFonts w:ascii="Arial" w:hAnsi="Arial" w:cs="Arial"/>
      <w:color w:val="auto"/>
    </w:rPr>
  </w:style>
  <w:style w:type="paragraph" w:customStyle="1" w:styleId="ConfPledBodyText">
    <w:name w:val="Conf Pled Body Text"/>
    <w:basedOn w:val="Default"/>
    <w:next w:val="Default"/>
    <w:uiPriority w:val="99"/>
    <w:rsid w:val="00271489"/>
    <w:rPr>
      <w:rFonts w:ascii="Arial" w:hAnsi="Arial" w:cs="Arial"/>
      <w:color w:val="auto"/>
    </w:rPr>
  </w:style>
  <w:style w:type="paragraph" w:customStyle="1" w:styleId="bullet0">
    <w:name w:val="bullet"/>
    <w:basedOn w:val="Default"/>
    <w:next w:val="Default"/>
    <w:uiPriority w:val="99"/>
    <w:rsid w:val="00271489"/>
    <w:rPr>
      <w:rFonts w:ascii="Arial" w:hAnsi="Arial" w:cs="Arial"/>
      <w:color w:val="auto"/>
    </w:rPr>
  </w:style>
  <w:style w:type="paragraph" w:customStyle="1" w:styleId="ConfPledIndent">
    <w:name w:val="Conf Pled Indent"/>
    <w:basedOn w:val="Default"/>
    <w:next w:val="Default"/>
    <w:uiPriority w:val="99"/>
    <w:rsid w:val="00271489"/>
    <w:rPr>
      <w:rFonts w:ascii="Arial" w:hAnsi="Arial" w:cs="Arial"/>
      <w:color w:val="auto"/>
    </w:rPr>
  </w:style>
  <w:style w:type="paragraph" w:customStyle="1" w:styleId="Sign">
    <w:name w:val="Sign"/>
    <w:basedOn w:val="Default"/>
    <w:next w:val="Default"/>
    <w:uiPriority w:val="99"/>
    <w:rsid w:val="00271489"/>
    <w:rPr>
      <w:rFonts w:ascii="Arial" w:hAnsi="Arial" w:cs="Arial"/>
      <w:color w:val="auto"/>
    </w:rPr>
  </w:style>
  <w:style w:type="paragraph" w:customStyle="1" w:styleId="TableColumnHeadLeft">
    <w:name w:val="Table Column Head Left"/>
    <w:basedOn w:val="Default"/>
    <w:next w:val="Default"/>
    <w:uiPriority w:val="99"/>
    <w:rsid w:val="00271489"/>
    <w:rPr>
      <w:color w:val="auto"/>
    </w:rPr>
  </w:style>
  <w:style w:type="paragraph" w:customStyle="1" w:styleId="TableColumnHead">
    <w:name w:val="Table Column Head"/>
    <w:basedOn w:val="Default"/>
    <w:next w:val="Default"/>
    <w:uiPriority w:val="99"/>
    <w:rsid w:val="00271489"/>
    <w:rPr>
      <w:color w:val="auto"/>
    </w:rPr>
  </w:style>
  <w:style w:type="paragraph" w:customStyle="1" w:styleId="TableInfo">
    <w:name w:val="Table Info"/>
    <w:basedOn w:val="Default"/>
    <w:next w:val="Default"/>
    <w:uiPriority w:val="99"/>
    <w:rsid w:val="00271489"/>
    <w:rPr>
      <w:color w:val="auto"/>
    </w:rPr>
  </w:style>
  <w:style w:type="paragraph" w:customStyle="1" w:styleId="TableInfoCentered">
    <w:name w:val="Table Info Centered"/>
    <w:basedOn w:val="Default"/>
    <w:next w:val="Default"/>
    <w:uiPriority w:val="99"/>
    <w:rsid w:val="00271489"/>
    <w:rPr>
      <w:color w:val="auto"/>
    </w:rPr>
  </w:style>
  <w:style w:type="paragraph" w:customStyle="1" w:styleId="Footnote">
    <w:name w:val="Footnote"/>
    <w:basedOn w:val="Normal"/>
    <w:link w:val="FootnoteChar"/>
    <w:uiPriority w:val="99"/>
    <w:rsid w:val="00271489"/>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271489"/>
    <w:rPr>
      <w:rFonts w:ascii="Garamond" w:hAnsi="Garamond"/>
      <w:szCs w:val="16"/>
    </w:rPr>
  </w:style>
  <w:style w:type="paragraph" w:customStyle="1" w:styleId="Bulletsingle">
    <w:name w:val="Bullet single"/>
    <w:basedOn w:val="Normal"/>
    <w:link w:val="BulletsingleChar"/>
    <w:uiPriority w:val="99"/>
    <w:rsid w:val="00271489"/>
    <w:pPr>
      <w:numPr>
        <w:numId w:val="8"/>
      </w:numPr>
      <w:spacing w:line="240" w:lineRule="auto"/>
      <w:jc w:val="both"/>
    </w:pPr>
  </w:style>
  <w:style w:type="character" w:customStyle="1" w:styleId="BulletsingleChar">
    <w:name w:val="Bullet single Char"/>
    <w:link w:val="Bulletsingle"/>
    <w:uiPriority w:val="99"/>
    <w:locked/>
    <w:rsid w:val="00271489"/>
    <w:rPr>
      <w:rFonts w:ascii="Garamond" w:hAnsi="Garamond"/>
      <w:sz w:val="24"/>
    </w:rPr>
  </w:style>
  <w:style w:type="paragraph" w:customStyle="1" w:styleId="Heading4NEW">
    <w:name w:val="Heading 4 NEW"/>
    <w:basedOn w:val="Normal"/>
    <w:uiPriority w:val="99"/>
    <w:rsid w:val="00271489"/>
    <w:pPr>
      <w:spacing w:after="240" w:line="240" w:lineRule="auto"/>
    </w:pPr>
    <w:rPr>
      <w:b/>
      <w:bCs/>
      <w:i/>
      <w:iCs/>
    </w:rPr>
  </w:style>
  <w:style w:type="character" w:customStyle="1" w:styleId="EndnoteTextChar">
    <w:name w:val="Endnote Text Char"/>
    <w:link w:val="EndnoteText"/>
    <w:uiPriority w:val="99"/>
    <w:semiHidden/>
    <w:rsid w:val="00271489"/>
  </w:style>
  <w:style w:type="paragraph" w:styleId="EndnoteText">
    <w:name w:val="endnote text"/>
    <w:basedOn w:val="Normal"/>
    <w:link w:val="EndnoteTextChar"/>
    <w:uiPriority w:val="99"/>
    <w:semiHidden/>
    <w:rsid w:val="00271489"/>
    <w:pPr>
      <w:spacing w:line="240" w:lineRule="auto"/>
    </w:pPr>
    <w:rPr>
      <w:rFonts w:ascii="Times New Roman" w:hAnsi="Times New Roman"/>
      <w:sz w:val="20"/>
    </w:rPr>
  </w:style>
  <w:style w:type="character" w:customStyle="1" w:styleId="EndnoteTextChar1">
    <w:name w:val="Endnote Text Char1"/>
    <w:basedOn w:val="DefaultParagraphFont"/>
    <w:uiPriority w:val="99"/>
    <w:rsid w:val="00271489"/>
    <w:rPr>
      <w:rFonts w:ascii="Garamond" w:hAnsi="Garamond"/>
    </w:rPr>
  </w:style>
  <w:style w:type="character" w:customStyle="1" w:styleId="CommentTextChar1">
    <w:name w:val="Comment Text Char1"/>
    <w:uiPriority w:val="99"/>
    <w:semiHidden/>
    <w:rsid w:val="00271489"/>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271489"/>
    <w:rPr>
      <w:rFonts w:cs="Times New Roman"/>
    </w:rPr>
  </w:style>
  <w:style w:type="paragraph" w:customStyle="1" w:styleId="AbtHeadA">
    <w:name w:val="AbtHead A"/>
    <w:basedOn w:val="Normal"/>
    <w:next w:val="BodyText"/>
    <w:uiPriority w:val="99"/>
    <w:rsid w:val="0027148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271489"/>
    <w:pPr>
      <w:spacing w:after="120"/>
      <w:ind w:left="360"/>
    </w:pPr>
    <w:rPr>
      <w:szCs w:val="24"/>
    </w:rPr>
  </w:style>
  <w:style w:type="character" w:customStyle="1" w:styleId="BodyText2Char1">
    <w:name w:val="Body Text 2 Char1"/>
    <w:link w:val="BodyText2"/>
    <w:uiPriority w:val="99"/>
    <w:locked/>
    <w:rsid w:val="00271489"/>
    <w:rPr>
      <w:rFonts w:ascii="Garamond" w:hAnsi="Garamond"/>
      <w:sz w:val="24"/>
      <w:szCs w:val="24"/>
    </w:rPr>
  </w:style>
  <w:style w:type="character" w:customStyle="1" w:styleId="BodyText2Char">
    <w:name w:val="Body Text 2 Char"/>
    <w:basedOn w:val="DefaultParagraphFont"/>
    <w:uiPriority w:val="99"/>
    <w:semiHidden/>
    <w:rsid w:val="00271489"/>
    <w:rPr>
      <w:rFonts w:ascii="Garamond" w:hAnsi="Garamond"/>
      <w:sz w:val="24"/>
    </w:rPr>
  </w:style>
  <w:style w:type="paragraph" w:styleId="Title">
    <w:name w:val="Title"/>
    <w:basedOn w:val="Normal"/>
    <w:next w:val="Normal"/>
    <w:link w:val="TitleChar"/>
    <w:uiPriority w:val="99"/>
    <w:qFormat/>
    <w:rsid w:val="00271489"/>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271489"/>
    <w:rPr>
      <w:rFonts w:ascii="Arial" w:hAnsi="Arial"/>
      <w:b/>
      <w:bCs/>
      <w:kern w:val="28"/>
      <w:sz w:val="32"/>
      <w:szCs w:val="32"/>
    </w:rPr>
  </w:style>
  <w:style w:type="paragraph" w:styleId="Subtitle">
    <w:name w:val="Subtitle"/>
    <w:basedOn w:val="Normal"/>
    <w:next w:val="Normal"/>
    <w:link w:val="SubtitleChar"/>
    <w:uiPriority w:val="99"/>
    <w:qFormat/>
    <w:rsid w:val="00271489"/>
    <w:pPr>
      <w:spacing w:after="60"/>
      <w:jc w:val="center"/>
      <w:outlineLvl w:val="1"/>
    </w:pPr>
    <w:rPr>
      <w:rFonts w:ascii="Arial" w:hAnsi="Arial"/>
      <w:sz w:val="28"/>
      <w:szCs w:val="28"/>
    </w:rPr>
  </w:style>
  <w:style w:type="character" w:customStyle="1" w:styleId="SubtitleChar">
    <w:name w:val="Subtitle Char"/>
    <w:basedOn w:val="DefaultParagraphFont"/>
    <w:link w:val="Subtitle"/>
    <w:uiPriority w:val="99"/>
    <w:rsid w:val="00271489"/>
    <w:rPr>
      <w:rFonts w:ascii="Arial" w:hAnsi="Arial"/>
      <w:sz w:val="28"/>
      <w:szCs w:val="28"/>
    </w:rPr>
  </w:style>
  <w:style w:type="paragraph" w:styleId="TOCHeading">
    <w:name w:val="TOC Heading"/>
    <w:basedOn w:val="Heading1"/>
    <w:next w:val="Normal"/>
    <w:uiPriority w:val="99"/>
    <w:qFormat/>
    <w:rsid w:val="00271489"/>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271489"/>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271489"/>
    <w:rPr>
      <w:rFonts w:cs="Times New Roman"/>
      <w:sz w:val="20"/>
      <w:szCs w:val="20"/>
    </w:rPr>
  </w:style>
  <w:style w:type="paragraph" w:customStyle="1" w:styleId="Table">
    <w:name w:val="Table"/>
    <w:basedOn w:val="Normal"/>
    <w:uiPriority w:val="99"/>
    <w:rsid w:val="00271489"/>
    <w:pPr>
      <w:tabs>
        <w:tab w:val="left" w:pos="720"/>
        <w:tab w:val="left" w:pos="1080"/>
        <w:tab w:val="left" w:pos="1440"/>
        <w:tab w:val="left" w:pos="1800"/>
      </w:tabs>
      <w:spacing w:line="264" w:lineRule="auto"/>
    </w:pPr>
    <w:rPr>
      <w:rFonts w:ascii="Arial" w:hAnsi="Arial"/>
      <w:sz w:val="20"/>
    </w:rPr>
  </w:style>
  <w:style w:type="paragraph" w:customStyle="1" w:styleId="ReportCover-ImageBottom">
    <w:name w:val="ReportCover-ImageBottom"/>
    <w:basedOn w:val="Normal"/>
    <w:uiPriority w:val="99"/>
    <w:rsid w:val="00271489"/>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271489"/>
    <w:pPr>
      <w:spacing w:line="100" w:lineRule="exact"/>
    </w:pPr>
  </w:style>
  <w:style w:type="paragraph" w:customStyle="1" w:styleId="EX-ExhibitTitle">
    <w:name w:val="EX-Exhibit Title"/>
    <w:basedOn w:val="TT-TableTitle"/>
    <w:uiPriority w:val="99"/>
    <w:rsid w:val="00271489"/>
    <w:pPr>
      <w:ind w:left="0" w:firstLine="0"/>
      <w:outlineLvl w:val="0"/>
    </w:pPr>
    <w:rPr>
      <w:szCs w:val="32"/>
    </w:rPr>
  </w:style>
  <w:style w:type="character" w:customStyle="1" w:styleId="Heading5-SF">
    <w:name w:val="Heading5-SF"/>
    <w:rsid w:val="00271489"/>
    <w:rPr>
      <w:rFonts w:ascii="Arial" w:hAnsi="Arial" w:cs="Arial"/>
      <w:b/>
      <w:color w:val="0000AC"/>
    </w:rPr>
  </w:style>
  <w:style w:type="paragraph" w:customStyle="1" w:styleId="Bullets">
    <w:name w:val="Bullets"/>
    <w:basedOn w:val="BodyText"/>
    <w:link w:val="BulletsCharChar"/>
    <w:uiPriority w:val="99"/>
    <w:rsid w:val="00271489"/>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271489"/>
    <w:rPr>
      <w:rFonts w:eastAsia="Calibri"/>
      <w:sz w:val="22"/>
    </w:rPr>
  </w:style>
  <w:style w:type="character" w:customStyle="1" w:styleId="FootnoteTextChar1">
    <w:name w:val="Footnote Text Char1"/>
    <w:aliases w:val="F1 Char1"/>
    <w:basedOn w:val="DefaultParagraphFont"/>
    <w:semiHidden/>
    <w:locked/>
    <w:rsid w:val="00271489"/>
    <w:rPr>
      <w:rFonts w:ascii="Calibri" w:eastAsia="Calibri" w:hAnsi="Calibri"/>
    </w:rPr>
  </w:style>
  <w:style w:type="paragraph" w:customStyle="1" w:styleId="BulletsLast">
    <w:name w:val="BulletsLast"/>
    <w:basedOn w:val="Bullets"/>
    <w:uiPriority w:val="99"/>
    <w:rsid w:val="00271489"/>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271489"/>
  </w:style>
  <w:style w:type="paragraph" w:styleId="DocumentMap">
    <w:name w:val="Document Map"/>
    <w:basedOn w:val="Normal"/>
    <w:link w:val="DocumentMapChar"/>
    <w:uiPriority w:val="99"/>
    <w:semiHidden/>
    <w:unhideWhenUsed/>
    <w:rsid w:val="0027148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71489"/>
    <w:rPr>
      <w:rFonts w:ascii="Tahoma" w:hAnsi="Tahoma" w:cs="Tahoma"/>
      <w:sz w:val="16"/>
      <w:szCs w:val="16"/>
    </w:rPr>
  </w:style>
  <w:style w:type="character" w:styleId="EndnoteReference">
    <w:name w:val="endnote reference"/>
    <w:basedOn w:val="DefaultParagraphFont"/>
    <w:uiPriority w:val="99"/>
    <w:semiHidden/>
    <w:unhideWhenUsed/>
    <w:rsid w:val="00271489"/>
    <w:rPr>
      <w:vertAlign w:val="superscript"/>
    </w:rPr>
  </w:style>
  <w:style w:type="character" w:customStyle="1" w:styleId="t101">
    <w:name w:val="t101"/>
    <w:basedOn w:val="DefaultParagraphFont"/>
    <w:rsid w:val="00271489"/>
    <w:rPr>
      <w:rFonts w:ascii="Times New Roman" w:hAnsi="Times New Roman" w:cs="Times New Roman" w:hint="default"/>
      <w:color w:val="339933"/>
      <w:sz w:val="24"/>
      <w:szCs w:val="24"/>
    </w:rPr>
  </w:style>
  <w:style w:type="paragraph" w:styleId="PlainText">
    <w:name w:val="Plain Text"/>
    <w:basedOn w:val="Normal"/>
    <w:link w:val="PlainTextChar"/>
    <w:rsid w:val="00271489"/>
    <w:pPr>
      <w:spacing w:line="240" w:lineRule="auto"/>
    </w:pPr>
    <w:rPr>
      <w:rFonts w:ascii="Courier New" w:hAnsi="Courier New" w:cs="Courier New"/>
      <w:sz w:val="20"/>
    </w:rPr>
  </w:style>
  <w:style w:type="character" w:customStyle="1" w:styleId="PlainTextChar">
    <w:name w:val="Plain Text Char"/>
    <w:basedOn w:val="DefaultParagraphFont"/>
    <w:link w:val="PlainText"/>
    <w:rsid w:val="00271489"/>
    <w:rPr>
      <w:rFonts w:ascii="Courier New" w:hAnsi="Courier New" w:cs="Courier New"/>
    </w:rPr>
  </w:style>
  <w:style w:type="character" w:customStyle="1" w:styleId="slug-pub-date">
    <w:name w:val="slug-pub-date"/>
    <w:basedOn w:val="DefaultParagraphFont"/>
    <w:rsid w:val="00271489"/>
  </w:style>
  <w:style w:type="character" w:customStyle="1" w:styleId="apple-converted-space">
    <w:name w:val="apple-converted-space"/>
    <w:basedOn w:val="DefaultParagraphFont"/>
    <w:rsid w:val="00271489"/>
  </w:style>
  <w:style w:type="character" w:customStyle="1" w:styleId="slug-vol">
    <w:name w:val="slug-vol"/>
    <w:basedOn w:val="DefaultParagraphFont"/>
    <w:rsid w:val="00271489"/>
  </w:style>
  <w:style w:type="character" w:customStyle="1" w:styleId="slug-issue">
    <w:name w:val="slug-issue"/>
    <w:basedOn w:val="DefaultParagraphFont"/>
    <w:rsid w:val="00271489"/>
  </w:style>
  <w:style w:type="character" w:customStyle="1" w:styleId="slug-pages">
    <w:name w:val="slug-pages"/>
    <w:basedOn w:val="DefaultParagraphFont"/>
    <w:rsid w:val="00271489"/>
  </w:style>
  <w:style w:type="table" w:customStyle="1" w:styleId="TableWestatStandardFormat1">
    <w:name w:val="Table Westat Standard Format1"/>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2">
    <w:name w:val="Table Westat Standard Format2"/>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WestatStandardFormat3">
    <w:name w:val="Table Westat Standard Format3"/>
    <w:basedOn w:val="TableNormal"/>
    <w:rsid w:val="00271489"/>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NormalSS">
    <w:name w:val="NormalSS"/>
    <w:basedOn w:val="Normal"/>
    <w:qFormat/>
    <w:rsid w:val="00271489"/>
    <w:pPr>
      <w:tabs>
        <w:tab w:val="left" w:pos="432"/>
      </w:tabs>
      <w:spacing w:line="240" w:lineRule="auto"/>
      <w:ind w:firstLine="432"/>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777">
      <w:bodyDiv w:val="1"/>
      <w:marLeft w:val="0"/>
      <w:marRight w:val="0"/>
      <w:marTop w:val="0"/>
      <w:marBottom w:val="0"/>
      <w:divBdr>
        <w:top w:val="none" w:sz="0" w:space="0" w:color="auto"/>
        <w:left w:val="none" w:sz="0" w:space="0" w:color="auto"/>
        <w:bottom w:val="none" w:sz="0" w:space="0" w:color="auto"/>
        <w:right w:val="none" w:sz="0" w:space="0" w:color="auto"/>
      </w:divBdr>
    </w:div>
    <w:div w:id="1068576178">
      <w:bodyDiv w:val="1"/>
      <w:marLeft w:val="0"/>
      <w:marRight w:val="0"/>
      <w:marTop w:val="0"/>
      <w:marBottom w:val="0"/>
      <w:divBdr>
        <w:top w:val="none" w:sz="0" w:space="0" w:color="auto"/>
        <w:left w:val="none" w:sz="0" w:space="0" w:color="auto"/>
        <w:bottom w:val="none" w:sz="0" w:space="0" w:color="auto"/>
        <w:right w:val="none" w:sz="0" w:space="0" w:color="auto"/>
      </w:divBdr>
    </w:div>
    <w:div w:id="1451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Boswort1@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HAOH@westat.com" TargetMode="External"/><Relationship Id="rId2" Type="http://schemas.openxmlformats.org/officeDocument/2006/relationships/numbering" Target="numbering.xml"/><Relationship Id="rId16" Type="http://schemas.openxmlformats.org/officeDocument/2006/relationships/hyperlink" Target="mailto:TracyVericker@westa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LaurieMay@westat.com"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sites/default/files/omb/inforeg/statpolicy/standards_stat_surveys.pdf" TargetMode="External"/><Relationship Id="rId1" Type="http://schemas.openxmlformats.org/officeDocument/2006/relationships/hyperlink" Target="http://www.fns.usda.gov/healthy-incentives-pilot-final-evaluatio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4A7A-BE60-4BAA-B2AA-E687E871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6254</Words>
  <Characters>35041</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Ragland-Greene, Rachelle - FNS</cp:lastModifiedBy>
  <cp:revision>2</cp:revision>
  <cp:lastPrinted>2015-12-16T14:08:00Z</cp:lastPrinted>
  <dcterms:created xsi:type="dcterms:W3CDTF">2016-11-01T18:29:00Z</dcterms:created>
  <dcterms:modified xsi:type="dcterms:W3CDTF">2016-11-01T18:29:00Z</dcterms:modified>
</cp:coreProperties>
</file>