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8EB" w:rsidRPr="005403C8" w:rsidRDefault="005768EB" w:rsidP="00C31A02">
      <w:pPr>
        <w:pStyle w:val="Title"/>
        <w:jc w:val="center"/>
        <w:rPr>
          <w:u w:val="none"/>
        </w:rPr>
      </w:pPr>
      <w:bookmarkStart w:id="0" w:name="_GoBack"/>
      <w:bookmarkEnd w:id="0"/>
      <w:r w:rsidRPr="005403C8">
        <w:rPr>
          <w:u w:val="none"/>
        </w:rPr>
        <w:t>S</w:t>
      </w:r>
      <w:r w:rsidR="003734FD" w:rsidRPr="005403C8">
        <w:rPr>
          <w:u w:val="none"/>
        </w:rPr>
        <w:t>UPPORTING STATEMENT</w:t>
      </w:r>
    </w:p>
    <w:p w:rsidR="003734FD" w:rsidRPr="005403C8" w:rsidRDefault="003734FD" w:rsidP="00C31A02">
      <w:pPr>
        <w:pStyle w:val="Title"/>
        <w:jc w:val="center"/>
        <w:rPr>
          <w:u w:val="none"/>
        </w:rPr>
      </w:pPr>
      <w:r w:rsidRPr="005403C8">
        <w:rPr>
          <w:u w:val="none"/>
        </w:rPr>
        <w:t>for the Paperwork Reduction Act Information Collection Submission for</w:t>
      </w:r>
    </w:p>
    <w:p w:rsidR="003734FD" w:rsidRPr="005403C8" w:rsidRDefault="003734FD" w:rsidP="00C31A02">
      <w:pPr>
        <w:pStyle w:val="Title"/>
        <w:jc w:val="center"/>
        <w:rPr>
          <w:u w:val="none"/>
        </w:rPr>
      </w:pPr>
      <w:r w:rsidRPr="005403C8">
        <w:rPr>
          <w:u w:val="none"/>
        </w:rPr>
        <w:t>Rule 606 of Regulation NMS</w:t>
      </w:r>
    </w:p>
    <w:p w:rsidR="005768EB" w:rsidRPr="005403C8" w:rsidRDefault="005768EB">
      <w:pPr>
        <w:rPr>
          <w:rFonts w:ascii="Times New Roman" w:hAnsi="Times New Roman"/>
          <w:sz w:val="24"/>
        </w:rPr>
      </w:pPr>
    </w:p>
    <w:p w:rsidR="005768EB" w:rsidRPr="005403C8" w:rsidRDefault="005768EB" w:rsidP="00C31A02">
      <w:pPr>
        <w:pStyle w:val="Heading1"/>
      </w:pPr>
      <w:r w:rsidRPr="005403C8">
        <w:rPr>
          <w:u w:val="none"/>
        </w:rPr>
        <w:t>A.</w:t>
      </w:r>
      <w:r w:rsidRPr="005403C8">
        <w:rPr>
          <w:u w:val="none"/>
        </w:rPr>
        <w:tab/>
      </w:r>
      <w:r w:rsidRPr="005403C8">
        <w:t>Justification</w:t>
      </w:r>
    </w:p>
    <w:p w:rsidR="005768EB" w:rsidRPr="005403C8" w:rsidRDefault="005768EB">
      <w:pPr>
        <w:rPr>
          <w:rFonts w:ascii="Times New Roman" w:hAnsi="Times New Roman"/>
          <w:sz w:val="24"/>
        </w:rPr>
      </w:pPr>
    </w:p>
    <w:p w:rsidR="005768EB" w:rsidRPr="005403C8" w:rsidRDefault="005768EB" w:rsidP="00AE1AC6">
      <w:pPr>
        <w:pStyle w:val="Heading2"/>
      </w:pPr>
      <w:r w:rsidRPr="005403C8">
        <w:tab/>
        <w:t>1.</w:t>
      </w:r>
      <w:r w:rsidRPr="005403C8">
        <w:tab/>
      </w:r>
      <w:r w:rsidRPr="005403C8">
        <w:rPr>
          <w:u w:val="single"/>
        </w:rPr>
        <w:t>Necessity of Information Collection</w:t>
      </w:r>
    </w:p>
    <w:p w:rsidR="005768EB" w:rsidRPr="005403C8" w:rsidRDefault="005768EB">
      <w:pPr>
        <w:rPr>
          <w:rFonts w:ascii="Times New Roman" w:hAnsi="Times New Roman"/>
          <w:sz w:val="24"/>
        </w:rPr>
      </w:pPr>
    </w:p>
    <w:p w:rsidR="00FF6FAE" w:rsidRPr="005403C8" w:rsidRDefault="00772DCF">
      <w:pPr>
        <w:ind w:firstLine="720"/>
        <w:rPr>
          <w:rFonts w:ascii="Times New Roman" w:hAnsi="Times New Roman"/>
          <w:sz w:val="24"/>
        </w:rPr>
      </w:pPr>
      <w:r w:rsidRPr="005403C8">
        <w:rPr>
          <w:rFonts w:ascii="Times New Roman" w:hAnsi="Times New Roman"/>
          <w:sz w:val="24"/>
        </w:rPr>
        <w:t xml:space="preserve">This information collection is required under </w:t>
      </w:r>
      <w:r w:rsidR="00E8709A" w:rsidRPr="005403C8">
        <w:rPr>
          <w:rFonts w:ascii="Times New Roman" w:hAnsi="Times New Roman"/>
          <w:sz w:val="24"/>
        </w:rPr>
        <w:t>Rule 606</w:t>
      </w:r>
      <w:r w:rsidRPr="005403C8">
        <w:rPr>
          <w:rFonts w:ascii="Times New Roman" w:hAnsi="Times New Roman"/>
          <w:sz w:val="24"/>
        </w:rPr>
        <w:t xml:space="preserve"> </w:t>
      </w:r>
      <w:r w:rsidR="00322500" w:rsidRPr="005403C8">
        <w:rPr>
          <w:rFonts w:ascii="Times New Roman" w:hAnsi="Times New Roman"/>
          <w:sz w:val="24"/>
        </w:rPr>
        <w:t xml:space="preserve">and </w:t>
      </w:r>
      <w:r w:rsidR="00E8709A" w:rsidRPr="005403C8">
        <w:rPr>
          <w:rFonts w:ascii="Times New Roman" w:hAnsi="Times New Roman"/>
          <w:sz w:val="24"/>
        </w:rPr>
        <w:t>Section</w:t>
      </w:r>
      <w:r w:rsidR="00BB6C37" w:rsidRPr="005403C8">
        <w:rPr>
          <w:rFonts w:ascii="Times New Roman" w:hAnsi="Times New Roman"/>
          <w:sz w:val="24"/>
        </w:rPr>
        <w:t xml:space="preserve"> </w:t>
      </w:r>
      <w:r w:rsidR="00322500" w:rsidRPr="005403C8">
        <w:rPr>
          <w:rFonts w:ascii="Times New Roman" w:hAnsi="Times New Roman"/>
          <w:sz w:val="24"/>
        </w:rPr>
        <w:t xml:space="preserve">17(a) </w:t>
      </w:r>
      <w:r w:rsidRPr="005403C8">
        <w:rPr>
          <w:rFonts w:ascii="Times New Roman" w:hAnsi="Times New Roman"/>
          <w:sz w:val="24"/>
        </w:rPr>
        <w:t>of the Securities Exch</w:t>
      </w:r>
      <w:r w:rsidR="009703DD" w:rsidRPr="005403C8">
        <w:rPr>
          <w:rFonts w:ascii="Times New Roman" w:hAnsi="Times New Roman"/>
          <w:sz w:val="24"/>
        </w:rPr>
        <w:t>ange Act of 1934 (“Exchange Act”</w:t>
      </w:r>
      <w:r w:rsidRPr="005403C8">
        <w:rPr>
          <w:rFonts w:ascii="Times New Roman" w:hAnsi="Times New Roman"/>
          <w:sz w:val="24"/>
        </w:rPr>
        <w:t>).</w:t>
      </w:r>
      <w:r w:rsidR="00272E2D" w:rsidRPr="005403C8">
        <w:rPr>
          <w:rStyle w:val="FootnoteReference"/>
          <w:rFonts w:ascii="Times New Roman" w:hAnsi="Times New Roman"/>
          <w:sz w:val="24"/>
          <w:vertAlign w:val="superscript"/>
        </w:rPr>
        <w:footnoteReference w:id="2"/>
      </w:r>
      <w:r w:rsidRPr="005403C8">
        <w:rPr>
          <w:rFonts w:ascii="Times New Roman" w:hAnsi="Times New Roman"/>
          <w:sz w:val="24"/>
        </w:rPr>
        <w:t xml:space="preserve">  T</w:t>
      </w:r>
      <w:r w:rsidR="008C1424" w:rsidRPr="005403C8">
        <w:rPr>
          <w:rFonts w:ascii="Times New Roman" w:hAnsi="Times New Roman"/>
          <w:sz w:val="24"/>
        </w:rPr>
        <w:t xml:space="preserve">he Commission adopted Rule 606 </w:t>
      </w:r>
      <w:r w:rsidR="00FF6FAE" w:rsidRPr="005403C8">
        <w:rPr>
          <w:rFonts w:ascii="Times New Roman" w:hAnsi="Times New Roman"/>
          <w:sz w:val="24"/>
        </w:rPr>
        <w:t xml:space="preserve">f/k/a Rule </w:t>
      </w:r>
    </w:p>
    <w:p w:rsidR="00B859DE" w:rsidRPr="005403C8" w:rsidRDefault="00FF6FAE" w:rsidP="00FF6FAE">
      <w:pPr>
        <w:rPr>
          <w:rFonts w:ascii="Times New Roman" w:hAnsi="Times New Roman"/>
          <w:sz w:val="24"/>
        </w:rPr>
      </w:pPr>
      <w:r w:rsidRPr="005403C8">
        <w:rPr>
          <w:rFonts w:ascii="Times New Roman" w:hAnsi="Times New Roman"/>
          <w:sz w:val="24"/>
        </w:rPr>
        <w:t xml:space="preserve">11Ac1-6 </w:t>
      </w:r>
      <w:r w:rsidR="008C1424" w:rsidRPr="005403C8">
        <w:rPr>
          <w:rFonts w:ascii="Times New Roman" w:hAnsi="Times New Roman"/>
          <w:sz w:val="24"/>
        </w:rPr>
        <w:t>as part of Regulation NMS.</w:t>
      </w:r>
      <w:bookmarkStart w:id="1" w:name="_Ref526344087"/>
      <w:r w:rsidRPr="005403C8">
        <w:rPr>
          <w:rStyle w:val="FootnoteReference"/>
          <w:rFonts w:ascii="Times New Roman" w:hAnsi="Times New Roman"/>
          <w:sz w:val="24"/>
          <w:vertAlign w:val="superscript"/>
        </w:rPr>
        <w:footnoteReference w:id="3"/>
      </w:r>
      <w:bookmarkEnd w:id="1"/>
      <w:r w:rsidRPr="005403C8">
        <w:rPr>
          <w:rFonts w:ascii="Times New Roman" w:hAnsi="Times New Roman"/>
          <w:sz w:val="24"/>
        </w:rPr>
        <w:t xml:space="preserve"> </w:t>
      </w:r>
      <w:r w:rsidR="002C7175" w:rsidRPr="005403C8">
        <w:rPr>
          <w:rFonts w:ascii="Times New Roman" w:hAnsi="Times New Roman"/>
          <w:sz w:val="24"/>
        </w:rPr>
        <w:t xml:space="preserve"> </w:t>
      </w:r>
      <w:r w:rsidR="005768EB" w:rsidRPr="005403C8">
        <w:rPr>
          <w:rFonts w:ascii="Times New Roman" w:hAnsi="Times New Roman"/>
          <w:sz w:val="24"/>
        </w:rPr>
        <w:t xml:space="preserve">The order routing information required by </w:t>
      </w:r>
      <w:r w:rsidR="00EF01A0" w:rsidRPr="005403C8">
        <w:rPr>
          <w:rFonts w:ascii="Times New Roman" w:hAnsi="Times New Roman"/>
          <w:sz w:val="24"/>
        </w:rPr>
        <w:t xml:space="preserve">Rule 606 </w:t>
      </w:r>
      <w:r w:rsidR="004825E7" w:rsidRPr="005403C8">
        <w:rPr>
          <w:rFonts w:ascii="Times New Roman" w:hAnsi="Times New Roman"/>
          <w:sz w:val="24"/>
        </w:rPr>
        <w:t xml:space="preserve">is necessary to further the national market system objectives. </w:t>
      </w:r>
      <w:r w:rsidR="002C7175" w:rsidRPr="005403C8">
        <w:rPr>
          <w:rFonts w:ascii="Times New Roman" w:hAnsi="Times New Roman"/>
          <w:sz w:val="24"/>
        </w:rPr>
        <w:t xml:space="preserve"> </w:t>
      </w:r>
      <w:r w:rsidR="005768EB" w:rsidRPr="005403C8">
        <w:rPr>
          <w:rFonts w:ascii="Times New Roman" w:hAnsi="Times New Roman"/>
          <w:sz w:val="24"/>
        </w:rPr>
        <w:t>These objectives include the economically efficient execution of orders, fair competition among broker-dealers and among markets, the availability to broker-dealers and investors of information with respect to transactions in securities, and the practicability of broker</w:t>
      </w:r>
      <w:r w:rsidR="009703DD" w:rsidRPr="005403C8">
        <w:rPr>
          <w:rFonts w:ascii="Times New Roman" w:hAnsi="Times New Roman"/>
          <w:sz w:val="24"/>
        </w:rPr>
        <w:t>-dealer</w:t>
      </w:r>
      <w:r w:rsidR="005768EB" w:rsidRPr="005403C8">
        <w:rPr>
          <w:rFonts w:ascii="Times New Roman" w:hAnsi="Times New Roman"/>
          <w:sz w:val="24"/>
        </w:rPr>
        <w:t xml:space="preserve">s executing investors’ orders in the best market.  </w:t>
      </w:r>
    </w:p>
    <w:p w:rsidR="00B859DE" w:rsidRPr="005403C8" w:rsidRDefault="00B859DE" w:rsidP="00FF6FAE">
      <w:pPr>
        <w:rPr>
          <w:rFonts w:ascii="Times New Roman" w:hAnsi="Times New Roman"/>
          <w:sz w:val="24"/>
        </w:rPr>
      </w:pPr>
    </w:p>
    <w:p w:rsidR="00A85DF0" w:rsidRPr="005403C8" w:rsidRDefault="006E4840" w:rsidP="009F592F">
      <w:pPr>
        <w:ind w:firstLine="720"/>
        <w:rPr>
          <w:rFonts w:ascii="Times New Roman" w:hAnsi="Times New Roman"/>
          <w:sz w:val="24"/>
        </w:rPr>
      </w:pPr>
      <w:r w:rsidRPr="005403C8">
        <w:rPr>
          <w:rFonts w:ascii="Times New Roman" w:hAnsi="Times New Roman"/>
          <w:sz w:val="24"/>
        </w:rPr>
        <w:t xml:space="preserve">On July 13, 2016, the Commission proposed amendments to Rule 606 of Regulation NMS to require </w:t>
      </w:r>
      <w:r>
        <w:rPr>
          <w:rFonts w:ascii="Times New Roman" w:hAnsi="Times New Roman"/>
          <w:sz w:val="24"/>
        </w:rPr>
        <w:t>new disclosures</w:t>
      </w:r>
      <w:r w:rsidRPr="005403C8">
        <w:rPr>
          <w:rFonts w:ascii="Times New Roman" w:hAnsi="Times New Roman"/>
          <w:sz w:val="24"/>
        </w:rPr>
        <w:t xml:space="preserve"> by broker-dealers relating to their handling of </w:t>
      </w:r>
      <w:r>
        <w:rPr>
          <w:rFonts w:ascii="Times New Roman" w:hAnsi="Times New Roman"/>
          <w:sz w:val="24"/>
        </w:rPr>
        <w:t>certain categories of</w:t>
      </w:r>
      <w:r w:rsidRPr="005403C8">
        <w:rPr>
          <w:rFonts w:ascii="Times New Roman" w:hAnsi="Times New Roman"/>
          <w:sz w:val="24"/>
        </w:rPr>
        <w:t xml:space="preserve"> orders</w:t>
      </w:r>
      <w:r>
        <w:rPr>
          <w:rFonts w:ascii="Times New Roman" w:hAnsi="Times New Roman"/>
          <w:sz w:val="24"/>
        </w:rPr>
        <w:t xml:space="preserve"> and enhance </w:t>
      </w:r>
      <w:r w:rsidRPr="005403C8">
        <w:rPr>
          <w:rFonts w:ascii="Times New Roman" w:hAnsi="Times New Roman"/>
          <w:sz w:val="24"/>
        </w:rPr>
        <w:t xml:space="preserve">existing disclosures relating to their handling </w:t>
      </w:r>
      <w:r>
        <w:rPr>
          <w:rFonts w:ascii="Times New Roman" w:hAnsi="Times New Roman"/>
          <w:sz w:val="24"/>
        </w:rPr>
        <w:t>to certain other categories of</w:t>
      </w:r>
      <w:r w:rsidRPr="005403C8">
        <w:rPr>
          <w:rFonts w:ascii="Times New Roman" w:hAnsi="Times New Roman"/>
          <w:sz w:val="24"/>
        </w:rPr>
        <w:t xml:space="preserve"> orders</w:t>
      </w:r>
      <w:r w:rsidR="005A6654">
        <w:rPr>
          <w:rFonts w:ascii="Times New Roman" w:hAnsi="Times New Roman"/>
          <w:sz w:val="24"/>
        </w:rPr>
        <w:t xml:space="preserve"> and solicited public comment</w:t>
      </w:r>
      <w:r w:rsidRPr="005403C8">
        <w:rPr>
          <w:rFonts w:ascii="Times New Roman" w:hAnsi="Times New Roman"/>
          <w:sz w:val="24"/>
        </w:rPr>
        <w:t>.</w:t>
      </w:r>
      <w:bookmarkStart w:id="2" w:name="_Ref526324924"/>
      <w:r w:rsidRPr="005403C8">
        <w:rPr>
          <w:rStyle w:val="FootnoteReference"/>
          <w:rFonts w:ascii="Times New Roman" w:hAnsi="Times New Roman"/>
          <w:sz w:val="24"/>
          <w:vertAlign w:val="superscript"/>
        </w:rPr>
        <w:footnoteReference w:id="4"/>
      </w:r>
      <w:bookmarkEnd w:id="2"/>
      <w:r>
        <w:rPr>
          <w:rFonts w:ascii="Times New Roman" w:hAnsi="Times New Roman"/>
          <w:sz w:val="24"/>
        </w:rPr>
        <w:t xml:space="preserve">  </w:t>
      </w:r>
      <w:r w:rsidR="00833201">
        <w:rPr>
          <w:rFonts w:ascii="Times New Roman" w:hAnsi="Times New Roman"/>
          <w:sz w:val="24"/>
        </w:rPr>
        <w:t>On November 2</w:t>
      </w:r>
      <w:r w:rsidR="00FB7FC0">
        <w:rPr>
          <w:rFonts w:ascii="Times New Roman" w:hAnsi="Times New Roman"/>
          <w:sz w:val="24"/>
        </w:rPr>
        <w:t>, 2018</w:t>
      </w:r>
      <w:r w:rsidR="00B859DE" w:rsidRPr="005403C8">
        <w:rPr>
          <w:rFonts w:ascii="Times New Roman" w:hAnsi="Times New Roman"/>
          <w:sz w:val="24"/>
        </w:rPr>
        <w:t xml:space="preserve">, </w:t>
      </w:r>
      <w:r w:rsidR="005A6654">
        <w:rPr>
          <w:rFonts w:ascii="Times New Roman" w:hAnsi="Times New Roman"/>
          <w:sz w:val="24"/>
        </w:rPr>
        <w:t>after consider</w:t>
      </w:r>
      <w:r w:rsidR="000E789F">
        <w:rPr>
          <w:rFonts w:ascii="Times New Roman" w:hAnsi="Times New Roman"/>
          <w:sz w:val="24"/>
        </w:rPr>
        <w:t>ing</w:t>
      </w:r>
      <w:r w:rsidR="005A6654">
        <w:rPr>
          <w:rFonts w:ascii="Times New Roman" w:hAnsi="Times New Roman"/>
          <w:sz w:val="24"/>
        </w:rPr>
        <w:t xml:space="preserve"> comments received, </w:t>
      </w:r>
      <w:r w:rsidR="00B859DE" w:rsidRPr="005403C8">
        <w:rPr>
          <w:rFonts w:ascii="Times New Roman" w:hAnsi="Times New Roman"/>
          <w:sz w:val="24"/>
        </w:rPr>
        <w:t xml:space="preserve">the Commission </w:t>
      </w:r>
      <w:r w:rsidR="00FB7FC0">
        <w:rPr>
          <w:rFonts w:ascii="Times New Roman" w:hAnsi="Times New Roman"/>
          <w:sz w:val="24"/>
        </w:rPr>
        <w:t>adopted</w:t>
      </w:r>
      <w:r w:rsidR="00B859DE" w:rsidRPr="005403C8">
        <w:rPr>
          <w:rFonts w:ascii="Times New Roman" w:hAnsi="Times New Roman"/>
          <w:sz w:val="24"/>
        </w:rPr>
        <w:t xml:space="preserve"> amendments to Rule 606 of Regulation NMS to require </w:t>
      </w:r>
      <w:r w:rsidR="00FB7FC0">
        <w:rPr>
          <w:rFonts w:ascii="Times New Roman" w:hAnsi="Times New Roman"/>
          <w:sz w:val="24"/>
        </w:rPr>
        <w:t>disclosure by broker-dealers of (1)</w:t>
      </w:r>
      <w:r w:rsidR="00FB7FC0" w:rsidRPr="00FB7FC0">
        <w:rPr>
          <w:rFonts w:ascii="Times New Roman" w:hAnsi="Times New Roman"/>
          <w:sz w:val="24"/>
        </w:rPr>
        <w:t xml:space="preserve"> </w:t>
      </w:r>
      <w:r w:rsidR="00FB7FC0">
        <w:rPr>
          <w:rFonts w:ascii="Times New Roman" w:hAnsi="Times New Roman"/>
          <w:sz w:val="24"/>
        </w:rPr>
        <w:t>a report, up</w:t>
      </w:r>
      <w:r w:rsidR="00FB7FC0" w:rsidRPr="00FB7FC0">
        <w:rPr>
          <w:rFonts w:ascii="Times New Roman" w:hAnsi="Times New Roman"/>
          <w:sz w:val="24"/>
        </w:rPr>
        <w:t>on request of a customer that places with the broker-dealer, directly or indirectly, NMS stock orders of any size that are submitted on a not held basis (subjec</w:t>
      </w:r>
      <w:r w:rsidR="00FB7FC0">
        <w:rPr>
          <w:rFonts w:ascii="Times New Roman" w:hAnsi="Times New Roman"/>
          <w:sz w:val="24"/>
        </w:rPr>
        <w:t>t to two de minimis exceptions)</w:t>
      </w:r>
      <w:r w:rsidR="00FB7FC0" w:rsidRPr="00FB7FC0">
        <w:rPr>
          <w:rFonts w:ascii="Times New Roman" w:hAnsi="Times New Roman"/>
          <w:sz w:val="24"/>
        </w:rPr>
        <w:t xml:space="preserve">, </w:t>
      </w:r>
      <w:r w:rsidR="00FB7FC0">
        <w:rPr>
          <w:rFonts w:ascii="Times New Roman" w:hAnsi="Times New Roman"/>
          <w:sz w:val="24"/>
        </w:rPr>
        <w:t xml:space="preserve">containing certain information </w:t>
      </w:r>
      <w:r w:rsidR="00FB7FC0" w:rsidRPr="00FB7FC0">
        <w:rPr>
          <w:rFonts w:ascii="Times New Roman" w:hAnsi="Times New Roman"/>
          <w:sz w:val="24"/>
        </w:rPr>
        <w:t>on the broker-dealer’s handling of such orders for that customer for the prior six months</w:t>
      </w:r>
      <w:r w:rsidR="009F592F">
        <w:rPr>
          <w:rFonts w:ascii="Times New Roman" w:hAnsi="Times New Roman"/>
          <w:sz w:val="24"/>
        </w:rPr>
        <w:t xml:space="preserve"> (“</w:t>
      </w:r>
      <w:r w:rsidR="007C316B">
        <w:rPr>
          <w:rFonts w:ascii="Times New Roman" w:hAnsi="Times New Roman"/>
          <w:sz w:val="24"/>
        </w:rPr>
        <w:t>Customer-Specific Disclosure on Handling of Non-Exempt Not Held Orders</w:t>
      </w:r>
      <w:r w:rsidR="009F592F">
        <w:rPr>
          <w:rFonts w:ascii="Times New Roman" w:hAnsi="Times New Roman"/>
          <w:sz w:val="24"/>
          <w:szCs w:val="22"/>
        </w:rPr>
        <w:t>”)</w:t>
      </w:r>
      <w:r w:rsidR="009808B4">
        <w:rPr>
          <w:rFonts w:ascii="Times New Roman" w:hAnsi="Times New Roman"/>
          <w:sz w:val="24"/>
        </w:rPr>
        <w:t xml:space="preserve">; </w:t>
      </w:r>
      <w:r w:rsidR="00FB7FC0">
        <w:rPr>
          <w:rFonts w:ascii="Times New Roman" w:hAnsi="Times New Roman"/>
          <w:sz w:val="24"/>
        </w:rPr>
        <w:t xml:space="preserve">(2) </w:t>
      </w:r>
      <w:r w:rsidR="00E677C8">
        <w:rPr>
          <w:rFonts w:ascii="Times New Roman" w:hAnsi="Times New Roman"/>
          <w:sz w:val="24"/>
        </w:rPr>
        <w:t>a</w:t>
      </w:r>
      <w:r w:rsidR="009F592F">
        <w:rPr>
          <w:rFonts w:ascii="Times New Roman" w:hAnsi="Times New Roman"/>
          <w:sz w:val="24"/>
        </w:rPr>
        <w:t xml:space="preserve"> </w:t>
      </w:r>
      <w:r w:rsidR="00E677C8">
        <w:rPr>
          <w:rFonts w:ascii="Times New Roman" w:hAnsi="Times New Roman"/>
          <w:sz w:val="24"/>
        </w:rPr>
        <w:t xml:space="preserve">quarterly </w:t>
      </w:r>
      <w:r w:rsidR="009F592F">
        <w:rPr>
          <w:rFonts w:ascii="Times New Roman" w:hAnsi="Times New Roman"/>
          <w:sz w:val="24"/>
        </w:rPr>
        <w:t xml:space="preserve">aggregated </w:t>
      </w:r>
      <w:r w:rsidR="00E677C8">
        <w:rPr>
          <w:rFonts w:ascii="Times New Roman" w:hAnsi="Times New Roman"/>
          <w:sz w:val="24"/>
        </w:rPr>
        <w:t>public report</w:t>
      </w:r>
      <w:r w:rsidR="00FB7FC0">
        <w:rPr>
          <w:rFonts w:ascii="Times New Roman" w:hAnsi="Times New Roman"/>
          <w:sz w:val="24"/>
        </w:rPr>
        <w:t xml:space="preserve"> on the handling of orders </w:t>
      </w:r>
      <w:r w:rsidR="00FB7FC0" w:rsidRPr="00FB7FC0">
        <w:rPr>
          <w:rFonts w:ascii="Times New Roman" w:hAnsi="Times New Roman"/>
          <w:sz w:val="24"/>
        </w:rPr>
        <w:t>in NMS stocks that are</w:t>
      </w:r>
      <w:r w:rsidR="009F592F">
        <w:rPr>
          <w:rFonts w:ascii="Times New Roman" w:hAnsi="Times New Roman"/>
          <w:sz w:val="24"/>
        </w:rPr>
        <w:t xml:space="preserve"> submitted on a held basis and</w:t>
      </w:r>
      <w:r w:rsidR="00FB7FC0" w:rsidRPr="00FB7FC0">
        <w:rPr>
          <w:rFonts w:ascii="Times New Roman" w:hAnsi="Times New Roman"/>
          <w:sz w:val="24"/>
        </w:rPr>
        <w:t xml:space="preserve"> orders in NMS securities that are option contracts</w:t>
      </w:r>
      <w:r w:rsidR="009F592F">
        <w:rPr>
          <w:rFonts w:ascii="Times New Roman" w:hAnsi="Times New Roman"/>
          <w:sz w:val="24"/>
        </w:rPr>
        <w:t xml:space="preserve"> </w:t>
      </w:r>
      <w:r w:rsidR="004B01AF" w:rsidRPr="004B01AF">
        <w:rPr>
          <w:rFonts w:ascii="Times New Roman" w:hAnsi="Times New Roman"/>
          <w:sz w:val="24"/>
        </w:rPr>
        <w:t xml:space="preserve">with a market value less than $50,000 </w:t>
      </w:r>
      <w:r w:rsidR="009F592F">
        <w:rPr>
          <w:rFonts w:ascii="Times New Roman" w:hAnsi="Times New Roman"/>
          <w:sz w:val="24"/>
        </w:rPr>
        <w:t>(“</w:t>
      </w:r>
      <w:r w:rsidR="007C316B">
        <w:rPr>
          <w:rFonts w:ascii="Times New Roman" w:hAnsi="Times New Roman"/>
          <w:sz w:val="24"/>
        </w:rPr>
        <w:t>Quarterly Public Disclosure on Routing of Held Orders and Options Contracts</w:t>
      </w:r>
      <w:r w:rsidR="009F592F">
        <w:rPr>
          <w:rFonts w:ascii="Times New Roman" w:hAnsi="Times New Roman"/>
          <w:sz w:val="24"/>
          <w:szCs w:val="22"/>
        </w:rPr>
        <w:t>”)</w:t>
      </w:r>
      <w:r w:rsidR="009808B4">
        <w:rPr>
          <w:rFonts w:ascii="Times New Roman" w:hAnsi="Times New Roman"/>
          <w:sz w:val="24"/>
        </w:rPr>
        <w:t>; and (3) a report, up</w:t>
      </w:r>
      <w:r w:rsidR="009808B4" w:rsidRPr="00FB7FC0">
        <w:rPr>
          <w:rFonts w:ascii="Times New Roman" w:hAnsi="Times New Roman"/>
          <w:sz w:val="24"/>
        </w:rPr>
        <w:t>on request of a customer</w:t>
      </w:r>
      <w:r w:rsidR="009F592F">
        <w:rPr>
          <w:rFonts w:ascii="Times New Roman" w:hAnsi="Times New Roman"/>
          <w:sz w:val="24"/>
        </w:rPr>
        <w:t xml:space="preserve">, on the </w:t>
      </w:r>
      <w:r w:rsidR="00940B3C">
        <w:rPr>
          <w:rFonts w:ascii="Times New Roman" w:hAnsi="Times New Roman"/>
          <w:sz w:val="24"/>
        </w:rPr>
        <w:t>routing</w:t>
      </w:r>
      <w:r w:rsidR="009808B4">
        <w:rPr>
          <w:rFonts w:ascii="Times New Roman" w:hAnsi="Times New Roman"/>
          <w:sz w:val="24"/>
        </w:rPr>
        <w:t xml:space="preserve"> of </w:t>
      </w:r>
      <w:r w:rsidR="009F592F">
        <w:rPr>
          <w:rFonts w:ascii="Times New Roman" w:hAnsi="Times New Roman"/>
          <w:sz w:val="24"/>
        </w:rPr>
        <w:t xml:space="preserve">that customer’s </w:t>
      </w:r>
      <w:r w:rsidR="009808B4">
        <w:rPr>
          <w:rFonts w:ascii="Times New Roman" w:hAnsi="Times New Roman"/>
          <w:sz w:val="24"/>
        </w:rPr>
        <w:t xml:space="preserve">orders </w:t>
      </w:r>
      <w:r w:rsidR="009808B4" w:rsidRPr="00FB7FC0">
        <w:rPr>
          <w:rFonts w:ascii="Times New Roman" w:hAnsi="Times New Roman"/>
          <w:sz w:val="24"/>
        </w:rPr>
        <w:t>in NMS stocks that are</w:t>
      </w:r>
      <w:r w:rsidR="009808B4">
        <w:rPr>
          <w:rFonts w:ascii="Times New Roman" w:hAnsi="Times New Roman"/>
          <w:sz w:val="24"/>
        </w:rPr>
        <w:t xml:space="preserve"> submitted on a held basis;</w:t>
      </w:r>
      <w:r w:rsidR="009808B4" w:rsidRPr="00FB7FC0">
        <w:rPr>
          <w:rFonts w:ascii="Times New Roman" w:hAnsi="Times New Roman"/>
          <w:sz w:val="24"/>
        </w:rPr>
        <w:t xml:space="preserve"> orders in NMS stocks that are submitted on a not held basis and </w:t>
      </w:r>
      <w:r w:rsidR="00A52EF0">
        <w:rPr>
          <w:rFonts w:ascii="Times New Roman" w:hAnsi="Times New Roman"/>
          <w:sz w:val="24"/>
        </w:rPr>
        <w:t>do not qualify for</w:t>
      </w:r>
      <w:r w:rsidR="009808B4">
        <w:rPr>
          <w:rFonts w:ascii="Times New Roman" w:hAnsi="Times New Roman"/>
          <w:sz w:val="24"/>
        </w:rPr>
        <w:t xml:space="preserve"> the two de minimis exceptions</w:t>
      </w:r>
      <w:r w:rsidR="009808B4" w:rsidRPr="00FB7FC0">
        <w:rPr>
          <w:rFonts w:ascii="Times New Roman" w:hAnsi="Times New Roman"/>
          <w:sz w:val="24"/>
        </w:rPr>
        <w:t>;</w:t>
      </w:r>
      <w:r w:rsidR="009F592F" w:rsidRPr="009F592F">
        <w:rPr>
          <w:rFonts w:ascii="Times New Roman" w:hAnsi="Times New Roman"/>
          <w:sz w:val="24"/>
        </w:rPr>
        <w:t xml:space="preserve"> </w:t>
      </w:r>
      <w:r w:rsidR="009F592F">
        <w:rPr>
          <w:rFonts w:ascii="Times New Roman" w:hAnsi="Times New Roman"/>
          <w:sz w:val="24"/>
        </w:rPr>
        <w:t>and</w:t>
      </w:r>
      <w:r w:rsidR="009F592F" w:rsidRPr="00FB7FC0">
        <w:rPr>
          <w:rFonts w:ascii="Times New Roman" w:hAnsi="Times New Roman"/>
          <w:sz w:val="24"/>
        </w:rPr>
        <w:t xml:space="preserve"> orders in NMS securities that are option contracts</w:t>
      </w:r>
      <w:r w:rsidR="009F592F">
        <w:rPr>
          <w:rFonts w:ascii="Times New Roman" w:hAnsi="Times New Roman"/>
          <w:sz w:val="24"/>
        </w:rPr>
        <w:t xml:space="preserve">, containing certain information </w:t>
      </w:r>
      <w:r w:rsidR="009F592F" w:rsidRPr="00FB7FC0">
        <w:rPr>
          <w:rFonts w:ascii="Times New Roman" w:hAnsi="Times New Roman"/>
          <w:sz w:val="24"/>
        </w:rPr>
        <w:t xml:space="preserve">on the broker-dealer’s </w:t>
      </w:r>
      <w:r w:rsidR="00940B3C">
        <w:rPr>
          <w:rFonts w:ascii="Times New Roman" w:hAnsi="Times New Roman"/>
          <w:sz w:val="24"/>
        </w:rPr>
        <w:t>routing</w:t>
      </w:r>
      <w:r w:rsidR="009F592F" w:rsidRPr="00FB7FC0">
        <w:rPr>
          <w:rFonts w:ascii="Times New Roman" w:hAnsi="Times New Roman"/>
          <w:sz w:val="24"/>
        </w:rPr>
        <w:t xml:space="preserve"> of such orders for that customer for the prior six months</w:t>
      </w:r>
      <w:r w:rsidR="009F592F">
        <w:rPr>
          <w:rFonts w:ascii="Times New Roman" w:hAnsi="Times New Roman"/>
          <w:sz w:val="24"/>
        </w:rPr>
        <w:t xml:space="preserve"> (“</w:t>
      </w:r>
      <w:r w:rsidR="007C316B">
        <w:rPr>
          <w:rFonts w:ascii="Times New Roman" w:hAnsi="Times New Roman"/>
          <w:sz w:val="24"/>
          <w:szCs w:val="22"/>
        </w:rPr>
        <w:t>Customer-Specific Disclosure on Routing of Held Orders, Exempt Not Held Orders, and Options Contracts</w:t>
      </w:r>
      <w:r w:rsidR="009F592F">
        <w:rPr>
          <w:rFonts w:ascii="Times New Roman" w:hAnsi="Times New Roman"/>
          <w:sz w:val="24"/>
          <w:szCs w:val="22"/>
        </w:rPr>
        <w:t>”)</w:t>
      </w:r>
      <w:r w:rsidR="00FB7FC0" w:rsidRPr="00FB7FC0">
        <w:rPr>
          <w:rFonts w:ascii="Times New Roman" w:hAnsi="Times New Roman"/>
          <w:sz w:val="24"/>
        </w:rPr>
        <w:t>.</w:t>
      </w:r>
      <w:bookmarkStart w:id="3" w:name="_Ref505670440"/>
      <w:r w:rsidR="00B859DE" w:rsidRPr="005403C8">
        <w:rPr>
          <w:rStyle w:val="FootnoteReference"/>
          <w:rFonts w:ascii="Times New Roman" w:hAnsi="Times New Roman"/>
          <w:sz w:val="24"/>
          <w:vertAlign w:val="superscript"/>
        </w:rPr>
        <w:footnoteReference w:id="5"/>
      </w:r>
      <w:bookmarkEnd w:id="3"/>
      <w:r w:rsidR="009F592F">
        <w:rPr>
          <w:rFonts w:ascii="Times New Roman" w:hAnsi="Times New Roman"/>
          <w:sz w:val="24"/>
        </w:rPr>
        <w:t xml:space="preserve"> </w:t>
      </w:r>
    </w:p>
    <w:p w:rsidR="007621AA" w:rsidRPr="005403C8" w:rsidRDefault="00544862" w:rsidP="007621AA">
      <w:pPr>
        <w:keepNext/>
        <w:keepLines/>
        <w:ind w:firstLine="720"/>
        <w:rPr>
          <w:rFonts w:ascii="Times New Roman" w:hAnsi="Times New Roman"/>
          <w:sz w:val="24"/>
        </w:rPr>
      </w:pPr>
      <w:r w:rsidRPr="005403C8">
        <w:rPr>
          <w:rFonts w:ascii="Times New Roman" w:hAnsi="Times New Roman"/>
          <w:sz w:val="24"/>
        </w:rPr>
        <w:lastRenderedPageBreak/>
        <w:t xml:space="preserve">As </w:t>
      </w:r>
      <w:r w:rsidR="00E677C8">
        <w:rPr>
          <w:rFonts w:ascii="Times New Roman" w:hAnsi="Times New Roman"/>
          <w:sz w:val="24"/>
        </w:rPr>
        <w:t>adopted</w:t>
      </w:r>
      <w:r w:rsidRPr="005403C8">
        <w:rPr>
          <w:rFonts w:ascii="Times New Roman" w:hAnsi="Times New Roman"/>
          <w:sz w:val="24"/>
        </w:rPr>
        <w:t xml:space="preserve">, </w:t>
      </w:r>
      <w:r w:rsidR="00A85DF0" w:rsidRPr="005403C8">
        <w:rPr>
          <w:rFonts w:ascii="Times New Roman" w:hAnsi="Times New Roman"/>
          <w:sz w:val="24"/>
        </w:rPr>
        <w:t xml:space="preserve">the amendments to </w:t>
      </w:r>
      <w:r w:rsidR="007621AA" w:rsidRPr="005403C8">
        <w:rPr>
          <w:rFonts w:ascii="Times New Roman" w:hAnsi="Times New Roman"/>
          <w:sz w:val="24"/>
        </w:rPr>
        <w:t xml:space="preserve">Rule 606 would </w:t>
      </w:r>
      <w:r w:rsidRPr="005403C8">
        <w:rPr>
          <w:rFonts w:ascii="Times New Roman" w:hAnsi="Times New Roman"/>
          <w:sz w:val="24"/>
        </w:rPr>
        <w:t>require</w:t>
      </w:r>
      <w:r w:rsidR="007621AA" w:rsidRPr="005403C8">
        <w:rPr>
          <w:rFonts w:ascii="Times New Roman" w:hAnsi="Times New Roman"/>
          <w:sz w:val="24"/>
        </w:rPr>
        <w:t xml:space="preserve"> collections of information, as summarized in the table below.</w:t>
      </w:r>
      <w:r w:rsidR="00335846">
        <w:rPr>
          <w:rFonts w:ascii="Times New Roman" w:hAnsi="Times New Roman"/>
          <w:sz w:val="24"/>
        </w:rPr>
        <w:t xml:space="preserve"> </w:t>
      </w:r>
      <w:r w:rsidR="00780580">
        <w:rPr>
          <w:rFonts w:ascii="Times New Roman" w:hAnsi="Times New Roman"/>
          <w:sz w:val="24"/>
        </w:rPr>
        <w:t xml:space="preserve">  The existing information collection associated with Rule 606(a) is being amended in a manner that will create new initial hourly and cost burdens and new annual hourly burdens.  The </w:t>
      </w:r>
      <w:r w:rsidR="00A1796C">
        <w:rPr>
          <w:rFonts w:ascii="Times New Roman" w:hAnsi="Times New Roman"/>
          <w:sz w:val="24"/>
        </w:rPr>
        <w:t xml:space="preserve">previously approved annual burdens associated with Rule 606(a) are not changing. </w:t>
      </w:r>
      <w:r w:rsidR="00780580">
        <w:rPr>
          <w:rFonts w:ascii="Times New Roman" w:hAnsi="Times New Roman"/>
          <w:sz w:val="24"/>
        </w:rPr>
        <w:t xml:space="preserve"> </w:t>
      </w:r>
      <w:r w:rsidR="00A1796C">
        <w:rPr>
          <w:rFonts w:ascii="Times New Roman" w:hAnsi="Times New Roman"/>
          <w:sz w:val="24"/>
        </w:rPr>
        <w:t xml:space="preserve">The existing information collection associated with Rule 606(b)(1) is being amended in a manner that will create new initial hourly and cost burdens.  The previously approved annual burdens associated with Rule 606(b)(1) are not changing.  The amendments to Rule 606 add a new information collection described in Rule 606(b)(3) that will create new initial hourly and cost burdens and new annual hourly and cost burdens.  Finally, </w:t>
      </w:r>
      <w:r w:rsidR="00715EED">
        <w:rPr>
          <w:rFonts w:ascii="Times New Roman" w:hAnsi="Times New Roman"/>
          <w:sz w:val="24"/>
        </w:rPr>
        <w:t xml:space="preserve">as part of </w:t>
      </w:r>
      <w:r w:rsidR="00A1796C">
        <w:rPr>
          <w:rFonts w:ascii="Times New Roman" w:hAnsi="Times New Roman"/>
          <w:sz w:val="24"/>
        </w:rPr>
        <w:t>the amendments to Rule 606</w:t>
      </w:r>
      <w:r w:rsidR="00715EED">
        <w:rPr>
          <w:rFonts w:ascii="Times New Roman" w:hAnsi="Times New Roman"/>
          <w:sz w:val="24"/>
        </w:rPr>
        <w:t>,</w:t>
      </w:r>
      <w:r w:rsidR="00A1796C">
        <w:rPr>
          <w:rFonts w:ascii="Times New Roman" w:hAnsi="Times New Roman"/>
          <w:sz w:val="24"/>
        </w:rPr>
        <w:t xml:space="preserve"> new defined terms </w:t>
      </w:r>
      <w:r w:rsidR="00715EED">
        <w:rPr>
          <w:rFonts w:ascii="Times New Roman" w:hAnsi="Times New Roman"/>
          <w:sz w:val="24"/>
        </w:rPr>
        <w:t xml:space="preserve">are being </w:t>
      </w:r>
      <w:r w:rsidR="00A1796C">
        <w:rPr>
          <w:rFonts w:ascii="Times New Roman" w:hAnsi="Times New Roman"/>
          <w:sz w:val="24"/>
        </w:rPr>
        <w:t>added to</w:t>
      </w:r>
      <w:r w:rsidR="00715EED">
        <w:rPr>
          <w:rFonts w:ascii="Times New Roman" w:hAnsi="Times New Roman"/>
          <w:sz w:val="24"/>
        </w:rPr>
        <w:t xml:space="preserve"> the definitions provision </w:t>
      </w:r>
      <w:r w:rsidR="00A1796C">
        <w:rPr>
          <w:rFonts w:ascii="Times New Roman" w:hAnsi="Times New Roman"/>
          <w:sz w:val="24"/>
        </w:rPr>
        <w:t xml:space="preserve">of Regulation NMS, </w:t>
      </w:r>
      <w:r w:rsidR="00715EED">
        <w:rPr>
          <w:rFonts w:ascii="Times New Roman" w:hAnsi="Times New Roman"/>
          <w:sz w:val="24"/>
        </w:rPr>
        <w:t>Rule 600</w:t>
      </w:r>
      <w:r w:rsidR="00A1796C">
        <w:rPr>
          <w:rFonts w:ascii="Times New Roman" w:hAnsi="Times New Roman"/>
          <w:sz w:val="24"/>
        </w:rPr>
        <w:t xml:space="preserve">, and </w:t>
      </w:r>
      <w:r w:rsidR="00715EED">
        <w:rPr>
          <w:rFonts w:ascii="Times New Roman" w:hAnsi="Times New Roman"/>
          <w:sz w:val="24"/>
        </w:rPr>
        <w:t xml:space="preserve">this will </w:t>
      </w:r>
      <w:r w:rsidR="00A1796C">
        <w:rPr>
          <w:rFonts w:ascii="Times New Roman" w:hAnsi="Times New Roman"/>
          <w:sz w:val="24"/>
        </w:rPr>
        <w:t>create a one-time hourly burde</w:t>
      </w:r>
      <w:r w:rsidR="00715EED">
        <w:rPr>
          <w:rFonts w:ascii="Times New Roman" w:hAnsi="Times New Roman"/>
          <w:sz w:val="24"/>
        </w:rPr>
        <w:t xml:space="preserve">n for respondents to </w:t>
      </w:r>
      <w:r w:rsidR="00715EED" w:rsidRPr="00B5438E">
        <w:rPr>
          <w:rFonts w:ascii="Times New Roman" w:eastAsia="MS Mincho" w:hAnsi="Times New Roman"/>
          <w:sz w:val="24"/>
        </w:rPr>
        <w:t>update compliance manuals and written supervisory procedures and update citation references to any defined term</w:t>
      </w:r>
      <w:r w:rsidR="00715EED">
        <w:rPr>
          <w:rFonts w:ascii="Times New Roman" w:eastAsia="MS Mincho" w:hAnsi="Times New Roman"/>
          <w:sz w:val="24"/>
        </w:rPr>
        <w:t>s in Rule 600 whose references may have changed.</w:t>
      </w:r>
    </w:p>
    <w:p w:rsidR="007621AA" w:rsidRPr="005403C8" w:rsidRDefault="007621AA" w:rsidP="007621AA">
      <w:pPr>
        <w:keepNext/>
        <w:keepLines/>
        <w:rPr>
          <w:rFonts w:ascii="Times New Roman" w:hAnsi="Times New Roman"/>
          <w:sz w:val="24"/>
        </w:rPr>
      </w:pPr>
    </w:p>
    <w:tbl>
      <w:tblPr>
        <w:tblW w:w="8103" w:type="dxa"/>
        <w:jc w:val="center"/>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3"/>
        <w:gridCol w:w="1709"/>
        <w:gridCol w:w="1351"/>
      </w:tblGrid>
      <w:tr w:rsidR="008E7488" w:rsidRPr="005403C8" w:rsidTr="008E7488">
        <w:trPr>
          <w:tblHeader/>
          <w:jc w:val="center"/>
        </w:trPr>
        <w:tc>
          <w:tcPr>
            <w:tcW w:w="5043" w:type="dxa"/>
            <w:tcBorders>
              <w:top w:val="single" w:sz="4" w:space="0" w:color="auto"/>
              <w:left w:val="single" w:sz="4" w:space="0" w:color="auto"/>
              <w:bottom w:val="single" w:sz="4" w:space="0" w:color="auto"/>
              <w:right w:val="single" w:sz="4" w:space="0" w:color="auto"/>
            </w:tcBorders>
            <w:shd w:val="pct25" w:color="auto" w:fill="auto"/>
            <w:tcMar>
              <w:top w:w="0" w:type="dxa"/>
              <w:left w:w="14" w:type="dxa"/>
              <w:bottom w:w="0" w:type="dxa"/>
              <w:right w:w="14" w:type="dxa"/>
            </w:tcMar>
          </w:tcPr>
          <w:p w:rsidR="008E7488" w:rsidRPr="005403C8" w:rsidRDefault="008E7488" w:rsidP="001A52EF">
            <w:pPr>
              <w:keepNext/>
              <w:keepLines/>
              <w:rPr>
                <w:rFonts w:ascii="Times New Roman" w:hAnsi="Times New Roman"/>
                <w:bCs/>
                <w:sz w:val="24"/>
              </w:rPr>
            </w:pPr>
            <w:r w:rsidRPr="005403C8">
              <w:rPr>
                <w:rFonts w:ascii="Times New Roman" w:hAnsi="Times New Roman"/>
                <w:bCs/>
                <w:sz w:val="24"/>
              </w:rPr>
              <w:t>Information Item</w:t>
            </w:r>
          </w:p>
        </w:tc>
        <w:tc>
          <w:tcPr>
            <w:tcW w:w="1709" w:type="dxa"/>
            <w:tcBorders>
              <w:top w:val="single" w:sz="4" w:space="0" w:color="auto"/>
              <w:left w:val="single" w:sz="4" w:space="0" w:color="auto"/>
              <w:bottom w:val="single" w:sz="4" w:space="0" w:color="auto"/>
              <w:right w:val="single" w:sz="4" w:space="0" w:color="auto"/>
            </w:tcBorders>
            <w:shd w:val="pct25" w:color="auto" w:fill="auto"/>
            <w:tcMar>
              <w:top w:w="0" w:type="dxa"/>
              <w:left w:w="14" w:type="dxa"/>
              <w:bottom w:w="0" w:type="dxa"/>
              <w:right w:w="14" w:type="dxa"/>
            </w:tcMar>
            <w:vAlign w:val="center"/>
            <w:hideMark/>
          </w:tcPr>
          <w:p w:rsidR="008E7488" w:rsidRPr="005403C8" w:rsidRDefault="008E7488" w:rsidP="001A52EF">
            <w:pPr>
              <w:keepNext/>
              <w:keepLines/>
              <w:jc w:val="center"/>
              <w:rPr>
                <w:rFonts w:ascii="Times New Roman" w:hAnsi="Times New Roman"/>
                <w:bCs/>
                <w:sz w:val="24"/>
              </w:rPr>
            </w:pPr>
            <w:r w:rsidRPr="005403C8">
              <w:rPr>
                <w:rFonts w:ascii="Times New Roman" w:hAnsi="Times New Roman"/>
                <w:bCs/>
                <w:sz w:val="24"/>
              </w:rPr>
              <w:t>Rule</w:t>
            </w:r>
          </w:p>
        </w:tc>
        <w:tc>
          <w:tcPr>
            <w:tcW w:w="1351" w:type="dxa"/>
            <w:tcBorders>
              <w:top w:val="single" w:sz="4" w:space="0" w:color="auto"/>
              <w:left w:val="single" w:sz="4" w:space="0" w:color="auto"/>
              <w:bottom w:val="single" w:sz="4" w:space="0" w:color="auto"/>
              <w:right w:val="single" w:sz="4" w:space="0" w:color="auto"/>
            </w:tcBorders>
            <w:shd w:val="pct25" w:color="auto" w:fill="auto"/>
          </w:tcPr>
          <w:p w:rsidR="008E7488" w:rsidRPr="005403C8" w:rsidRDefault="008E7488" w:rsidP="001A52EF">
            <w:pPr>
              <w:keepNext/>
              <w:keepLines/>
              <w:jc w:val="center"/>
              <w:rPr>
                <w:rFonts w:ascii="Times New Roman" w:hAnsi="Times New Roman"/>
                <w:bCs/>
                <w:sz w:val="24"/>
              </w:rPr>
            </w:pPr>
            <w:r w:rsidRPr="005403C8">
              <w:rPr>
                <w:rFonts w:ascii="Times New Roman" w:hAnsi="Times New Roman"/>
                <w:bCs/>
                <w:sz w:val="24"/>
              </w:rPr>
              <w:t>Existing or New Collection</w:t>
            </w:r>
          </w:p>
        </w:tc>
      </w:tr>
      <w:tr w:rsidR="008E7488" w:rsidRPr="005403C8" w:rsidTr="008E7488">
        <w:trPr>
          <w:jc w:val="center"/>
        </w:trPr>
        <w:tc>
          <w:tcPr>
            <w:tcW w:w="5043" w:type="dxa"/>
            <w:tcBorders>
              <w:top w:val="single" w:sz="4" w:space="0" w:color="auto"/>
              <w:left w:val="single" w:sz="4" w:space="0" w:color="auto"/>
              <w:bottom w:val="single" w:sz="4" w:space="0" w:color="auto"/>
              <w:right w:val="single" w:sz="4" w:space="0" w:color="auto"/>
            </w:tcBorders>
            <w:shd w:val="clear" w:color="auto" w:fill="auto"/>
            <w:tcMar>
              <w:top w:w="0" w:type="dxa"/>
              <w:left w:w="14" w:type="dxa"/>
              <w:bottom w:w="0" w:type="dxa"/>
              <w:right w:w="14" w:type="dxa"/>
            </w:tcMar>
          </w:tcPr>
          <w:p w:rsidR="008E7488" w:rsidRPr="005403C8" w:rsidRDefault="007C316B" w:rsidP="009F592F">
            <w:pPr>
              <w:keepNext/>
              <w:keepLines/>
              <w:rPr>
                <w:rFonts w:ascii="Times New Roman" w:hAnsi="Times New Roman"/>
                <w:sz w:val="24"/>
                <w:szCs w:val="22"/>
              </w:rPr>
            </w:pPr>
            <w:r>
              <w:rPr>
                <w:rFonts w:ascii="Times New Roman" w:hAnsi="Times New Roman"/>
                <w:sz w:val="24"/>
                <w:szCs w:val="22"/>
              </w:rPr>
              <w:t>Quarterly Public Disclosure on Routing of Held Orders and Options Contracts</w:t>
            </w:r>
          </w:p>
        </w:tc>
        <w:tc>
          <w:tcPr>
            <w:tcW w:w="1709" w:type="dxa"/>
            <w:tcBorders>
              <w:top w:val="single" w:sz="4" w:space="0" w:color="auto"/>
              <w:left w:val="single" w:sz="4" w:space="0" w:color="auto"/>
              <w:bottom w:val="single" w:sz="4" w:space="0" w:color="auto"/>
              <w:right w:val="single" w:sz="4" w:space="0" w:color="auto"/>
            </w:tcBorders>
            <w:shd w:val="clear" w:color="auto" w:fill="auto"/>
            <w:tcMar>
              <w:top w:w="0" w:type="dxa"/>
              <w:left w:w="14" w:type="dxa"/>
              <w:bottom w:w="0" w:type="dxa"/>
              <w:right w:w="14" w:type="dxa"/>
            </w:tcMar>
            <w:vAlign w:val="center"/>
          </w:tcPr>
          <w:p w:rsidR="008E7488" w:rsidRPr="005403C8" w:rsidRDefault="00E677C8" w:rsidP="002915F8">
            <w:pPr>
              <w:keepNext/>
              <w:keepLines/>
              <w:jc w:val="center"/>
              <w:rPr>
                <w:rFonts w:ascii="Times New Roman" w:hAnsi="Times New Roman"/>
                <w:bCs/>
                <w:sz w:val="24"/>
              </w:rPr>
            </w:pPr>
            <w:r w:rsidRPr="005403C8">
              <w:rPr>
                <w:rFonts w:ascii="Times New Roman" w:hAnsi="Times New Roman"/>
                <w:bCs/>
                <w:sz w:val="24"/>
              </w:rPr>
              <w:t>606(a)(1)</w:t>
            </w:r>
          </w:p>
        </w:tc>
        <w:tc>
          <w:tcPr>
            <w:tcW w:w="1351" w:type="dxa"/>
            <w:tcBorders>
              <w:top w:val="single" w:sz="4" w:space="0" w:color="auto"/>
              <w:left w:val="single" w:sz="4" w:space="0" w:color="auto"/>
              <w:bottom w:val="single" w:sz="4" w:space="0" w:color="auto"/>
              <w:right w:val="single" w:sz="4" w:space="0" w:color="auto"/>
            </w:tcBorders>
          </w:tcPr>
          <w:p w:rsidR="008E7488" w:rsidRPr="005403C8" w:rsidRDefault="00E677C8" w:rsidP="001A52EF">
            <w:pPr>
              <w:keepNext/>
              <w:keepLines/>
              <w:jc w:val="center"/>
              <w:rPr>
                <w:rFonts w:ascii="Times New Roman" w:hAnsi="Times New Roman"/>
                <w:bCs/>
                <w:sz w:val="24"/>
              </w:rPr>
            </w:pPr>
            <w:r>
              <w:rPr>
                <w:rFonts w:ascii="Times New Roman" w:hAnsi="Times New Roman"/>
                <w:bCs/>
                <w:sz w:val="24"/>
              </w:rPr>
              <w:t>Existing</w:t>
            </w:r>
          </w:p>
        </w:tc>
      </w:tr>
      <w:tr w:rsidR="002915F8" w:rsidRPr="005403C8" w:rsidTr="008E7488">
        <w:trPr>
          <w:jc w:val="center"/>
        </w:trPr>
        <w:tc>
          <w:tcPr>
            <w:tcW w:w="5043" w:type="dxa"/>
            <w:tcBorders>
              <w:top w:val="single" w:sz="4" w:space="0" w:color="auto"/>
              <w:left w:val="single" w:sz="4" w:space="0" w:color="auto"/>
              <w:bottom w:val="single" w:sz="4" w:space="0" w:color="auto"/>
              <w:right w:val="single" w:sz="4" w:space="0" w:color="auto"/>
            </w:tcBorders>
            <w:shd w:val="clear" w:color="auto" w:fill="auto"/>
            <w:tcMar>
              <w:top w:w="0" w:type="dxa"/>
              <w:left w:w="14" w:type="dxa"/>
              <w:bottom w:w="0" w:type="dxa"/>
              <w:right w:w="14" w:type="dxa"/>
            </w:tcMar>
          </w:tcPr>
          <w:p w:rsidR="002915F8" w:rsidRPr="005403C8" w:rsidRDefault="007C316B" w:rsidP="002915F8">
            <w:pPr>
              <w:keepNext/>
              <w:keepLines/>
              <w:rPr>
                <w:rFonts w:ascii="Times New Roman" w:hAnsi="Times New Roman"/>
                <w:sz w:val="24"/>
                <w:szCs w:val="22"/>
              </w:rPr>
            </w:pPr>
            <w:r>
              <w:rPr>
                <w:rFonts w:ascii="Times New Roman" w:hAnsi="Times New Roman"/>
                <w:sz w:val="24"/>
                <w:szCs w:val="22"/>
              </w:rPr>
              <w:t>Customer-Specific Disclosure on Routing of Held Orders, Exempt Not Held Orders, and Options Contracts</w:t>
            </w:r>
          </w:p>
        </w:tc>
        <w:tc>
          <w:tcPr>
            <w:tcW w:w="1709" w:type="dxa"/>
            <w:tcBorders>
              <w:top w:val="single" w:sz="4" w:space="0" w:color="auto"/>
              <w:left w:val="single" w:sz="4" w:space="0" w:color="auto"/>
              <w:bottom w:val="single" w:sz="4" w:space="0" w:color="auto"/>
              <w:right w:val="single" w:sz="4" w:space="0" w:color="auto"/>
            </w:tcBorders>
            <w:shd w:val="clear" w:color="auto" w:fill="auto"/>
            <w:tcMar>
              <w:top w:w="0" w:type="dxa"/>
              <w:left w:w="14" w:type="dxa"/>
              <w:bottom w:w="0" w:type="dxa"/>
              <w:right w:w="14" w:type="dxa"/>
            </w:tcMar>
            <w:vAlign w:val="center"/>
          </w:tcPr>
          <w:p w:rsidR="002915F8" w:rsidRPr="005403C8" w:rsidRDefault="002915F8" w:rsidP="002915F8">
            <w:pPr>
              <w:keepNext/>
              <w:keepLines/>
              <w:jc w:val="center"/>
              <w:rPr>
                <w:rFonts w:ascii="Times New Roman" w:hAnsi="Times New Roman"/>
                <w:bCs/>
                <w:sz w:val="24"/>
              </w:rPr>
            </w:pPr>
            <w:r>
              <w:rPr>
                <w:rFonts w:ascii="Times New Roman" w:hAnsi="Times New Roman"/>
                <w:bCs/>
                <w:sz w:val="24"/>
              </w:rPr>
              <w:t>606(b</w:t>
            </w:r>
            <w:r w:rsidRPr="005403C8">
              <w:rPr>
                <w:rFonts w:ascii="Times New Roman" w:hAnsi="Times New Roman"/>
                <w:bCs/>
                <w:sz w:val="24"/>
              </w:rPr>
              <w:t>)(1)</w:t>
            </w:r>
          </w:p>
        </w:tc>
        <w:tc>
          <w:tcPr>
            <w:tcW w:w="1351" w:type="dxa"/>
            <w:tcBorders>
              <w:top w:val="single" w:sz="4" w:space="0" w:color="auto"/>
              <w:left w:val="single" w:sz="4" w:space="0" w:color="auto"/>
              <w:bottom w:val="single" w:sz="4" w:space="0" w:color="auto"/>
              <w:right w:val="single" w:sz="4" w:space="0" w:color="auto"/>
            </w:tcBorders>
          </w:tcPr>
          <w:p w:rsidR="002915F8" w:rsidRDefault="002915F8" w:rsidP="001A52EF">
            <w:pPr>
              <w:keepNext/>
              <w:keepLines/>
              <w:jc w:val="center"/>
              <w:rPr>
                <w:rFonts w:ascii="Times New Roman" w:hAnsi="Times New Roman"/>
                <w:bCs/>
                <w:sz w:val="24"/>
              </w:rPr>
            </w:pPr>
            <w:r>
              <w:rPr>
                <w:rFonts w:ascii="Times New Roman" w:hAnsi="Times New Roman"/>
                <w:bCs/>
                <w:sz w:val="24"/>
              </w:rPr>
              <w:t>Existing</w:t>
            </w:r>
          </w:p>
        </w:tc>
      </w:tr>
      <w:tr w:rsidR="00715EED" w:rsidRPr="005403C8" w:rsidTr="0070379E">
        <w:trPr>
          <w:jc w:val="center"/>
        </w:trPr>
        <w:tc>
          <w:tcPr>
            <w:tcW w:w="5043" w:type="dxa"/>
            <w:tcBorders>
              <w:top w:val="single" w:sz="4" w:space="0" w:color="auto"/>
              <w:left w:val="single" w:sz="4" w:space="0" w:color="auto"/>
              <w:bottom w:val="single" w:sz="4" w:space="0" w:color="auto"/>
              <w:right w:val="single" w:sz="4" w:space="0" w:color="auto"/>
            </w:tcBorders>
            <w:shd w:val="clear" w:color="auto" w:fill="auto"/>
            <w:tcMar>
              <w:top w:w="0" w:type="dxa"/>
              <w:left w:w="14" w:type="dxa"/>
              <w:bottom w:w="0" w:type="dxa"/>
              <w:right w:w="14" w:type="dxa"/>
            </w:tcMar>
          </w:tcPr>
          <w:p w:rsidR="00715EED" w:rsidRPr="005403C8" w:rsidRDefault="00715EED" w:rsidP="0070379E">
            <w:pPr>
              <w:keepNext/>
              <w:keepLines/>
              <w:ind w:left="-1"/>
              <w:rPr>
                <w:rFonts w:ascii="Times New Roman" w:hAnsi="Times New Roman"/>
                <w:sz w:val="24"/>
                <w:szCs w:val="22"/>
                <w:u w:val="single"/>
              </w:rPr>
            </w:pPr>
            <w:r>
              <w:rPr>
                <w:rFonts w:ascii="Times New Roman" w:hAnsi="Times New Roman"/>
                <w:sz w:val="24"/>
                <w:szCs w:val="22"/>
              </w:rPr>
              <w:t>Customer-Specific Disclosure on Handling of Non-Exempt Not Held Orders</w:t>
            </w:r>
          </w:p>
        </w:tc>
        <w:tc>
          <w:tcPr>
            <w:tcW w:w="1709" w:type="dxa"/>
            <w:tcBorders>
              <w:top w:val="single" w:sz="4" w:space="0" w:color="auto"/>
              <w:left w:val="single" w:sz="4" w:space="0" w:color="auto"/>
              <w:bottom w:val="single" w:sz="4" w:space="0" w:color="auto"/>
              <w:right w:val="single" w:sz="4" w:space="0" w:color="auto"/>
            </w:tcBorders>
            <w:shd w:val="clear" w:color="auto" w:fill="auto"/>
            <w:tcMar>
              <w:top w:w="0" w:type="dxa"/>
              <w:left w:w="14" w:type="dxa"/>
              <w:bottom w:w="0" w:type="dxa"/>
              <w:right w:w="14" w:type="dxa"/>
            </w:tcMar>
            <w:vAlign w:val="center"/>
          </w:tcPr>
          <w:p w:rsidR="00715EED" w:rsidRPr="005403C8" w:rsidRDefault="00715EED" w:rsidP="0070379E">
            <w:pPr>
              <w:keepNext/>
              <w:keepLines/>
              <w:jc w:val="center"/>
              <w:rPr>
                <w:rFonts w:ascii="Times New Roman" w:hAnsi="Times New Roman"/>
                <w:bCs/>
                <w:sz w:val="24"/>
              </w:rPr>
            </w:pPr>
            <w:r w:rsidRPr="005403C8">
              <w:rPr>
                <w:rFonts w:ascii="Times New Roman" w:hAnsi="Times New Roman"/>
                <w:bCs/>
                <w:sz w:val="24"/>
              </w:rPr>
              <w:t>606(b)(3)</w:t>
            </w:r>
          </w:p>
        </w:tc>
        <w:tc>
          <w:tcPr>
            <w:tcW w:w="1351" w:type="dxa"/>
            <w:tcBorders>
              <w:top w:val="single" w:sz="4" w:space="0" w:color="auto"/>
              <w:left w:val="single" w:sz="4" w:space="0" w:color="auto"/>
              <w:bottom w:val="single" w:sz="4" w:space="0" w:color="auto"/>
              <w:right w:val="single" w:sz="4" w:space="0" w:color="auto"/>
            </w:tcBorders>
          </w:tcPr>
          <w:p w:rsidR="00715EED" w:rsidRPr="005403C8" w:rsidRDefault="00715EED" w:rsidP="0070379E">
            <w:pPr>
              <w:keepNext/>
              <w:keepLines/>
              <w:jc w:val="center"/>
              <w:rPr>
                <w:rFonts w:ascii="Times New Roman" w:hAnsi="Times New Roman"/>
                <w:bCs/>
                <w:sz w:val="24"/>
              </w:rPr>
            </w:pPr>
            <w:r w:rsidRPr="005403C8">
              <w:rPr>
                <w:rFonts w:ascii="Times New Roman" w:hAnsi="Times New Roman"/>
                <w:bCs/>
                <w:sz w:val="24"/>
              </w:rPr>
              <w:t>New</w:t>
            </w:r>
          </w:p>
        </w:tc>
      </w:tr>
      <w:tr w:rsidR="00780580" w:rsidRPr="005403C8" w:rsidTr="008E7488">
        <w:trPr>
          <w:jc w:val="center"/>
        </w:trPr>
        <w:tc>
          <w:tcPr>
            <w:tcW w:w="5043" w:type="dxa"/>
            <w:tcBorders>
              <w:top w:val="single" w:sz="4" w:space="0" w:color="auto"/>
              <w:left w:val="single" w:sz="4" w:space="0" w:color="auto"/>
              <w:bottom w:val="single" w:sz="4" w:space="0" w:color="auto"/>
              <w:right w:val="single" w:sz="4" w:space="0" w:color="auto"/>
            </w:tcBorders>
            <w:shd w:val="clear" w:color="auto" w:fill="auto"/>
            <w:tcMar>
              <w:top w:w="0" w:type="dxa"/>
              <w:left w:w="14" w:type="dxa"/>
              <w:bottom w:w="0" w:type="dxa"/>
              <w:right w:w="14" w:type="dxa"/>
            </w:tcMar>
          </w:tcPr>
          <w:p w:rsidR="00780580" w:rsidRDefault="00780580" w:rsidP="002915F8">
            <w:pPr>
              <w:keepNext/>
              <w:keepLines/>
              <w:rPr>
                <w:rFonts w:ascii="Times New Roman" w:hAnsi="Times New Roman"/>
                <w:sz w:val="24"/>
                <w:szCs w:val="22"/>
              </w:rPr>
            </w:pPr>
            <w:r>
              <w:rPr>
                <w:rFonts w:ascii="Times New Roman" w:hAnsi="Times New Roman"/>
                <w:sz w:val="24"/>
                <w:szCs w:val="22"/>
              </w:rPr>
              <w:t>Update compliance manuals</w:t>
            </w:r>
          </w:p>
        </w:tc>
        <w:tc>
          <w:tcPr>
            <w:tcW w:w="1709" w:type="dxa"/>
            <w:tcBorders>
              <w:top w:val="single" w:sz="4" w:space="0" w:color="auto"/>
              <w:left w:val="single" w:sz="4" w:space="0" w:color="auto"/>
              <w:bottom w:val="single" w:sz="4" w:space="0" w:color="auto"/>
              <w:right w:val="single" w:sz="4" w:space="0" w:color="auto"/>
            </w:tcBorders>
            <w:shd w:val="clear" w:color="auto" w:fill="auto"/>
            <w:tcMar>
              <w:top w:w="0" w:type="dxa"/>
              <w:left w:w="14" w:type="dxa"/>
              <w:bottom w:w="0" w:type="dxa"/>
              <w:right w:w="14" w:type="dxa"/>
            </w:tcMar>
            <w:vAlign w:val="center"/>
          </w:tcPr>
          <w:p w:rsidR="00780580" w:rsidRDefault="00A1796C" w:rsidP="002915F8">
            <w:pPr>
              <w:keepNext/>
              <w:keepLines/>
              <w:jc w:val="center"/>
              <w:rPr>
                <w:rFonts w:ascii="Times New Roman" w:hAnsi="Times New Roman"/>
                <w:bCs/>
                <w:sz w:val="24"/>
              </w:rPr>
            </w:pPr>
            <w:r>
              <w:rPr>
                <w:rFonts w:ascii="Times New Roman" w:hAnsi="Times New Roman"/>
                <w:bCs/>
                <w:sz w:val="24"/>
              </w:rPr>
              <w:t>600/</w:t>
            </w:r>
            <w:r w:rsidR="00780580">
              <w:rPr>
                <w:rFonts w:ascii="Times New Roman" w:hAnsi="Times New Roman"/>
                <w:bCs/>
                <w:sz w:val="24"/>
              </w:rPr>
              <w:t>606</w:t>
            </w:r>
          </w:p>
        </w:tc>
        <w:tc>
          <w:tcPr>
            <w:tcW w:w="1351" w:type="dxa"/>
            <w:tcBorders>
              <w:top w:val="single" w:sz="4" w:space="0" w:color="auto"/>
              <w:left w:val="single" w:sz="4" w:space="0" w:color="auto"/>
              <w:bottom w:val="single" w:sz="4" w:space="0" w:color="auto"/>
              <w:right w:val="single" w:sz="4" w:space="0" w:color="auto"/>
            </w:tcBorders>
          </w:tcPr>
          <w:p w:rsidR="00780580" w:rsidRDefault="00780580" w:rsidP="001A52EF">
            <w:pPr>
              <w:keepNext/>
              <w:keepLines/>
              <w:jc w:val="center"/>
              <w:rPr>
                <w:rFonts w:ascii="Times New Roman" w:hAnsi="Times New Roman"/>
                <w:bCs/>
                <w:sz w:val="24"/>
              </w:rPr>
            </w:pPr>
            <w:r>
              <w:rPr>
                <w:rFonts w:ascii="Times New Roman" w:hAnsi="Times New Roman"/>
                <w:bCs/>
                <w:sz w:val="24"/>
              </w:rPr>
              <w:t>New</w:t>
            </w:r>
          </w:p>
        </w:tc>
      </w:tr>
    </w:tbl>
    <w:p w:rsidR="005768EB" w:rsidRPr="005403C8" w:rsidRDefault="00385FC8" w:rsidP="00385FC8">
      <w:pPr>
        <w:tabs>
          <w:tab w:val="left" w:pos="5413"/>
        </w:tabs>
        <w:rPr>
          <w:rFonts w:ascii="Times New Roman" w:hAnsi="Times New Roman"/>
          <w:sz w:val="24"/>
        </w:rPr>
      </w:pPr>
      <w:r>
        <w:rPr>
          <w:rFonts w:ascii="Times New Roman" w:hAnsi="Times New Roman"/>
          <w:sz w:val="24"/>
        </w:rPr>
        <w:tab/>
      </w:r>
    </w:p>
    <w:p w:rsidR="005768EB" w:rsidRPr="005403C8" w:rsidRDefault="005768EB" w:rsidP="00AE1AC6">
      <w:pPr>
        <w:pStyle w:val="Heading2"/>
      </w:pPr>
      <w:r w:rsidRPr="005403C8">
        <w:tab/>
        <w:t>2.</w:t>
      </w:r>
      <w:r w:rsidRPr="005403C8">
        <w:tab/>
      </w:r>
      <w:r w:rsidRPr="005403C8">
        <w:rPr>
          <w:u w:val="single"/>
        </w:rPr>
        <w:t xml:space="preserve">Purpose </w:t>
      </w:r>
      <w:r w:rsidR="003734FD" w:rsidRPr="005403C8">
        <w:rPr>
          <w:u w:val="single"/>
        </w:rPr>
        <w:t xml:space="preserve">and Use </w:t>
      </w:r>
      <w:r w:rsidRPr="005403C8">
        <w:rPr>
          <w:u w:val="single"/>
        </w:rPr>
        <w:t>of the Information Collection</w:t>
      </w:r>
    </w:p>
    <w:p w:rsidR="005768EB" w:rsidRPr="005403C8" w:rsidRDefault="005768EB">
      <w:pPr>
        <w:rPr>
          <w:rFonts w:ascii="Times New Roman" w:hAnsi="Times New Roman"/>
          <w:sz w:val="24"/>
        </w:rPr>
      </w:pPr>
    </w:p>
    <w:p w:rsidR="00DC4733" w:rsidRDefault="005768EB">
      <w:pPr>
        <w:pStyle w:val="BodyTextIndent"/>
      </w:pPr>
      <w:r w:rsidRPr="005403C8">
        <w:t xml:space="preserve">The purpose of the information collection is to make information about order </w:t>
      </w:r>
      <w:r w:rsidR="00940B3C">
        <w:t>handling</w:t>
      </w:r>
      <w:r w:rsidRPr="005403C8">
        <w:t xml:space="preserve"> practices available to </w:t>
      </w:r>
      <w:r w:rsidR="008E424C" w:rsidRPr="005403C8">
        <w:t>individual investors and the</w:t>
      </w:r>
      <w:r w:rsidRPr="005403C8">
        <w:t xml:space="preserve"> public.  The information disclosed by Rule </w:t>
      </w:r>
      <w:r w:rsidR="001F0E63" w:rsidRPr="005403C8">
        <w:t>606</w:t>
      </w:r>
      <w:r w:rsidRPr="005403C8">
        <w:t xml:space="preserve"> is used by investors and broker-dealers.  Investors use the information in selecting a broker-dealer and in determining whether the broker-dealers they hav</w:t>
      </w:r>
      <w:r w:rsidR="00940B3C">
        <w:t>e chosen are making sound order handling</w:t>
      </w:r>
      <w:r w:rsidRPr="005403C8">
        <w:t xml:space="preserve"> decisions.  Broker-dealers use the information to compete on the basis of order </w:t>
      </w:r>
      <w:r w:rsidR="00940B3C">
        <w:t>handling</w:t>
      </w:r>
      <w:r w:rsidR="00940B3C" w:rsidRPr="005403C8">
        <w:t xml:space="preserve"> </w:t>
      </w:r>
      <w:r w:rsidRPr="005403C8">
        <w:t>services.</w:t>
      </w:r>
      <w:r w:rsidR="00B859DE" w:rsidRPr="005403C8">
        <w:t xml:space="preserve">  </w:t>
      </w:r>
    </w:p>
    <w:p w:rsidR="00DC4733" w:rsidRDefault="00DC4733">
      <w:pPr>
        <w:pStyle w:val="BodyTextIndent"/>
      </w:pPr>
    </w:p>
    <w:p w:rsidR="008E424C" w:rsidRDefault="00C231E2" w:rsidP="00DC4733">
      <w:pPr>
        <w:pStyle w:val="BodyTextIndent"/>
      </w:pPr>
      <w:r w:rsidRPr="00C231E2">
        <w:t xml:space="preserve">Generally, the order </w:t>
      </w:r>
      <w:r w:rsidR="00940B3C">
        <w:t>handling</w:t>
      </w:r>
      <w:r w:rsidR="00940B3C" w:rsidRPr="005403C8">
        <w:t xml:space="preserve"> </w:t>
      </w:r>
      <w:r w:rsidRPr="00C231E2">
        <w:t xml:space="preserve">disclosures required under the </w:t>
      </w:r>
      <w:r w:rsidR="00E677C8">
        <w:t>adopted</w:t>
      </w:r>
      <w:r w:rsidRPr="00C231E2">
        <w:t xml:space="preserve"> amendments to Rule 606 would </w:t>
      </w:r>
      <w:r w:rsidR="00E677C8">
        <w:t xml:space="preserve">provide detailed information </w:t>
      </w:r>
      <w:r w:rsidRPr="00C231E2">
        <w:t xml:space="preserve">that would enable </w:t>
      </w:r>
      <w:r w:rsidR="00E677C8">
        <w:t>investors</w:t>
      </w:r>
      <w:r w:rsidRPr="00C231E2">
        <w:t xml:space="preserve"> to evaluate how their orders were </w:t>
      </w:r>
      <w:r w:rsidR="00940B3C">
        <w:t>handled</w:t>
      </w:r>
      <w:r w:rsidRPr="00C231E2">
        <w:t xml:space="preserve"> by their broker-dealers, assess conflicts of interest facing their broker-dealers in providing order routing services, and have the ability to engage in informed discussions with their broker-dealers about the broker-dealer’s order </w:t>
      </w:r>
      <w:r w:rsidR="00940B3C">
        <w:t>handling</w:t>
      </w:r>
      <w:r w:rsidR="00940B3C" w:rsidRPr="005403C8">
        <w:t xml:space="preserve"> </w:t>
      </w:r>
      <w:r w:rsidRPr="00C231E2">
        <w:t xml:space="preserve">practices. The </w:t>
      </w:r>
      <w:r w:rsidR="007863C8">
        <w:t>adopted</w:t>
      </w:r>
      <w:r w:rsidRPr="00C231E2">
        <w:t xml:space="preserve"> order </w:t>
      </w:r>
      <w:r w:rsidR="00940B3C">
        <w:t>handling</w:t>
      </w:r>
      <w:r w:rsidR="00940B3C" w:rsidRPr="005403C8">
        <w:t xml:space="preserve"> </w:t>
      </w:r>
      <w:r w:rsidRPr="00C231E2">
        <w:t xml:space="preserve">disclosures could inform future decisions on whether to retain a broker-dealer’s order </w:t>
      </w:r>
      <w:r w:rsidR="00940B3C">
        <w:lastRenderedPageBreak/>
        <w:t>handling</w:t>
      </w:r>
      <w:r w:rsidR="00940B3C" w:rsidRPr="005403C8">
        <w:t xml:space="preserve"> </w:t>
      </w:r>
      <w:r w:rsidRPr="00C231E2">
        <w:t xml:space="preserve">services or engage the order </w:t>
      </w:r>
      <w:r w:rsidR="00940B3C">
        <w:t>handling</w:t>
      </w:r>
      <w:r w:rsidR="00940B3C" w:rsidRPr="005403C8">
        <w:t xml:space="preserve"> </w:t>
      </w:r>
      <w:r w:rsidRPr="00C231E2">
        <w:t xml:space="preserve">services of a new broker-dealer. In addition, broker-dealers may use the public disclosures to compete on the </w:t>
      </w:r>
      <w:r>
        <w:t xml:space="preserve">basis of order </w:t>
      </w:r>
      <w:r w:rsidR="00940B3C">
        <w:t>handling</w:t>
      </w:r>
      <w:r w:rsidR="00940B3C" w:rsidRPr="005403C8">
        <w:t xml:space="preserve"> </w:t>
      </w:r>
      <w:r>
        <w:t>services.</w:t>
      </w:r>
    </w:p>
    <w:p w:rsidR="00DC4733" w:rsidRPr="005403C8" w:rsidRDefault="00DC4733">
      <w:pPr>
        <w:pStyle w:val="BodyTextIndent"/>
      </w:pPr>
    </w:p>
    <w:p w:rsidR="005768EB" w:rsidRPr="005403C8" w:rsidRDefault="005768EB" w:rsidP="00AE1AC6">
      <w:pPr>
        <w:pStyle w:val="Heading2"/>
      </w:pPr>
      <w:r w:rsidRPr="005403C8">
        <w:tab/>
        <w:t>3.</w:t>
      </w:r>
      <w:r w:rsidRPr="005403C8">
        <w:tab/>
      </w:r>
      <w:r w:rsidR="003734FD" w:rsidRPr="005403C8">
        <w:rPr>
          <w:u w:val="single"/>
        </w:rPr>
        <w:t>Consideration Given to I</w:t>
      </w:r>
      <w:r w:rsidRPr="005403C8">
        <w:rPr>
          <w:u w:val="single"/>
        </w:rPr>
        <w:t>nformation Technology</w:t>
      </w:r>
      <w:r w:rsidRPr="005403C8">
        <w:t xml:space="preserve"> </w:t>
      </w:r>
    </w:p>
    <w:p w:rsidR="006E4840" w:rsidRDefault="006E4840" w:rsidP="006E4840">
      <w:pPr>
        <w:rPr>
          <w:rFonts w:ascii="Times New Roman" w:hAnsi="Times New Roman"/>
          <w:sz w:val="24"/>
        </w:rPr>
      </w:pPr>
    </w:p>
    <w:p w:rsidR="00F53C3B" w:rsidRPr="006E4840" w:rsidRDefault="00B04EC5" w:rsidP="006E4840">
      <w:pPr>
        <w:ind w:firstLine="720"/>
        <w:rPr>
          <w:rFonts w:ascii="Times New Roman" w:hAnsi="Times New Roman"/>
          <w:sz w:val="24"/>
        </w:rPr>
      </w:pPr>
      <w:r>
        <w:rPr>
          <w:rFonts w:ascii="Times New Roman" w:hAnsi="Times New Roman"/>
          <w:sz w:val="24"/>
        </w:rPr>
        <w:t xml:space="preserve">To comply with the adopted amendments to the Rule, all broker-dealers would incur burdens to update their systems to create and retain the information and disseminate the disclosures required by the Rule.  </w:t>
      </w:r>
      <w:r w:rsidR="006E4840">
        <w:rPr>
          <w:rFonts w:ascii="Times New Roman" w:hAnsi="Times New Roman"/>
          <w:sz w:val="24"/>
          <w:szCs w:val="22"/>
        </w:rPr>
        <w:t>The Commission also adopted a new requirement to require that all thr</w:t>
      </w:r>
      <w:r w:rsidR="00FD1BB7">
        <w:rPr>
          <w:rFonts w:ascii="Times New Roman" w:hAnsi="Times New Roman"/>
          <w:sz w:val="24"/>
          <w:szCs w:val="22"/>
        </w:rPr>
        <w:t>e</w:t>
      </w:r>
      <w:r w:rsidR="006E4840">
        <w:rPr>
          <w:rFonts w:ascii="Times New Roman" w:hAnsi="Times New Roman"/>
          <w:sz w:val="24"/>
          <w:szCs w:val="22"/>
        </w:rPr>
        <w:t xml:space="preserve">e disclosures </w:t>
      </w:r>
      <w:r w:rsidR="006E4840" w:rsidRPr="00385FC8">
        <w:rPr>
          <w:rFonts w:ascii="Times New Roman" w:hAnsi="Times New Roman"/>
          <w:sz w:val="24"/>
          <w:szCs w:val="22"/>
        </w:rPr>
        <w:t>be made available using the most recent versions of the XML schema and the associated PDF renderer as published on the Commission’s Web site</w:t>
      </w:r>
      <w:r>
        <w:rPr>
          <w:rFonts w:ascii="Times New Roman" w:hAnsi="Times New Roman"/>
          <w:sz w:val="24"/>
          <w:szCs w:val="22"/>
        </w:rPr>
        <w:t>, compliance with which would also require broker-dealers to incur burdens.</w:t>
      </w:r>
      <w:r w:rsidR="006E4840">
        <w:rPr>
          <w:rFonts w:ascii="Times New Roman" w:hAnsi="Times New Roman"/>
          <w:sz w:val="24"/>
        </w:rPr>
        <w:t xml:space="preserve">  </w:t>
      </w:r>
    </w:p>
    <w:p w:rsidR="00DD14E3" w:rsidRPr="005403C8" w:rsidRDefault="00DD14E3" w:rsidP="00F53C3B">
      <w:pPr>
        <w:rPr>
          <w:rFonts w:ascii="Times New Roman" w:hAnsi="Times New Roman"/>
          <w:sz w:val="24"/>
        </w:rPr>
      </w:pPr>
    </w:p>
    <w:p w:rsidR="005768EB" w:rsidRPr="005403C8" w:rsidRDefault="008B485C" w:rsidP="008B485C">
      <w:pPr>
        <w:tabs>
          <w:tab w:val="left" w:pos="6570"/>
        </w:tabs>
        <w:ind w:firstLine="720"/>
        <w:rPr>
          <w:rFonts w:ascii="Times New Roman" w:hAnsi="Times New Roman"/>
          <w:sz w:val="24"/>
        </w:rPr>
      </w:pPr>
      <w:r>
        <w:rPr>
          <w:rFonts w:ascii="Times New Roman" w:hAnsi="Times New Roman"/>
          <w:sz w:val="24"/>
        </w:rPr>
        <w:t>The Commiss</w:t>
      </w:r>
      <w:r w:rsidR="00FD1BB7">
        <w:rPr>
          <w:rFonts w:ascii="Times New Roman" w:hAnsi="Times New Roman"/>
          <w:sz w:val="24"/>
        </w:rPr>
        <w:t xml:space="preserve">ion believes </w:t>
      </w:r>
      <w:r>
        <w:rPr>
          <w:rFonts w:ascii="Times New Roman" w:hAnsi="Times New Roman"/>
          <w:sz w:val="24"/>
        </w:rPr>
        <w:t>that</w:t>
      </w:r>
      <w:r w:rsidR="002915F8">
        <w:rPr>
          <w:rFonts w:ascii="Times New Roman" w:hAnsi="Times New Roman"/>
          <w:sz w:val="24"/>
        </w:rPr>
        <w:t xml:space="preserve"> </w:t>
      </w:r>
      <w:r>
        <w:rPr>
          <w:rFonts w:ascii="Times New Roman" w:hAnsi="Times New Roman"/>
          <w:sz w:val="24"/>
        </w:rPr>
        <w:t xml:space="preserve">broker-dealers </w:t>
      </w:r>
      <w:r w:rsidR="00FD1BB7">
        <w:rPr>
          <w:rFonts w:ascii="Times New Roman" w:hAnsi="Times New Roman"/>
          <w:sz w:val="24"/>
        </w:rPr>
        <w:t>would</w:t>
      </w:r>
      <w:r>
        <w:rPr>
          <w:rFonts w:ascii="Times New Roman" w:hAnsi="Times New Roman"/>
          <w:sz w:val="24"/>
        </w:rPr>
        <w:t xml:space="preserve"> </w:t>
      </w:r>
      <w:r w:rsidRPr="008B485C">
        <w:rPr>
          <w:rFonts w:ascii="Times New Roman" w:hAnsi="Times New Roman"/>
          <w:sz w:val="24"/>
        </w:rPr>
        <w:t>upgrade their systems either in-house or</w:t>
      </w:r>
      <w:r>
        <w:rPr>
          <w:rFonts w:ascii="Times New Roman" w:hAnsi="Times New Roman"/>
          <w:sz w:val="24"/>
        </w:rPr>
        <w:t xml:space="preserve"> </w:t>
      </w:r>
      <w:r w:rsidRPr="008B485C">
        <w:rPr>
          <w:rFonts w:ascii="Times New Roman" w:hAnsi="Times New Roman"/>
          <w:sz w:val="24"/>
        </w:rPr>
        <w:t>via a third-party service provider</w:t>
      </w:r>
      <w:r w:rsidR="00DD14E3" w:rsidRPr="005403C8">
        <w:rPr>
          <w:rFonts w:ascii="Times New Roman" w:hAnsi="Times New Roman"/>
          <w:sz w:val="24"/>
        </w:rPr>
        <w:t>.</w:t>
      </w:r>
      <w:r w:rsidRPr="005403C8">
        <w:rPr>
          <w:rStyle w:val="FootnoteReference"/>
          <w:rFonts w:ascii="Times New Roman" w:hAnsi="Times New Roman"/>
          <w:sz w:val="24"/>
          <w:vertAlign w:val="superscript"/>
        </w:rPr>
        <w:footnoteReference w:id="6"/>
      </w:r>
      <w:r w:rsidR="00DD14E3" w:rsidRPr="005403C8">
        <w:rPr>
          <w:rFonts w:ascii="Times New Roman" w:hAnsi="Times New Roman"/>
          <w:sz w:val="24"/>
        </w:rPr>
        <w:t xml:space="preserve">  The Commission </w:t>
      </w:r>
      <w:r>
        <w:rPr>
          <w:rFonts w:ascii="Times New Roman" w:hAnsi="Times New Roman"/>
          <w:sz w:val="24"/>
        </w:rPr>
        <w:t>solicited</w:t>
      </w:r>
      <w:r w:rsidR="00DD14E3" w:rsidRPr="005403C8">
        <w:rPr>
          <w:rFonts w:ascii="Times New Roman" w:hAnsi="Times New Roman"/>
          <w:sz w:val="24"/>
        </w:rPr>
        <w:t xml:space="preserve"> comment on whether there are ways to minimize the burden of collection of information on those who are to respond, including through the use of automated collection techniques or other forms of information technology</w:t>
      </w:r>
      <w:r w:rsidR="00D176F5" w:rsidRPr="005403C8">
        <w:rPr>
          <w:rStyle w:val="FootnoteReference"/>
          <w:rFonts w:ascii="Times New Roman" w:hAnsi="Times New Roman"/>
          <w:sz w:val="24"/>
          <w:vertAlign w:val="superscript"/>
        </w:rPr>
        <w:footnoteReference w:id="7"/>
      </w:r>
      <w:r w:rsidR="002915F8">
        <w:rPr>
          <w:rFonts w:ascii="Times New Roman" w:hAnsi="Times New Roman"/>
          <w:sz w:val="24"/>
        </w:rPr>
        <w:t xml:space="preserve"> and received no comments</w:t>
      </w:r>
      <w:r w:rsidR="00DD14E3" w:rsidRPr="005403C8">
        <w:rPr>
          <w:rFonts w:ascii="Times New Roman" w:hAnsi="Times New Roman"/>
          <w:sz w:val="24"/>
        </w:rPr>
        <w:t>.</w:t>
      </w:r>
    </w:p>
    <w:p w:rsidR="00AA6294" w:rsidRPr="005403C8" w:rsidRDefault="00AA6294">
      <w:pPr>
        <w:ind w:firstLine="720"/>
        <w:rPr>
          <w:rFonts w:ascii="Times New Roman" w:hAnsi="Times New Roman"/>
          <w:sz w:val="24"/>
        </w:rPr>
      </w:pPr>
    </w:p>
    <w:p w:rsidR="00DC4733" w:rsidRPr="005403C8" w:rsidRDefault="00DC4733" w:rsidP="00DC4733">
      <w:pPr>
        <w:ind w:firstLine="720"/>
        <w:rPr>
          <w:rFonts w:ascii="Times New Roman" w:hAnsi="Times New Roman"/>
          <w:sz w:val="24"/>
        </w:rPr>
      </w:pPr>
      <w:r w:rsidRPr="00DC4733">
        <w:rPr>
          <w:rFonts w:ascii="Times New Roman" w:hAnsi="Times New Roman"/>
          <w:sz w:val="24"/>
        </w:rPr>
        <w:t>Broker-dealers are not prohibited from using any technology that facilitates consumer understanding and that permits review, as appropriate, by the Commission or other appropriate regulatory authorities.</w:t>
      </w:r>
    </w:p>
    <w:p w:rsidR="005768EB" w:rsidRPr="005403C8" w:rsidRDefault="005768EB">
      <w:pPr>
        <w:rPr>
          <w:rFonts w:ascii="Times New Roman" w:hAnsi="Times New Roman"/>
          <w:sz w:val="24"/>
        </w:rPr>
      </w:pPr>
    </w:p>
    <w:p w:rsidR="005768EB" w:rsidRPr="005403C8" w:rsidRDefault="005768EB">
      <w:pPr>
        <w:rPr>
          <w:rFonts w:ascii="Times New Roman" w:hAnsi="Times New Roman"/>
          <w:sz w:val="24"/>
        </w:rPr>
      </w:pPr>
      <w:r w:rsidRPr="005403C8">
        <w:rPr>
          <w:rFonts w:ascii="Times New Roman" w:hAnsi="Times New Roman"/>
          <w:sz w:val="24"/>
        </w:rPr>
        <w:tab/>
        <w:t>4.</w:t>
      </w:r>
      <w:r w:rsidRPr="005403C8">
        <w:rPr>
          <w:rFonts w:ascii="Times New Roman" w:hAnsi="Times New Roman"/>
          <w:sz w:val="24"/>
        </w:rPr>
        <w:tab/>
      </w:r>
      <w:r w:rsidR="003734FD" w:rsidRPr="005403C8">
        <w:rPr>
          <w:rStyle w:val="Heading2Char"/>
          <w:rFonts w:ascii="Times New Roman" w:hAnsi="Times New Roman"/>
          <w:u w:val="single"/>
        </w:rPr>
        <w:t>Du</w:t>
      </w:r>
      <w:r w:rsidRPr="005403C8">
        <w:rPr>
          <w:rStyle w:val="Heading2Char"/>
          <w:rFonts w:ascii="Times New Roman" w:hAnsi="Times New Roman"/>
          <w:u w:val="single"/>
        </w:rPr>
        <w:t>plication</w:t>
      </w:r>
    </w:p>
    <w:p w:rsidR="005768EB" w:rsidRPr="005403C8" w:rsidRDefault="005768EB">
      <w:pPr>
        <w:rPr>
          <w:rFonts w:ascii="Times New Roman" w:hAnsi="Times New Roman"/>
          <w:sz w:val="24"/>
        </w:rPr>
      </w:pPr>
    </w:p>
    <w:p w:rsidR="005768EB" w:rsidRPr="005403C8" w:rsidRDefault="005768EB" w:rsidP="009F66C3">
      <w:pPr>
        <w:spacing w:after="240"/>
        <w:ind w:firstLine="720"/>
        <w:rPr>
          <w:rFonts w:ascii="Times New Roman" w:hAnsi="Times New Roman"/>
          <w:sz w:val="24"/>
        </w:rPr>
      </w:pPr>
      <w:r w:rsidRPr="005403C8">
        <w:rPr>
          <w:rFonts w:ascii="Times New Roman" w:hAnsi="Times New Roman"/>
          <w:sz w:val="24"/>
        </w:rPr>
        <w:t xml:space="preserve">Duplication of information is </w:t>
      </w:r>
      <w:r w:rsidR="00AA6294" w:rsidRPr="005403C8">
        <w:rPr>
          <w:rFonts w:ascii="Times New Roman" w:hAnsi="Times New Roman"/>
          <w:sz w:val="24"/>
        </w:rPr>
        <w:t xml:space="preserve">currently </w:t>
      </w:r>
      <w:r w:rsidRPr="005403C8">
        <w:rPr>
          <w:rFonts w:ascii="Times New Roman" w:hAnsi="Times New Roman"/>
          <w:sz w:val="24"/>
        </w:rPr>
        <w:t xml:space="preserve">not a concern; the reported information is not </w:t>
      </w:r>
      <w:r w:rsidR="00B04EC5">
        <w:rPr>
          <w:rFonts w:ascii="Times New Roman" w:hAnsi="Times New Roman"/>
          <w:sz w:val="24"/>
        </w:rPr>
        <w:t>available</w:t>
      </w:r>
      <w:r w:rsidR="00B04EC5" w:rsidRPr="005403C8">
        <w:rPr>
          <w:rFonts w:ascii="Times New Roman" w:hAnsi="Times New Roman"/>
          <w:sz w:val="24"/>
        </w:rPr>
        <w:t xml:space="preserve"> </w:t>
      </w:r>
      <w:r w:rsidRPr="005403C8">
        <w:rPr>
          <w:rFonts w:ascii="Times New Roman" w:hAnsi="Times New Roman"/>
          <w:sz w:val="24"/>
        </w:rPr>
        <w:t>elsewhere.</w:t>
      </w:r>
      <w:r w:rsidR="00AA6294" w:rsidRPr="005403C8">
        <w:rPr>
          <w:rFonts w:ascii="Times New Roman" w:hAnsi="Times New Roman"/>
          <w:sz w:val="24"/>
        </w:rPr>
        <w:t xml:space="preserve"> </w:t>
      </w:r>
    </w:p>
    <w:p w:rsidR="005768EB" w:rsidRPr="005403C8" w:rsidRDefault="005768EB">
      <w:pPr>
        <w:keepNext/>
        <w:tabs>
          <w:tab w:val="left" w:pos="-1440"/>
        </w:tabs>
        <w:ind w:left="720" w:hanging="720"/>
        <w:rPr>
          <w:rFonts w:ascii="Times New Roman" w:hAnsi="Times New Roman"/>
          <w:sz w:val="24"/>
        </w:rPr>
      </w:pPr>
      <w:r w:rsidRPr="005403C8">
        <w:rPr>
          <w:rFonts w:ascii="Times New Roman" w:hAnsi="Times New Roman"/>
          <w:sz w:val="24"/>
        </w:rPr>
        <w:tab/>
        <w:t>5.</w:t>
      </w:r>
      <w:r w:rsidRPr="005403C8">
        <w:rPr>
          <w:rFonts w:ascii="Times New Roman" w:hAnsi="Times New Roman"/>
          <w:sz w:val="24"/>
        </w:rPr>
        <w:tab/>
      </w:r>
      <w:r w:rsidRPr="005403C8">
        <w:rPr>
          <w:rStyle w:val="Heading2Char"/>
          <w:rFonts w:ascii="Times New Roman" w:hAnsi="Times New Roman"/>
          <w:u w:val="single"/>
        </w:rPr>
        <w:t>Effect on Small Entities</w:t>
      </w:r>
    </w:p>
    <w:p w:rsidR="005768EB" w:rsidRPr="005403C8" w:rsidRDefault="005768EB">
      <w:pPr>
        <w:keepNext/>
        <w:rPr>
          <w:rFonts w:ascii="Times New Roman" w:hAnsi="Times New Roman"/>
          <w:sz w:val="24"/>
        </w:rPr>
      </w:pPr>
    </w:p>
    <w:p w:rsidR="005768EB" w:rsidRPr="005403C8" w:rsidRDefault="005768EB">
      <w:pPr>
        <w:pStyle w:val="BodyTextIndent"/>
        <w:widowControl/>
      </w:pPr>
      <w:r w:rsidRPr="005403C8">
        <w:t>Under the standard for determining whether a broker-dealer is a small entity in Exchange Act Rule 0-10(b), the Commissi</w:t>
      </w:r>
      <w:r w:rsidR="00DC4733">
        <w:t>on estimates that no</w:t>
      </w:r>
      <w:r w:rsidR="00F64DCE" w:rsidRPr="005403C8">
        <w:t xml:space="preserve"> </w:t>
      </w:r>
      <w:r w:rsidRPr="005403C8">
        <w:t>broker-dealer</w:t>
      </w:r>
      <w:r w:rsidR="00DC4733">
        <w:t>s</w:t>
      </w:r>
      <w:r w:rsidRPr="005403C8">
        <w:t xml:space="preserve"> subject to </w:t>
      </w:r>
      <w:r w:rsidR="007863C8">
        <w:t>adopted</w:t>
      </w:r>
      <w:r w:rsidR="00DC4733">
        <w:t xml:space="preserve"> </w:t>
      </w:r>
      <w:r w:rsidRPr="005403C8">
        <w:t xml:space="preserve">Rule </w:t>
      </w:r>
      <w:r w:rsidR="008026FC" w:rsidRPr="005403C8">
        <w:t>606</w:t>
      </w:r>
      <w:r w:rsidRPr="005403C8">
        <w:t xml:space="preserve"> </w:t>
      </w:r>
      <w:r w:rsidR="00F64DCE" w:rsidRPr="005403C8">
        <w:t>is a</w:t>
      </w:r>
      <w:r w:rsidRPr="005403C8">
        <w:t xml:space="preserve"> small entit</w:t>
      </w:r>
      <w:r w:rsidR="00F64DCE" w:rsidRPr="005403C8">
        <w:t>y</w:t>
      </w:r>
      <w:r w:rsidRPr="005403C8">
        <w:t xml:space="preserve">.  </w:t>
      </w:r>
    </w:p>
    <w:p w:rsidR="005768EB" w:rsidRPr="005403C8" w:rsidRDefault="005768EB">
      <w:pPr>
        <w:rPr>
          <w:rFonts w:ascii="Times New Roman" w:hAnsi="Times New Roman"/>
          <w:sz w:val="24"/>
        </w:rPr>
      </w:pPr>
    </w:p>
    <w:p w:rsidR="005768EB" w:rsidRPr="005403C8" w:rsidRDefault="005768EB">
      <w:pPr>
        <w:tabs>
          <w:tab w:val="left" w:pos="-1440"/>
        </w:tabs>
        <w:ind w:left="720" w:hanging="720"/>
        <w:rPr>
          <w:rFonts w:ascii="Times New Roman" w:hAnsi="Times New Roman"/>
          <w:sz w:val="24"/>
        </w:rPr>
      </w:pPr>
      <w:r w:rsidRPr="005403C8">
        <w:rPr>
          <w:rFonts w:ascii="Times New Roman" w:hAnsi="Times New Roman"/>
          <w:sz w:val="24"/>
        </w:rPr>
        <w:tab/>
        <w:t>6.</w:t>
      </w:r>
      <w:r w:rsidRPr="005403C8">
        <w:rPr>
          <w:rFonts w:ascii="Times New Roman" w:hAnsi="Times New Roman"/>
          <w:sz w:val="24"/>
        </w:rPr>
        <w:tab/>
      </w:r>
      <w:r w:rsidRPr="005403C8">
        <w:rPr>
          <w:rStyle w:val="Heading2Char"/>
          <w:rFonts w:ascii="Times New Roman" w:hAnsi="Times New Roman"/>
          <w:u w:val="single"/>
        </w:rPr>
        <w:t xml:space="preserve">Consequences of </w:t>
      </w:r>
      <w:r w:rsidR="003734FD" w:rsidRPr="005403C8">
        <w:rPr>
          <w:rStyle w:val="Heading2Char"/>
          <w:rFonts w:ascii="Times New Roman" w:hAnsi="Times New Roman"/>
          <w:u w:val="single"/>
        </w:rPr>
        <w:t>Not Conducting</w:t>
      </w:r>
      <w:r w:rsidRPr="005403C8">
        <w:rPr>
          <w:rStyle w:val="Heading2Char"/>
          <w:rFonts w:ascii="Times New Roman" w:hAnsi="Times New Roman"/>
          <w:u w:val="single"/>
        </w:rPr>
        <w:t xml:space="preserve"> Collection</w:t>
      </w:r>
    </w:p>
    <w:p w:rsidR="005768EB" w:rsidRPr="005403C8" w:rsidRDefault="005768EB">
      <w:pPr>
        <w:rPr>
          <w:rFonts w:ascii="Times New Roman" w:hAnsi="Times New Roman"/>
          <w:sz w:val="24"/>
        </w:rPr>
      </w:pPr>
    </w:p>
    <w:p w:rsidR="00EF7569" w:rsidRPr="005403C8" w:rsidRDefault="00EF7569" w:rsidP="00EF7569">
      <w:pPr>
        <w:ind w:firstLine="720"/>
        <w:rPr>
          <w:rFonts w:ascii="Times New Roman" w:hAnsi="Times New Roman"/>
          <w:sz w:val="24"/>
        </w:rPr>
      </w:pPr>
      <w:r>
        <w:rPr>
          <w:rFonts w:ascii="Times New Roman" w:hAnsi="Times New Roman"/>
          <w:sz w:val="24"/>
        </w:rPr>
        <w:t xml:space="preserve">The quarterly and customer-specific disclosures on </w:t>
      </w:r>
      <w:r w:rsidR="00B43C19">
        <w:rPr>
          <w:rFonts w:ascii="Times New Roman" w:hAnsi="Times New Roman"/>
          <w:sz w:val="24"/>
        </w:rPr>
        <w:t>order handling</w:t>
      </w:r>
      <w:r>
        <w:rPr>
          <w:rFonts w:ascii="Times New Roman" w:hAnsi="Times New Roman"/>
          <w:sz w:val="24"/>
        </w:rPr>
        <w:t xml:space="preserve"> </w:t>
      </w:r>
      <w:r w:rsidR="007863C8">
        <w:rPr>
          <w:rFonts w:ascii="Times New Roman" w:hAnsi="Times New Roman"/>
          <w:sz w:val="24"/>
        </w:rPr>
        <w:t>adopted</w:t>
      </w:r>
      <w:r>
        <w:rPr>
          <w:rFonts w:ascii="Times New Roman" w:hAnsi="Times New Roman"/>
          <w:sz w:val="24"/>
        </w:rPr>
        <w:t xml:space="preserve"> in the amendments to Rule 606 would </w:t>
      </w:r>
      <w:r w:rsidRPr="005403C8">
        <w:rPr>
          <w:rFonts w:ascii="Times New Roman" w:hAnsi="Times New Roman"/>
          <w:sz w:val="24"/>
        </w:rPr>
        <w:t>allow customers to evaluate and monitor their broker-dealer’s order routing decisions</w:t>
      </w:r>
      <w:r>
        <w:rPr>
          <w:rFonts w:ascii="Times New Roman" w:hAnsi="Times New Roman"/>
          <w:sz w:val="24"/>
        </w:rPr>
        <w:t xml:space="preserve"> on both a periodic and ad-hoc basis</w:t>
      </w:r>
      <w:r w:rsidRPr="005403C8">
        <w:rPr>
          <w:rFonts w:ascii="Times New Roman" w:hAnsi="Times New Roman"/>
          <w:sz w:val="24"/>
        </w:rPr>
        <w:t xml:space="preserve">.  A less frequent collection would limit investors’ opportunities to undertake this critical evaluation.   </w:t>
      </w:r>
    </w:p>
    <w:p w:rsidR="00EF7569" w:rsidRPr="005403C8" w:rsidRDefault="00EF7569" w:rsidP="00EF7569">
      <w:pPr>
        <w:rPr>
          <w:rFonts w:ascii="Times New Roman" w:hAnsi="Times New Roman"/>
          <w:sz w:val="24"/>
        </w:rPr>
      </w:pPr>
    </w:p>
    <w:p w:rsidR="005768EB" w:rsidRPr="005403C8" w:rsidRDefault="005768EB">
      <w:pPr>
        <w:tabs>
          <w:tab w:val="left" w:pos="-1440"/>
        </w:tabs>
        <w:ind w:left="720" w:hanging="720"/>
        <w:rPr>
          <w:rFonts w:ascii="Times New Roman" w:hAnsi="Times New Roman"/>
          <w:sz w:val="24"/>
        </w:rPr>
      </w:pPr>
      <w:r w:rsidRPr="005403C8">
        <w:rPr>
          <w:rFonts w:ascii="Times New Roman" w:hAnsi="Times New Roman"/>
          <w:sz w:val="24"/>
        </w:rPr>
        <w:tab/>
        <w:t>7.</w:t>
      </w:r>
      <w:r w:rsidRPr="005403C8">
        <w:rPr>
          <w:rFonts w:ascii="Times New Roman" w:hAnsi="Times New Roman"/>
          <w:sz w:val="24"/>
        </w:rPr>
        <w:tab/>
      </w:r>
      <w:r w:rsidRPr="005403C8">
        <w:rPr>
          <w:rStyle w:val="Heading2Char"/>
          <w:rFonts w:ascii="Times New Roman" w:hAnsi="Times New Roman"/>
          <w:u w:val="single"/>
        </w:rPr>
        <w:t>Inconsistencies with Guidelines in 5 CFR Part 1320.5(d)(2)</w:t>
      </w:r>
    </w:p>
    <w:p w:rsidR="005768EB" w:rsidRPr="005403C8" w:rsidRDefault="005768EB">
      <w:pPr>
        <w:rPr>
          <w:rFonts w:ascii="Times New Roman" w:hAnsi="Times New Roman"/>
          <w:sz w:val="24"/>
        </w:rPr>
      </w:pPr>
    </w:p>
    <w:p w:rsidR="005768EB" w:rsidRPr="005403C8" w:rsidRDefault="003734FD">
      <w:pPr>
        <w:ind w:firstLine="720"/>
        <w:rPr>
          <w:rFonts w:ascii="Times New Roman" w:hAnsi="Times New Roman"/>
          <w:sz w:val="24"/>
        </w:rPr>
      </w:pPr>
      <w:r w:rsidRPr="005403C8">
        <w:rPr>
          <w:rFonts w:ascii="Times New Roman" w:hAnsi="Times New Roman"/>
          <w:sz w:val="24"/>
        </w:rPr>
        <w:t>There are no special circumstances.  This c</w:t>
      </w:r>
      <w:r w:rsidR="005768EB" w:rsidRPr="005403C8">
        <w:rPr>
          <w:rFonts w:ascii="Times New Roman" w:hAnsi="Times New Roman"/>
          <w:sz w:val="24"/>
        </w:rPr>
        <w:t xml:space="preserve">ollection is consistent with </w:t>
      </w:r>
      <w:r w:rsidRPr="005403C8">
        <w:rPr>
          <w:rFonts w:ascii="Times New Roman" w:hAnsi="Times New Roman"/>
          <w:sz w:val="24"/>
        </w:rPr>
        <w:t xml:space="preserve">the guidelines in </w:t>
      </w:r>
      <w:r w:rsidR="005768EB" w:rsidRPr="005403C8">
        <w:rPr>
          <w:rFonts w:ascii="Times New Roman" w:hAnsi="Times New Roman"/>
          <w:sz w:val="24"/>
        </w:rPr>
        <w:t xml:space="preserve">5 CFR 1320.5(d)(2).  </w:t>
      </w:r>
    </w:p>
    <w:p w:rsidR="005768EB" w:rsidRPr="005403C8" w:rsidRDefault="005768EB" w:rsidP="007621AA">
      <w:pPr>
        <w:keepNext/>
        <w:keepLines/>
        <w:rPr>
          <w:rFonts w:ascii="Times New Roman" w:hAnsi="Times New Roman"/>
          <w:sz w:val="24"/>
        </w:rPr>
      </w:pPr>
    </w:p>
    <w:p w:rsidR="005768EB" w:rsidRPr="005403C8" w:rsidRDefault="005768EB" w:rsidP="007621AA">
      <w:pPr>
        <w:keepNext/>
        <w:keepLines/>
        <w:tabs>
          <w:tab w:val="left" w:pos="-1440"/>
        </w:tabs>
        <w:ind w:left="720" w:hanging="720"/>
        <w:rPr>
          <w:rFonts w:ascii="Times New Roman" w:hAnsi="Times New Roman"/>
          <w:sz w:val="24"/>
        </w:rPr>
      </w:pPr>
      <w:r w:rsidRPr="005403C8">
        <w:rPr>
          <w:rFonts w:ascii="Times New Roman" w:hAnsi="Times New Roman"/>
          <w:sz w:val="24"/>
        </w:rPr>
        <w:tab/>
        <w:t>8.</w:t>
      </w:r>
      <w:r w:rsidRPr="005403C8">
        <w:rPr>
          <w:rFonts w:ascii="Times New Roman" w:hAnsi="Times New Roman"/>
          <w:sz w:val="24"/>
        </w:rPr>
        <w:tab/>
      </w:r>
      <w:r w:rsidRPr="005403C8">
        <w:rPr>
          <w:rStyle w:val="Heading2Char"/>
          <w:rFonts w:ascii="Times New Roman" w:hAnsi="Times New Roman"/>
          <w:u w:val="single"/>
        </w:rPr>
        <w:t>Consultations Outside the Agency</w:t>
      </w:r>
    </w:p>
    <w:p w:rsidR="008912FD" w:rsidRPr="005403C8" w:rsidRDefault="008912FD" w:rsidP="002C32BD">
      <w:pPr>
        <w:rPr>
          <w:rFonts w:ascii="Times New Roman" w:hAnsi="Times New Roman"/>
          <w:sz w:val="24"/>
        </w:rPr>
      </w:pPr>
    </w:p>
    <w:p w:rsidR="005768EB" w:rsidRDefault="00085100" w:rsidP="003870A1">
      <w:pPr>
        <w:ind w:firstLine="720"/>
        <w:rPr>
          <w:rFonts w:ascii="Times New Roman" w:hAnsi="Times New Roman"/>
          <w:sz w:val="24"/>
        </w:rPr>
      </w:pPr>
      <w:r w:rsidRPr="005403C8">
        <w:rPr>
          <w:rFonts w:ascii="Times New Roman" w:hAnsi="Times New Roman"/>
          <w:sz w:val="24"/>
        </w:rPr>
        <w:t>T</w:t>
      </w:r>
      <w:r w:rsidR="00AA6294" w:rsidRPr="005403C8">
        <w:rPr>
          <w:rFonts w:ascii="Times New Roman" w:hAnsi="Times New Roman"/>
          <w:sz w:val="24"/>
        </w:rPr>
        <w:t xml:space="preserve">he Commission </w:t>
      </w:r>
      <w:r w:rsidRPr="005403C8">
        <w:rPr>
          <w:rFonts w:ascii="Times New Roman" w:hAnsi="Times New Roman"/>
          <w:sz w:val="24"/>
        </w:rPr>
        <w:t>solicited</w:t>
      </w:r>
      <w:r w:rsidR="00AA6294" w:rsidRPr="005403C8">
        <w:rPr>
          <w:rFonts w:ascii="Times New Roman" w:hAnsi="Times New Roman"/>
          <w:sz w:val="24"/>
        </w:rPr>
        <w:t xml:space="preserve"> comment</w:t>
      </w:r>
      <w:r w:rsidRPr="005403C8">
        <w:rPr>
          <w:rFonts w:ascii="Times New Roman" w:hAnsi="Times New Roman"/>
          <w:sz w:val="24"/>
        </w:rPr>
        <w:t>s</w:t>
      </w:r>
      <w:r w:rsidR="00AA6294" w:rsidRPr="005403C8">
        <w:rPr>
          <w:rFonts w:ascii="Times New Roman" w:hAnsi="Times New Roman"/>
          <w:sz w:val="24"/>
        </w:rPr>
        <w:t xml:space="preserve"> on the proposed </w:t>
      </w:r>
      <w:r w:rsidR="008A7B09" w:rsidRPr="005403C8">
        <w:rPr>
          <w:rFonts w:ascii="Times New Roman" w:hAnsi="Times New Roman"/>
          <w:sz w:val="24"/>
        </w:rPr>
        <w:t xml:space="preserve">new </w:t>
      </w:r>
      <w:r w:rsidR="00AA6294" w:rsidRPr="005403C8">
        <w:rPr>
          <w:rFonts w:ascii="Times New Roman" w:hAnsi="Times New Roman"/>
          <w:sz w:val="24"/>
        </w:rPr>
        <w:t>collecti</w:t>
      </w:r>
      <w:r w:rsidR="008A7B09" w:rsidRPr="005403C8">
        <w:rPr>
          <w:rFonts w:ascii="Times New Roman" w:hAnsi="Times New Roman"/>
          <w:sz w:val="24"/>
        </w:rPr>
        <w:t>on of information</w:t>
      </w:r>
      <w:r w:rsidR="00AA6294" w:rsidRPr="005403C8">
        <w:rPr>
          <w:rFonts w:ascii="Times New Roman" w:hAnsi="Times New Roman"/>
          <w:sz w:val="24"/>
        </w:rPr>
        <w:t xml:space="preserve"> requirements and associated paperwork burdens</w:t>
      </w:r>
      <w:r w:rsidR="003870A1">
        <w:rPr>
          <w:rFonts w:ascii="Times New Roman" w:hAnsi="Times New Roman"/>
          <w:sz w:val="24"/>
        </w:rPr>
        <w:t>.</w:t>
      </w:r>
      <w:r w:rsidR="002C32BD" w:rsidRPr="005403C8">
        <w:rPr>
          <w:rStyle w:val="FootnoteReference"/>
          <w:rFonts w:ascii="Times New Roman" w:hAnsi="Times New Roman"/>
          <w:sz w:val="24"/>
          <w:vertAlign w:val="superscript"/>
        </w:rPr>
        <w:footnoteReference w:id="8"/>
      </w:r>
      <w:r w:rsidR="00AA6294" w:rsidRPr="005403C8">
        <w:rPr>
          <w:rFonts w:ascii="Times New Roman" w:hAnsi="Times New Roman"/>
          <w:sz w:val="24"/>
        </w:rPr>
        <w:t xml:space="preserve">  </w:t>
      </w:r>
      <w:r w:rsidR="003870A1" w:rsidRPr="005403C8">
        <w:rPr>
          <w:rFonts w:ascii="Times New Roman" w:hAnsi="Times New Roman"/>
          <w:sz w:val="24"/>
        </w:rPr>
        <w:t xml:space="preserve">The Commission </w:t>
      </w:r>
      <w:r w:rsidR="003870A1" w:rsidRPr="003870A1">
        <w:rPr>
          <w:rFonts w:ascii="Times New Roman" w:hAnsi="Times New Roman"/>
          <w:sz w:val="24"/>
        </w:rPr>
        <w:t xml:space="preserve">received one comment </w:t>
      </w:r>
      <w:r w:rsidR="00B04EC5">
        <w:rPr>
          <w:rFonts w:ascii="Times New Roman" w:hAnsi="Times New Roman"/>
          <w:sz w:val="24"/>
        </w:rPr>
        <w:t xml:space="preserve">letter </w:t>
      </w:r>
      <w:r w:rsidR="003870A1" w:rsidRPr="003870A1">
        <w:rPr>
          <w:rFonts w:ascii="Times New Roman" w:hAnsi="Times New Roman"/>
          <w:sz w:val="24"/>
        </w:rPr>
        <w:t xml:space="preserve">on </w:t>
      </w:r>
      <w:r w:rsidR="003870A1">
        <w:rPr>
          <w:rFonts w:ascii="Times New Roman" w:hAnsi="Times New Roman"/>
          <w:sz w:val="24"/>
        </w:rPr>
        <w:t>the</w:t>
      </w:r>
      <w:r w:rsidR="003870A1" w:rsidRPr="003870A1">
        <w:rPr>
          <w:rFonts w:ascii="Times New Roman" w:hAnsi="Times New Roman"/>
          <w:sz w:val="24"/>
        </w:rPr>
        <w:t xml:space="preserve"> estimates of the collection of information burden included in the Proposal.</w:t>
      </w:r>
      <w:bookmarkStart w:id="4" w:name="_Ref526344125"/>
      <w:r w:rsidR="003870A1" w:rsidRPr="005403C8">
        <w:rPr>
          <w:rStyle w:val="FootnoteReference"/>
          <w:rFonts w:ascii="Times New Roman" w:hAnsi="Times New Roman"/>
          <w:sz w:val="24"/>
          <w:vertAlign w:val="superscript"/>
        </w:rPr>
        <w:footnoteReference w:id="9"/>
      </w:r>
      <w:bookmarkEnd w:id="4"/>
      <w:r w:rsidR="003870A1" w:rsidRPr="003870A1">
        <w:rPr>
          <w:rFonts w:ascii="Times New Roman" w:hAnsi="Times New Roman"/>
          <w:sz w:val="24"/>
        </w:rPr>
        <w:t xml:space="preserve">   </w:t>
      </w:r>
      <w:r w:rsidR="003870A1" w:rsidRPr="005403C8">
        <w:rPr>
          <w:rFonts w:ascii="Times New Roman" w:hAnsi="Times New Roman"/>
          <w:sz w:val="24"/>
        </w:rPr>
        <w:t xml:space="preserve">The Commission </w:t>
      </w:r>
      <w:r w:rsidR="003870A1" w:rsidRPr="003870A1">
        <w:rPr>
          <w:rFonts w:ascii="Times New Roman" w:hAnsi="Times New Roman"/>
          <w:sz w:val="24"/>
        </w:rPr>
        <w:t>considered all comments received prior to publishing the final rule as required by 5 C.F.R. 1320.11(f)</w:t>
      </w:r>
      <w:r w:rsidR="0070379E">
        <w:rPr>
          <w:rFonts w:ascii="Times New Roman" w:hAnsi="Times New Roman"/>
          <w:sz w:val="24"/>
        </w:rPr>
        <w:t xml:space="preserve"> </w:t>
      </w:r>
      <w:r w:rsidR="002B0A33">
        <w:rPr>
          <w:rFonts w:ascii="Times New Roman" w:hAnsi="Times New Roman"/>
          <w:sz w:val="24"/>
        </w:rPr>
        <w:t xml:space="preserve">and, as a result, </w:t>
      </w:r>
      <w:r w:rsidR="0070379E">
        <w:rPr>
          <w:rFonts w:ascii="Times New Roman" w:hAnsi="Times New Roman"/>
          <w:sz w:val="24"/>
        </w:rPr>
        <w:t>revised burden estimates for Rule 606(a)(1) and Rule 606(b)(3) upward as described</w:t>
      </w:r>
      <w:r w:rsidR="00F22AA0">
        <w:rPr>
          <w:rFonts w:ascii="Times New Roman" w:hAnsi="Times New Roman"/>
          <w:sz w:val="24"/>
        </w:rPr>
        <w:t xml:space="preserve"> in Item 12</w:t>
      </w:r>
      <w:r w:rsidR="003870A1" w:rsidRPr="003870A1">
        <w:rPr>
          <w:rFonts w:ascii="Times New Roman" w:hAnsi="Times New Roman"/>
          <w:sz w:val="24"/>
        </w:rPr>
        <w:t xml:space="preserve">.   The letter </w:t>
      </w:r>
      <w:r w:rsidR="0070379E">
        <w:rPr>
          <w:rFonts w:ascii="Times New Roman" w:hAnsi="Times New Roman"/>
          <w:sz w:val="24"/>
        </w:rPr>
        <w:t>is</w:t>
      </w:r>
      <w:r w:rsidR="003870A1" w:rsidRPr="003870A1">
        <w:rPr>
          <w:rFonts w:ascii="Times New Roman" w:hAnsi="Times New Roman"/>
          <w:sz w:val="24"/>
        </w:rPr>
        <w:t xml:space="preserve"> available to the public on the Commission’s website at </w:t>
      </w:r>
      <w:hyperlink r:id="rId9" w:history="1">
        <w:r w:rsidR="003870A1" w:rsidRPr="00664C84">
          <w:rPr>
            <w:rStyle w:val="Hyperlink"/>
            <w:rFonts w:ascii="Times New Roman" w:hAnsi="Times New Roman"/>
            <w:sz w:val="24"/>
          </w:rPr>
          <w:t>https://www.sec.gov/comments/s7-14-16/s71416.htm</w:t>
        </w:r>
      </w:hyperlink>
      <w:r w:rsidR="003870A1" w:rsidRPr="003870A1">
        <w:rPr>
          <w:rFonts w:ascii="Times New Roman" w:hAnsi="Times New Roman"/>
          <w:sz w:val="24"/>
        </w:rPr>
        <w:t>.</w:t>
      </w:r>
    </w:p>
    <w:p w:rsidR="003870A1" w:rsidRPr="005403C8" w:rsidRDefault="003870A1" w:rsidP="003870A1">
      <w:pPr>
        <w:ind w:firstLine="720"/>
        <w:rPr>
          <w:rFonts w:ascii="Times New Roman" w:hAnsi="Times New Roman"/>
          <w:sz w:val="24"/>
        </w:rPr>
      </w:pPr>
    </w:p>
    <w:p w:rsidR="005768EB" w:rsidRPr="005403C8" w:rsidRDefault="005768EB">
      <w:pPr>
        <w:ind w:firstLine="720"/>
        <w:rPr>
          <w:rFonts w:ascii="Times New Roman" w:hAnsi="Times New Roman"/>
          <w:sz w:val="24"/>
        </w:rPr>
      </w:pPr>
      <w:r w:rsidRPr="005403C8">
        <w:rPr>
          <w:rFonts w:ascii="Times New Roman" w:hAnsi="Times New Roman"/>
          <w:sz w:val="24"/>
        </w:rPr>
        <w:t>9.</w:t>
      </w:r>
      <w:r w:rsidRPr="005403C8">
        <w:rPr>
          <w:rFonts w:ascii="Times New Roman" w:hAnsi="Times New Roman"/>
          <w:sz w:val="24"/>
        </w:rPr>
        <w:tab/>
      </w:r>
      <w:r w:rsidRPr="005403C8">
        <w:rPr>
          <w:rStyle w:val="Heading2Char"/>
          <w:rFonts w:ascii="Times New Roman" w:hAnsi="Times New Roman"/>
          <w:u w:val="single"/>
        </w:rPr>
        <w:t>Payment or Gift</w:t>
      </w:r>
    </w:p>
    <w:p w:rsidR="005768EB" w:rsidRPr="005403C8" w:rsidRDefault="005768EB">
      <w:pPr>
        <w:rPr>
          <w:rFonts w:ascii="Times New Roman" w:hAnsi="Times New Roman"/>
          <w:sz w:val="24"/>
        </w:rPr>
      </w:pPr>
    </w:p>
    <w:p w:rsidR="005768EB" w:rsidRPr="005403C8" w:rsidRDefault="005768EB">
      <w:pPr>
        <w:ind w:left="720"/>
        <w:rPr>
          <w:rFonts w:ascii="Times New Roman" w:hAnsi="Times New Roman"/>
          <w:sz w:val="24"/>
        </w:rPr>
      </w:pPr>
      <w:r w:rsidRPr="005403C8">
        <w:rPr>
          <w:rFonts w:ascii="Times New Roman" w:hAnsi="Times New Roman"/>
          <w:sz w:val="24"/>
        </w:rPr>
        <w:t>Not applicable.</w:t>
      </w:r>
    </w:p>
    <w:p w:rsidR="005768EB" w:rsidRPr="005403C8" w:rsidRDefault="005768EB">
      <w:pPr>
        <w:keepNext/>
        <w:widowControl/>
        <w:tabs>
          <w:tab w:val="left" w:pos="-1440"/>
        </w:tabs>
        <w:ind w:left="720" w:hanging="720"/>
        <w:rPr>
          <w:rFonts w:ascii="Times New Roman" w:hAnsi="Times New Roman"/>
          <w:sz w:val="24"/>
        </w:rPr>
      </w:pPr>
      <w:r w:rsidRPr="005403C8">
        <w:rPr>
          <w:rFonts w:ascii="Times New Roman" w:hAnsi="Times New Roman"/>
          <w:sz w:val="24"/>
        </w:rPr>
        <w:tab/>
      </w:r>
    </w:p>
    <w:p w:rsidR="005768EB" w:rsidRPr="005403C8" w:rsidRDefault="005768EB">
      <w:pPr>
        <w:keepNext/>
        <w:widowControl/>
        <w:tabs>
          <w:tab w:val="left" w:pos="-1440"/>
        </w:tabs>
        <w:ind w:left="720" w:hanging="720"/>
        <w:rPr>
          <w:rFonts w:ascii="Times New Roman" w:hAnsi="Times New Roman"/>
          <w:sz w:val="24"/>
        </w:rPr>
      </w:pPr>
      <w:r w:rsidRPr="005403C8">
        <w:rPr>
          <w:rFonts w:ascii="Times New Roman" w:hAnsi="Times New Roman"/>
          <w:sz w:val="24"/>
        </w:rPr>
        <w:tab/>
        <w:t>10.</w:t>
      </w:r>
      <w:r w:rsidRPr="005403C8">
        <w:rPr>
          <w:rFonts w:ascii="Times New Roman" w:hAnsi="Times New Roman"/>
          <w:sz w:val="24"/>
        </w:rPr>
        <w:tab/>
      </w:r>
      <w:r w:rsidRPr="005403C8">
        <w:rPr>
          <w:rStyle w:val="Heading2Char"/>
          <w:rFonts w:ascii="Times New Roman" w:hAnsi="Times New Roman"/>
          <w:u w:val="single"/>
        </w:rPr>
        <w:t>Confidentiality</w:t>
      </w:r>
    </w:p>
    <w:p w:rsidR="005768EB" w:rsidRPr="005403C8" w:rsidRDefault="005768EB">
      <w:pPr>
        <w:rPr>
          <w:rFonts w:ascii="Times New Roman" w:hAnsi="Times New Roman"/>
          <w:sz w:val="24"/>
        </w:rPr>
      </w:pPr>
    </w:p>
    <w:p w:rsidR="00C31A02" w:rsidRPr="005403C8" w:rsidRDefault="005768EB" w:rsidP="00C74BCB">
      <w:pPr>
        <w:ind w:firstLine="720"/>
        <w:rPr>
          <w:rFonts w:ascii="Times New Roman" w:hAnsi="Times New Roman"/>
          <w:sz w:val="24"/>
        </w:rPr>
      </w:pPr>
      <w:r w:rsidRPr="005403C8">
        <w:rPr>
          <w:rFonts w:ascii="Times New Roman" w:hAnsi="Times New Roman"/>
          <w:sz w:val="24"/>
        </w:rPr>
        <w:t>Not applicable.</w:t>
      </w:r>
    </w:p>
    <w:p w:rsidR="005768EB" w:rsidRPr="005403C8" w:rsidRDefault="005768EB">
      <w:pPr>
        <w:rPr>
          <w:rFonts w:ascii="Times New Roman" w:hAnsi="Times New Roman"/>
          <w:sz w:val="24"/>
        </w:rPr>
      </w:pPr>
    </w:p>
    <w:p w:rsidR="005768EB" w:rsidRPr="005403C8" w:rsidRDefault="005768EB">
      <w:pPr>
        <w:tabs>
          <w:tab w:val="left" w:pos="-1440"/>
        </w:tabs>
        <w:ind w:left="720" w:hanging="720"/>
        <w:rPr>
          <w:rFonts w:ascii="Times New Roman" w:hAnsi="Times New Roman"/>
          <w:sz w:val="24"/>
        </w:rPr>
      </w:pPr>
      <w:r w:rsidRPr="005403C8">
        <w:rPr>
          <w:rFonts w:ascii="Times New Roman" w:hAnsi="Times New Roman"/>
          <w:sz w:val="24"/>
        </w:rPr>
        <w:tab/>
        <w:t>11.</w:t>
      </w:r>
      <w:r w:rsidRPr="005403C8">
        <w:rPr>
          <w:rFonts w:ascii="Times New Roman" w:hAnsi="Times New Roman"/>
          <w:sz w:val="24"/>
        </w:rPr>
        <w:tab/>
      </w:r>
      <w:r w:rsidRPr="005403C8">
        <w:rPr>
          <w:rStyle w:val="Heading2Char"/>
          <w:rFonts w:ascii="Times New Roman" w:hAnsi="Times New Roman"/>
          <w:u w:val="single"/>
        </w:rPr>
        <w:t>Sensitive Questions</w:t>
      </w:r>
    </w:p>
    <w:p w:rsidR="005768EB" w:rsidRPr="005403C8" w:rsidRDefault="005768EB">
      <w:pPr>
        <w:rPr>
          <w:rFonts w:ascii="Times New Roman" w:hAnsi="Times New Roman"/>
          <w:sz w:val="24"/>
        </w:rPr>
      </w:pPr>
    </w:p>
    <w:p w:rsidR="005768EB" w:rsidRDefault="009D1C5D" w:rsidP="009D1C5D">
      <w:pPr>
        <w:ind w:firstLine="720"/>
        <w:rPr>
          <w:rFonts w:ascii="Times New Roman" w:hAnsi="Times New Roman"/>
          <w:sz w:val="24"/>
        </w:rPr>
      </w:pPr>
      <w:r w:rsidRPr="009D1C5D">
        <w:rPr>
          <w:rFonts w:ascii="Times New Roman" w:hAnsi="Times New Roman"/>
          <w:sz w:val="24"/>
        </w:rPr>
        <w:t>No information of a sensitive nature, will be required under this collection of information.  The information collection does not collect personally identifiable information (PII).</w:t>
      </w:r>
      <w:r>
        <w:rPr>
          <w:rFonts w:ascii="Times New Roman" w:hAnsi="Times New Roman"/>
          <w:sz w:val="24"/>
        </w:rPr>
        <w:t xml:space="preserve"> </w:t>
      </w:r>
      <w:r w:rsidRPr="009D1C5D">
        <w:rPr>
          <w:rFonts w:ascii="Times New Roman" w:hAnsi="Times New Roman"/>
          <w:sz w:val="24"/>
        </w:rPr>
        <w:t xml:space="preserve"> The agency has determined that a system of records notice (SORN) and privacy impact assessment (PIA) are not required in connection with the collection of information.</w:t>
      </w:r>
    </w:p>
    <w:p w:rsidR="009D1C5D" w:rsidRPr="005403C8" w:rsidRDefault="009D1C5D" w:rsidP="009D1C5D">
      <w:pPr>
        <w:ind w:firstLine="720"/>
        <w:rPr>
          <w:rFonts w:ascii="Times New Roman" w:hAnsi="Times New Roman"/>
          <w:sz w:val="24"/>
        </w:rPr>
      </w:pPr>
    </w:p>
    <w:p w:rsidR="005768EB" w:rsidRPr="005403C8" w:rsidRDefault="005768EB">
      <w:pPr>
        <w:tabs>
          <w:tab w:val="left" w:pos="-1440"/>
        </w:tabs>
        <w:ind w:left="720" w:hanging="720"/>
        <w:rPr>
          <w:rFonts w:ascii="Times New Roman" w:hAnsi="Times New Roman"/>
          <w:sz w:val="24"/>
        </w:rPr>
      </w:pPr>
      <w:r w:rsidRPr="005403C8">
        <w:rPr>
          <w:rFonts w:ascii="Times New Roman" w:hAnsi="Times New Roman"/>
          <w:sz w:val="24"/>
        </w:rPr>
        <w:tab/>
        <w:t>12.</w:t>
      </w:r>
      <w:r w:rsidRPr="005403C8">
        <w:rPr>
          <w:rFonts w:ascii="Times New Roman" w:hAnsi="Times New Roman"/>
          <w:sz w:val="24"/>
        </w:rPr>
        <w:tab/>
      </w:r>
      <w:r w:rsidRPr="005403C8">
        <w:rPr>
          <w:rFonts w:ascii="Times New Roman" w:hAnsi="Times New Roman"/>
          <w:sz w:val="24"/>
          <w:u w:val="single"/>
        </w:rPr>
        <w:t>Burden</w:t>
      </w:r>
      <w:r w:rsidR="003734FD" w:rsidRPr="005403C8">
        <w:rPr>
          <w:rFonts w:ascii="Times New Roman" w:hAnsi="Times New Roman"/>
          <w:sz w:val="24"/>
          <w:u w:val="single"/>
        </w:rPr>
        <w:t xml:space="preserve"> of Information Collection</w:t>
      </w:r>
    </w:p>
    <w:p w:rsidR="00385FC8" w:rsidRPr="005403C8" w:rsidRDefault="00385FC8" w:rsidP="00B06858">
      <w:pPr>
        <w:rPr>
          <w:rFonts w:ascii="Times New Roman" w:hAnsi="Times New Roman"/>
          <w:sz w:val="24"/>
        </w:rPr>
      </w:pPr>
    </w:p>
    <w:p w:rsidR="00B06858" w:rsidRPr="005403C8" w:rsidRDefault="00B06858" w:rsidP="00B06858">
      <w:pPr>
        <w:numPr>
          <w:ilvl w:val="0"/>
          <w:numId w:val="16"/>
        </w:numPr>
        <w:rPr>
          <w:rFonts w:ascii="Times New Roman" w:hAnsi="Times New Roman"/>
          <w:sz w:val="24"/>
          <w:u w:val="single"/>
        </w:rPr>
      </w:pPr>
      <w:r w:rsidRPr="005403C8">
        <w:rPr>
          <w:rFonts w:ascii="Times New Roman" w:hAnsi="Times New Roman"/>
          <w:sz w:val="24"/>
          <w:u w:val="single"/>
        </w:rPr>
        <w:t xml:space="preserve">Burden of </w:t>
      </w:r>
      <w:r w:rsidR="006E4840">
        <w:rPr>
          <w:rFonts w:ascii="Times New Roman" w:hAnsi="Times New Roman"/>
          <w:sz w:val="24"/>
          <w:u w:val="single"/>
        </w:rPr>
        <w:t xml:space="preserve">Previous </w:t>
      </w:r>
      <w:r w:rsidRPr="005403C8">
        <w:rPr>
          <w:rFonts w:ascii="Times New Roman" w:hAnsi="Times New Roman"/>
          <w:sz w:val="24"/>
          <w:u w:val="single"/>
        </w:rPr>
        <w:t>Rule 606</w:t>
      </w:r>
    </w:p>
    <w:p w:rsidR="00B06858" w:rsidRPr="005403C8" w:rsidRDefault="00B06858" w:rsidP="00B06858">
      <w:pPr>
        <w:rPr>
          <w:rFonts w:ascii="Times New Roman" w:hAnsi="Times New Roman"/>
          <w:sz w:val="24"/>
        </w:rPr>
      </w:pPr>
    </w:p>
    <w:p w:rsidR="00B06858" w:rsidRPr="005403C8" w:rsidRDefault="00B06858" w:rsidP="00B06858">
      <w:pPr>
        <w:ind w:firstLine="720"/>
        <w:rPr>
          <w:rFonts w:ascii="Times New Roman" w:hAnsi="Times New Roman"/>
          <w:sz w:val="24"/>
        </w:rPr>
      </w:pPr>
      <w:r w:rsidRPr="005403C8">
        <w:rPr>
          <w:rFonts w:ascii="Times New Roman" w:hAnsi="Times New Roman"/>
          <w:sz w:val="24"/>
        </w:rPr>
        <w:t>The collection of information obligations of</w:t>
      </w:r>
      <w:r w:rsidR="003870A1">
        <w:rPr>
          <w:rFonts w:ascii="Times New Roman" w:hAnsi="Times New Roman"/>
          <w:sz w:val="24"/>
        </w:rPr>
        <w:t xml:space="preserve"> the previous version of Rule 606 applied</w:t>
      </w:r>
      <w:r w:rsidRPr="005403C8">
        <w:rPr>
          <w:rFonts w:ascii="Times New Roman" w:hAnsi="Times New Roman"/>
          <w:sz w:val="24"/>
        </w:rPr>
        <w:t xml:space="preserve"> to broker-dealers that route non-directed customer orders in covered securities.  As of the most recent PRA renewal i</w:t>
      </w:r>
      <w:r w:rsidR="003870A1">
        <w:rPr>
          <w:rFonts w:ascii="Times New Roman" w:hAnsi="Times New Roman"/>
          <w:sz w:val="24"/>
        </w:rPr>
        <w:t>n 2016, the Commission estimated</w:t>
      </w:r>
      <w:r w:rsidRPr="005403C8">
        <w:rPr>
          <w:rFonts w:ascii="Times New Roman" w:hAnsi="Times New Roman"/>
          <w:sz w:val="24"/>
        </w:rPr>
        <w:t xml:space="preserve"> that there are 266 broker-dealers (185 clearing brokers and 81 introducing brokers) that are potentially subject to the collection of information obligations of Rule 606.</w:t>
      </w:r>
      <w:r w:rsidR="004755A0" w:rsidRPr="005403C8">
        <w:rPr>
          <w:rStyle w:val="FootnoteReference"/>
          <w:rFonts w:ascii="Times New Roman" w:hAnsi="Times New Roman"/>
          <w:sz w:val="24"/>
          <w:vertAlign w:val="superscript"/>
        </w:rPr>
        <w:footnoteReference w:id="10"/>
      </w:r>
      <w:r w:rsidRPr="005403C8">
        <w:rPr>
          <w:rFonts w:ascii="Times New Roman" w:hAnsi="Times New Roman"/>
          <w:sz w:val="24"/>
        </w:rPr>
        <w:t xml:space="preserve"> </w:t>
      </w:r>
      <w:r w:rsidR="007863C8">
        <w:rPr>
          <w:rFonts w:ascii="Times New Roman" w:hAnsi="Times New Roman"/>
          <w:sz w:val="24"/>
        </w:rPr>
        <w:t xml:space="preserve"> </w:t>
      </w:r>
      <w:r w:rsidRPr="005403C8">
        <w:rPr>
          <w:rFonts w:ascii="Times New Roman" w:hAnsi="Times New Roman"/>
          <w:sz w:val="24"/>
        </w:rPr>
        <w:t xml:space="preserve">Each of these respondents (if engaged in the business of routing non-directed orders on behalf of customers) is required to respond to the collection of information on a quarterly basis with respect to the Rule’s reporting obligations, and on an ongoing basis with respect to the Rule’s requirement to respond to customer requests for order routing information.  </w:t>
      </w:r>
    </w:p>
    <w:p w:rsidR="00B06858" w:rsidRPr="005403C8" w:rsidRDefault="00B06858" w:rsidP="00B06858">
      <w:pPr>
        <w:ind w:firstLine="720"/>
        <w:rPr>
          <w:rFonts w:ascii="Times New Roman" w:hAnsi="Times New Roman"/>
          <w:sz w:val="24"/>
        </w:rPr>
      </w:pPr>
    </w:p>
    <w:p w:rsidR="00B06858" w:rsidRDefault="003870A1" w:rsidP="00B06858">
      <w:pPr>
        <w:ind w:firstLine="720"/>
        <w:rPr>
          <w:rFonts w:ascii="Times New Roman" w:hAnsi="Times New Roman"/>
          <w:sz w:val="24"/>
        </w:rPr>
      </w:pPr>
      <w:r>
        <w:rPr>
          <w:rFonts w:ascii="Times New Roman" w:hAnsi="Times New Roman"/>
          <w:sz w:val="24"/>
        </w:rPr>
        <w:t>The Commission staff estimated</w:t>
      </w:r>
      <w:r w:rsidR="00B06858" w:rsidRPr="005403C8">
        <w:rPr>
          <w:rFonts w:ascii="Times New Roman" w:hAnsi="Times New Roman"/>
          <w:sz w:val="24"/>
        </w:rPr>
        <w:t xml:space="preserve"> that each firm significantly involved in order routing practices will incur an average burden of 40 hours to prepare and disseminate a quarterly report required by Rule 606</w:t>
      </w:r>
      <w:r w:rsidR="002B0A33">
        <w:rPr>
          <w:rFonts w:ascii="Times New Roman" w:hAnsi="Times New Roman"/>
          <w:sz w:val="24"/>
        </w:rPr>
        <w:t>(a)</w:t>
      </w:r>
      <w:r w:rsidR="00B06858" w:rsidRPr="005403C8">
        <w:rPr>
          <w:rFonts w:ascii="Times New Roman" w:hAnsi="Times New Roman"/>
          <w:sz w:val="24"/>
        </w:rPr>
        <w:t xml:space="preserve">, or a burden of 160 hours per year.  With an estimated 266 broker-dealers significantly involved in order routing practices, the total industry-wide burden per year to comply with the quarterly reporting requirement in Rule 606 </w:t>
      </w:r>
      <w:r>
        <w:rPr>
          <w:rFonts w:ascii="Times New Roman" w:hAnsi="Times New Roman"/>
          <w:sz w:val="24"/>
        </w:rPr>
        <w:t>was</w:t>
      </w:r>
      <w:r w:rsidRPr="005403C8">
        <w:rPr>
          <w:rFonts w:ascii="Times New Roman" w:hAnsi="Times New Roman"/>
          <w:sz w:val="24"/>
        </w:rPr>
        <w:t xml:space="preserve"> </w:t>
      </w:r>
      <w:r w:rsidR="00B06858" w:rsidRPr="005403C8">
        <w:rPr>
          <w:rFonts w:ascii="Times New Roman" w:hAnsi="Times New Roman"/>
          <w:sz w:val="24"/>
        </w:rPr>
        <w:t>estimated to be 42,560 hours (160 x 266).</w:t>
      </w:r>
    </w:p>
    <w:p w:rsidR="002B0A33" w:rsidRDefault="002B0A33" w:rsidP="00B06858">
      <w:pPr>
        <w:ind w:firstLine="720"/>
        <w:rPr>
          <w:rFonts w:ascii="Times New Roman" w:hAnsi="Times New Roman"/>
          <w:sz w:val="24"/>
        </w:rPr>
      </w:pPr>
    </w:p>
    <w:p w:rsidR="002B0A33" w:rsidRPr="005403C8" w:rsidRDefault="00C41384" w:rsidP="00B06858">
      <w:pPr>
        <w:ind w:firstLine="720"/>
        <w:rPr>
          <w:rFonts w:ascii="Times New Roman" w:hAnsi="Times New Roman"/>
          <w:sz w:val="24"/>
        </w:rPr>
      </w:pPr>
      <w:r>
        <w:rPr>
          <w:rFonts w:ascii="Times New Roman" w:hAnsi="Times New Roman"/>
          <w:sz w:val="24"/>
        </w:rPr>
        <w:t xml:space="preserve">The Commission estimates that these </w:t>
      </w:r>
      <w:r w:rsidR="002B0A33">
        <w:rPr>
          <w:rFonts w:ascii="Times New Roman" w:hAnsi="Times New Roman"/>
          <w:sz w:val="24"/>
        </w:rPr>
        <w:t xml:space="preserve">individual burdens will continue to apply to broker-dealers that have information collection obligations under </w:t>
      </w:r>
      <w:r>
        <w:rPr>
          <w:rFonts w:ascii="Times New Roman" w:hAnsi="Times New Roman"/>
          <w:sz w:val="24"/>
        </w:rPr>
        <w:t>Rule 606(a),</w:t>
      </w:r>
      <w:r w:rsidR="002B0A33">
        <w:rPr>
          <w:rFonts w:ascii="Times New Roman" w:hAnsi="Times New Roman"/>
          <w:sz w:val="24"/>
        </w:rPr>
        <w:t xml:space="preserve"> but the Commission is updating the </w:t>
      </w:r>
      <w:r w:rsidR="001D3511">
        <w:rPr>
          <w:rFonts w:ascii="Times New Roman" w:hAnsi="Times New Roman"/>
          <w:sz w:val="24"/>
        </w:rPr>
        <w:t xml:space="preserve">number of respondents to 292 (217 clearing brokers and 75 introducing brokers) to reflect the </w:t>
      </w:r>
      <w:r w:rsidR="00946382">
        <w:rPr>
          <w:rFonts w:ascii="Times New Roman" w:hAnsi="Times New Roman"/>
          <w:sz w:val="24"/>
        </w:rPr>
        <w:t>availability</w:t>
      </w:r>
      <w:r w:rsidR="001D3511">
        <w:rPr>
          <w:rFonts w:ascii="Times New Roman" w:hAnsi="Times New Roman"/>
          <w:sz w:val="24"/>
        </w:rPr>
        <w:t xml:space="preserve"> of more recent data.</w:t>
      </w:r>
      <w:r w:rsidR="001D3511" w:rsidRPr="005403C8">
        <w:rPr>
          <w:rStyle w:val="FootnoteReference"/>
          <w:rFonts w:ascii="Times New Roman" w:hAnsi="Times New Roman"/>
          <w:sz w:val="24"/>
          <w:vertAlign w:val="superscript"/>
        </w:rPr>
        <w:footnoteReference w:id="11"/>
      </w:r>
      <w:r w:rsidR="001D3511" w:rsidRPr="001D3511">
        <w:rPr>
          <w:rFonts w:ascii="Times New Roman" w:hAnsi="Times New Roman"/>
          <w:sz w:val="24"/>
        </w:rPr>
        <w:t xml:space="preserve"> </w:t>
      </w:r>
      <w:r w:rsidR="001D3511">
        <w:rPr>
          <w:rFonts w:ascii="Times New Roman" w:hAnsi="Times New Roman"/>
          <w:sz w:val="24"/>
        </w:rPr>
        <w:t xml:space="preserve">  Therefore </w:t>
      </w:r>
      <w:r w:rsidR="001D3511" w:rsidRPr="005403C8">
        <w:rPr>
          <w:rFonts w:ascii="Times New Roman" w:hAnsi="Times New Roman"/>
          <w:sz w:val="24"/>
        </w:rPr>
        <w:t>the total industry-wide burden per year to comply with the quarterly re</w:t>
      </w:r>
      <w:r w:rsidR="001D3511">
        <w:rPr>
          <w:rFonts w:ascii="Times New Roman" w:hAnsi="Times New Roman"/>
          <w:sz w:val="24"/>
        </w:rPr>
        <w:t xml:space="preserve">porting requirement in Rule 606(a)(1) is </w:t>
      </w:r>
      <w:r w:rsidR="001D3511" w:rsidRPr="005403C8">
        <w:rPr>
          <w:rFonts w:ascii="Times New Roman" w:hAnsi="Times New Roman"/>
          <w:sz w:val="24"/>
        </w:rPr>
        <w:t>estimated to be 4</w:t>
      </w:r>
      <w:r w:rsidR="001D3511">
        <w:rPr>
          <w:rFonts w:ascii="Times New Roman" w:hAnsi="Times New Roman"/>
          <w:sz w:val="24"/>
        </w:rPr>
        <w:t xml:space="preserve">6,720 </w:t>
      </w:r>
      <w:r w:rsidR="001D3511" w:rsidRPr="005403C8">
        <w:rPr>
          <w:rFonts w:ascii="Times New Roman" w:hAnsi="Times New Roman"/>
          <w:sz w:val="24"/>
        </w:rPr>
        <w:t>hours (</w:t>
      </w:r>
      <w:r w:rsidR="001D3511">
        <w:rPr>
          <w:rFonts w:ascii="Times New Roman" w:hAnsi="Times New Roman"/>
          <w:sz w:val="24"/>
        </w:rPr>
        <w:t>292</w:t>
      </w:r>
      <w:r w:rsidR="00910C25">
        <w:rPr>
          <w:rFonts w:ascii="Times New Roman" w:hAnsi="Times New Roman"/>
          <w:sz w:val="24"/>
        </w:rPr>
        <w:t xml:space="preserve"> x 160</w:t>
      </w:r>
      <w:r w:rsidR="001D3511" w:rsidRPr="005403C8">
        <w:rPr>
          <w:rFonts w:ascii="Times New Roman" w:hAnsi="Times New Roman"/>
          <w:sz w:val="24"/>
        </w:rPr>
        <w:t>).</w:t>
      </w:r>
    </w:p>
    <w:p w:rsidR="00B06858" w:rsidRPr="005403C8" w:rsidRDefault="00B06858" w:rsidP="00B06858">
      <w:pPr>
        <w:ind w:firstLine="720"/>
        <w:rPr>
          <w:rFonts w:ascii="Times New Roman" w:hAnsi="Times New Roman"/>
          <w:sz w:val="24"/>
        </w:rPr>
      </w:pPr>
    </w:p>
    <w:p w:rsidR="00B06858" w:rsidRDefault="00B06858" w:rsidP="00B06858">
      <w:pPr>
        <w:ind w:firstLine="720"/>
        <w:rPr>
          <w:rFonts w:ascii="Times New Roman" w:hAnsi="Times New Roman"/>
          <w:sz w:val="24"/>
        </w:rPr>
      </w:pPr>
      <w:r w:rsidRPr="005403C8">
        <w:rPr>
          <w:rFonts w:ascii="Times New Roman" w:hAnsi="Times New Roman"/>
          <w:sz w:val="24"/>
        </w:rPr>
        <w:t>Rule 606</w:t>
      </w:r>
      <w:r w:rsidR="001D3511">
        <w:rPr>
          <w:rFonts w:ascii="Times New Roman" w:hAnsi="Times New Roman"/>
          <w:sz w:val="24"/>
        </w:rPr>
        <w:t>(b)(1)</w:t>
      </w:r>
      <w:r w:rsidRPr="005403C8">
        <w:rPr>
          <w:rFonts w:ascii="Times New Roman" w:hAnsi="Times New Roman"/>
          <w:sz w:val="24"/>
        </w:rPr>
        <w:t xml:space="preserve"> also requires broker-dealers to respond to individual customer requests for information on orders handled by the broker-dealer for that customer.  Clearing brokers generally bear the burden of responding to these requests.</w:t>
      </w:r>
      <w:r w:rsidR="003870A1">
        <w:rPr>
          <w:rFonts w:ascii="Times New Roman" w:hAnsi="Times New Roman"/>
          <w:sz w:val="24"/>
        </w:rPr>
        <w:t xml:space="preserve">  The Commission staff estimated</w:t>
      </w:r>
      <w:r w:rsidRPr="005403C8">
        <w:rPr>
          <w:rFonts w:ascii="Times New Roman" w:hAnsi="Times New Roman"/>
          <w:sz w:val="24"/>
        </w:rPr>
        <w:t xml:space="preserve"> that an average clearing broker will incur an annual burden of 400 hours (2000 responses x 0.2 hours/response) to prepare, disseminate, and retain responses to customers required by Rule 606</w:t>
      </w:r>
      <w:r w:rsidR="00C41384">
        <w:rPr>
          <w:rFonts w:ascii="Times New Roman" w:hAnsi="Times New Roman"/>
          <w:sz w:val="24"/>
        </w:rPr>
        <w:t>(b)(1)</w:t>
      </w:r>
      <w:r w:rsidRPr="005403C8">
        <w:rPr>
          <w:rFonts w:ascii="Times New Roman" w:hAnsi="Times New Roman"/>
          <w:sz w:val="24"/>
        </w:rPr>
        <w:t>.  With an estimated 185 clearing brokers subject to the Rule, the total industry-wide burden per year to comply with the customer res</w:t>
      </w:r>
      <w:r w:rsidR="003870A1">
        <w:rPr>
          <w:rFonts w:ascii="Times New Roman" w:hAnsi="Times New Roman"/>
          <w:sz w:val="24"/>
        </w:rPr>
        <w:t>ponse requirement in Rule 606 was</w:t>
      </w:r>
      <w:r w:rsidRPr="005403C8">
        <w:rPr>
          <w:rFonts w:ascii="Times New Roman" w:hAnsi="Times New Roman"/>
          <w:sz w:val="24"/>
        </w:rPr>
        <w:t xml:space="preserve"> estimated to be 74,000 hours (185 x 400).</w:t>
      </w:r>
    </w:p>
    <w:p w:rsidR="001D3511" w:rsidRDefault="001D3511" w:rsidP="00B06858">
      <w:pPr>
        <w:ind w:firstLine="720"/>
        <w:rPr>
          <w:rFonts w:ascii="Times New Roman" w:hAnsi="Times New Roman"/>
          <w:sz w:val="24"/>
        </w:rPr>
      </w:pPr>
    </w:p>
    <w:p w:rsidR="001D3511" w:rsidRDefault="001D3511" w:rsidP="001D3511">
      <w:pPr>
        <w:ind w:firstLine="720"/>
        <w:rPr>
          <w:rFonts w:ascii="Times New Roman" w:hAnsi="Times New Roman"/>
          <w:sz w:val="24"/>
        </w:rPr>
      </w:pPr>
      <w:r>
        <w:rPr>
          <w:rFonts w:ascii="Times New Roman" w:hAnsi="Times New Roman"/>
          <w:sz w:val="24"/>
        </w:rPr>
        <w:t>The</w:t>
      </w:r>
      <w:r w:rsidR="00C41384">
        <w:rPr>
          <w:rFonts w:ascii="Times New Roman" w:hAnsi="Times New Roman"/>
          <w:sz w:val="24"/>
        </w:rPr>
        <w:t xml:space="preserve"> Commission estimates that these</w:t>
      </w:r>
      <w:r>
        <w:rPr>
          <w:rFonts w:ascii="Times New Roman" w:hAnsi="Times New Roman"/>
          <w:sz w:val="24"/>
        </w:rPr>
        <w:t xml:space="preserve"> individual burdens will continue to apply to broker-dealers that have information collection obligations under Rule 606(b)(1) but the Commission is updating the number of respondents to </w:t>
      </w:r>
      <w:r w:rsidR="00DF1B70">
        <w:rPr>
          <w:rFonts w:ascii="Times New Roman" w:hAnsi="Times New Roman"/>
          <w:sz w:val="24"/>
        </w:rPr>
        <w:t>217</w:t>
      </w:r>
      <w:r>
        <w:rPr>
          <w:rFonts w:ascii="Times New Roman" w:hAnsi="Times New Roman"/>
          <w:sz w:val="24"/>
        </w:rPr>
        <w:t xml:space="preserve"> </w:t>
      </w:r>
      <w:r w:rsidR="00DF1B70">
        <w:rPr>
          <w:rFonts w:ascii="Times New Roman" w:hAnsi="Times New Roman"/>
          <w:sz w:val="24"/>
        </w:rPr>
        <w:t>clearing</w:t>
      </w:r>
      <w:r>
        <w:rPr>
          <w:rFonts w:ascii="Times New Roman" w:hAnsi="Times New Roman"/>
          <w:sz w:val="24"/>
        </w:rPr>
        <w:t xml:space="preserve"> brokers to reflect the </w:t>
      </w:r>
      <w:r w:rsidR="00946382">
        <w:rPr>
          <w:rFonts w:ascii="Times New Roman" w:hAnsi="Times New Roman"/>
          <w:sz w:val="24"/>
        </w:rPr>
        <w:t>availability</w:t>
      </w:r>
      <w:r>
        <w:rPr>
          <w:rFonts w:ascii="Times New Roman" w:hAnsi="Times New Roman"/>
          <w:sz w:val="24"/>
        </w:rPr>
        <w:t xml:space="preserve"> of more recent data.</w:t>
      </w:r>
      <w:r w:rsidRPr="005403C8">
        <w:rPr>
          <w:rStyle w:val="FootnoteReference"/>
          <w:rFonts w:ascii="Times New Roman" w:hAnsi="Times New Roman"/>
          <w:sz w:val="24"/>
          <w:vertAlign w:val="superscript"/>
        </w:rPr>
        <w:footnoteReference w:id="12"/>
      </w:r>
      <w:r w:rsidRPr="001D3511">
        <w:rPr>
          <w:rFonts w:ascii="Times New Roman" w:hAnsi="Times New Roman"/>
          <w:sz w:val="24"/>
        </w:rPr>
        <w:t xml:space="preserve"> </w:t>
      </w:r>
      <w:r>
        <w:rPr>
          <w:rFonts w:ascii="Times New Roman" w:hAnsi="Times New Roman"/>
          <w:sz w:val="24"/>
        </w:rPr>
        <w:t xml:space="preserve">  Therefore </w:t>
      </w:r>
      <w:r w:rsidRPr="005403C8">
        <w:rPr>
          <w:rFonts w:ascii="Times New Roman" w:hAnsi="Times New Roman"/>
          <w:sz w:val="24"/>
        </w:rPr>
        <w:t>the total industry-wide burden per year to comply with the to comply with the customer res</w:t>
      </w:r>
      <w:r>
        <w:rPr>
          <w:rFonts w:ascii="Times New Roman" w:hAnsi="Times New Roman"/>
          <w:sz w:val="24"/>
        </w:rPr>
        <w:t xml:space="preserve">ponse requirement in Rule 606 </w:t>
      </w:r>
      <w:r w:rsidR="00C41384">
        <w:rPr>
          <w:rFonts w:ascii="Times New Roman" w:hAnsi="Times New Roman"/>
          <w:sz w:val="24"/>
        </w:rPr>
        <w:t>is</w:t>
      </w:r>
      <w:r w:rsidRPr="005403C8">
        <w:rPr>
          <w:rFonts w:ascii="Times New Roman" w:hAnsi="Times New Roman"/>
          <w:sz w:val="24"/>
        </w:rPr>
        <w:t xml:space="preserve"> estimated to be </w:t>
      </w:r>
      <w:r>
        <w:rPr>
          <w:rFonts w:ascii="Times New Roman" w:hAnsi="Times New Roman"/>
          <w:sz w:val="24"/>
        </w:rPr>
        <w:t>86,8</w:t>
      </w:r>
      <w:r w:rsidRPr="005403C8">
        <w:rPr>
          <w:rFonts w:ascii="Times New Roman" w:hAnsi="Times New Roman"/>
          <w:sz w:val="24"/>
        </w:rPr>
        <w:t>00 hours (</w:t>
      </w:r>
      <w:r>
        <w:rPr>
          <w:rFonts w:ascii="Times New Roman" w:hAnsi="Times New Roman"/>
          <w:sz w:val="24"/>
        </w:rPr>
        <w:t>217</w:t>
      </w:r>
      <w:r w:rsidRPr="005403C8">
        <w:rPr>
          <w:rFonts w:ascii="Times New Roman" w:hAnsi="Times New Roman"/>
          <w:sz w:val="24"/>
        </w:rPr>
        <w:t xml:space="preserve"> x 400).</w:t>
      </w:r>
    </w:p>
    <w:p w:rsidR="001D3511" w:rsidRPr="005403C8" w:rsidRDefault="001D3511" w:rsidP="001D3511">
      <w:pPr>
        <w:ind w:firstLine="720"/>
        <w:rPr>
          <w:rFonts w:ascii="Times New Roman" w:hAnsi="Times New Roman"/>
          <w:sz w:val="24"/>
        </w:rPr>
      </w:pPr>
    </w:p>
    <w:p w:rsidR="008912FD" w:rsidRPr="005403C8" w:rsidRDefault="008912FD" w:rsidP="00B06858">
      <w:pPr>
        <w:rPr>
          <w:rFonts w:ascii="Times New Roman" w:hAnsi="Times New Roman"/>
          <w:sz w:val="24"/>
          <w:u w:val="single"/>
        </w:rPr>
      </w:pPr>
    </w:p>
    <w:p w:rsidR="008912FD" w:rsidRPr="005403C8" w:rsidRDefault="00B06858" w:rsidP="00F53C3B">
      <w:pPr>
        <w:numPr>
          <w:ilvl w:val="0"/>
          <w:numId w:val="16"/>
        </w:numPr>
        <w:rPr>
          <w:rFonts w:ascii="Times New Roman" w:hAnsi="Times New Roman"/>
          <w:sz w:val="24"/>
          <w:u w:val="single"/>
        </w:rPr>
      </w:pPr>
      <w:r w:rsidRPr="005403C8">
        <w:rPr>
          <w:rFonts w:ascii="Times New Roman" w:hAnsi="Times New Roman"/>
          <w:sz w:val="24"/>
          <w:u w:val="single"/>
        </w:rPr>
        <w:t xml:space="preserve">Burden of </w:t>
      </w:r>
      <w:r w:rsidR="00385FC8">
        <w:rPr>
          <w:rFonts w:ascii="Times New Roman" w:hAnsi="Times New Roman"/>
          <w:sz w:val="24"/>
          <w:u w:val="single"/>
        </w:rPr>
        <w:t>Adopted</w:t>
      </w:r>
      <w:r w:rsidR="008912FD" w:rsidRPr="005403C8">
        <w:rPr>
          <w:rFonts w:ascii="Times New Roman" w:hAnsi="Times New Roman"/>
          <w:sz w:val="24"/>
          <w:u w:val="single"/>
        </w:rPr>
        <w:t xml:space="preserve"> Amendments to Rule 606</w:t>
      </w:r>
    </w:p>
    <w:p w:rsidR="00B06858" w:rsidRPr="005403C8" w:rsidRDefault="00B06858" w:rsidP="00B06858">
      <w:pPr>
        <w:rPr>
          <w:rFonts w:ascii="Times New Roman" w:hAnsi="Times New Roman"/>
          <w:sz w:val="24"/>
          <w:u w:val="single"/>
        </w:rPr>
      </w:pPr>
    </w:p>
    <w:p w:rsidR="00B06858" w:rsidRPr="007863C8" w:rsidRDefault="004755A0" w:rsidP="007863C8">
      <w:pPr>
        <w:ind w:firstLine="720"/>
        <w:rPr>
          <w:rFonts w:ascii="Times New Roman" w:hAnsi="Times New Roman"/>
          <w:sz w:val="24"/>
        </w:rPr>
      </w:pPr>
      <w:r w:rsidRPr="005403C8">
        <w:rPr>
          <w:rFonts w:ascii="Times New Roman" w:hAnsi="Times New Roman"/>
          <w:sz w:val="24"/>
        </w:rPr>
        <w:t xml:space="preserve">The collection of information obligations of the amendments to Rule 606 also apply to broker-dealers that route non-directed customer orders in covered securities.  The Commission estimates that there are </w:t>
      </w:r>
      <w:r w:rsidR="00034A17">
        <w:rPr>
          <w:rFonts w:ascii="Times New Roman" w:hAnsi="Times New Roman"/>
          <w:sz w:val="24"/>
        </w:rPr>
        <w:t>292</w:t>
      </w:r>
      <w:r w:rsidRPr="005403C8">
        <w:rPr>
          <w:rFonts w:ascii="Times New Roman" w:hAnsi="Times New Roman"/>
          <w:sz w:val="24"/>
        </w:rPr>
        <w:t xml:space="preserve"> broker-dealers</w:t>
      </w:r>
      <w:r w:rsidR="00034A17">
        <w:rPr>
          <w:rFonts w:ascii="Times New Roman" w:hAnsi="Times New Roman"/>
          <w:sz w:val="24"/>
        </w:rPr>
        <w:t xml:space="preserve"> </w:t>
      </w:r>
      <w:r w:rsidRPr="005403C8">
        <w:rPr>
          <w:rFonts w:ascii="Times New Roman" w:hAnsi="Times New Roman"/>
          <w:sz w:val="24"/>
        </w:rPr>
        <w:t>that are potentially subject to the collection of information obligations of Rule 606.</w:t>
      </w:r>
      <w:r w:rsidRPr="005403C8">
        <w:rPr>
          <w:rStyle w:val="FootnoteReference"/>
          <w:rFonts w:ascii="Times New Roman" w:hAnsi="Times New Roman"/>
          <w:sz w:val="24"/>
          <w:vertAlign w:val="superscript"/>
        </w:rPr>
        <w:footnoteReference w:id="13"/>
      </w:r>
      <w:r w:rsidRPr="005403C8">
        <w:rPr>
          <w:rFonts w:ascii="Times New Roman" w:hAnsi="Times New Roman"/>
          <w:sz w:val="24"/>
        </w:rPr>
        <w:t xml:space="preserve">  The C</w:t>
      </w:r>
      <w:r w:rsidR="00034A17">
        <w:rPr>
          <w:rFonts w:ascii="Times New Roman" w:hAnsi="Times New Roman"/>
          <w:sz w:val="24"/>
        </w:rPr>
        <w:t>ommission estimates that all 292</w:t>
      </w:r>
      <w:r w:rsidRPr="005403C8">
        <w:rPr>
          <w:rFonts w:ascii="Times New Roman" w:hAnsi="Times New Roman"/>
          <w:sz w:val="24"/>
        </w:rPr>
        <w:t xml:space="preserve"> broker-dealers are involved in routing orders</w:t>
      </w:r>
      <w:r w:rsidR="00915A2A" w:rsidRPr="005403C8">
        <w:rPr>
          <w:rFonts w:ascii="Times New Roman" w:hAnsi="Times New Roman"/>
          <w:sz w:val="24"/>
        </w:rPr>
        <w:t xml:space="preserve"> </w:t>
      </w:r>
      <w:r w:rsidR="00E93EE8">
        <w:rPr>
          <w:rFonts w:ascii="Times New Roman" w:hAnsi="Times New Roman"/>
          <w:sz w:val="24"/>
        </w:rPr>
        <w:t>subject to the disclosure requirements</w:t>
      </w:r>
      <w:r w:rsidR="00034A17">
        <w:rPr>
          <w:rFonts w:ascii="Times New Roman" w:hAnsi="Times New Roman"/>
          <w:sz w:val="24"/>
        </w:rPr>
        <w:t xml:space="preserve"> </w:t>
      </w:r>
      <w:r w:rsidR="00E93EE8">
        <w:rPr>
          <w:rFonts w:ascii="Times New Roman" w:hAnsi="Times New Roman"/>
          <w:sz w:val="24"/>
        </w:rPr>
        <w:t>of</w:t>
      </w:r>
      <w:r w:rsidR="00034A17">
        <w:rPr>
          <w:rFonts w:ascii="Times New Roman" w:hAnsi="Times New Roman"/>
          <w:sz w:val="24"/>
        </w:rPr>
        <w:t xml:space="preserve"> 606(a)(1) and 606(b)(1), </w:t>
      </w:r>
      <w:r w:rsidRPr="005403C8">
        <w:rPr>
          <w:rFonts w:ascii="Times New Roman" w:hAnsi="Times New Roman"/>
          <w:sz w:val="24"/>
        </w:rPr>
        <w:t xml:space="preserve">and 200 broker-dealers are involved </w:t>
      </w:r>
      <w:r w:rsidR="00034A17">
        <w:rPr>
          <w:rFonts w:ascii="Times New Roman" w:hAnsi="Times New Roman"/>
          <w:sz w:val="24"/>
        </w:rPr>
        <w:t xml:space="preserve">in routing </w:t>
      </w:r>
      <w:r w:rsidR="00915A2A" w:rsidRPr="005403C8">
        <w:rPr>
          <w:rFonts w:ascii="Times New Roman" w:hAnsi="Times New Roman"/>
          <w:sz w:val="24"/>
        </w:rPr>
        <w:t>orders</w:t>
      </w:r>
      <w:r w:rsidR="00034A17" w:rsidRPr="00034A17">
        <w:rPr>
          <w:rFonts w:ascii="Times New Roman" w:hAnsi="Times New Roman"/>
          <w:sz w:val="24"/>
        </w:rPr>
        <w:t xml:space="preserve"> </w:t>
      </w:r>
      <w:r w:rsidR="00034A17">
        <w:rPr>
          <w:rFonts w:ascii="Times New Roman" w:hAnsi="Times New Roman"/>
          <w:sz w:val="24"/>
        </w:rPr>
        <w:t>subject to the disclosure</w:t>
      </w:r>
      <w:r w:rsidR="00E93EE8">
        <w:rPr>
          <w:rFonts w:ascii="Times New Roman" w:hAnsi="Times New Roman"/>
          <w:sz w:val="24"/>
        </w:rPr>
        <w:t xml:space="preserve"> requirements of</w:t>
      </w:r>
      <w:r w:rsidR="00034A17">
        <w:rPr>
          <w:rFonts w:ascii="Times New Roman" w:hAnsi="Times New Roman"/>
          <w:sz w:val="24"/>
        </w:rPr>
        <w:t xml:space="preserve"> Rule 606(b)(3)</w:t>
      </w:r>
      <w:r w:rsidR="00915A2A" w:rsidRPr="005403C8">
        <w:rPr>
          <w:rFonts w:ascii="Times New Roman" w:hAnsi="Times New Roman"/>
          <w:sz w:val="24"/>
        </w:rPr>
        <w:t>.</w:t>
      </w:r>
      <w:r w:rsidR="00915A2A" w:rsidRPr="005403C8">
        <w:rPr>
          <w:rStyle w:val="FootnoteReference"/>
          <w:rFonts w:ascii="Times New Roman" w:hAnsi="Times New Roman"/>
          <w:sz w:val="24"/>
          <w:vertAlign w:val="superscript"/>
        </w:rPr>
        <w:footnoteReference w:id="14"/>
      </w:r>
    </w:p>
    <w:p w:rsidR="00F53C3B" w:rsidRPr="005403C8" w:rsidRDefault="00F53C3B" w:rsidP="00F53C3B">
      <w:pPr>
        <w:ind w:left="1800"/>
        <w:rPr>
          <w:rFonts w:ascii="Times New Roman" w:hAnsi="Times New Roman"/>
          <w:sz w:val="24"/>
          <w:u w:val="single"/>
        </w:rPr>
      </w:pPr>
    </w:p>
    <w:p w:rsidR="00287278" w:rsidRPr="005403C8" w:rsidRDefault="00063123" w:rsidP="009E0CB6">
      <w:pPr>
        <w:numPr>
          <w:ilvl w:val="1"/>
          <w:numId w:val="16"/>
        </w:numPr>
        <w:ind w:left="2880" w:hanging="720"/>
        <w:rPr>
          <w:rFonts w:ascii="Times New Roman" w:hAnsi="Times New Roman"/>
          <w:sz w:val="24"/>
          <w:u w:val="single"/>
        </w:rPr>
      </w:pPr>
      <w:r>
        <w:rPr>
          <w:rFonts w:ascii="Times New Roman" w:hAnsi="Times New Roman"/>
          <w:sz w:val="24"/>
          <w:u w:val="single"/>
        </w:rPr>
        <w:t xml:space="preserve">New </w:t>
      </w:r>
      <w:r w:rsidR="009E0CB6" w:rsidRPr="005403C8">
        <w:rPr>
          <w:rFonts w:ascii="Times New Roman" w:hAnsi="Times New Roman"/>
          <w:sz w:val="24"/>
          <w:u w:val="single"/>
        </w:rPr>
        <w:t xml:space="preserve">Rule </w:t>
      </w:r>
      <w:r w:rsidR="009E0CB6" w:rsidRPr="005403C8">
        <w:rPr>
          <w:rFonts w:ascii="Times New Roman" w:hAnsi="Times New Roman"/>
          <w:bCs/>
          <w:sz w:val="24"/>
          <w:u w:val="single"/>
        </w:rPr>
        <w:t>606(b)(3)</w:t>
      </w:r>
    </w:p>
    <w:p w:rsidR="00287278" w:rsidRPr="005403C8" w:rsidRDefault="00287278" w:rsidP="00287278">
      <w:pPr>
        <w:ind w:left="2520"/>
        <w:rPr>
          <w:rFonts w:ascii="Times New Roman" w:hAnsi="Times New Roman"/>
          <w:sz w:val="24"/>
          <w:u w:val="single"/>
        </w:rPr>
      </w:pPr>
    </w:p>
    <w:p w:rsidR="00F53C3B" w:rsidRPr="005403C8" w:rsidRDefault="00F53C3B" w:rsidP="00287278">
      <w:pPr>
        <w:numPr>
          <w:ilvl w:val="2"/>
          <w:numId w:val="16"/>
        </w:numPr>
        <w:rPr>
          <w:rFonts w:ascii="Times New Roman" w:hAnsi="Times New Roman"/>
          <w:sz w:val="24"/>
          <w:u w:val="single"/>
        </w:rPr>
      </w:pPr>
      <w:r w:rsidRPr="005403C8">
        <w:rPr>
          <w:rFonts w:ascii="Times New Roman" w:hAnsi="Times New Roman"/>
          <w:sz w:val="24"/>
          <w:u w:val="single"/>
        </w:rPr>
        <w:t>Initial Reporting and Recordkeeping Burden</w:t>
      </w:r>
    </w:p>
    <w:p w:rsidR="008912FD" w:rsidRPr="005403C8" w:rsidRDefault="008912FD" w:rsidP="00AE1AC6">
      <w:pPr>
        <w:ind w:firstLine="720"/>
        <w:jc w:val="center"/>
        <w:rPr>
          <w:rFonts w:ascii="Times New Roman" w:hAnsi="Times New Roman"/>
          <w:sz w:val="24"/>
        </w:rPr>
      </w:pPr>
    </w:p>
    <w:p w:rsidR="00723FE1" w:rsidRDefault="00E93EE8" w:rsidP="008912FD">
      <w:pPr>
        <w:ind w:firstLine="720"/>
        <w:rPr>
          <w:rFonts w:ascii="Times New Roman" w:hAnsi="Times New Roman"/>
          <w:sz w:val="24"/>
        </w:rPr>
      </w:pPr>
      <w:r>
        <w:rPr>
          <w:rFonts w:ascii="Times New Roman" w:hAnsi="Times New Roman"/>
          <w:sz w:val="24"/>
        </w:rPr>
        <w:t xml:space="preserve">Adopted </w:t>
      </w:r>
      <w:r w:rsidR="008912FD" w:rsidRPr="005403C8">
        <w:rPr>
          <w:rFonts w:ascii="Times New Roman" w:hAnsi="Times New Roman"/>
          <w:sz w:val="24"/>
        </w:rPr>
        <w:t>Rule 606</w:t>
      </w:r>
      <w:r w:rsidR="000E08BE" w:rsidRPr="005403C8">
        <w:rPr>
          <w:rFonts w:ascii="Times New Roman" w:hAnsi="Times New Roman"/>
          <w:sz w:val="24"/>
        </w:rPr>
        <w:t>(b)(3)</w:t>
      </w:r>
      <w:r w:rsidR="008912FD" w:rsidRPr="005403C8">
        <w:rPr>
          <w:rFonts w:ascii="Times New Roman" w:hAnsi="Times New Roman"/>
          <w:sz w:val="24"/>
        </w:rPr>
        <w:t xml:space="preserve"> establish</w:t>
      </w:r>
      <w:r w:rsidR="00034A17">
        <w:rPr>
          <w:rFonts w:ascii="Times New Roman" w:hAnsi="Times New Roman"/>
          <w:sz w:val="24"/>
        </w:rPr>
        <w:t>es</w:t>
      </w:r>
      <w:r w:rsidR="008912FD" w:rsidRPr="005403C8">
        <w:rPr>
          <w:rFonts w:ascii="Times New Roman" w:hAnsi="Times New Roman"/>
          <w:sz w:val="24"/>
        </w:rPr>
        <w:t xml:space="preserve"> new recordkeeping requirements applicable to broker-dealers</w:t>
      </w:r>
      <w:r w:rsidR="00034A17">
        <w:rPr>
          <w:rFonts w:ascii="Times New Roman" w:hAnsi="Times New Roman"/>
          <w:sz w:val="24"/>
        </w:rPr>
        <w:t xml:space="preserve"> that route</w:t>
      </w:r>
      <w:r>
        <w:rPr>
          <w:rFonts w:ascii="Times New Roman" w:hAnsi="Times New Roman"/>
          <w:sz w:val="24"/>
        </w:rPr>
        <w:t>,</w:t>
      </w:r>
      <w:r w:rsidR="008912FD" w:rsidRPr="005403C8">
        <w:rPr>
          <w:rFonts w:ascii="Times New Roman" w:hAnsi="Times New Roman"/>
          <w:sz w:val="24"/>
        </w:rPr>
        <w:t xml:space="preserve"> </w:t>
      </w:r>
      <w:r w:rsidRPr="00FB7FC0">
        <w:rPr>
          <w:rFonts w:ascii="Times New Roman" w:hAnsi="Times New Roman"/>
          <w:sz w:val="24"/>
        </w:rPr>
        <w:t>directly or indirectly, NMS stock orders of any size that are</w:t>
      </w:r>
      <w:r>
        <w:rPr>
          <w:rFonts w:ascii="Times New Roman" w:hAnsi="Times New Roman"/>
          <w:sz w:val="24"/>
        </w:rPr>
        <w:t xml:space="preserve"> submitted on a not held basis, </w:t>
      </w:r>
      <w:r w:rsidRPr="00FB7FC0">
        <w:rPr>
          <w:rFonts w:ascii="Times New Roman" w:hAnsi="Times New Roman"/>
          <w:sz w:val="24"/>
        </w:rPr>
        <w:t>subjec</w:t>
      </w:r>
      <w:r>
        <w:rPr>
          <w:rFonts w:ascii="Times New Roman" w:hAnsi="Times New Roman"/>
          <w:sz w:val="24"/>
        </w:rPr>
        <w:t>t to two de minimis exceptions</w:t>
      </w:r>
      <w:r w:rsidR="008912FD" w:rsidRPr="005403C8">
        <w:rPr>
          <w:rFonts w:ascii="Times New Roman" w:hAnsi="Times New Roman"/>
          <w:sz w:val="24"/>
        </w:rPr>
        <w:t xml:space="preserve">.  </w:t>
      </w:r>
      <w:r w:rsidR="00DE0D90" w:rsidRPr="005403C8">
        <w:rPr>
          <w:rFonts w:ascii="Times New Roman" w:hAnsi="Times New Roman"/>
          <w:sz w:val="24"/>
        </w:rPr>
        <w:t>T</w:t>
      </w:r>
      <w:r w:rsidR="008912FD" w:rsidRPr="005403C8">
        <w:rPr>
          <w:rFonts w:ascii="Times New Roman" w:hAnsi="Times New Roman"/>
          <w:sz w:val="24"/>
        </w:rPr>
        <w:t xml:space="preserve">he Commission believes that </w:t>
      </w:r>
      <w:r w:rsidR="00723FE1">
        <w:rPr>
          <w:rFonts w:ascii="Times New Roman" w:hAnsi="Times New Roman"/>
          <w:sz w:val="24"/>
        </w:rPr>
        <w:t xml:space="preserve">all </w:t>
      </w:r>
      <w:r w:rsidR="00723FE1" w:rsidRPr="00723FE1">
        <w:rPr>
          <w:rFonts w:ascii="Times New Roman" w:hAnsi="Times New Roman"/>
          <w:sz w:val="24"/>
        </w:rPr>
        <w:t xml:space="preserve">200 broker-dealers that handle orders subject to the customer-specific disclosures required by Rule 606(b)(3) will need to update their systems to </w:t>
      </w:r>
      <w:r w:rsidR="00BC7F76" w:rsidRPr="00BC7F76">
        <w:rPr>
          <w:rFonts w:ascii="Times New Roman" w:hAnsi="Times New Roman"/>
          <w:sz w:val="24"/>
        </w:rPr>
        <w:t xml:space="preserve">both update </w:t>
      </w:r>
      <w:r w:rsidR="00BC7F76">
        <w:rPr>
          <w:rFonts w:ascii="Times New Roman" w:hAnsi="Times New Roman"/>
          <w:sz w:val="24"/>
        </w:rPr>
        <w:t>their</w:t>
      </w:r>
      <w:r w:rsidR="00BC7F76" w:rsidRPr="00BC7F76">
        <w:rPr>
          <w:rFonts w:ascii="Times New Roman" w:hAnsi="Times New Roman"/>
          <w:sz w:val="24"/>
        </w:rPr>
        <w:t xml:space="preserve"> data capture systems and format the report required by the rule</w:t>
      </w:r>
      <w:r w:rsidR="00BC7F76">
        <w:rPr>
          <w:rFonts w:ascii="Times New Roman" w:hAnsi="Times New Roman"/>
          <w:sz w:val="24"/>
        </w:rPr>
        <w:t>,</w:t>
      </w:r>
      <w:bookmarkStart w:id="5" w:name="_Ref526345901"/>
      <w:r w:rsidR="00723FE1" w:rsidRPr="005403C8">
        <w:rPr>
          <w:rStyle w:val="FootnoteReference"/>
          <w:rFonts w:ascii="Times New Roman" w:hAnsi="Times New Roman"/>
          <w:sz w:val="24"/>
          <w:vertAlign w:val="superscript"/>
        </w:rPr>
        <w:footnoteReference w:id="15"/>
      </w:r>
      <w:bookmarkEnd w:id="5"/>
      <w:r w:rsidR="00BC7F76">
        <w:rPr>
          <w:rFonts w:ascii="Times New Roman" w:hAnsi="Times New Roman"/>
          <w:sz w:val="24"/>
        </w:rPr>
        <w:t xml:space="preserve"> and that some broker-dealers would update their systems in house while others will engage a third-party service provider to do so.</w:t>
      </w:r>
      <w:r w:rsidR="00E07DB2" w:rsidRPr="005403C8">
        <w:rPr>
          <w:rStyle w:val="FootnoteReference"/>
          <w:rFonts w:ascii="Times New Roman" w:hAnsi="Times New Roman"/>
          <w:sz w:val="24"/>
          <w:vertAlign w:val="superscript"/>
        </w:rPr>
        <w:footnoteReference w:id="16"/>
      </w:r>
    </w:p>
    <w:p w:rsidR="00EA21EB" w:rsidRDefault="00EA21EB" w:rsidP="008912FD">
      <w:pPr>
        <w:ind w:firstLine="720"/>
        <w:rPr>
          <w:rStyle w:val="tgc"/>
          <w:rFonts w:ascii="Times New Roman" w:hAnsi="Times New Roman"/>
          <w:sz w:val="24"/>
          <w:lang w:val="en"/>
        </w:rPr>
      </w:pPr>
    </w:p>
    <w:p w:rsidR="00EA21EB" w:rsidRPr="00163A50" w:rsidRDefault="00EA21EB" w:rsidP="00163A50">
      <w:pPr>
        <w:ind w:firstLine="720"/>
        <w:rPr>
          <w:rStyle w:val="tgc"/>
          <w:rFonts w:ascii="Times New Roman" w:eastAsia="MS Mincho" w:hAnsi="Times New Roman"/>
          <w:sz w:val="24"/>
        </w:rPr>
      </w:pPr>
      <w:r w:rsidRPr="00BC7F76">
        <w:rPr>
          <w:rFonts w:ascii="Times New Roman" w:eastAsia="MS Mincho" w:hAnsi="Times New Roman"/>
          <w:sz w:val="24"/>
        </w:rPr>
        <w:t>The</w:t>
      </w:r>
      <w:r w:rsidRPr="00BC7F76" w:rsidDel="007E020B">
        <w:rPr>
          <w:rFonts w:ascii="Times New Roman" w:eastAsia="MS Mincho" w:hAnsi="Times New Roman"/>
          <w:sz w:val="24"/>
        </w:rPr>
        <w:t xml:space="preserve"> Commission </w:t>
      </w:r>
      <w:r w:rsidRPr="00BC7F76">
        <w:rPr>
          <w:rFonts w:ascii="Times New Roman" w:eastAsia="MS Mincho" w:hAnsi="Times New Roman"/>
          <w:sz w:val="24"/>
        </w:rPr>
        <w:t>estimate</w:t>
      </w:r>
      <w:r>
        <w:rPr>
          <w:rFonts w:ascii="Times New Roman" w:eastAsia="MS Mincho" w:hAnsi="Times New Roman"/>
          <w:sz w:val="24"/>
        </w:rPr>
        <w:t xml:space="preserve">s </w:t>
      </w:r>
      <w:r w:rsidRPr="00BC7F76">
        <w:rPr>
          <w:rFonts w:ascii="Times New Roman" w:eastAsia="MS Mincho" w:hAnsi="Times New Roman"/>
          <w:sz w:val="24"/>
        </w:rPr>
        <w:t xml:space="preserve">the initial burden for </w:t>
      </w:r>
      <w:r>
        <w:rPr>
          <w:rFonts w:ascii="Times New Roman" w:eastAsia="MS Mincho" w:hAnsi="Times New Roman"/>
          <w:sz w:val="24"/>
        </w:rPr>
        <w:t xml:space="preserve">each </w:t>
      </w:r>
      <w:r w:rsidR="00613559">
        <w:rPr>
          <w:rFonts w:ascii="Times New Roman" w:eastAsia="MS Mincho" w:hAnsi="Times New Roman"/>
          <w:sz w:val="24"/>
        </w:rPr>
        <w:t xml:space="preserve">of the 67 </w:t>
      </w:r>
      <w:r>
        <w:rPr>
          <w:rFonts w:ascii="Times New Roman" w:eastAsia="MS Mincho" w:hAnsi="Times New Roman"/>
          <w:sz w:val="24"/>
        </w:rPr>
        <w:t>broker-dealer</w:t>
      </w:r>
      <w:r w:rsidRPr="00BC7F76">
        <w:rPr>
          <w:rFonts w:ascii="Times New Roman" w:eastAsia="MS Mincho" w:hAnsi="Times New Roman"/>
          <w:sz w:val="24"/>
        </w:rPr>
        <w:t xml:space="preserve"> that handle</w:t>
      </w:r>
      <w:r>
        <w:rPr>
          <w:rFonts w:ascii="Times New Roman" w:eastAsia="MS Mincho" w:hAnsi="Times New Roman"/>
          <w:sz w:val="24"/>
        </w:rPr>
        <w:t>s</w:t>
      </w:r>
      <w:r w:rsidRPr="00BC7F76">
        <w:rPr>
          <w:rFonts w:ascii="Times New Roman" w:eastAsia="MS Mincho" w:hAnsi="Times New Roman"/>
          <w:sz w:val="24"/>
        </w:rPr>
        <w:t xml:space="preserve"> orders subject to the customer-specific disclosure</w:t>
      </w:r>
      <w:r>
        <w:rPr>
          <w:rFonts w:ascii="Times New Roman" w:eastAsia="MS Mincho" w:hAnsi="Times New Roman"/>
          <w:sz w:val="24"/>
        </w:rPr>
        <w:t xml:space="preserve">s required by Rule 606(b)(3) </w:t>
      </w:r>
      <w:r w:rsidRPr="00BC7F76">
        <w:rPr>
          <w:rFonts w:ascii="Times New Roman" w:eastAsia="MS Mincho" w:hAnsi="Times New Roman"/>
          <w:sz w:val="24"/>
        </w:rPr>
        <w:t xml:space="preserve">to implement the requirements of the rule </w:t>
      </w:r>
      <w:r>
        <w:rPr>
          <w:rFonts w:ascii="Times New Roman" w:eastAsia="MS Mincho" w:hAnsi="Times New Roman"/>
          <w:sz w:val="24"/>
        </w:rPr>
        <w:t>in-house to be</w:t>
      </w:r>
      <w:r w:rsidR="00613559">
        <w:rPr>
          <w:rFonts w:ascii="Times New Roman" w:eastAsia="MS Mincho" w:hAnsi="Times New Roman"/>
          <w:sz w:val="24"/>
        </w:rPr>
        <w:t xml:space="preserve"> 260</w:t>
      </w:r>
      <w:r w:rsidRPr="00BC7F76">
        <w:rPr>
          <w:rFonts w:ascii="Times New Roman" w:eastAsia="MS Mincho" w:hAnsi="Times New Roman"/>
          <w:sz w:val="24"/>
        </w:rPr>
        <w:t xml:space="preserve"> hours</w:t>
      </w:r>
      <w:r w:rsidR="00163A50">
        <w:rPr>
          <w:rFonts w:ascii="Times New Roman" w:eastAsia="MS Mincho" w:hAnsi="Times New Roman"/>
          <w:sz w:val="24"/>
        </w:rPr>
        <w:t>,</w:t>
      </w:r>
      <w:r w:rsidRPr="005403C8">
        <w:rPr>
          <w:rStyle w:val="FootnoteReference"/>
          <w:rFonts w:ascii="Times New Roman" w:hAnsi="Times New Roman"/>
          <w:sz w:val="24"/>
          <w:vertAlign w:val="superscript"/>
        </w:rPr>
        <w:footnoteReference w:id="17"/>
      </w:r>
      <w:r w:rsidR="00613559">
        <w:rPr>
          <w:rFonts w:ascii="Times New Roman" w:eastAsia="MS Mincho" w:hAnsi="Times New Roman"/>
          <w:sz w:val="24"/>
        </w:rPr>
        <w:t xml:space="preserve"> </w:t>
      </w:r>
      <w:r>
        <w:rPr>
          <w:rFonts w:ascii="Times New Roman" w:eastAsia="MS Mincho" w:hAnsi="Times New Roman"/>
          <w:sz w:val="24"/>
        </w:rPr>
        <w:t xml:space="preserve">for a total initial burden of </w:t>
      </w:r>
      <w:r w:rsidRPr="00EA21EB">
        <w:rPr>
          <w:rFonts w:ascii="Times New Roman" w:eastAsia="MS Mincho" w:hAnsi="Times New Roman"/>
          <w:sz w:val="24"/>
        </w:rPr>
        <w:t>17,420</w:t>
      </w:r>
      <w:r>
        <w:rPr>
          <w:rFonts w:ascii="Times New Roman" w:eastAsia="MS Mincho" w:hAnsi="Times New Roman"/>
          <w:sz w:val="24"/>
        </w:rPr>
        <w:t xml:space="preserve"> hours</w:t>
      </w:r>
      <w:r w:rsidR="00163A50">
        <w:rPr>
          <w:rFonts w:ascii="Times New Roman" w:eastAsia="MS Mincho" w:hAnsi="Times New Roman"/>
          <w:sz w:val="24"/>
        </w:rPr>
        <w:t>.</w:t>
      </w:r>
      <w:r w:rsidRPr="005403C8">
        <w:rPr>
          <w:rStyle w:val="FootnoteReference"/>
          <w:rFonts w:ascii="Times New Roman" w:hAnsi="Times New Roman"/>
          <w:sz w:val="24"/>
          <w:vertAlign w:val="superscript"/>
        </w:rPr>
        <w:footnoteReference w:id="18"/>
      </w:r>
      <w:r w:rsidR="00613559">
        <w:rPr>
          <w:rFonts w:ascii="Times New Roman" w:eastAsia="MS Mincho" w:hAnsi="Times New Roman"/>
          <w:sz w:val="24"/>
        </w:rPr>
        <w:t xml:space="preserve">  </w:t>
      </w:r>
      <w:r w:rsidR="00F95CB2" w:rsidRPr="00F95CB2">
        <w:rPr>
          <w:rFonts w:ascii="Times New Roman" w:eastAsia="MS Mincho" w:hAnsi="Times New Roman"/>
          <w:sz w:val="24"/>
        </w:rPr>
        <w:t xml:space="preserve">The Commission initially estimated that 10 </w:t>
      </w:r>
      <w:r w:rsidR="008E40BC">
        <w:rPr>
          <w:rFonts w:ascii="Times New Roman" w:eastAsia="MS Mincho" w:hAnsi="Times New Roman"/>
          <w:sz w:val="24"/>
        </w:rPr>
        <w:t>broker-dealer</w:t>
      </w:r>
      <w:r w:rsidR="00F95CB2" w:rsidRPr="00F95CB2">
        <w:rPr>
          <w:rFonts w:ascii="Times New Roman" w:eastAsia="MS Mincho" w:hAnsi="Times New Roman"/>
          <w:sz w:val="24"/>
        </w:rPr>
        <w:t>s would need to update their systems to captur</w:t>
      </w:r>
      <w:r w:rsidR="00F95CB2">
        <w:rPr>
          <w:rFonts w:ascii="Times New Roman" w:eastAsia="MS Mincho" w:hAnsi="Times New Roman"/>
          <w:sz w:val="24"/>
        </w:rPr>
        <w:t>e the data required by the rule</w:t>
      </w:r>
      <w:r w:rsidR="00F95CB2" w:rsidRPr="00F95CB2">
        <w:rPr>
          <w:rFonts w:ascii="Times New Roman" w:eastAsia="MS Mincho" w:hAnsi="Times New Roman"/>
          <w:sz w:val="24"/>
        </w:rPr>
        <w:t xml:space="preserve"> for a</w:t>
      </w:r>
      <w:r w:rsidR="004E7C51">
        <w:rPr>
          <w:rFonts w:ascii="Times New Roman" w:eastAsia="MS Mincho" w:hAnsi="Times New Roman"/>
          <w:sz w:val="24"/>
        </w:rPr>
        <w:t>n individual burden of 200 hours and a</w:t>
      </w:r>
      <w:r w:rsidR="00F95CB2" w:rsidRPr="00F95CB2">
        <w:rPr>
          <w:rFonts w:ascii="Times New Roman" w:eastAsia="MS Mincho" w:hAnsi="Times New Roman"/>
          <w:sz w:val="24"/>
        </w:rPr>
        <w:t xml:space="preserve"> total burden of 2,000 hours</w:t>
      </w:r>
      <w:r w:rsidR="00163A50">
        <w:rPr>
          <w:rFonts w:ascii="Times New Roman" w:eastAsia="MS Mincho" w:hAnsi="Times New Roman"/>
          <w:sz w:val="24"/>
        </w:rPr>
        <w:t>.</w:t>
      </w:r>
      <w:r w:rsidR="00F95CB2" w:rsidRPr="005403C8">
        <w:rPr>
          <w:rStyle w:val="FootnoteReference"/>
          <w:rFonts w:ascii="Times New Roman" w:hAnsi="Times New Roman"/>
          <w:sz w:val="24"/>
          <w:vertAlign w:val="superscript"/>
        </w:rPr>
        <w:footnoteReference w:id="19"/>
      </w:r>
      <w:r w:rsidR="00F95CB2" w:rsidRPr="00F95CB2">
        <w:rPr>
          <w:rFonts w:ascii="Times New Roman" w:eastAsia="MS Mincho" w:hAnsi="Times New Roman"/>
          <w:sz w:val="24"/>
        </w:rPr>
        <w:t xml:space="preserve">  </w:t>
      </w:r>
      <w:r w:rsidR="00981D63">
        <w:rPr>
          <w:rFonts w:ascii="Times New Roman" w:eastAsia="MS Mincho" w:hAnsi="Times New Roman"/>
          <w:sz w:val="24"/>
        </w:rPr>
        <w:t>The</w:t>
      </w:r>
      <w:r w:rsidR="00613559">
        <w:rPr>
          <w:rFonts w:ascii="Times New Roman" w:eastAsia="MS Mincho" w:hAnsi="Times New Roman"/>
          <w:sz w:val="24"/>
        </w:rPr>
        <w:t xml:space="preserve"> increase </w:t>
      </w:r>
      <w:r w:rsidR="00981D63">
        <w:rPr>
          <w:rFonts w:ascii="Times New Roman" w:eastAsia="MS Mincho" w:hAnsi="Times New Roman"/>
          <w:sz w:val="24"/>
        </w:rPr>
        <w:t xml:space="preserve">in </w:t>
      </w:r>
      <w:r w:rsidR="001672A7">
        <w:rPr>
          <w:rFonts w:ascii="Times New Roman" w:eastAsia="MS Mincho" w:hAnsi="Times New Roman"/>
          <w:sz w:val="24"/>
        </w:rPr>
        <w:t xml:space="preserve">total </w:t>
      </w:r>
      <w:r w:rsidR="00981D63">
        <w:rPr>
          <w:rFonts w:ascii="Times New Roman" w:eastAsia="MS Mincho" w:hAnsi="Times New Roman"/>
          <w:sz w:val="24"/>
        </w:rPr>
        <w:t xml:space="preserve">burden </w:t>
      </w:r>
      <w:r w:rsidR="00613559">
        <w:rPr>
          <w:rFonts w:ascii="Times New Roman" w:eastAsia="MS Mincho" w:hAnsi="Times New Roman"/>
          <w:sz w:val="24"/>
        </w:rPr>
        <w:t>from the Proposing Release estimate reflects the increase in number of respondents from 10 to 67</w:t>
      </w:r>
      <w:r w:rsidR="00F95CB2">
        <w:rPr>
          <w:rFonts w:ascii="Times New Roman" w:eastAsia="MS Mincho" w:hAnsi="Times New Roman"/>
          <w:sz w:val="24"/>
        </w:rPr>
        <w:t xml:space="preserve">, as </w:t>
      </w:r>
      <w:r w:rsidR="00561C19">
        <w:rPr>
          <w:rFonts w:ascii="Times New Roman" w:eastAsia="MS Mincho" w:hAnsi="Times New Roman"/>
          <w:sz w:val="24"/>
        </w:rPr>
        <w:t xml:space="preserve">discussed </w:t>
      </w:r>
      <w:r w:rsidR="00613559">
        <w:rPr>
          <w:rFonts w:ascii="Times New Roman" w:eastAsia="MS Mincho" w:hAnsi="Times New Roman"/>
          <w:sz w:val="24"/>
        </w:rPr>
        <w:t>above.</w:t>
      </w:r>
      <w:r w:rsidR="00613559" w:rsidRPr="005403C8">
        <w:rPr>
          <w:rStyle w:val="FootnoteReference"/>
          <w:rFonts w:ascii="Times New Roman" w:hAnsi="Times New Roman"/>
          <w:sz w:val="24"/>
          <w:vertAlign w:val="superscript"/>
        </w:rPr>
        <w:footnoteReference w:id="20"/>
      </w:r>
      <w:r w:rsidR="00F95CB2">
        <w:rPr>
          <w:rFonts w:ascii="Times New Roman" w:eastAsia="MS Mincho" w:hAnsi="Times New Roman"/>
          <w:sz w:val="24"/>
        </w:rPr>
        <w:t xml:space="preserve">  It also represents an increase in the initial individual hourly burden from 200 hours to 260 hours in response to </w:t>
      </w:r>
      <w:r w:rsidR="002B0A33">
        <w:rPr>
          <w:rFonts w:ascii="Times New Roman" w:eastAsia="MS Mincho" w:hAnsi="Times New Roman"/>
          <w:sz w:val="24"/>
        </w:rPr>
        <w:t xml:space="preserve">the </w:t>
      </w:r>
      <w:r w:rsidR="00F95CB2">
        <w:rPr>
          <w:rFonts w:ascii="Times New Roman" w:eastAsia="MS Mincho" w:hAnsi="Times New Roman"/>
          <w:sz w:val="24"/>
        </w:rPr>
        <w:t>comment</w:t>
      </w:r>
      <w:r w:rsidR="002B0A33">
        <w:rPr>
          <w:rFonts w:ascii="Times New Roman" w:eastAsia="MS Mincho" w:hAnsi="Times New Roman"/>
          <w:sz w:val="24"/>
        </w:rPr>
        <w:t xml:space="preserve"> letter </w:t>
      </w:r>
      <w:r w:rsidR="00F95CB2">
        <w:rPr>
          <w:rFonts w:ascii="Times New Roman" w:eastAsia="MS Mincho" w:hAnsi="Times New Roman"/>
          <w:sz w:val="24"/>
        </w:rPr>
        <w:t xml:space="preserve"> received.</w:t>
      </w:r>
      <w:r w:rsidR="00F95CB2" w:rsidRPr="005403C8">
        <w:rPr>
          <w:rStyle w:val="FootnoteReference"/>
          <w:rFonts w:ascii="Times New Roman" w:hAnsi="Times New Roman"/>
          <w:sz w:val="24"/>
          <w:vertAlign w:val="superscript"/>
        </w:rPr>
        <w:footnoteReference w:id="21"/>
      </w:r>
    </w:p>
    <w:p w:rsidR="00DB5935" w:rsidRPr="005403C8" w:rsidRDefault="00DB5935" w:rsidP="00DB5935">
      <w:pPr>
        <w:rPr>
          <w:rStyle w:val="tgc"/>
          <w:rFonts w:ascii="Times New Roman" w:hAnsi="Times New Roman"/>
          <w:sz w:val="24"/>
          <w:lang w:val="en"/>
        </w:rPr>
      </w:pPr>
    </w:p>
    <w:p w:rsidR="00561C19" w:rsidRDefault="00561C19" w:rsidP="00561C19">
      <w:pPr>
        <w:ind w:firstLine="720"/>
        <w:rPr>
          <w:rFonts w:ascii="Times New Roman" w:eastAsia="MS Mincho" w:hAnsi="Times New Roman"/>
          <w:sz w:val="24"/>
        </w:rPr>
      </w:pPr>
      <w:r w:rsidRPr="00BC7F76">
        <w:rPr>
          <w:rFonts w:ascii="Times New Roman" w:eastAsia="MS Mincho" w:hAnsi="Times New Roman"/>
          <w:sz w:val="24"/>
        </w:rPr>
        <w:t>The</w:t>
      </w:r>
      <w:r w:rsidRPr="00BC7F76" w:rsidDel="007E020B">
        <w:rPr>
          <w:rFonts w:ascii="Times New Roman" w:eastAsia="MS Mincho" w:hAnsi="Times New Roman"/>
          <w:sz w:val="24"/>
        </w:rPr>
        <w:t xml:space="preserve"> Commission </w:t>
      </w:r>
      <w:r w:rsidRPr="00BC7F76">
        <w:rPr>
          <w:rFonts w:ascii="Times New Roman" w:eastAsia="MS Mincho" w:hAnsi="Times New Roman"/>
          <w:sz w:val="24"/>
        </w:rPr>
        <w:t>estimate</w:t>
      </w:r>
      <w:r>
        <w:rPr>
          <w:rFonts w:ascii="Times New Roman" w:eastAsia="MS Mincho" w:hAnsi="Times New Roman"/>
          <w:sz w:val="24"/>
        </w:rPr>
        <w:t xml:space="preserve">s </w:t>
      </w:r>
      <w:r w:rsidRPr="00BC7F76">
        <w:rPr>
          <w:rFonts w:ascii="Times New Roman" w:eastAsia="MS Mincho" w:hAnsi="Times New Roman"/>
          <w:sz w:val="24"/>
        </w:rPr>
        <w:t xml:space="preserve">the initial burden for </w:t>
      </w:r>
      <w:r>
        <w:rPr>
          <w:rFonts w:ascii="Times New Roman" w:eastAsia="MS Mincho" w:hAnsi="Times New Roman"/>
          <w:sz w:val="24"/>
        </w:rPr>
        <w:t>each of the 133 broker-dealer</w:t>
      </w:r>
      <w:r w:rsidRPr="00BC7F76">
        <w:rPr>
          <w:rFonts w:ascii="Times New Roman" w:eastAsia="MS Mincho" w:hAnsi="Times New Roman"/>
          <w:sz w:val="24"/>
        </w:rPr>
        <w:t xml:space="preserve"> that handle</w:t>
      </w:r>
      <w:r>
        <w:rPr>
          <w:rFonts w:ascii="Times New Roman" w:eastAsia="MS Mincho" w:hAnsi="Times New Roman"/>
          <w:sz w:val="24"/>
        </w:rPr>
        <w:t>s</w:t>
      </w:r>
      <w:r w:rsidRPr="00BC7F76">
        <w:rPr>
          <w:rFonts w:ascii="Times New Roman" w:eastAsia="MS Mincho" w:hAnsi="Times New Roman"/>
          <w:sz w:val="24"/>
        </w:rPr>
        <w:t xml:space="preserve"> orders subject to the customer-specific disclosure</w:t>
      </w:r>
      <w:r>
        <w:rPr>
          <w:rFonts w:ascii="Times New Roman" w:eastAsia="MS Mincho" w:hAnsi="Times New Roman"/>
          <w:sz w:val="24"/>
        </w:rPr>
        <w:t xml:space="preserve">s required by Rule 606(b)(3) </w:t>
      </w:r>
      <w:r w:rsidRPr="00BC7F76">
        <w:rPr>
          <w:rFonts w:ascii="Times New Roman" w:eastAsia="MS Mincho" w:hAnsi="Times New Roman"/>
          <w:sz w:val="24"/>
        </w:rPr>
        <w:t xml:space="preserve">to </w:t>
      </w:r>
      <w:r>
        <w:rPr>
          <w:rFonts w:ascii="Times New Roman" w:eastAsia="MS Mincho" w:hAnsi="Times New Roman"/>
          <w:sz w:val="24"/>
        </w:rPr>
        <w:t xml:space="preserve">engage a third-party service provider to </w:t>
      </w:r>
      <w:r w:rsidRPr="00BC7F76">
        <w:rPr>
          <w:rFonts w:ascii="Times New Roman" w:eastAsia="MS Mincho" w:hAnsi="Times New Roman"/>
          <w:sz w:val="24"/>
        </w:rPr>
        <w:t xml:space="preserve">implement the requirements of the rule </w:t>
      </w:r>
      <w:r>
        <w:rPr>
          <w:rFonts w:ascii="Times New Roman" w:eastAsia="MS Mincho" w:hAnsi="Times New Roman"/>
          <w:sz w:val="24"/>
        </w:rPr>
        <w:t xml:space="preserve">to be </w:t>
      </w:r>
      <w:r w:rsidR="004E7C51">
        <w:rPr>
          <w:rFonts w:ascii="Times New Roman" w:eastAsia="MS Mincho" w:hAnsi="Times New Roman"/>
          <w:sz w:val="24"/>
        </w:rPr>
        <w:t>5</w:t>
      </w:r>
      <w:r w:rsidR="00E07DB2">
        <w:rPr>
          <w:rFonts w:ascii="Times New Roman" w:eastAsia="MS Mincho" w:hAnsi="Times New Roman"/>
          <w:sz w:val="24"/>
        </w:rPr>
        <w:t>0</w:t>
      </w:r>
      <w:r w:rsidR="004E7C51">
        <w:rPr>
          <w:rFonts w:ascii="Times New Roman" w:eastAsia="MS Mincho" w:hAnsi="Times New Roman"/>
          <w:sz w:val="24"/>
        </w:rPr>
        <w:t xml:space="preserve"> hours</w:t>
      </w:r>
      <w:r w:rsidR="00163A50">
        <w:rPr>
          <w:rFonts w:ascii="Times New Roman" w:eastAsia="MS Mincho" w:hAnsi="Times New Roman"/>
          <w:sz w:val="24"/>
        </w:rPr>
        <w:t>,</w:t>
      </w:r>
      <w:r w:rsidR="00AB0210" w:rsidRPr="005403C8">
        <w:rPr>
          <w:rStyle w:val="FootnoteReference"/>
          <w:rFonts w:ascii="Times New Roman" w:hAnsi="Times New Roman"/>
          <w:sz w:val="24"/>
          <w:vertAlign w:val="superscript"/>
        </w:rPr>
        <w:footnoteReference w:id="22"/>
      </w:r>
      <w:r>
        <w:rPr>
          <w:rFonts w:ascii="Times New Roman" w:eastAsia="MS Mincho" w:hAnsi="Times New Roman"/>
          <w:sz w:val="24"/>
        </w:rPr>
        <w:t xml:space="preserve"> for a total initial burden of </w:t>
      </w:r>
      <w:r w:rsidR="004E7C51" w:rsidRPr="004E7C51">
        <w:rPr>
          <w:rFonts w:ascii="Times New Roman" w:eastAsia="MS Mincho" w:hAnsi="Times New Roman"/>
          <w:sz w:val="24"/>
        </w:rPr>
        <w:t>6,650</w:t>
      </w:r>
      <w:r w:rsidR="004E7C51">
        <w:rPr>
          <w:rFonts w:ascii="Times New Roman" w:eastAsia="MS Mincho" w:hAnsi="Times New Roman"/>
          <w:sz w:val="24"/>
        </w:rPr>
        <w:t xml:space="preserve"> hours</w:t>
      </w:r>
      <w:r w:rsidR="00163A50">
        <w:rPr>
          <w:rFonts w:ascii="Times New Roman" w:eastAsia="MS Mincho" w:hAnsi="Times New Roman"/>
          <w:sz w:val="24"/>
        </w:rPr>
        <w:t>.</w:t>
      </w:r>
      <w:r w:rsidR="00AB0210" w:rsidRPr="005403C8">
        <w:rPr>
          <w:rStyle w:val="FootnoteReference"/>
          <w:rFonts w:ascii="Times New Roman" w:hAnsi="Times New Roman"/>
          <w:sz w:val="24"/>
          <w:vertAlign w:val="superscript"/>
        </w:rPr>
        <w:footnoteReference w:id="23"/>
      </w:r>
      <w:r>
        <w:rPr>
          <w:rFonts w:ascii="Times New Roman" w:eastAsia="MS Mincho" w:hAnsi="Times New Roman"/>
          <w:sz w:val="24"/>
        </w:rPr>
        <w:t xml:space="preserve">  </w:t>
      </w:r>
      <w:r w:rsidRPr="00F95CB2">
        <w:rPr>
          <w:rFonts w:ascii="Times New Roman" w:eastAsia="MS Mincho" w:hAnsi="Times New Roman"/>
          <w:sz w:val="24"/>
        </w:rPr>
        <w:t xml:space="preserve">The Commission initially estimated that </w:t>
      </w:r>
      <w:r>
        <w:rPr>
          <w:rFonts w:ascii="Times New Roman" w:eastAsia="MS Mincho" w:hAnsi="Times New Roman"/>
          <w:sz w:val="24"/>
        </w:rPr>
        <w:t>15</w:t>
      </w:r>
      <w:r w:rsidRPr="00F95CB2">
        <w:rPr>
          <w:rFonts w:ascii="Times New Roman" w:eastAsia="MS Mincho" w:hAnsi="Times New Roman"/>
          <w:sz w:val="24"/>
        </w:rPr>
        <w:t xml:space="preserve"> </w:t>
      </w:r>
      <w:r w:rsidR="008E40BC">
        <w:rPr>
          <w:rFonts w:ascii="Times New Roman" w:eastAsia="MS Mincho" w:hAnsi="Times New Roman"/>
          <w:sz w:val="24"/>
        </w:rPr>
        <w:t>broker-dealer</w:t>
      </w:r>
      <w:r w:rsidRPr="00F95CB2">
        <w:rPr>
          <w:rFonts w:ascii="Times New Roman" w:eastAsia="MS Mincho" w:hAnsi="Times New Roman"/>
          <w:sz w:val="24"/>
        </w:rPr>
        <w:t>s would need to update their systems to captur</w:t>
      </w:r>
      <w:r>
        <w:rPr>
          <w:rFonts w:ascii="Times New Roman" w:eastAsia="MS Mincho" w:hAnsi="Times New Roman"/>
          <w:sz w:val="24"/>
        </w:rPr>
        <w:t>e the data required by the rule</w:t>
      </w:r>
      <w:r w:rsidRPr="00F95CB2">
        <w:rPr>
          <w:rFonts w:ascii="Times New Roman" w:eastAsia="MS Mincho" w:hAnsi="Times New Roman"/>
          <w:sz w:val="24"/>
        </w:rPr>
        <w:t xml:space="preserve"> for a</w:t>
      </w:r>
      <w:r w:rsidR="004E7C51">
        <w:rPr>
          <w:rFonts w:ascii="Times New Roman" w:eastAsia="MS Mincho" w:hAnsi="Times New Roman"/>
          <w:sz w:val="24"/>
        </w:rPr>
        <w:t xml:space="preserve">n individual burden of </w:t>
      </w:r>
      <w:r w:rsidR="00163A50">
        <w:rPr>
          <w:rFonts w:ascii="Times New Roman" w:eastAsia="MS Mincho" w:hAnsi="Times New Roman"/>
          <w:sz w:val="24"/>
        </w:rPr>
        <w:t>50 hours</w:t>
      </w:r>
      <w:r w:rsidR="004E7C51">
        <w:rPr>
          <w:rFonts w:ascii="Times New Roman" w:eastAsia="MS Mincho" w:hAnsi="Times New Roman"/>
          <w:sz w:val="24"/>
        </w:rPr>
        <w:t xml:space="preserve"> and a</w:t>
      </w:r>
      <w:r w:rsidRPr="00F95CB2">
        <w:rPr>
          <w:rFonts w:ascii="Times New Roman" w:eastAsia="MS Mincho" w:hAnsi="Times New Roman"/>
          <w:sz w:val="24"/>
        </w:rPr>
        <w:t xml:space="preserve"> total burden </w:t>
      </w:r>
      <w:r w:rsidR="00981D63">
        <w:rPr>
          <w:rFonts w:ascii="Times New Roman" w:eastAsia="MS Mincho" w:hAnsi="Times New Roman"/>
          <w:sz w:val="24"/>
        </w:rPr>
        <w:t xml:space="preserve">of </w:t>
      </w:r>
      <w:r w:rsidR="00163A50">
        <w:rPr>
          <w:rFonts w:ascii="Times New Roman" w:eastAsia="MS Mincho" w:hAnsi="Times New Roman"/>
          <w:sz w:val="24"/>
        </w:rPr>
        <w:t>750 hours</w:t>
      </w:r>
      <w:r w:rsidRPr="00F95CB2">
        <w:rPr>
          <w:rFonts w:ascii="Times New Roman" w:eastAsia="MS Mincho" w:hAnsi="Times New Roman"/>
          <w:sz w:val="24"/>
        </w:rPr>
        <w:t>.</w:t>
      </w:r>
      <w:r w:rsidRPr="005403C8">
        <w:rPr>
          <w:rStyle w:val="FootnoteReference"/>
          <w:rFonts w:ascii="Times New Roman" w:hAnsi="Times New Roman"/>
          <w:sz w:val="24"/>
          <w:vertAlign w:val="superscript"/>
        </w:rPr>
        <w:footnoteReference w:id="24"/>
      </w:r>
      <w:r w:rsidRPr="00F95CB2">
        <w:rPr>
          <w:rFonts w:ascii="Times New Roman" w:eastAsia="MS Mincho" w:hAnsi="Times New Roman"/>
          <w:sz w:val="24"/>
        </w:rPr>
        <w:t xml:space="preserve">  </w:t>
      </w:r>
      <w:r w:rsidR="00981D63">
        <w:rPr>
          <w:rFonts w:ascii="Times New Roman" w:eastAsia="MS Mincho" w:hAnsi="Times New Roman"/>
          <w:sz w:val="24"/>
        </w:rPr>
        <w:t>The</w:t>
      </w:r>
      <w:r>
        <w:rPr>
          <w:rFonts w:ascii="Times New Roman" w:eastAsia="MS Mincho" w:hAnsi="Times New Roman"/>
          <w:sz w:val="24"/>
        </w:rPr>
        <w:t xml:space="preserve"> increase </w:t>
      </w:r>
      <w:r w:rsidR="00981D63">
        <w:rPr>
          <w:rFonts w:ascii="Times New Roman" w:eastAsia="MS Mincho" w:hAnsi="Times New Roman"/>
          <w:sz w:val="24"/>
        </w:rPr>
        <w:t xml:space="preserve">in burden </w:t>
      </w:r>
      <w:r>
        <w:rPr>
          <w:rFonts w:ascii="Times New Roman" w:eastAsia="MS Mincho" w:hAnsi="Times New Roman"/>
          <w:sz w:val="24"/>
        </w:rPr>
        <w:t>from the Proposing Release estimate reflects the increase in number of respondents from 15 to 133, as discussed above.</w:t>
      </w:r>
      <w:r w:rsidRPr="005403C8">
        <w:rPr>
          <w:rStyle w:val="FootnoteReference"/>
          <w:rFonts w:ascii="Times New Roman" w:hAnsi="Times New Roman"/>
          <w:sz w:val="24"/>
          <w:vertAlign w:val="superscript"/>
        </w:rPr>
        <w:footnoteReference w:id="25"/>
      </w:r>
    </w:p>
    <w:p w:rsidR="00AB0210" w:rsidRDefault="00AB0210" w:rsidP="00AB0210">
      <w:pPr>
        <w:rPr>
          <w:rFonts w:ascii="Times New Roman" w:hAnsi="Times New Roman"/>
          <w:sz w:val="24"/>
        </w:rPr>
      </w:pPr>
    </w:p>
    <w:p w:rsidR="005768EB" w:rsidRPr="005403C8" w:rsidRDefault="00AB0210" w:rsidP="00AB0210">
      <w:pPr>
        <w:ind w:firstLine="720"/>
        <w:rPr>
          <w:rFonts w:ascii="Times New Roman" w:hAnsi="Times New Roman"/>
          <w:sz w:val="24"/>
        </w:rPr>
      </w:pPr>
      <w:r w:rsidRPr="005403C8">
        <w:rPr>
          <w:rFonts w:ascii="Times New Roman" w:hAnsi="Times New Roman"/>
          <w:sz w:val="24"/>
        </w:rPr>
        <w:t xml:space="preserve">Therefore, the estimated total initial burden to comply with </w:t>
      </w:r>
      <w:r w:rsidR="00976F75">
        <w:rPr>
          <w:rFonts w:ascii="Times New Roman" w:hAnsi="Times New Roman"/>
          <w:sz w:val="24"/>
        </w:rPr>
        <w:t>adopted</w:t>
      </w:r>
      <w:r w:rsidRPr="005403C8">
        <w:rPr>
          <w:rFonts w:ascii="Times New Roman" w:hAnsi="Times New Roman"/>
          <w:sz w:val="24"/>
        </w:rPr>
        <w:t xml:space="preserve"> Rule 606(b)(3) is </w:t>
      </w:r>
      <w:r w:rsidR="00976F75">
        <w:rPr>
          <w:rFonts w:ascii="Times New Roman" w:hAnsi="Times New Roman"/>
          <w:sz w:val="24"/>
        </w:rPr>
        <w:t>24,070</w:t>
      </w:r>
      <w:r w:rsidRPr="005403C8">
        <w:rPr>
          <w:rFonts w:ascii="Times New Roman" w:hAnsi="Times New Roman"/>
          <w:sz w:val="24"/>
        </w:rPr>
        <w:t xml:space="preserve"> hours</w:t>
      </w:r>
      <w:r w:rsidRPr="005403C8">
        <w:rPr>
          <w:rStyle w:val="FootnoteReference"/>
          <w:rFonts w:ascii="Times New Roman" w:hAnsi="Times New Roman"/>
          <w:sz w:val="24"/>
          <w:vertAlign w:val="superscript"/>
        </w:rPr>
        <w:footnoteReference w:id="26"/>
      </w:r>
      <w:r w:rsidRPr="005403C8">
        <w:rPr>
          <w:rFonts w:ascii="Times New Roman" w:hAnsi="Times New Roman"/>
          <w:sz w:val="24"/>
        </w:rPr>
        <w:t xml:space="preserve"> or </w:t>
      </w:r>
      <w:r w:rsidR="00976F75" w:rsidRPr="00976F75">
        <w:rPr>
          <w:rFonts w:ascii="Times New Roman" w:hAnsi="Times New Roman"/>
          <w:sz w:val="24"/>
        </w:rPr>
        <w:t>8,023.33</w:t>
      </w:r>
      <w:r w:rsidRPr="005403C8">
        <w:rPr>
          <w:rFonts w:ascii="Times New Roman" w:hAnsi="Times New Roman"/>
          <w:sz w:val="24"/>
        </w:rPr>
        <w:t xml:space="preserve"> hours per year when annualized over three years.</w:t>
      </w:r>
      <w:r w:rsidRPr="005403C8">
        <w:rPr>
          <w:rStyle w:val="FootnoteReference"/>
          <w:rFonts w:ascii="Times New Roman" w:hAnsi="Times New Roman"/>
          <w:sz w:val="24"/>
          <w:vertAlign w:val="superscript"/>
        </w:rPr>
        <w:footnoteReference w:id="27"/>
      </w:r>
      <w:r>
        <w:rPr>
          <w:rFonts w:ascii="Times New Roman" w:hAnsi="Times New Roman"/>
          <w:sz w:val="24"/>
        </w:rPr>
        <w:t xml:space="preserve">  </w:t>
      </w:r>
      <w:r w:rsidR="00B06050">
        <w:rPr>
          <w:rFonts w:ascii="Times New Roman" w:hAnsi="Times New Roman"/>
          <w:sz w:val="24"/>
        </w:rPr>
        <w:t xml:space="preserve">This is an increase over the initial Proposing Release estimate </w:t>
      </w:r>
      <w:r>
        <w:rPr>
          <w:rFonts w:ascii="Times New Roman" w:hAnsi="Times New Roman"/>
          <w:sz w:val="24"/>
        </w:rPr>
        <w:t>of</w:t>
      </w:r>
      <w:r w:rsidR="008912FD" w:rsidRPr="005403C8">
        <w:rPr>
          <w:rFonts w:ascii="Times New Roman" w:hAnsi="Times New Roman"/>
          <w:sz w:val="24"/>
        </w:rPr>
        <w:t xml:space="preserve"> </w:t>
      </w:r>
      <w:r w:rsidR="000C4B94" w:rsidRPr="005403C8">
        <w:rPr>
          <w:rFonts w:ascii="Times New Roman" w:hAnsi="Times New Roman"/>
          <w:sz w:val="24"/>
        </w:rPr>
        <w:t>8,750</w:t>
      </w:r>
      <w:r w:rsidR="008912FD" w:rsidRPr="005403C8">
        <w:rPr>
          <w:rFonts w:ascii="Times New Roman" w:hAnsi="Times New Roman"/>
          <w:sz w:val="24"/>
        </w:rPr>
        <w:t xml:space="preserve"> hours or 2,</w:t>
      </w:r>
      <w:r w:rsidR="000C4B94" w:rsidRPr="005403C8">
        <w:rPr>
          <w:rFonts w:ascii="Times New Roman" w:hAnsi="Times New Roman"/>
          <w:sz w:val="24"/>
        </w:rPr>
        <w:t>916.67</w:t>
      </w:r>
      <w:r w:rsidR="008912FD" w:rsidRPr="005403C8">
        <w:rPr>
          <w:rFonts w:ascii="Times New Roman" w:hAnsi="Times New Roman"/>
          <w:sz w:val="24"/>
        </w:rPr>
        <w:t xml:space="preserve"> hours per year</w:t>
      </w:r>
      <w:r>
        <w:rPr>
          <w:rFonts w:ascii="Times New Roman" w:hAnsi="Times New Roman"/>
          <w:sz w:val="24"/>
        </w:rPr>
        <w:t xml:space="preserve"> annualized over three years, for the reasons discussed above</w:t>
      </w:r>
      <w:r w:rsidR="008912FD" w:rsidRPr="005403C8">
        <w:rPr>
          <w:rFonts w:ascii="Times New Roman" w:hAnsi="Times New Roman"/>
          <w:sz w:val="24"/>
        </w:rPr>
        <w:t>.</w:t>
      </w:r>
    </w:p>
    <w:p w:rsidR="00287278" w:rsidRPr="005403C8" w:rsidRDefault="00287278" w:rsidP="008912FD">
      <w:pPr>
        <w:ind w:firstLine="720"/>
        <w:rPr>
          <w:rFonts w:ascii="Times New Roman" w:hAnsi="Times New Roman"/>
          <w:sz w:val="24"/>
        </w:rPr>
      </w:pPr>
    </w:p>
    <w:p w:rsidR="00287278" w:rsidRPr="005403C8" w:rsidRDefault="00287278" w:rsidP="00287278">
      <w:pPr>
        <w:numPr>
          <w:ilvl w:val="2"/>
          <w:numId w:val="16"/>
        </w:numPr>
        <w:rPr>
          <w:rFonts w:ascii="Times New Roman" w:hAnsi="Times New Roman"/>
          <w:sz w:val="24"/>
          <w:u w:val="single"/>
        </w:rPr>
      </w:pPr>
      <w:r w:rsidRPr="005403C8">
        <w:rPr>
          <w:rFonts w:ascii="Times New Roman" w:hAnsi="Times New Roman"/>
          <w:sz w:val="24"/>
          <w:u w:val="single"/>
        </w:rPr>
        <w:t>Annual Reporting and Recordkeeping Burden</w:t>
      </w:r>
    </w:p>
    <w:p w:rsidR="00287278" w:rsidRPr="005403C8" w:rsidRDefault="00287278" w:rsidP="00287278">
      <w:pPr>
        <w:ind w:firstLine="720"/>
        <w:rPr>
          <w:rFonts w:ascii="Times New Roman" w:hAnsi="Times New Roman"/>
          <w:b/>
          <w:sz w:val="24"/>
        </w:rPr>
      </w:pPr>
    </w:p>
    <w:p w:rsidR="00287278" w:rsidRDefault="00287278" w:rsidP="00287278">
      <w:pPr>
        <w:ind w:firstLine="720"/>
        <w:rPr>
          <w:rFonts w:ascii="Times New Roman" w:hAnsi="Times New Roman"/>
          <w:sz w:val="24"/>
        </w:rPr>
      </w:pPr>
      <w:r w:rsidRPr="005403C8">
        <w:rPr>
          <w:rFonts w:ascii="Times New Roman" w:hAnsi="Times New Roman"/>
          <w:sz w:val="24"/>
        </w:rPr>
        <w:t xml:space="preserve">The Commission estimates that for </w:t>
      </w:r>
      <w:r w:rsidR="005F5043">
        <w:rPr>
          <w:rFonts w:ascii="Times New Roman" w:hAnsi="Times New Roman"/>
          <w:sz w:val="24"/>
        </w:rPr>
        <w:t>each broker-dealer</w:t>
      </w:r>
      <w:r w:rsidRPr="005403C8">
        <w:rPr>
          <w:rFonts w:ascii="Times New Roman" w:hAnsi="Times New Roman"/>
          <w:sz w:val="24"/>
        </w:rPr>
        <w:t xml:space="preserve"> </w:t>
      </w:r>
      <w:r w:rsidR="00683E12" w:rsidRPr="005403C8">
        <w:rPr>
          <w:rFonts w:ascii="Times New Roman" w:hAnsi="Times New Roman"/>
          <w:sz w:val="24"/>
        </w:rPr>
        <w:t>that</w:t>
      </w:r>
      <w:r w:rsidRPr="005403C8">
        <w:rPr>
          <w:rFonts w:ascii="Times New Roman" w:hAnsi="Times New Roman"/>
          <w:sz w:val="24"/>
        </w:rPr>
        <w:t xml:space="preserve"> </w:t>
      </w:r>
      <w:r w:rsidR="0006422D" w:rsidRPr="005403C8">
        <w:rPr>
          <w:rFonts w:ascii="Times New Roman" w:hAnsi="Times New Roman"/>
          <w:sz w:val="24"/>
        </w:rPr>
        <w:t xml:space="preserve">will </w:t>
      </w:r>
      <w:r w:rsidRPr="005403C8">
        <w:rPr>
          <w:rFonts w:ascii="Times New Roman" w:hAnsi="Times New Roman"/>
          <w:sz w:val="24"/>
        </w:rPr>
        <w:t>respond in-house to individual customer requests for inf</w:t>
      </w:r>
      <w:r w:rsidR="00F64EC3">
        <w:rPr>
          <w:rFonts w:ascii="Times New Roman" w:hAnsi="Times New Roman"/>
          <w:sz w:val="24"/>
        </w:rPr>
        <w:t xml:space="preserve">ormation </w:t>
      </w:r>
      <w:r w:rsidR="005F5043">
        <w:rPr>
          <w:rFonts w:ascii="Times New Roman" w:hAnsi="Times New Roman"/>
          <w:sz w:val="24"/>
        </w:rPr>
        <w:t xml:space="preserve">on </w:t>
      </w:r>
      <w:r w:rsidR="00F64EC3">
        <w:rPr>
          <w:rFonts w:ascii="Times New Roman" w:hAnsi="Times New Roman"/>
          <w:sz w:val="24"/>
        </w:rPr>
        <w:t>order handling</w:t>
      </w:r>
      <w:r w:rsidRPr="005403C8">
        <w:rPr>
          <w:rFonts w:ascii="Times New Roman" w:hAnsi="Times New Roman"/>
          <w:sz w:val="24"/>
        </w:rPr>
        <w:t xml:space="preserve"> under </w:t>
      </w:r>
      <w:r w:rsidR="005F5043">
        <w:rPr>
          <w:rFonts w:ascii="Times New Roman" w:hAnsi="Times New Roman"/>
          <w:sz w:val="24"/>
        </w:rPr>
        <w:t xml:space="preserve">adopted </w:t>
      </w:r>
      <w:r w:rsidRPr="005403C8">
        <w:rPr>
          <w:rFonts w:ascii="Times New Roman" w:hAnsi="Times New Roman"/>
          <w:sz w:val="24"/>
        </w:rPr>
        <w:t xml:space="preserve">Rule 606(b)(3), the </w:t>
      </w:r>
      <w:r w:rsidR="005F5043">
        <w:rPr>
          <w:rFonts w:ascii="Times New Roman" w:hAnsi="Times New Roman"/>
          <w:sz w:val="24"/>
        </w:rPr>
        <w:t xml:space="preserve">individual </w:t>
      </w:r>
      <w:r w:rsidRPr="005403C8">
        <w:rPr>
          <w:rFonts w:ascii="Times New Roman" w:hAnsi="Times New Roman"/>
          <w:sz w:val="24"/>
        </w:rPr>
        <w:t>annual burden will</w:t>
      </w:r>
      <w:r w:rsidR="005F5043">
        <w:rPr>
          <w:rFonts w:ascii="Times New Roman" w:hAnsi="Times New Roman"/>
          <w:sz w:val="24"/>
        </w:rPr>
        <w:t xml:space="preserve"> be</w:t>
      </w:r>
      <w:r w:rsidRPr="005403C8">
        <w:rPr>
          <w:rFonts w:ascii="Times New Roman" w:hAnsi="Times New Roman"/>
          <w:sz w:val="24"/>
        </w:rPr>
        <w:t xml:space="preserve"> </w:t>
      </w:r>
      <w:r w:rsidR="005F5043">
        <w:rPr>
          <w:rFonts w:ascii="Times New Roman" w:hAnsi="Times New Roman"/>
          <w:sz w:val="24"/>
        </w:rPr>
        <w:t>400 hours,</w:t>
      </w:r>
      <w:r w:rsidR="005F5043" w:rsidRPr="005403C8">
        <w:rPr>
          <w:rStyle w:val="FootnoteReference"/>
          <w:rFonts w:ascii="Times New Roman" w:hAnsi="Times New Roman"/>
          <w:sz w:val="24"/>
          <w:vertAlign w:val="superscript"/>
        </w:rPr>
        <w:footnoteReference w:id="28"/>
      </w:r>
      <w:r w:rsidR="005F5043" w:rsidRPr="005403C8">
        <w:rPr>
          <w:rFonts w:ascii="Times New Roman" w:hAnsi="Times New Roman"/>
          <w:sz w:val="24"/>
        </w:rPr>
        <w:t xml:space="preserve"> </w:t>
      </w:r>
      <w:r w:rsidR="005F5043">
        <w:rPr>
          <w:rFonts w:ascii="Times New Roman" w:hAnsi="Times New Roman"/>
          <w:sz w:val="24"/>
        </w:rPr>
        <w:t>with a total annual burden of</w:t>
      </w:r>
      <w:r w:rsidRPr="005403C8">
        <w:rPr>
          <w:rFonts w:ascii="Times New Roman" w:hAnsi="Times New Roman"/>
          <w:sz w:val="24"/>
        </w:rPr>
        <w:t xml:space="preserve"> 54,000 hours</w:t>
      </w:r>
      <w:r w:rsidR="00924660" w:rsidRPr="005403C8">
        <w:rPr>
          <w:rFonts w:ascii="Times New Roman" w:hAnsi="Times New Roman"/>
          <w:sz w:val="24"/>
        </w:rPr>
        <w:t>.</w:t>
      </w:r>
      <w:r w:rsidRPr="005403C8">
        <w:rPr>
          <w:rStyle w:val="FootnoteReference"/>
          <w:rFonts w:ascii="Times New Roman" w:hAnsi="Times New Roman"/>
          <w:sz w:val="24"/>
          <w:vertAlign w:val="superscript"/>
        </w:rPr>
        <w:footnoteReference w:id="29"/>
      </w:r>
      <w:r w:rsidR="00924660" w:rsidRPr="005403C8">
        <w:rPr>
          <w:rFonts w:ascii="Times New Roman" w:hAnsi="Times New Roman"/>
          <w:sz w:val="24"/>
        </w:rPr>
        <w:t xml:space="preserve">  The annual burden for broker-dealers that </w:t>
      </w:r>
      <w:r w:rsidR="0006422D" w:rsidRPr="005403C8">
        <w:rPr>
          <w:rFonts w:ascii="Times New Roman" w:hAnsi="Times New Roman"/>
          <w:sz w:val="24"/>
        </w:rPr>
        <w:t xml:space="preserve">will </w:t>
      </w:r>
      <w:r w:rsidR="00976F75">
        <w:rPr>
          <w:rFonts w:ascii="Times New Roman" w:hAnsi="Times New Roman"/>
          <w:sz w:val="24"/>
        </w:rPr>
        <w:t>engage a third-</w:t>
      </w:r>
      <w:r w:rsidR="00924660" w:rsidRPr="005403C8">
        <w:rPr>
          <w:rFonts w:ascii="Times New Roman" w:hAnsi="Times New Roman"/>
          <w:sz w:val="24"/>
        </w:rPr>
        <w:t xml:space="preserve">party to respond to individual customer requests will be </w:t>
      </w:r>
      <w:r w:rsidR="00E07DB2">
        <w:rPr>
          <w:rFonts w:ascii="Times New Roman" w:hAnsi="Times New Roman"/>
          <w:sz w:val="24"/>
        </w:rPr>
        <w:t>200</w:t>
      </w:r>
      <w:r w:rsidR="00B52BEB">
        <w:rPr>
          <w:rFonts w:ascii="Times New Roman" w:hAnsi="Times New Roman"/>
          <w:sz w:val="24"/>
        </w:rPr>
        <w:t xml:space="preserve"> hours</w:t>
      </w:r>
      <w:r w:rsidR="006317BF">
        <w:rPr>
          <w:rFonts w:ascii="Times New Roman" w:hAnsi="Times New Roman"/>
          <w:sz w:val="24"/>
        </w:rPr>
        <w:t>,</w:t>
      </w:r>
      <w:r w:rsidR="00B52BEB" w:rsidRPr="005403C8">
        <w:rPr>
          <w:rStyle w:val="FootnoteReference"/>
          <w:rFonts w:ascii="Times New Roman" w:hAnsi="Times New Roman"/>
          <w:sz w:val="24"/>
          <w:vertAlign w:val="superscript"/>
        </w:rPr>
        <w:footnoteReference w:id="30"/>
      </w:r>
      <w:r w:rsidR="00B52BEB">
        <w:rPr>
          <w:rFonts w:ascii="Times New Roman" w:hAnsi="Times New Roman"/>
          <w:sz w:val="24"/>
        </w:rPr>
        <w:t xml:space="preserve"> with a total annual burden of </w:t>
      </w:r>
      <w:r w:rsidR="00924660" w:rsidRPr="005403C8">
        <w:rPr>
          <w:rFonts w:ascii="Times New Roman" w:hAnsi="Times New Roman"/>
          <w:sz w:val="24"/>
        </w:rPr>
        <w:t>13,000 hours</w:t>
      </w:r>
      <w:r w:rsidR="006317BF">
        <w:rPr>
          <w:rFonts w:ascii="Times New Roman" w:hAnsi="Times New Roman"/>
          <w:sz w:val="24"/>
        </w:rPr>
        <w:t>.</w:t>
      </w:r>
      <w:r w:rsidR="0071679C" w:rsidRPr="005403C8">
        <w:rPr>
          <w:rStyle w:val="FootnoteReference"/>
          <w:rFonts w:ascii="Times New Roman" w:hAnsi="Times New Roman"/>
          <w:sz w:val="24"/>
          <w:vertAlign w:val="superscript"/>
        </w:rPr>
        <w:footnoteReference w:id="31"/>
      </w:r>
    </w:p>
    <w:p w:rsidR="00CB52BD" w:rsidRPr="005403C8" w:rsidRDefault="00CB52BD" w:rsidP="00B06050">
      <w:pPr>
        <w:rPr>
          <w:rFonts w:ascii="Times New Roman" w:hAnsi="Times New Roman"/>
          <w:sz w:val="24"/>
        </w:rPr>
      </w:pPr>
    </w:p>
    <w:p w:rsidR="00CB52BD" w:rsidRPr="005403C8" w:rsidRDefault="00CB52BD" w:rsidP="002175D5">
      <w:pPr>
        <w:ind w:firstLine="720"/>
        <w:rPr>
          <w:rFonts w:ascii="Times New Roman" w:hAnsi="Times New Roman"/>
          <w:sz w:val="24"/>
        </w:rPr>
      </w:pPr>
      <w:r w:rsidRPr="005403C8">
        <w:rPr>
          <w:rFonts w:ascii="Times New Roman" w:hAnsi="Times New Roman"/>
          <w:sz w:val="24"/>
        </w:rPr>
        <w:t xml:space="preserve">Therefore, the estimated total annual burden to comply with </w:t>
      </w:r>
      <w:r w:rsidR="007863C8">
        <w:rPr>
          <w:rFonts w:ascii="Times New Roman" w:hAnsi="Times New Roman"/>
          <w:sz w:val="24"/>
        </w:rPr>
        <w:t>adopted</w:t>
      </w:r>
      <w:r w:rsidRPr="005403C8">
        <w:rPr>
          <w:rFonts w:ascii="Times New Roman" w:hAnsi="Times New Roman"/>
          <w:sz w:val="24"/>
        </w:rPr>
        <w:t xml:space="preserve"> Rule 606(b)(3) is 67,000 hours</w:t>
      </w:r>
      <w:r w:rsidR="00D41C9D" w:rsidRPr="005403C8">
        <w:rPr>
          <w:rFonts w:ascii="Times New Roman" w:hAnsi="Times New Roman"/>
          <w:sz w:val="24"/>
        </w:rPr>
        <w:t>.</w:t>
      </w:r>
      <w:r w:rsidRPr="005403C8">
        <w:rPr>
          <w:rStyle w:val="FootnoteReference"/>
          <w:rFonts w:ascii="Times New Roman" w:hAnsi="Times New Roman"/>
          <w:sz w:val="24"/>
          <w:vertAlign w:val="superscript"/>
        </w:rPr>
        <w:footnoteReference w:id="32"/>
      </w:r>
      <w:r w:rsidR="005F5043">
        <w:rPr>
          <w:rFonts w:ascii="Times New Roman" w:hAnsi="Times New Roman"/>
          <w:sz w:val="24"/>
        </w:rPr>
        <w:t xml:space="preserve">  This burden is unchanged from Proposing Release.</w:t>
      </w:r>
    </w:p>
    <w:p w:rsidR="00287278" w:rsidRPr="005403C8" w:rsidRDefault="00287278" w:rsidP="00287278">
      <w:pPr>
        <w:ind w:firstLine="720"/>
        <w:rPr>
          <w:rFonts w:ascii="Times New Roman" w:hAnsi="Times New Roman"/>
          <w:sz w:val="24"/>
        </w:rPr>
      </w:pPr>
    </w:p>
    <w:p w:rsidR="00287278" w:rsidRPr="005403C8" w:rsidRDefault="009E0CB6" w:rsidP="001B2DD9">
      <w:pPr>
        <w:numPr>
          <w:ilvl w:val="1"/>
          <w:numId w:val="16"/>
        </w:numPr>
        <w:ind w:left="2880" w:hanging="720"/>
        <w:rPr>
          <w:rFonts w:ascii="Times New Roman" w:hAnsi="Times New Roman"/>
          <w:b/>
          <w:sz w:val="24"/>
          <w:u w:val="single"/>
        </w:rPr>
      </w:pPr>
      <w:r w:rsidRPr="005403C8">
        <w:rPr>
          <w:rFonts w:ascii="Times New Roman" w:hAnsi="Times New Roman"/>
          <w:sz w:val="24"/>
          <w:szCs w:val="22"/>
          <w:u w:val="single"/>
        </w:rPr>
        <w:t xml:space="preserve">Amendments </w:t>
      </w:r>
      <w:r w:rsidR="00063123">
        <w:rPr>
          <w:rFonts w:ascii="Times New Roman" w:hAnsi="Times New Roman"/>
          <w:sz w:val="24"/>
          <w:szCs w:val="22"/>
          <w:u w:val="single"/>
        </w:rPr>
        <w:t xml:space="preserve">to </w:t>
      </w:r>
      <w:r w:rsidRPr="005403C8">
        <w:rPr>
          <w:rFonts w:ascii="Times New Roman" w:hAnsi="Times New Roman"/>
          <w:sz w:val="24"/>
          <w:u w:val="single"/>
        </w:rPr>
        <w:t xml:space="preserve">Rules </w:t>
      </w:r>
      <w:r w:rsidRPr="005403C8">
        <w:rPr>
          <w:rFonts w:ascii="Times New Roman" w:hAnsi="Times New Roman"/>
          <w:bCs/>
          <w:sz w:val="24"/>
          <w:u w:val="single"/>
        </w:rPr>
        <w:t>606(a)(1) and 606(b)(1)</w:t>
      </w:r>
    </w:p>
    <w:p w:rsidR="00287278" w:rsidRPr="005403C8" w:rsidRDefault="00287278" w:rsidP="001B2DD9">
      <w:pPr>
        <w:ind w:firstLine="720"/>
        <w:rPr>
          <w:rFonts w:ascii="Times New Roman" w:hAnsi="Times New Roman"/>
          <w:sz w:val="24"/>
        </w:rPr>
      </w:pPr>
    </w:p>
    <w:p w:rsidR="00287278" w:rsidRPr="005403C8" w:rsidRDefault="00287278" w:rsidP="001B2DD9">
      <w:pPr>
        <w:numPr>
          <w:ilvl w:val="2"/>
          <w:numId w:val="16"/>
        </w:numPr>
        <w:rPr>
          <w:rFonts w:ascii="Times New Roman" w:hAnsi="Times New Roman"/>
          <w:sz w:val="24"/>
          <w:u w:val="single"/>
        </w:rPr>
      </w:pPr>
      <w:r w:rsidRPr="005403C8">
        <w:rPr>
          <w:rFonts w:ascii="Times New Roman" w:hAnsi="Times New Roman"/>
          <w:sz w:val="24"/>
          <w:u w:val="single"/>
        </w:rPr>
        <w:t>Initial Reporting and Recordkeeping Burden</w:t>
      </w:r>
    </w:p>
    <w:p w:rsidR="00287278" w:rsidRPr="005403C8" w:rsidRDefault="00287278" w:rsidP="001B2DD9">
      <w:pPr>
        <w:pStyle w:val="ListParagraph"/>
        <w:spacing w:after="0" w:line="240" w:lineRule="auto"/>
        <w:ind w:left="2160"/>
        <w:rPr>
          <w:rFonts w:ascii="Times New Roman" w:eastAsia="Times New Roman" w:hAnsi="Times New Roman"/>
          <w:sz w:val="24"/>
          <w:szCs w:val="24"/>
        </w:rPr>
      </w:pPr>
    </w:p>
    <w:p w:rsidR="00C74BCA" w:rsidRDefault="000540F1" w:rsidP="001B2DD9">
      <w:pPr>
        <w:ind w:firstLine="720"/>
        <w:rPr>
          <w:rFonts w:ascii="Times New Roman" w:hAnsi="Times New Roman"/>
          <w:sz w:val="24"/>
        </w:rPr>
      </w:pPr>
      <w:r>
        <w:rPr>
          <w:rFonts w:ascii="Times New Roman" w:hAnsi="Times New Roman"/>
          <w:sz w:val="24"/>
        </w:rPr>
        <w:t xml:space="preserve">Adopted </w:t>
      </w:r>
      <w:r w:rsidRPr="005403C8">
        <w:rPr>
          <w:rFonts w:ascii="Times New Roman" w:hAnsi="Times New Roman"/>
          <w:sz w:val="24"/>
        </w:rPr>
        <w:t>Rule 606</w:t>
      </w:r>
      <w:r w:rsidR="00C74BCA">
        <w:rPr>
          <w:rFonts w:ascii="Times New Roman" w:hAnsi="Times New Roman"/>
          <w:sz w:val="24"/>
        </w:rPr>
        <w:t>(a)(1</w:t>
      </w:r>
      <w:r w:rsidRPr="005403C8">
        <w:rPr>
          <w:rFonts w:ascii="Times New Roman" w:hAnsi="Times New Roman"/>
          <w:sz w:val="24"/>
        </w:rPr>
        <w:t xml:space="preserve">) </w:t>
      </w:r>
      <w:r w:rsidR="00C74BCA">
        <w:rPr>
          <w:rFonts w:ascii="Times New Roman" w:hAnsi="Times New Roman"/>
          <w:sz w:val="24"/>
        </w:rPr>
        <w:t xml:space="preserve">enhances existing </w:t>
      </w:r>
      <w:r w:rsidRPr="005403C8">
        <w:rPr>
          <w:rFonts w:ascii="Times New Roman" w:hAnsi="Times New Roman"/>
          <w:sz w:val="24"/>
        </w:rPr>
        <w:t>recordke</w:t>
      </w:r>
      <w:r w:rsidR="00C74BCA">
        <w:rPr>
          <w:rFonts w:ascii="Times New Roman" w:hAnsi="Times New Roman"/>
          <w:sz w:val="24"/>
        </w:rPr>
        <w:t>eping requirements and makes them applicable t</w:t>
      </w:r>
      <w:r w:rsidR="00C74BCA" w:rsidRPr="005403C8">
        <w:rPr>
          <w:rFonts w:ascii="Times New Roman" w:hAnsi="Times New Roman"/>
          <w:sz w:val="24"/>
        </w:rPr>
        <w:t>o broker-dealers</w:t>
      </w:r>
      <w:r w:rsidR="00C74BCA">
        <w:rPr>
          <w:rFonts w:ascii="Times New Roman" w:hAnsi="Times New Roman"/>
          <w:sz w:val="24"/>
        </w:rPr>
        <w:t xml:space="preserve"> that route orders </w:t>
      </w:r>
      <w:r w:rsidR="00C74BCA" w:rsidRPr="00FB7FC0">
        <w:rPr>
          <w:rFonts w:ascii="Times New Roman" w:hAnsi="Times New Roman"/>
          <w:sz w:val="24"/>
        </w:rPr>
        <w:t>in NMS stocks that are</w:t>
      </w:r>
      <w:r w:rsidR="00C74BCA">
        <w:rPr>
          <w:rFonts w:ascii="Times New Roman" w:hAnsi="Times New Roman"/>
          <w:sz w:val="24"/>
        </w:rPr>
        <w:t xml:space="preserve"> submitted on a held basis and</w:t>
      </w:r>
      <w:r w:rsidR="00C74BCA" w:rsidRPr="00FB7FC0">
        <w:rPr>
          <w:rFonts w:ascii="Times New Roman" w:hAnsi="Times New Roman"/>
          <w:sz w:val="24"/>
        </w:rPr>
        <w:t xml:space="preserve"> orders in NMS securities that are option contracts</w:t>
      </w:r>
      <w:r w:rsidR="00C74BCA">
        <w:rPr>
          <w:rFonts w:ascii="Times New Roman" w:hAnsi="Times New Roman"/>
          <w:sz w:val="24"/>
        </w:rPr>
        <w:t xml:space="preserve">.  Adopted Rule 606(b)(1) </w:t>
      </w:r>
      <w:r w:rsidR="00681B6B">
        <w:rPr>
          <w:rFonts w:ascii="Times New Roman" w:hAnsi="Times New Roman"/>
          <w:sz w:val="24"/>
        </w:rPr>
        <w:t>does not change</w:t>
      </w:r>
      <w:r w:rsidR="00C74BCA">
        <w:rPr>
          <w:rFonts w:ascii="Times New Roman" w:hAnsi="Times New Roman"/>
          <w:sz w:val="24"/>
        </w:rPr>
        <w:t xml:space="preserve"> existing record-keeping requirements but makes them applicable to broker-dealers that route orders </w:t>
      </w:r>
      <w:r w:rsidR="00C74BCA" w:rsidRPr="00FB7FC0">
        <w:rPr>
          <w:rFonts w:ascii="Times New Roman" w:hAnsi="Times New Roman"/>
          <w:sz w:val="24"/>
        </w:rPr>
        <w:t>in NMS stocks that are</w:t>
      </w:r>
      <w:r w:rsidR="00C74BCA">
        <w:rPr>
          <w:rFonts w:ascii="Times New Roman" w:hAnsi="Times New Roman"/>
          <w:sz w:val="24"/>
        </w:rPr>
        <w:t xml:space="preserve"> submitted on a held basis, orders in NMS stocks s</w:t>
      </w:r>
      <w:r w:rsidR="000C6BA9">
        <w:rPr>
          <w:rFonts w:ascii="Times New Roman" w:hAnsi="Times New Roman"/>
          <w:sz w:val="24"/>
        </w:rPr>
        <w:t>ubmitted on a not held basis that do not qualify for</w:t>
      </w:r>
      <w:r w:rsidR="00C74BCA">
        <w:rPr>
          <w:rFonts w:ascii="Times New Roman" w:hAnsi="Times New Roman"/>
          <w:sz w:val="24"/>
        </w:rPr>
        <w:t xml:space="preserve"> the two de minimis exceptions of Rule 606(b)(3),</w:t>
      </w:r>
      <w:r w:rsidR="00C74BCA" w:rsidRPr="009F592F">
        <w:rPr>
          <w:rFonts w:ascii="Times New Roman" w:hAnsi="Times New Roman"/>
          <w:sz w:val="24"/>
        </w:rPr>
        <w:t xml:space="preserve"> </w:t>
      </w:r>
      <w:r w:rsidR="00C74BCA">
        <w:rPr>
          <w:rFonts w:ascii="Times New Roman" w:hAnsi="Times New Roman"/>
          <w:sz w:val="24"/>
        </w:rPr>
        <w:t>and</w:t>
      </w:r>
      <w:r w:rsidR="00C74BCA" w:rsidRPr="00FB7FC0">
        <w:rPr>
          <w:rFonts w:ascii="Times New Roman" w:hAnsi="Times New Roman"/>
          <w:sz w:val="24"/>
        </w:rPr>
        <w:t xml:space="preserve"> orders in NMS securities that are option contracts</w:t>
      </w:r>
      <w:r w:rsidR="00C74BCA">
        <w:rPr>
          <w:rFonts w:ascii="Times New Roman" w:hAnsi="Times New Roman"/>
          <w:sz w:val="24"/>
        </w:rPr>
        <w:t>.</w:t>
      </w:r>
    </w:p>
    <w:p w:rsidR="008627E8" w:rsidRDefault="008627E8" w:rsidP="008627E8">
      <w:pPr>
        <w:ind w:firstLine="720"/>
        <w:rPr>
          <w:rFonts w:ascii="Times New Roman" w:hAnsi="Times New Roman"/>
          <w:sz w:val="24"/>
        </w:rPr>
      </w:pPr>
    </w:p>
    <w:p w:rsidR="008627E8" w:rsidRDefault="008627E8" w:rsidP="008627E8">
      <w:pPr>
        <w:ind w:firstLine="720"/>
        <w:rPr>
          <w:rFonts w:ascii="Times New Roman" w:hAnsi="Times New Roman"/>
          <w:sz w:val="24"/>
        </w:rPr>
      </w:pPr>
      <w:r>
        <w:rPr>
          <w:rFonts w:ascii="Times New Roman" w:hAnsi="Times New Roman"/>
          <w:sz w:val="24"/>
        </w:rPr>
        <w:t>As with Rule 606(b)(3), t</w:t>
      </w:r>
      <w:r w:rsidRPr="005403C8">
        <w:rPr>
          <w:rFonts w:ascii="Times New Roman" w:hAnsi="Times New Roman"/>
          <w:sz w:val="24"/>
        </w:rPr>
        <w:t xml:space="preserve">he Commission believes that </w:t>
      </w:r>
      <w:r>
        <w:rPr>
          <w:rFonts w:ascii="Times New Roman" w:hAnsi="Times New Roman"/>
          <w:sz w:val="24"/>
        </w:rPr>
        <w:t>all 292</w:t>
      </w:r>
      <w:r w:rsidRPr="00723FE1">
        <w:rPr>
          <w:rFonts w:ascii="Times New Roman" w:hAnsi="Times New Roman"/>
          <w:sz w:val="24"/>
        </w:rPr>
        <w:t xml:space="preserve"> broker-dealers that handle orders subject to the discl</w:t>
      </w:r>
      <w:r>
        <w:rPr>
          <w:rFonts w:ascii="Times New Roman" w:hAnsi="Times New Roman"/>
          <w:sz w:val="24"/>
        </w:rPr>
        <w:t>osures required by Rules 606(a)(1) and 606(b)(1</w:t>
      </w:r>
      <w:r w:rsidRPr="00723FE1">
        <w:rPr>
          <w:rFonts w:ascii="Times New Roman" w:hAnsi="Times New Roman"/>
          <w:sz w:val="24"/>
        </w:rPr>
        <w:t xml:space="preserve">) will need to update their systems to </w:t>
      </w:r>
      <w:r w:rsidRPr="00BC7F76">
        <w:rPr>
          <w:rFonts w:ascii="Times New Roman" w:hAnsi="Times New Roman"/>
          <w:sz w:val="24"/>
        </w:rPr>
        <w:t xml:space="preserve">both update </w:t>
      </w:r>
      <w:r>
        <w:rPr>
          <w:rFonts w:ascii="Times New Roman" w:hAnsi="Times New Roman"/>
          <w:sz w:val="24"/>
        </w:rPr>
        <w:t>their</w:t>
      </w:r>
      <w:r w:rsidRPr="00BC7F76">
        <w:rPr>
          <w:rFonts w:ascii="Times New Roman" w:hAnsi="Times New Roman"/>
          <w:sz w:val="24"/>
        </w:rPr>
        <w:t xml:space="preserve"> data capture systems and format the report required by the rule</w:t>
      </w:r>
      <w:r>
        <w:rPr>
          <w:rFonts w:ascii="Times New Roman" w:hAnsi="Times New Roman"/>
          <w:sz w:val="24"/>
        </w:rPr>
        <w:t>,</w:t>
      </w:r>
      <w:bookmarkStart w:id="6" w:name="_Ref526429381"/>
      <w:r w:rsidRPr="005403C8">
        <w:rPr>
          <w:rStyle w:val="FootnoteReference"/>
          <w:rFonts w:ascii="Times New Roman" w:hAnsi="Times New Roman"/>
          <w:sz w:val="24"/>
          <w:vertAlign w:val="superscript"/>
        </w:rPr>
        <w:footnoteReference w:id="33"/>
      </w:r>
      <w:bookmarkEnd w:id="6"/>
      <w:r>
        <w:rPr>
          <w:rFonts w:ascii="Times New Roman" w:hAnsi="Times New Roman"/>
          <w:sz w:val="24"/>
        </w:rPr>
        <w:t xml:space="preserve"> and that some broker-dealers would update their systems in house while others will engage a third-party service provider to do so.</w:t>
      </w:r>
    </w:p>
    <w:p w:rsidR="00C74BCA" w:rsidRDefault="00C74BCA" w:rsidP="001B2DD9">
      <w:pPr>
        <w:ind w:firstLine="720"/>
        <w:rPr>
          <w:rFonts w:ascii="Times New Roman" w:hAnsi="Times New Roman"/>
          <w:sz w:val="24"/>
        </w:rPr>
      </w:pPr>
    </w:p>
    <w:p w:rsidR="00C74BCA" w:rsidRDefault="00C74BCA" w:rsidP="00C74BCA">
      <w:pPr>
        <w:ind w:firstLine="720"/>
        <w:rPr>
          <w:rFonts w:ascii="Times New Roman" w:eastAsia="MS Mincho" w:hAnsi="Times New Roman"/>
          <w:sz w:val="24"/>
        </w:rPr>
      </w:pPr>
      <w:r w:rsidRPr="00BC7F76">
        <w:rPr>
          <w:rFonts w:ascii="Times New Roman" w:eastAsia="MS Mincho" w:hAnsi="Times New Roman"/>
          <w:sz w:val="24"/>
        </w:rPr>
        <w:t>The</w:t>
      </w:r>
      <w:r w:rsidRPr="00BC7F76" w:rsidDel="007E020B">
        <w:rPr>
          <w:rFonts w:ascii="Times New Roman" w:eastAsia="MS Mincho" w:hAnsi="Times New Roman"/>
          <w:sz w:val="24"/>
        </w:rPr>
        <w:t xml:space="preserve"> Commission </w:t>
      </w:r>
      <w:r w:rsidRPr="00BC7F76">
        <w:rPr>
          <w:rFonts w:ascii="Times New Roman" w:eastAsia="MS Mincho" w:hAnsi="Times New Roman"/>
          <w:sz w:val="24"/>
        </w:rPr>
        <w:t>estimate</w:t>
      </w:r>
      <w:r>
        <w:rPr>
          <w:rFonts w:ascii="Times New Roman" w:eastAsia="MS Mincho" w:hAnsi="Times New Roman"/>
          <w:sz w:val="24"/>
        </w:rPr>
        <w:t xml:space="preserve">s </w:t>
      </w:r>
      <w:r w:rsidRPr="00BC7F76">
        <w:rPr>
          <w:rFonts w:ascii="Times New Roman" w:eastAsia="MS Mincho" w:hAnsi="Times New Roman"/>
          <w:sz w:val="24"/>
        </w:rPr>
        <w:t xml:space="preserve">the initial burden for </w:t>
      </w:r>
      <w:r>
        <w:rPr>
          <w:rFonts w:ascii="Times New Roman" w:eastAsia="MS Mincho" w:hAnsi="Times New Roman"/>
          <w:sz w:val="24"/>
        </w:rPr>
        <w:t>each of the 97 broker-dealer</w:t>
      </w:r>
      <w:r w:rsidRPr="00BC7F76">
        <w:rPr>
          <w:rFonts w:ascii="Times New Roman" w:eastAsia="MS Mincho" w:hAnsi="Times New Roman"/>
          <w:sz w:val="24"/>
        </w:rPr>
        <w:t xml:space="preserve"> that handle</w:t>
      </w:r>
      <w:r>
        <w:rPr>
          <w:rFonts w:ascii="Times New Roman" w:eastAsia="MS Mincho" w:hAnsi="Times New Roman"/>
          <w:sz w:val="24"/>
        </w:rPr>
        <w:t>s</w:t>
      </w:r>
      <w:r w:rsidRPr="00BC7F76">
        <w:rPr>
          <w:rFonts w:ascii="Times New Roman" w:eastAsia="MS Mincho" w:hAnsi="Times New Roman"/>
          <w:sz w:val="24"/>
        </w:rPr>
        <w:t xml:space="preserve"> orders subject to the disclosure</w:t>
      </w:r>
      <w:r>
        <w:rPr>
          <w:rFonts w:ascii="Times New Roman" w:eastAsia="MS Mincho" w:hAnsi="Times New Roman"/>
          <w:sz w:val="24"/>
        </w:rPr>
        <w:t xml:space="preserve">s required by Rule 606(a)(1) </w:t>
      </w:r>
      <w:r w:rsidRPr="00BC7F76">
        <w:rPr>
          <w:rFonts w:ascii="Times New Roman" w:eastAsia="MS Mincho" w:hAnsi="Times New Roman"/>
          <w:sz w:val="24"/>
        </w:rPr>
        <w:t xml:space="preserve">to implement the requirements of the rule </w:t>
      </w:r>
      <w:r>
        <w:rPr>
          <w:rFonts w:ascii="Times New Roman" w:eastAsia="MS Mincho" w:hAnsi="Times New Roman"/>
          <w:sz w:val="24"/>
        </w:rPr>
        <w:t>in-house to be 240</w:t>
      </w:r>
      <w:r w:rsidRPr="00BC7F76">
        <w:rPr>
          <w:rFonts w:ascii="Times New Roman" w:eastAsia="MS Mincho" w:hAnsi="Times New Roman"/>
          <w:sz w:val="24"/>
        </w:rPr>
        <w:t xml:space="preserve"> hours</w:t>
      </w:r>
      <w:r w:rsidR="00483D16">
        <w:rPr>
          <w:rFonts w:ascii="Times New Roman" w:eastAsia="MS Mincho" w:hAnsi="Times New Roman"/>
          <w:sz w:val="24"/>
        </w:rPr>
        <w:t>,</w:t>
      </w:r>
      <w:r w:rsidRPr="005403C8">
        <w:rPr>
          <w:rStyle w:val="FootnoteReference"/>
          <w:rFonts w:ascii="Times New Roman" w:hAnsi="Times New Roman"/>
          <w:sz w:val="24"/>
          <w:vertAlign w:val="superscript"/>
        </w:rPr>
        <w:footnoteReference w:id="34"/>
      </w:r>
      <w:r>
        <w:rPr>
          <w:rFonts w:ascii="Times New Roman" w:eastAsia="MS Mincho" w:hAnsi="Times New Roman"/>
          <w:sz w:val="24"/>
        </w:rPr>
        <w:t xml:space="preserve"> for a total initial burden of </w:t>
      </w:r>
      <w:r w:rsidRPr="00C74BCA">
        <w:rPr>
          <w:rFonts w:ascii="Times New Roman" w:eastAsia="MS Mincho" w:hAnsi="Times New Roman"/>
          <w:sz w:val="24"/>
        </w:rPr>
        <w:t>23,280</w:t>
      </w:r>
      <w:r>
        <w:rPr>
          <w:rFonts w:ascii="Times New Roman" w:eastAsia="MS Mincho" w:hAnsi="Times New Roman"/>
          <w:sz w:val="24"/>
        </w:rPr>
        <w:t xml:space="preserve"> hours</w:t>
      </w:r>
      <w:r w:rsidR="00483D16">
        <w:rPr>
          <w:rFonts w:ascii="Times New Roman" w:eastAsia="MS Mincho" w:hAnsi="Times New Roman"/>
          <w:sz w:val="24"/>
        </w:rPr>
        <w:t>.</w:t>
      </w:r>
      <w:r w:rsidRPr="005403C8">
        <w:rPr>
          <w:rStyle w:val="FootnoteReference"/>
          <w:rFonts w:ascii="Times New Roman" w:hAnsi="Times New Roman"/>
          <w:sz w:val="24"/>
          <w:vertAlign w:val="superscript"/>
        </w:rPr>
        <w:footnoteReference w:id="35"/>
      </w:r>
      <w:r>
        <w:rPr>
          <w:rFonts w:ascii="Times New Roman" w:eastAsia="MS Mincho" w:hAnsi="Times New Roman"/>
          <w:sz w:val="24"/>
        </w:rPr>
        <w:t xml:space="preserve"> </w:t>
      </w:r>
      <w:r w:rsidR="00483D16">
        <w:rPr>
          <w:rFonts w:ascii="Times New Roman" w:eastAsia="MS Mincho" w:hAnsi="Times New Roman"/>
          <w:sz w:val="24"/>
        </w:rPr>
        <w:t xml:space="preserve"> </w:t>
      </w:r>
      <w:r w:rsidRPr="00F95CB2">
        <w:rPr>
          <w:rFonts w:ascii="Times New Roman" w:eastAsia="MS Mincho" w:hAnsi="Times New Roman"/>
          <w:sz w:val="24"/>
        </w:rPr>
        <w:t xml:space="preserve">The Commission initially estimated that </w:t>
      </w:r>
      <w:r>
        <w:rPr>
          <w:rFonts w:ascii="Times New Roman" w:eastAsia="MS Mincho" w:hAnsi="Times New Roman"/>
          <w:sz w:val="24"/>
        </w:rPr>
        <w:t>25</w:t>
      </w:r>
      <w:r w:rsidRPr="00F95CB2">
        <w:rPr>
          <w:rFonts w:ascii="Times New Roman" w:eastAsia="MS Mincho" w:hAnsi="Times New Roman"/>
          <w:sz w:val="24"/>
        </w:rPr>
        <w:t xml:space="preserve"> </w:t>
      </w:r>
      <w:r w:rsidR="008E40BC">
        <w:rPr>
          <w:rFonts w:ascii="Times New Roman" w:eastAsia="MS Mincho" w:hAnsi="Times New Roman"/>
          <w:sz w:val="24"/>
        </w:rPr>
        <w:t>broker-dealer</w:t>
      </w:r>
      <w:r w:rsidRPr="00F95CB2">
        <w:rPr>
          <w:rFonts w:ascii="Times New Roman" w:eastAsia="MS Mincho" w:hAnsi="Times New Roman"/>
          <w:sz w:val="24"/>
        </w:rPr>
        <w:t>s would need to update their systems to captur</w:t>
      </w:r>
      <w:r>
        <w:rPr>
          <w:rFonts w:ascii="Times New Roman" w:eastAsia="MS Mincho" w:hAnsi="Times New Roman"/>
          <w:sz w:val="24"/>
        </w:rPr>
        <w:t>e the data required by the rule</w:t>
      </w:r>
      <w:r w:rsidRPr="00F95CB2">
        <w:rPr>
          <w:rFonts w:ascii="Times New Roman" w:eastAsia="MS Mincho" w:hAnsi="Times New Roman"/>
          <w:sz w:val="24"/>
        </w:rPr>
        <w:t xml:space="preserve"> for a</w:t>
      </w:r>
      <w:r>
        <w:rPr>
          <w:rFonts w:ascii="Times New Roman" w:eastAsia="MS Mincho" w:hAnsi="Times New Roman"/>
          <w:sz w:val="24"/>
        </w:rPr>
        <w:t>n individual burden of 76 hours and a</w:t>
      </w:r>
      <w:r w:rsidRPr="00F95CB2">
        <w:rPr>
          <w:rFonts w:ascii="Times New Roman" w:eastAsia="MS Mincho" w:hAnsi="Times New Roman"/>
          <w:sz w:val="24"/>
        </w:rPr>
        <w:t xml:space="preserve"> total burden of </w:t>
      </w:r>
      <w:r w:rsidR="00483D16" w:rsidRPr="00483D16">
        <w:rPr>
          <w:rFonts w:ascii="Times New Roman" w:eastAsia="MS Mincho" w:hAnsi="Times New Roman"/>
          <w:sz w:val="24"/>
        </w:rPr>
        <w:t>1,900</w:t>
      </w:r>
      <w:r w:rsidRPr="00F95CB2">
        <w:rPr>
          <w:rFonts w:ascii="Times New Roman" w:eastAsia="MS Mincho" w:hAnsi="Times New Roman"/>
          <w:sz w:val="24"/>
        </w:rPr>
        <w:t xml:space="preserve"> hours.</w:t>
      </w:r>
      <w:r w:rsidRPr="005403C8">
        <w:rPr>
          <w:rStyle w:val="FootnoteReference"/>
          <w:rFonts w:ascii="Times New Roman" w:hAnsi="Times New Roman"/>
          <w:sz w:val="24"/>
          <w:vertAlign w:val="superscript"/>
        </w:rPr>
        <w:footnoteReference w:id="36"/>
      </w:r>
      <w:r w:rsidRPr="00F95CB2">
        <w:rPr>
          <w:rFonts w:ascii="Times New Roman" w:eastAsia="MS Mincho" w:hAnsi="Times New Roman"/>
          <w:sz w:val="24"/>
        </w:rPr>
        <w:t xml:space="preserve">  </w:t>
      </w:r>
      <w:r>
        <w:rPr>
          <w:rFonts w:ascii="Times New Roman" w:eastAsia="MS Mincho" w:hAnsi="Times New Roman"/>
          <w:sz w:val="24"/>
        </w:rPr>
        <w:t xml:space="preserve">The increase in burden from the Proposing Release estimate reflects the increase in number of respondents from </w:t>
      </w:r>
      <w:r w:rsidR="00483D16">
        <w:rPr>
          <w:rFonts w:ascii="Times New Roman" w:eastAsia="MS Mincho" w:hAnsi="Times New Roman"/>
          <w:sz w:val="24"/>
        </w:rPr>
        <w:t>25</w:t>
      </w:r>
      <w:r>
        <w:rPr>
          <w:rFonts w:ascii="Times New Roman" w:eastAsia="MS Mincho" w:hAnsi="Times New Roman"/>
          <w:sz w:val="24"/>
        </w:rPr>
        <w:t xml:space="preserve"> to </w:t>
      </w:r>
      <w:r w:rsidR="004268EE">
        <w:rPr>
          <w:rFonts w:ascii="Times New Roman" w:eastAsia="MS Mincho" w:hAnsi="Times New Roman"/>
          <w:sz w:val="24"/>
        </w:rPr>
        <w:t>9</w:t>
      </w:r>
      <w:r>
        <w:rPr>
          <w:rFonts w:ascii="Times New Roman" w:eastAsia="MS Mincho" w:hAnsi="Times New Roman"/>
          <w:sz w:val="24"/>
        </w:rPr>
        <w:t>7, as discussed above.</w:t>
      </w:r>
      <w:r w:rsidRPr="005403C8">
        <w:rPr>
          <w:rStyle w:val="FootnoteReference"/>
          <w:rFonts w:ascii="Times New Roman" w:hAnsi="Times New Roman"/>
          <w:sz w:val="24"/>
          <w:vertAlign w:val="superscript"/>
        </w:rPr>
        <w:footnoteReference w:id="37"/>
      </w:r>
      <w:r>
        <w:rPr>
          <w:rFonts w:ascii="Times New Roman" w:eastAsia="MS Mincho" w:hAnsi="Times New Roman"/>
          <w:sz w:val="24"/>
        </w:rPr>
        <w:t xml:space="preserve">  It also represents an increase in the initial individual hourly burden from </w:t>
      </w:r>
      <w:r w:rsidR="00265612">
        <w:rPr>
          <w:rFonts w:ascii="Times New Roman" w:eastAsia="MS Mincho" w:hAnsi="Times New Roman"/>
          <w:sz w:val="24"/>
        </w:rPr>
        <w:t>76</w:t>
      </w:r>
      <w:r>
        <w:rPr>
          <w:rFonts w:ascii="Times New Roman" w:eastAsia="MS Mincho" w:hAnsi="Times New Roman"/>
          <w:sz w:val="24"/>
        </w:rPr>
        <w:t xml:space="preserve"> hours </w:t>
      </w:r>
      <w:r w:rsidR="00734A34">
        <w:rPr>
          <w:rFonts w:ascii="Times New Roman" w:eastAsia="MS Mincho" w:hAnsi="Times New Roman"/>
          <w:sz w:val="24"/>
        </w:rPr>
        <w:t>to 24</w:t>
      </w:r>
      <w:r>
        <w:rPr>
          <w:rFonts w:ascii="Times New Roman" w:eastAsia="MS Mincho" w:hAnsi="Times New Roman"/>
          <w:sz w:val="24"/>
        </w:rPr>
        <w:t>0 hours</w:t>
      </w:r>
      <w:r w:rsidR="00734A34">
        <w:rPr>
          <w:rFonts w:ascii="Times New Roman" w:eastAsia="MS Mincho" w:hAnsi="Times New Roman"/>
          <w:sz w:val="24"/>
        </w:rPr>
        <w:t xml:space="preserve"> </w:t>
      </w:r>
      <w:r>
        <w:rPr>
          <w:rFonts w:ascii="Times New Roman" w:eastAsia="MS Mincho" w:hAnsi="Times New Roman"/>
          <w:sz w:val="24"/>
        </w:rPr>
        <w:t xml:space="preserve">in response to </w:t>
      </w:r>
      <w:r w:rsidR="002B0A33">
        <w:rPr>
          <w:rFonts w:ascii="Times New Roman" w:eastAsia="MS Mincho" w:hAnsi="Times New Roman"/>
          <w:sz w:val="24"/>
        </w:rPr>
        <w:t xml:space="preserve">the </w:t>
      </w:r>
      <w:r>
        <w:rPr>
          <w:rFonts w:ascii="Times New Roman" w:eastAsia="MS Mincho" w:hAnsi="Times New Roman"/>
          <w:sz w:val="24"/>
        </w:rPr>
        <w:t>comment</w:t>
      </w:r>
      <w:r w:rsidR="002B0A33">
        <w:rPr>
          <w:rFonts w:ascii="Times New Roman" w:eastAsia="MS Mincho" w:hAnsi="Times New Roman"/>
          <w:sz w:val="24"/>
        </w:rPr>
        <w:t xml:space="preserve"> letter</w:t>
      </w:r>
      <w:r>
        <w:rPr>
          <w:rFonts w:ascii="Times New Roman" w:eastAsia="MS Mincho" w:hAnsi="Times New Roman"/>
          <w:sz w:val="24"/>
        </w:rPr>
        <w:t xml:space="preserve"> received.</w:t>
      </w:r>
      <w:r w:rsidRPr="005403C8">
        <w:rPr>
          <w:rStyle w:val="FootnoteReference"/>
          <w:rFonts w:ascii="Times New Roman" w:hAnsi="Times New Roman"/>
          <w:sz w:val="24"/>
          <w:vertAlign w:val="superscript"/>
        </w:rPr>
        <w:footnoteReference w:id="38"/>
      </w:r>
    </w:p>
    <w:p w:rsidR="00C74BCA" w:rsidRDefault="00C74BCA" w:rsidP="001B2DD9">
      <w:pPr>
        <w:ind w:firstLine="720"/>
        <w:rPr>
          <w:rFonts w:ascii="Times New Roman" w:hAnsi="Times New Roman"/>
          <w:sz w:val="24"/>
        </w:rPr>
      </w:pPr>
    </w:p>
    <w:p w:rsidR="00A3193D" w:rsidRDefault="00A3193D" w:rsidP="00A3193D">
      <w:pPr>
        <w:ind w:firstLine="720"/>
        <w:rPr>
          <w:rFonts w:ascii="Times New Roman" w:eastAsia="MS Mincho" w:hAnsi="Times New Roman"/>
          <w:sz w:val="24"/>
        </w:rPr>
      </w:pPr>
      <w:r w:rsidRPr="00BC7F76">
        <w:rPr>
          <w:rFonts w:ascii="Times New Roman" w:eastAsia="MS Mincho" w:hAnsi="Times New Roman"/>
          <w:sz w:val="24"/>
        </w:rPr>
        <w:t>The</w:t>
      </w:r>
      <w:r w:rsidRPr="00BC7F76" w:rsidDel="007E020B">
        <w:rPr>
          <w:rFonts w:ascii="Times New Roman" w:eastAsia="MS Mincho" w:hAnsi="Times New Roman"/>
          <w:sz w:val="24"/>
        </w:rPr>
        <w:t xml:space="preserve"> Commission </w:t>
      </w:r>
      <w:r w:rsidRPr="00BC7F76">
        <w:rPr>
          <w:rFonts w:ascii="Times New Roman" w:eastAsia="MS Mincho" w:hAnsi="Times New Roman"/>
          <w:sz w:val="24"/>
        </w:rPr>
        <w:t>estimate</w:t>
      </w:r>
      <w:r>
        <w:rPr>
          <w:rFonts w:ascii="Times New Roman" w:eastAsia="MS Mincho" w:hAnsi="Times New Roman"/>
          <w:sz w:val="24"/>
        </w:rPr>
        <w:t xml:space="preserve">s </w:t>
      </w:r>
      <w:r w:rsidRPr="00BC7F76">
        <w:rPr>
          <w:rFonts w:ascii="Times New Roman" w:eastAsia="MS Mincho" w:hAnsi="Times New Roman"/>
          <w:sz w:val="24"/>
        </w:rPr>
        <w:t xml:space="preserve">the initial burden for </w:t>
      </w:r>
      <w:r>
        <w:rPr>
          <w:rFonts w:ascii="Times New Roman" w:eastAsia="MS Mincho" w:hAnsi="Times New Roman"/>
          <w:sz w:val="24"/>
        </w:rPr>
        <w:t>each of the 195 broker-dealer</w:t>
      </w:r>
      <w:r w:rsidRPr="00BC7F76">
        <w:rPr>
          <w:rFonts w:ascii="Times New Roman" w:eastAsia="MS Mincho" w:hAnsi="Times New Roman"/>
          <w:sz w:val="24"/>
        </w:rPr>
        <w:t xml:space="preserve"> that handle</w:t>
      </w:r>
      <w:r>
        <w:rPr>
          <w:rFonts w:ascii="Times New Roman" w:eastAsia="MS Mincho" w:hAnsi="Times New Roman"/>
          <w:sz w:val="24"/>
        </w:rPr>
        <w:t>s</w:t>
      </w:r>
      <w:r w:rsidRPr="00BC7F76">
        <w:rPr>
          <w:rFonts w:ascii="Times New Roman" w:eastAsia="MS Mincho" w:hAnsi="Times New Roman"/>
          <w:sz w:val="24"/>
        </w:rPr>
        <w:t xml:space="preserve"> orders subject to the disclosure</w:t>
      </w:r>
      <w:r>
        <w:rPr>
          <w:rFonts w:ascii="Times New Roman" w:eastAsia="MS Mincho" w:hAnsi="Times New Roman"/>
          <w:sz w:val="24"/>
        </w:rPr>
        <w:t xml:space="preserve">s required by Rule 606(a)(1) </w:t>
      </w:r>
      <w:r w:rsidRPr="00BC7F76">
        <w:rPr>
          <w:rFonts w:ascii="Times New Roman" w:eastAsia="MS Mincho" w:hAnsi="Times New Roman"/>
          <w:sz w:val="24"/>
        </w:rPr>
        <w:t xml:space="preserve">to </w:t>
      </w:r>
      <w:r>
        <w:rPr>
          <w:rFonts w:ascii="Times New Roman" w:eastAsia="MS Mincho" w:hAnsi="Times New Roman"/>
          <w:sz w:val="24"/>
        </w:rPr>
        <w:t xml:space="preserve">engage a third-party service provider to </w:t>
      </w:r>
      <w:r w:rsidRPr="00BC7F76">
        <w:rPr>
          <w:rFonts w:ascii="Times New Roman" w:eastAsia="MS Mincho" w:hAnsi="Times New Roman"/>
          <w:sz w:val="24"/>
        </w:rPr>
        <w:t xml:space="preserve">implement the requirements of the rule </w:t>
      </w:r>
      <w:r>
        <w:rPr>
          <w:rFonts w:ascii="Times New Roman" w:eastAsia="MS Mincho" w:hAnsi="Times New Roman"/>
          <w:sz w:val="24"/>
        </w:rPr>
        <w:t>to be 20 hours</w:t>
      </w:r>
      <w:r w:rsidR="00661CDC">
        <w:rPr>
          <w:rFonts w:ascii="Times New Roman" w:eastAsia="MS Mincho" w:hAnsi="Times New Roman"/>
          <w:sz w:val="24"/>
        </w:rPr>
        <w:t>,</w:t>
      </w:r>
      <w:r w:rsidRPr="005403C8">
        <w:rPr>
          <w:rStyle w:val="FootnoteReference"/>
          <w:rFonts w:ascii="Times New Roman" w:hAnsi="Times New Roman"/>
          <w:sz w:val="24"/>
          <w:vertAlign w:val="superscript"/>
        </w:rPr>
        <w:footnoteReference w:id="39"/>
      </w:r>
      <w:r>
        <w:rPr>
          <w:rFonts w:ascii="Times New Roman" w:eastAsia="MS Mincho" w:hAnsi="Times New Roman"/>
          <w:sz w:val="24"/>
        </w:rPr>
        <w:t xml:space="preserve"> for a total initial burden of </w:t>
      </w:r>
      <w:r w:rsidRPr="00A3193D">
        <w:rPr>
          <w:rFonts w:ascii="Times New Roman" w:eastAsia="MS Mincho" w:hAnsi="Times New Roman"/>
          <w:sz w:val="24"/>
        </w:rPr>
        <w:t>3,900</w:t>
      </w:r>
      <w:r>
        <w:rPr>
          <w:rFonts w:ascii="Times New Roman" w:eastAsia="MS Mincho" w:hAnsi="Times New Roman"/>
          <w:sz w:val="24"/>
        </w:rPr>
        <w:t xml:space="preserve"> hours</w:t>
      </w:r>
      <w:r w:rsidR="00661CDC">
        <w:rPr>
          <w:rFonts w:ascii="Times New Roman" w:eastAsia="MS Mincho" w:hAnsi="Times New Roman"/>
          <w:sz w:val="24"/>
        </w:rPr>
        <w:t>.</w:t>
      </w:r>
      <w:r w:rsidRPr="005403C8">
        <w:rPr>
          <w:rStyle w:val="FootnoteReference"/>
          <w:rFonts w:ascii="Times New Roman" w:hAnsi="Times New Roman"/>
          <w:sz w:val="24"/>
          <w:vertAlign w:val="superscript"/>
        </w:rPr>
        <w:footnoteReference w:id="40"/>
      </w:r>
      <w:r w:rsidR="00661CDC">
        <w:rPr>
          <w:rFonts w:ascii="Times New Roman" w:eastAsia="MS Mincho" w:hAnsi="Times New Roman"/>
          <w:sz w:val="24"/>
        </w:rPr>
        <w:t xml:space="preserve"> </w:t>
      </w:r>
      <w:r>
        <w:rPr>
          <w:rFonts w:ascii="Times New Roman" w:eastAsia="MS Mincho" w:hAnsi="Times New Roman"/>
          <w:sz w:val="24"/>
        </w:rPr>
        <w:t xml:space="preserve"> The increase in burden from the Proposing Release estimate reflects the increase in number of respondents from 25 to 195, as discussed above.</w:t>
      </w:r>
      <w:r w:rsidRPr="005403C8">
        <w:rPr>
          <w:rStyle w:val="FootnoteReference"/>
          <w:rFonts w:ascii="Times New Roman" w:hAnsi="Times New Roman"/>
          <w:sz w:val="24"/>
          <w:vertAlign w:val="superscript"/>
        </w:rPr>
        <w:footnoteReference w:id="41"/>
      </w:r>
    </w:p>
    <w:p w:rsidR="00287278" w:rsidRPr="005403C8" w:rsidRDefault="00287278" w:rsidP="00287278">
      <w:pPr>
        <w:rPr>
          <w:rFonts w:ascii="Times New Roman" w:hAnsi="Times New Roman"/>
          <w:sz w:val="24"/>
        </w:rPr>
      </w:pPr>
    </w:p>
    <w:p w:rsidR="007425E7" w:rsidRPr="005403C8" w:rsidRDefault="007425E7" w:rsidP="002175D5">
      <w:pPr>
        <w:ind w:firstLine="720"/>
        <w:rPr>
          <w:rFonts w:ascii="Times New Roman" w:hAnsi="Times New Roman"/>
          <w:sz w:val="24"/>
        </w:rPr>
      </w:pPr>
      <w:r w:rsidRPr="005403C8">
        <w:rPr>
          <w:rFonts w:ascii="Times New Roman" w:hAnsi="Times New Roman"/>
          <w:sz w:val="24"/>
        </w:rPr>
        <w:t xml:space="preserve">For </w:t>
      </w:r>
      <w:r w:rsidR="00C5343B">
        <w:rPr>
          <w:rFonts w:ascii="Times New Roman" w:hAnsi="Times New Roman"/>
          <w:sz w:val="24"/>
        </w:rPr>
        <w:t>each of the</w:t>
      </w:r>
      <w:r w:rsidRPr="005403C8">
        <w:rPr>
          <w:rFonts w:ascii="Times New Roman" w:hAnsi="Times New Roman"/>
          <w:sz w:val="24"/>
        </w:rPr>
        <w:t xml:space="preserve"> </w:t>
      </w:r>
      <w:r w:rsidR="00C5343B">
        <w:rPr>
          <w:rFonts w:ascii="Times New Roman" w:hAnsi="Times New Roman"/>
          <w:sz w:val="24"/>
        </w:rPr>
        <w:t>292</w:t>
      </w:r>
      <w:r w:rsidR="00C5343B" w:rsidRPr="00723FE1">
        <w:rPr>
          <w:rFonts w:ascii="Times New Roman" w:hAnsi="Times New Roman"/>
          <w:sz w:val="24"/>
        </w:rPr>
        <w:t xml:space="preserve"> broker-dealers that handle orders subject to the discl</w:t>
      </w:r>
      <w:r w:rsidR="00C5343B">
        <w:rPr>
          <w:rFonts w:ascii="Times New Roman" w:hAnsi="Times New Roman"/>
          <w:sz w:val="24"/>
        </w:rPr>
        <w:t>osures required by Rule 606(a)(1)</w:t>
      </w:r>
      <w:r w:rsidRPr="005403C8">
        <w:rPr>
          <w:rFonts w:ascii="Times New Roman" w:hAnsi="Times New Roman"/>
          <w:sz w:val="24"/>
        </w:rPr>
        <w:t xml:space="preserve">, the initial burden to </w:t>
      </w:r>
      <w:r w:rsidR="005E7313" w:rsidRPr="005403C8">
        <w:rPr>
          <w:rFonts w:ascii="Times New Roman" w:hAnsi="Times New Roman"/>
          <w:sz w:val="24"/>
        </w:rPr>
        <w:t>review, assess, and disclose their</w:t>
      </w:r>
      <w:r w:rsidRPr="005403C8">
        <w:rPr>
          <w:rFonts w:ascii="Times New Roman" w:hAnsi="Times New Roman"/>
          <w:sz w:val="24"/>
        </w:rPr>
        <w:t xml:space="preserve"> payment for order flow arrangements and profit-sharing relationships </w:t>
      </w:r>
      <w:r w:rsidR="00BC75FD" w:rsidRPr="005403C8">
        <w:rPr>
          <w:rFonts w:ascii="Times New Roman" w:hAnsi="Times New Roman"/>
          <w:sz w:val="24"/>
        </w:rPr>
        <w:t xml:space="preserve">would </w:t>
      </w:r>
      <w:r w:rsidRPr="005403C8">
        <w:rPr>
          <w:rFonts w:ascii="Times New Roman" w:hAnsi="Times New Roman"/>
          <w:sz w:val="24"/>
        </w:rPr>
        <w:t xml:space="preserve">be </w:t>
      </w:r>
      <w:r w:rsidR="00C5343B">
        <w:rPr>
          <w:rFonts w:ascii="Times New Roman" w:hAnsi="Times New Roman"/>
          <w:sz w:val="24"/>
        </w:rPr>
        <w:t>10 hours,</w:t>
      </w:r>
      <w:r w:rsidR="00C5343B" w:rsidRPr="005403C8">
        <w:rPr>
          <w:rStyle w:val="FootnoteReference"/>
          <w:rFonts w:ascii="Times New Roman" w:hAnsi="Times New Roman"/>
          <w:sz w:val="24"/>
          <w:vertAlign w:val="superscript"/>
        </w:rPr>
        <w:footnoteReference w:id="42"/>
      </w:r>
      <w:r w:rsidR="00C5343B">
        <w:rPr>
          <w:rFonts w:ascii="Times New Roman" w:eastAsia="MS Mincho" w:hAnsi="Times New Roman"/>
          <w:sz w:val="24"/>
        </w:rPr>
        <w:t xml:space="preserve"> </w:t>
      </w:r>
      <w:r w:rsidR="00C5343B">
        <w:rPr>
          <w:rFonts w:ascii="Times New Roman" w:hAnsi="Times New Roman"/>
          <w:sz w:val="24"/>
        </w:rPr>
        <w:t xml:space="preserve">for a total initial burden of </w:t>
      </w:r>
      <w:r w:rsidR="00C5343B" w:rsidRPr="00C5343B">
        <w:rPr>
          <w:rFonts w:ascii="Times New Roman" w:hAnsi="Times New Roman"/>
          <w:sz w:val="24"/>
        </w:rPr>
        <w:t>2,920</w:t>
      </w:r>
      <w:r w:rsidRPr="005403C8">
        <w:rPr>
          <w:rFonts w:ascii="Times New Roman" w:hAnsi="Times New Roman"/>
          <w:sz w:val="24"/>
        </w:rPr>
        <w:t xml:space="preserve"> hours</w:t>
      </w:r>
      <w:r w:rsidR="00BC75FD" w:rsidRPr="005403C8">
        <w:rPr>
          <w:rFonts w:ascii="Times New Roman" w:hAnsi="Times New Roman"/>
          <w:sz w:val="24"/>
        </w:rPr>
        <w:t>.</w:t>
      </w:r>
      <w:r w:rsidR="00C5343B" w:rsidRPr="005403C8">
        <w:rPr>
          <w:rStyle w:val="FootnoteReference"/>
          <w:rFonts w:ascii="Times New Roman" w:hAnsi="Times New Roman"/>
          <w:sz w:val="24"/>
          <w:vertAlign w:val="superscript"/>
        </w:rPr>
        <w:footnoteReference w:id="43"/>
      </w:r>
      <w:r w:rsidR="00C5343B">
        <w:rPr>
          <w:rFonts w:ascii="Times New Roman" w:hAnsi="Times New Roman"/>
          <w:sz w:val="24"/>
        </w:rPr>
        <w:t xml:space="preserve">  This burden is unchanged from Proposing Release but reflects an increase in the number of respondents from 266 to 292 due to the </w:t>
      </w:r>
      <w:r w:rsidR="00925F35">
        <w:rPr>
          <w:rFonts w:ascii="Times New Roman" w:hAnsi="Times New Roman"/>
          <w:sz w:val="24"/>
        </w:rPr>
        <w:t>availability</w:t>
      </w:r>
      <w:r w:rsidR="00C5343B">
        <w:rPr>
          <w:rFonts w:ascii="Times New Roman" w:hAnsi="Times New Roman"/>
          <w:sz w:val="24"/>
        </w:rPr>
        <w:t xml:space="preserve"> of more recent data.</w:t>
      </w:r>
      <w:bookmarkStart w:id="7" w:name="_Ref526501323"/>
      <w:r w:rsidR="00C5343B" w:rsidRPr="005403C8">
        <w:rPr>
          <w:rStyle w:val="FootnoteReference"/>
          <w:rFonts w:ascii="Times New Roman" w:hAnsi="Times New Roman"/>
          <w:sz w:val="24"/>
          <w:vertAlign w:val="superscript"/>
        </w:rPr>
        <w:footnoteReference w:id="44"/>
      </w:r>
      <w:bookmarkEnd w:id="7"/>
    </w:p>
    <w:p w:rsidR="00BC75FD" w:rsidRPr="005403C8" w:rsidRDefault="00BC75FD" w:rsidP="00287278">
      <w:pPr>
        <w:rPr>
          <w:rFonts w:ascii="Times New Roman" w:hAnsi="Times New Roman"/>
          <w:sz w:val="24"/>
        </w:rPr>
      </w:pPr>
    </w:p>
    <w:p w:rsidR="00A3193D" w:rsidRDefault="00DC45AD" w:rsidP="00A3193D">
      <w:pPr>
        <w:ind w:firstLine="720"/>
        <w:rPr>
          <w:rFonts w:ascii="Times New Roman" w:hAnsi="Times New Roman"/>
          <w:sz w:val="24"/>
        </w:rPr>
      </w:pPr>
      <w:bookmarkStart w:id="8" w:name="_Ref526510757"/>
      <w:r>
        <w:rPr>
          <w:rFonts w:ascii="Times New Roman" w:hAnsi="Times New Roman"/>
          <w:sz w:val="24"/>
        </w:rPr>
        <w:t xml:space="preserve">The Commission </w:t>
      </w:r>
      <w:r w:rsidR="004A50D5">
        <w:rPr>
          <w:rFonts w:ascii="Times New Roman" w:hAnsi="Times New Roman"/>
          <w:sz w:val="24"/>
        </w:rPr>
        <w:t>is including a</w:t>
      </w:r>
      <w:r w:rsidR="004A50D5" w:rsidRPr="004A50D5">
        <w:rPr>
          <w:rFonts w:ascii="Times New Roman" w:hAnsi="Times New Roman"/>
          <w:sz w:val="24"/>
        </w:rPr>
        <w:t xml:space="preserve"> burden </w:t>
      </w:r>
      <w:r w:rsidR="004A50D5">
        <w:rPr>
          <w:rFonts w:ascii="Times New Roman" w:hAnsi="Times New Roman"/>
          <w:sz w:val="24"/>
        </w:rPr>
        <w:t xml:space="preserve">that </w:t>
      </w:r>
      <w:r w:rsidR="004A50D5" w:rsidRPr="004A50D5">
        <w:rPr>
          <w:rFonts w:ascii="Times New Roman" w:hAnsi="Times New Roman"/>
          <w:sz w:val="24"/>
        </w:rPr>
        <w:t xml:space="preserve">was not estimated in the Proposing Release because it reflects a change made to </w:t>
      </w:r>
      <w:r w:rsidR="000E789F">
        <w:rPr>
          <w:rFonts w:ascii="Times New Roman" w:hAnsi="Times New Roman"/>
          <w:sz w:val="24"/>
        </w:rPr>
        <w:t>complementary</w:t>
      </w:r>
      <w:r w:rsidR="004A50D5">
        <w:rPr>
          <w:rFonts w:ascii="Times New Roman" w:hAnsi="Times New Roman"/>
          <w:sz w:val="24"/>
        </w:rPr>
        <w:t xml:space="preserve"> </w:t>
      </w:r>
      <w:r w:rsidR="004A50D5" w:rsidRPr="004A50D5">
        <w:rPr>
          <w:rFonts w:ascii="Times New Roman" w:hAnsi="Times New Roman"/>
          <w:sz w:val="24"/>
        </w:rPr>
        <w:t>categories of orders subject to disclosure</w:t>
      </w:r>
      <w:r w:rsidR="004A50D5">
        <w:rPr>
          <w:rFonts w:ascii="Times New Roman" w:hAnsi="Times New Roman"/>
          <w:sz w:val="24"/>
        </w:rPr>
        <w:t xml:space="preserve"> under Rule</w:t>
      </w:r>
      <w:r w:rsidR="007B400A">
        <w:rPr>
          <w:rFonts w:ascii="Times New Roman" w:hAnsi="Times New Roman"/>
          <w:sz w:val="24"/>
        </w:rPr>
        <w:t>s</w:t>
      </w:r>
      <w:r w:rsidR="004A50D5">
        <w:rPr>
          <w:rFonts w:ascii="Times New Roman" w:hAnsi="Times New Roman"/>
          <w:sz w:val="24"/>
        </w:rPr>
        <w:t xml:space="preserve"> 606(a), (b)(1) and (b)(3)</w:t>
      </w:r>
      <w:r w:rsidR="004A50D5" w:rsidRPr="004A50D5">
        <w:rPr>
          <w:rFonts w:ascii="Times New Roman" w:hAnsi="Times New Roman"/>
          <w:sz w:val="24"/>
        </w:rPr>
        <w:t>.</w:t>
      </w:r>
      <w:r w:rsidR="004A50D5" w:rsidRPr="005403C8">
        <w:rPr>
          <w:rStyle w:val="FootnoteReference"/>
          <w:rFonts w:ascii="Times New Roman" w:hAnsi="Times New Roman"/>
          <w:sz w:val="24"/>
          <w:vertAlign w:val="superscript"/>
        </w:rPr>
        <w:footnoteReference w:id="45"/>
      </w:r>
      <w:r w:rsidR="004A50D5">
        <w:rPr>
          <w:rFonts w:ascii="Times New Roman" w:hAnsi="Times New Roman"/>
          <w:sz w:val="24"/>
        </w:rPr>
        <w:t xml:space="preserve">  The Commission </w:t>
      </w:r>
      <w:r w:rsidR="007B400A">
        <w:rPr>
          <w:rFonts w:ascii="Times New Roman" w:hAnsi="Times New Roman"/>
          <w:sz w:val="24"/>
        </w:rPr>
        <w:t xml:space="preserve">now </w:t>
      </w:r>
      <w:r>
        <w:rPr>
          <w:rFonts w:ascii="Times New Roman" w:hAnsi="Times New Roman"/>
          <w:sz w:val="24"/>
        </w:rPr>
        <w:t>estimates a burden f</w:t>
      </w:r>
      <w:r w:rsidRPr="005403C8">
        <w:rPr>
          <w:rFonts w:ascii="Times New Roman" w:hAnsi="Times New Roman"/>
          <w:sz w:val="24"/>
        </w:rPr>
        <w:t xml:space="preserve">or </w:t>
      </w:r>
      <w:r>
        <w:rPr>
          <w:rFonts w:ascii="Times New Roman" w:hAnsi="Times New Roman"/>
          <w:sz w:val="24"/>
        </w:rPr>
        <w:t>each of the</w:t>
      </w:r>
      <w:r w:rsidRPr="005403C8">
        <w:rPr>
          <w:rFonts w:ascii="Times New Roman" w:hAnsi="Times New Roman"/>
          <w:sz w:val="24"/>
        </w:rPr>
        <w:t xml:space="preserve"> </w:t>
      </w:r>
      <w:r>
        <w:rPr>
          <w:rFonts w:ascii="Times New Roman" w:hAnsi="Times New Roman"/>
          <w:sz w:val="24"/>
        </w:rPr>
        <w:t>292</w:t>
      </w:r>
      <w:r w:rsidRPr="00723FE1">
        <w:rPr>
          <w:rFonts w:ascii="Times New Roman" w:hAnsi="Times New Roman"/>
          <w:sz w:val="24"/>
        </w:rPr>
        <w:t xml:space="preserve"> broker-dealers that handle orders subject to the discl</w:t>
      </w:r>
      <w:r>
        <w:rPr>
          <w:rFonts w:ascii="Times New Roman" w:hAnsi="Times New Roman"/>
          <w:sz w:val="24"/>
        </w:rPr>
        <w:t>osures required by Rule 606(b)(1) to update their systems to include the amended categories of orders to which the disclosure applies.</w:t>
      </w:r>
      <w:bookmarkEnd w:id="8"/>
      <w:r w:rsidR="00C5343B">
        <w:rPr>
          <w:rFonts w:ascii="Times New Roman" w:hAnsi="Times New Roman"/>
          <w:sz w:val="24"/>
        </w:rPr>
        <w:t xml:space="preserve"> </w:t>
      </w:r>
      <w:r>
        <w:rPr>
          <w:rFonts w:ascii="Times New Roman" w:hAnsi="Times New Roman"/>
          <w:sz w:val="24"/>
        </w:rPr>
        <w:t xml:space="preserve"> </w:t>
      </w:r>
      <w:r w:rsidRPr="001101BA">
        <w:rPr>
          <w:rFonts w:ascii="Times New Roman" w:hAnsi="Times New Roman"/>
          <w:sz w:val="24"/>
        </w:rPr>
        <w:t>The Commission believes that it is reasonable to estimate that one third of the 292 broker-dealers that route orders subject to the disclosures required by Rule 606(b)(1) – 97 broker-dealers – will implement these changes in-house, while the remaining number – 195 broker-dealers – will engage a</w:t>
      </w:r>
      <w:r>
        <w:rPr>
          <w:rFonts w:ascii="Times New Roman" w:hAnsi="Times New Roman"/>
          <w:sz w:val="24"/>
        </w:rPr>
        <w:t xml:space="preserve"> third-party vendor to do so.  </w:t>
      </w:r>
      <w:r w:rsidRPr="001101BA">
        <w:rPr>
          <w:rFonts w:ascii="Times New Roman" w:hAnsi="Times New Roman"/>
          <w:sz w:val="24"/>
        </w:rPr>
        <w:t>The Commission es</w:t>
      </w:r>
      <w:r>
        <w:rPr>
          <w:rFonts w:ascii="Times New Roman" w:hAnsi="Times New Roman"/>
          <w:sz w:val="24"/>
        </w:rPr>
        <w:t>timates the initial burden for each of the 97</w:t>
      </w:r>
      <w:r w:rsidRPr="001101BA">
        <w:rPr>
          <w:rFonts w:ascii="Times New Roman" w:hAnsi="Times New Roman"/>
          <w:sz w:val="24"/>
        </w:rPr>
        <w:t xml:space="preserve"> bro</w:t>
      </w:r>
      <w:r>
        <w:rPr>
          <w:rFonts w:ascii="Times New Roman" w:hAnsi="Times New Roman"/>
          <w:sz w:val="24"/>
        </w:rPr>
        <w:t>ker-dealer that will program their</w:t>
      </w:r>
      <w:r w:rsidRPr="001101BA">
        <w:rPr>
          <w:rFonts w:ascii="Times New Roman" w:hAnsi="Times New Roman"/>
          <w:sz w:val="24"/>
        </w:rPr>
        <w:t xml:space="preserve"> systems in-house </w:t>
      </w:r>
      <w:r>
        <w:rPr>
          <w:rFonts w:ascii="Times New Roman" w:hAnsi="Times New Roman"/>
          <w:sz w:val="24"/>
        </w:rPr>
        <w:t>to comply with Rule 606(b)(1) to be</w:t>
      </w:r>
      <w:r w:rsidRPr="001101BA">
        <w:rPr>
          <w:rFonts w:ascii="Times New Roman" w:hAnsi="Times New Roman"/>
          <w:sz w:val="24"/>
        </w:rPr>
        <w:t xml:space="preserve"> 24 hours</w:t>
      </w:r>
      <w:r>
        <w:rPr>
          <w:rFonts w:ascii="Times New Roman" w:hAnsi="Times New Roman"/>
          <w:sz w:val="24"/>
        </w:rPr>
        <w:t>,</w:t>
      </w:r>
      <w:r w:rsidRPr="005403C8">
        <w:rPr>
          <w:rStyle w:val="FootnoteReference"/>
          <w:rFonts w:ascii="Times New Roman" w:hAnsi="Times New Roman"/>
          <w:sz w:val="24"/>
          <w:vertAlign w:val="superscript"/>
        </w:rPr>
        <w:footnoteReference w:id="46"/>
      </w:r>
      <w:r>
        <w:rPr>
          <w:rFonts w:ascii="Times New Roman" w:hAnsi="Times New Roman"/>
          <w:sz w:val="24"/>
        </w:rPr>
        <w:t xml:space="preserve"> for a total initial burden of  </w:t>
      </w:r>
      <w:r w:rsidRPr="001101BA">
        <w:rPr>
          <w:rFonts w:ascii="Times New Roman" w:hAnsi="Times New Roman"/>
          <w:sz w:val="24"/>
        </w:rPr>
        <w:t>2,328 hours</w:t>
      </w:r>
      <w:r>
        <w:rPr>
          <w:rFonts w:ascii="Times New Roman" w:hAnsi="Times New Roman"/>
          <w:sz w:val="24"/>
        </w:rPr>
        <w:t>.</w:t>
      </w:r>
      <w:r w:rsidRPr="005403C8">
        <w:rPr>
          <w:rStyle w:val="FootnoteReference"/>
          <w:rFonts w:ascii="Times New Roman" w:hAnsi="Times New Roman"/>
          <w:sz w:val="24"/>
          <w:vertAlign w:val="superscript"/>
        </w:rPr>
        <w:footnoteReference w:id="47"/>
      </w:r>
      <w:r w:rsidRPr="001101BA">
        <w:rPr>
          <w:rFonts w:ascii="Times New Roman" w:hAnsi="Times New Roman"/>
          <w:sz w:val="24"/>
        </w:rPr>
        <w:t xml:space="preserve">  The Commission estimates the initial burden for </w:t>
      </w:r>
      <w:r>
        <w:rPr>
          <w:rFonts w:ascii="Times New Roman" w:hAnsi="Times New Roman"/>
          <w:sz w:val="24"/>
        </w:rPr>
        <w:t>each of the 195</w:t>
      </w:r>
      <w:r w:rsidRPr="001101BA">
        <w:rPr>
          <w:rFonts w:ascii="Times New Roman" w:hAnsi="Times New Roman"/>
          <w:sz w:val="24"/>
        </w:rPr>
        <w:t xml:space="preserve"> broker-dealer</w:t>
      </w:r>
      <w:r>
        <w:rPr>
          <w:rFonts w:ascii="Times New Roman" w:hAnsi="Times New Roman"/>
          <w:sz w:val="24"/>
        </w:rPr>
        <w:t>s</w:t>
      </w:r>
      <w:r w:rsidRPr="001101BA">
        <w:rPr>
          <w:rFonts w:ascii="Times New Roman" w:hAnsi="Times New Roman"/>
          <w:sz w:val="24"/>
        </w:rPr>
        <w:t xml:space="preserve"> that will engage a third-party vendor to program their systems to comply with the rule </w:t>
      </w:r>
      <w:r>
        <w:rPr>
          <w:rFonts w:ascii="Times New Roman" w:hAnsi="Times New Roman"/>
          <w:sz w:val="24"/>
        </w:rPr>
        <w:t>to be 3 hours,</w:t>
      </w:r>
      <w:r w:rsidRPr="005403C8">
        <w:rPr>
          <w:rStyle w:val="FootnoteReference"/>
          <w:rFonts w:ascii="Times New Roman" w:hAnsi="Times New Roman"/>
          <w:sz w:val="24"/>
          <w:vertAlign w:val="superscript"/>
        </w:rPr>
        <w:footnoteReference w:id="48"/>
      </w:r>
      <w:r>
        <w:rPr>
          <w:rFonts w:ascii="Times New Roman" w:hAnsi="Times New Roman"/>
          <w:sz w:val="24"/>
        </w:rPr>
        <w:t xml:space="preserve"> for a total initial burden of 585 hours.</w:t>
      </w:r>
      <w:r w:rsidRPr="005403C8">
        <w:rPr>
          <w:rStyle w:val="FootnoteReference"/>
          <w:rFonts w:ascii="Times New Roman" w:hAnsi="Times New Roman"/>
          <w:sz w:val="24"/>
          <w:vertAlign w:val="superscript"/>
        </w:rPr>
        <w:footnoteReference w:id="49"/>
      </w:r>
    </w:p>
    <w:p w:rsidR="00A3193D" w:rsidRDefault="00A3193D" w:rsidP="00A3193D">
      <w:pPr>
        <w:ind w:firstLine="720"/>
        <w:rPr>
          <w:rFonts w:ascii="Times New Roman" w:hAnsi="Times New Roman"/>
          <w:sz w:val="24"/>
        </w:rPr>
      </w:pPr>
    </w:p>
    <w:p w:rsidR="00A3193D" w:rsidRDefault="00A3193D" w:rsidP="00A3193D">
      <w:pPr>
        <w:ind w:firstLine="720"/>
        <w:rPr>
          <w:rFonts w:ascii="Times New Roman" w:hAnsi="Times New Roman"/>
          <w:sz w:val="24"/>
        </w:rPr>
      </w:pPr>
      <w:r>
        <w:rPr>
          <w:rFonts w:ascii="Times New Roman" w:hAnsi="Times New Roman"/>
          <w:sz w:val="24"/>
        </w:rPr>
        <w:t>The Commission included</w:t>
      </w:r>
      <w:r w:rsidR="00B06050">
        <w:rPr>
          <w:rFonts w:ascii="Times New Roman" w:hAnsi="Times New Roman"/>
          <w:sz w:val="24"/>
        </w:rPr>
        <w:t xml:space="preserve"> in these</w:t>
      </w:r>
      <w:r w:rsidRPr="00A3193D">
        <w:rPr>
          <w:rFonts w:ascii="Times New Roman" w:hAnsi="Times New Roman"/>
          <w:sz w:val="24"/>
        </w:rPr>
        <w:t xml:space="preserve"> estimate</w:t>
      </w:r>
      <w:r w:rsidR="00B06050">
        <w:rPr>
          <w:rFonts w:ascii="Times New Roman" w:hAnsi="Times New Roman"/>
          <w:sz w:val="24"/>
        </w:rPr>
        <w:t>s</w:t>
      </w:r>
      <w:r w:rsidRPr="00A3193D">
        <w:rPr>
          <w:rFonts w:ascii="Times New Roman" w:hAnsi="Times New Roman"/>
          <w:sz w:val="24"/>
        </w:rPr>
        <w:t xml:space="preserve"> the initial burden of making the reports available using the most recent versions of the XML schema and the associated PDF renderer as published on the Commission’s Web site, as required by Rule</w:t>
      </w:r>
      <w:r w:rsidR="00785C48">
        <w:rPr>
          <w:rFonts w:ascii="Times New Roman" w:hAnsi="Times New Roman"/>
          <w:sz w:val="24"/>
        </w:rPr>
        <w:t>s</w:t>
      </w:r>
      <w:r w:rsidRPr="00A3193D">
        <w:rPr>
          <w:rFonts w:ascii="Times New Roman" w:hAnsi="Times New Roman"/>
          <w:sz w:val="24"/>
        </w:rPr>
        <w:t xml:space="preserve"> 606(a)</w:t>
      </w:r>
      <w:r w:rsidR="00785C48">
        <w:rPr>
          <w:rFonts w:ascii="Times New Roman" w:hAnsi="Times New Roman"/>
          <w:sz w:val="24"/>
        </w:rPr>
        <w:t>(1)</w:t>
      </w:r>
      <w:r w:rsidRPr="00A3193D">
        <w:rPr>
          <w:rFonts w:ascii="Times New Roman" w:hAnsi="Times New Roman"/>
          <w:sz w:val="24"/>
        </w:rPr>
        <w:t xml:space="preserve"> and (b)(1), as amended.</w:t>
      </w:r>
      <w:r w:rsidR="00E07DB2" w:rsidRPr="005403C8">
        <w:rPr>
          <w:rStyle w:val="FootnoteReference"/>
          <w:rFonts w:ascii="Times New Roman" w:hAnsi="Times New Roman"/>
          <w:sz w:val="24"/>
          <w:vertAlign w:val="superscript"/>
        </w:rPr>
        <w:footnoteReference w:id="50"/>
      </w:r>
    </w:p>
    <w:p w:rsidR="001101BA" w:rsidRDefault="001101BA" w:rsidP="00A3193D">
      <w:pPr>
        <w:ind w:firstLine="720"/>
        <w:rPr>
          <w:rFonts w:ascii="Times New Roman" w:hAnsi="Times New Roman"/>
          <w:sz w:val="24"/>
        </w:rPr>
      </w:pPr>
    </w:p>
    <w:p w:rsidR="00BC75FD" w:rsidRPr="005403C8" w:rsidRDefault="00BC75FD" w:rsidP="00B06050">
      <w:pPr>
        <w:keepNext/>
        <w:ind w:firstLine="720"/>
        <w:rPr>
          <w:rFonts w:ascii="Times New Roman" w:hAnsi="Times New Roman"/>
          <w:sz w:val="24"/>
        </w:rPr>
      </w:pPr>
      <w:r w:rsidRPr="005403C8">
        <w:rPr>
          <w:rFonts w:ascii="Times New Roman" w:hAnsi="Times New Roman"/>
          <w:sz w:val="24"/>
        </w:rPr>
        <w:t xml:space="preserve">Therefore, the estimated total initial burden to comply with </w:t>
      </w:r>
      <w:r w:rsidR="007863C8">
        <w:rPr>
          <w:rFonts w:ascii="Times New Roman" w:hAnsi="Times New Roman"/>
          <w:sz w:val="24"/>
        </w:rPr>
        <w:t>adopted</w:t>
      </w:r>
      <w:r w:rsidRPr="005403C8">
        <w:rPr>
          <w:rFonts w:ascii="Times New Roman" w:hAnsi="Times New Roman"/>
          <w:sz w:val="24"/>
        </w:rPr>
        <w:t xml:space="preserve"> Rule</w:t>
      </w:r>
      <w:r w:rsidR="004908AB" w:rsidRPr="005403C8">
        <w:rPr>
          <w:rFonts w:ascii="Times New Roman" w:hAnsi="Times New Roman"/>
          <w:sz w:val="24"/>
        </w:rPr>
        <w:t>s</w:t>
      </w:r>
      <w:r w:rsidRPr="005403C8">
        <w:rPr>
          <w:rFonts w:ascii="Times New Roman" w:hAnsi="Times New Roman"/>
          <w:sz w:val="24"/>
        </w:rPr>
        <w:t xml:space="preserve"> 606(a)(1) and (b)(1) is </w:t>
      </w:r>
      <w:r w:rsidR="00CF2F47">
        <w:rPr>
          <w:rFonts w:ascii="Times New Roman" w:hAnsi="Times New Roman"/>
          <w:sz w:val="24"/>
        </w:rPr>
        <w:t>33,013</w:t>
      </w:r>
      <w:r w:rsidRPr="005403C8">
        <w:rPr>
          <w:rFonts w:ascii="Times New Roman" w:hAnsi="Times New Roman"/>
          <w:sz w:val="24"/>
        </w:rPr>
        <w:t xml:space="preserve"> hours</w:t>
      </w:r>
      <w:r w:rsidRPr="005403C8">
        <w:rPr>
          <w:rStyle w:val="FootnoteReference"/>
          <w:rFonts w:ascii="Times New Roman" w:hAnsi="Times New Roman"/>
          <w:sz w:val="24"/>
          <w:vertAlign w:val="superscript"/>
        </w:rPr>
        <w:footnoteReference w:id="51"/>
      </w:r>
      <w:r w:rsidRPr="005403C8">
        <w:rPr>
          <w:rFonts w:ascii="Times New Roman" w:hAnsi="Times New Roman"/>
          <w:sz w:val="24"/>
        </w:rPr>
        <w:t xml:space="preserve"> or </w:t>
      </w:r>
      <w:r w:rsidR="004702D5">
        <w:rPr>
          <w:rFonts w:ascii="Times New Roman" w:hAnsi="Times New Roman"/>
          <w:sz w:val="24"/>
        </w:rPr>
        <w:t>11,004.33</w:t>
      </w:r>
      <w:r w:rsidRPr="005403C8">
        <w:rPr>
          <w:rFonts w:ascii="Times New Roman" w:hAnsi="Times New Roman"/>
          <w:sz w:val="24"/>
        </w:rPr>
        <w:t xml:space="preserve"> hours per year when annualized over three years.</w:t>
      </w:r>
      <w:r w:rsidRPr="005403C8">
        <w:rPr>
          <w:rStyle w:val="FootnoteReference"/>
          <w:rFonts w:ascii="Times New Roman" w:hAnsi="Times New Roman"/>
          <w:sz w:val="24"/>
          <w:vertAlign w:val="superscript"/>
        </w:rPr>
        <w:footnoteReference w:id="52"/>
      </w:r>
      <w:r w:rsidR="00B84CB6">
        <w:rPr>
          <w:rFonts w:ascii="Times New Roman" w:hAnsi="Times New Roman"/>
          <w:sz w:val="24"/>
        </w:rPr>
        <w:t xml:space="preserve">  </w:t>
      </w:r>
      <w:r w:rsidR="00B06050">
        <w:rPr>
          <w:rFonts w:ascii="Times New Roman" w:hAnsi="Times New Roman"/>
          <w:sz w:val="24"/>
        </w:rPr>
        <w:t xml:space="preserve">This is an increase over the initial Proposing Release estimate </w:t>
      </w:r>
      <w:r w:rsidR="00B84CB6">
        <w:rPr>
          <w:rFonts w:ascii="Times New Roman" w:hAnsi="Times New Roman"/>
          <w:sz w:val="24"/>
        </w:rPr>
        <w:t>of</w:t>
      </w:r>
      <w:r w:rsidR="00B84CB6" w:rsidRPr="005403C8">
        <w:rPr>
          <w:rFonts w:ascii="Times New Roman" w:hAnsi="Times New Roman"/>
          <w:sz w:val="24"/>
        </w:rPr>
        <w:t xml:space="preserve"> </w:t>
      </w:r>
      <w:r w:rsidR="00B84CB6">
        <w:rPr>
          <w:rFonts w:ascii="Times New Roman" w:hAnsi="Times New Roman"/>
          <w:sz w:val="24"/>
        </w:rPr>
        <w:t>8,084</w:t>
      </w:r>
      <w:r w:rsidR="00B84CB6" w:rsidRPr="005403C8">
        <w:rPr>
          <w:rFonts w:ascii="Times New Roman" w:hAnsi="Times New Roman"/>
          <w:sz w:val="24"/>
        </w:rPr>
        <w:t xml:space="preserve"> hours or </w:t>
      </w:r>
      <w:r w:rsidR="00B84CB6" w:rsidRPr="00B84CB6">
        <w:rPr>
          <w:rFonts w:ascii="Times New Roman" w:hAnsi="Times New Roman"/>
          <w:sz w:val="24"/>
        </w:rPr>
        <w:t>2,694.67</w:t>
      </w:r>
      <w:r w:rsidR="00B84CB6" w:rsidRPr="005403C8">
        <w:rPr>
          <w:rFonts w:ascii="Times New Roman" w:hAnsi="Times New Roman"/>
          <w:sz w:val="24"/>
        </w:rPr>
        <w:t xml:space="preserve"> hours per year</w:t>
      </w:r>
      <w:r w:rsidR="00B84CB6">
        <w:rPr>
          <w:rFonts w:ascii="Times New Roman" w:hAnsi="Times New Roman"/>
          <w:sz w:val="24"/>
        </w:rPr>
        <w:t xml:space="preserve"> annualized over three years, for the reasons discussed above</w:t>
      </w:r>
      <w:r w:rsidR="00B84CB6" w:rsidRPr="005403C8">
        <w:rPr>
          <w:rFonts w:ascii="Times New Roman" w:hAnsi="Times New Roman"/>
          <w:sz w:val="24"/>
        </w:rPr>
        <w:t>.</w:t>
      </w:r>
    </w:p>
    <w:p w:rsidR="007425E7" w:rsidRPr="005403C8" w:rsidRDefault="00FC2BB7" w:rsidP="00FC2BB7">
      <w:pPr>
        <w:tabs>
          <w:tab w:val="left" w:pos="6360"/>
        </w:tabs>
        <w:rPr>
          <w:rFonts w:ascii="Times New Roman" w:hAnsi="Times New Roman"/>
          <w:sz w:val="24"/>
        </w:rPr>
      </w:pPr>
      <w:r w:rsidRPr="005403C8">
        <w:rPr>
          <w:rFonts w:ascii="Times New Roman" w:hAnsi="Times New Roman"/>
          <w:sz w:val="24"/>
        </w:rPr>
        <w:tab/>
      </w:r>
    </w:p>
    <w:p w:rsidR="00287278" w:rsidRPr="005403C8" w:rsidRDefault="00287278" w:rsidP="008800B6">
      <w:pPr>
        <w:numPr>
          <w:ilvl w:val="2"/>
          <w:numId w:val="16"/>
        </w:numPr>
        <w:rPr>
          <w:rFonts w:ascii="Times New Roman" w:hAnsi="Times New Roman"/>
          <w:sz w:val="24"/>
          <w:u w:val="single"/>
        </w:rPr>
      </w:pPr>
      <w:r w:rsidRPr="005403C8">
        <w:rPr>
          <w:rFonts w:ascii="Times New Roman" w:hAnsi="Times New Roman"/>
          <w:sz w:val="24"/>
          <w:u w:val="single"/>
        </w:rPr>
        <w:t>Annual Reporting and Recordkeeping Burden</w:t>
      </w:r>
    </w:p>
    <w:p w:rsidR="00287278" w:rsidRPr="005403C8" w:rsidRDefault="00287278" w:rsidP="00287278">
      <w:pPr>
        <w:ind w:firstLine="720"/>
        <w:rPr>
          <w:rFonts w:ascii="Times New Roman" w:hAnsi="Times New Roman"/>
          <w:b/>
          <w:sz w:val="24"/>
        </w:rPr>
      </w:pPr>
    </w:p>
    <w:p w:rsidR="00C727C1" w:rsidRDefault="00287278" w:rsidP="00287278">
      <w:pPr>
        <w:ind w:firstLine="720"/>
        <w:rPr>
          <w:rFonts w:ascii="Times New Roman" w:hAnsi="Times New Roman"/>
          <w:sz w:val="24"/>
        </w:rPr>
      </w:pPr>
      <w:r w:rsidRPr="005403C8">
        <w:rPr>
          <w:rFonts w:ascii="Times New Roman" w:hAnsi="Times New Roman"/>
          <w:sz w:val="24"/>
        </w:rPr>
        <w:t>For</w:t>
      </w:r>
      <w:r w:rsidR="00563016">
        <w:rPr>
          <w:rFonts w:ascii="Times New Roman" w:hAnsi="Times New Roman"/>
          <w:sz w:val="24"/>
        </w:rPr>
        <w:t xml:space="preserve"> each of the</w:t>
      </w:r>
      <w:r w:rsidR="007425E7" w:rsidRPr="005403C8">
        <w:rPr>
          <w:rFonts w:ascii="Times New Roman" w:hAnsi="Times New Roman"/>
          <w:sz w:val="24"/>
        </w:rPr>
        <w:t xml:space="preserve"> </w:t>
      </w:r>
      <w:r w:rsidR="00C727C1">
        <w:rPr>
          <w:rFonts w:ascii="Times New Roman" w:hAnsi="Times New Roman"/>
          <w:sz w:val="24"/>
        </w:rPr>
        <w:t>292</w:t>
      </w:r>
      <w:r w:rsidRPr="005403C8">
        <w:rPr>
          <w:rFonts w:ascii="Times New Roman" w:hAnsi="Times New Roman"/>
          <w:sz w:val="24"/>
        </w:rPr>
        <w:t xml:space="preserve"> broker-dealers </w:t>
      </w:r>
      <w:r w:rsidR="00C727C1">
        <w:rPr>
          <w:rFonts w:ascii="Times New Roman" w:hAnsi="Times New Roman"/>
          <w:sz w:val="24"/>
        </w:rPr>
        <w:t>subject to disclosure requirements of adopted Rule 606(a)(1)</w:t>
      </w:r>
      <w:r w:rsidRPr="005403C8">
        <w:rPr>
          <w:rFonts w:ascii="Times New Roman" w:hAnsi="Times New Roman"/>
          <w:sz w:val="24"/>
        </w:rPr>
        <w:t xml:space="preserve">, the Commission estimates the annual burden </w:t>
      </w:r>
      <w:r w:rsidR="00717CB1" w:rsidRPr="005403C8">
        <w:rPr>
          <w:rFonts w:ascii="Times New Roman" w:hAnsi="Times New Roman"/>
          <w:sz w:val="24"/>
        </w:rPr>
        <w:t xml:space="preserve">to </w:t>
      </w:r>
      <w:r w:rsidR="00DD2A32" w:rsidRPr="005403C8">
        <w:rPr>
          <w:rFonts w:ascii="Times New Roman" w:hAnsi="Times New Roman"/>
          <w:sz w:val="24"/>
        </w:rPr>
        <w:t xml:space="preserve">monitor payment for order flow and profit-sharing relationships and potential </w:t>
      </w:r>
      <w:r w:rsidR="000A4080" w:rsidRPr="005403C8">
        <w:rPr>
          <w:rFonts w:ascii="Times New Roman" w:hAnsi="Times New Roman"/>
          <w:sz w:val="24"/>
        </w:rPr>
        <w:t>self-regulatory organization</w:t>
      </w:r>
      <w:r w:rsidR="00DD2A32" w:rsidRPr="005403C8">
        <w:rPr>
          <w:rFonts w:ascii="Times New Roman" w:hAnsi="Times New Roman"/>
          <w:sz w:val="24"/>
        </w:rPr>
        <w:t xml:space="preserve"> rule changes that could impact their order routing decisions and incorporate any new information into their reports </w:t>
      </w:r>
      <w:r w:rsidR="00563016">
        <w:rPr>
          <w:rFonts w:ascii="Times New Roman" w:hAnsi="Times New Roman"/>
          <w:sz w:val="24"/>
        </w:rPr>
        <w:t>to</w:t>
      </w:r>
      <w:r w:rsidRPr="005403C8">
        <w:rPr>
          <w:rFonts w:ascii="Times New Roman" w:hAnsi="Times New Roman"/>
          <w:sz w:val="24"/>
        </w:rPr>
        <w:t xml:space="preserve"> be </w:t>
      </w:r>
      <w:r w:rsidR="00563016">
        <w:rPr>
          <w:rFonts w:ascii="Times New Roman" w:hAnsi="Times New Roman"/>
          <w:sz w:val="24"/>
        </w:rPr>
        <w:t>10 hours,</w:t>
      </w:r>
      <w:r w:rsidR="00563016" w:rsidRPr="005403C8">
        <w:rPr>
          <w:rStyle w:val="FootnoteReference"/>
          <w:rFonts w:ascii="Times New Roman" w:hAnsi="Times New Roman"/>
          <w:sz w:val="24"/>
          <w:vertAlign w:val="superscript"/>
        </w:rPr>
        <w:footnoteReference w:id="53"/>
      </w:r>
      <w:r w:rsidR="00563016">
        <w:rPr>
          <w:rFonts w:ascii="Times New Roman" w:hAnsi="Times New Roman"/>
          <w:sz w:val="24"/>
        </w:rPr>
        <w:t xml:space="preserve"> for a total annual burden of 2,920</w:t>
      </w:r>
      <w:r w:rsidRPr="005403C8">
        <w:rPr>
          <w:rFonts w:ascii="Times New Roman" w:hAnsi="Times New Roman"/>
          <w:sz w:val="24"/>
        </w:rPr>
        <w:t xml:space="preserve"> hours.</w:t>
      </w:r>
      <w:r w:rsidRPr="005403C8">
        <w:rPr>
          <w:rStyle w:val="FootnoteReference"/>
          <w:rFonts w:ascii="Times New Roman" w:hAnsi="Times New Roman"/>
          <w:sz w:val="24"/>
          <w:vertAlign w:val="superscript"/>
        </w:rPr>
        <w:footnoteReference w:id="54"/>
      </w:r>
      <w:r w:rsidR="00DD2A32" w:rsidRPr="005403C8">
        <w:rPr>
          <w:rFonts w:ascii="Times New Roman" w:hAnsi="Times New Roman"/>
          <w:sz w:val="24"/>
        </w:rPr>
        <w:t xml:space="preserve">  The Commission estimates the annual burden for </w:t>
      </w:r>
      <w:r w:rsidR="00563016">
        <w:rPr>
          <w:rFonts w:ascii="Times New Roman" w:hAnsi="Times New Roman"/>
          <w:sz w:val="24"/>
        </w:rPr>
        <w:t>each</w:t>
      </w:r>
      <w:r w:rsidR="00DD2A32" w:rsidRPr="005403C8">
        <w:rPr>
          <w:rFonts w:ascii="Times New Roman" w:hAnsi="Times New Roman"/>
          <w:sz w:val="24"/>
        </w:rPr>
        <w:t xml:space="preserve"> broker-dealer</w:t>
      </w:r>
      <w:r w:rsidR="000813ED" w:rsidRPr="005403C8">
        <w:rPr>
          <w:rFonts w:ascii="Times New Roman" w:hAnsi="Times New Roman"/>
          <w:sz w:val="24"/>
        </w:rPr>
        <w:t>s</w:t>
      </w:r>
      <w:r w:rsidR="00DD2A32" w:rsidRPr="005403C8">
        <w:rPr>
          <w:rFonts w:ascii="Times New Roman" w:hAnsi="Times New Roman"/>
          <w:sz w:val="24"/>
        </w:rPr>
        <w:t xml:space="preserve"> to describe and update any terms of payment for order flow arrangements and profit-sharing relationships with a Specified Venue </w:t>
      </w:r>
      <w:r w:rsidR="000813ED" w:rsidRPr="005403C8">
        <w:rPr>
          <w:rFonts w:ascii="Times New Roman" w:hAnsi="Times New Roman"/>
          <w:sz w:val="24"/>
        </w:rPr>
        <w:t>that may influence their order routing decisions pursuant to</w:t>
      </w:r>
      <w:r w:rsidR="00DD2A32" w:rsidRPr="005403C8">
        <w:rPr>
          <w:rFonts w:ascii="Times New Roman" w:hAnsi="Times New Roman"/>
          <w:sz w:val="24"/>
        </w:rPr>
        <w:t xml:space="preserve"> </w:t>
      </w:r>
      <w:r w:rsidR="007863C8">
        <w:rPr>
          <w:rFonts w:ascii="Times New Roman" w:hAnsi="Times New Roman"/>
          <w:sz w:val="24"/>
        </w:rPr>
        <w:t>adopted</w:t>
      </w:r>
      <w:r w:rsidR="007863C8" w:rsidRPr="005403C8">
        <w:rPr>
          <w:rFonts w:ascii="Times New Roman" w:hAnsi="Times New Roman"/>
          <w:sz w:val="24"/>
        </w:rPr>
        <w:t xml:space="preserve"> </w:t>
      </w:r>
      <w:r w:rsidR="00DD2A32" w:rsidRPr="005403C8">
        <w:rPr>
          <w:rFonts w:ascii="Times New Roman" w:hAnsi="Times New Roman"/>
          <w:sz w:val="24"/>
        </w:rPr>
        <w:t xml:space="preserve">Rule 606(a)(1)(iv) </w:t>
      </w:r>
      <w:r w:rsidR="00563016">
        <w:rPr>
          <w:rFonts w:ascii="Times New Roman" w:hAnsi="Times New Roman"/>
          <w:sz w:val="24"/>
        </w:rPr>
        <w:t>to</w:t>
      </w:r>
      <w:r w:rsidR="00DD2A32" w:rsidRPr="005403C8">
        <w:rPr>
          <w:rFonts w:ascii="Times New Roman" w:hAnsi="Times New Roman"/>
          <w:sz w:val="24"/>
        </w:rPr>
        <w:t xml:space="preserve"> be </w:t>
      </w:r>
      <w:r w:rsidR="00563016">
        <w:rPr>
          <w:rFonts w:ascii="Times New Roman" w:hAnsi="Times New Roman"/>
          <w:sz w:val="24"/>
        </w:rPr>
        <w:t>15 hours,</w:t>
      </w:r>
      <w:r w:rsidR="00DE6189" w:rsidRPr="005403C8">
        <w:rPr>
          <w:rStyle w:val="FootnoteReference"/>
          <w:rFonts w:ascii="Times New Roman" w:hAnsi="Times New Roman"/>
          <w:sz w:val="24"/>
          <w:vertAlign w:val="superscript"/>
        </w:rPr>
        <w:footnoteReference w:id="55"/>
      </w:r>
      <w:r w:rsidR="00DE6189">
        <w:rPr>
          <w:rFonts w:ascii="Times New Roman" w:hAnsi="Times New Roman"/>
          <w:sz w:val="24"/>
        </w:rPr>
        <w:t xml:space="preserve"> </w:t>
      </w:r>
      <w:r w:rsidR="00563016">
        <w:rPr>
          <w:rFonts w:ascii="Times New Roman" w:hAnsi="Times New Roman"/>
          <w:sz w:val="24"/>
        </w:rPr>
        <w:t xml:space="preserve"> for a total annual burden of </w:t>
      </w:r>
      <w:r w:rsidR="00563016" w:rsidRPr="00563016">
        <w:rPr>
          <w:rFonts w:ascii="Times New Roman" w:hAnsi="Times New Roman"/>
          <w:sz w:val="24"/>
        </w:rPr>
        <w:t>4,380</w:t>
      </w:r>
      <w:r w:rsidR="00DD2A32" w:rsidRPr="005403C8">
        <w:rPr>
          <w:rFonts w:ascii="Times New Roman" w:hAnsi="Times New Roman"/>
          <w:sz w:val="24"/>
        </w:rPr>
        <w:t xml:space="preserve"> hours.</w:t>
      </w:r>
      <w:r w:rsidR="00DE6189" w:rsidRPr="005403C8">
        <w:rPr>
          <w:rStyle w:val="FootnoteReference"/>
          <w:rFonts w:ascii="Times New Roman" w:hAnsi="Times New Roman"/>
          <w:sz w:val="24"/>
          <w:vertAlign w:val="superscript"/>
        </w:rPr>
        <w:footnoteReference w:id="56"/>
      </w:r>
      <w:r w:rsidR="00C727C1">
        <w:rPr>
          <w:rFonts w:ascii="Times New Roman" w:hAnsi="Times New Roman"/>
          <w:sz w:val="24"/>
        </w:rPr>
        <w:t xml:space="preserve">  </w:t>
      </w:r>
      <w:r w:rsidR="00F97957">
        <w:rPr>
          <w:rFonts w:ascii="Times New Roman" w:hAnsi="Times New Roman"/>
          <w:sz w:val="24"/>
        </w:rPr>
        <w:t xml:space="preserve">This burden is unchanged from Proposing Release but reflects an increase in the number of respondents from 266 to 292 due to the </w:t>
      </w:r>
      <w:r w:rsidR="00925F35">
        <w:rPr>
          <w:rFonts w:ascii="Times New Roman" w:hAnsi="Times New Roman"/>
          <w:sz w:val="24"/>
        </w:rPr>
        <w:t>availability</w:t>
      </w:r>
      <w:r w:rsidR="00F97957">
        <w:rPr>
          <w:rFonts w:ascii="Times New Roman" w:hAnsi="Times New Roman"/>
          <w:sz w:val="24"/>
        </w:rPr>
        <w:t xml:space="preserve"> of more recent data.</w:t>
      </w:r>
      <w:r w:rsidR="00F97957" w:rsidRPr="005403C8">
        <w:rPr>
          <w:rStyle w:val="FootnoteReference"/>
          <w:rFonts w:ascii="Times New Roman" w:hAnsi="Times New Roman"/>
          <w:sz w:val="24"/>
          <w:vertAlign w:val="superscript"/>
        </w:rPr>
        <w:footnoteReference w:id="57"/>
      </w:r>
    </w:p>
    <w:p w:rsidR="00F97957" w:rsidRPr="005403C8" w:rsidRDefault="00F97957" w:rsidP="00287278">
      <w:pPr>
        <w:ind w:firstLine="720"/>
        <w:rPr>
          <w:rFonts w:ascii="Times New Roman" w:hAnsi="Times New Roman"/>
          <w:sz w:val="24"/>
        </w:rPr>
      </w:pPr>
    </w:p>
    <w:p w:rsidR="00496677" w:rsidRPr="005403C8" w:rsidRDefault="00DD2A32" w:rsidP="002C0161">
      <w:pPr>
        <w:ind w:firstLine="720"/>
        <w:rPr>
          <w:rFonts w:ascii="Times New Roman" w:hAnsi="Times New Roman"/>
          <w:sz w:val="24"/>
        </w:rPr>
      </w:pPr>
      <w:r w:rsidRPr="005403C8">
        <w:rPr>
          <w:rFonts w:ascii="Times New Roman" w:hAnsi="Times New Roman"/>
          <w:sz w:val="24"/>
        </w:rPr>
        <w:t xml:space="preserve">Therefore, the estimated total annual burden to comply with </w:t>
      </w:r>
      <w:r w:rsidR="007863C8">
        <w:rPr>
          <w:rFonts w:ascii="Times New Roman" w:hAnsi="Times New Roman"/>
          <w:sz w:val="24"/>
        </w:rPr>
        <w:t>adopted</w:t>
      </w:r>
      <w:r w:rsidR="007863C8" w:rsidRPr="005403C8">
        <w:rPr>
          <w:rFonts w:ascii="Times New Roman" w:hAnsi="Times New Roman"/>
          <w:sz w:val="24"/>
        </w:rPr>
        <w:t xml:space="preserve"> </w:t>
      </w:r>
      <w:r w:rsidRPr="005403C8">
        <w:rPr>
          <w:rFonts w:ascii="Times New Roman" w:hAnsi="Times New Roman"/>
          <w:sz w:val="24"/>
        </w:rPr>
        <w:t>Rule 606</w:t>
      </w:r>
      <w:r w:rsidR="00B06050" w:rsidRPr="005403C8">
        <w:rPr>
          <w:rFonts w:ascii="Times New Roman" w:hAnsi="Times New Roman"/>
          <w:sz w:val="24"/>
        </w:rPr>
        <w:t>(a)(1)(iv)</w:t>
      </w:r>
      <w:r w:rsidRPr="005403C8">
        <w:rPr>
          <w:rFonts w:ascii="Times New Roman" w:hAnsi="Times New Roman"/>
          <w:sz w:val="24"/>
        </w:rPr>
        <w:t xml:space="preserve"> is </w:t>
      </w:r>
      <w:r w:rsidR="00DE6189" w:rsidRPr="00DE6189">
        <w:rPr>
          <w:rFonts w:ascii="Times New Roman" w:hAnsi="Times New Roman"/>
          <w:sz w:val="24"/>
        </w:rPr>
        <w:t>7,300</w:t>
      </w:r>
      <w:r w:rsidRPr="005403C8">
        <w:rPr>
          <w:rFonts w:ascii="Times New Roman" w:hAnsi="Times New Roman"/>
          <w:sz w:val="24"/>
        </w:rPr>
        <w:t xml:space="preserve"> hours.</w:t>
      </w:r>
      <w:r w:rsidRPr="005403C8">
        <w:rPr>
          <w:rStyle w:val="FootnoteReference"/>
          <w:rFonts w:ascii="Times New Roman" w:hAnsi="Times New Roman"/>
          <w:sz w:val="24"/>
          <w:vertAlign w:val="superscript"/>
        </w:rPr>
        <w:footnoteReference w:id="58"/>
      </w:r>
      <w:r w:rsidR="00B06050">
        <w:rPr>
          <w:rFonts w:ascii="Times New Roman" w:hAnsi="Times New Roman"/>
          <w:sz w:val="24"/>
        </w:rPr>
        <w:t xml:space="preserve">  This is an increase over the initial Proposing Release estimate of</w:t>
      </w:r>
      <w:r w:rsidR="00B06050" w:rsidRPr="00B06050">
        <w:rPr>
          <w:rFonts w:ascii="Times New Roman" w:hAnsi="Times New Roman"/>
          <w:sz w:val="24"/>
        </w:rPr>
        <w:t xml:space="preserve"> 6,650</w:t>
      </w:r>
      <w:r w:rsidR="00B06050">
        <w:rPr>
          <w:rFonts w:ascii="Times New Roman" w:hAnsi="Times New Roman"/>
          <w:sz w:val="24"/>
        </w:rPr>
        <w:t>, for the reasons discussed above</w:t>
      </w:r>
      <w:r w:rsidR="00B06050" w:rsidRPr="005403C8">
        <w:rPr>
          <w:rFonts w:ascii="Times New Roman" w:hAnsi="Times New Roman"/>
          <w:sz w:val="24"/>
        </w:rPr>
        <w:t>.</w:t>
      </w:r>
    </w:p>
    <w:p w:rsidR="00B5438E" w:rsidRDefault="00B5438E" w:rsidP="00496677">
      <w:pPr>
        <w:jc w:val="center"/>
        <w:rPr>
          <w:rFonts w:ascii="Times New Roman" w:hAnsi="Times New Roman"/>
          <w:b/>
          <w:sz w:val="24"/>
        </w:rPr>
      </w:pPr>
    </w:p>
    <w:p w:rsidR="00B5438E" w:rsidRPr="00B5438E" w:rsidRDefault="00B5438E" w:rsidP="00B5438E">
      <w:pPr>
        <w:numPr>
          <w:ilvl w:val="1"/>
          <w:numId w:val="16"/>
        </w:numPr>
        <w:rPr>
          <w:rFonts w:ascii="Times New Roman" w:hAnsi="Times New Roman"/>
          <w:sz w:val="24"/>
          <w:szCs w:val="22"/>
          <w:u w:val="single"/>
        </w:rPr>
      </w:pPr>
      <w:r w:rsidRPr="00B5438E">
        <w:rPr>
          <w:rFonts w:ascii="Times New Roman" w:hAnsi="Times New Roman"/>
          <w:sz w:val="24"/>
          <w:szCs w:val="22"/>
          <w:u w:val="single"/>
        </w:rPr>
        <w:t>Revisions to Compliance Manuals</w:t>
      </w:r>
    </w:p>
    <w:p w:rsidR="00B5438E" w:rsidRDefault="00B5438E" w:rsidP="00496677">
      <w:pPr>
        <w:jc w:val="center"/>
        <w:rPr>
          <w:rFonts w:ascii="Times New Roman" w:hAnsi="Times New Roman"/>
          <w:b/>
          <w:sz w:val="24"/>
        </w:rPr>
      </w:pPr>
    </w:p>
    <w:p w:rsidR="00FF39AA" w:rsidRDefault="00B5438E" w:rsidP="00B5438E">
      <w:pPr>
        <w:ind w:firstLine="720"/>
        <w:rPr>
          <w:rFonts w:ascii="Times New Roman" w:eastAsia="MS Mincho" w:hAnsi="Times New Roman"/>
          <w:sz w:val="24"/>
        </w:rPr>
      </w:pPr>
      <w:r>
        <w:rPr>
          <w:rFonts w:ascii="Times New Roman" w:eastAsia="MS Mincho" w:hAnsi="Times New Roman"/>
          <w:sz w:val="24"/>
        </w:rPr>
        <w:t>The Commission estimated an</w:t>
      </w:r>
      <w:r w:rsidRPr="00B5438E">
        <w:rPr>
          <w:rFonts w:ascii="Times New Roman" w:eastAsia="MS Mincho" w:hAnsi="Times New Roman"/>
          <w:sz w:val="24"/>
        </w:rPr>
        <w:t xml:space="preserve"> initial</w:t>
      </w:r>
      <w:r>
        <w:rPr>
          <w:rFonts w:ascii="Times New Roman" w:eastAsia="MS Mincho" w:hAnsi="Times New Roman"/>
          <w:sz w:val="24"/>
        </w:rPr>
        <w:t xml:space="preserve"> burden </w:t>
      </w:r>
      <w:r w:rsidR="00A42A3F">
        <w:rPr>
          <w:rFonts w:ascii="Times New Roman" w:hAnsi="Times New Roman"/>
          <w:sz w:val="24"/>
        </w:rPr>
        <w:t xml:space="preserve">previously proposed </w:t>
      </w:r>
      <w:r>
        <w:rPr>
          <w:rFonts w:ascii="Times New Roman" w:eastAsia="MS Mincho" w:hAnsi="Times New Roman"/>
          <w:sz w:val="24"/>
        </w:rPr>
        <w:t>for market centers and</w:t>
      </w:r>
      <w:r w:rsidRPr="00B5438E">
        <w:rPr>
          <w:rFonts w:ascii="Times New Roman" w:eastAsia="MS Mincho" w:hAnsi="Times New Roman"/>
          <w:sz w:val="24"/>
        </w:rPr>
        <w:t xml:space="preserve"> broker-dealers to review and update compliance manuals and written supervisory procedures and update citation references to any defined term</w:t>
      </w:r>
      <w:r>
        <w:rPr>
          <w:rFonts w:ascii="Times New Roman" w:eastAsia="MS Mincho" w:hAnsi="Times New Roman"/>
          <w:sz w:val="24"/>
        </w:rPr>
        <w:t xml:space="preserve">s in </w:t>
      </w:r>
      <w:r w:rsidRPr="00B5438E">
        <w:rPr>
          <w:rFonts w:ascii="Times New Roman" w:eastAsia="MS Mincho" w:hAnsi="Times New Roman"/>
          <w:sz w:val="24"/>
        </w:rPr>
        <w:t>Rule 600 of Regulation NMS</w:t>
      </w:r>
      <w:r>
        <w:rPr>
          <w:rFonts w:ascii="Times New Roman" w:eastAsia="MS Mincho" w:hAnsi="Times New Roman"/>
          <w:sz w:val="24"/>
        </w:rPr>
        <w:t xml:space="preserve"> whose references may have changed due to </w:t>
      </w:r>
      <w:r w:rsidR="00FF39AA">
        <w:rPr>
          <w:rFonts w:ascii="Times New Roman" w:eastAsia="MS Mincho" w:hAnsi="Times New Roman"/>
          <w:sz w:val="24"/>
        </w:rPr>
        <w:t>the addition by the Adopting Release of several defined terms to Rule 600</w:t>
      </w:r>
      <w:r w:rsidRPr="00B5438E">
        <w:rPr>
          <w:rFonts w:ascii="Times New Roman" w:eastAsia="MS Mincho" w:hAnsi="Times New Roman"/>
          <w:sz w:val="24"/>
        </w:rPr>
        <w:t>.</w:t>
      </w:r>
      <w:r w:rsidRPr="005403C8">
        <w:rPr>
          <w:rStyle w:val="FootnoteReference"/>
          <w:rFonts w:ascii="Times New Roman" w:hAnsi="Times New Roman"/>
          <w:sz w:val="24"/>
          <w:vertAlign w:val="superscript"/>
        </w:rPr>
        <w:footnoteReference w:id="59"/>
      </w:r>
      <w:r w:rsidRPr="00B5438E">
        <w:rPr>
          <w:rFonts w:ascii="Times New Roman" w:eastAsia="MS Mincho" w:hAnsi="Times New Roman"/>
          <w:sz w:val="24"/>
        </w:rPr>
        <w:t xml:space="preserve">  </w:t>
      </w:r>
      <w:r>
        <w:rPr>
          <w:rFonts w:ascii="Times New Roman" w:eastAsia="MS Mincho" w:hAnsi="Times New Roman"/>
          <w:sz w:val="24"/>
        </w:rPr>
        <w:t>T</w:t>
      </w:r>
      <w:r w:rsidRPr="00B5438E">
        <w:rPr>
          <w:rFonts w:ascii="Times New Roman" w:eastAsia="MS Mincho" w:hAnsi="Times New Roman"/>
          <w:sz w:val="24"/>
        </w:rPr>
        <w:t>he Commission estimates that each of the 381 market centers and 4,024 broker-dealers</w:t>
      </w:r>
      <w:r w:rsidRPr="005403C8">
        <w:rPr>
          <w:rStyle w:val="FootnoteReference"/>
          <w:rFonts w:ascii="Times New Roman" w:hAnsi="Times New Roman"/>
          <w:sz w:val="24"/>
          <w:vertAlign w:val="superscript"/>
        </w:rPr>
        <w:footnoteReference w:id="60"/>
      </w:r>
      <w:r w:rsidRPr="00B5438E">
        <w:rPr>
          <w:rFonts w:ascii="Times New Roman" w:eastAsia="MS Mincho" w:hAnsi="Times New Roman"/>
          <w:sz w:val="24"/>
        </w:rPr>
        <w:t xml:space="preserve"> would make these updates in house at a one-time burden of 2 hours for each respondent</w:t>
      </w:r>
      <w:bookmarkStart w:id="9" w:name="_Ref524622503"/>
      <w:r w:rsidR="00FF39AA">
        <w:rPr>
          <w:rFonts w:ascii="Times New Roman" w:eastAsia="MS Mincho" w:hAnsi="Times New Roman"/>
          <w:sz w:val="24"/>
        </w:rPr>
        <w:t>,</w:t>
      </w:r>
      <w:r w:rsidRPr="005403C8">
        <w:rPr>
          <w:rStyle w:val="FootnoteReference"/>
          <w:rFonts w:ascii="Times New Roman" w:hAnsi="Times New Roman"/>
          <w:sz w:val="24"/>
          <w:vertAlign w:val="superscript"/>
        </w:rPr>
        <w:footnoteReference w:id="61"/>
      </w:r>
      <w:bookmarkEnd w:id="9"/>
      <w:r w:rsidR="00FF39AA">
        <w:rPr>
          <w:rFonts w:ascii="Times New Roman" w:eastAsia="MS Mincho" w:hAnsi="Times New Roman"/>
          <w:sz w:val="24"/>
        </w:rPr>
        <w:t xml:space="preserve"> for a </w:t>
      </w:r>
      <w:r w:rsidRPr="00B5438E">
        <w:rPr>
          <w:rFonts w:ascii="Times New Roman" w:eastAsia="MS Mincho" w:hAnsi="Times New Roman"/>
          <w:sz w:val="24"/>
        </w:rPr>
        <w:t xml:space="preserve">total initial </w:t>
      </w:r>
      <w:r>
        <w:rPr>
          <w:rFonts w:ascii="Times New Roman" w:eastAsia="MS Mincho" w:hAnsi="Times New Roman"/>
          <w:sz w:val="24"/>
        </w:rPr>
        <w:t>burden</w:t>
      </w:r>
      <w:r w:rsidR="00FF39AA">
        <w:rPr>
          <w:rFonts w:ascii="Times New Roman" w:eastAsia="MS Mincho" w:hAnsi="Times New Roman"/>
          <w:sz w:val="24"/>
        </w:rPr>
        <w:t xml:space="preserve"> of</w:t>
      </w:r>
      <w:r w:rsidRPr="00B5438E">
        <w:rPr>
          <w:rFonts w:ascii="Times New Roman" w:eastAsia="MS Mincho" w:hAnsi="Times New Roman"/>
          <w:sz w:val="24"/>
        </w:rPr>
        <w:t xml:space="preserve"> 8,810 hours.</w:t>
      </w:r>
      <w:bookmarkStart w:id="10" w:name="_Ref524622532"/>
      <w:r w:rsidRPr="005403C8">
        <w:rPr>
          <w:rStyle w:val="FootnoteReference"/>
          <w:rFonts w:ascii="Times New Roman" w:hAnsi="Times New Roman"/>
          <w:sz w:val="24"/>
          <w:vertAlign w:val="superscript"/>
        </w:rPr>
        <w:footnoteReference w:id="62"/>
      </w:r>
      <w:bookmarkEnd w:id="10"/>
      <w:r>
        <w:rPr>
          <w:rFonts w:ascii="Times New Roman" w:eastAsia="MS Mincho" w:hAnsi="Times New Roman"/>
          <w:sz w:val="24"/>
        </w:rPr>
        <w:t xml:space="preserve">  </w:t>
      </w:r>
      <w:r w:rsidR="00FF39AA">
        <w:rPr>
          <w:rFonts w:ascii="Times New Roman" w:eastAsia="MS Mincho" w:hAnsi="Times New Roman"/>
          <w:sz w:val="24"/>
        </w:rPr>
        <w:t xml:space="preserve">The total burden would be </w:t>
      </w:r>
      <w:r w:rsidR="00FF39AA">
        <w:rPr>
          <w:rFonts w:ascii="Times New Roman" w:hAnsi="Times New Roman"/>
          <w:sz w:val="24"/>
        </w:rPr>
        <w:t>2,936.67</w:t>
      </w:r>
      <w:r w:rsidR="00FF39AA" w:rsidRPr="005403C8">
        <w:rPr>
          <w:rFonts w:ascii="Times New Roman" w:hAnsi="Times New Roman"/>
          <w:sz w:val="24"/>
        </w:rPr>
        <w:t xml:space="preserve"> hours per year when annualized over three years.</w:t>
      </w:r>
      <w:r w:rsidR="00FF39AA" w:rsidRPr="005403C8">
        <w:rPr>
          <w:rStyle w:val="FootnoteReference"/>
          <w:rFonts w:ascii="Times New Roman" w:hAnsi="Times New Roman"/>
          <w:sz w:val="24"/>
          <w:vertAlign w:val="superscript"/>
        </w:rPr>
        <w:footnoteReference w:id="63"/>
      </w:r>
      <w:r w:rsidR="00FF39AA">
        <w:rPr>
          <w:rFonts w:ascii="Times New Roman" w:hAnsi="Times New Roman"/>
          <w:sz w:val="24"/>
        </w:rPr>
        <w:t xml:space="preserve">  </w:t>
      </w:r>
      <w:r w:rsidRPr="00B5438E">
        <w:rPr>
          <w:rFonts w:ascii="Times New Roman" w:eastAsia="MS Mincho" w:hAnsi="Times New Roman"/>
          <w:sz w:val="24"/>
        </w:rPr>
        <w:t xml:space="preserve">There is no </w:t>
      </w:r>
      <w:r w:rsidR="00FF39AA">
        <w:rPr>
          <w:rFonts w:ascii="Times New Roman" w:eastAsia="MS Mincho" w:hAnsi="Times New Roman"/>
          <w:sz w:val="24"/>
        </w:rPr>
        <w:t xml:space="preserve">ongoing </w:t>
      </w:r>
      <w:r w:rsidRPr="00B5438E">
        <w:rPr>
          <w:rFonts w:ascii="Times New Roman" w:eastAsia="MS Mincho" w:hAnsi="Times New Roman"/>
          <w:sz w:val="24"/>
        </w:rPr>
        <w:t>annual burden associated with this requirement.</w:t>
      </w:r>
    </w:p>
    <w:p w:rsidR="00FF39AA" w:rsidRDefault="00FF39AA" w:rsidP="00B5438E">
      <w:pPr>
        <w:ind w:firstLine="720"/>
        <w:rPr>
          <w:rFonts w:ascii="Times New Roman" w:eastAsia="MS Mincho" w:hAnsi="Times New Roman"/>
          <w:sz w:val="24"/>
        </w:rPr>
      </w:pPr>
    </w:p>
    <w:p w:rsidR="00287278" w:rsidRPr="005403C8" w:rsidRDefault="00465B49" w:rsidP="00B5438E">
      <w:pPr>
        <w:ind w:firstLine="720"/>
        <w:rPr>
          <w:rFonts w:ascii="Times New Roman" w:hAnsi="Times New Roman"/>
          <w:sz w:val="24"/>
        </w:rPr>
      </w:pPr>
      <w:r w:rsidRPr="005403C8">
        <w:rPr>
          <w:rFonts w:ascii="Times New Roman" w:hAnsi="Times New Roman"/>
          <w:b/>
          <w:sz w:val="24"/>
        </w:rPr>
        <w:br w:type="page"/>
      </w:r>
      <w:r w:rsidR="001560A5" w:rsidRPr="005403C8">
        <w:rPr>
          <w:rFonts w:ascii="Times New Roman" w:hAnsi="Times New Roman"/>
          <w:b/>
          <w:sz w:val="24"/>
        </w:rPr>
        <w:t xml:space="preserve">Total </w:t>
      </w:r>
      <w:r w:rsidR="00496677" w:rsidRPr="005403C8">
        <w:rPr>
          <w:rFonts w:ascii="Times New Roman" w:hAnsi="Times New Roman"/>
          <w:b/>
          <w:sz w:val="24"/>
        </w:rPr>
        <w:t xml:space="preserve">Annual </w:t>
      </w:r>
      <w:r w:rsidR="001560A5" w:rsidRPr="005403C8">
        <w:rPr>
          <w:rFonts w:ascii="Times New Roman" w:hAnsi="Times New Roman"/>
          <w:b/>
          <w:sz w:val="24"/>
        </w:rPr>
        <w:t>Hour</w:t>
      </w:r>
      <w:r w:rsidR="00640E1F" w:rsidRPr="005403C8">
        <w:rPr>
          <w:rFonts w:ascii="Times New Roman" w:hAnsi="Times New Roman"/>
          <w:b/>
          <w:sz w:val="24"/>
        </w:rPr>
        <w:t>ly</w:t>
      </w:r>
      <w:r w:rsidR="001560A5" w:rsidRPr="005403C8">
        <w:rPr>
          <w:rFonts w:ascii="Times New Roman" w:hAnsi="Times New Roman"/>
          <w:b/>
          <w:sz w:val="24"/>
        </w:rPr>
        <w:t xml:space="preserve"> Burden</w:t>
      </w:r>
      <w:r w:rsidR="00640E1F" w:rsidRPr="005403C8">
        <w:rPr>
          <w:rFonts w:ascii="Times New Roman" w:hAnsi="Times New Roman"/>
          <w:b/>
          <w:sz w:val="24"/>
        </w:rPr>
        <w:t xml:space="preserve"> for Respondents</w:t>
      </w:r>
      <w:r w:rsidR="001560A5" w:rsidRPr="005403C8">
        <w:rPr>
          <w:rFonts w:ascii="Times New Roman" w:hAnsi="Times New Roman"/>
          <w:b/>
          <w:sz w:val="24"/>
        </w:rPr>
        <w:t xml:space="preserve">: </w:t>
      </w:r>
      <w:r w:rsidR="001D3511">
        <w:rPr>
          <w:rFonts w:ascii="Times New Roman" w:hAnsi="Times New Roman"/>
          <w:b/>
          <w:color w:val="000000"/>
          <w:sz w:val="24"/>
        </w:rPr>
        <w:t>229,784.3</w:t>
      </w:r>
      <w:r w:rsidR="00C41384">
        <w:rPr>
          <w:rFonts w:ascii="Times New Roman" w:hAnsi="Times New Roman"/>
          <w:b/>
          <w:color w:val="000000"/>
          <w:sz w:val="24"/>
        </w:rPr>
        <w:t>3</w:t>
      </w:r>
      <w:r w:rsidR="00496677" w:rsidRPr="005403C8">
        <w:rPr>
          <w:rFonts w:ascii="Times New Roman" w:hAnsi="Times New Roman"/>
          <w:b/>
          <w:color w:val="000000"/>
          <w:sz w:val="24"/>
        </w:rPr>
        <w:t xml:space="preserve"> hours</w:t>
      </w:r>
    </w:p>
    <w:p w:rsidR="001560A5" w:rsidRPr="005403C8" w:rsidRDefault="001560A5" w:rsidP="00287278">
      <w:pPr>
        <w:ind w:firstLine="720"/>
        <w:rPr>
          <w:rFonts w:ascii="Times New Roman" w:hAnsi="Times New Roman"/>
          <w:b/>
          <w:sz w:val="24"/>
        </w:rPr>
      </w:pPr>
    </w:p>
    <w:tbl>
      <w:tblPr>
        <w:tblW w:w="11466" w:type="dxa"/>
        <w:jc w:val="center"/>
        <w:tblInd w:w="93" w:type="dxa"/>
        <w:tblLook w:val="04A0" w:firstRow="1" w:lastRow="0" w:firstColumn="1" w:lastColumn="0" w:noHBand="0" w:noVBand="1"/>
      </w:tblPr>
      <w:tblGrid>
        <w:gridCol w:w="1192"/>
        <w:gridCol w:w="1536"/>
        <w:gridCol w:w="1021"/>
        <w:gridCol w:w="810"/>
        <w:gridCol w:w="743"/>
        <w:gridCol w:w="925"/>
        <w:gridCol w:w="990"/>
        <w:gridCol w:w="829"/>
        <w:gridCol w:w="971"/>
        <w:gridCol w:w="900"/>
        <w:gridCol w:w="846"/>
        <w:gridCol w:w="703"/>
      </w:tblGrid>
      <w:tr w:rsidR="00CD19A9" w:rsidRPr="005403C8" w:rsidTr="00A27DB9">
        <w:trPr>
          <w:trHeight w:val="179"/>
          <w:tblHeader/>
          <w:jc w:val="center"/>
        </w:trPr>
        <w:tc>
          <w:tcPr>
            <w:tcW w:w="1192" w:type="dxa"/>
            <w:tcBorders>
              <w:top w:val="single" w:sz="4" w:space="0" w:color="auto"/>
              <w:left w:val="single" w:sz="4" w:space="0" w:color="auto"/>
              <w:bottom w:val="single" w:sz="4" w:space="0" w:color="auto"/>
              <w:right w:val="single" w:sz="6" w:space="0" w:color="auto"/>
            </w:tcBorders>
            <w:shd w:val="clear" w:color="auto" w:fill="D9D9D9"/>
            <w:noWrap/>
            <w:vAlign w:val="center"/>
            <w:hideMark/>
          </w:tcPr>
          <w:p w:rsidR="00CD19A9" w:rsidRPr="005403C8" w:rsidRDefault="00CD19A9" w:rsidP="00C639B4">
            <w:pPr>
              <w:jc w:val="center"/>
              <w:rPr>
                <w:rFonts w:ascii="Times New Roman" w:hAnsi="Times New Roman"/>
                <w:b/>
                <w:bCs/>
                <w:color w:val="000000"/>
                <w:sz w:val="12"/>
                <w:szCs w:val="12"/>
              </w:rPr>
            </w:pPr>
            <w:r w:rsidRPr="005403C8">
              <w:rPr>
                <w:rFonts w:ascii="Times New Roman" w:hAnsi="Times New Roman"/>
                <w:b/>
                <w:bCs/>
                <w:color w:val="000000"/>
                <w:sz w:val="12"/>
                <w:szCs w:val="12"/>
              </w:rPr>
              <w:t> </w:t>
            </w:r>
          </w:p>
        </w:tc>
        <w:tc>
          <w:tcPr>
            <w:tcW w:w="1536" w:type="dxa"/>
            <w:tcBorders>
              <w:top w:val="single" w:sz="4" w:space="0" w:color="auto"/>
              <w:left w:val="single" w:sz="6" w:space="0" w:color="auto"/>
              <w:bottom w:val="single" w:sz="4" w:space="0" w:color="auto"/>
              <w:right w:val="single" w:sz="6" w:space="0" w:color="auto"/>
            </w:tcBorders>
            <w:shd w:val="clear" w:color="auto" w:fill="D9D9D9"/>
            <w:noWrap/>
            <w:vAlign w:val="bottom"/>
            <w:hideMark/>
          </w:tcPr>
          <w:p w:rsidR="00CD19A9" w:rsidRPr="005403C8" w:rsidRDefault="00CD19A9" w:rsidP="00C639B4">
            <w:pPr>
              <w:jc w:val="center"/>
              <w:rPr>
                <w:rFonts w:ascii="Times New Roman" w:hAnsi="Times New Roman"/>
                <w:b/>
                <w:bCs/>
                <w:color w:val="000000"/>
                <w:sz w:val="12"/>
                <w:szCs w:val="12"/>
              </w:rPr>
            </w:pPr>
            <w:r w:rsidRPr="005403C8">
              <w:rPr>
                <w:rFonts w:ascii="Times New Roman" w:hAnsi="Times New Roman"/>
                <w:b/>
                <w:bCs/>
                <w:color w:val="000000"/>
                <w:sz w:val="12"/>
                <w:szCs w:val="12"/>
              </w:rPr>
              <w:t> </w:t>
            </w:r>
          </w:p>
        </w:tc>
        <w:tc>
          <w:tcPr>
            <w:tcW w:w="1021" w:type="dxa"/>
            <w:tcBorders>
              <w:top w:val="single" w:sz="4" w:space="0" w:color="auto"/>
              <w:left w:val="single" w:sz="6" w:space="0" w:color="auto"/>
              <w:bottom w:val="single" w:sz="4" w:space="0" w:color="auto"/>
              <w:right w:val="single" w:sz="6" w:space="0" w:color="auto"/>
            </w:tcBorders>
            <w:shd w:val="clear" w:color="auto" w:fill="D9D9D9"/>
            <w:noWrap/>
            <w:vAlign w:val="bottom"/>
            <w:hideMark/>
          </w:tcPr>
          <w:p w:rsidR="00CD19A9" w:rsidRPr="005403C8" w:rsidRDefault="00CD19A9" w:rsidP="00C639B4">
            <w:pPr>
              <w:jc w:val="center"/>
              <w:rPr>
                <w:rFonts w:ascii="Times New Roman" w:hAnsi="Times New Roman"/>
                <w:color w:val="FF0000"/>
                <w:sz w:val="12"/>
                <w:szCs w:val="12"/>
              </w:rPr>
            </w:pPr>
          </w:p>
        </w:tc>
        <w:tc>
          <w:tcPr>
            <w:tcW w:w="810" w:type="dxa"/>
            <w:tcBorders>
              <w:top w:val="single" w:sz="4" w:space="0" w:color="auto"/>
              <w:left w:val="single" w:sz="6" w:space="0" w:color="auto"/>
              <w:bottom w:val="single" w:sz="4" w:space="0" w:color="auto"/>
              <w:right w:val="single" w:sz="6" w:space="0" w:color="auto"/>
            </w:tcBorders>
            <w:shd w:val="clear" w:color="auto" w:fill="D9D9D9"/>
            <w:vAlign w:val="bottom"/>
          </w:tcPr>
          <w:p w:rsidR="00CD19A9" w:rsidRPr="005403C8" w:rsidRDefault="002769F3" w:rsidP="002769F3">
            <w:pPr>
              <w:jc w:val="center"/>
              <w:rPr>
                <w:rFonts w:ascii="Times New Roman" w:hAnsi="Times New Roman"/>
                <w:color w:val="FF0000"/>
                <w:sz w:val="12"/>
                <w:szCs w:val="12"/>
              </w:rPr>
            </w:pPr>
            <w:r w:rsidRPr="005403C8">
              <w:rPr>
                <w:rFonts w:ascii="Times New Roman" w:hAnsi="Times New Roman"/>
                <w:color w:val="FF0000"/>
                <w:sz w:val="12"/>
                <w:szCs w:val="12"/>
              </w:rPr>
              <w:t>A.</w:t>
            </w:r>
          </w:p>
        </w:tc>
        <w:tc>
          <w:tcPr>
            <w:tcW w:w="743" w:type="dxa"/>
            <w:tcBorders>
              <w:top w:val="single" w:sz="4" w:space="0" w:color="auto"/>
              <w:left w:val="single" w:sz="6" w:space="0" w:color="auto"/>
              <w:bottom w:val="single" w:sz="4" w:space="0" w:color="auto"/>
              <w:right w:val="single" w:sz="6" w:space="0" w:color="auto"/>
            </w:tcBorders>
            <w:shd w:val="clear" w:color="auto" w:fill="D9D9D9"/>
            <w:noWrap/>
            <w:vAlign w:val="bottom"/>
            <w:hideMark/>
          </w:tcPr>
          <w:p w:rsidR="00CD19A9" w:rsidRPr="005403C8" w:rsidRDefault="00CD19A9" w:rsidP="00C639B4">
            <w:pPr>
              <w:jc w:val="center"/>
              <w:rPr>
                <w:rFonts w:ascii="Times New Roman" w:hAnsi="Times New Roman"/>
                <w:color w:val="FF0000"/>
                <w:sz w:val="12"/>
                <w:szCs w:val="12"/>
              </w:rPr>
            </w:pPr>
            <w:r w:rsidRPr="005403C8">
              <w:rPr>
                <w:rFonts w:ascii="Times New Roman" w:hAnsi="Times New Roman"/>
                <w:color w:val="FF0000"/>
                <w:sz w:val="12"/>
                <w:szCs w:val="12"/>
              </w:rPr>
              <w:t>B.</w:t>
            </w:r>
          </w:p>
        </w:tc>
        <w:tc>
          <w:tcPr>
            <w:tcW w:w="925" w:type="dxa"/>
            <w:tcBorders>
              <w:top w:val="single" w:sz="4" w:space="0" w:color="auto"/>
              <w:left w:val="single" w:sz="6" w:space="0" w:color="auto"/>
              <w:bottom w:val="single" w:sz="4" w:space="0" w:color="auto"/>
              <w:right w:val="single" w:sz="6" w:space="0" w:color="auto"/>
            </w:tcBorders>
            <w:shd w:val="clear" w:color="auto" w:fill="D9D9D9"/>
            <w:noWrap/>
            <w:vAlign w:val="bottom"/>
            <w:hideMark/>
          </w:tcPr>
          <w:p w:rsidR="00CD19A9" w:rsidRPr="005403C8" w:rsidRDefault="00CD19A9" w:rsidP="00C639B4">
            <w:pPr>
              <w:jc w:val="center"/>
              <w:rPr>
                <w:rFonts w:ascii="Times New Roman" w:hAnsi="Times New Roman"/>
                <w:color w:val="FF0000"/>
                <w:sz w:val="12"/>
                <w:szCs w:val="12"/>
              </w:rPr>
            </w:pPr>
            <w:r w:rsidRPr="005403C8">
              <w:rPr>
                <w:rFonts w:ascii="Times New Roman" w:hAnsi="Times New Roman"/>
                <w:color w:val="FF0000"/>
                <w:sz w:val="12"/>
                <w:szCs w:val="12"/>
              </w:rPr>
              <w:t>C.</w:t>
            </w:r>
          </w:p>
        </w:tc>
        <w:tc>
          <w:tcPr>
            <w:tcW w:w="990" w:type="dxa"/>
            <w:tcBorders>
              <w:top w:val="single" w:sz="4" w:space="0" w:color="auto"/>
              <w:left w:val="single" w:sz="6" w:space="0" w:color="auto"/>
              <w:bottom w:val="single" w:sz="4" w:space="0" w:color="auto"/>
              <w:right w:val="single" w:sz="6" w:space="0" w:color="auto"/>
            </w:tcBorders>
            <w:shd w:val="clear" w:color="auto" w:fill="D9D9D9"/>
            <w:noWrap/>
            <w:vAlign w:val="bottom"/>
            <w:hideMark/>
          </w:tcPr>
          <w:p w:rsidR="00CD19A9" w:rsidRPr="005403C8" w:rsidRDefault="00CD19A9" w:rsidP="00C639B4">
            <w:pPr>
              <w:jc w:val="center"/>
              <w:rPr>
                <w:rFonts w:ascii="Times New Roman" w:hAnsi="Times New Roman"/>
                <w:color w:val="FF0000"/>
                <w:sz w:val="12"/>
                <w:szCs w:val="12"/>
              </w:rPr>
            </w:pPr>
            <w:r w:rsidRPr="005403C8">
              <w:rPr>
                <w:rFonts w:ascii="Times New Roman" w:hAnsi="Times New Roman"/>
                <w:color w:val="FF0000"/>
                <w:sz w:val="12"/>
                <w:szCs w:val="12"/>
              </w:rPr>
              <w:t xml:space="preserve">D. </w:t>
            </w:r>
          </w:p>
        </w:tc>
        <w:tc>
          <w:tcPr>
            <w:tcW w:w="829" w:type="dxa"/>
            <w:tcBorders>
              <w:top w:val="single" w:sz="4" w:space="0" w:color="auto"/>
              <w:left w:val="single" w:sz="6" w:space="0" w:color="auto"/>
              <w:bottom w:val="single" w:sz="4" w:space="0" w:color="auto"/>
              <w:right w:val="single" w:sz="6" w:space="0" w:color="auto"/>
            </w:tcBorders>
            <w:shd w:val="clear" w:color="auto" w:fill="D9D9D9"/>
            <w:noWrap/>
            <w:vAlign w:val="bottom"/>
            <w:hideMark/>
          </w:tcPr>
          <w:p w:rsidR="00CD19A9" w:rsidRPr="005403C8" w:rsidRDefault="00CD19A9" w:rsidP="00C639B4">
            <w:pPr>
              <w:jc w:val="center"/>
              <w:rPr>
                <w:rFonts w:ascii="Times New Roman" w:hAnsi="Times New Roman"/>
                <w:color w:val="FF0000"/>
                <w:sz w:val="12"/>
                <w:szCs w:val="12"/>
              </w:rPr>
            </w:pPr>
            <w:r w:rsidRPr="005403C8">
              <w:rPr>
                <w:rFonts w:ascii="Times New Roman" w:hAnsi="Times New Roman"/>
                <w:color w:val="FF0000"/>
                <w:sz w:val="12"/>
                <w:szCs w:val="12"/>
              </w:rPr>
              <w:t>E.</w:t>
            </w:r>
          </w:p>
        </w:tc>
        <w:tc>
          <w:tcPr>
            <w:tcW w:w="971" w:type="dxa"/>
            <w:tcBorders>
              <w:top w:val="single" w:sz="4" w:space="0" w:color="auto"/>
              <w:left w:val="single" w:sz="6" w:space="0" w:color="auto"/>
              <w:bottom w:val="single" w:sz="4" w:space="0" w:color="auto"/>
              <w:right w:val="single" w:sz="6" w:space="0" w:color="auto"/>
            </w:tcBorders>
            <w:shd w:val="clear" w:color="auto" w:fill="D9D9D9"/>
            <w:noWrap/>
            <w:vAlign w:val="bottom"/>
            <w:hideMark/>
          </w:tcPr>
          <w:p w:rsidR="00CD19A9" w:rsidRPr="005403C8" w:rsidRDefault="00CD19A9" w:rsidP="00C639B4">
            <w:pPr>
              <w:jc w:val="center"/>
              <w:rPr>
                <w:rFonts w:ascii="Times New Roman" w:hAnsi="Times New Roman"/>
                <w:color w:val="FF0000"/>
                <w:sz w:val="12"/>
                <w:szCs w:val="12"/>
              </w:rPr>
            </w:pPr>
            <w:r w:rsidRPr="005403C8">
              <w:rPr>
                <w:rFonts w:ascii="Times New Roman" w:hAnsi="Times New Roman"/>
                <w:color w:val="FF0000"/>
                <w:sz w:val="12"/>
                <w:szCs w:val="12"/>
              </w:rPr>
              <w:t>F.</w:t>
            </w:r>
          </w:p>
        </w:tc>
        <w:tc>
          <w:tcPr>
            <w:tcW w:w="900" w:type="dxa"/>
            <w:tcBorders>
              <w:top w:val="single" w:sz="4" w:space="0" w:color="auto"/>
              <w:left w:val="single" w:sz="6" w:space="0" w:color="auto"/>
              <w:bottom w:val="single" w:sz="4" w:space="0" w:color="auto"/>
              <w:right w:val="single" w:sz="6" w:space="0" w:color="auto"/>
            </w:tcBorders>
            <w:shd w:val="clear" w:color="auto" w:fill="D9D9D9"/>
            <w:noWrap/>
            <w:vAlign w:val="bottom"/>
            <w:hideMark/>
          </w:tcPr>
          <w:p w:rsidR="00CD19A9" w:rsidRPr="005403C8" w:rsidRDefault="00CD19A9" w:rsidP="00C639B4">
            <w:pPr>
              <w:jc w:val="center"/>
              <w:rPr>
                <w:rFonts w:ascii="Times New Roman" w:hAnsi="Times New Roman"/>
                <w:color w:val="FF0000"/>
                <w:sz w:val="12"/>
                <w:szCs w:val="12"/>
              </w:rPr>
            </w:pPr>
            <w:r w:rsidRPr="005403C8">
              <w:rPr>
                <w:rFonts w:ascii="Times New Roman" w:hAnsi="Times New Roman"/>
                <w:color w:val="FF0000"/>
                <w:sz w:val="12"/>
                <w:szCs w:val="12"/>
              </w:rPr>
              <w:t>G.</w:t>
            </w:r>
          </w:p>
        </w:tc>
        <w:tc>
          <w:tcPr>
            <w:tcW w:w="846" w:type="dxa"/>
            <w:tcBorders>
              <w:top w:val="single" w:sz="4" w:space="0" w:color="auto"/>
              <w:left w:val="single" w:sz="6" w:space="0" w:color="auto"/>
              <w:bottom w:val="single" w:sz="4" w:space="0" w:color="auto"/>
              <w:right w:val="single" w:sz="6" w:space="0" w:color="auto"/>
            </w:tcBorders>
            <w:shd w:val="clear" w:color="auto" w:fill="D9D9D9"/>
            <w:noWrap/>
            <w:vAlign w:val="bottom"/>
            <w:hideMark/>
          </w:tcPr>
          <w:p w:rsidR="00CD19A9" w:rsidRPr="005403C8" w:rsidRDefault="00CD19A9" w:rsidP="00C639B4">
            <w:pPr>
              <w:rPr>
                <w:rFonts w:ascii="Times New Roman" w:eastAsia="Calibri" w:hAnsi="Times New Roman"/>
                <w:szCs w:val="20"/>
              </w:rPr>
            </w:pPr>
          </w:p>
        </w:tc>
        <w:tc>
          <w:tcPr>
            <w:tcW w:w="703" w:type="dxa"/>
            <w:tcBorders>
              <w:top w:val="single" w:sz="4" w:space="0" w:color="auto"/>
              <w:left w:val="single" w:sz="6" w:space="0" w:color="auto"/>
              <w:bottom w:val="single" w:sz="4" w:space="0" w:color="auto"/>
              <w:right w:val="single" w:sz="4" w:space="0" w:color="auto"/>
            </w:tcBorders>
            <w:shd w:val="clear" w:color="auto" w:fill="D9D9D9"/>
            <w:noWrap/>
            <w:vAlign w:val="bottom"/>
            <w:hideMark/>
          </w:tcPr>
          <w:p w:rsidR="00CD19A9" w:rsidRPr="005403C8" w:rsidRDefault="00CD19A9" w:rsidP="00C639B4">
            <w:pPr>
              <w:rPr>
                <w:rFonts w:ascii="Times New Roman" w:hAnsi="Times New Roman"/>
                <w:color w:val="000000"/>
                <w:sz w:val="12"/>
                <w:szCs w:val="12"/>
              </w:rPr>
            </w:pPr>
            <w:r w:rsidRPr="005403C8">
              <w:rPr>
                <w:rFonts w:ascii="Times New Roman" w:hAnsi="Times New Roman"/>
                <w:color w:val="000000"/>
                <w:sz w:val="12"/>
                <w:szCs w:val="12"/>
              </w:rPr>
              <w:t> </w:t>
            </w:r>
          </w:p>
        </w:tc>
      </w:tr>
      <w:tr w:rsidR="00CD19A9" w:rsidRPr="005403C8" w:rsidTr="00A27DB9">
        <w:trPr>
          <w:trHeight w:val="683"/>
          <w:tblHeader/>
          <w:jc w:val="center"/>
        </w:trPr>
        <w:tc>
          <w:tcPr>
            <w:tcW w:w="1192" w:type="dxa"/>
            <w:tcBorders>
              <w:top w:val="single" w:sz="4" w:space="0" w:color="auto"/>
              <w:left w:val="single" w:sz="8" w:space="0" w:color="auto"/>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b/>
                <w:bCs/>
                <w:color w:val="000000"/>
                <w:sz w:val="12"/>
                <w:szCs w:val="12"/>
              </w:rPr>
            </w:pPr>
            <w:r w:rsidRPr="005403C8">
              <w:rPr>
                <w:rFonts w:ascii="Times New Roman" w:hAnsi="Times New Roman"/>
                <w:b/>
                <w:bCs/>
                <w:color w:val="000000"/>
                <w:sz w:val="12"/>
                <w:szCs w:val="12"/>
              </w:rPr>
              <w:t>Name of Information Collection</w:t>
            </w:r>
          </w:p>
        </w:tc>
        <w:tc>
          <w:tcPr>
            <w:tcW w:w="1536" w:type="dxa"/>
            <w:tcBorders>
              <w:top w:val="single" w:sz="4" w:space="0" w:color="auto"/>
              <w:left w:val="nil"/>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b/>
                <w:bCs/>
                <w:color w:val="000000"/>
                <w:sz w:val="12"/>
                <w:szCs w:val="12"/>
              </w:rPr>
            </w:pPr>
            <w:r w:rsidRPr="005403C8">
              <w:rPr>
                <w:rFonts w:ascii="Times New Roman" w:hAnsi="Times New Roman"/>
                <w:b/>
                <w:bCs/>
                <w:color w:val="000000"/>
                <w:sz w:val="12"/>
                <w:szCs w:val="12"/>
              </w:rPr>
              <w:t>Type of Burden</w:t>
            </w:r>
          </w:p>
        </w:tc>
        <w:tc>
          <w:tcPr>
            <w:tcW w:w="1021" w:type="dxa"/>
            <w:tcBorders>
              <w:top w:val="single" w:sz="4" w:space="0" w:color="auto"/>
              <w:left w:val="nil"/>
              <w:bottom w:val="single" w:sz="4" w:space="0" w:color="auto"/>
              <w:right w:val="single" w:sz="4" w:space="0" w:color="auto"/>
            </w:tcBorders>
            <w:shd w:val="clear" w:color="auto" w:fill="D9D9D9"/>
            <w:vAlign w:val="center"/>
            <w:hideMark/>
          </w:tcPr>
          <w:p w:rsidR="00CD19A9" w:rsidRPr="005403C8" w:rsidRDefault="002769F3" w:rsidP="00C639B4">
            <w:pPr>
              <w:jc w:val="center"/>
              <w:rPr>
                <w:rFonts w:ascii="Times New Roman" w:hAnsi="Times New Roman"/>
                <w:b/>
                <w:bCs/>
                <w:color w:val="000000"/>
                <w:sz w:val="12"/>
                <w:szCs w:val="12"/>
              </w:rPr>
            </w:pPr>
            <w:r w:rsidRPr="005403C8">
              <w:rPr>
                <w:rFonts w:ascii="Times New Roman" w:hAnsi="Times New Roman"/>
                <w:b/>
                <w:bCs/>
                <w:color w:val="000000"/>
                <w:sz w:val="12"/>
                <w:szCs w:val="12"/>
              </w:rPr>
              <w:t>Burden Description</w:t>
            </w:r>
          </w:p>
        </w:tc>
        <w:tc>
          <w:tcPr>
            <w:tcW w:w="810" w:type="dxa"/>
            <w:tcBorders>
              <w:top w:val="single" w:sz="4" w:space="0" w:color="auto"/>
              <w:left w:val="nil"/>
              <w:bottom w:val="single" w:sz="6" w:space="0" w:color="auto"/>
              <w:right w:val="single" w:sz="4" w:space="0" w:color="auto"/>
            </w:tcBorders>
            <w:shd w:val="clear" w:color="auto" w:fill="D9D9D9"/>
            <w:vAlign w:val="center"/>
          </w:tcPr>
          <w:p w:rsidR="00CD19A9" w:rsidRPr="005403C8" w:rsidRDefault="002769F3" w:rsidP="00CD19A9">
            <w:pPr>
              <w:jc w:val="center"/>
              <w:rPr>
                <w:rFonts w:ascii="Times New Roman" w:hAnsi="Times New Roman"/>
                <w:b/>
                <w:bCs/>
                <w:color w:val="000000"/>
                <w:sz w:val="12"/>
                <w:szCs w:val="12"/>
              </w:rPr>
            </w:pPr>
            <w:r w:rsidRPr="005403C8">
              <w:rPr>
                <w:rFonts w:ascii="Times New Roman" w:hAnsi="Times New Roman"/>
                <w:b/>
                <w:bCs/>
                <w:color w:val="000000"/>
                <w:sz w:val="12"/>
                <w:szCs w:val="12"/>
              </w:rPr>
              <w:t>Number of Entities Impacted</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b/>
                <w:bCs/>
                <w:color w:val="000000"/>
                <w:sz w:val="12"/>
                <w:szCs w:val="12"/>
              </w:rPr>
            </w:pPr>
            <w:r w:rsidRPr="005403C8">
              <w:rPr>
                <w:rFonts w:ascii="Times New Roman" w:hAnsi="Times New Roman"/>
                <w:b/>
                <w:bCs/>
                <w:color w:val="000000"/>
                <w:sz w:val="12"/>
                <w:szCs w:val="12"/>
              </w:rPr>
              <w:t>Annual Responses per Entity</w:t>
            </w:r>
          </w:p>
        </w:tc>
        <w:tc>
          <w:tcPr>
            <w:tcW w:w="925" w:type="dxa"/>
            <w:tcBorders>
              <w:top w:val="single" w:sz="4" w:space="0" w:color="auto"/>
              <w:left w:val="nil"/>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b/>
                <w:bCs/>
                <w:color w:val="000000"/>
                <w:sz w:val="12"/>
                <w:szCs w:val="12"/>
              </w:rPr>
            </w:pPr>
            <w:r w:rsidRPr="005403C8">
              <w:rPr>
                <w:rFonts w:ascii="Times New Roman" w:hAnsi="Times New Roman"/>
                <w:b/>
                <w:bCs/>
                <w:color w:val="000000"/>
                <w:sz w:val="12"/>
                <w:szCs w:val="12"/>
              </w:rPr>
              <w:t>Initial Burden per Entity per Response</w:t>
            </w:r>
          </w:p>
        </w:tc>
        <w:tc>
          <w:tcPr>
            <w:tcW w:w="990" w:type="dxa"/>
            <w:tcBorders>
              <w:top w:val="single" w:sz="4" w:space="0" w:color="auto"/>
              <w:left w:val="nil"/>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b/>
                <w:bCs/>
                <w:color w:val="000000"/>
                <w:sz w:val="12"/>
                <w:szCs w:val="12"/>
              </w:rPr>
            </w:pPr>
            <w:r w:rsidRPr="005403C8">
              <w:rPr>
                <w:rFonts w:ascii="Times New Roman" w:hAnsi="Times New Roman"/>
                <w:b/>
                <w:bCs/>
                <w:color w:val="000000"/>
                <w:sz w:val="12"/>
                <w:szCs w:val="12"/>
              </w:rPr>
              <w:t>Initial Burden Annualized per Entity per Response</w:t>
            </w:r>
          </w:p>
        </w:tc>
        <w:tc>
          <w:tcPr>
            <w:tcW w:w="829" w:type="dxa"/>
            <w:tcBorders>
              <w:top w:val="single" w:sz="4" w:space="0" w:color="auto"/>
              <w:left w:val="nil"/>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b/>
                <w:bCs/>
                <w:color w:val="000000"/>
                <w:sz w:val="12"/>
                <w:szCs w:val="12"/>
              </w:rPr>
            </w:pPr>
            <w:r w:rsidRPr="005403C8">
              <w:rPr>
                <w:rFonts w:ascii="Times New Roman" w:hAnsi="Times New Roman"/>
                <w:b/>
                <w:bCs/>
                <w:color w:val="000000"/>
                <w:sz w:val="12"/>
                <w:szCs w:val="12"/>
              </w:rPr>
              <w:t>Ongoing Burden per Entity per Response</w:t>
            </w:r>
          </w:p>
        </w:tc>
        <w:tc>
          <w:tcPr>
            <w:tcW w:w="971" w:type="dxa"/>
            <w:tcBorders>
              <w:top w:val="single" w:sz="4" w:space="0" w:color="auto"/>
              <w:left w:val="nil"/>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b/>
                <w:bCs/>
                <w:color w:val="000000"/>
                <w:sz w:val="12"/>
                <w:szCs w:val="12"/>
              </w:rPr>
            </w:pPr>
            <w:r w:rsidRPr="005403C8">
              <w:rPr>
                <w:rFonts w:ascii="Times New Roman" w:hAnsi="Times New Roman"/>
                <w:b/>
                <w:bCs/>
                <w:color w:val="000000"/>
                <w:sz w:val="12"/>
                <w:szCs w:val="12"/>
              </w:rPr>
              <w:t>Annual Burden Per Entity per Response</w:t>
            </w:r>
          </w:p>
        </w:tc>
        <w:tc>
          <w:tcPr>
            <w:tcW w:w="900" w:type="dxa"/>
            <w:tcBorders>
              <w:top w:val="single" w:sz="4" w:space="0" w:color="auto"/>
              <w:left w:val="nil"/>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b/>
                <w:bCs/>
                <w:color w:val="000000"/>
                <w:sz w:val="12"/>
                <w:szCs w:val="12"/>
              </w:rPr>
            </w:pPr>
            <w:r w:rsidRPr="005403C8">
              <w:rPr>
                <w:rFonts w:ascii="Times New Roman" w:hAnsi="Times New Roman"/>
                <w:b/>
                <w:bCs/>
                <w:color w:val="000000"/>
                <w:sz w:val="12"/>
                <w:szCs w:val="12"/>
              </w:rPr>
              <w:t>Total Annual Burden Per Entity</w:t>
            </w:r>
          </w:p>
        </w:tc>
        <w:tc>
          <w:tcPr>
            <w:tcW w:w="846" w:type="dxa"/>
            <w:tcBorders>
              <w:top w:val="single" w:sz="4" w:space="0" w:color="auto"/>
              <w:left w:val="nil"/>
              <w:bottom w:val="single" w:sz="4" w:space="0" w:color="auto"/>
              <w:right w:val="single" w:sz="4" w:space="0" w:color="auto"/>
            </w:tcBorders>
            <w:shd w:val="clear" w:color="auto" w:fill="D9D9D9"/>
            <w:vAlign w:val="center"/>
            <w:hideMark/>
          </w:tcPr>
          <w:p w:rsidR="00CD19A9" w:rsidRPr="005403C8" w:rsidRDefault="00CD19A9" w:rsidP="00485DEA">
            <w:pPr>
              <w:jc w:val="center"/>
              <w:rPr>
                <w:rFonts w:ascii="Times New Roman" w:hAnsi="Times New Roman"/>
                <w:b/>
                <w:bCs/>
                <w:color w:val="000000"/>
                <w:sz w:val="12"/>
                <w:szCs w:val="12"/>
              </w:rPr>
            </w:pPr>
            <w:r w:rsidRPr="005403C8">
              <w:rPr>
                <w:rFonts w:ascii="Times New Roman" w:hAnsi="Times New Roman"/>
                <w:b/>
                <w:bCs/>
                <w:color w:val="000000"/>
                <w:sz w:val="12"/>
                <w:szCs w:val="12"/>
              </w:rPr>
              <w:t xml:space="preserve">Total </w:t>
            </w:r>
            <w:r w:rsidR="00AA0B3E" w:rsidRPr="005403C8">
              <w:rPr>
                <w:rFonts w:ascii="Times New Roman" w:hAnsi="Times New Roman"/>
                <w:b/>
                <w:bCs/>
                <w:color w:val="000000"/>
                <w:sz w:val="12"/>
                <w:szCs w:val="12"/>
              </w:rPr>
              <w:t xml:space="preserve">Annual </w:t>
            </w:r>
            <w:r w:rsidRPr="005403C8">
              <w:rPr>
                <w:rFonts w:ascii="Times New Roman" w:hAnsi="Times New Roman"/>
                <w:b/>
                <w:bCs/>
                <w:color w:val="000000"/>
                <w:sz w:val="12"/>
                <w:szCs w:val="12"/>
              </w:rPr>
              <w:t xml:space="preserve">Burden                  </w:t>
            </w:r>
          </w:p>
        </w:tc>
        <w:tc>
          <w:tcPr>
            <w:tcW w:w="703" w:type="dxa"/>
            <w:tcBorders>
              <w:top w:val="single" w:sz="4" w:space="0" w:color="auto"/>
              <w:left w:val="nil"/>
              <w:bottom w:val="single" w:sz="4" w:space="0" w:color="auto"/>
              <w:right w:val="single" w:sz="8" w:space="0" w:color="auto"/>
            </w:tcBorders>
            <w:shd w:val="clear" w:color="auto" w:fill="D9D9D9"/>
            <w:vAlign w:val="center"/>
            <w:hideMark/>
          </w:tcPr>
          <w:p w:rsidR="00CD19A9" w:rsidRPr="005403C8" w:rsidRDefault="00CD19A9" w:rsidP="00C639B4">
            <w:pPr>
              <w:jc w:val="center"/>
              <w:rPr>
                <w:rFonts w:ascii="Times New Roman" w:hAnsi="Times New Roman"/>
                <w:b/>
                <w:bCs/>
                <w:color w:val="000000"/>
                <w:sz w:val="12"/>
                <w:szCs w:val="12"/>
              </w:rPr>
            </w:pPr>
            <w:r w:rsidRPr="005403C8">
              <w:rPr>
                <w:rFonts w:ascii="Times New Roman" w:hAnsi="Times New Roman"/>
                <w:b/>
                <w:bCs/>
                <w:color w:val="000000"/>
                <w:sz w:val="12"/>
                <w:szCs w:val="12"/>
              </w:rPr>
              <w:t xml:space="preserve"> Small Business Entities Affected</w:t>
            </w:r>
          </w:p>
        </w:tc>
      </w:tr>
      <w:tr w:rsidR="00CD19A9" w:rsidRPr="005403C8" w:rsidTr="00A27DB9">
        <w:trPr>
          <w:trHeight w:val="264"/>
          <w:tblHeader/>
          <w:jc w:val="center"/>
        </w:trPr>
        <w:tc>
          <w:tcPr>
            <w:tcW w:w="1192" w:type="dxa"/>
            <w:tcBorders>
              <w:top w:val="nil"/>
              <w:left w:val="single" w:sz="8" w:space="0" w:color="auto"/>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color w:val="FF0000"/>
                <w:sz w:val="12"/>
                <w:szCs w:val="12"/>
              </w:rPr>
            </w:pPr>
            <w:r w:rsidRPr="005403C8">
              <w:rPr>
                <w:rFonts w:ascii="Times New Roman" w:hAnsi="Times New Roman"/>
                <w:color w:val="FF0000"/>
                <w:sz w:val="12"/>
                <w:szCs w:val="12"/>
              </w:rPr>
              <w:t> </w:t>
            </w:r>
          </w:p>
        </w:tc>
        <w:tc>
          <w:tcPr>
            <w:tcW w:w="1536" w:type="dxa"/>
            <w:tcBorders>
              <w:top w:val="nil"/>
              <w:left w:val="nil"/>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color w:val="FF0000"/>
                <w:sz w:val="12"/>
                <w:szCs w:val="12"/>
              </w:rPr>
            </w:pPr>
            <w:r w:rsidRPr="005403C8">
              <w:rPr>
                <w:rFonts w:ascii="Times New Roman" w:hAnsi="Times New Roman"/>
                <w:color w:val="FF0000"/>
                <w:sz w:val="12"/>
                <w:szCs w:val="12"/>
              </w:rPr>
              <w:t> </w:t>
            </w:r>
          </w:p>
        </w:tc>
        <w:tc>
          <w:tcPr>
            <w:tcW w:w="1021" w:type="dxa"/>
            <w:tcBorders>
              <w:top w:val="nil"/>
              <w:left w:val="nil"/>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color w:val="FF0000"/>
                <w:sz w:val="12"/>
                <w:szCs w:val="12"/>
              </w:rPr>
            </w:pPr>
            <w:r w:rsidRPr="005403C8">
              <w:rPr>
                <w:rFonts w:ascii="Times New Roman" w:hAnsi="Times New Roman"/>
                <w:color w:val="FF0000"/>
                <w:sz w:val="12"/>
                <w:szCs w:val="12"/>
              </w:rPr>
              <w:t> </w:t>
            </w:r>
          </w:p>
        </w:tc>
        <w:tc>
          <w:tcPr>
            <w:tcW w:w="810" w:type="dxa"/>
            <w:tcBorders>
              <w:top w:val="single" w:sz="6" w:space="0" w:color="auto"/>
              <w:left w:val="nil"/>
              <w:bottom w:val="single" w:sz="6" w:space="0" w:color="auto"/>
              <w:right w:val="single" w:sz="4" w:space="0" w:color="auto"/>
            </w:tcBorders>
            <w:shd w:val="clear" w:color="auto" w:fill="D9D9D9"/>
          </w:tcPr>
          <w:p w:rsidR="00CD19A9" w:rsidRPr="005403C8" w:rsidRDefault="00CD19A9" w:rsidP="00C639B4">
            <w:pPr>
              <w:jc w:val="center"/>
              <w:rPr>
                <w:rFonts w:ascii="Times New Roman" w:hAnsi="Times New Roman"/>
                <w:color w:val="FF0000"/>
                <w:sz w:val="12"/>
                <w:szCs w:val="12"/>
              </w:rPr>
            </w:pPr>
          </w:p>
        </w:tc>
        <w:tc>
          <w:tcPr>
            <w:tcW w:w="743" w:type="dxa"/>
            <w:tcBorders>
              <w:top w:val="nil"/>
              <w:left w:val="single" w:sz="4" w:space="0" w:color="auto"/>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color w:val="FF0000"/>
                <w:sz w:val="12"/>
                <w:szCs w:val="12"/>
              </w:rPr>
            </w:pPr>
            <w:r w:rsidRPr="005403C8">
              <w:rPr>
                <w:rFonts w:ascii="Times New Roman" w:hAnsi="Times New Roman"/>
                <w:color w:val="FF0000"/>
                <w:sz w:val="12"/>
                <w:szCs w:val="12"/>
              </w:rPr>
              <w:t> </w:t>
            </w:r>
          </w:p>
        </w:tc>
        <w:tc>
          <w:tcPr>
            <w:tcW w:w="925" w:type="dxa"/>
            <w:tcBorders>
              <w:top w:val="nil"/>
              <w:left w:val="nil"/>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color w:val="FF0000"/>
                <w:sz w:val="12"/>
                <w:szCs w:val="12"/>
              </w:rPr>
            </w:pPr>
            <w:r w:rsidRPr="005403C8">
              <w:rPr>
                <w:rFonts w:ascii="Times New Roman" w:hAnsi="Times New Roman"/>
                <w:color w:val="FF0000"/>
                <w:sz w:val="12"/>
                <w:szCs w:val="12"/>
              </w:rPr>
              <w:t> </w:t>
            </w:r>
          </w:p>
        </w:tc>
        <w:tc>
          <w:tcPr>
            <w:tcW w:w="990" w:type="dxa"/>
            <w:tcBorders>
              <w:top w:val="nil"/>
              <w:left w:val="nil"/>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color w:val="FF0000"/>
                <w:sz w:val="12"/>
                <w:szCs w:val="12"/>
              </w:rPr>
            </w:pPr>
            <w:r w:rsidRPr="005403C8">
              <w:rPr>
                <w:rFonts w:ascii="Times New Roman" w:hAnsi="Times New Roman"/>
                <w:color w:val="FF0000"/>
                <w:sz w:val="12"/>
                <w:szCs w:val="12"/>
              </w:rPr>
              <w:t>[C / 3 years]</w:t>
            </w:r>
          </w:p>
        </w:tc>
        <w:tc>
          <w:tcPr>
            <w:tcW w:w="829" w:type="dxa"/>
            <w:tcBorders>
              <w:top w:val="nil"/>
              <w:left w:val="nil"/>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color w:val="FF0000"/>
                <w:sz w:val="12"/>
                <w:szCs w:val="12"/>
              </w:rPr>
            </w:pPr>
            <w:r w:rsidRPr="005403C8">
              <w:rPr>
                <w:rFonts w:ascii="Times New Roman" w:hAnsi="Times New Roman"/>
                <w:color w:val="FF0000"/>
                <w:sz w:val="12"/>
                <w:szCs w:val="12"/>
              </w:rPr>
              <w:t> </w:t>
            </w:r>
          </w:p>
        </w:tc>
        <w:tc>
          <w:tcPr>
            <w:tcW w:w="971" w:type="dxa"/>
            <w:tcBorders>
              <w:top w:val="nil"/>
              <w:left w:val="nil"/>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color w:val="FF0000"/>
                <w:sz w:val="12"/>
                <w:szCs w:val="12"/>
              </w:rPr>
            </w:pPr>
            <w:r w:rsidRPr="005403C8">
              <w:rPr>
                <w:rFonts w:ascii="Times New Roman" w:hAnsi="Times New Roman"/>
                <w:color w:val="FF0000"/>
                <w:sz w:val="12"/>
                <w:szCs w:val="12"/>
              </w:rPr>
              <w:t>[ D + E]</w:t>
            </w:r>
          </w:p>
        </w:tc>
        <w:tc>
          <w:tcPr>
            <w:tcW w:w="900" w:type="dxa"/>
            <w:tcBorders>
              <w:top w:val="nil"/>
              <w:left w:val="nil"/>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color w:val="FF0000"/>
                <w:sz w:val="12"/>
                <w:szCs w:val="12"/>
              </w:rPr>
            </w:pPr>
            <w:r w:rsidRPr="005403C8">
              <w:rPr>
                <w:rFonts w:ascii="Times New Roman" w:hAnsi="Times New Roman"/>
                <w:color w:val="FF0000"/>
                <w:sz w:val="12"/>
                <w:szCs w:val="12"/>
              </w:rPr>
              <w:t>[F * B]</w:t>
            </w:r>
          </w:p>
        </w:tc>
        <w:tc>
          <w:tcPr>
            <w:tcW w:w="846" w:type="dxa"/>
            <w:tcBorders>
              <w:top w:val="nil"/>
              <w:left w:val="nil"/>
              <w:bottom w:val="single" w:sz="4" w:space="0" w:color="auto"/>
              <w:right w:val="single" w:sz="4" w:space="0" w:color="auto"/>
            </w:tcBorders>
            <w:shd w:val="clear" w:color="auto" w:fill="D9D9D9"/>
            <w:vAlign w:val="center"/>
            <w:hideMark/>
          </w:tcPr>
          <w:p w:rsidR="00CD19A9" w:rsidRPr="005403C8" w:rsidRDefault="00CD19A9" w:rsidP="00C639B4">
            <w:pPr>
              <w:jc w:val="center"/>
              <w:rPr>
                <w:rFonts w:ascii="Times New Roman" w:hAnsi="Times New Roman"/>
                <w:color w:val="FF0000"/>
                <w:sz w:val="12"/>
                <w:szCs w:val="12"/>
              </w:rPr>
            </w:pPr>
            <w:r w:rsidRPr="005403C8">
              <w:rPr>
                <w:rFonts w:ascii="Times New Roman" w:hAnsi="Times New Roman"/>
                <w:color w:val="FF0000"/>
                <w:sz w:val="12"/>
                <w:szCs w:val="12"/>
              </w:rPr>
              <w:t xml:space="preserve">[G * A]  </w:t>
            </w:r>
          </w:p>
        </w:tc>
        <w:tc>
          <w:tcPr>
            <w:tcW w:w="703" w:type="dxa"/>
            <w:tcBorders>
              <w:top w:val="nil"/>
              <w:left w:val="nil"/>
              <w:bottom w:val="single" w:sz="4" w:space="0" w:color="auto"/>
              <w:right w:val="single" w:sz="8" w:space="0" w:color="auto"/>
            </w:tcBorders>
            <w:shd w:val="clear" w:color="auto" w:fill="D9D9D9"/>
            <w:vAlign w:val="center"/>
            <w:hideMark/>
          </w:tcPr>
          <w:p w:rsidR="00CD19A9" w:rsidRPr="005403C8" w:rsidRDefault="00CD19A9" w:rsidP="00C639B4">
            <w:pPr>
              <w:jc w:val="center"/>
              <w:rPr>
                <w:rFonts w:ascii="Times New Roman" w:hAnsi="Times New Roman"/>
                <w:color w:val="FF0000"/>
                <w:sz w:val="12"/>
                <w:szCs w:val="12"/>
              </w:rPr>
            </w:pPr>
          </w:p>
        </w:tc>
      </w:tr>
      <w:tr w:rsidR="004E5A4F" w:rsidRPr="005403C8" w:rsidTr="00A005F3">
        <w:trPr>
          <w:trHeight w:val="300"/>
          <w:jc w:val="center"/>
        </w:trPr>
        <w:tc>
          <w:tcPr>
            <w:tcW w:w="1192" w:type="dxa"/>
            <w:vMerge w:val="restart"/>
            <w:tcBorders>
              <w:top w:val="nil"/>
              <w:left w:val="single" w:sz="8" w:space="0" w:color="auto"/>
              <w:right w:val="single" w:sz="4" w:space="0" w:color="auto"/>
            </w:tcBorders>
            <w:vAlign w:val="center"/>
            <w:hideMark/>
          </w:tcPr>
          <w:p w:rsidR="004E5A4F" w:rsidRPr="005403C8" w:rsidRDefault="007C316B" w:rsidP="00AC3970">
            <w:pPr>
              <w:jc w:val="center"/>
              <w:rPr>
                <w:rFonts w:ascii="Times New Roman" w:hAnsi="Times New Roman"/>
                <w:color w:val="000000"/>
                <w:sz w:val="12"/>
                <w:szCs w:val="12"/>
              </w:rPr>
            </w:pPr>
            <w:r w:rsidRPr="007C316B">
              <w:rPr>
                <w:rFonts w:ascii="Times New Roman" w:hAnsi="Times New Roman"/>
                <w:color w:val="000000"/>
                <w:sz w:val="12"/>
                <w:szCs w:val="12"/>
              </w:rPr>
              <w:t xml:space="preserve">Customer-Specific Disclosure on Handling of Non-Exempt Not Held Orders </w:t>
            </w:r>
            <w:r w:rsidR="006A3F30" w:rsidRPr="005403C8">
              <w:rPr>
                <w:rFonts w:ascii="Times New Roman" w:hAnsi="Times New Roman"/>
                <w:color w:val="000000"/>
                <w:sz w:val="12"/>
                <w:szCs w:val="12"/>
              </w:rPr>
              <w:t>–</w:t>
            </w:r>
            <w:r w:rsidR="00AC3970">
              <w:rPr>
                <w:rFonts w:ascii="Times New Roman" w:hAnsi="Times New Roman"/>
                <w:color w:val="000000"/>
                <w:sz w:val="12"/>
                <w:szCs w:val="12"/>
              </w:rPr>
              <w:t xml:space="preserve"> </w:t>
            </w:r>
            <w:r w:rsidR="004E5A4F" w:rsidRPr="005403C8">
              <w:rPr>
                <w:rFonts w:ascii="Times New Roman" w:hAnsi="Times New Roman"/>
                <w:color w:val="000000"/>
                <w:sz w:val="12"/>
                <w:szCs w:val="12"/>
              </w:rPr>
              <w:t xml:space="preserve">Rule </w:t>
            </w:r>
            <w:r w:rsidR="004E5A4F" w:rsidRPr="005403C8">
              <w:rPr>
                <w:rFonts w:ascii="Times New Roman" w:hAnsi="Times New Roman"/>
                <w:bCs/>
                <w:color w:val="000000"/>
                <w:sz w:val="12"/>
                <w:szCs w:val="12"/>
              </w:rPr>
              <w:t>606(b)(3)</w:t>
            </w:r>
          </w:p>
        </w:tc>
        <w:tc>
          <w:tcPr>
            <w:tcW w:w="1536" w:type="dxa"/>
            <w:vMerge w:val="restart"/>
            <w:tcBorders>
              <w:top w:val="nil"/>
              <w:left w:val="nil"/>
              <w:right w:val="single" w:sz="4" w:space="0" w:color="auto"/>
            </w:tcBorders>
            <w:vAlign w:val="center"/>
            <w:hideMark/>
          </w:tcPr>
          <w:p w:rsidR="004E5A4F" w:rsidRPr="005403C8" w:rsidRDefault="00A005F3" w:rsidP="00C639B4">
            <w:pPr>
              <w:jc w:val="center"/>
              <w:rPr>
                <w:rFonts w:ascii="Times New Roman" w:hAnsi="Times New Roman"/>
                <w:color w:val="000000"/>
                <w:sz w:val="12"/>
                <w:szCs w:val="12"/>
              </w:rPr>
            </w:pPr>
            <w:r w:rsidRPr="005403C8">
              <w:rPr>
                <w:rFonts w:ascii="Times New Roman" w:hAnsi="Times New Roman"/>
                <w:color w:val="000000"/>
                <w:sz w:val="12"/>
                <w:szCs w:val="12"/>
              </w:rPr>
              <w:t>Recordkeeping/</w:t>
            </w:r>
            <w:r w:rsidR="004E5A4F" w:rsidRPr="005403C8">
              <w:rPr>
                <w:rFonts w:ascii="Times New Roman" w:hAnsi="Times New Roman"/>
                <w:color w:val="000000"/>
                <w:sz w:val="12"/>
                <w:szCs w:val="12"/>
              </w:rPr>
              <w:t>Third party disclosure – New information collection</w:t>
            </w:r>
          </w:p>
        </w:tc>
        <w:tc>
          <w:tcPr>
            <w:tcW w:w="1021" w:type="dxa"/>
            <w:tcBorders>
              <w:top w:val="nil"/>
              <w:left w:val="nil"/>
              <w:bottom w:val="single" w:sz="4" w:space="0" w:color="auto"/>
              <w:right w:val="single" w:sz="4" w:space="0" w:color="auto"/>
            </w:tcBorders>
          </w:tcPr>
          <w:p w:rsidR="004E5A4F" w:rsidRPr="007D6176" w:rsidRDefault="004E5A4F" w:rsidP="00C639B4">
            <w:pPr>
              <w:jc w:val="center"/>
              <w:rPr>
                <w:rFonts w:ascii="Times New Roman" w:hAnsi="Times New Roman"/>
                <w:color w:val="000000"/>
                <w:sz w:val="12"/>
                <w:szCs w:val="12"/>
              </w:rPr>
            </w:pPr>
            <w:r w:rsidRPr="007D6176">
              <w:rPr>
                <w:rFonts w:ascii="Times New Roman" w:hAnsi="Times New Roman"/>
                <w:color w:val="000000"/>
                <w:sz w:val="12"/>
                <w:szCs w:val="12"/>
              </w:rPr>
              <w:t>Update data capture systems and create reports in house</w:t>
            </w:r>
          </w:p>
        </w:tc>
        <w:tc>
          <w:tcPr>
            <w:tcW w:w="810" w:type="dxa"/>
            <w:tcBorders>
              <w:top w:val="single" w:sz="6" w:space="0" w:color="auto"/>
              <w:left w:val="nil"/>
              <w:bottom w:val="single" w:sz="6" w:space="0" w:color="auto"/>
              <w:right w:val="single" w:sz="4" w:space="0" w:color="auto"/>
            </w:tcBorders>
            <w:vAlign w:val="center"/>
          </w:tcPr>
          <w:p w:rsidR="004E5A4F" w:rsidRPr="007D6176" w:rsidRDefault="00FA7A85" w:rsidP="002769F3">
            <w:pPr>
              <w:jc w:val="center"/>
              <w:rPr>
                <w:rFonts w:ascii="Times New Roman" w:hAnsi="Times New Roman"/>
                <w:color w:val="000000"/>
                <w:sz w:val="12"/>
                <w:szCs w:val="12"/>
              </w:rPr>
            </w:pPr>
            <w:r w:rsidRPr="007D6176">
              <w:rPr>
                <w:rFonts w:ascii="Times New Roman" w:hAnsi="Times New Roman"/>
                <w:color w:val="000000"/>
                <w:sz w:val="12"/>
                <w:szCs w:val="12"/>
              </w:rPr>
              <w:t>67</w:t>
            </w:r>
          </w:p>
        </w:tc>
        <w:tc>
          <w:tcPr>
            <w:tcW w:w="743" w:type="dxa"/>
            <w:tcBorders>
              <w:top w:val="nil"/>
              <w:left w:val="single" w:sz="4" w:space="0" w:color="auto"/>
              <w:bottom w:val="single" w:sz="4" w:space="0" w:color="auto"/>
              <w:right w:val="single" w:sz="4" w:space="0" w:color="auto"/>
            </w:tcBorders>
            <w:shd w:val="clear" w:color="auto" w:fill="auto"/>
            <w:vAlign w:val="center"/>
            <w:hideMark/>
          </w:tcPr>
          <w:p w:rsidR="004E5A4F" w:rsidRPr="007D6176" w:rsidRDefault="00A005F3" w:rsidP="00C639B4">
            <w:pPr>
              <w:jc w:val="center"/>
              <w:rPr>
                <w:rFonts w:ascii="Times New Roman" w:hAnsi="Times New Roman"/>
                <w:color w:val="000000"/>
                <w:sz w:val="12"/>
                <w:szCs w:val="12"/>
              </w:rPr>
            </w:pPr>
            <w:r w:rsidRPr="007D6176">
              <w:rPr>
                <w:rFonts w:ascii="Times New Roman" w:hAnsi="Times New Roman"/>
                <w:color w:val="000000"/>
                <w:sz w:val="12"/>
                <w:szCs w:val="12"/>
              </w:rPr>
              <w:t>1</w:t>
            </w:r>
          </w:p>
        </w:tc>
        <w:tc>
          <w:tcPr>
            <w:tcW w:w="925" w:type="dxa"/>
            <w:tcBorders>
              <w:top w:val="nil"/>
              <w:left w:val="nil"/>
              <w:bottom w:val="single" w:sz="4" w:space="0" w:color="auto"/>
              <w:right w:val="single" w:sz="4" w:space="0" w:color="auto"/>
            </w:tcBorders>
            <w:vAlign w:val="center"/>
          </w:tcPr>
          <w:p w:rsidR="004E5A4F" w:rsidRPr="007D6176" w:rsidRDefault="0051127A" w:rsidP="00F94701">
            <w:pPr>
              <w:jc w:val="center"/>
              <w:rPr>
                <w:rFonts w:ascii="Times New Roman" w:hAnsi="Times New Roman"/>
                <w:color w:val="000000"/>
                <w:sz w:val="12"/>
                <w:szCs w:val="12"/>
              </w:rPr>
            </w:pPr>
            <w:r w:rsidRPr="007D6176">
              <w:rPr>
                <w:rFonts w:ascii="Times New Roman" w:hAnsi="Times New Roman"/>
                <w:color w:val="000000"/>
                <w:sz w:val="12"/>
                <w:szCs w:val="12"/>
              </w:rPr>
              <w:t>260</w:t>
            </w:r>
            <w:r w:rsidR="004E5A4F" w:rsidRPr="007D6176">
              <w:rPr>
                <w:rFonts w:ascii="Times New Roman" w:hAnsi="Times New Roman"/>
                <w:color w:val="000000"/>
                <w:sz w:val="12"/>
                <w:szCs w:val="12"/>
              </w:rPr>
              <w:t xml:space="preserve"> hours</w:t>
            </w:r>
          </w:p>
        </w:tc>
        <w:tc>
          <w:tcPr>
            <w:tcW w:w="990" w:type="dxa"/>
            <w:tcBorders>
              <w:top w:val="nil"/>
              <w:left w:val="nil"/>
              <w:bottom w:val="single" w:sz="4" w:space="0" w:color="auto"/>
              <w:right w:val="single" w:sz="4" w:space="0" w:color="auto"/>
            </w:tcBorders>
            <w:vAlign w:val="center"/>
          </w:tcPr>
          <w:p w:rsidR="004E5A4F" w:rsidRPr="007D6176" w:rsidRDefault="009E6D97" w:rsidP="00C639B4">
            <w:pPr>
              <w:jc w:val="center"/>
              <w:rPr>
                <w:rFonts w:ascii="Times New Roman" w:hAnsi="Times New Roman"/>
                <w:color w:val="000000"/>
                <w:sz w:val="12"/>
                <w:szCs w:val="12"/>
              </w:rPr>
            </w:pPr>
            <w:r w:rsidRPr="007D6176">
              <w:rPr>
                <w:rFonts w:ascii="Times New Roman" w:hAnsi="Times New Roman"/>
                <w:color w:val="000000"/>
                <w:sz w:val="12"/>
                <w:szCs w:val="12"/>
              </w:rPr>
              <w:t>8</w:t>
            </w:r>
            <w:r w:rsidR="004E5A4F" w:rsidRPr="007D6176">
              <w:rPr>
                <w:rFonts w:ascii="Times New Roman" w:hAnsi="Times New Roman"/>
                <w:color w:val="000000"/>
                <w:sz w:val="12"/>
                <w:szCs w:val="12"/>
              </w:rPr>
              <w:t>6.67 hours</w:t>
            </w:r>
          </w:p>
        </w:tc>
        <w:tc>
          <w:tcPr>
            <w:tcW w:w="829" w:type="dxa"/>
            <w:tcBorders>
              <w:top w:val="nil"/>
              <w:left w:val="nil"/>
              <w:bottom w:val="single" w:sz="4" w:space="0" w:color="auto"/>
              <w:right w:val="single" w:sz="4" w:space="0" w:color="auto"/>
            </w:tcBorders>
            <w:shd w:val="clear" w:color="auto" w:fill="auto"/>
            <w:vAlign w:val="center"/>
          </w:tcPr>
          <w:p w:rsidR="004E5A4F" w:rsidRPr="007D6176" w:rsidRDefault="00A005F3" w:rsidP="00C639B4">
            <w:pPr>
              <w:jc w:val="center"/>
              <w:rPr>
                <w:rFonts w:ascii="Times New Roman" w:hAnsi="Times New Roman"/>
                <w:color w:val="000000"/>
                <w:sz w:val="12"/>
                <w:szCs w:val="12"/>
              </w:rPr>
            </w:pPr>
            <w:r w:rsidRPr="007D6176">
              <w:rPr>
                <w:rFonts w:ascii="Times New Roman" w:hAnsi="Times New Roman"/>
                <w:color w:val="000000"/>
                <w:sz w:val="12"/>
                <w:szCs w:val="12"/>
              </w:rPr>
              <w:t>0 hours</w:t>
            </w:r>
          </w:p>
        </w:tc>
        <w:tc>
          <w:tcPr>
            <w:tcW w:w="971" w:type="dxa"/>
            <w:tcBorders>
              <w:top w:val="nil"/>
              <w:left w:val="nil"/>
              <w:bottom w:val="single" w:sz="4" w:space="0" w:color="auto"/>
              <w:right w:val="single" w:sz="4" w:space="0" w:color="auto"/>
            </w:tcBorders>
            <w:shd w:val="clear" w:color="auto" w:fill="auto"/>
            <w:vAlign w:val="center"/>
          </w:tcPr>
          <w:p w:rsidR="004E5A4F" w:rsidRPr="007D6176" w:rsidRDefault="009E6D97" w:rsidP="00C639B4">
            <w:pPr>
              <w:jc w:val="center"/>
              <w:rPr>
                <w:rFonts w:ascii="Times New Roman" w:hAnsi="Times New Roman"/>
                <w:color w:val="000000"/>
                <w:sz w:val="12"/>
                <w:szCs w:val="12"/>
              </w:rPr>
            </w:pPr>
            <w:r w:rsidRPr="007D6176">
              <w:rPr>
                <w:rFonts w:ascii="Times New Roman" w:hAnsi="Times New Roman"/>
                <w:color w:val="000000"/>
                <w:sz w:val="12"/>
                <w:szCs w:val="12"/>
              </w:rPr>
              <w:t>8</w:t>
            </w:r>
            <w:r w:rsidR="004E5A4F" w:rsidRPr="007D6176">
              <w:rPr>
                <w:rFonts w:ascii="Times New Roman" w:hAnsi="Times New Roman"/>
                <w:color w:val="000000"/>
                <w:sz w:val="12"/>
                <w:szCs w:val="12"/>
              </w:rPr>
              <w:t>6.67 hours</w:t>
            </w:r>
          </w:p>
        </w:tc>
        <w:tc>
          <w:tcPr>
            <w:tcW w:w="900" w:type="dxa"/>
            <w:tcBorders>
              <w:top w:val="nil"/>
              <w:left w:val="nil"/>
              <w:bottom w:val="single" w:sz="4" w:space="0" w:color="auto"/>
              <w:right w:val="single" w:sz="4" w:space="0" w:color="auto"/>
            </w:tcBorders>
            <w:shd w:val="clear" w:color="auto" w:fill="auto"/>
            <w:vAlign w:val="center"/>
          </w:tcPr>
          <w:p w:rsidR="004E5A4F" w:rsidRPr="007D6176" w:rsidRDefault="009E6D97" w:rsidP="00C639B4">
            <w:pPr>
              <w:jc w:val="center"/>
              <w:rPr>
                <w:rFonts w:ascii="Times New Roman" w:hAnsi="Times New Roman"/>
                <w:sz w:val="12"/>
                <w:szCs w:val="12"/>
              </w:rPr>
            </w:pPr>
            <w:r w:rsidRPr="007D6176">
              <w:rPr>
                <w:rFonts w:ascii="Times New Roman" w:hAnsi="Times New Roman"/>
                <w:color w:val="000000"/>
                <w:sz w:val="12"/>
                <w:szCs w:val="12"/>
              </w:rPr>
              <w:t>8</w:t>
            </w:r>
            <w:r w:rsidR="004E5A4F" w:rsidRPr="007D6176">
              <w:rPr>
                <w:rFonts w:ascii="Times New Roman" w:hAnsi="Times New Roman"/>
                <w:color w:val="000000"/>
                <w:sz w:val="12"/>
                <w:szCs w:val="12"/>
              </w:rPr>
              <w:t>6.67 hours</w:t>
            </w:r>
          </w:p>
        </w:tc>
        <w:tc>
          <w:tcPr>
            <w:tcW w:w="846" w:type="dxa"/>
            <w:tcBorders>
              <w:top w:val="nil"/>
              <w:left w:val="nil"/>
              <w:bottom w:val="single" w:sz="4" w:space="0" w:color="auto"/>
              <w:right w:val="single" w:sz="4" w:space="0" w:color="auto"/>
            </w:tcBorders>
            <w:vAlign w:val="center"/>
          </w:tcPr>
          <w:p w:rsidR="004E5A4F" w:rsidRPr="007D6176" w:rsidRDefault="009E6D97" w:rsidP="00C639B4">
            <w:pPr>
              <w:jc w:val="center"/>
              <w:rPr>
                <w:rFonts w:ascii="Times New Roman" w:hAnsi="Times New Roman"/>
                <w:sz w:val="12"/>
                <w:szCs w:val="12"/>
              </w:rPr>
            </w:pPr>
            <w:r w:rsidRPr="007D6176">
              <w:rPr>
                <w:rFonts w:ascii="Times New Roman" w:hAnsi="Times New Roman"/>
                <w:sz w:val="12"/>
                <w:szCs w:val="12"/>
              </w:rPr>
              <w:t>5,806</w:t>
            </w:r>
            <w:r w:rsidR="004E5A4F" w:rsidRPr="007D6176">
              <w:rPr>
                <w:rFonts w:ascii="Times New Roman" w:hAnsi="Times New Roman"/>
                <w:sz w:val="12"/>
                <w:szCs w:val="12"/>
              </w:rPr>
              <w:t>.</w:t>
            </w:r>
            <w:r w:rsidR="00ED4AB0" w:rsidRPr="007D6176">
              <w:rPr>
                <w:rFonts w:ascii="Times New Roman" w:hAnsi="Times New Roman"/>
                <w:sz w:val="12"/>
                <w:szCs w:val="12"/>
              </w:rPr>
              <w:t>6</w:t>
            </w:r>
            <w:r w:rsidR="004E5A4F" w:rsidRPr="007D6176">
              <w:rPr>
                <w:rFonts w:ascii="Times New Roman" w:hAnsi="Times New Roman"/>
                <w:sz w:val="12"/>
                <w:szCs w:val="12"/>
              </w:rPr>
              <w:t>7 hours</w:t>
            </w:r>
          </w:p>
        </w:tc>
        <w:tc>
          <w:tcPr>
            <w:tcW w:w="703" w:type="dxa"/>
            <w:tcBorders>
              <w:top w:val="nil"/>
              <w:left w:val="nil"/>
              <w:bottom w:val="single" w:sz="4" w:space="0" w:color="auto"/>
              <w:right w:val="single" w:sz="8" w:space="0" w:color="auto"/>
            </w:tcBorders>
            <w:noWrap/>
            <w:vAlign w:val="center"/>
          </w:tcPr>
          <w:p w:rsidR="004E5A4F" w:rsidRPr="007D6176" w:rsidRDefault="004E5A4F" w:rsidP="00C639B4">
            <w:pPr>
              <w:jc w:val="center"/>
              <w:rPr>
                <w:rFonts w:ascii="Times New Roman" w:hAnsi="Times New Roman"/>
                <w:color w:val="000000"/>
                <w:sz w:val="12"/>
                <w:szCs w:val="12"/>
              </w:rPr>
            </w:pPr>
            <w:r w:rsidRPr="007D6176">
              <w:rPr>
                <w:rFonts w:ascii="Times New Roman" w:hAnsi="Times New Roman"/>
                <w:color w:val="000000"/>
                <w:sz w:val="12"/>
                <w:szCs w:val="12"/>
              </w:rPr>
              <w:t>0</w:t>
            </w:r>
          </w:p>
        </w:tc>
      </w:tr>
      <w:tr w:rsidR="00FA7A85" w:rsidRPr="005403C8" w:rsidTr="00661CDC">
        <w:trPr>
          <w:trHeight w:val="624"/>
          <w:jc w:val="center"/>
        </w:trPr>
        <w:tc>
          <w:tcPr>
            <w:tcW w:w="1192" w:type="dxa"/>
            <w:vMerge/>
            <w:tcBorders>
              <w:left w:val="single" w:sz="8" w:space="0" w:color="auto"/>
              <w:right w:val="single" w:sz="4" w:space="0" w:color="auto"/>
            </w:tcBorders>
            <w:vAlign w:val="center"/>
          </w:tcPr>
          <w:p w:rsidR="00FA7A85" w:rsidRPr="005403C8" w:rsidRDefault="00FA7A85" w:rsidP="00C639B4">
            <w:pPr>
              <w:jc w:val="center"/>
              <w:rPr>
                <w:rFonts w:ascii="Times New Roman" w:hAnsi="Times New Roman"/>
                <w:color w:val="000000"/>
                <w:sz w:val="12"/>
                <w:szCs w:val="12"/>
              </w:rPr>
            </w:pPr>
          </w:p>
        </w:tc>
        <w:tc>
          <w:tcPr>
            <w:tcW w:w="1536" w:type="dxa"/>
            <w:vMerge/>
            <w:tcBorders>
              <w:left w:val="nil"/>
              <w:right w:val="single" w:sz="4" w:space="0" w:color="auto"/>
            </w:tcBorders>
            <w:vAlign w:val="center"/>
          </w:tcPr>
          <w:p w:rsidR="00FA7A85" w:rsidRPr="005403C8" w:rsidRDefault="00FA7A85" w:rsidP="00C639B4">
            <w:pPr>
              <w:jc w:val="center"/>
              <w:rPr>
                <w:rFonts w:ascii="Times New Roman" w:hAnsi="Times New Roman"/>
                <w:color w:val="000000"/>
                <w:sz w:val="12"/>
                <w:szCs w:val="12"/>
              </w:rPr>
            </w:pPr>
          </w:p>
        </w:tc>
        <w:tc>
          <w:tcPr>
            <w:tcW w:w="1021" w:type="dxa"/>
            <w:vMerge w:val="restart"/>
            <w:tcBorders>
              <w:top w:val="nil"/>
              <w:left w:val="nil"/>
              <w:right w:val="single" w:sz="4" w:space="0" w:color="auto"/>
            </w:tcBorders>
          </w:tcPr>
          <w:p w:rsidR="00FA7A85" w:rsidRPr="007D6176" w:rsidRDefault="00FA7A85" w:rsidP="00C639B4">
            <w:pPr>
              <w:jc w:val="center"/>
              <w:rPr>
                <w:rFonts w:ascii="Times New Roman" w:hAnsi="Times New Roman"/>
                <w:color w:val="000000"/>
                <w:sz w:val="12"/>
                <w:szCs w:val="12"/>
              </w:rPr>
            </w:pPr>
            <w:r w:rsidRPr="007D6176">
              <w:rPr>
                <w:rFonts w:ascii="Times New Roman" w:hAnsi="Times New Roman"/>
                <w:color w:val="000000"/>
                <w:sz w:val="12"/>
                <w:szCs w:val="12"/>
              </w:rPr>
              <w:t>Engage third party to update data capture systems and create reports</w:t>
            </w:r>
          </w:p>
        </w:tc>
        <w:tc>
          <w:tcPr>
            <w:tcW w:w="810" w:type="dxa"/>
            <w:vMerge w:val="restart"/>
            <w:tcBorders>
              <w:top w:val="single" w:sz="6" w:space="0" w:color="auto"/>
              <w:left w:val="nil"/>
              <w:right w:val="single" w:sz="4" w:space="0" w:color="auto"/>
            </w:tcBorders>
            <w:vAlign w:val="center"/>
          </w:tcPr>
          <w:p w:rsidR="00FA7A85" w:rsidRPr="007D6176" w:rsidRDefault="00FA7A85" w:rsidP="00C639B4">
            <w:pPr>
              <w:jc w:val="center"/>
              <w:rPr>
                <w:rFonts w:ascii="Times New Roman" w:hAnsi="Times New Roman"/>
                <w:color w:val="000000"/>
                <w:sz w:val="12"/>
                <w:szCs w:val="12"/>
              </w:rPr>
            </w:pPr>
            <w:r w:rsidRPr="007D6176">
              <w:rPr>
                <w:rFonts w:ascii="Times New Roman" w:hAnsi="Times New Roman"/>
                <w:color w:val="000000"/>
                <w:sz w:val="12"/>
                <w:szCs w:val="12"/>
              </w:rPr>
              <w:t>133</w:t>
            </w:r>
          </w:p>
        </w:tc>
        <w:tc>
          <w:tcPr>
            <w:tcW w:w="743" w:type="dxa"/>
            <w:vMerge w:val="restart"/>
            <w:tcBorders>
              <w:top w:val="nil"/>
              <w:left w:val="single" w:sz="4" w:space="0" w:color="auto"/>
              <w:right w:val="single" w:sz="4" w:space="0" w:color="auto"/>
            </w:tcBorders>
            <w:shd w:val="clear" w:color="auto" w:fill="auto"/>
            <w:vAlign w:val="center"/>
          </w:tcPr>
          <w:p w:rsidR="00FA7A85" w:rsidRPr="007D6176" w:rsidRDefault="00FA7A85" w:rsidP="00C639B4">
            <w:pPr>
              <w:jc w:val="center"/>
              <w:rPr>
                <w:rFonts w:ascii="Times New Roman" w:hAnsi="Times New Roman"/>
                <w:color w:val="000000"/>
                <w:sz w:val="12"/>
                <w:szCs w:val="12"/>
              </w:rPr>
            </w:pPr>
            <w:r w:rsidRPr="007D6176">
              <w:rPr>
                <w:rFonts w:ascii="Times New Roman" w:hAnsi="Times New Roman"/>
                <w:color w:val="000000"/>
                <w:sz w:val="12"/>
                <w:szCs w:val="12"/>
              </w:rPr>
              <w:t>1</w:t>
            </w:r>
          </w:p>
        </w:tc>
        <w:tc>
          <w:tcPr>
            <w:tcW w:w="925" w:type="dxa"/>
            <w:vMerge w:val="restart"/>
            <w:tcBorders>
              <w:top w:val="nil"/>
              <w:left w:val="nil"/>
              <w:right w:val="single" w:sz="4" w:space="0" w:color="auto"/>
            </w:tcBorders>
            <w:vAlign w:val="center"/>
          </w:tcPr>
          <w:p w:rsidR="00FA7A85" w:rsidRPr="007D6176" w:rsidRDefault="00FA7A85" w:rsidP="00C639B4">
            <w:pPr>
              <w:jc w:val="center"/>
              <w:rPr>
                <w:rFonts w:ascii="Times New Roman" w:hAnsi="Times New Roman"/>
                <w:color w:val="000000"/>
                <w:sz w:val="12"/>
                <w:szCs w:val="12"/>
              </w:rPr>
            </w:pPr>
            <w:r w:rsidRPr="007D6176">
              <w:rPr>
                <w:rFonts w:ascii="Times New Roman" w:hAnsi="Times New Roman"/>
                <w:color w:val="000000"/>
                <w:sz w:val="12"/>
                <w:szCs w:val="12"/>
              </w:rPr>
              <w:t>50 hours</w:t>
            </w:r>
          </w:p>
        </w:tc>
        <w:tc>
          <w:tcPr>
            <w:tcW w:w="990" w:type="dxa"/>
            <w:vMerge w:val="restart"/>
            <w:tcBorders>
              <w:top w:val="nil"/>
              <w:left w:val="nil"/>
              <w:right w:val="single" w:sz="4" w:space="0" w:color="auto"/>
            </w:tcBorders>
            <w:vAlign w:val="center"/>
          </w:tcPr>
          <w:p w:rsidR="00FA7A85" w:rsidRPr="007D6176" w:rsidRDefault="00FA7A85" w:rsidP="00C639B4">
            <w:pPr>
              <w:jc w:val="center"/>
              <w:rPr>
                <w:rFonts w:ascii="Times New Roman" w:hAnsi="Times New Roman"/>
                <w:color w:val="000000"/>
                <w:sz w:val="12"/>
                <w:szCs w:val="12"/>
              </w:rPr>
            </w:pPr>
            <w:r w:rsidRPr="007D6176">
              <w:rPr>
                <w:rFonts w:ascii="Times New Roman" w:hAnsi="Times New Roman"/>
                <w:color w:val="000000"/>
                <w:sz w:val="12"/>
                <w:szCs w:val="12"/>
              </w:rPr>
              <w:t>16.67 hours</w:t>
            </w:r>
          </w:p>
        </w:tc>
        <w:tc>
          <w:tcPr>
            <w:tcW w:w="829" w:type="dxa"/>
            <w:vMerge w:val="restart"/>
            <w:tcBorders>
              <w:top w:val="nil"/>
              <w:left w:val="nil"/>
              <w:right w:val="single" w:sz="4" w:space="0" w:color="auto"/>
            </w:tcBorders>
            <w:shd w:val="clear" w:color="auto" w:fill="auto"/>
            <w:vAlign w:val="center"/>
          </w:tcPr>
          <w:p w:rsidR="00FA7A85" w:rsidRPr="007D6176" w:rsidRDefault="00FA7A85" w:rsidP="00C639B4">
            <w:pPr>
              <w:jc w:val="center"/>
              <w:rPr>
                <w:rFonts w:ascii="Times New Roman" w:hAnsi="Times New Roman"/>
                <w:color w:val="000000"/>
                <w:sz w:val="12"/>
                <w:szCs w:val="12"/>
              </w:rPr>
            </w:pPr>
            <w:r w:rsidRPr="007D6176">
              <w:rPr>
                <w:rFonts w:ascii="Times New Roman" w:hAnsi="Times New Roman"/>
                <w:color w:val="000000"/>
                <w:sz w:val="12"/>
                <w:szCs w:val="12"/>
              </w:rPr>
              <w:t>0 hours</w:t>
            </w:r>
          </w:p>
        </w:tc>
        <w:tc>
          <w:tcPr>
            <w:tcW w:w="971" w:type="dxa"/>
            <w:vMerge w:val="restart"/>
            <w:tcBorders>
              <w:top w:val="nil"/>
              <w:left w:val="nil"/>
              <w:right w:val="single" w:sz="4" w:space="0" w:color="auto"/>
            </w:tcBorders>
            <w:shd w:val="clear" w:color="auto" w:fill="auto"/>
            <w:vAlign w:val="center"/>
          </w:tcPr>
          <w:p w:rsidR="00FA7A85" w:rsidRPr="007D6176" w:rsidRDefault="00FA7A85" w:rsidP="00C639B4">
            <w:pPr>
              <w:jc w:val="center"/>
              <w:rPr>
                <w:rFonts w:ascii="Times New Roman" w:hAnsi="Times New Roman"/>
                <w:color w:val="000000"/>
                <w:sz w:val="12"/>
                <w:szCs w:val="12"/>
              </w:rPr>
            </w:pPr>
            <w:r w:rsidRPr="007D6176">
              <w:rPr>
                <w:rFonts w:ascii="Times New Roman" w:hAnsi="Times New Roman"/>
                <w:color w:val="000000"/>
                <w:sz w:val="12"/>
                <w:szCs w:val="12"/>
              </w:rPr>
              <w:t>16.67 hours</w:t>
            </w:r>
          </w:p>
        </w:tc>
        <w:tc>
          <w:tcPr>
            <w:tcW w:w="900" w:type="dxa"/>
            <w:vMerge w:val="restart"/>
            <w:tcBorders>
              <w:top w:val="nil"/>
              <w:left w:val="nil"/>
              <w:right w:val="single" w:sz="4" w:space="0" w:color="auto"/>
            </w:tcBorders>
            <w:shd w:val="clear" w:color="auto" w:fill="auto"/>
            <w:vAlign w:val="center"/>
          </w:tcPr>
          <w:p w:rsidR="00FA7A85" w:rsidRPr="007D6176" w:rsidRDefault="00FA7A85" w:rsidP="00C639B4">
            <w:pPr>
              <w:jc w:val="center"/>
              <w:rPr>
                <w:rFonts w:ascii="Times New Roman" w:hAnsi="Times New Roman"/>
                <w:color w:val="000000"/>
                <w:sz w:val="12"/>
                <w:szCs w:val="12"/>
              </w:rPr>
            </w:pPr>
            <w:r w:rsidRPr="007D6176">
              <w:rPr>
                <w:rFonts w:ascii="Times New Roman" w:hAnsi="Times New Roman"/>
                <w:color w:val="000000"/>
                <w:sz w:val="12"/>
                <w:szCs w:val="12"/>
              </w:rPr>
              <w:t>16.67 hours</w:t>
            </w:r>
          </w:p>
        </w:tc>
        <w:tc>
          <w:tcPr>
            <w:tcW w:w="846" w:type="dxa"/>
            <w:vMerge w:val="restart"/>
            <w:tcBorders>
              <w:top w:val="nil"/>
              <w:left w:val="nil"/>
              <w:right w:val="single" w:sz="4" w:space="0" w:color="auto"/>
            </w:tcBorders>
            <w:vAlign w:val="center"/>
          </w:tcPr>
          <w:p w:rsidR="00FA7A85" w:rsidRPr="007D6176" w:rsidRDefault="007D6176" w:rsidP="00C639B4">
            <w:pPr>
              <w:jc w:val="center"/>
              <w:rPr>
                <w:rFonts w:ascii="Times New Roman" w:hAnsi="Times New Roman"/>
                <w:color w:val="000000"/>
                <w:sz w:val="12"/>
                <w:szCs w:val="12"/>
              </w:rPr>
            </w:pPr>
            <w:r w:rsidRPr="007D6176">
              <w:rPr>
                <w:rFonts w:ascii="Times New Roman" w:hAnsi="Times New Roman"/>
                <w:color w:val="000000"/>
                <w:sz w:val="12"/>
                <w:szCs w:val="12"/>
              </w:rPr>
              <w:t>2,216.67</w:t>
            </w:r>
            <w:r w:rsidR="00FA7A85" w:rsidRPr="007D6176">
              <w:rPr>
                <w:rFonts w:ascii="Times New Roman" w:hAnsi="Times New Roman"/>
                <w:color w:val="000000"/>
                <w:sz w:val="12"/>
                <w:szCs w:val="12"/>
              </w:rPr>
              <w:t xml:space="preserve"> hours</w:t>
            </w:r>
          </w:p>
        </w:tc>
        <w:tc>
          <w:tcPr>
            <w:tcW w:w="703" w:type="dxa"/>
            <w:tcBorders>
              <w:top w:val="nil"/>
              <w:left w:val="nil"/>
              <w:right w:val="single" w:sz="8" w:space="0" w:color="auto"/>
            </w:tcBorders>
            <w:noWrap/>
            <w:vAlign w:val="center"/>
          </w:tcPr>
          <w:p w:rsidR="00FA7A85" w:rsidRPr="007D6176" w:rsidRDefault="00FA7A85" w:rsidP="00C639B4">
            <w:pPr>
              <w:jc w:val="center"/>
              <w:rPr>
                <w:rFonts w:ascii="Times New Roman" w:hAnsi="Times New Roman"/>
                <w:color w:val="000000"/>
                <w:sz w:val="12"/>
                <w:szCs w:val="12"/>
              </w:rPr>
            </w:pPr>
            <w:r w:rsidRPr="007D6176">
              <w:rPr>
                <w:rFonts w:ascii="Times New Roman" w:hAnsi="Times New Roman"/>
                <w:color w:val="000000"/>
                <w:sz w:val="12"/>
                <w:szCs w:val="12"/>
              </w:rPr>
              <w:t>0</w:t>
            </w:r>
          </w:p>
        </w:tc>
      </w:tr>
      <w:tr w:rsidR="00FA7A85" w:rsidRPr="005403C8" w:rsidTr="00FA7A85">
        <w:trPr>
          <w:trHeight w:val="73"/>
          <w:jc w:val="center"/>
        </w:trPr>
        <w:tc>
          <w:tcPr>
            <w:tcW w:w="1192" w:type="dxa"/>
            <w:vMerge/>
            <w:tcBorders>
              <w:left w:val="single" w:sz="8" w:space="0" w:color="auto"/>
              <w:right w:val="single" w:sz="4" w:space="0" w:color="auto"/>
            </w:tcBorders>
            <w:vAlign w:val="center"/>
          </w:tcPr>
          <w:p w:rsidR="00FA7A85" w:rsidRPr="005403C8" w:rsidRDefault="00FA7A85" w:rsidP="00C639B4">
            <w:pPr>
              <w:jc w:val="center"/>
              <w:rPr>
                <w:rFonts w:ascii="Times New Roman" w:hAnsi="Times New Roman"/>
                <w:color w:val="000000"/>
                <w:sz w:val="12"/>
                <w:szCs w:val="12"/>
              </w:rPr>
            </w:pPr>
          </w:p>
        </w:tc>
        <w:tc>
          <w:tcPr>
            <w:tcW w:w="1536" w:type="dxa"/>
            <w:vMerge/>
            <w:tcBorders>
              <w:left w:val="nil"/>
              <w:right w:val="single" w:sz="4" w:space="0" w:color="auto"/>
            </w:tcBorders>
            <w:vAlign w:val="center"/>
          </w:tcPr>
          <w:p w:rsidR="00FA7A85" w:rsidRPr="005403C8" w:rsidRDefault="00FA7A85" w:rsidP="00C639B4">
            <w:pPr>
              <w:jc w:val="center"/>
              <w:rPr>
                <w:rFonts w:ascii="Times New Roman" w:hAnsi="Times New Roman"/>
                <w:color w:val="000000"/>
                <w:sz w:val="12"/>
                <w:szCs w:val="12"/>
              </w:rPr>
            </w:pPr>
          </w:p>
        </w:tc>
        <w:tc>
          <w:tcPr>
            <w:tcW w:w="1021" w:type="dxa"/>
            <w:vMerge/>
            <w:tcBorders>
              <w:left w:val="nil"/>
              <w:bottom w:val="single" w:sz="4" w:space="0" w:color="auto"/>
              <w:right w:val="single" w:sz="4" w:space="0" w:color="auto"/>
            </w:tcBorders>
          </w:tcPr>
          <w:p w:rsidR="00FA7A85" w:rsidRPr="005403C8" w:rsidRDefault="00FA7A85" w:rsidP="00C639B4">
            <w:pPr>
              <w:jc w:val="center"/>
              <w:rPr>
                <w:rFonts w:ascii="Times New Roman" w:hAnsi="Times New Roman"/>
                <w:color w:val="000000"/>
                <w:sz w:val="12"/>
                <w:szCs w:val="12"/>
              </w:rPr>
            </w:pPr>
          </w:p>
        </w:tc>
        <w:tc>
          <w:tcPr>
            <w:tcW w:w="810" w:type="dxa"/>
            <w:vMerge/>
            <w:tcBorders>
              <w:left w:val="nil"/>
              <w:bottom w:val="single" w:sz="6" w:space="0" w:color="auto"/>
              <w:right w:val="single" w:sz="4" w:space="0" w:color="auto"/>
            </w:tcBorders>
            <w:vAlign w:val="center"/>
          </w:tcPr>
          <w:p w:rsidR="00FA7A85" w:rsidRPr="005403C8" w:rsidRDefault="00FA7A85" w:rsidP="00F94701">
            <w:pPr>
              <w:jc w:val="center"/>
              <w:rPr>
                <w:rFonts w:ascii="Times New Roman" w:hAnsi="Times New Roman"/>
                <w:color w:val="000000"/>
                <w:sz w:val="12"/>
                <w:szCs w:val="12"/>
              </w:rPr>
            </w:pPr>
          </w:p>
        </w:tc>
        <w:tc>
          <w:tcPr>
            <w:tcW w:w="743" w:type="dxa"/>
            <w:vMerge/>
            <w:tcBorders>
              <w:left w:val="single" w:sz="4" w:space="0" w:color="auto"/>
              <w:bottom w:val="single" w:sz="4" w:space="0" w:color="auto"/>
              <w:right w:val="single" w:sz="4" w:space="0" w:color="auto"/>
            </w:tcBorders>
            <w:shd w:val="clear" w:color="auto" w:fill="auto"/>
            <w:vAlign w:val="center"/>
          </w:tcPr>
          <w:p w:rsidR="00FA7A85" w:rsidRPr="005403C8" w:rsidRDefault="00FA7A85" w:rsidP="00C639B4">
            <w:pPr>
              <w:jc w:val="center"/>
              <w:rPr>
                <w:rFonts w:ascii="Times New Roman" w:hAnsi="Times New Roman"/>
                <w:color w:val="000000"/>
                <w:sz w:val="12"/>
                <w:szCs w:val="12"/>
              </w:rPr>
            </w:pPr>
          </w:p>
        </w:tc>
        <w:tc>
          <w:tcPr>
            <w:tcW w:w="925" w:type="dxa"/>
            <w:vMerge/>
            <w:tcBorders>
              <w:left w:val="nil"/>
              <w:bottom w:val="single" w:sz="4" w:space="0" w:color="auto"/>
              <w:right w:val="single" w:sz="4" w:space="0" w:color="auto"/>
            </w:tcBorders>
            <w:vAlign w:val="center"/>
          </w:tcPr>
          <w:p w:rsidR="00FA7A85" w:rsidRPr="005403C8" w:rsidRDefault="00FA7A85" w:rsidP="00C639B4">
            <w:pPr>
              <w:jc w:val="center"/>
              <w:rPr>
                <w:rFonts w:ascii="Times New Roman" w:hAnsi="Times New Roman"/>
                <w:color w:val="000000"/>
                <w:sz w:val="12"/>
                <w:szCs w:val="12"/>
              </w:rPr>
            </w:pPr>
          </w:p>
        </w:tc>
        <w:tc>
          <w:tcPr>
            <w:tcW w:w="990" w:type="dxa"/>
            <w:vMerge/>
            <w:tcBorders>
              <w:left w:val="nil"/>
              <w:bottom w:val="single" w:sz="4" w:space="0" w:color="auto"/>
              <w:right w:val="single" w:sz="4" w:space="0" w:color="auto"/>
            </w:tcBorders>
            <w:vAlign w:val="center"/>
          </w:tcPr>
          <w:p w:rsidR="00FA7A85" w:rsidRPr="005403C8" w:rsidRDefault="00FA7A85" w:rsidP="00C639B4">
            <w:pPr>
              <w:jc w:val="center"/>
              <w:rPr>
                <w:rFonts w:ascii="Times New Roman" w:hAnsi="Times New Roman"/>
                <w:color w:val="000000"/>
                <w:sz w:val="12"/>
                <w:szCs w:val="12"/>
              </w:rPr>
            </w:pPr>
          </w:p>
        </w:tc>
        <w:tc>
          <w:tcPr>
            <w:tcW w:w="829" w:type="dxa"/>
            <w:vMerge/>
            <w:tcBorders>
              <w:left w:val="nil"/>
              <w:bottom w:val="single" w:sz="4" w:space="0" w:color="auto"/>
              <w:right w:val="single" w:sz="4" w:space="0" w:color="auto"/>
            </w:tcBorders>
            <w:shd w:val="clear" w:color="auto" w:fill="auto"/>
            <w:vAlign w:val="center"/>
          </w:tcPr>
          <w:p w:rsidR="00FA7A85" w:rsidRPr="005403C8" w:rsidRDefault="00FA7A85" w:rsidP="00C639B4">
            <w:pPr>
              <w:jc w:val="center"/>
              <w:rPr>
                <w:rFonts w:ascii="Times New Roman" w:hAnsi="Times New Roman"/>
                <w:color w:val="000000"/>
                <w:sz w:val="12"/>
                <w:szCs w:val="12"/>
              </w:rPr>
            </w:pPr>
          </w:p>
        </w:tc>
        <w:tc>
          <w:tcPr>
            <w:tcW w:w="971" w:type="dxa"/>
            <w:vMerge/>
            <w:tcBorders>
              <w:left w:val="nil"/>
              <w:bottom w:val="single" w:sz="4" w:space="0" w:color="auto"/>
              <w:right w:val="single" w:sz="4" w:space="0" w:color="auto"/>
            </w:tcBorders>
            <w:shd w:val="clear" w:color="auto" w:fill="auto"/>
            <w:vAlign w:val="center"/>
          </w:tcPr>
          <w:p w:rsidR="00FA7A85" w:rsidRPr="005403C8" w:rsidRDefault="00FA7A85" w:rsidP="00C639B4">
            <w:pPr>
              <w:jc w:val="center"/>
              <w:rPr>
                <w:rFonts w:ascii="Times New Roman" w:hAnsi="Times New Roman"/>
                <w:color w:val="000000"/>
                <w:sz w:val="12"/>
                <w:szCs w:val="12"/>
              </w:rPr>
            </w:pPr>
          </w:p>
        </w:tc>
        <w:tc>
          <w:tcPr>
            <w:tcW w:w="900" w:type="dxa"/>
            <w:vMerge/>
            <w:tcBorders>
              <w:left w:val="nil"/>
              <w:bottom w:val="single" w:sz="4" w:space="0" w:color="auto"/>
              <w:right w:val="single" w:sz="4" w:space="0" w:color="auto"/>
            </w:tcBorders>
            <w:shd w:val="clear" w:color="auto" w:fill="auto"/>
            <w:vAlign w:val="center"/>
          </w:tcPr>
          <w:p w:rsidR="00FA7A85" w:rsidRPr="005403C8" w:rsidRDefault="00FA7A85" w:rsidP="00C639B4">
            <w:pPr>
              <w:jc w:val="center"/>
              <w:rPr>
                <w:rFonts w:ascii="Times New Roman" w:hAnsi="Times New Roman"/>
                <w:color w:val="000000"/>
                <w:sz w:val="12"/>
                <w:szCs w:val="12"/>
              </w:rPr>
            </w:pPr>
          </w:p>
        </w:tc>
        <w:tc>
          <w:tcPr>
            <w:tcW w:w="846" w:type="dxa"/>
            <w:vMerge/>
            <w:tcBorders>
              <w:left w:val="nil"/>
              <w:bottom w:val="single" w:sz="4" w:space="0" w:color="auto"/>
              <w:right w:val="single" w:sz="4" w:space="0" w:color="auto"/>
            </w:tcBorders>
            <w:vAlign w:val="center"/>
          </w:tcPr>
          <w:p w:rsidR="00FA7A85" w:rsidRPr="005403C8" w:rsidRDefault="00FA7A85" w:rsidP="00C639B4">
            <w:pPr>
              <w:jc w:val="center"/>
              <w:rPr>
                <w:rFonts w:ascii="Times New Roman" w:hAnsi="Times New Roman"/>
                <w:color w:val="000000"/>
                <w:sz w:val="12"/>
                <w:szCs w:val="12"/>
              </w:rPr>
            </w:pPr>
          </w:p>
        </w:tc>
        <w:tc>
          <w:tcPr>
            <w:tcW w:w="703" w:type="dxa"/>
            <w:tcBorders>
              <w:top w:val="nil"/>
              <w:left w:val="nil"/>
              <w:bottom w:val="single" w:sz="4" w:space="0" w:color="auto"/>
              <w:right w:val="single" w:sz="8" w:space="0" w:color="auto"/>
            </w:tcBorders>
            <w:noWrap/>
            <w:vAlign w:val="center"/>
          </w:tcPr>
          <w:p w:rsidR="00FA7A85" w:rsidRPr="005403C8" w:rsidRDefault="00FA7A85" w:rsidP="00C639B4">
            <w:pPr>
              <w:jc w:val="center"/>
              <w:rPr>
                <w:rFonts w:ascii="Times New Roman" w:hAnsi="Times New Roman"/>
                <w:color w:val="000000"/>
                <w:sz w:val="12"/>
                <w:szCs w:val="12"/>
              </w:rPr>
            </w:pPr>
          </w:p>
        </w:tc>
      </w:tr>
      <w:tr w:rsidR="004E5A4F" w:rsidRPr="005403C8" w:rsidTr="009F77E4">
        <w:trPr>
          <w:trHeight w:val="300"/>
          <w:jc w:val="center"/>
        </w:trPr>
        <w:tc>
          <w:tcPr>
            <w:tcW w:w="1192" w:type="dxa"/>
            <w:vMerge/>
            <w:tcBorders>
              <w:left w:val="single" w:sz="8" w:space="0" w:color="auto"/>
              <w:right w:val="single" w:sz="4" w:space="0" w:color="auto"/>
            </w:tcBorders>
            <w:vAlign w:val="center"/>
          </w:tcPr>
          <w:p w:rsidR="004E5A4F" w:rsidRPr="005403C8" w:rsidRDefault="004E5A4F" w:rsidP="00C639B4">
            <w:pPr>
              <w:jc w:val="center"/>
              <w:rPr>
                <w:rFonts w:ascii="Times New Roman" w:hAnsi="Times New Roman"/>
                <w:color w:val="000000"/>
                <w:sz w:val="12"/>
                <w:szCs w:val="12"/>
              </w:rPr>
            </w:pPr>
          </w:p>
        </w:tc>
        <w:tc>
          <w:tcPr>
            <w:tcW w:w="1536" w:type="dxa"/>
            <w:vMerge/>
            <w:tcBorders>
              <w:left w:val="nil"/>
              <w:right w:val="single" w:sz="4" w:space="0" w:color="auto"/>
            </w:tcBorders>
            <w:vAlign w:val="center"/>
          </w:tcPr>
          <w:p w:rsidR="004E5A4F" w:rsidRPr="005403C8" w:rsidRDefault="004E5A4F" w:rsidP="00C639B4">
            <w:pPr>
              <w:jc w:val="center"/>
              <w:rPr>
                <w:rFonts w:ascii="Times New Roman" w:hAnsi="Times New Roman"/>
                <w:color w:val="000000"/>
                <w:sz w:val="12"/>
                <w:szCs w:val="12"/>
              </w:rPr>
            </w:pPr>
          </w:p>
        </w:tc>
        <w:tc>
          <w:tcPr>
            <w:tcW w:w="1021" w:type="dxa"/>
            <w:tcBorders>
              <w:top w:val="nil"/>
              <w:left w:val="nil"/>
              <w:bottom w:val="single" w:sz="4" w:space="0" w:color="auto"/>
              <w:right w:val="single" w:sz="4" w:space="0" w:color="auto"/>
            </w:tcBorders>
          </w:tcPr>
          <w:p w:rsidR="004E5A4F" w:rsidRPr="005403C8" w:rsidRDefault="004E5A4F" w:rsidP="00C639B4">
            <w:pPr>
              <w:jc w:val="center"/>
              <w:rPr>
                <w:rFonts w:ascii="Times New Roman" w:hAnsi="Times New Roman"/>
                <w:color w:val="000000"/>
                <w:sz w:val="12"/>
                <w:szCs w:val="12"/>
              </w:rPr>
            </w:pPr>
            <w:r w:rsidRPr="005403C8">
              <w:rPr>
                <w:rFonts w:ascii="Times New Roman" w:hAnsi="Times New Roman"/>
                <w:color w:val="000000"/>
                <w:sz w:val="12"/>
                <w:szCs w:val="12"/>
              </w:rPr>
              <w:t>Respond to customer requests in house</w:t>
            </w:r>
          </w:p>
        </w:tc>
        <w:tc>
          <w:tcPr>
            <w:tcW w:w="810" w:type="dxa"/>
            <w:tcBorders>
              <w:top w:val="single" w:sz="6" w:space="0" w:color="auto"/>
              <w:left w:val="nil"/>
              <w:bottom w:val="single" w:sz="4" w:space="0" w:color="auto"/>
              <w:right w:val="single" w:sz="4" w:space="0" w:color="auto"/>
            </w:tcBorders>
            <w:vAlign w:val="center"/>
          </w:tcPr>
          <w:p w:rsidR="004E5A4F" w:rsidRPr="005403C8" w:rsidRDefault="004E5A4F" w:rsidP="00C639B4">
            <w:pPr>
              <w:jc w:val="center"/>
              <w:rPr>
                <w:rFonts w:ascii="Times New Roman" w:hAnsi="Times New Roman"/>
                <w:color w:val="000000"/>
                <w:sz w:val="12"/>
                <w:szCs w:val="12"/>
              </w:rPr>
            </w:pPr>
            <w:r w:rsidRPr="005403C8">
              <w:rPr>
                <w:rFonts w:ascii="Times New Roman" w:hAnsi="Times New Roman"/>
                <w:color w:val="000000"/>
                <w:sz w:val="12"/>
                <w:szCs w:val="12"/>
              </w:rPr>
              <w:t>135</w:t>
            </w:r>
          </w:p>
        </w:tc>
        <w:tc>
          <w:tcPr>
            <w:tcW w:w="743" w:type="dxa"/>
            <w:tcBorders>
              <w:top w:val="nil"/>
              <w:left w:val="single" w:sz="4" w:space="0" w:color="auto"/>
              <w:bottom w:val="single" w:sz="4" w:space="0" w:color="auto"/>
              <w:right w:val="single" w:sz="4" w:space="0" w:color="auto"/>
            </w:tcBorders>
            <w:vAlign w:val="center"/>
          </w:tcPr>
          <w:p w:rsidR="004E5A4F" w:rsidRPr="005403C8" w:rsidRDefault="004E5A4F" w:rsidP="00C639B4">
            <w:pPr>
              <w:jc w:val="center"/>
              <w:rPr>
                <w:rFonts w:ascii="Times New Roman" w:hAnsi="Times New Roman"/>
                <w:color w:val="000000"/>
                <w:sz w:val="12"/>
                <w:szCs w:val="12"/>
              </w:rPr>
            </w:pPr>
            <w:r w:rsidRPr="005403C8">
              <w:rPr>
                <w:rFonts w:ascii="Times New Roman" w:hAnsi="Times New Roman"/>
                <w:color w:val="000000"/>
                <w:sz w:val="12"/>
                <w:szCs w:val="12"/>
              </w:rPr>
              <w:t>200</w:t>
            </w:r>
          </w:p>
        </w:tc>
        <w:tc>
          <w:tcPr>
            <w:tcW w:w="925" w:type="dxa"/>
            <w:tcBorders>
              <w:top w:val="nil"/>
              <w:left w:val="nil"/>
              <w:bottom w:val="single" w:sz="4" w:space="0" w:color="auto"/>
              <w:right w:val="single" w:sz="4" w:space="0" w:color="auto"/>
            </w:tcBorders>
            <w:shd w:val="clear" w:color="auto" w:fill="auto"/>
            <w:vAlign w:val="center"/>
          </w:tcPr>
          <w:p w:rsidR="004E5A4F" w:rsidRPr="005403C8" w:rsidRDefault="00A005F3" w:rsidP="00C639B4">
            <w:pPr>
              <w:jc w:val="center"/>
              <w:rPr>
                <w:rFonts w:ascii="Times New Roman" w:hAnsi="Times New Roman"/>
                <w:color w:val="000000"/>
                <w:sz w:val="12"/>
                <w:szCs w:val="12"/>
              </w:rPr>
            </w:pPr>
            <w:r w:rsidRPr="005403C8">
              <w:rPr>
                <w:rFonts w:ascii="Times New Roman" w:hAnsi="Times New Roman"/>
                <w:color w:val="000000"/>
                <w:sz w:val="12"/>
                <w:szCs w:val="12"/>
              </w:rPr>
              <w:t>0 hours</w:t>
            </w:r>
          </w:p>
        </w:tc>
        <w:tc>
          <w:tcPr>
            <w:tcW w:w="990" w:type="dxa"/>
            <w:tcBorders>
              <w:top w:val="nil"/>
              <w:left w:val="nil"/>
              <w:bottom w:val="single" w:sz="4" w:space="0" w:color="auto"/>
              <w:right w:val="single" w:sz="4" w:space="0" w:color="auto"/>
            </w:tcBorders>
            <w:shd w:val="clear" w:color="auto" w:fill="auto"/>
            <w:vAlign w:val="center"/>
          </w:tcPr>
          <w:p w:rsidR="004E5A4F" w:rsidRPr="005403C8" w:rsidRDefault="00A005F3" w:rsidP="00C639B4">
            <w:pPr>
              <w:jc w:val="center"/>
              <w:rPr>
                <w:rFonts w:ascii="Times New Roman" w:hAnsi="Times New Roman"/>
                <w:color w:val="000000"/>
                <w:sz w:val="12"/>
                <w:szCs w:val="12"/>
              </w:rPr>
            </w:pPr>
            <w:r w:rsidRPr="005403C8">
              <w:rPr>
                <w:rFonts w:ascii="Times New Roman" w:hAnsi="Times New Roman"/>
                <w:color w:val="000000"/>
                <w:sz w:val="12"/>
                <w:szCs w:val="12"/>
              </w:rPr>
              <w:t>0 hours</w:t>
            </w:r>
          </w:p>
        </w:tc>
        <w:tc>
          <w:tcPr>
            <w:tcW w:w="829" w:type="dxa"/>
            <w:tcBorders>
              <w:top w:val="nil"/>
              <w:left w:val="nil"/>
              <w:bottom w:val="single" w:sz="4" w:space="0" w:color="auto"/>
              <w:right w:val="single" w:sz="4" w:space="0" w:color="auto"/>
            </w:tcBorders>
            <w:vAlign w:val="center"/>
          </w:tcPr>
          <w:p w:rsidR="004E5A4F" w:rsidRPr="005403C8" w:rsidRDefault="004E5A4F" w:rsidP="00C639B4">
            <w:pPr>
              <w:jc w:val="center"/>
              <w:rPr>
                <w:rFonts w:ascii="Times New Roman" w:hAnsi="Times New Roman"/>
                <w:color w:val="000000"/>
                <w:sz w:val="12"/>
                <w:szCs w:val="12"/>
              </w:rPr>
            </w:pPr>
            <w:r w:rsidRPr="005403C8">
              <w:rPr>
                <w:rFonts w:ascii="Times New Roman" w:hAnsi="Times New Roman"/>
                <w:color w:val="000000"/>
                <w:sz w:val="12"/>
                <w:szCs w:val="12"/>
              </w:rPr>
              <w:t>2 hours</w:t>
            </w:r>
          </w:p>
        </w:tc>
        <w:tc>
          <w:tcPr>
            <w:tcW w:w="971" w:type="dxa"/>
            <w:tcBorders>
              <w:top w:val="nil"/>
              <w:left w:val="nil"/>
              <w:bottom w:val="single" w:sz="4" w:space="0" w:color="auto"/>
              <w:right w:val="single" w:sz="4" w:space="0" w:color="auto"/>
            </w:tcBorders>
            <w:vAlign w:val="center"/>
          </w:tcPr>
          <w:p w:rsidR="004E5A4F" w:rsidRPr="005403C8" w:rsidRDefault="004E5A4F" w:rsidP="00C639B4">
            <w:pPr>
              <w:jc w:val="center"/>
              <w:rPr>
                <w:rFonts w:ascii="Times New Roman" w:hAnsi="Times New Roman"/>
                <w:color w:val="000000"/>
                <w:sz w:val="12"/>
                <w:szCs w:val="12"/>
              </w:rPr>
            </w:pPr>
            <w:r w:rsidRPr="005403C8">
              <w:rPr>
                <w:rFonts w:ascii="Times New Roman" w:hAnsi="Times New Roman"/>
                <w:color w:val="000000"/>
                <w:sz w:val="12"/>
                <w:szCs w:val="12"/>
              </w:rPr>
              <w:t>2 hours</w:t>
            </w:r>
          </w:p>
        </w:tc>
        <w:tc>
          <w:tcPr>
            <w:tcW w:w="900" w:type="dxa"/>
            <w:tcBorders>
              <w:top w:val="nil"/>
              <w:left w:val="nil"/>
              <w:bottom w:val="single" w:sz="4" w:space="0" w:color="auto"/>
              <w:right w:val="single" w:sz="4" w:space="0" w:color="auto"/>
            </w:tcBorders>
            <w:vAlign w:val="center"/>
          </w:tcPr>
          <w:p w:rsidR="004E5A4F" w:rsidRPr="005403C8" w:rsidRDefault="004E5A4F" w:rsidP="00C639B4">
            <w:pPr>
              <w:jc w:val="center"/>
              <w:rPr>
                <w:rFonts w:ascii="Times New Roman" w:hAnsi="Times New Roman"/>
                <w:color w:val="000000"/>
                <w:sz w:val="12"/>
                <w:szCs w:val="12"/>
              </w:rPr>
            </w:pPr>
            <w:r w:rsidRPr="005403C8">
              <w:rPr>
                <w:rFonts w:ascii="Times New Roman" w:hAnsi="Times New Roman"/>
                <w:color w:val="000000"/>
                <w:sz w:val="12"/>
                <w:szCs w:val="12"/>
              </w:rPr>
              <w:t>400 hours</w:t>
            </w:r>
          </w:p>
        </w:tc>
        <w:tc>
          <w:tcPr>
            <w:tcW w:w="846" w:type="dxa"/>
            <w:tcBorders>
              <w:top w:val="nil"/>
              <w:left w:val="nil"/>
              <w:bottom w:val="single" w:sz="4" w:space="0" w:color="auto"/>
              <w:right w:val="single" w:sz="4" w:space="0" w:color="auto"/>
            </w:tcBorders>
            <w:vAlign w:val="center"/>
          </w:tcPr>
          <w:p w:rsidR="004E5A4F" w:rsidRPr="005403C8" w:rsidRDefault="004E5A4F" w:rsidP="00C639B4">
            <w:pPr>
              <w:jc w:val="center"/>
              <w:rPr>
                <w:rFonts w:ascii="Times New Roman" w:hAnsi="Times New Roman"/>
                <w:color w:val="000000"/>
                <w:sz w:val="12"/>
                <w:szCs w:val="12"/>
              </w:rPr>
            </w:pPr>
            <w:r w:rsidRPr="005403C8">
              <w:rPr>
                <w:rFonts w:ascii="Times New Roman" w:hAnsi="Times New Roman"/>
                <w:color w:val="000000"/>
                <w:sz w:val="12"/>
                <w:szCs w:val="12"/>
              </w:rPr>
              <w:t>54,000 hours</w:t>
            </w:r>
          </w:p>
        </w:tc>
        <w:tc>
          <w:tcPr>
            <w:tcW w:w="703" w:type="dxa"/>
            <w:tcBorders>
              <w:top w:val="nil"/>
              <w:left w:val="nil"/>
              <w:bottom w:val="single" w:sz="4" w:space="0" w:color="auto"/>
              <w:right w:val="single" w:sz="8" w:space="0" w:color="auto"/>
            </w:tcBorders>
            <w:noWrap/>
            <w:vAlign w:val="center"/>
          </w:tcPr>
          <w:p w:rsidR="004E5A4F" w:rsidRPr="005403C8" w:rsidRDefault="00371CFE" w:rsidP="00C639B4">
            <w:pPr>
              <w:jc w:val="center"/>
              <w:rPr>
                <w:rFonts w:ascii="Times New Roman" w:hAnsi="Times New Roman"/>
                <w:color w:val="000000"/>
                <w:sz w:val="12"/>
                <w:szCs w:val="12"/>
              </w:rPr>
            </w:pPr>
            <w:r>
              <w:rPr>
                <w:rFonts w:ascii="Times New Roman" w:hAnsi="Times New Roman"/>
                <w:color w:val="000000"/>
                <w:sz w:val="12"/>
                <w:szCs w:val="12"/>
              </w:rPr>
              <w:t>0</w:t>
            </w:r>
          </w:p>
        </w:tc>
      </w:tr>
      <w:tr w:rsidR="009F77E4" w:rsidRPr="005403C8" w:rsidTr="009F77E4">
        <w:trPr>
          <w:trHeight w:val="624"/>
          <w:jc w:val="center"/>
        </w:trPr>
        <w:tc>
          <w:tcPr>
            <w:tcW w:w="1192" w:type="dxa"/>
            <w:vMerge/>
            <w:tcBorders>
              <w:left w:val="single" w:sz="8" w:space="0" w:color="auto"/>
              <w:bottom w:val="single" w:sz="4" w:space="0" w:color="auto"/>
              <w:right w:val="single" w:sz="4" w:space="0" w:color="auto"/>
            </w:tcBorders>
            <w:vAlign w:val="center"/>
          </w:tcPr>
          <w:p w:rsidR="009F77E4" w:rsidRPr="005403C8" w:rsidRDefault="009F77E4" w:rsidP="00C639B4">
            <w:pPr>
              <w:jc w:val="center"/>
              <w:rPr>
                <w:rFonts w:ascii="Times New Roman" w:hAnsi="Times New Roman"/>
                <w:color w:val="000000"/>
                <w:sz w:val="12"/>
                <w:szCs w:val="12"/>
              </w:rPr>
            </w:pPr>
          </w:p>
        </w:tc>
        <w:tc>
          <w:tcPr>
            <w:tcW w:w="1536" w:type="dxa"/>
            <w:vMerge/>
            <w:tcBorders>
              <w:left w:val="nil"/>
              <w:bottom w:val="single" w:sz="4" w:space="0" w:color="auto"/>
              <w:right w:val="single" w:sz="4" w:space="0" w:color="auto"/>
            </w:tcBorders>
            <w:vAlign w:val="center"/>
          </w:tcPr>
          <w:p w:rsidR="009F77E4" w:rsidRPr="005403C8" w:rsidRDefault="009F77E4" w:rsidP="00C639B4">
            <w:pPr>
              <w:jc w:val="center"/>
              <w:rPr>
                <w:rFonts w:ascii="Times New Roman" w:hAnsi="Times New Roman"/>
                <w:color w:val="000000"/>
                <w:sz w:val="12"/>
                <w:szCs w:val="12"/>
              </w:rPr>
            </w:pPr>
          </w:p>
        </w:tc>
        <w:tc>
          <w:tcPr>
            <w:tcW w:w="1021" w:type="dxa"/>
            <w:tcBorders>
              <w:top w:val="single" w:sz="4" w:space="0" w:color="auto"/>
              <w:left w:val="nil"/>
              <w:bottom w:val="single" w:sz="4" w:space="0" w:color="auto"/>
              <w:right w:val="single" w:sz="4" w:space="0" w:color="auto"/>
            </w:tcBorders>
          </w:tcPr>
          <w:p w:rsidR="009F77E4" w:rsidRPr="005403C8" w:rsidRDefault="009F77E4" w:rsidP="00C639B4">
            <w:pPr>
              <w:jc w:val="center"/>
              <w:rPr>
                <w:rFonts w:ascii="Times New Roman" w:hAnsi="Times New Roman"/>
                <w:color w:val="000000"/>
                <w:sz w:val="12"/>
                <w:szCs w:val="12"/>
              </w:rPr>
            </w:pPr>
            <w:r w:rsidRPr="005403C8">
              <w:rPr>
                <w:rFonts w:ascii="Times New Roman" w:hAnsi="Times New Roman"/>
                <w:color w:val="000000"/>
                <w:sz w:val="12"/>
                <w:szCs w:val="12"/>
              </w:rPr>
              <w:t xml:space="preserve">Engage third party to respond to customer requests </w:t>
            </w:r>
          </w:p>
        </w:tc>
        <w:tc>
          <w:tcPr>
            <w:tcW w:w="810" w:type="dxa"/>
            <w:tcBorders>
              <w:top w:val="single" w:sz="4" w:space="0" w:color="auto"/>
              <w:left w:val="nil"/>
              <w:bottom w:val="single" w:sz="4" w:space="0" w:color="auto"/>
              <w:right w:val="single" w:sz="4" w:space="0" w:color="auto"/>
            </w:tcBorders>
            <w:vAlign w:val="center"/>
          </w:tcPr>
          <w:p w:rsidR="009F77E4" w:rsidRPr="005403C8" w:rsidRDefault="009F77E4" w:rsidP="00F94701">
            <w:pPr>
              <w:jc w:val="center"/>
              <w:rPr>
                <w:rFonts w:ascii="Times New Roman" w:hAnsi="Times New Roman"/>
                <w:color w:val="000000"/>
                <w:sz w:val="12"/>
                <w:szCs w:val="12"/>
              </w:rPr>
            </w:pPr>
            <w:r w:rsidRPr="005403C8">
              <w:rPr>
                <w:rFonts w:ascii="Times New Roman" w:hAnsi="Times New Roman"/>
                <w:color w:val="000000"/>
                <w:sz w:val="12"/>
                <w:szCs w:val="12"/>
              </w:rPr>
              <w:t>65</w:t>
            </w:r>
          </w:p>
        </w:tc>
        <w:tc>
          <w:tcPr>
            <w:tcW w:w="743" w:type="dxa"/>
            <w:tcBorders>
              <w:top w:val="single" w:sz="4" w:space="0" w:color="auto"/>
              <w:left w:val="single" w:sz="4" w:space="0" w:color="auto"/>
              <w:bottom w:val="single" w:sz="4" w:space="0" w:color="auto"/>
              <w:right w:val="single" w:sz="4" w:space="0" w:color="auto"/>
            </w:tcBorders>
            <w:vAlign w:val="center"/>
          </w:tcPr>
          <w:p w:rsidR="009F77E4" w:rsidRPr="005403C8" w:rsidRDefault="009F77E4" w:rsidP="00C639B4">
            <w:pPr>
              <w:jc w:val="center"/>
              <w:rPr>
                <w:rFonts w:ascii="Times New Roman" w:hAnsi="Times New Roman"/>
                <w:color w:val="000000"/>
                <w:sz w:val="12"/>
                <w:szCs w:val="12"/>
              </w:rPr>
            </w:pPr>
            <w:r w:rsidRPr="005403C8">
              <w:rPr>
                <w:rFonts w:ascii="Times New Roman" w:hAnsi="Times New Roman"/>
                <w:color w:val="000000"/>
                <w:sz w:val="12"/>
                <w:szCs w:val="12"/>
              </w:rPr>
              <w:t>200</w:t>
            </w:r>
          </w:p>
        </w:tc>
        <w:tc>
          <w:tcPr>
            <w:tcW w:w="925" w:type="dxa"/>
            <w:tcBorders>
              <w:top w:val="single" w:sz="4" w:space="0" w:color="auto"/>
              <w:left w:val="nil"/>
              <w:bottom w:val="single" w:sz="4" w:space="0" w:color="auto"/>
              <w:right w:val="single" w:sz="4" w:space="0" w:color="auto"/>
            </w:tcBorders>
            <w:shd w:val="clear" w:color="auto" w:fill="auto"/>
            <w:vAlign w:val="center"/>
          </w:tcPr>
          <w:p w:rsidR="009F77E4" w:rsidRPr="005403C8" w:rsidRDefault="009F77E4" w:rsidP="00C639B4">
            <w:pPr>
              <w:jc w:val="center"/>
              <w:rPr>
                <w:rFonts w:ascii="Times New Roman" w:hAnsi="Times New Roman"/>
                <w:color w:val="000000"/>
                <w:sz w:val="12"/>
                <w:szCs w:val="12"/>
              </w:rPr>
            </w:pPr>
            <w:r w:rsidRPr="005403C8">
              <w:rPr>
                <w:rFonts w:ascii="Times New Roman" w:hAnsi="Times New Roman"/>
                <w:color w:val="000000"/>
                <w:sz w:val="12"/>
                <w:szCs w:val="12"/>
              </w:rPr>
              <w:t>0 hours</w:t>
            </w:r>
          </w:p>
        </w:tc>
        <w:tc>
          <w:tcPr>
            <w:tcW w:w="990" w:type="dxa"/>
            <w:tcBorders>
              <w:top w:val="single" w:sz="4" w:space="0" w:color="auto"/>
              <w:left w:val="nil"/>
              <w:bottom w:val="single" w:sz="4" w:space="0" w:color="auto"/>
              <w:right w:val="single" w:sz="4" w:space="0" w:color="auto"/>
            </w:tcBorders>
            <w:shd w:val="clear" w:color="auto" w:fill="auto"/>
            <w:vAlign w:val="center"/>
          </w:tcPr>
          <w:p w:rsidR="009F77E4" w:rsidRPr="005403C8" w:rsidRDefault="009F77E4" w:rsidP="00C639B4">
            <w:pPr>
              <w:jc w:val="center"/>
              <w:rPr>
                <w:rFonts w:ascii="Times New Roman" w:hAnsi="Times New Roman"/>
                <w:color w:val="000000"/>
                <w:sz w:val="12"/>
                <w:szCs w:val="12"/>
              </w:rPr>
            </w:pPr>
            <w:r w:rsidRPr="005403C8">
              <w:rPr>
                <w:rFonts w:ascii="Times New Roman" w:hAnsi="Times New Roman"/>
                <w:color w:val="000000"/>
                <w:sz w:val="12"/>
                <w:szCs w:val="12"/>
              </w:rPr>
              <w:t>0 hours</w:t>
            </w:r>
          </w:p>
        </w:tc>
        <w:tc>
          <w:tcPr>
            <w:tcW w:w="829" w:type="dxa"/>
            <w:tcBorders>
              <w:top w:val="single" w:sz="4" w:space="0" w:color="auto"/>
              <w:left w:val="nil"/>
              <w:bottom w:val="single" w:sz="4" w:space="0" w:color="auto"/>
              <w:right w:val="single" w:sz="4" w:space="0" w:color="auto"/>
            </w:tcBorders>
            <w:vAlign w:val="center"/>
          </w:tcPr>
          <w:p w:rsidR="009F77E4" w:rsidRPr="005403C8" w:rsidRDefault="009F77E4" w:rsidP="00C639B4">
            <w:pPr>
              <w:jc w:val="center"/>
              <w:rPr>
                <w:rFonts w:ascii="Times New Roman" w:hAnsi="Times New Roman"/>
                <w:color w:val="000000"/>
                <w:sz w:val="12"/>
                <w:szCs w:val="12"/>
              </w:rPr>
            </w:pPr>
            <w:r w:rsidRPr="005403C8">
              <w:rPr>
                <w:rFonts w:ascii="Times New Roman" w:hAnsi="Times New Roman"/>
                <w:color w:val="000000"/>
                <w:sz w:val="12"/>
                <w:szCs w:val="12"/>
              </w:rPr>
              <w:t>1 hour</w:t>
            </w:r>
          </w:p>
        </w:tc>
        <w:tc>
          <w:tcPr>
            <w:tcW w:w="971" w:type="dxa"/>
            <w:tcBorders>
              <w:top w:val="single" w:sz="4" w:space="0" w:color="auto"/>
              <w:left w:val="nil"/>
              <w:bottom w:val="single" w:sz="4" w:space="0" w:color="auto"/>
              <w:right w:val="single" w:sz="4" w:space="0" w:color="auto"/>
            </w:tcBorders>
            <w:vAlign w:val="center"/>
          </w:tcPr>
          <w:p w:rsidR="009F77E4" w:rsidRPr="005403C8" w:rsidRDefault="009F77E4" w:rsidP="00C639B4">
            <w:pPr>
              <w:jc w:val="center"/>
              <w:rPr>
                <w:rFonts w:ascii="Times New Roman" w:hAnsi="Times New Roman"/>
                <w:color w:val="000000"/>
                <w:sz w:val="12"/>
                <w:szCs w:val="12"/>
              </w:rPr>
            </w:pPr>
            <w:r w:rsidRPr="005403C8">
              <w:rPr>
                <w:rFonts w:ascii="Times New Roman" w:hAnsi="Times New Roman"/>
                <w:color w:val="000000"/>
                <w:sz w:val="12"/>
                <w:szCs w:val="12"/>
              </w:rPr>
              <w:t>1 hour</w:t>
            </w:r>
          </w:p>
        </w:tc>
        <w:tc>
          <w:tcPr>
            <w:tcW w:w="900" w:type="dxa"/>
            <w:tcBorders>
              <w:top w:val="single" w:sz="4" w:space="0" w:color="auto"/>
              <w:left w:val="nil"/>
              <w:bottom w:val="single" w:sz="4" w:space="0" w:color="auto"/>
              <w:right w:val="single" w:sz="4" w:space="0" w:color="auto"/>
            </w:tcBorders>
            <w:vAlign w:val="center"/>
          </w:tcPr>
          <w:p w:rsidR="009F77E4" w:rsidRPr="005403C8" w:rsidRDefault="009F77E4" w:rsidP="00C639B4">
            <w:pPr>
              <w:jc w:val="center"/>
              <w:rPr>
                <w:rFonts w:ascii="Times New Roman" w:hAnsi="Times New Roman"/>
                <w:color w:val="000000"/>
                <w:sz w:val="12"/>
                <w:szCs w:val="12"/>
              </w:rPr>
            </w:pPr>
            <w:r w:rsidRPr="005403C8">
              <w:rPr>
                <w:rFonts w:ascii="Times New Roman" w:hAnsi="Times New Roman"/>
                <w:color w:val="000000"/>
                <w:sz w:val="12"/>
                <w:szCs w:val="12"/>
              </w:rPr>
              <w:t>200 hours</w:t>
            </w:r>
          </w:p>
        </w:tc>
        <w:tc>
          <w:tcPr>
            <w:tcW w:w="846" w:type="dxa"/>
            <w:tcBorders>
              <w:top w:val="single" w:sz="4" w:space="0" w:color="auto"/>
              <w:left w:val="nil"/>
              <w:bottom w:val="single" w:sz="4" w:space="0" w:color="auto"/>
              <w:right w:val="single" w:sz="4" w:space="0" w:color="auto"/>
            </w:tcBorders>
            <w:vAlign w:val="center"/>
          </w:tcPr>
          <w:p w:rsidR="009F77E4" w:rsidRPr="005403C8" w:rsidRDefault="009F77E4" w:rsidP="00C639B4">
            <w:pPr>
              <w:jc w:val="center"/>
              <w:rPr>
                <w:rFonts w:ascii="Times New Roman" w:hAnsi="Times New Roman"/>
                <w:color w:val="000000"/>
                <w:sz w:val="12"/>
                <w:szCs w:val="12"/>
              </w:rPr>
            </w:pPr>
            <w:r w:rsidRPr="005403C8">
              <w:rPr>
                <w:rFonts w:ascii="Times New Roman" w:hAnsi="Times New Roman"/>
                <w:color w:val="000000"/>
                <w:sz w:val="12"/>
                <w:szCs w:val="12"/>
              </w:rPr>
              <w:t>13,000 hours</w:t>
            </w:r>
          </w:p>
        </w:tc>
        <w:tc>
          <w:tcPr>
            <w:tcW w:w="703" w:type="dxa"/>
            <w:tcBorders>
              <w:top w:val="single" w:sz="4" w:space="0" w:color="auto"/>
              <w:left w:val="nil"/>
              <w:bottom w:val="single" w:sz="4" w:space="0" w:color="auto"/>
              <w:right w:val="single" w:sz="4" w:space="0" w:color="auto"/>
            </w:tcBorders>
            <w:noWrap/>
            <w:vAlign w:val="center"/>
          </w:tcPr>
          <w:p w:rsidR="009F77E4" w:rsidRPr="005403C8" w:rsidRDefault="009F77E4" w:rsidP="00C639B4">
            <w:pPr>
              <w:jc w:val="center"/>
              <w:rPr>
                <w:rFonts w:ascii="Times New Roman" w:hAnsi="Times New Roman"/>
                <w:color w:val="000000"/>
                <w:sz w:val="12"/>
                <w:szCs w:val="12"/>
              </w:rPr>
            </w:pPr>
            <w:r>
              <w:rPr>
                <w:rFonts w:ascii="Times New Roman" w:hAnsi="Times New Roman"/>
                <w:color w:val="000000"/>
                <w:sz w:val="12"/>
                <w:szCs w:val="12"/>
              </w:rPr>
              <w:t>0</w:t>
            </w:r>
          </w:p>
        </w:tc>
      </w:tr>
      <w:tr w:rsidR="00A66842" w:rsidRPr="005403C8" w:rsidTr="009F77E4">
        <w:trPr>
          <w:trHeight w:val="300"/>
          <w:jc w:val="center"/>
        </w:trPr>
        <w:tc>
          <w:tcPr>
            <w:tcW w:w="1192" w:type="dxa"/>
            <w:vMerge w:val="restart"/>
            <w:tcBorders>
              <w:top w:val="nil"/>
              <w:left w:val="single" w:sz="8" w:space="0" w:color="auto"/>
              <w:right w:val="single" w:sz="4" w:space="0" w:color="auto"/>
            </w:tcBorders>
            <w:vAlign w:val="center"/>
          </w:tcPr>
          <w:p w:rsidR="00A66842" w:rsidRPr="005403C8" w:rsidRDefault="007C316B" w:rsidP="00AC3970">
            <w:pPr>
              <w:jc w:val="center"/>
              <w:rPr>
                <w:rFonts w:ascii="Times New Roman" w:hAnsi="Times New Roman"/>
                <w:color w:val="000000"/>
                <w:sz w:val="12"/>
                <w:szCs w:val="12"/>
              </w:rPr>
            </w:pPr>
            <w:r>
              <w:rPr>
                <w:rFonts w:ascii="Times New Roman" w:hAnsi="Times New Roman"/>
                <w:color w:val="000000"/>
                <w:sz w:val="12"/>
                <w:szCs w:val="12"/>
              </w:rPr>
              <w:t>Quarterly Public Disclosure on Routing of Held Orders and Options Contracts</w:t>
            </w:r>
            <w:r w:rsidR="00AC3970" w:rsidRPr="00AC3970">
              <w:rPr>
                <w:rFonts w:ascii="Times New Roman" w:hAnsi="Times New Roman"/>
                <w:color w:val="000000"/>
                <w:sz w:val="12"/>
                <w:szCs w:val="12"/>
              </w:rPr>
              <w:t xml:space="preserve"> </w:t>
            </w:r>
            <w:r w:rsidR="00A66842" w:rsidRPr="005403C8">
              <w:rPr>
                <w:rFonts w:ascii="Times New Roman" w:hAnsi="Times New Roman"/>
                <w:color w:val="000000"/>
                <w:sz w:val="12"/>
                <w:szCs w:val="12"/>
              </w:rPr>
              <w:t>–</w:t>
            </w:r>
            <w:r w:rsidR="00AC3970">
              <w:rPr>
                <w:rFonts w:ascii="Times New Roman" w:hAnsi="Times New Roman"/>
                <w:color w:val="000000"/>
                <w:sz w:val="12"/>
                <w:szCs w:val="12"/>
              </w:rPr>
              <w:t xml:space="preserve"> Rule</w:t>
            </w:r>
            <w:r w:rsidR="00A66842" w:rsidRPr="005403C8">
              <w:rPr>
                <w:rFonts w:ascii="Times New Roman" w:hAnsi="Times New Roman"/>
                <w:color w:val="000000"/>
                <w:sz w:val="12"/>
                <w:szCs w:val="12"/>
              </w:rPr>
              <w:t xml:space="preserve"> </w:t>
            </w:r>
            <w:r w:rsidR="00A66842" w:rsidRPr="005403C8">
              <w:rPr>
                <w:rFonts w:ascii="Times New Roman" w:hAnsi="Times New Roman"/>
                <w:bCs/>
                <w:color w:val="000000"/>
                <w:sz w:val="12"/>
                <w:szCs w:val="12"/>
              </w:rPr>
              <w:t>606(a)(1)</w:t>
            </w:r>
          </w:p>
        </w:tc>
        <w:tc>
          <w:tcPr>
            <w:tcW w:w="1536" w:type="dxa"/>
            <w:vMerge w:val="restart"/>
            <w:tcBorders>
              <w:top w:val="nil"/>
              <w:left w:val="nil"/>
              <w:right w:val="single" w:sz="4" w:space="0" w:color="auto"/>
            </w:tcBorders>
            <w:vAlign w:val="center"/>
          </w:tcPr>
          <w:p w:rsidR="00A66842" w:rsidRPr="005403C8" w:rsidRDefault="00A66842" w:rsidP="00A66842">
            <w:pPr>
              <w:jc w:val="center"/>
              <w:rPr>
                <w:rFonts w:ascii="Times New Roman" w:hAnsi="Times New Roman"/>
                <w:color w:val="000000"/>
                <w:sz w:val="12"/>
                <w:szCs w:val="12"/>
              </w:rPr>
            </w:pPr>
            <w:r w:rsidRPr="005403C8">
              <w:rPr>
                <w:rFonts w:ascii="Times New Roman" w:hAnsi="Times New Roman"/>
                <w:color w:val="000000"/>
                <w:sz w:val="12"/>
                <w:szCs w:val="12"/>
              </w:rPr>
              <w:t>Recordkeeping/Third party disclosure – New information collection</w:t>
            </w:r>
          </w:p>
        </w:tc>
        <w:tc>
          <w:tcPr>
            <w:tcW w:w="1021" w:type="dxa"/>
            <w:tcBorders>
              <w:top w:val="single" w:sz="4" w:space="0" w:color="auto"/>
              <w:left w:val="nil"/>
              <w:bottom w:val="single" w:sz="4" w:space="0" w:color="auto"/>
              <w:right w:val="single" w:sz="4" w:space="0" w:color="auto"/>
            </w:tcBorders>
          </w:tcPr>
          <w:p w:rsidR="00A66842" w:rsidRPr="005403C8" w:rsidRDefault="00A66842" w:rsidP="00C639B4">
            <w:pPr>
              <w:jc w:val="center"/>
              <w:rPr>
                <w:rFonts w:ascii="Times New Roman" w:hAnsi="Times New Roman"/>
                <w:color w:val="000000"/>
                <w:sz w:val="12"/>
                <w:szCs w:val="12"/>
              </w:rPr>
            </w:pPr>
            <w:r w:rsidRPr="005403C8">
              <w:rPr>
                <w:rFonts w:ascii="Times New Roman" w:hAnsi="Times New Roman"/>
                <w:color w:val="000000"/>
                <w:sz w:val="12"/>
                <w:szCs w:val="12"/>
              </w:rPr>
              <w:t>Update data capture systems and create reports in house</w:t>
            </w:r>
          </w:p>
        </w:tc>
        <w:tc>
          <w:tcPr>
            <w:tcW w:w="810" w:type="dxa"/>
            <w:tcBorders>
              <w:top w:val="single" w:sz="4" w:space="0" w:color="auto"/>
              <w:left w:val="nil"/>
              <w:bottom w:val="single" w:sz="6" w:space="0" w:color="auto"/>
              <w:right w:val="single" w:sz="4" w:space="0" w:color="auto"/>
            </w:tcBorders>
            <w:vAlign w:val="center"/>
          </w:tcPr>
          <w:p w:rsidR="00A66842" w:rsidRPr="004E19CA" w:rsidRDefault="00AC3970" w:rsidP="00A66842">
            <w:pPr>
              <w:jc w:val="center"/>
              <w:rPr>
                <w:rFonts w:ascii="Times New Roman" w:hAnsi="Times New Roman"/>
                <w:color w:val="000000"/>
                <w:sz w:val="12"/>
                <w:szCs w:val="12"/>
              </w:rPr>
            </w:pPr>
            <w:r w:rsidRPr="004E19CA">
              <w:rPr>
                <w:rFonts w:ascii="Times New Roman" w:hAnsi="Times New Roman"/>
                <w:color w:val="000000"/>
                <w:sz w:val="12"/>
                <w:szCs w:val="12"/>
              </w:rPr>
              <w:t>97</w:t>
            </w:r>
          </w:p>
        </w:tc>
        <w:tc>
          <w:tcPr>
            <w:tcW w:w="743" w:type="dxa"/>
            <w:tcBorders>
              <w:top w:val="single" w:sz="4" w:space="0" w:color="auto"/>
              <w:left w:val="single" w:sz="4" w:space="0" w:color="auto"/>
              <w:bottom w:val="single" w:sz="4" w:space="0" w:color="auto"/>
              <w:right w:val="single" w:sz="4" w:space="0" w:color="auto"/>
            </w:tcBorders>
            <w:vAlign w:val="center"/>
          </w:tcPr>
          <w:p w:rsidR="00A66842" w:rsidRPr="004E19CA" w:rsidRDefault="00A66842" w:rsidP="00C639B4">
            <w:pPr>
              <w:jc w:val="center"/>
              <w:rPr>
                <w:rFonts w:ascii="Times New Roman" w:hAnsi="Times New Roman"/>
                <w:color w:val="000000"/>
                <w:sz w:val="12"/>
                <w:szCs w:val="12"/>
              </w:rPr>
            </w:pPr>
            <w:r w:rsidRPr="004E19CA">
              <w:rPr>
                <w:rFonts w:ascii="Times New Roman" w:hAnsi="Times New Roman"/>
                <w:color w:val="000000"/>
                <w:sz w:val="12"/>
                <w:szCs w:val="12"/>
              </w:rPr>
              <w:t>1</w:t>
            </w:r>
          </w:p>
        </w:tc>
        <w:tc>
          <w:tcPr>
            <w:tcW w:w="925" w:type="dxa"/>
            <w:tcBorders>
              <w:top w:val="single" w:sz="4" w:space="0" w:color="auto"/>
              <w:left w:val="nil"/>
              <w:bottom w:val="single" w:sz="4" w:space="0" w:color="auto"/>
              <w:right w:val="single" w:sz="4" w:space="0" w:color="auto"/>
            </w:tcBorders>
            <w:vAlign w:val="center"/>
          </w:tcPr>
          <w:p w:rsidR="00A66842" w:rsidRPr="004E19CA" w:rsidRDefault="009F77E4" w:rsidP="00C639B4">
            <w:pPr>
              <w:jc w:val="center"/>
              <w:rPr>
                <w:rFonts w:ascii="Times New Roman" w:hAnsi="Times New Roman"/>
                <w:color w:val="000000"/>
                <w:sz w:val="12"/>
                <w:szCs w:val="12"/>
              </w:rPr>
            </w:pPr>
            <w:r w:rsidRPr="004E19CA">
              <w:rPr>
                <w:rFonts w:ascii="Times New Roman" w:hAnsi="Times New Roman"/>
                <w:color w:val="000000"/>
                <w:sz w:val="12"/>
                <w:szCs w:val="12"/>
              </w:rPr>
              <w:t>240</w:t>
            </w:r>
            <w:r w:rsidR="00A66842" w:rsidRPr="004E19CA">
              <w:rPr>
                <w:rFonts w:ascii="Times New Roman" w:hAnsi="Times New Roman"/>
                <w:color w:val="000000"/>
                <w:sz w:val="12"/>
                <w:szCs w:val="12"/>
              </w:rPr>
              <w:t xml:space="preserve"> hours</w:t>
            </w:r>
          </w:p>
        </w:tc>
        <w:tc>
          <w:tcPr>
            <w:tcW w:w="990" w:type="dxa"/>
            <w:tcBorders>
              <w:top w:val="single" w:sz="4" w:space="0" w:color="auto"/>
              <w:left w:val="nil"/>
              <w:bottom w:val="single" w:sz="4" w:space="0" w:color="auto"/>
              <w:right w:val="single" w:sz="4" w:space="0" w:color="auto"/>
            </w:tcBorders>
            <w:vAlign w:val="center"/>
          </w:tcPr>
          <w:p w:rsidR="00A66842" w:rsidRPr="004E19CA" w:rsidRDefault="00523D3A" w:rsidP="00C639B4">
            <w:pPr>
              <w:jc w:val="center"/>
              <w:rPr>
                <w:rFonts w:ascii="Times New Roman" w:hAnsi="Times New Roman"/>
                <w:color w:val="000000"/>
                <w:sz w:val="12"/>
                <w:szCs w:val="12"/>
              </w:rPr>
            </w:pPr>
            <w:r w:rsidRPr="004E19CA">
              <w:rPr>
                <w:rFonts w:ascii="Times New Roman" w:hAnsi="Times New Roman"/>
                <w:color w:val="000000"/>
                <w:sz w:val="12"/>
                <w:szCs w:val="12"/>
              </w:rPr>
              <w:t>80</w:t>
            </w:r>
            <w:r w:rsidR="00A66842" w:rsidRPr="004E19CA">
              <w:rPr>
                <w:rFonts w:ascii="Times New Roman" w:hAnsi="Times New Roman"/>
                <w:color w:val="000000"/>
                <w:sz w:val="12"/>
                <w:szCs w:val="12"/>
              </w:rPr>
              <w:t xml:space="preserve"> hours</w:t>
            </w:r>
          </w:p>
        </w:tc>
        <w:tc>
          <w:tcPr>
            <w:tcW w:w="829" w:type="dxa"/>
            <w:tcBorders>
              <w:top w:val="single" w:sz="4" w:space="0" w:color="auto"/>
              <w:left w:val="nil"/>
              <w:bottom w:val="single" w:sz="4" w:space="0" w:color="auto"/>
              <w:right w:val="single" w:sz="4" w:space="0" w:color="auto"/>
            </w:tcBorders>
            <w:vAlign w:val="center"/>
          </w:tcPr>
          <w:p w:rsidR="00A66842" w:rsidRPr="004E19CA" w:rsidRDefault="00523D3A" w:rsidP="00C639B4">
            <w:pPr>
              <w:jc w:val="center"/>
              <w:rPr>
                <w:rFonts w:ascii="Times New Roman" w:hAnsi="Times New Roman"/>
                <w:color w:val="000000"/>
                <w:sz w:val="12"/>
                <w:szCs w:val="12"/>
              </w:rPr>
            </w:pPr>
            <w:r w:rsidRPr="004E19CA">
              <w:rPr>
                <w:rFonts w:ascii="Times New Roman" w:hAnsi="Times New Roman"/>
                <w:color w:val="000000"/>
                <w:sz w:val="12"/>
                <w:szCs w:val="12"/>
              </w:rPr>
              <w:t>0 hours</w:t>
            </w:r>
          </w:p>
        </w:tc>
        <w:tc>
          <w:tcPr>
            <w:tcW w:w="971" w:type="dxa"/>
            <w:tcBorders>
              <w:top w:val="single" w:sz="4" w:space="0" w:color="auto"/>
              <w:left w:val="nil"/>
              <w:bottom w:val="single" w:sz="4" w:space="0" w:color="auto"/>
              <w:right w:val="single" w:sz="4" w:space="0" w:color="auto"/>
            </w:tcBorders>
            <w:vAlign w:val="center"/>
          </w:tcPr>
          <w:p w:rsidR="00A66842" w:rsidRPr="004E19CA" w:rsidRDefault="00523D3A" w:rsidP="00C639B4">
            <w:pPr>
              <w:jc w:val="center"/>
              <w:rPr>
                <w:rFonts w:ascii="Times New Roman" w:hAnsi="Times New Roman"/>
                <w:color w:val="000000"/>
                <w:sz w:val="12"/>
                <w:szCs w:val="12"/>
              </w:rPr>
            </w:pPr>
            <w:r w:rsidRPr="004E19CA">
              <w:rPr>
                <w:rFonts w:ascii="Times New Roman" w:hAnsi="Times New Roman"/>
                <w:color w:val="000000"/>
                <w:sz w:val="12"/>
                <w:szCs w:val="12"/>
              </w:rPr>
              <w:t>80 hours</w:t>
            </w:r>
          </w:p>
        </w:tc>
        <w:tc>
          <w:tcPr>
            <w:tcW w:w="900" w:type="dxa"/>
            <w:tcBorders>
              <w:top w:val="single" w:sz="4" w:space="0" w:color="auto"/>
              <w:left w:val="nil"/>
              <w:bottom w:val="single" w:sz="4" w:space="0" w:color="auto"/>
              <w:right w:val="single" w:sz="4" w:space="0" w:color="auto"/>
            </w:tcBorders>
            <w:vAlign w:val="center"/>
          </w:tcPr>
          <w:p w:rsidR="00A66842" w:rsidRPr="004E19CA" w:rsidRDefault="00523D3A" w:rsidP="00C639B4">
            <w:pPr>
              <w:jc w:val="center"/>
              <w:rPr>
                <w:rFonts w:ascii="Times New Roman" w:hAnsi="Times New Roman"/>
                <w:color w:val="000000"/>
                <w:sz w:val="12"/>
                <w:szCs w:val="12"/>
              </w:rPr>
            </w:pPr>
            <w:r w:rsidRPr="004E19CA">
              <w:rPr>
                <w:rFonts w:ascii="Times New Roman" w:hAnsi="Times New Roman"/>
                <w:color w:val="000000"/>
                <w:sz w:val="12"/>
                <w:szCs w:val="12"/>
              </w:rPr>
              <w:t>80 hours</w:t>
            </w:r>
          </w:p>
        </w:tc>
        <w:tc>
          <w:tcPr>
            <w:tcW w:w="846" w:type="dxa"/>
            <w:tcBorders>
              <w:top w:val="single" w:sz="4" w:space="0" w:color="auto"/>
              <w:left w:val="nil"/>
              <w:bottom w:val="single" w:sz="4" w:space="0" w:color="auto"/>
              <w:right w:val="single" w:sz="4" w:space="0" w:color="auto"/>
            </w:tcBorders>
            <w:vAlign w:val="center"/>
          </w:tcPr>
          <w:p w:rsidR="00A66842" w:rsidRPr="004E19CA" w:rsidRDefault="00523D3A" w:rsidP="00C639B4">
            <w:pPr>
              <w:jc w:val="center"/>
              <w:rPr>
                <w:rFonts w:ascii="Times New Roman" w:hAnsi="Times New Roman"/>
                <w:color w:val="000000"/>
                <w:sz w:val="12"/>
                <w:szCs w:val="12"/>
              </w:rPr>
            </w:pPr>
            <w:r w:rsidRPr="004E19CA">
              <w:rPr>
                <w:rFonts w:ascii="Times New Roman" w:hAnsi="Times New Roman"/>
                <w:color w:val="000000"/>
                <w:sz w:val="12"/>
                <w:szCs w:val="12"/>
              </w:rPr>
              <w:t xml:space="preserve">7,760 </w:t>
            </w:r>
            <w:r w:rsidR="00A66842" w:rsidRPr="004E19CA">
              <w:rPr>
                <w:rFonts w:ascii="Times New Roman" w:hAnsi="Times New Roman"/>
                <w:color w:val="000000"/>
                <w:sz w:val="12"/>
                <w:szCs w:val="12"/>
              </w:rPr>
              <w:t>hours</w:t>
            </w:r>
          </w:p>
        </w:tc>
        <w:tc>
          <w:tcPr>
            <w:tcW w:w="703" w:type="dxa"/>
            <w:tcBorders>
              <w:top w:val="single" w:sz="4" w:space="0" w:color="auto"/>
              <w:left w:val="nil"/>
              <w:bottom w:val="single" w:sz="4" w:space="0" w:color="auto"/>
              <w:right w:val="single" w:sz="8" w:space="0" w:color="auto"/>
            </w:tcBorders>
            <w:noWrap/>
            <w:vAlign w:val="center"/>
          </w:tcPr>
          <w:p w:rsidR="00A66842" w:rsidRPr="005403C8" w:rsidRDefault="00371CFE" w:rsidP="00C639B4">
            <w:pPr>
              <w:jc w:val="center"/>
              <w:rPr>
                <w:rFonts w:ascii="Times New Roman" w:hAnsi="Times New Roman"/>
                <w:color w:val="000000"/>
                <w:sz w:val="12"/>
                <w:szCs w:val="12"/>
              </w:rPr>
            </w:pPr>
            <w:r>
              <w:rPr>
                <w:rFonts w:ascii="Times New Roman" w:hAnsi="Times New Roman"/>
                <w:color w:val="000000"/>
                <w:sz w:val="12"/>
                <w:szCs w:val="12"/>
              </w:rPr>
              <w:t>0</w:t>
            </w:r>
          </w:p>
        </w:tc>
      </w:tr>
      <w:tr w:rsidR="00A66842" w:rsidRPr="005403C8" w:rsidTr="00A66842">
        <w:trPr>
          <w:trHeight w:val="300"/>
          <w:jc w:val="center"/>
        </w:trPr>
        <w:tc>
          <w:tcPr>
            <w:tcW w:w="1192" w:type="dxa"/>
            <w:vMerge/>
            <w:tcBorders>
              <w:left w:val="single" w:sz="8" w:space="0" w:color="auto"/>
              <w:right w:val="single" w:sz="4" w:space="0" w:color="auto"/>
            </w:tcBorders>
            <w:vAlign w:val="center"/>
          </w:tcPr>
          <w:p w:rsidR="00A66842" w:rsidRPr="005403C8" w:rsidRDefault="00A66842" w:rsidP="00C639B4">
            <w:pPr>
              <w:jc w:val="center"/>
              <w:rPr>
                <w:rFonts w:ascii="Times New Roman" w:hAnsi="Times New Roman"/>
                <w:sz w:val="12"/>
                <w:szCs w:val="12"/>
              </w:rPr>
            </w:pPr>
          </w:p>
        </w:tc>
        <w:tc>
          <w:tcPr>
            <w:tcW w:w="1536" w:type="dxa"/>
            <w:vMerge/>
            <w:tcBorders>
              <w:left w:val="nil"/>
              <w:right w:val="single" w:sz="4" w:space="0" w:color="auto"/>
            </w:tcBorders>
            <w:vAlign w:val="center"/>
          </w:tcPr>
          <w:p w:rsidR="00A66842" w:rsidRPr="005403C8" w:rsidRDefault="00A66842" w:rsidP="00CE2870">
            <w:pPr>
              <w:jc w:val="center"/>
              <w:rPr>
                <w:rFonts w:ascii="Times New Roman" w:hAnsi="Times New Roman"/>
                <w:color w:val="000000"/>
                <w:sz w:val="12"/>
                <w:szCs w:val="12"/>
              </w:rPr>
            </w:pPr>
          </w:p>
        </w:tc>
        <w:tc>
          <w:tcPr>
            <w:tcW w:w="1021" w:type="dxa"/>
            <w:tcBorders>
              <w:top w:val="nil"/>
              <w:left w:val="nil"/>
              <w:bottom w:val="single" w:sz="4" w:space="0" w:color="auto"/>
              <w:right w:val="single" w:sz="4" w:space="0" w:color="auto"/>
            </w:tcBorders>
          </w:tcPr>
          <w:p w:rsidR="00A66842" w:rsidRPr="005403C8" w:rsidRDefault="00A66842" w:rsidP="00C639B4">
            <w:pPr>
              <w:jc w:val="center"/>
              <w:rPr>
                <w:rFonts w:ascii="Times New Roman" w:hAnsi="Times New Roman"/>
                <w:color w:val="000000"/>
                <w:sz w:val="12"/>
                <w:szCs w:val="12"/>
              </w:rPr>
            </w:pPr>
            <w:r w:rsidRPr="005403C8">
              <w:rPr>
                <w:rFonts w:ascii="Times New Roman" w:hAnsi="Times New Roman"/>
                <w:color w:val="000000"/>
                <w:sz w:val="12"/>
                <w:szCs w:val="12"/>
              </w:rPr>
              <w:t>Engage third party to update data capture systems and create reports</w:t>
            </w:r>
          </w:p>
        </w:tc>
        <w:tc>
          <w:tcPr>
            <w:tcW w:w="810" w:type="dxa"/>
            <w:tcBorders>
              <w:top w:val="single" w:sz="6" w:space="0" w:color="auto"/>
              <w:left w:val="nil"/>
              <w:bottom w:val="single" w:sz="6" w:space="0" w:color="auto"/>
              <w:right w:val="single" w:sz="4" w:space="0" w:color="auto"/>
            </w:tcBorders>
            <w:vAlign w:val="center"/>
          </w:tcPr>
          <w:p w:rsidR="00A66842" w:rsidRPr="004E19CA" w:rsidRDefault="00AC3970" w:rsidP="00A66842">
            <w:pPr>
              <w:jc w:val="center"/>
              <w:rPr>
                <w:rFonts w:ascii="Times New Roman" w:hAnsi="Times New Roman"/>
                <w:color w:val="000000"/>
                <w:sz w:val="12"/>
                <w:szCs w:val="12"/>
              </w:rPr>
            </w:pPr>
            <w:r w:rsidRPr="004E19CA">
              <w:rPr>
                <w:rFonts w:ascii="Times New Roman" w:hAnsi="Times New Roman"/>
                <w:color w:val="000000"/>
                <w:sz w:val="12"/>
                <w:szCs w:val="12"/>
              </w:rPr>
              <w:t>195</w:t>
            </w:r>
          </w:p>
        </w:tc>
        <w:tc>
          <w:tcPr>
            <w:tcW w:w="743" w:type="dxa"/>
            <w:tcBorders>
              <w:top w:val="nil"/>
              <w:left w:val="single" w:sz="4" w:space="0" w:color="auto"/>
              <w:bottom w:val="single" w:sz="4" w:space="0" w:color="auto"/>
              <w:right w:val="single" w:sz="4" w:space="0" w:color="auto"/>
            </w:tcBorders>
            <w:vAlign w:val="center"/>
          </w:tcPr>
          <w:p w:rsidR="00A66842" w:rsidRPr="004E19CA" w:rsidRDefault="00A66842" w:rsidP="00C639B4">
            <w:pPr>
              <w:jc w:val="center"/>
              <w:rPr>
                <w:rFonts w:ascii="Times New Roman" w:hAnsi="Times New Roman"/>
                <w:color w:val="000000"/>
                <w:sz w:val="12"/>
                <w:szCs w:val="12"/>
              </w:rPr>
            </w:pPr>
            <w:r w:rsidRPr="004E19CA">
              <w:rPr>
                <w:rFonts w:ascii="Times New Roman" w:hAnsi="Times New Roman"/>
                <w:color w:val="000000"/>
                <w:sz w:val="12"/>
                <w:szCs w:val="12"/>
              </w:rPr>
              <w:t>1</w:t>
            </w:r>
          </w:p>
        </w:tc>
        <w:tc>
          <w:tcPr>
            <w:tcW w:w="925" w:type="dxa"/>
            <w:tcBorders>
              <w:top w:val="nil"/>
              <w:left w:val="nil"/>
              <w:bottom w:val="single" w:sz="4" w:space="0" w:color="auto"/>
              <w:right w:val="single" w:sz="4" w:space="0" w:color="auto"/>
            </w:tcBorders>
            <w:vAlign w:val="center"/>
          </w:tcPr>
          <w:p w:rsidR="00A66842" w:rsidRPr="004E19CA" w:rsidRDefault="00A66842" w:rsidP="00A66842">
            <w:pPr>
              <w:jc w:val="center"/>
              <w:rPr>
                <w:rFonts w:ascii="Times New Roman" w:hAnsi="Times New Roman"/>
                <w:color w:val="000000"/>
                <w:sz w:val="12"/>
                <w:szCs w:val="12"/>
              </w:rPr>
            </w:pPr>
            <w:r w:rsidRPr="004E19CA">
              <w:rPr>
                <w:rFonts w:ascii="Times New Roman" w:hAnsi="Times New Roman"/>
                <w:color w:val="000000"/>
                <w:sz w:val="12"/>
                <w:szCs w:val="12"/>
              </w:rPr>
              <w:t>20 hours</w:t>
            </w:r>
          </w:p>
        </w:tc>
        <w:tc>
          <w:tcPr>
            <w:tcW w:w="990" w:type="dxa"/>
            <w:tcBorders>
              <w:top w:val="nil"/>
              <w:left w:val="nil"/>
              <w:bottom w:val="single" w:sz="4" w:space="0" w:color="auto"/>
              <w:right w:val="single" w:sz="4" w:space="0" w:color="auto"/>
            </w:tcBorders>
            <w:vAlign w:val="center"/>
          </w:tcPr>
          <w:p w:rsidR="00A66842" w:rsidRPr="004E19CA" w:rsidRDefault="00A27DB9" w:rsidP="00A66842">
            <w:pPr>
              <w:jc w:val="center"/>
              <w:rPr>
                <w:rFonts w:ascii="Times New Roman" w:hAnsi="Times New Roman"/>
                <w:color w:val="000000"/>
                <w:sz w:val="12"/>
                <w:szCs w:val="12"/>
              </w:rPr>
            </w:pPr>
            <w:r w:rsidRPr="004E19CA">
              <w:rPr>
                <w:rFonts w:ascii="Times New Roman" w:hAnsi="Times New Roman"/>
                <w:color w:val="000000"/>
                <w:sz w:val="12"/>
                <w:szCs w:val="12"/>
              </w:rPr>
              <w:t>6.67 hours</w:t>
            </w:r>
          </w:p>
        </w:tc>
        <w:tc>
          <w:tcPr>
            <w:tcW w:w="829" w:type="dxa"/>
            <w:tcBorders>
              <w:top w:val="nil"/>
              <w:left w:val="nil"/>
              <w:bottom w:val="single" w:sz="4" w:space="0" w:color="auto"/>
              <w:right w:val="single" w:sz="4" w:space="0" w:color="auto"/>
            </w:tcBorders>
            <w:vAlign w:val="center"/>
          </w:tcPr>
          <w:p w:rsidR="00A66842" w:rsidRPr="004E19CA" w:rsidRDefault="00523D3A" w:rsidP="00A66842">
            <w:pPr>
              <w:jc w:val="center"/>
              <w:rPr>
                <w:rFonts w:ascii="Times New Roman" w:hAnsi="Times New Roman"/>
                <w:color w:val="000000"/>
                <w:sz w:val="12"/>
                <w:szCs w:val="12"/>
              </w:rPr>
            </w:pPr>
            <w:r w:rsidRPr="004E19CA">
              <w:rPr>
                <w:rFonts w:ascii="Times New Roman" w:hAnsi="Times New Roman"/>
                <w:color w:val="000000"/>
                <w:sz w:val="12"/>
                <w:szCs w:val="12"/>
              </w:rPr>
              <w:t>0 hou</w:t>
            </w:r>
            <w:r w:rsidR="004E19CA">
              <w:rPr>
                <w:rFonts w:ascii="Times New Roman" w:hAnsi="Times New Roman"/>
                <w:color w:val="000000"/>
                <w:sz w:val="12"/>
                <w:szCs w:val="12"/>
              </w:rPr>
              <w:t>r</w:t>
            </w:r>
            <w:r w:rsidRPr="004E19CA">
              <w:rPr>
                <w:rFonts w:ascii="Times New Roman" w:hAnsi="Times New Roman"/>
                <w:color w:val="000000"/>
                <w:sz w:val="12"/>
                <w:szCs w:val="12"/>
              </w:rPr>
              <w:t>s</w:t>
            </w:r>
          </w:p>
        </w:tc>
        <w:tc>
          <w:tcPr>
            <w:tcW w:w="971" w:type="dxa"/>
            <w:tcBorders>
              <w:top w:val="nil"/>
              <w:left w:val="nil"/>
              <w:bottom w:val="single" w:sz="4" w:space="0" w:color="auto"/>
              <w:right w:val="single" w:sz="4" w:space="0" w:color="auto"/>
            </w:tcBorders>
            <w:vAlign w:val="center"/>
          </w:tcPr>
          <w:p w:rsidR="00A66842" w:rsidRPr="004E19CA" w:rsidRDefault="00A27DB9" w:rsidP="00A66842">
            <w:pPr>
              <w:jc w:val="center"/>
              <w:rPr>
                <w:rFonts w:ascii="Times New Roman" w:hAnsi="Times New Roman"/>
                <w:color w:val="000000"/>
                <w:sz w:val="12"/>
                <w:szCs w:val="12"/>
              </w:rPr>
            </w:pPr>
            <w:r w:rsidRPr="004E19CA">
              <w:rPr>
                <w:rFonts w:ascii="Times New Roman" w:hAnsi="Times New Roman"/>
                <w:color w:val="000000"/>
                <w:sz w:val="12"/>
                <w:szCs w:val="12"/>
              </w:rPr>
              <w:t>6.67 hours</w:t>
            </w:r>
          </w:p>
        </w:tc>
        <w:tc>
          <w:tcPr>
            <w:tcW w:w="900" w:type="dxa"/>
            <w:tcBorders>
              <w:top w:val="nil"/>
              <w:left w:val="nil"/>
              <w:bottom w:val="single" w:sz="4" w:space="0" w:color="auto"/>
              <w:right w:val="single" w:sz="4" w:space="0" w:color="auto"/>
            </w:tcBorders>
            <w:vAlign w:val="center"/>
          </w:tcPr>
          <w:p w:rsidR="00A66842" w:rsidRPr="004E19CA" w:rsidRDefault="00A27DB9" w:rsidP="00A66842">
            <w:pPr>
              <w:jc w:val="center"/>
              <w:rPr>
                <w:rFonts w:ascii="Times New Roman" w:hAnsi="Times New Roman"/>
                <w:color w:val="000000"/>
                <w:sz w:val="12"/>
                <w:szCs w:val="12"/>
              </w:rPr>
            </w:pPr>
            <w:r w:rsidRPr="004E19CA">
              <w:rPr>
                <w:rFonts w:ascii="Times New Roman" w:hAnsi="Times New Roman"/>
                <w:color w:val="000000"/>
                <w:sz w:val="12"/>
                <w:szCs w:val="12"/>
              </w:rPr>
              <w:t>6.67 hours</w:t>
            </w:r>
          </w:p>
        </w:tc>
        <w:tc>
          <w:tcPr>
            <w:tcW w:w="846" w:type="dxa"/>
            <w:tcBorders>
              <w:top w:val="nil"/>
              <w:left w:val="nil"/>
              <w:bottom w:val="single" w:sz="4" w:space="0" w:color="auto"/>
              <w:right w:val="single" w:sz="4" w:space="0" w:color="auto"/>
            </w:tcBorders>
            <w:vAlign w:val="center"/>
          </w:tcPr>
          <w:p w:rsidR="00A66842" w:rsidRPr="004E19CA" w:rsidRDefault="00523D3A" w:rsidP="00A66842">
            <w:pPr>
              <w:jc w:val="center"/>
              <w:rPr>
                <w:rFonts w:ascii="Times New Roman" w:hAnsi="Times New Roman"/>
                <w:color w:val="000000"/>
                <w:sz w:val="12"/>
                <w:szCs w:val="12"/>
              </w:rPr>
            </w:pPr>
            <w:r w:rsidRPr="004E19CA">
              <w:rPr>
                <w:rFonts w:ascii="Times New Roman" w:hAnsi="Times New Roman"/>
                <w:color w:val="000000"/>
                <w:sz w:val="12"/>
                <w:szCs w:val="12"/>
              </w:rPr>
              <w:t xml:space="preserve">1,300 </w:t>
            </w:r>
            <w:r w:rsidR="00A66842" w:rsidRPr="004E19CA">
              <w:rPr>
                <w:rFonts w:ascii="Times New Roman" w:hAnsi="Times New Roman"/>
                <w:color w:val="000000"/>
                <w:sz w:val="12"/>
                <w:szCs w:val="12"/>
              </w:rPr>
              <w:t>hours</w:t>
            </w:r>
          </w:p>
        </w:tc>
        <w:tc>
          <w:tcPr>
            <w:tcW w:w="703" w:type="dxa"/>
            <w:tcBorders>
              <w:top w:val="nil"/>
              <w:left w:val="nil"/>
              <w:bottom w:val="single" w:sz="4" w:space="0" w:color="auto"/>
              <w:right w:val="single" w:sz="8" w:space="0" w:color="auto"/>
            </w:tcBorders>
            <w:noWrap/>
            <w:vAlign w:val="center"/>
          </w:tcPr>
          <w:p w:rsidR="00A66842" w:rsidRPr="005403C8" w:rsidRDefault="00371CFE" w:rsidP="00A66842">
            <w:pPr>
              <w:jc w:val="center"/>
              <w:rPr>
                <w:rFonts w:ascii="Times New Roman" w:hAnsi="Times New Roman"/>
                <w:color w:val="000000"/>
                <w:sz w:val="12"/>
                <w:szCs w:val="12"/>
              </w:rPr>
            </w:pPr>
            <w:r>
              <w:rPr>
                <w:rFonts w:ascii="Times New Roman" w:hAnsi="Times New Roman"/>
                <w:color w:val="000000"/>
                <w:sz w:val="12"/>
                <w:szCs w:val="12"/>
              </w:rPr>
              <w:t>0</w:t>
            </w:r>
          </w:p>
        </w:tc>
      </w:tr>
      <w:tr w:rsidR="00AC3970" w:rsidRPr="005403C8" w:rsidTr="00AC3970">
        <w:trPr>
          <w:trHeight w:val="714"/>
          <w:jc w:val="center"/>
        </w:trPr>
        <w:tc>
          <w:tcPr>
            <w:tcW w:w="1192" w:type="dxa"/>
            <w:vMerge/>
            <w:tcBorders>
              <w:left w:val="single" w:sz="8" w:space="0" w:color="auto"/>
              <w:right w:val="single" w:sz="4" w:space="0" w:color="auto"/>
            </w:tcBorders>
            <w:vAlign w:val="center"/>
          </w:tcPr>
          <w:p w:rsidR="00AC3970" w:rsidRPr="005403C8" w:rsidRDefault="00AC3970" w:rsidP="00C639B4">
            <w:pPr>
              <w:jc w:val="center"/>
              <w:rPr>
                <w:rFonts w:ascii="Times New Roman" w:hAnsi="Times New Roman"/>
                <w:sz w:val="12"/>
                <w:szCs w:val="12"/>
              </w:rPr>
            </w:pPr>
          </w:p>
        </w:tc>
        <w:tc>
          <w:tcPr>
            <w:tcW w:w="1536" w:type="dxa"/>
            <w:vMerge/>
            <w:tcBorders>
              <w:left w:val="nil"/>
              <w:right w:val="single" w:sz="4" w:space="0" w:color="auto"/>
            </w:tcBorders>
            <w:vAlign w:val="center"/>
          </w:tcPr>
          <w:p w:rsidR="00AC3970" w:rsidRPr="005403C8" w:rsidRDefault="00AC3970" w:rsidP="00CE2870">
            <w:pPr>
              <w:jc w:val="center"/>
              <w:rPr>
                <w:rFonts w:ascii="Times New Roman" w:hAnsi="Times New Roman"/>
                <w:color w:val="000000"/>
                <w:sz w:val="12"/>
                <w:szCs w:val="12"/>
              </w:rPr>
            </w:pPr>
          </w:p>
        </w:tc>
        <w:tc>
          <w:tcPr>
            <w:tcW w:w="1021" w:type="dxa"/>
            <w:tcBorders>
              <w:top w:val="nil"/>
              <w:left w:val="nil"/>
              <w:right w:val="single" w:sz="4" w:space="0" w:color="auto"/>
            </w:tcBorders>
            <w:vAlign w:val="center"/>
          </w:tcPr>
          <w:p w:rsidR="00AC3970" w:rsidRPr="005403C8" w:rsidRDefault="00AC3970" w:rsidP="00661CDC">
            <w:pPr>
              <w:jc w:val="center"/>
              <w:rPr>
                <w:rFonts w:ascii="Times New Roman" w:hAnsi="Times New Roman"/>
                <w:color w:val="000000"/>
                <w:sz w:val="12"/>
                <w:szCs w:val="12"/>
              </w:rPr>
            </w:pPr>
            <w:r w:rsidRPr="005403C8">
              <w:rPr>
                <w:rFonts w:ascii="Times New Roman" w:hAnsi="Times New Roman"/>
                <w:color w:val="000000"/>
                <w:sz w:val="12"/>
                <w:szCs w:val="12"/>
              </w:rPr>
              <w:t>Assess payment for order flow and profit-sharing relationships</w:t>
            </w:r>
          </w:p>
        </w:tc>
        <w:tc>
          <w:tcPr>
            <w:tcW w:w="810" w:type="dxa"/>
            <w:tcBorders>
              <w:top w:val="single" w:sz="6" w:space="0" w:color="auto"/>
              <w:left w:val="nil"/>
              <w:right w:val="single" w:sz="4" w:space="0" w:color="auto"/>
            </w:tcBorders>
            <w:vAlign w:val="center"/>
          </w:tcPr>
          <w:p w:rsidR="00AC3970" w:rsidRPr="004E19CA" w:rsidRDefault="0051127A" w:rsidP="00661CDC">
            <w:pPr>
              <w:jc w:val="center"/>
              <w:rPr>
                <w:rFonts w:ascii="Times New Roman" w:hAnsi="Times New Roman"/>
                <w:color w:val="000000"/>
                <w:sz w:val="12"/>
                <w:szCs w:val="12"/>
              </w:rPr>
            </w:pPr>
            <w:r w:rsidRPr="004E19CA">
              <w:rPr>
                <w:rFonts w:ascii="Times New Roman" w:hAnsi="Times New Roman"/>
                <w:color w:val="000000"/>
                <w:sz w:val="12"/>
                <w:szCs w:val="12"/>
              </w:rPr>
              <w:t>292</w:t>
            </w:r>
          </w:p>
        </w:tc>
        <w:tc>
          <w:tcPr>
            <w:tcW w:w="743" w:type="dxa"/>
            <w:tcBorders>
              <w:top w:val="nil"/>
              <w:left w:val="single" w:sz="4" w:space="0" w:color="auto"/>
              <w:right w:val="single" w:sz="4" w:space="0" w:color="auto"/>
            </w:tcBorders>
            <w:vAlign w:val="center"/>
          </w:tcPr>
          <w:p w:rsidR="00AC3970" w:rsidRPr="004E19CA" w:rsidRDefault="00AC3970" w:rsidP="00661CDC">
            <w:pPr>
              <w:jc w:val="center"/>
              <w:rPr>
                <w:rFonts w:ascii="Times New Roman" w:hAnsi="Times New Roman"/>
                <w:color w:val="000000"/>
                <w:sz w:val="12"/>
                <w:szCs w:val="12"/>
              </w:rPr>
            </w:pPr>
            <w:r w:rsidRPr="004E19CA">
              <w:rPr>
                <w:rFonts w:ascii="Times New Roman" w:hAnsi="Times New Roman"/>
                <w:color w:val="000000"/>
                <w:sz w:val="12"/>
                <w:szCs w:val="12"/>
              </w:rPr>
              <w:t>1</w:t>
            </w:r>
          </w:p>
        </w:tc>
        <w:tc>
          <w:tcPr>
            <w:tcW w:w="925" w:type="dxa"/>
            <w:tcBorders>
              <w:top w:val="nil"/>
              <w:left w:val="nil"/>
              <w:right w:val="single" w:sz="4" w:space="0" w:color="auto"/>
            </w:tcBorders>
            <w:vAlign w:val="center"/>
          </w:tcPr>
          <w:p w:rsidR="00AC3970" w:rsidRPr="004E19CA" w:rsidRDefault="00AC3970" w:rsidP="00661CDC">
            <w:pPr>
              <w:jc w:val="center"/>
              <w:rPr>
                <w:rFonts w:ascii="Times New Roman" w:hAnsi="Times New Roman"/>
                <w:color w:val="000000"/>
                <w:sz w:val="12"/>
                <w:szCs w:val="12"/>
              </w:rPr>
            </w:pPr>
            <w:r w:rsidRPr="004E19CA">
              <w:rPr>
                <w:rFonts w:ascii="Times New Roman" w:hAnsi="Times New Roman"/>
                <w:color w:val="000000"/>
                <w:sz w:val="12"/>
                <w:szCs w:val="12"/>
              </w:rPr>
              <w:t>10 hours</w:t>
            </w:r>
          </w:p>
        </w:tc>
        <w:tc>
          <w:tcPr>
            <w:tcW w:w="990" w:type="dxa"/>
            <w:tcBorders>
              <w:top w:val="nil"/>
              <w:left w:val="nil"/>
              <w:right w:val="single" w:sz="4" w:space="0" w:color="auto"/>
            </w:tcBorders>
            <w:vAlign w:val="center"/>
          </w:tcPr>
          <w:p w:rsidR="00AC3970" w:rsidRPr="004E19CA" w:rsidRDefault="00AC3970" w:rsidP="00661CDC">
            <w:pPr>
              <w:jc w:val="center"/>
              <w:rPr>
                <w:rFonts w:ascii="Times New Roman" w:hAnsi="Times New Roman"/>
                <w:color w:val="000000"/>
                <w:sz w:val="12"/>
                <w:szCs w:val="12"/>
              </w:rPr>
            </w:pPr>
            <w:r w:rsidRPr="004E19CA">
              <w:rPr>
                <w:rFonts w:ascii="Times New Roman" w:hAnsi="Times New Roman"/>
                <w:color w:val="000000"/>
                <w:sz w:val="12"/>
                <w:szCs w:val="12"/>
              </w:rPr>
              <w:t>3.33 hours</w:t>
            </w:r>
          </w:p>
        </w:tc>
        <w:tc>
          <w:tcPr>
            <w:tcW w:w="829" w:type="dxa"/>
            <w:tcBorders>
              <w:top w:val="nil"/>
              <w:left w:val="nil"/>
              <w:right w:val="single" w:sz="4" w:space="0" w:color="auto"/>
            </w:tcBorders>
            <w:vAlign w:val="center"/>
          </w:tcPr>
          <w:p w:rsidR="00AC3970" w:rsidRPr="004E19CA" w:rsidRDefault="00AC3970" w:rsidP="00661CDC">
            <w:pPr>
              <w:jc w:val="center"/>
              <w:rPr>
                <w:rFonts w:ascii="Times New Roman" w:hAnsi="Times New Roman"/>
                <w:color w:val="000000"/>
                <w:sz w:val="12"/>
                <w:szCs w:val="12"/>
              </w:rPr>
            </w:pPr>
            <w:r w:rsidRPr="004E19CA">
              <w:rPr>
                <w:rFonts w:ascii="Times New Roman" w:hAnsi="Times New Roman"/>
                <w:color w:val="000000"/>
                <w:sz w:val="12"/>
                <w:szCs w:val="12"/>
              </w:rPr>
              <w:t>25 hours</w:t>
            </w:r>
          </w:p>
        </w:tc>
        <w:tc>
          <w:tcPr>
            <w:tcW w:w="971" w:type="dxa"/>
            <w:tcBorders>
              <w:top w:val="nil"/>
              <w:left w:val="nil"/>
              <w:right w:val="single" w:sz="4" w:space="0" w:color="auto"/>
            </w:tcBorders>
            <w:vAlign w:val="center"/>
          </w:tcPr>
          <w:p w:rsidR="00AC3970" w:rsidRPr="004E19CA" w:rsidRDefault="00AC3970" w:rsidP="00661CDC">
            <w:pPr>
              <w:jc w:val="center"/>
              <w:rPr>
                <w:rFonts w:ascii="Times New Roman" w:hAnsi="Times New Roman"/>
                <w:color w:val="000000"/>
                <w:sz w:val="12"/>
                <w:szCs w:val="12"/>
              </w:rPr>
            </w:pPr>
            <w:r w:rsidRPr="004E19CA">
              <w:rPr>
                <w:rFonts w:ascii="Times New Roman" w:hAnsi="Times New Roman"/>
                <w:color w:val="000000"/>
                <w:sz w:val="12"/>
                <w:szCs w:val="12"/>
              </w:rPr>
              <w:t>28.33 hours</w:t>
            </w:r>
          </w:p>
        </w:tc>
        <w:tc>
          <w:tcPr>
            <w:tcW w:w="900" w:type="dxa"/>
            <w:tcBorders>
              <w:top w:val="nil"/>
              <w:left w:val="nil"/>
              <w:right w:val="single" w:sz="4" w:space="0" w:color="auto"/>
            </w:tcBorders>
            <w:vAlign w:val="center"/>
          </w:tcPr>
          <w:p w:rsidR="00AC3970" w:rsidRPr="004E19CA" w:rsidRDefault="00AC3970" w:rsidP="00661CDC">
            <w:pPr>
              <w:jc w:val="center"/>
              <w:rPr>
                <w:rFonts w:ascii="Times New Roman" w:hAnsi="Times New Roman"/>
                <w:color w:val="000000"/>
                <w:sz w:val="12"/>
                <w:szCs w:val="12"/>
              </w:rPr>
            </w:pPr>
            <w:r w:rsidRPr="004E19CA">
              <w:rPr>
                <w:rFonts w:ascii="Times New Roman" w:hAnsi="Times New Roman"/>
                <w:color w:val="000000"/>
                <w:sz w:val="12"/>
                <w:szCs w:val="12"/>
              </w:rPr>
              <w:t>28.33 hours</w:t>
            </w:r>
          </w:p>
        </w:tc>
        <w:tc>
          <w:tcPr>
            <w:tcW w:w="846" w:type="dxa"/>
            <w:tcBorders>
              <w:top w:val="nil"/>
              <w:left w:val="nil"/>
              <w:right w:val="single" w:sz="4" w:space="0" w:color="auto"/>
            </w:tcBorders>
            <w:vAlign w:val="center"/>
          </w:tcPr>
          <w:p w:rsidR="00AC3970" w:rsidRPr="004E19CA" w:rsidRDefault="004E19CA" w:rsidP="00661CDC">
            <w:pPr>
              <w:jc w:val="center"/>
              <w:rPr>
                <w:rFonts w:ascii="Times New Roman" w:hAnsi="Times New Roman"/>
                <w:color w:val="000000"/>
                <w:sz w:val="12"/>
                <w:szCs w:val="12"/>
              </w:rPr>
            </w:pPr>
            <w:r w:rsidRPr="004E19CA">
              <w:rPr>
                <w:rFonts w:ascii="Times New Roman" w:hAnsi="Times New Roman"/>
                <w:color w:val="000000"/>
                <w:sz w:val="12"/>
                <w:szCs w:val="12"/>
              </w:rPr>
              <w:t>8,273.33</w:t>
            </w:r>
            <w:r w:rsidR="00AC3970" w:rsidRPr="004E19CA">
              <w:rPr>
                <w:rFonts w:ascii="Times New Roman" w:hAnsi="Times New Roman"/>
                <w:color w:val="000000"/>
                <w:sz w:val="12"/>
                <w:szCs w:val="12"/>
              </w:rPr>
              <w:t xml:space="preserve"> hours</w:t>
            </w:r>
          </w:p>
        </w:tc>
        <w:tc>
          <w:tcPr>
            <w:tcW w:w="703" w:type="dxa"/>
            <w:tcBorders>
              <w:top w:val="nil"/>
              <w:left w:val="nil"/>
              <w:right w:val="single" w:sz="8" w:space="0" w:color="auto"/>
            </w:tcBorders>
            <w:noWrap/>
            <w:vAlign w:val="center"/>
          </w:tcPr>
          <w:p w:rsidR="00AC3970" w:rsidRPr="005403C8" w:rsidRDefault="00AC3970" w:rsidP="00661CDC">
            <w:pPr>
              <w:jc w:val="center"/>
              <w:rPr>
                <w:rFonts w:ascii="Times New Roman" w:hAnsi="Times New Roman"/>
                <w:color w:val="000000"/>
                <w:sz w:val="12"/>
                <w:szCs w:val="12"/>
              </w:rPr>
            </w:pPr>
            <w:r>
              <w:rPr>
                <w:rFonts w:ascii="Times New Roman" w:hAnsi="Times New Roman"/>
                <w:color w:val="000000"/>
                <w:sz w:val="12"/>
                <w:szCs w:val="12"/>
              </w:rPr>
              <w:t>0</w:t>
            </w:r>
          </w:p>
        </w:tc>
      </w:tr>
      <w:tr w:rsidR="00AC3970" w:rsidRPr="005403C8" w:rsidTr="00AC3970">
        <w:trPr>
          <w:trHeight w:val="300"/>
          <w:jc w:val="center"/>
        </w:trPr>
        <w:tc>
          <w:tcPr>
            <w:tcW w:w="1192" w:type="dxa"/>
            <w:vMerge w:val="restart"/>
            <w:tcBorders>
              <w:top w:val="single" w:sz="4" w:space="0" w:color="auto"/>
              <w:left w:val="single" w:sz="8" w:space="0" w:color="auto"/>
              <w:right w:val="single" w:sz="4" w:space="0" w:color="auto"/>
            </w:tcBorders>
            <w:vAlign w:val="center"/>
          </w:tcPr>
          <w:p w:rsidR="00AC3970" w:rsidRPr="005403C8" w:rsidRDefault="007C316B" w:rsidP="00661CDC">
            <w:pPr>
              <w:jc w:val="center"/>
              <w:rPr>
                <w:rFonts w:ascii="Times New Roman" w:hAnsi="Times New Roman"/>
                <w:color w:val="000000"/>
                <w:sz w:val="12"/>
                <w:szCs w:val="12"/>
              </w:rPr>
            </w:pPr>
            <w:r>
              <w:rPr>
                <w:rFonts w:ascii="Times New Roman" w:hAnsi="Times New Roman"/>
                <w:sz w:val="12"/>
                <w:szCs w:val="12"/>
              </w:rPr>
              <w:t>Customer-Specific Disclosure on Routing of Held Orders, Exempt Not Held Orders, and Options Contracts</w:t>
            </w:r>
            <w:r w:rsidR="00AC3970">
              <w:rPr>
                <w:rFonts w:ascii="Times New Roman" w:hAnsi="Times New Roman"/>
                <w:sz w:val="12"/>
                <w:szCs w:val="12"/>
              </w:rPr>
              <w:t xml:space="preserve"> – Rule 606(b)(1)</w:t>
            </w:r>
          </w:p>
        </w:tc>
        <w:tc>
          <w:tcPr>
            <w:tcW w:w="1536" w:type="dxa"/>
            <w:vMerge w:val="restart"/>
            <w:tcBorders>
              <w:top w:val="single" w:sz="4" w:space="0" w:color="auto"/>
              <w:left w:val="nil"/>
              <w:right w:val="single" w:sz="4" w:space="0" w:color="auto"/>
            </w:tcBorders>
            <w:vAlign w:val="center"/>
          </w:tcPr>
          <w:p w:rsidR="00AC3970" w:rsidRPr="005403C8" w:rsidRDefault="00AC3970" w:rsidP="00AC3970">
            <w:pPr>
              <w:jc w:val="center"/>
              <w:rPr>
                <w:rFonts w:ascii="Times New Roman" w:hAnsi="Times New Roman"/>
                <w:color w:val="000000"/>
                <w:sz w:val="12"/>
                <w:szCs w:val="12"/>
              </w:rPr>
            </w:pPr>
            <w:r>
              <w:rPr>
                <w:rFonts w:ascii="Times New Roman" w:hAnsi="Times New Roman"/>
                <w:color w:val="000000"/>
                <w:sz w:val="12"/>
                <w:szCs w:val="12"/>
              </w:rPr>
              <w:t>Recordkeeping</w:t>
            </w:r>
            <w:r w:rsidRPr="005403C8">
              <w:rPr>
                <w:rFonts w:ascii="Times New Roman" w:hAnsi="Times New Roman"/>
                <w:color w:val="000000"/>
                <w:sz w:val="12"/>
                <w:szCs w:val="12"/>
              </w:rPr>
              <w:t xml:space="preserve"> – </w:t>
            </w:r>
            <w:r>
              <w:rPr>
                <w:rFonts w:ascii="Times New Roman" w:hAnsi="Times New Roman"/>
                <w:color w:val="000000"/>
                <w:sz w:val="12"/>
                <w:szCs w:val="12"/>
              </w:rPr>
              <w:t>New</w:t>
            </w:r>
            <w:r w:rsidRPr="005403C8">
              <w:rPr>
                <w:rFonts w:ascii="Times New Roman" w:hAnsi="Times New Roman"/>
                <w:color w:val="000000"/>
                <w:sz w:val="12"/>
                <w:szCs w:val="12"/>
              </w:rPr>
              <w:t xml:space="preserve"> information collection</w:t>
            </w:r>
          </w:p>
        </w:tc>
        <w:tc>
          <w:tcPr>
            <w:tcW w:w="1021" w:type="dxa"/>
            <w:tcBorders>
              <w:top w:val="single" w:sz="4" w:space="0" w:color="auto"/>
              <w:left w:val="nil"/>
              <w:bottom w:val="single" w:sz="4" w:space="0" w:color="auto"/>
              <w:right w:val="single" w:sz="4" w:space="0" w:color="auto"/>
            </w:tcBorders>
            <w:vAlign w:val="center"/>
          </w:tcPr>
          <w:p w:rsidR="00AC3970" w:rsidRPr="005403C8" w:rsidRDefault="00AC3970" w:rsidP="00AC3970">
            <w:pPr>
              <w:jc w:val="center"/>
              <w:rPr>
                <w:rFonts w:ascii="Times New Roman" w:hAnsi="Times New Roman"/>
                <w:color w:val="000000"/>
                <w:sz w:val="12"/>
                <w:szCs w:val="12"/>
              </w:rPr>
            </w:pPr>
            <w:r>
              <w:rPr>
                <w:rFonts w:ascii="Times New Roman" w:hAnsi="Times New Roman"/>
                <w:color w:val="000000"/>
                <w:sz w:val="12"/>
                <w:szCs w:val="12"/>
              </w:rPr>
              <w:t>Update systems in-house to apply existing disclosur</w:t>
            </w:r>
            <w:r w:rsidR="0051127A">
              <w:rPr>
                <w:rFonts w:ascii="Times New Roman" w:hAnsi="Times New Roman"/>
                <w:color w:val="000000"/>
                <w:sz w:val="12"/>
                <w:szCs w:val="12"/>
              </w:rPr>
              <w:t>e requirements</w:t>
            </w:r>
            <w:r w:rsidR="009F77E4">
              <w:rPr>
                <w:rFonts w:ascii="Times New Roman" w:hAnsi="Times New Roman"/>
                <w:color w:val="000000"/>
                <w:sz w:val="12"/>
                <w:szCs w:val="12"/>
              </w:rPr>
              <w:t xml:space="preserve"> to</w:t>
            </w:r>
            <w:r>
              <w:rPr>
                <w:rFonts w:ascii="Times New Roman" w:hAnsi="Times New Roman"/>
                <w:color w:val="000000"/>
                <w:sz w:val="12"/>
                <w:szCs w:val="12"/>
              </w:rPr>
              <w:t xml:space="preserve"> updated order categories</w:t>
            </w:r>
          </w:p>
        </w:tc>
        <w:tc>
          <w:tcPr>
            <w:tcW w:w="810" w:type="dxa"/>
            <w:tcBorders>
              <w:top w:val="single" w:sz="6" w:space="0" w:color="auto"/>
              <w:left w:val="nil"/>
              <w:bottom w:val="single" w:sz="4" w:space="0" w:color="auto"/>
              <w:right w:val="single" w:sz="4" w:space="0" w:color="auto"/>
            </w:tcBorders>
            <w:vAlign w:val="center"/>
          </w:tcPr>
          <w:p w:rsidR="00AC3970" w:rsidRPr="005403C8" w:rsidRDefault="009E6D97" w:rsidP="00661CDC">
            <w:pPr>
              <w:jc w:val="center"/>
              <w:rPr>
                <w:rFonts w:ascii="Times New Roman" w:hAnsi="Times New Roman"/>
                <w:color w:val="000000"/>
                <w:sz w:val="12"/>
                <w:szCs w:val="12"/>
              </w:rPr>
            </w:pPr>
            <w:r>
              <w:rPr>
                <w:rFonts w:ascii="Times New Roman" w:hAnsi="Times New Roman"/>
                <w:color w:val="000000"/>
                <w:sz w:val="12"/>
                <w:szCs w:val="12"/>
              </w:rPr>
              <w:t>97</w:t>
            </w:r>
          </w:p>
        </w:tc>
        <w:tc>
          <w:tcPr>
            <w:tcW w:w="743" w:type="dxa"/>
            <w:tcBorders>
              <w:top w:val="single" w:sz="4" w:space="0" w:color="auto"/>
              <w:left w:val="single" w:sz="4" w:space="0" w:color="auto"/>
              <w:bottom w:val="single" w:sz="4" w:space="0" w:color="auto"/>
              <w:right w:val="single" w:sz="4" w:space="0" w:color="auto"/>
            </w:tcBorders>
            <w:vAlign w:val="center"/>
          </w:tcPr>
          <w:p w:rsidR="00AC3970" w:rsidRPr="005403C8" w:rsidRDefault="004E19CA" w:rsidP="00661CDC">
            <w:pPr>
              <w:jc w:val="center"/>
              <w:rPr>
                <w:rFonts w:ascii="Times New Roman" w:hAnsi="Times New Roman"/>
                <w:color w:val="000000"/>
                <w:sz w:val="12"/>
                <w:szCs w:val="12"/>
              </w:rPr>
            </w:pPr>
            <w:r>
              <w:rPr>
                <w:rFonts w:ascii="Times New Roman" w:hAnsi="Times New Roman"/>
                <w:color w:val="000000"/>
                <w:sz w:val="12"/>
                <w:szCs w:val="12"/>
              </w:rPr>
              <w:t>24</w:t>
            </w:r>
          </w:p>
        </w:tc>
        <w:tc>
          <w:tcPr>
            <w:tcW w:w="925" w:type="dxa"/>
            <w:tcBorders>
              <w:top w:val="single" w:sz="4" w:space="0" w:color="auto"/>
              <w:left w:val="nil"/>
              <w:bottom w:val="single" w:sz="4" w:space="0" w:color="auto"/>
              <w:right w:val="single" w:sz="4" w:space="0" w:color="auto"/>
            </w:tcBorders>
            <w:vAlign w:val="center"/>
          </w:tcPr>
          <w:p w:rsidR="00AC3970" w:rsidRPr="005403C8" w:rsidRDefault="004E19CA" w:rsidP="00661CDC">
            <w:pPr>
              <w:jc w:val="center"/>
              <w:rPr>
                <w:rFonts w:ascii="Times New Roman" w:hAnsi="Times New Roman"/>
                <w:color w:val="000000"/>
                <w:sz w:val="12"/>
                <w:szCs w:val="12"/>
              </w:rPr>
            </w:pPr>
            <w:r>
              <w:rPr>
                <w:rFonts w:ascii="Times New Roman" w:hAnsi="Times New Roman"/>
                <w:color w:val="000000"/>
                <w:sz w:val="12"/>
                <w:szCs w:val="12"/>
              </w:rPr>
              <w:t>8</w:t>
            </w:r>
            <w:r w:rsidR="00AC3970" w:rsidRPr="005403C8">
              <w:rPr>
                <w:rFonts w:ascii="Times New Roman" w:hAnsi="Times New Roman"/>
                <w:color w:val="000000"/>
                <w:sz w:val="12"/>
                <w:szCs w:val="12"/>
              </w:rPr>
              <w:t xml:space="preserve"> hours</w:t>
            </w:r>
          </w:p>
        </w:tc>
        <w:tc>
          <w:tcPr>
            <w:tcW w:w="990" w:type="dxa"/>
            <w:tcBorders>
              <w:top w:val="single" w:sz="4" w:space="0" w:color="auto"/>
              <w:left w:val="nil"/>
              <w:bottom w:val="single" w:sz="4" w:space="0" w:color="auto"/>
              <w:right w:val="single" w:sz="4" w:space="0" w:color="auto"/>
            </w:tcBorders>
            <w:vAlign w:val="center"/>
          </w:tcPr>
          <w:p w:rsidR="00AC3970" w:rsidRPr="005403C8" w:rsidRDefault="004E19CA" w:rsidP="00661CDC">
            <w:pPr>
              <w:jc w:val="center"/>
              <w:rPr>
                <w:rFonts w:ascii="Times New Roman" w:hAnsi="Times New Roman"/>
                <w:color w:val="000000"/>
                <w:sz w:val="12"/>
                <w:szCs w:val="12"/>
              </w:rPr>
            </w:pPr>
            <w:r>
              <w:rPr>
                <w:rFonts w:ascii="Times New Roman" w:hAnsi="Times New Roman"/>
                <w:color w:val="000000"/>
                <w:sz w:val="12"/>
                <w:szCs w:val="12"/>
              </w:rPr>
              <w:t>8</w:t>
            </w:r>
            <w:r w:rsidRPr="005403C8">
              <w:rPr>
                <w:rFonts w:ascii="Times New Roman" w:hAnsi="Times New Roman"/>
                <w:color w:val="000000"/>
                <w:sz w:val="12"/>
                <w:szCs w:val="12"/>
              </w:rPr>
              <w:t xml:space="preserve"> hours</w:t>
            </w:r>
          </w:p>
        </w:tc>
        <w:tc>
          <w:tcPr>
            <w:tcW w:w="829" w:type="dxa"/>
            <w:tcBorders>
              <w:top w:val="single" w:sz="4" w:space="0" w:color="auto"/>
              <w:left w:val="nil"/>
              <w:bottom w:val="single" w:sz="4" w:space="0" w:color="auto"/>
              <w:right w:val="single" w:sz="4" w:space="0" w:color="auto"/>
            </w:tcBorders>
            <w:vAlign w:val="center"/>
          </w:tcPr>
          <w:p w:rsidR="00AC3970" w:rsidRPr="005403C8" w:rsidRDefault="00AC3970" w:rsidP="00661CDC">
            <w:pPr>
              <w:jc w:val="center"/>
              <w:rPr>
                <w:rFonts w:ascii="Times New Roman" w:hAnsi="Times New Roman"/>
                <w:color w:val="000000"/>
                <w:sz w:val="12"/>
                <w:szCs w:val="12"/>
              </w:rPr>
            </w:pPr>
            <w:r w:rsidRPr="005403C8">
              <w:rPr>
                <w:rFonts w:ascii="Times New Roman" w:hAnsi="Times New Roman"/>
                <w:color w:val="000000"/>
                <w:sz w:val="12"/>
                <w:szCs w:val="12"/>
              </w:rPr>
              <w:t>0 hours</w:t>
            </w:r>
          </w:p>
        </w:tc>
        <w:tc>
          <w:tcPr>
            <w:tcW w:w="971" w:type="dxa"/>
            <w:tcBorders>
              <w:top w:val="single" w:sz="4" w:space="0" w:color="auto"/>
              <w:left w:val="nil"/>
              <w:bottom w:val="single" w:sz="4" w:space="0" w:color="auto"/>
              <w:right w:val="single" w:sz="4" w:space="0" w:color="auto"/>
            </w:tcBorders>
            <w:vAlign w:val="center"/>
          </w:tcPr>
          <w:p w:rsidR="00AC3970" w:rsidRPr="005403C8" w:rsidRDefault="004E19CA" w:rsidP="00661CDC">
            <w:pPr>
              <w:jc w:val="center"/>
              <w:rPr>
                <w:rFonts w:ascii="Times New Roman" w:hAnsi="Times New Roman"/>
                <w:color w:val="000000"/>
                <w:sz w:val="12"/>
                <w:szCs w:val="12"/>
              </w:rPr>
            </w:pPr>
            <w:r>
              <w:rPr>
                <w:rFonts w:ascii="Times New Roman" w:hAnsi="Times New Roman"/>
                <w:color w:val="000000"/>
                <w:sz w:val="12"/>
                <w:szCs w:val="12"/>
              </w:rPr>
              <w:t>8</w:t>
            </w:r>
            <w:r w:rsidRPr="005403C8">
              <w:rPr>
                <w:rFonts w:ascii="Times New Roman" w:hAnsi="Times New Roman"/>
                <w:color w:val="000000"/>
                <w:sz w:val="12"/>
                <w:szCs w:val="12"/>
              </w:rPr>
              <w:t xml:space="preserve"> hours</w:t>
            </w:r>
          </w:p>
        </w:tc>
        <w:tc>
          <w:tcPr>
            <w:tcW w:w="900" w:type="dxa"/>
            <w:tcBorders>
              <w:top w:val="single" w:sz="4" w:space="0" w:color="auto"/>
              <w:left w:val="nil"/>
              <w:bottom w:val="single" w:sz="4" w:space="0" w:color="auto"/>
              <w:right w:val="single" w:sz="4" w:space="0" w:color="auto"/>
            </w:tcBorders>
            <w:vAlign w:val="center"/>
          </w:tcPr>
          <w:p w:rsidR="00AC3970" w:rsidRPr="005403C8" w:rsidRDefault="004E19CA" w:rsidP="00661CDC">
            <w:pPr>
              <w:jc w:val="center"/>
              <w:rPr>
                <w:rFonts w:ascii="Times New Roman" w:hAnsi="Times New Roman"/>
                <w:color w:val="000000"/>
                <w:sz w:val="12"/>
                <w:szCs w:val="12"/>
              </w:rPr>
            </w:pPr>
            <w:r>
              <w:rPr>
                <w:rFonts w:ascii="Times New Roman" w:hAnsi="Times New Roman"/>
                <w:color w:val="000000"/>
                <w:sz w:val="12"/>
                <w:szCs w:val="12"/>
              </w:rPr>
              <w:t>8</w:t>
            </w:r>
            <w:r w:rsidRPr="005403C8">
              <w:rPr>
                <w:rFonts w:ascii="Times New Roman" w:hAnsi="Times New Roman"/>
                <w:color w:val="000000"/>
                <w:sz w:val="12"/>
                <w:szCs w:val="12"/>
              </w:rPr>
              <w:t xml:space="preserve"> hours</w:t>
            </w:r>
          </w:p>
        </w:tc>
        <w:tc>
          <w:tcPr>
            <w:tcW w:w="846" w:type="dxa"/>
            <w:tcBorders>
              <w:top w:val="single" w:sz="4" w:space="0" w:color="auto"/>
              <w:left w:val="nil"/>
              <w:bottom w:val="single" w:sz="4" w:space="0" w:color="auto"/>
              <w:right w:val="single" w:sz="4" w:space="0" w:color="auto"/>
            </w:tcBorders>
            <w:vAlign w:val="center"/>
          </w:tcPr>
          <w:p w:rsidR="00AC3970" w:rsidRPr="005403C8" w:rsidRDefault="004E19CA" w:rsidP="00661CDC">
            <w:pPr>
              <w:jc w:val="center"/>
              <w:rPr>
                <w:rFonts w:ascii="Times New Roman" w:hAnsi="Times New Roman"/>
                <w:color w:val="000000"/>
                <w:sz w:val="12"/>
                <w:szCs w:val="12"/>
              </w:rPr>
            </w:pPr>
            <w:r>
              <w:rPr>
                <w:rFonts w:ascii="Times New Roman" w:hAnsi="Times New Roman"/>
                <w:color w:val="000000"/>
                <w:sz w:val="12"/>
                <w:szCs w:val="12"/>
              </w:rPr>
              <w:t>776</w:t>
            </w:r>
            <w:r w:rsidR="00AC3970" w:rsidRPr="005403C8">
              <w:rPr>
                <w:rFonts w:ascii="Times New Roman" w:hAnsi="Times New Roman"/>
                <w:color w:val="000000"/>
                <w:sz w:val="12"/>
                <w:szCs w:val="12"/>
              </w:rPr>
              <w:t xml:space="preserve"> hours</w:t>
            </w:r>
          </w:p>
        </w:tc>
        <w:tc>
          <w:tcPr>
            <w:tcW w:w="703" w:type="dxa"/>
            <w:tcBorders>
              <w:top w:val="single" w:sz="4" w:space="0" w:color="auto"/>
              <w:left w:val="nil"/>
              <w:bottom w:val="single" w:sz="4" w:space="0" w:color="auto"/>
              <w:right w:val="single" w:sz="4" w:space="0" w:color="auto"/>
            </w:tcBorders>
            <w:noWrap/>
            <w:vAlign w:val="center"/>
          </w:tcPr>
          <w:p w:rsidR="00AC3970" w:rsidRPr="005403C8" w:rsidRDefault="00AC3970" w:rsidP="00661CDC">
            <w:pPr>
              <w:jc w:val="center"/>
              <w:rPr>
                <w:rFonts w:ascii="Times New Roman" w:hAnsi="Times New Roman"/>
                <w:color w:val="000000"/>
                <w:sz w:val="12"/>
                <w:szCs w:val="12"/>
              </w:rPr>
            </w:pPr>
            <w:r>
              <w:rPr>
                <w:rFonts w:ascii="Times New Roman" w:hAnsi="Times New Roman"/>
                <w:color w:val="000000"/>
                <w:sz w:val="12"/>
                <w:szCs w:val="12"/>
              </w:rPr>
              <w:t>0</w:t>
            </w:r>
          </w:p>
        </w:tc>
      </w:tr>
      <w:tr w:rsidR="00AC3970" w:rsidRPr="005403C8" w:rsidTr="00661CDC">
        <w:trPr>
          <w:trHeight w:val="300"/>
          <w:jc w:val="center"/>
        </w:trPr>
        <w:tc>
          <w:tcPr>
            <w:tcW w:w="1192" w:type="dxa"/>
            <w:vMerge/>
            <w:tcBorders>
              <w:left w:val="single" w:sz="8" w:space="0" w:color="auto"/>
              <w:bottom w:val="single" w:sz="4" w:space="0" w:color="auto"/>
              <w:right w:val="single" w:sz="4" w:space="0" w:color="auto"/>
            </w:tcBorders>
            <w:vAlign w:val="center"/>
          </w:tcPr>
          <w:p w:rsidR="00AC3970" w:rsidRPr="005403C8" w:rsidRDefault="00AC3970" w:rsidP="00661CDC">
            <w:pPr>
              <w:jc w:val="center"/>
              <w:rPr>
                <w:rFonts w:ascii="Times New Roman" w:hAnsi="Times New Roman"/>
                <w:sz w:val="12"/>
                <w:szCs w:val="12"/>
              </w:rPr>
            </w:pPr>
          </w:p>
        </w:tc>
        <w:tc>
          <w:tcPr>
            <w:tcW w:w="1536" w:type="dxa"/>
            <w:vMerge/>
            <w:tcBorders>
              <w:left w:val="nil"/>
              <w:bottom w:val="single" w:sz="4" w:space="0" w:color="auto"/>
              <w:right w:val="single" w:sz="4" w:space="0" w:color="auto"/>
            </w:tcBorders>
            <w:vAlign w:val="center"/>
          </w:tcPr>
          <w:p w:rsidR="00AC3970" w:rsidRPr="005403C8" w:rsidRDefault="00AC3970" w:rsidP="00661CDC">
            <w:pPr>
              <w:jc w:val="center"/>
              <w:rPr>
                <w:rFonts w:ascii="Times New Roman" w:hAnsi="Times New Roman"/>
                <w:color w:val="000000"/>
                <w:sz w:val="12"/>
                <w:szCs w:val="12"/>
              </w:rPr>
            </w:pPr>
          </w:p>
        </w:tc>
        <w:tc>
          <w:tcPr>
            <w:tcW w:w="1021" w:type="dxa"/>
            <w:tcBorders>
              <w:top w:val="nil"/>
              <w:left w:val="nil"/>
              <w:bottom w:val="single" w:sz="4" w:space="0" w:color="auto"/>
              <w:right w:val="single" w:sz="4" w:space="0" w:color="auto"/>
            </w:tcBorders>
            <w:vAlign w:val="center"/>
          </w:tcPr>
          <w:p w:rsidR="00AC3970" w:rsidRPr="005403C8" w:rsidRDefault="00AC3970" w:rsidP="00AC3970">
            <w:pPr>
              <w:jc w:val="center"/>
              <w:rPr>
                <w:rFonts w:ascii="Times New Roman" w:hAnsi="Times New Roman"/>
                <w:color w:val="000000"/>
                <w:sz w:val="12"/>
                <w:szCs w:val="12"/>
              </w:rPr>
            </w:pPr>
            <w:r>
              <w:rPr>
                <w:rFonts w:ascii="Times New Roman" w:hAnsi="Times New Roman"/>
                <w:color w:val="000000"/>
                <w:sz w:val="12"/>
                <w:szCs w:val="12"/>
              </w:rPr>
              <w:t>Engage third party to update systems to apply existing disclosur</w:t>
            </w:r>
            <w:r w:rsidR="0051127A">
              <w:rPr>
                <w:rFonts w:ascii="Times New Roman" w:hAnsi="Times New Roman"/>
                <w:color w:val="000000"/>
                <w:sz w:val="12"/>
                <w:szCs w:val="12"/>
              </w:rPr>
              <w:t>e</w:t>
            </w:r>
            <w:r>
              <w:rPr>
                <w:rFonts w:ascii="Times New Roman" w:hAnsi="Times New Roman"/>
                <w:color w:val="000000"/>
                <w:sz w:val="12"/>
                <w:szCs w:val="12"/>
              </w:rPr>
              <w:t xml:space="preserve"> </w:t>
            </w:r>
            <w:r w:rsidR="0051127A">
              <w:rPr>
                <w:rFonts w:ascii="Times New Roman" w:hAnsi="Times New Roman"/>
                <w:color w:val="000000"/>
                <w:sz w:val="12"/>
                <w:szCs w:val="12"/>
              </w:rPr>
              <w:t xml:space="preserve">requirements </w:t>
            </w:r>
            <w:r w:rsidR="009F77E4">
              <w:rPr>
                <w:rFonts w:ascii="Times New Roman" w:hAnsi="Times New Roman"/>
                <w:color w:val="000000"/>
                <w:sz w:val="12"/>
                <w:szCs w:val="12"/>
              </w:rPr>
              <w:t>to</w:t>
            </w:r>
            <w:r>
              <w:rPr>
                <w:rFonts w:ascii="Times New Roman" w:hAnsi="Times New Roman"/>
                <w:color w:val="000000"/>
                <w:sz w:val="12"/>
                <w:szCs w:val="12"/>
              </w:rPr>
              <w:t xml:space="preserve"> updated order categories</w:t>
            </w:r>
          </w:p>
        </w:tc>
        <w:tc>
          <w:tcPr>
            <w:tcW w:w="810" w:type="dxa"/>
            <w:tcBorders>
              <w:top w:val="single" w:sz="6" w:space="0" w:color="auto"/>
              <w:left w:val="nil"/>
              <w:bottom w:val="single" w:sz="4" w:space="0" w:color="auto"/>
              <w:right w:val="single" w:sz="4" w:space="0" w:color="auto"/>
            </w:tcBorders>
            <w:vAlign w:val="center"/>
          </w:tcPr>
          <w:p w:rsidR="00AC3970" w:rsidRPr="005403C8" w:rsidRDefault="009E6D97" w:rsidP="00661CDC">
            <w:pPr>
              <w:jc w:val="center"/>
              <w:rPr>
                <w:rFonts w:ascii="Times New Roman" w:hAnsi="Times New Roman"/>
                <w:color w:val="000000"/>
                <w:sz w:val="12"/>
                <w:szCs w:val="12"/>
              </w:rPr>
            </w:pPr>
            <w:r>
              <w:rPr>
                <w:rFonts w:ascii="Times New Roman" w:hAnsi="Times New Roman"/>
                <w:color w:val="000000"/>
                <w:sz w:val="12"/>
                <w:szCs w:val="12"/>
              </w:rPr>
              <w:t>195</w:t>
            </w:r>
          </w:p>
        </w:tc>
        <w:tc>
          <w:tcPr>
            <w:tcW w:w="743" w:type="dxa"/>
            <w:tcBorders>
              <w:top w:val="nil"/>
              <w:left w:val="single" w:sz="4" w:space="0" w:color="auto"/>
              <w:bottom w:val="single" w:sz="4" w:space="0" w:color="auto"/>
              <w:right w:val="single" w:sz="4" w:space="0" w:color="auto"/>
            </w:tcBorders>
            <w:vAlign w:val="center"/>
          </w:tcPr>
          <w:p w:rsidR="00AC3970" w:rsidRPr="005403C8" w:rsidRDefault="004E19CA" w:rsidP="00661CDC">
            <w:pPr>
              <w:jc w:val="center"/>
              <w:rPr>
                <w:rFonts w:ascii="Times New Roman" w:hAnsi="Times New Roman"/>
                <w:color w:val="000000"/>
                <w:sz w:val="12"/>
                <w:szCs w:val="12"/>
              </w:rPr>
            </w:pPr>
            <w:r>
              <w:rPr>
                <w:rFonts w:ascii="Times New Roman" w:hAnsi="Times New Roman"/>
                <w:color w:val="000000"/>
                <w:sz w:val="12"/>
                <w:szCs w:val="12"/>
              </w:rPr>
              <w:t>3</w:t>
            </w:r>
          </w:p>
        </w:tc>
        <w:tc>
          <w:tcPr>
            <w:tcW w:w="925" w:type="dxa"/>
            <w:tcBorders>
              <w:top w:val="nil"/>
              <w:left w:val="nil"/>
              <w:bottom w:val="single" w:sz="4" w:space="0" w:color="auto"/>
              <w:right w:val="single" w:sz="4" w:space="0" w:color="auto"/>
            </w:tcBorders>
            <w:vAlign w:val="center"/>
          </w:tcPr>
          <w:p w:rsidR="00AC3970" w:rsidRPr="005403C8" w:rsidRDefault="004E19CA" w:rsidP="00661CDC">
            <w:pPr>
              <w:jc w:val="center"/>
              <w:rPr>
                <w:rFonts w:ascii="Times New Roman" w:hAnsi="Times New Roman"/>
                <w:color w:val="000000"/>
                <w:sz w:val="12"/>
                <w:szCs w:val="12"/>
              </w:rPr>
            </w:pPr>
            <w:r>
              <w:rPr>
                <w:rFonts w:ascii="Times New Roman" w:hAnsi="Times New Roman"/>
                <w:color w:val="000000"/>
                <w:sz w:val="12"/>
                <w:szCs w:val="12"/>
              </w:rPr>
              <w:t>1 hour</w:t>
            </w:r>
          </w:p>
        </w:tc>
        <w:tc>
          <w:tcPr>
            <w:tcW w:w="990" w:type="dxa"/>
            <w:tcBorders>
              <w:top w:val="nil"/>
              <w:left w:val="nil"/>
              <w:bottom w:val="single" w:sz="4" w:space="0" w:color="auto"/>
              <w:right w:val="single" w:sz="4" w:space="0" w:color="auto"/>
            </w:tcBorders>
            <w:vAlign w:val="center"/>
          </w:tcPr>
          <w:p w:rsidR="00AC3970" w:rsidRPr="005403C8" w:rsidRDefault="004E19CA" w:rsidP="00661CDC">
            <w:pPr>
              <w:jc w:val="center"/>
              <w:rPr>
                <w:rFonts w:ascii="Times New Roman" w:hAnsi="Times New Roman"/>
                <w:color w:val="000000"/>
                <w:sz w:val="12"/>
                <w:szCs w:val="12"/>
              </w:rPr>
            </w:pPr>
            <w:r>
              <w:rPr>
                <w:rFonts w:ascii="Times New Roman" w:hAnsi="Times New Roman"/>
                <w:color w:val="000000"/>
                <w:sz w:val="12"/>
                <w:szCs w:val="12"/>
              </w:rPr>
              <w:t>1 hour</w:t>
            </w:r>
          </w:p>
        </w:tc>
        <w:tc>
          <w:tcPr>
            <w:tcW w:w="829" w:type="dxa"/>
            <w:tcBorders>
              <w:top w:val="nil"/>
              <w:left w:val="nil"/>
              <w:bottom w:val="single" w:sz="4" w:space="0" w:color="auto"/>
              <w:right w:val="single" w:sz="4" w:space="0" w:color="auto"/>
            </w:tcBorders>
            <w:vAlign w:val="center"/>
          </w:tcPr>
          <w:p w:rsidR="00AC3970" w:rsidRPr="005403C8" w:rsidRDefault="004E19CA" w:rsidP="00661CDC">
            <w:pPr>
              <w:jc w:val="center"/>
              <w:rPr>
                <w:rFonts w:ascii="Times New Roman" w:hAnsi="Times New Roman"/>
                <w:color w:val="000000"/>
                <w:sz w:val="12"/>
                <w:szCs w:val="12"/>
              </w:rPr>
            </w:pPr>
            <w:r>
              <w:rPr>
                <w:rFonts w:ascii="Times New Roman" w:hAnsi="Times New Roman"/>
                <w:color w:val="000000"/>
                <w:sz w:val="12"/>
                <w:szCs w:val="12"/>
              </w:rPr>
              <w:t>0</w:t>
            </w:r>
            <w:r w:rsidR="00AC3970" w:rsidRPr="005403C8">
              <w:rPr>
                <w:rFonts w:ascii="Times New Roman" w:hAnsi="Times New Roman"/>
                <w:color w:val="000000"/>
                <w:sz w:val="12"/>
                <w:szCs w:val="12"/>
              </w:rPr>
              <w:t xml:space="preserve"> hours</w:t>
            </w:r>
          </w:p>
        </w:tc>
        <w:tc>
          <w:tcPr>
            <w:tcW w:w="971" w:type="dxa"/>
            <w:tcBorders>
              <w:top w:val="nil"/>
              <w:left w:val="nil"/>
              <w:bottom w:val="single" w:sz="4" w:space="0" w:color="auto"/>
              <w:right w:val="single" w:sz="4" w:space="0" w:color="auto"/>
            </w:tcBorders>
            <w:vAlign w:val="center"/>
          </w:tcPr>
          <w:p w:rsidR="00AC3970" w:rsidRPr="005403C8" w:rsidRDefault="004E19CA" w:rsidP="00661CDC">
            <w:pPr>
              <w:jc w:val="center"/>
              <w:rPr>
                <w:rFonts w:ascii="Times New Roman" w:hAnsi="Times New Roman"/>
                <w:color w:val="000000"/>
                <w:sz w:val="12"/>
                <w:szCs w:val="12"/>
              </w:rPr>
            </w:pPr>
            <w:r>
              <w:rPr>
                <w:rFonts w:ascii="Times New Roman" w:hAnsi="Times New Roman"/>
                <w:color w:val="000000"/>
                <w:sz w:val="12"/>
                <w:szCs w:val="12"/>
              </w:rPr>
              <w:t>1 hour</w:t>
            </w:r>
          </w:p>
        </w:tc>
        <w:tc>
          <w:tcPr>
            <w:tcW w:w="900" w:type="dxa"/>
            <w:tcBorders>
              <w:top w:val="nil"/>
              <w:left w:val="nil"/>
              <w:bottom w:val="single" w:sz="4" w:space="0" w:color="auto"/>
              <w:right w:val="single" w:sz="4" w:space="0" w:color="auto"/>
            </w:tcBorders>
            <w:vAlign w:val="center"/>
          </w:tcPr>
          <w:p w:rsidR="00AC3970" w:rsidRPr="005403C8" w:rsidRDefault="004E19CA" w:rsidP="00661CDC">
            <w:pPr>
              <w:jc w:val="center"/>
              <w:rPr>
                <w:rFonts w:ascii="Times New Roman" w:hAnsi="Times New Roman"/>
                <w:color w:val="000000"/>
                <w:sz w:val="12"/>
                <w:szCs w:val="12"/>
              </w:rPr>
            </w:pPr>
            <w:r>
              <w:rPr>
                <w:rFonts w:ascii="Times New Roman" w:hAnsi="Times New Roman"/>
                <w:color w:val="000000"/>
                <w:sz w:val="12"/>
                <w:szCs w:val="12"/>
              </w:rPr>
              <w:t>1 hour</w:t>
            </w:r>
          </w:p>
        </w:tc>
        <w:tc>
          <w:tcPr>
            <w:tcW w:w="846" w:type="dxa"/>
            <w:tcBorders>
              <w:top w:val="nil"/>
              <w:left w:val="nil"/>
              <w:bottom w:val="single" w:sz="4" w:space="0" w:color="auto"/>
              <w:right w:val="single" w:sz="4" w:space="0" w:color="auto"/>
            </w:tcBorders>
            <w:vAlign w:val="center"/>
          </w:tcPr>
          <w:p w:rsidR="00AC3970" w:rsidRPr="005403C8" w:rsidRDefault="004E19CA" w:rsidP="00661CDC">
            <w:pPr>
              <w:jc w:val="center"/>
              <w:rPr>
                <w:rFonts w:ascii="Times New Roman" w:hAnsi="Times New Roman"/>
                <w:color w:val="000000"/>
                <w:sz w:val="12"/>
                <w:szCs w:val="12"/>
              </w:rPr>
            </w:pPr>
            <w:r>
              <w:rPr>
                <w:rFonts w:ascii="Times New Roman" w:hAnsi="Times New Roman"/>
                <w:color w:val="000000"/>
                <w:sz w:val="12"/>
                <w:szCs w:val="12"/>
              </w:rPr>
              <w:t>195 hours</w:t>
            </w:r>
          </w:p>
        </w:tc>
        <w:tc>
          <w:tcPr>
            <w:tcW w:w="703" w:type="dxa"/>
            <w:tcBorders>
              <w:top w:val="nil"/>
              <w:left w:val="nil"/>
              <w:bottom w:val="single" w:sz="4" w:space="0" w:color="auto"/>
              <w:right w:val="single" w:sz="8" w:space="0" w:color="auto"/>
            </w:tcBorders>
            <w:noWrap/>
            <w:vAlign w:val="center"/>
          </w:tcPr>
          <w:p w:rsidR="00AC3970" w:rsidRPr="005403C8" w:rsidRDefault="00AC3970" w:rsidP="00661CDC">
            <w:pPr>
              <w:jc w:val="center"/>
              <w:rPr>
                <w:rFonts w:ascii="Times New Roman" w:hAnsi="Times New Roman"/>
                <w:color w:val="000000"/>
                <w:sz w:val="12"/>
                <w:szCs w:val="12"/>
              </w:rPr>
            </w:pPr>
            <w:r>
              <w:rPr>
                <w:rFonts w:ascii="Times New Roman" w:hAnsi="Times New Roman"/>
                <w:color w:val="000000"/>
                <w:sz w:val="12"/>
                <w:szCs w:val="12"/>
              </w:rPr>
              <w:t>0</w:t>
            </w:r>
          </w:p>
        </w:tc>
      </w:tr>
      <w:tr w:rsidR="0051127A" w:rsidRPr="005403C8" w:rsidTr="003E7D10">
        <w:trPr>
          <w:trHeight w:val="300"/>
          <w:jc w:val="center"/>
        </w:trPr>
        <w:tc>
          <w:tcPr>
            <w:tcW w:w="1192" w:type="dxa"/>
            <w:tcBorders>
              <w:top w:val="single" w:sz="4" w:space="0" w:color="auto"/>
              <w:left w:val="single" w:sz="8" w:space="0" w:color="auto"/>
              <w:bottom w:val="single" w:sz="4" w:space="0" w:color="auto"/>
              <w:right w:val="single" w:sz="4" w:space="0" w:color="auto"/>
            </w:tcBorders>
            <w:vAlign w:val="center"/>
          </w:tcPr>
          <w:p w:rsidR="0051127A" w:rsidRPr="005403C8" w:rsidRDefault="0051127A" w:rsidP="00661CDC">
            <w:pPr>
              <w:jc w:val="center"/>
              <w:rPr>
                <w:rFonts w:ascii="Times New Roman" w:hAnsi="Times New Roman"/>
                <w:sz w:val="12"/>
                <w:szCs w:val="12"/>
              </w:rPr>
            </w:pPr>
            <w:r>
              <w:rPr>
                <w:rFonts w:ascii="Times New Roman" w:hAnsi="Times New Roman"/>
                <w:sz w:val="12"/>
                <w:szCs w:val="12"/>
              </w:rPr>
              <w:t>Update Compliance Manuals</w:t>
            </w:r>
          </w:p>
        </w:tc>
        <w:tc>
          <w:tcPr>
            <w:tcW w:w="1536" w:type="dxa"/>
            <w:tcBorders>
              <w:top w:val="single" w:sz="4" w:space="0" w:color="auto"/>
              <w:left w:val="nil"/>
              <w:bottom w:val="single" w:sz="4" w:space="0" w:color="auto"/>
              <w:right w:val="single" w:sz="4" w:space="0" w:color="auto"/>
            </w:tcBorders>
            <w:vAlign w:val="center"/>
          </w:tcPr>
          <w:p w:rsidR="0051127A" w:rsidRPr="005403C8" w:rsidRDefault="0051127A" w:rsidP="00661CDC">
            <w:pPr>
              <w:jc w:val="center"/>
              <w:rPr>
                <w:rFonts w:ascii="Times New Roman" w:hAnsi="Times New Roman"/>
                <w:color w:val="000000"/>
                <w:sz w:val="12"/>
                <w:szCs w:val="12"/>
              </w:rPr>
            </w:pPr>
            <w:r>
              <w:rPr>
                <w:rFonts w:ascii="Times New Roman" w:hAnsi="Times New Roman"/>
                <w:color w:val="000000"/>
                <w:sz w:val="12"/>
                <w:szCs w:val="12"/>
              </w:rPr>
              <w:t>Recordkeeping - New information collection</w:t>
            </w:r>
          </w:p>
        </w:tc>
        <w:tc>
          <w:tcPr>
            <w:tcW w:w="1021" w:type="dxa"/>
            <w:tcBorders>
              <w:top w:val="single" w:sz="4" w:space="0" w:color="auto"/>
              <w:left w:val="nil"/>
              <w:bottom w:val="single" w:sz="4" w:space="0" w:color="auto"/>
              <w:right w:val="single" w:sz="4" w:space="0" w:color="auto"/>
            </w:tcBorders>
            <w:vAlign w:val="center"/>
          </w:tcPr>
          <w:p w:rsidR="0051127A" w:rsidRPr="009E6D97" w:rsidRDefault="0051127A" w:rsidP="009E6D97">
            <w:pPr>
              <w:jc w:val="center"/>
              <w:rPr>
                <w:rFonts w:ascii="Times New Roman" w:hAnsi="Times New Roman"/>
                <w:sz w:val="12"/>
                <w:szCs w:val="12"/>
              </w:rPr>
            </w:pPr>
            <w:r>
              <w:rPr>
                <w:rFonts w:ascii="Times New Roman" w:hAnsi="Times New Roman"/>
                <w:sz w:val="12"/>
                <w:szCs w:val="12"/>
              </w:rPr>
              <w:t>Revise compliance manuals in house</w:t>
            </w:r>
          </w:p>
        </w:tc>
        <w:tc>
          <w:tcPr>
            <w:tcW w:w="810" w:type="dxa"/>
            <w:tcBorders>
              <w:top w:val="single" w:sz="6" w:space="0" w:color="auto"/>
              <w:left w:val="nil"/>
              <w:bottom w:val="single" w:sz="4" w:space="0" w:color="auto"/>
              <w:right w:val="single" w:sz="4" w:space="0" w:color="auto"/>
            </w:tcBorders>
            <w:vAlign w:val="center"/>
          </w:tcPr>
          <w:p w:rsidR="0051127A" w:rsidRPr="005403C8" w:rsidRDefault="0051127A" w:rsidP="0051127A">
            <w:pPr>
              <w:jc w:val="center"/>
              <w:rPr>
                <w:rFonts w:ascii="Times New Roman" w:hAnsi="Times New Roman"/>
                <w:color w:val="000000"/>
                <w:sz w:val="12"/>
                <w:szCs w:val="12"/>
              </w:rPr>
            </w:pPr>
            <w:r>
              <w:rPr>
                <w:rFonts w:ascii="Times New Roman" w:hAnsi="Times New Roman"/>
                <w:color w:val="000000"/>
                <w:sz w:val="12"/>
                <w:szCs w:val="12"/>
              </w:rPr>
              <w:t>4,405</w:t>
            </w:r>
          </w:p>
        </w:tc>
        <w:tc>
          <w:tcPr>
            <w:tcW w:w="743" w:type="dxa"/>
            <w:tcBorders>
              <w:top w:val="nil"/>
              <w:left w:val="single" w:sz="4" w:space="0" w:color="auto"/>
              <w:bottom w:val="single" w:sz="4" w:space="0" w:color="auto"/>
              <w:right w:val="single" w:sz="4" w:space="0" w:color="auto"/>
            </w:tcBorders>
            <w:vAlign w:val="center"/>
          </w:tcPr>
          <w:p w:rsidR="0051127A" w:rsidRPr="005403C8" w:rsidRDefault="0051127A" w:rsidP="00A27DB9">
            <w:pPr>
              <w:jc w:val="center"/>
              <w:rPr>
                <w:rFonts w:ascii="Times New Roman" w:hAnsi="Times New Roman"/>
                <w:color w:val="000000"/>
                <w:sz w:val="12"/>
                <w:szCs w:val="12"/>
              </w:rPr>
            </w:pPr>
            <w:r>
              <w:rPr>
                <w:rFonts w:ascii="Times New Roman" w:hAnsi="Times New Roman"/>
                <w:color w:val="000000"/>
                <w:sz w:val="12"/>
                <w:szCs w:val="12"/>
              </w:rPr>
              <w:t>1</w:t>
            </w:r>
          </w:p>
        </w:tc>
        <w:tc>
          <w:tcPr>
            <w:tcW w:w="925" w:type="dxa"/>
            <w:tcBorders>
              <w:top w:val="nil"/>
              <w:left w:val="nil"/>
              <w:bottom w:val="single" w:sz="4" w:space="0" w:color="auto"/>
              <w:right w:val="single" w:sz="4" w:space="0" w:color="auto"/>
            </w:tcBorders>
            <w:vAlign w:val="center"/>
          </w:tcPr>
          <w:p w:rsidR="0051127A" w:rsidRPr="005403C8" w:rsidRDefault="009E6D97" w:rsidP="00A27DB9">
            <w:pPr>
              <w:jc w:val="center"/>
              <w:rPr>
                <w:rFonts w:ascii="Times New Roman" w:hAnsi="Times New Roman"/>
                <w:color w:val="000000"/>
                <w:sz w:val="12"/>
                <w:szCs w:val="12"/>
              </w:rPr>
            </w:pPr>
            <w:r>
              <w:rPr>
                <w:rFonts w:ascii="Times New Roman" w:hAnsi="Times New Roman"/>
                <w:color w:val="000000"/>
                <w:sz w:val="12"/>
                <w:szCs w:val="12"/>
              </w:rPr>
              <w:t>2 hours</w:t>
            </w:r>
          </w:p>
        </w:tc>
        <w:tc>
          <w:tcPr>
            <w:tcW w:w="990" w:type="dxa"/>
            <w:tcBorders>
              <w:top w:val="nil"/>
              <w:left w:val="nil"/>
              <w:bottom w:val="single" w:sz="4" w:space="0" w:color="auto"/>
              <w:right w:val="single" w:sz="4" w:space="0" w:color="auto"/>
            </w:tcBorders>
            <w:vAlign w:val="center"/>
          </w:tcPr>
          <w:p w:rsidR="0051127A" w:rsidRPr="005403C8" w:rsidRDefault="009E6D97" w:rsidP="00A27DB9">
            <w:pPr>
              <w:jc w:val="center"/>
              <w:rPr>
                <w:rFonts w:ascii="Times New Roman" w:hAnsi="Times New Roman"/>
                <w:color w:val="000000"/>
                <w:sz w:val="12"/>
                <w:szCs w:val="12"/>
              </w:rPr>
            </w:pPr>
            <w:r>
              <w:rPr>
                <w:rFonts w:ascii="Times New Roman" w:hAnsi="Times New Roman"/>
                <w:color w:val="000000"/>
                <w:sz w:val="12"/>
                <w:szCs w:val="12"/>
              </w:rPr>
              <w:t>0.67 hours</w:t>
            </w:r>
          </w:p>
        </w:tc>
        <w:tc>
          <w:tcPr>
            <w:tcW w:w="829" w:type="dxa"/>
            <w:tcBorders>
              <w:top w:val="nil"/>
              <w:left w:val="nil"/>
              <w:bottom w:val="single" w:sz="4" w:space="0" w:color="auto"/>
              <w:right w:val="single" w:sz="4" w:space="0" w:color="auto"/>
            </w:tcBorders>
            <w:vAlign w:val="center"/>
          </w:tcPr>
          <w:p w:rsidR="009E6D97" w:rsidRPr="005403C8" w:rsidRDefault="009E6D97" w:rsidP="009E6D97">
            <w:pPr>
              <w:jc w:val="center"/>
              <w:rPr>
                <w:rFonts w:ascii="Times New Roman" w:hAnsi="Times New Roman"/>
                <w:color w:val="000000"/>
                <w:sz w:val="12"/>
                <w:szCs w:val="12"/>
              </w:rPr>
            </w:pPr>
            <w:r>
              <w:rPr>
                <w:rFonts w:ascii="Times New Roman" w:hAnsi="Times New Roman"/>
                <w:color w:val="000000"/>
                <w:sz w:val="12"/>
                <w:szCs w:val="12"/>
              </w:rPr>
              <w:t>0 hours</w:t>
            </w:r>
          </w:p>
        </w:tc>
        <w:tc>
          <w:tcPr>
            <w:tcW w:w="971" w:type="dxa"/>
            <w:tcBorders>
              <w:top w:val="nil"/>
              <w:left w:val="nil"/>
              <w:bottom w:val="single" w:sz="4" w:space="0" w:color="auto"/>
              <w:right w:val="single" w:sz="4" w:space="0" w:color="auto"/>
            </w:tcBorders>
            <w:vAlign w:val="center"/>
          </w:tcPr>
          <w:p w:rsidR="0051127A" w:rsidRPr="005403C8" w:rsidRDefault="009E6D97" w:rsidP="00A27DB9">
            <w:pPr>
              <w:jc w:val="center"/>
              <w:rPr>
                <w:rFonts w:ascii="Times New Roman" w:hAnsi="Times New Roman"/>
                <w:color w:val="000000"/>
                <w:sz w:val="12"/>
                <w:szCs w:val="12"/>
              </w:rPr>
            </w:pPr>
            <w:r>
              <w:rPr>
                <w:rFonts w:ascii="Times New Roman" w:hAnsi="Times New Roman"/>
                <w:color w:val="000000"/>
                <w:sz w:val="12"/>
                <w:szCs w:val="12"/>
              </w:rPr>
              <w:t>0.67 hours</w:t>
            </w:r>
          </w:p>
        </w:tc>
        <w:tc>
          <w:tcPr>
            <w:tcW w:w="900" w:type="dxa"/>
            <w:tcBorders>
              <w:top w:val="nil"/>
              <w:left w:val="nil"/>
              <w:bottom w:val="single" w:sz="4" w:space="0" w:color="auto"/>
              <w:right w:val="single" w:sz="4" w:space="0" w:color="auto"/>
            </w:tcBorders>
            <w:vAlign w:val="center"/>
          </w:tcPr>
          <w:p w:rsidR="0051127A" w:rsidRPr="005403C8" w:rsidRDefault="009E6D97" w:rsidP="00A27DB9">
            <w:pPr>
              <w:jc w:val="center"/>
              <w:rPr>
                <w:rFonts w:ascii="Times New Roman" w:hAnsi="Times New Roman"/>
                <w:color w:val="000000"/>
                <w:sz w:val="12"/>
                <w:szCs w:val="12"/>
              </w:rPr>
            </w:pPr>
            <w:r>
              <w:rPr>
                <w:rFonts w:ascii="Times New Roman" w:hAnsi="Times New Roman"/>
                <w:color w:val="000000"/>
                <w:sz w:val="12"/>
                <w:szCs w:val="12"/>
              </w:rPr>
              <w:t>0.67 hours</w:t>
            </w:r>
          </w:p>
        </w:tc>
        <w:tc>
          <w:tcPr>
            <w:tcW w:w="846" w:type="dxa"/>
            <w:tcBorders>
              <w:top w:val="nil"/>
              <w:left w:val="nil"/>
              <w:bottom w:val="single" w:sz="4" w:space="0" w:color="auto"/>
              <w:right w:val="single" w:sz="4" w:space="0" w:color="auto"/>
            </w:tcBorders>
            <w:vAlign w:val="center"/>
          </w:tcPr>
          <w:p w:rsidR="0051127A" w:rsidRPr="005403C8" w:rsidRDefault="009E6D97" w:rsidP="009E6D97">
            <w:pPr>
              <w:jc w:val="center"/>
              <w:rPr>
                <w:rFonts w:ascii="Times New Roman" w:hAnsi="Times New Roman"/>
                <w:color w:val="000000"/>
                <w:sz w:val="12"/>
                <w:szCs w:val="12"/>
              </w:rPr>
            </w:pPr>
            <w:r>
              <w:rPr>
                <w:rFonts w:ascii="Times New Roman" w:hAnsi="Times New Roman"/>
                <w:color w:val="000000"/>
                <w:sz w:val="12"/>
                <w:szCs w:val="12"/>
              </w:rPr>
              <w:t>2,936.67 hours</w:t>
            </w:r>
          </w:p>
        </w:tc>
        <w:tc>
          <w:tcPr>
            <w:tcW w:w="703" w:type="dxa"/>
            <w:tcBorders>
              <w:top w:val="nil"/>
              <w:left w:val="nil"/>
              <w:bottom w:val="single" w:sz="4" w:space="0" w:color="auto"/>
              <w:right w:val="single" w:sz="8" w:space="0" w:color="auto"/>
            </w:tcBorders>
            <w:noWrap/>
            <w:vAlign w:val="center"/>
          </w:tcPr>
          <w:p w:rsidR="0051127A" w:rsidRDefault="0051127A" w:rsidP="00A27DB9">
            <w:pPr>
              <w:jc w:val="center"/>
              <w:rPr>
                <w:rFonts w:ascii="Times New Roman" w:hAnsi="Times New Roman"/>
                <w:color w:val="000000"/>
                <w:sz w:val="12"/>
                <w:szCs w:val="12"/>
              </w:rPr>
            </w:pPr>
          </w:p>
        </w:tc>
      </w:tr>
      <w:tr w:rsidR="0051127A" w:rsidRPr="005403C8" w:rsidTr="003E7D10">
        <w:trPr>
          <w:trHeight w:val="300"/>
          <w:jc w:val="center"/>
        </w:trPr>
        <w:tc>
          <w:tcPr>
            <w:tcW w:w="1192" w:type="dxa"/>
            <w:tcBorders>
              <w:top w:val="single" w:sz="4" w:space="0" w:color="auto"/>
              <w:left w:val="single" w:sz="8" w:space="0" w:color="auto"/>
              <w:bottom w:val="single" w:sz="2" w:space="0" w:color="auto"/>
              <w:right w:val="single" w:sz="4" w:space="0" w:color="auto"/>
            </w:tcBorders>
            <w:vAlign w:val="center"/>
          </w:tcPr>
          <w:p w:rsidR="0051127A" w:rsidRPr="005403C8" w:rsidRDefault="0051127A" w:rsidP="0051127A">
            <w:pPr>
              <w:jc w:val="center"/>
              <w:rPr>
                <w:rFonts w:ascii="Times New Roman" w:hAnsi="Times New Roman"/>
                <w:color w:val="000000"/>
                <w:sz w:val="12"/>
                <w:szCs w:val="12"/>
              </w:rPr>
            </w:pPr>
            <w:r>
              <w:rPr>
                <w:rFonts w:ascii="Times New Roman" w:hAnsi="Times New Roman"/>
                <w:color w:val="000000"/>
                <w:sz w:val="12"/>
                <w:szCs w:val="12"/>
              </w:rPr>
              <w:t>Rule</w:t>
            </w:r>
            <w:r w:rsidRPr="005403C8">
              <w:rPr>
                <w:rFonts w:ascii="Times New Roman" w:hAnsi="Times New Roman"/>
                <w:color w:val="000000"/>
                <w:sz w:val="12"/>
                <w:szCs w:val="12"/>
              </w:rPr>
              <w:t xml:space="preserve"> </w:t>
            </w:r>
            <w:r w:rsidRPr="005403C8">
              <w:rPr>
                <w:rFonts w:ascii="Times New Roman" w:hAnsi="Times New Roman"/>
                <w:bCs/>
                <w:color w:val="000000"/>
                <w:sz w:val="12"/>
                <w:szCs w:val="12"/>
              </w:rPr>
              <w:t>606(a)(1)</w:t>
            </w:r>
          </w:p>
        </w:tc>
        <w:tc>
          <w:tcPr>
            <w:tcW w:w="1536" w:type="dxa"/>
            <w:tcBorders>
              <w:top w:val="single" w:sz="4" w:space="0" w:color="auto"/>
              <w:left w:val="nil"/>
              <w:bottom w:val="single" w:sz="2" w:space="0" w:color="auto"/>
              <w:right w:val="single" w:sz="4" w:space="0" w:color="auto"/>
            </w:tcBorders>
            <w:vAlign w:val="center"/>
          </w:tcPr>
          <w:p w:rsidR="0051127A" w:rsidRPr="005403C8" w:rsidRDefault="0051127A" w:rsidP="00A27DB9">
            <w:pPr>
              <w:jc w:val="center"/>
              <w:rPr>
                <w:rFonts w:ascii="Times New Roman" w:hAnsi="Times New Roman"/>
                <w:color w:val="000000"/>
                <w:sz w:val="12"/>
                <w:szCs w:val="12"/>
              </w:rPr>
            </w:pPr>
            <w:r w:rsidRPr="005403C8">
              <w:rPr>
                <w:rFonts w:ascii="Times New Roman" w:hAnsi="Times New Roman"/>
                <w:color w:val="000000"/>
                <w:sz w:val="12"/>
                <w:szCs w:val="12"/>
              </w:rPr>
              <w:t>Third party disclosure – Existing information collection</w:t>
            </w:r>
          </w:p>
        </w:tc>
        <w:tc>
          <w:tcPr>
            <w:tcW w:w="1021" w:type="dxa"/>
            <w:tcBorders>
              <w:top w:val="single" w:sz="4" w:space="0" w:color="auto"/>
              <w:left w:val="nil"/>
              <w:bottom w:val="single" w:sz="4" w:space="0" w:color="auto"/>
              <w:right w:val="single" w:sz="4" w:space="0" w:color="auto"/>
            </w:tcBorders>
            <w:vAlign w:val="center"/>
          </w:tcPr>
          <w:p w:rsidR="0051127A" w:rsidRPr="005403C8" w:rsidRDefault="0051127A" w:rsidP="00A27DB9">
            <w:pPr>
              <w:jc w:val="center"/>
              <w:rPr>
                <w:rFonts w:ascii="Times New Roman" w:hAnsi="Times New Roman"/>
                <w:color w:val="000000"/>
                <w:sz w:val="12"/>
                <w:szCs w:val="12"/>
              </w:rPr>
            </w:pPr>
            <w:r w:rsidRPr="005403C8">
              <w:rPr>
                <w:rFonts w:ascii="Times New Roman" w:hAnsi="Times New Roman"/>
                <w:color w:val="000000"/>
                <w:sz w:val="12"/>
                <w:szCs w:val="12"/>
              </w:rPr>
              <w:t>Create and issue quarterly report</w:t>
            </w:r>
          </w:p>
        </w:tc>
        <w:tc>
          <w:tcPr>
            <w:tcW w:w="810" w:type="dxa"/>
            <w:tcBorders>
              <w:top w:val="single" w:sz="6" w:space="0" w:color="auto"/>
              <w:left w:val="nil"/>
              <w:bottom w:val="single" w:sz="4" w:space="0" w:color="auto"/>
              <w:right w:val="single" w:sz="4" w:space="0" w:color="auto"/>
            </w:tcBorders>
            <w:vAlign w:val="center"/>
          </w:tcPr>
          <w:p w:rsidR="0051127A" w:rsidRPr="005403C8" w:rsidRDefault="00C41384" w:rsidP="00A27DB9">
            <w:pPr>
              <w:jc w:val="center"/>
              <w:rPr>
                <w:rFonts w:ascii="Times New Roman" w:hAnsi="Times New Roman"/>
                <w:color w:val="000000"/>
                <w:sz w:val="12"/>
                <w:szCs w:val="12"/>
              </w:rPr>
            </w:pPr>
            <w:r>
              <w:rPr>
                <w:rFonts w:ascii="Times New Roman" w:hAnsi="Times New Roman"/>
                <w:color w:val="000000"/>
                <w:sz w:val="12"/>
                <w:szCs w:val="12"/>
              </w:rPr>
              <w:t>292</w:t>
            </w:r>
          </w:p>
        </w:tc>
        <w:tc>
          <w:tcPr>
            <w:tcW w:w="743" w:type="dxa"/>
            <w:tcBorders>
              <w:top w:val="nil"/>
              <w:left w:val="single" w:sz="4" w:space="0" w:color="auto"/>
              <w:bottom w:val="single" w:sz="4" w:space="0" w:color="auto"/>
              <w:right w:val="single" w:sz="4" w:space="0" w:color="auto"/>
            </w:tcBorders>
            <w:vAlign w:val="center"/>
          </w:tcPr>
          <w:p w:rsidR="0051127A" w:rsidRPr="005403C8" w:rsidRDefault="0051127A" w:rsidP="00A27DB9">
            <w:pPr>
              <w:jc w:val="center"/>
              <w:rPr>
                <w:rFonts w:ascii="Times New Roman" w:hAnsi="Times New Roman"/>
                <w:color w:val="000000"/>
                <w:sz w:val="12"/>
                <w:szCs w:val="12"/>
              </w:rPr>
            </w:pPr>
            <w:r w:rsidRPr="005403C8">
              <w:rPr>
                <w:rFonts w:ascii="Times New Roman" w:hAnsi="Times New Roman"/>
                <w:color w:val="000000"/>
                <w:sz w:val="12"/>
                <w:szCs w:val="12"/>
              </w:rPr>
              <w:t>4</w:t>
            </w:r>
          </w:p>
        </w:tc>
        <w:tc>
          <w:tcPr>
            <w:tcW w:w="925" w:type="dxa"/>
            <w:tcBorders>
              <w:top w:val="nil"/>
              <w:left w:val="nil"/>
              <w:bottom w:val="single" w:sz="4" w:space="0" w:color="auto"/>
              <w:right w:val="single" w:sz="4" w:space="0" w:color="auto"/>
            </w:tcBorders>
            <w:vAlign w:val="center"/>
          </w:tcPr>
          <w:p w:rsidR="0051127A" w:rsidRPr="005403C8" w:rsidRDefault="0051127A" w:rsidP="00A27DB9">
            <w:pPr>
              <w:jc w:val="center"/>
              <w:rPr>
                <w:rFonts w:ascii="Times New Roman" w:hAnsi="Times New Roman"/>
                <w:color w:val="000000"/>
                <w:sz w:val="12"/>
                <w:szCs w:val="12"/>
              </w:rPr>
            </w:pPr>
            <w:r w:rsidRPr="005403C8">
              <w:rPr>
                <w:rFonts w:ascii="Times New Roman" w:hAnsi="Times New Roman"/>
                <w:color w:val="000000"/>
                <w:sz w:val="12"/>
                <w:szCs w:val="12"/>
              </w:rPr>
              <w:t>0 hours</w:t>
            </w:r>
          </w:p>
        </w:tc>
        <w:tc>
          <w:tcPr>
            <w:tcW w:w="990" w:type="dxa"/>
            <w:tcBorders>
              <w:top w:val="nil"/>
              <w:left w:val="nil"/>
              <w:bottom w:val="single" w:sz="4" w:space="0" w:color="auto"/>
              <w:right w:val="single" w:sz="4" w:space="0" w:color="auto"/>
            </w:tcBorders>
            <w:vAlign w:val="center"/>
          </w:tcPr>
          <w:p w:rsidR="0051127A" w:rsidRPr="005403C8" w:rsidRDefault="0051127A" w:rsidP="00A27DB9">
            <w:pPr>
              <w:jc w:val="center"/>
              <w:rPr>
                <w:rFonts w:ascii="Times New Roman" w:hAnsi="Times New Roman"/>
                <w:color w:val="000000"/>
                <w:sz w:val="12"/>
                <w:szCs w:val="12"/>
              </w:rPr>
            </w:pPr>
            <w:r w:rsidRPr="005403C8">
              <w:rPr>
                <w:rFonts w:ascii="Times New Roman" w:hAnsi="Times New Roman"/>
                <w:color w:val="000000"/>
                <w:sz w:val="12"/>
                <w:szCs w:val="12"/>
              </w:rPr>
              <w:t>0 hours</w:t>
            </w:r>
          </w:p>
        </w:tc>
        <w:tc>
          <w:tcPr>
            <w:tcW w:w="829" w:type="dxa"/>
            <w:tcBorders>
              <w:top w:val="nil"/>
              <w:left w:val="nil"/>
              <w:bottom w:val="single" w:sz="4" w:space="0" w:color="auto"/>
              <w:right w:val="single" w:sz="4" w:space="0" w:color="auto"/>
            </w:tcBorders>
            <w:vAlign w:val="center"/>
          </w:tcPr>
          <w:p w:rsidR="0051127A" w:rsidRPr="005403C8" w:rsidRDefault="0051127A" w:rsidP="00A27DB9">
            <w:pPr>
              <w:jc w:val="center"/>
              <w:rPr>
                <w:rFonts w:ascii="Times New Roman" w:hAnsi="Times New Roman"/>
                <w:color w:val="000000"/>
                <w:sz w:val="12"/>
                <w:szCs w:val="12"/>
              </w:rPr>
            </w:pPr>
            <w:r w:rsidRPr="005403C8">
              <w:rPr>
                <w:rFonts w:ascii="Times New Roman" w:hAnsi="Times New Roman"/>
                <w:color w:val="000000"/>
                <w:sz w:val="12"/>
                <w:szCs w:val="12"/>
              </w:rPr>
              <w:t>40 hours</w:t>
            </w:r>
          </w:p>
        </w:tc>
        <w:tc>
          <w:tcPr>
            <w:tcW w:w="971" w:type="dxa"/>
            <w:tcBorders>
              <w:top w:val="nil"/>
              <w:left w:val="nil"/>
              <w:bottom w:val="single" w:sz="4" w:space="0" w:color="auto"/>
              <w:right w:val="single" w:sz="4" w:space="0" w:color="auto"/>
            </w:tcBorders>
            <w:vAlign w:val="center"/>
          </w:tcPr>
          <w:p w:rsidR="0051127A" w:rsidRPr="005403C8" w:rsidRDefault="0051127A" w:rsidP="00A27DB9">
            <w:pPr>
              <w:jc w:val="center"/>
              <w:rPr>
                <w:rFonts w:ascii="Times New Roman" w:hAnsi="Times New Roman"/>
                <w:color w:val="000000"/>
                <w:sz w:val="12"/>
                <w:szCs w:val="12"/>
              </w:rPr>
            </w:pPr>
            <w:r w:rsidRPr="005403C8">
              <w:rPr>
                <w:rFonts w:ascii="Times New Roman" w:hAnsi="Times New Roman"/>
                <w:color w:val="000000"/>
                <w:sz w:val="12"/>
                <w:szCs w:val="12"/>
              </w:rPr>
              <w:t>40 hours</w:t>
            </w:r>
          </w:p>
        </w:tc>
        <w:tc>
          <w:tcPr>
            <w:tcW w:w="900" w:type="dxa"/>
            <w:tcBorders>
              <w:top w:val="nil"/>
              <w:left w:val="nil"/>
              <w:bottom w:val="single" w:sz="4" w:space="0" w:color="auto"/>
              <w:right w:val="single" w:sz="4" w:space="0" w:color="auto"/>
            </w:tcBorders>
            <w:vAlign w:val="center"/>
          </w:tcPr>
          <w:p w:rsidR="0051127A" w:rsidRPr="005403C8" w:rsidRDefault="0051127A" w:rsidP="00A27DB9">
            <w:pPr>
              <w:jc w:val="center"/>
              <w:rPr>
                <w:rFonts w:ascii="Times New Roman" w:hAnsi="Times New Roman"/>
                <w:color w:val="000000"/>
                <w:sz w:val="12"/>
                <w:szCs w:val="12"/>
              </w:rPr>
            </w:pPr>
            <w:r w:rsidRPr="005403C8">
              <w:rPr>
                <w:rFonts w:ascii="Times New Roman" w:hAnsi="Times New Roman"/>
                <w:color w:val="000000"/>
                <w:sz w:val="12"/>
                <w:szCs w:val="12"/>
              </w:rPr>
              <w:t>160 hours</w:t>
            </w:r>
          </w:p>
        </w:tc>
        <w:tc>
          <w:tcPr>
            <w:tcW w:w="846" w:type="dxa"/>
            <w:tcBorders>
              <w:top w:val="nil"/>
              <w:left w:val="nil"/>
              <w:bottom w:val="single" w:sz="4" w:space="0" w:color="auto"/>
              <w:right w:val="single" w:sz="4" w:space="0" w:color="auto"/>
            </w:tcBorders>
            <w:vAlign w:val="center"/>
          </w:tcPr>
          <w:p w:rsidR="0051127A" w:rsidRPr="005403C8" w:rsidRDefault="00C41384" w:rsidP="00A27DB9">
            <w:pPr>
              <w:jc w:val="center"/>
              <w:rPr>
                <w:rFonts w:ascii="Times New Roman" w:hAnsi="Times New Roman"/>
                <w:color w:val="000000"/>
                <w:sz w:val="12"/>
                <w:szCs w:val="12"/>
              </w:rPr>
            </w:pPr>
            <w:r w:rsidRPr="00C41384">
              <w:rPr>
                <w:rFonts w:ascii="Times New Roman" w:hAnsi="Times New Roman"/>
                <w:color w:val="000000"/>
                <w:sz w:val="12"/>
                <w:szCs w:val="12"/>
              </w:rPr>
              <w:t>46</w:t>
            </w:r>
            <w:r w:rsidR="004C4D60">
              <w:rPr>
                <w:rFonts w:ascii="Times New Roman" w:hAnsi="Times New Roman"/>
                <w:color w:val="000000"/>
                <w:sz w:val="12"/>
                <w:szCs w:val="12"/>
              </w:rPr>
              <w:t>,</w:t>
            </w:r>
            <w:r w:rsidRPr="00C41384">
              <w:rPr>
                <w:rFonts w:ascii="Times New Roman" w:hAnsi="Times New Roman"/>
                <w:color w:val="000000"/>
                <w:sz w:val="12"/>
                <w:szCs w:val="12"/>
              </w:rPr>
              <w:t>720</w:t>
            </w:r>
            <w:r w:rsidR="0051127A" w:rsidRPr="005403C8">
              <w:rPr>
                <w:rFonts w:ascii="Times New Roman" w:hAnsi="Times New Roman"/>
                <w:color w:val="000000"/>
                <w:sz w:val="12"/>
                <w:szCs w:val="12"/>
              </w:rPr>
              <w:t xml:space="preserve"> hours</w:t>
            </w:r>
          </w:p>
        </w:tc>
        <w:tc>
          <w:tcPr>
            <w:tcW w:w="703" w:type="dxa"/>
            <w:tcBorders>
              <w:top w:val="nil"/>
              <w:left w:val="nil"/>
              <w:bottom w:val="single" w:sz="4" w:space="0" w:color="auto"/>
              <w:right w:val="single" w:sz="8" w:space="0" w:color="auto"/>
            </w:tcBorders>
            <w:noWrap/>
            <w:vAlign w:val="center"/>
          </w:tcPr>
          <w:p w:rsidR="0051127A" w:rsidRPr="005403C8" w:rsidRDefault="0051127A" w:rsidP="00A27DB9">
            <w:pPr>
              <w:jc w:val="center"/>
              <w:rPr>
                <w:rFonts w:ascii="Times New Roman" w:hAnsi="Times New Roman"/>
                <w:color w:val="000000"/>
                <w:sz w:val="12"/>
                <w:szCs w:val="12"/>
              </w:rPr>
            </w:pPr>
            <w:r>
              <w:rPr>
                <w:rFonts w:ascii="Times New Roman" w:hAnsi="Times New Roman"/>
                <w:color w:val="000000"/>
                <w:sz w:val="12"/>
                <w:szCs w:val="12"/>
              </w:rPr>
              <w:t>0</w:t>
            </w:r>
          </w:p>
        </w:tc>
      </w:tr>
      <w:tr w:rsidR="0051127A" w:rsidRPr="005403C8" w:rsidTr="003E7D10">
        <w:trPr>
          <w:trHeight w:val="300"/>
          <w:jc w:val="center"/>
        </w:trPr>
        <w:tc>
          <w:tcPr>
            <w:tcW w:w="1192" w:type="dxa"/>
            <w:tcBorders>
              <w:top w:val="single" w:sz="2" w:space="0" w:color="auto"/>
              <w:left w:val="single" w:sz="8" w:space="0" w:color="auto"/>
              <w:bottom w:val="single" w:sz="4" w:space="0" w:color="auto"/>
              <w:right w:val="single" w:sz="4" w:space="0" w:color="auto"/>
            </w:tcBorders>
            <w:vAlign w:val="center"/>
          </w:tcPr>
          <w:p w:rsidR="0051127A" w:rsidRPr="005403C8" w:rsidRDefault="003E7D10" w:rsidP="00A27DB9">
            <w:pPr>
              <w:jc w:val="center"/>
              <w:rPr>
                <w:rFonts w:ascii="Times New Roman" w:hAnsi="Times New Roman"/>
                <w:sz w:val="12"/>
                <w:szCs w:val="12"/>
              </w:rPr>
            </w:pPr>
            <w:r>
              <w:rPr>
                <w:rFonts w:ascii="Times New Roman" w:hAnsi="Times New Roman"/>
                <w:color w:val="000000"/>
                <w:sz w:val="12"/>
                <w:szCs w:val="12"/>
              </w:rPr>
              <w:t>Rule</w:t>
            </w:r>
            <w:r w:rsidRPr="005403C8">
              <w:rPr>
                <w:rFonts w:ascii="Times New Roman" w:hAnsi="Times New Roman"/>
                <w:color w:val="000000"/>
                <w:sz w:val="12"/>
                <w:szCs w:val="12"/>
              </w:rPr>
              <w:t xml:space="preserve"> </w:t>
            </w:r>
            <w:r>
              <w:rPr>
                <w:rFonts w:ascii="Times New Roman" w:hAnsi="Times New Roman"/>
                <w:bCs/>
                <w:color w:val="000000"/>
                <w:sz w:val="12"/>
                <w:szCs w:val="12"/>
              </w:rPr>
              <w:t>606(b</w:t>
            </w:r>
            <w:r w:rsidRPr="005403C8">
              <w:rPr>
                <w:rFonts w:ascii="Times New Roman" w:hAnsi="Times New Roman"/>
                <w:bCs/>
                <w:color w:val="000000"/>
                <w:sz w:val="12"/>
                <w:szCs w:val="12"/>
              </w:rPr>
              <w:t>)(1)</w:t>
            </w:r>
          </w:p>
        </w:tc>
        <w:tc>
          <w:tcPr>
            <w:tcW w:w="1536" w:type="dxa"/>
            <w:tcBorders>
              <w:top w:val="single" w:sz="2" w:space="0" w:color="auto"/>
              <w:left w:val="nil"/>
              <w:bottom w:val="single" w:sz="4" w:space="0" w:color="auto"/>
              <w:right w:val="single" w:sz="4" w:space="0" w:color="auto"/>
            </w:tcBorders>
            <w:vAlign w:val="center"/>
          </w:tcPr>
          <w:p w:rsidR="0051127A" w:rsidRPr="005403C8" w:rsidRDefault="003E7D10" w:rsidP="00A27DB9">
            <w:pPr>
              <w:jc w:val="center"/>
              <w:rPr>
                <w:rFonts w:ascii="Times New Roman" w:hAnsi="Times New Roman"/>
                <w:color w:val="000000"/>
                <w:sz w:val="12"/>
                <w:szCs w:val="12"/>
              </w:rPr>
            </w:pPr>
            <w:r w:rsidRPr="005403C8">
              <w:rPr>
                <w:rFonts w:ascii="Times New Roman" w:hAnsi="Times New Roman"/>
                <w:color w:val="000000"/>
                <w:sz w:val="12"/>
                <w:szCs w:val="12"/>
              </w:rPr>
              <w:t>Third party disclosure – Existing information collection</w:t>
            </w:r>
          </w:p>
        </w:tc>
        <w:tc>
          <w:tcPr>
            <w:tcW w:w="1021" w:type="dxa"/>
            <w:tcBorders>
              <w:top w:val="nil"/>
              <w:left w:val="nil"/>
              <w:bottom w:val="single" w:sz="4" w:space="0" w:color="auto"/>
              <w:right w:val="single" w:sz="4" w:space="0" w:color="auto"/>
            </w:tcBorders>
            <w:vAlign w:val="center"/>
          </w:tcPr>
          <w:p w:rsidR="0051127A" w:rsidRPr="005403C8" w:rsidRDefault="0051127A" w:rsidP="00A27DB9">
            <w:pPr>
              <w:jc w:val="center"/>
              <w:rPr>
                <w:rFonts w:ascii="Times New Roman" w:hAnsi="Times New Roman"/>
                <w:color w:val="000000"/>
                <w:sz w:val="12"/>
                <w:szCs w:val="12"/>
              </w:rPr>
            </w:pPr>
            <w:r w:rsidRPr="005403C8">
              <w:rPr>
                <w:rFonts w:ascii="Times New Roman" w:hAnsi="Times New Roman"/>
                <w:color w:val="000000"/>
                <w:sz w:val="12"/>
                <w:szCs w:val="12"/>
              </w:rPr>
              <w:t>Respond to customer requests</w:t>
            </w:r>
          </w:p>
        </w:tc>
        <w:tc>
          <w:tcPr>
            <w:tcW w:w="810" w:type="dxa"/>
            <w:tcBorders>
              <w:top w:val="single" w:sz="6" w:space="0" w:color="auto"/>
              <w:left w:val="nil"/>
              <w:bottom w:val="single" w:sz="4" w:space="0" w:color="auto"/>
              <w:right w:val="single" w:sz="4" w:space="0" w:color="auto"/>
            </w:tcBorders>
            <w:vAlign w:val="center"/>
          </w:tcPr>
          <w:p w:rsidR="0051127A" w:rsidRPr="005403C8" w:rsidRDefault="00C41384" w:rsidP="00A27DB9">
            <w:pPr>
              <w:jc w:val="center"/>
              <w:rPr>
                <w:rFonts w:ascii="Times New Roman" w:hAnsi="Times New Roman"/>
                <w:color w:val="000000"/>
                <w:sz w:val="12"/>
                <w:szCs w:val="12"/>
              </w:rPr>
            </w:pPr>
            <w:r>
              <w:rPr>
                <w:rFonts w:ascii="Times New Roman" w:hAnsi="Times New Roman"/>
                <w:color w:val="000000"/>
                <w:sz w:val="12"/>
                <w:szCs w:val="12"/>
              </w:rPr>
              <w:t>217</w:t>
            </w:r>
          </w:p>
        </w:tc>
        <w:tc>
          <w:tcPr>
            <w:tcW w:w="743" w:type="dxa"/>
            <w:tcBorders>
              <w:top w:val="nil"/>
              <w:left w:val="single" w:sz="4" w:space="0" w:color="auto"/>
              <w:bottom w:val="single" w:sz="4" w:space="0" w:color="auto"/>
              <w:right w:val="single" w:sz="4" w:space="0" w:color="auto"/>
            </w:tcBorders>
            <w:vAlign w:val="center"/>
          </w:tcPr>
          <w:p w:rsidR="0051127A" w:rsidRPr="005403C8" w:rsidRDefault="0051127A" w:rsidP="00A27DB9">
            <w:pPr>
              <w:jc w:val="center"/>
              <w:rPr>
                <w:rFonts w:ascii="Times New Roman" w:hAnsi="Times New Roman"/>
                <w:color w:val="000000"/>
                <w:sz w:val="12"/>
                <w:szCs w:val="12"/>
              </w:rPr>
            </w:pPr>
            <w:r w:rsidRPr="005403C8">
              <w:rPr>
                <w:rFonts w:ascii="Times New Roman" w:hAnsi="Times New Roman"/>
                <w:color w:val="000000"/>
                <w:sz w:val="12"/>
                <w:szCs w:val="12"/>
              </w:rPr>
              <w:t>2,000</w:t>
            </w:r>
          </w:p>
        </w:tc>
        <w:tc>
          <w:tcPr>
            <w:tcW w:w="925" w:type="dxa"/>
            <w:tcBorders>
              <w:top w:val="nil"/>
              <w:left w:val="nil"/>
              <w:bottom w:val="single" w:sz="4" w:space="0" w:color="auto"/>
              <w:right w:val="single" w:sz="4" w:space="0" w:color="auto"/>
            </w:tcBorders>
            <w:vAlign w:val="center"/>
          </w:tcPr>
          <w:p w:rsidR="0051127A" w:rsidRPr="005403C8" w:rsidRDefault="0051127A" w:rsidP="00A27DB9">
            <w:pPr>
              <w:jc w:val="center"/>
              <w:rPr>
                <w:rFonts w:ascii="Times New Roman" w:hAnsi="Times New Roman"/>
                <w:color w:val="000000"/>
                <w:sz w:val="12"/>
                <w:szCs w:val="12"/>
              </w:rPr>
            </w:pPr>
            <w:r w:rsidRPr="005403C8">
              <w:rPr>
                <w:rFonts w:ascii="Times New Roman" w:hAnsi="Times New Roman"/>
                <w:color w:val="000000"/>
                <w:sz w:val="12"/>
                <w:szCs w:val="12"/>
              </w:rPr>
              <w:t>0 hours</w:t>
            </w:r>
          </w:p>
        </w:tc>
        <w:tc>
          <w:tcPr>
            <w:tcW w:w="990" w:type="dxa"/>
            <w:tcBorders>
              <w:top w:val="nil"/>
              <w:left w:val="nil"/>
              <w:bottom w:val="single" w:sz="4" w:space="0" w:color="auto"/>
              <w:right w:val="single" w:sz="4" w:space="0" w:color="auto"/>
            </w:tcBorders>
            <w:vAlign w:val="center"/>
          </w:tcPr>
          <w:p w:rsidR="0051127A" w:rsidRPr="005403C8" w:rsidRDefault="0051127A" w:rsidP="00A27DB9">
            <w:pPr>
              <w:jc w:val="center"/>
              <w:rPr>
                <w:rFonts w:ascii="Times New Roman" w:hAnsi="Times New Roman"/>
                <w:color w:val="000000"/>
                <w:sz w:val="12"/>
                <w:szCs w:val="12"/>
              </w:rPr>
            </w:pPr>
            <w:r w:rsidRPr="005403C8">
              <w:rPr>
                <w:rFonts w:ascii="Times New Roman" w:hAnsi="Times New Roman"/>
                <w:color w:val="000000"/>
                <w:sz w:val="12"/>
                <w:szCs w:val="12"/>
              </w:rPr>
              <w:t>0 hours</w:t>
            </w:r>
          </w:p>
        </w:tc>
        <w:tc>
          <w:tcPr>
            <w:tcW w:w="829" w:type="dxa"/>
            <w:tcBorders>
              <w:top w:val="nil"/>
              <w:left w:val="nil"/>
              <w:bottom w:val="single" w:sz="4" w:space="0" w:color="auto"/>
              <w:right w:val="single" w:sz="4" w:space="0" w:color="auto"/>
            </w:tcBorders>
            <w:vAlign w:val="center"/>
          </w:tcPr>
          <w:p w:rsidR="0051127A" w:rsidRPr="005403C8" w:rsidRDefault="0051127A" w:rsidP="00A27DB9">
            <w:pPr>
              <w:jc w:val="center"/>
              <w:rPr>
                <w:rFonts w:ascii="Times New Roman" w:hAnsi="Times New Roman"/>
                <w:color w:val="000000"/>
                <w:sz w:val="12"/>
                <w:szCs w:val="12"/>
              </w:rPr>
            </w:pPr>
            <w:r w:rsidRPr="005403C8">
              <w:rPr>
                <w:rFonts w:ascii="Times New Roman" w:hAnsi="Times New Roman"/>
                <w:color w:val="000000"/>
                <w:sz w:val="12"/>
                <w:szCs w:val="12"/>
              </w:rPr>
              <w:t>0.2 hours</w:t>
            </w:r>
          </w:p>
        </w:tc>
        <w:tc>
          <w:tcPr>
            <w:tcW w:w="971" w:type="dxa"/>
            <w:tcBorders>
              <w:top w:val="nil"/>
              <w:left w:val="nil"/>
              <w:bottom w:val="single" w:sz="4" w:space="0" w:color="auto"/>
              <w:right w:val="single" w:sz="4" w:space="0" w:color="auto"/>
            </w:tcBorders>
            <w:vAlign w:val="center"/>
          </w:tcPr>
          <w:p w:rsidR="0051127A" w:rsidRPr="005403C8" w:rsidRDefault="0051127A" w:rsidP="00A27DB9">
            <w:pPr>
              <w:jc w:val="center"/>
              <w:rPr>
                <w:rFonts w:ascii="Times New Roman" w:hAnsi="Times New Roman"/>
                <w:color w:val="000000"/>
                <w:sz w:val="12"/>
                <w:szCs w:val="12"/>
              </w:rPr>
            </w:pPr>
            <w:r w:rsidRPr="005403C8">
              <w:rPr>
                <w:rFonts w:ascii="Times New Roman" w:hAnsi="Times New Roman"/>
                <w:color w:val="000000"/>
                <w:sz w:val="12"/>
                <w:szCs w:val="12"/>
              </w:rPr>
              <w:t>0.2 hours</w:t>
            </w:r>
          </w:p>
        </w:tc>
        <w:tc>
          <w:tcPr>
            <w:tcW w:w="900" w:type="dxa"/>
            <w:tcBorders>
              <w:top w:val="nil"/>
              <w:left w:val="nil"/>
              <w:bottom w:val="single" w:sz="4" w:space="0" w:color="auto"/>
              <w:right w:val="single" w:sz="4" w:space="0" w:color="auto"/>
            </w:tcBorders>
            <w:vAlign w:val="center"/>
          </w:tcPr>
          <w:p w:rsidR="0051127A" w:rsidRPr="005403C8" w:rsidRDefault="0051127A" w:rsidP="00A27DB9">
            <w:pPr>
              <w:jc w:val="center"/>
              <w:rPr>
                <w:rFonts w:ascii="Times New Roman" w:hAnsi="Times New Roman"/>
                <w:color w:val="000000"/>
                <w:sz w:val="12"/>
                <w:szCs w:val="12"/>
              </w:rPr>
            </w:pPr>
            <w:r w:rsidRPr="005403C8">
              <w:rPr>
                <w:rFonts w:ascii="Times New Roman" w:hAnsi="Times New Roman"/>
                <w:color w:val="000000"/>
                <w:sz w:val="12"/>
                <w:szCs w:val="12"/>
              </w:rPr>
              <w:t>400 hours</w:t>
            </w:r>
          </w:p>
        </w:tc>
        <w:tc>
          <w:tcPr>
            <w:tcW w:w="846" w:type="dxa"/>
            <w:tcBorders>
              <w:top w:val="nil"/>
              <w:left w:val="nil"/>
              <w:bottom w:val="single" w:sz="4" w:space="0" w:color="auto"/>
              <w:right w:val="single" w:sz="4" w:space="0" w:color="auto"/>
            </w:tcBorders>
            <w:vAlign w:val="center"/>
          </w:tcPr>
          <w:p w:rsidR="0051127A" w:rsidRPr="005403C8" w:rsidRDefault="00C41384" w:rsidP="00A27DB9">
            <w:pPr>
              <w:jc w:val="center"/>
              <w:rPr>
                <w:rFonts w:ascii="Times New Roman" w:hAnsi="Times New Roman"/>
                <w:color w:val="000000"/>
                <w:sz w:val="12"/>
                <w:szCs w:val="12"/>
              </w:rPr>
            </w:pPr>
            <w:r>
              <w:rPr>
                <w:rFonts w:ascii="Times New Roman" w:hAnsi="Times New Roman"/>
                <w:color w:val="000000"/>
                <w:sz w:val="12"/>
                <w:szCs w:val="12"/>
              </w:rPr>
              <w:t>86,800</w:t>
            </w:r>
            <w:r w:rsidR="0051127A" w:rsidRPr="005403C8">
              <w:rPr>
                <w:rFonts w:ascii="Times New Roman" w:hAnsi="Times New Roman"/>
                <w:color w:val="000000"/>
                <w:sz w:val="12"/>
                <w:szCs w:val="12"/>
              </w:rPr>
              <w:t xml:space="preserve"> hours</w:t>
            </w:r>
          </w:p>
        </w:tc>
        <w:tc>
          <w:tcPr>
            <w:tcW w:w="703" w:type="dxa"/>
            <w:tcBorders>
              <w:top w:val="nil"/>
              <w:left w:val="nil"/>
              <w:bottom w:val="single" w:sz="4" w:space="0" w:color="auto"/>
              <w:right w:val="single" w:sz="8" w:space="0" w:color="auto"/>
            </w:tcBorders>
            <w:noWrap/>
            <w:vAlign w:val="center"/>
          </w:tcPr>
          <w:p w:rsidR="0051127A" w:rsidRPr="005403C8" w:rsidRDefault="0051127A" w:rsidP="00A27DB9">
            <w:pPr>
              <w:jc w:val="center"/>
              <w:rPr>
                <w:rFonts w:ascii="Times New Roman" w:hAnsi="Times New Roman"/>
                <w:color w:val="000000"/>
                <w:sz w:val="12"/>
                <w:szCs w:val="12"/>
              </w:rPr>
            </w:pPr>
            <w:r>
              <w:rPr>
                <w:rFonts w:ascii="Times New Roman" w:hAnsi="Times New Roman"/>
                <w:color w:val="000000"/>
                <w:sz w:val="12"/>
                <w:szCs w:val="12"/>
              </w:rPr>
              <w:t>0</w:t>
            </w:r>
          </w:p>
        </w:tc>
      </w:tr>
      <w:tr w:rsidR="0051127A" w:rsidRPr="005403C8" w:rsidTr="00465B49">
        <w:trPr>
          <w:trHeight w:val="300"/>
          <w:jc w:val="center"/>
        </w:trPr>
        <w:tc>
          <w:tcPr>
            <w:tcW w:w="9917" w:type="dxa"/>
            <w:gridSpan w:val="10"/>
            <w:tcBorders>
              <w:top w:val="nil"/>
              <w:left w:val="single" w:sz="8" w:space="0" w:color="auto"/>
              <w:bottom w:val="single" w:sz="4" w:space="0" w:color="auto"/>
              <w:right w:val="single" w:sz="4" w:space="0" w:color="auto"/>
            </w:tcBorders>
            <w:vAlign w:val="center"/>
          </w:tcPr>
          <w:p w:rsidR="0051127A" w:rsidRPr="005403C8" w:rsidRDefault="0051127A" w:rsidP="00496677">
            <w:pPr>
              <w:jc w:val="right"/>
              <w:rPr>
                <w:rFonts w:ascii="Times New Roman" w:hAnsi="Times New Roman"/>
                <w:color w:val="000000"/>
                <w:szCs w:val="20"/>
              </w:rPr>
            </w:pPr>
            <w:r w:rsidRPr="005403C8">
              <w:rPr>
                <w:rFonts w:ascii="Times New Roman" w:hAnsi="Times New Roman"/>
                <w:b/>
                <w:color w:val="000000"/>
                <w:szCs w:val="20"/>
              </w:rPr>
              <w:t>TOTAL:</w:t>
            </w:r>
          </w:p>
        </w:tc>
        <w:tc>
          <w:tcPr>
            <w:tcW w:w="846" w:type="dxa"/>
            <w:tcBorders>
              <w:top w:val="nil"/>
              <w:left w:val="nil"/>
              <w:bottom w:val="single" w:sz="4" w:space="0" w:color="auto"/>
              <w:right w:val="single" w:sz="4" w:space="0" w:color="auto"/>
            </w:tcBorders>
            <w:vAlign w:val="center"/>
          </w:tcPr>
          <w:p w:rsidR="00C41384" w:rsidRDefault="00C41384" w:rsidP="001B2DD9">
            <w:pPr>
              <w:jc w:val="center"/>
              <w:rPr>
                <w:rFonts w:ascii="Times New Roman" w:hAnsi="Times New Roman"/>
                <w:b/>
                <w:color w:val="000000"/>
                <w:sz w:val="12"/>
                <w:szCs w:val="12"/>
              </w:rPr>
            </w:pPr>
            <w:r>
              <w:rPr>
                <w:rFonts w:ascii="Times New Roman" w:hAnsi="Times New Roman"/>
                <w:b/>
                <w:color w:val="000000"/>
                <w:sz w:val="12"/>
                <w:szCs w:val="12"/>
              </w:rPr>
              <w:t>229,784.33</w:t>
            </w:r>
            <w:r w:rsidR="0051127A" w:rsidRPr="005403C8">
              <w:rPr>
                <w:rFonts w:ascii="Times New Roman" w:hAnsi="Times New Roman"/>
                <w:b/>
                <w:color w:val="000000"/>
                <w:sz w:val="12"/>
                <w:szCs w:val="12"/>
              </w:rPr>
              <w:t xml:space="preserve"> </w:t>
            </w:r>
          </w:p>
          <w:p w:rsidR="0051127A" w:rsidRPr="005403C8" w:rsidRDefault="0051127A" w:rsidP="001B2DD9">
            <w:pPr>
              <w:jc w:val="center"/>
              <w:rPr>
                <w:rFonts w:ascii="Times New Roman" w:hAnsi="Times New Roman"/>
                <w:b/>
                <w:color w:val="000000"/>
                <w:sz w:val="12"/>
                <w:szCs w:val="12"/>
              </w:rPr>
            </w:pPr>
            <w:r w:rsidRPr="005403C8">
              <w:rPr>
                <w:rFonts w:ascii="Times New Roman" w:hAnsi="Times New Roman"/>
                <w:b/>
                <w:color w:val="000000"/>
                <w:sz w:val="12"/>
                <w:szCs w:val="12"/>
              </w:rPr>
              <w:t>hours</w:t>
            </w:r>
          </w:p>
        </w:tc>
        <w:tc>
          <w:tcPr>
            <w:tcW w:w="703" w:type="dxa"/>
            <w:tcBorders>
              <w:top w:val="nil"/>
              <w:left w:val="nil"/>
              <w:bottom w:val="single" w:sz="4" w:space="0" w:color="auto"/>
              <w:right w:val="single" w:sz="8" w:space="0" w:color="auto"/>
            </w:tcBorders>
            <w:noWrap/>
            <w:vAlign w:val="center"/>
          </w:tcPr>
          <w:p w:rsidR="0051127A" w:rsidRPr="005403C8" w:rsidRDefault="0051127A" w:rsidP="00A27DB9">
            <w:pPr>
              <w:jc w:val="center"/>
              <w:rPr>
                <w:rFonts w:ascii="Times New Roman" w:hAnsi="Times New Roman"/>
                <w:color w:val="000000"/>
                <w:sz w:val="12"/>
                <w:szCs w:val="12"/>
              </w:rPr>
            </w:pPr>
          </w:p>
        </w:tc>
      </w:tr>
    </w:tbl>
    <w:p w:rsidR="005768EB" w:rsidRPr="005403C8" w:rsidRDefault="005768EB" w:rsidP="00ED4AB0">
      <w:pPr>
        <w:tabs>
          <w:tab w:val="left" w:pos="-1440"/>
        </w:tabs>
        <w:rPr>
          <w:rStyle w:val="Heading2Char"/>
          <w:rFonts w:ascii="Times New Roman" w:hAnsi="Times New Roman"/>
        </w:rPr>
      </w:pPr>
      <w:r w:rsidRPr="005403C8">
        <w:rPr>
          <w:rFonts w:ascii="Times New Roman" w:hAnsi="Times New Roman"/>
          <w:sz w:val="24"/>
        </w:rPr>
        <w:tab/>
      </w:r>
      <w:r w:rsidR="00051854">
        <w:rPr>
          <w:rFonts w:ascii="Times New Roman" w:hAnsi="Times New Roman"/>
          <w:sz w:val="24"/>
        </w:rPr>
        <w:br w:type="page"/>
      </w:r>
      <w:r w:rsidR="00465B49" w:rsidRPr="005403C8">
        <w:rPr>
          <w:rFonts w:ascii="Times New Roman" w:hAnsi="Times New Roman"/>
          <w:sz w:val="24"/>
        </w:rPr>
        <w:tab/>
      </w:r>
      <w:r w:rsidRPr="005403C8">
        <w:rPr>
          <w:rFonts w:ascii="Times New Roman" w:hAnsi="Times New Roman"/>
          <w:sz w:val="24"/>
        </w:rPr>
        <w:t>13.</w:t>
      </w:r>
      <w:r w:rsidRPr="005403C8">
        <w:rPr>
          <w:rFonts w:ascii="Times New Roman" w:hAnsi="Times New Roman"/>
          <w:sz w:val="24"/>
        </w:rPr>
        <w:tab/>
      </w:r>
      <w:r w:rsidRPr="005403C8">
        <w:rPr>
          <w:rStyle w:val="Heading2Char"/>
          <w:rFonts w:ascii="Times New Roman" w:hAnsi="Times New Roman"/>
          <w:u w:val="single"/>
        </w:rPr>
        <w:t>Cost</w:t>
      </w:r>
      <w:r w:rsidR="003734FD" w:rsidRPr="005403C8">
        <w:rPr>
          <w:rStyle w:val="Heading2Char"/>
          <w:rFonts w:ascii="Times New Roman" w:hAnsi="Times New Roman"/>
          <w:u w:val="single"/>
        </w:rPr>
        <w:t>s to Respondents</w:t>
      </w:r>
    </w:p>
    <w:p w:rsidR="005768EB" w:rsidRPr="005403C8" w:rsidRDefault="005768EB">
      <w:pPr>
        <w:rPr>
          <w:rFonts w:ascii="Times New Roman" w:hAnsi="Times New Roman"/>
          <w:sz w:val="24"/>
        </w:rPr>
      </w:pPr>
    </w:p>
    <w:p w:rsidR="00742778" w:rsidRPr="005403C8" w:rsidRDefault="00742778" w:rsidP="00742778">
      <w:pPr>
        <w:numPr>
          <w:ilvl w:val="0"/>
          <w:numId w:val="31"/>
        </w:numPr>
        <w:rPr>
          <w:rFonts w:ascii="Times New Roman" w:hAnsi="Times New Roman"/>
          <w:sz w:val="24"/>
          <w:u w:val="single"/>
        </w:rPr>
      </w:pPr>
      <w:r w:rsidRPr="005403C8">
        <w:rPr>
          <w:rFonts w:ascii="Times New Roman" w:hAnsi="Times New Roman"/>
          <w:sz w:val="24"/>
          <w:u w:val="single"/>
        </w:rPr>
        <w:t>Current Cost of Rule 606</w:t>
      </w:r>
    </w:p>
    <w:p w:rsidR="00742778" w:rsidRPr="005403C8" w:rsidRDefault="00742778">
      <w:pPr>
        <w:rPr>
          <w:rFonts w:ascii="Times New Roman" w:hAnsi="Times New Roman"/>
          <w:sz w:val="24"/>
        </w:rPr>
      </w:pPr>
    </w:p>
    <w:p w:rsidR="00742778" w:rsidRPr="005403C8" w:rsidRDefault="00742778" w:rsidP="00051854">
      <w:pPr>
        <w:ind w:firstLine="720"/>
        <w:rPr>
          <w:rFonts w:ascii="Times New Roman" w:hAnsi="Times New Roman"/>
          <w:sz w:val="24"/>
        </w:rPr>
      </w:pPr>
      <w:r w:rsidRPr="005403C8">
        <w:rPr>
          <w:rFonts w:ascii="Times New Roman" w:hAnsi="Times New Roman"/>
          <w:sz w:val="24"/>
        </w:rPr>
        <w:t xml:space="preserve">As of the most recent PRA renewal in 2016, there </w:t>
      </w:r>
      <w:r w:rsidR="000E789F">
        <w:rPr>
          <w:rFonts w:ascii="Times New Roman" w:hAnsi="Times New Roman"/>
          <w:sz w:val="24"/>
        </w:rPr>
        <w:t>were</w:t>
      </w:r>
      <w:r w:rsidR="000E789F" w:rsidRPr="005403C8">
        <w:rPr>
          <w:rFonts w:ascii="Times New Roman" w:hAnsi="Times New Roman"/>
          <w:sz w:val="24"/>
        </w:rPr>
        <w:t xml:space="preserve"> </w:t>
      </w:r>
      <w:r w:rsidRPr="005403C8">
        <w:rPr>
          <w:rFonts w:ascii="Times New Roman" w:hAnsi="Times New Roman"/>
          <w:sz w:val="24"/>
        </w:rPr>
        <w:t xml:space="preserve">no applicable costs associated with </w:t>
      </w:r>
      <w:r w:rsidR="000E789F">
        <w:rPr>
          <w:rFonts w:ascii="Times New Roman" w:hAnsi="Times New Roman"/>
          <w:sz w:val="24"/>
        </w:rPr>
        <w:t xml:space="preserve"> the information collections associated with Rules 606(a) and (b)(1)</w:t>
      </w:r>
      <w:r w:rsidRPr="005403C8">
        <w:rPr>
          <w:rFonts w:ascii="Times New Roman" w:hAnsi="Times New Roman"/>
          <w:sz w:val="24"/>
        </w:rPr>
        <w:t xml:space="preserve">: (a) it </w:t>
      </w:r>
      <w:r w:rsidR="000E789F">
        <w:rPr>
          <w:rFonts w:ascii="Times New Roman" w:hAnsi="Times New Roman"/>
          <w:sz w:val="24"/>
        </w:rPr>
        <w:t>was</w:t>
      </w:r>
      <w:r w:rsidR="000E789F" w:rsidRPr="005403C8">
        <w:rPr>
          <w:rFonts w:ascii="Times New Roman" w:hAnsi="Times New Roman"/>
          <w:sz w:val="24"/>
        </w:rPr>
        <w:t xml:space="preserve"> </w:t>
      </w:r>
      <w:r w:rsidRPr="005403C8">
        <w:rPr>
          <w:rFonts w:ascii="Times New Roman" w:hAnsi="Times New Roman"/>
          <w:sz w:val="24"/>
        </w:rPr>
        <w:t xml:space="preserve">not anticipated that respondents </w:t>
      </w:r>
      <w:r w:rsidR="000E789F">
        <w:rPr>
          <w:rFonts w:ascii="Times New Roman" w:hAnsi="Times New Roman"/>
          <w:sz w:val="24"/>
        </w:rPr>
        <w:t>would</w:t>
      </w:r>
      <w:r w:rsidR="000E789F" w:rsidRPr="005403C8">
        <w:rPr>
          <w:rFonts w:ascii="Times New Roman" w:hAnsi="Times New Roman"/>
          <w:sz w:val="24"/>
        </w:rPr>
        <w:t xml:space="preserve"> </w:t>
      </w:r>
      <w:r w:rsidRPr="005403C8">
        <w:rPr>
          <w:rFonts w:ascii="Times New Roman" w:hAnsi="Times New Roman"/>
          <w:sz w:val="24"/>
        </w:rPr>
        <w:t>have</w:t>
      </w:r>
      <w:r w:rsidR="000A4080" w:rsidRPr="005403C8">
        <w:rPr>
          <w:rFonts w:ascii="Times New Roman" w:hAnsi="Times New Roman"/>
          <w:sz w:val="24"/>
        </w:rPr>
        <w:t xml:space="preserve"> to incur any capital and start-</w:t>
      </w:r>
      <w:r w:rsidRPr="005403C8">
        <w:rPr>
          <w:rFonts w:ascii="Times New Roman" w:hAnsi="Times New Roman"/>
          <w:sz w:val="24"/>
        </w:rPr>
        <w:t>up cost to comply with the</w:t>
      </w:r>
      <w:r w:rsidR="000E789F">
        <w:rPr>
          <w:rFonts w:ascii="Times New Roman" w:hAnsi="Times New Roman"/>
          <w:sz w:val="24"/>
        </w:rPr>
        <w:t>se</w:t>
      </w:r>
      <w:r w:rsidRPr="005403C8">
        <w:rPr>
          <w:rFonts w:ascii="Times New Roman" w:hAnsi="Times New Roman"/>
          <w:sz w:val="24"/>
        </w:rPr>
        <w:t xml:space="preserve"> rule</w:t>
      </w:r>
      <w:r w:rsidR="000E789F">
        <w:rPr>
          <w:rFonts w:ascii="Times New Roman" w:hAnsi="Times New Roman"/>
          <w:sz w:val="24"/>
        </w:rPr>
        <w:t>s</w:t>
      </w:r>
      <w:r w:rsidRPr="005403C8">
        <w:rPr>
          <w:rFonts w:ascii="Times New Roman" w:hAnsi="Times New Roman"/>
          <w:sz w:val="24"/>
        </w:rPr>
        <w:t xml:space="preserve">; (b) it </w:t>
      </w:r>
      <w:r w:rsidR="000E789F">
        <w:rPr>
          <w:rFonts w:ascii="Times New Roman" w:hAnsi="Times New Roman"/>
          <w:sz w:val="24"/>
        </w:rPr>
        <w:t>was</w:t>
      </w:r>
      <w:r w:rsidR="000E789F" w:rsidRPr="005403C8">
        <w:rPr>
          <w:rFonts w:ascii="Times New Roman" w:hAnsi="Times New Roman"/>
          <w:sz w:val="24"/>
        </w:rPr>
        <w:t xml:space="preserve"> </w:t>
      </w:r>
      <w:r w:rsidRPr="005403C8">
        <w:rPr>
          <w:rFonts w:ascii="Times New Roman" w:hAnsi="Times New Roman"/>
          <w:sz w:val="24"/>
        </w:rPr>
        <w:t xml:space="preserve">not anticipated that the respondents </w:t>
      </w:r>
      <w:r w:rsidR="000E789F">
        <w:rPr>
          <w:rFonts w:ascii="Times New Roman" w:hAnsi="Times New Roman"/>
          <w:sz w:val="24"/>
        </w:rPr>
        <w:t>would</w:t>
      </w:r>
      <w:r w:rsidR="000E789F" w:rsidRPr="005403C8">
        <w:rPr>
          <w:rFonts w:ascii="Times New Roman" w:hAnsi="Times New Roman"/>
          <w:sz w:val="24"/>
        </w:rPr>
        <w:t xml:space="preserve"> </w:t>
      </w:r>
      <w:r w:rsidRPr="005403C8">
        <w:rPr>
          <w:rFonts w:ascii="Times New Roman" w:hAnsi="Times New Roman"/>
          <w:sz w:val="24"/>
        </w:rPr>
        <w:t>have to incur any additional operational or maintenance cost to comply with the</w:t>
      </w:r>
      <w:r w:rsidR="000E789F">
        <w:rPr>
          <w:rFonts w:ascii="Times New Roman" w:hAnsi="Times New Roman"/>
          <w:sz w:val="24"/>
        </w:rPr>
        <w:t>se</w:t>
      </w:r>
      <w:r w:rsidRPr="005403C8">
        <w:rPr>
          <w:rFonts w:ascii="Times New Roman" w:hAnsi="Times New Roman"/>
          <w:sz w:val="24"/>
        </w:rPr>
        <w:t xml:space="preserve"> rule</w:t>
      </w:r>
      <w:r w:rsidR="000E789F">
        <w:rPr>
          <w:rFonts w:ascii="Times New Roman" w:hAnsi="Times New Roman"/>
          <w:sz w:val="24"/>
        </w:rPr>
        <w:t>s</w:t>
      </w:r>
      <w:r w:rsidRPr="005403C8">
        <w:rPr>
          <w:rFonts w:ascii="Times New Roman" w:hAnsi="Times New Roman"/>
          <w:sz w:val="24"/>
        </w:rPr>
        <w:t>.</w:t>
      </w:r>
      <w:r w:rsidR="000E789F">
        <w:rPr>
          <w:rFonts w:ascii="Times New Roman" w:hAnsi="Times New Roman"/>
          <w:sz w:val="24"/>
        </w:rPr>
        <w:t xml:space="preserve"> </w:t>
      </w:r>
    </w:p>
    <w:p w:rsidR="00742778" w:rsidRPr="005403C8" w:rsidRDefault="00742778">
      <w:pPr>
        <w:rPr>
          <w:rFonts w:ascii="Times New Roman" w:hAnsi="Times New Roman"/>
          <w:sz w:val="24"/>
        </w:rPr>
      </w:pPr>
    </w:p>
    <w:p w:rsidR="00742778" w:rsidRPr="005403C8" w:rsidRDefault="00742778" w:rsidP="00742778">
      <w:pPr>
        <w:numPr>
          <w:ilvl w:val="0"/>
          <w:numId w:val="31"/>
        </w:numPr>
        <w:rPr>
          <w:rFonts w:ascii="Times New Roman" w:hAnsi="Times New Roman"/>
          <w:sz w:val="24"/>
          <w:u w:val="single"/>
        </w:rPr>
      </w:pPr>
      <w:r w:rsidRPr="005403C8">
        <w:rPr>
          <w:rFonts w:ascii="Times New Roman" w:hAnsi="Times New Roman"/>
          <w:sz w:val="24"/>
          <w:u w:val="single"/>
        </w:rPr>
        <w:t xml:space="preserve">Cost of </w:t>
      </w:r>
      <w:r w:rsidR="000540F1">
        <w:rPr>
          <w:rFonts w:ascii="Times New Roman" w:hAnsi="Times New Roman"/>
          <w:sz w:val="24"/>
          <w:u w:val="single"/>
        </w:rPr>
        <w:t>Adopted</w:t>
      </w:r>
      <w:r w:rsidRPr="005403C8">
        <w:rPr>
          <w:rFonts w:ascii="Times New Roman" w:hAnsi="Times New Roman"/>
          <w:sz w:val="24"/>
          <w:u w:val="single"/>
        </w:rPr>
        <w:t xml:space="preserve"> Rule 606</w:t>
      </w:r>
    </w:p>
    <w:p w:rsidR="00742778" w:rsidRPr="005403C8" w:rsidRDefault="00742778" w:rsidP="00742778">
      <w:pPr>
        <w:ind w:left="1800"/>
        <w:rPr>
          <w:rFonts w:ascii="Times New Roman" w:hAnsi="Times New Roman"/>
          <w:sz w:val="24"/>
          <w:u w:val="single"/>
        </w:rPr>
      </w:pPr>
    </w:p>
    <w:p w:rsidR="00D14F83" w:rsidRPr="005403C8" w:rsidRDefault="00D14F83" w:rsidP="00D14F83">
      <w:pPr>
        <w:numPr>
          <w:ilvl w:val="0"/>
          <w:numId w:val="35"/>
        </w:numPr>
        <w:rPr>
          <w:rFonts w:ascii="Times New Roman" w:hAnsi="Times New Roman"/>
          <w:sz w:val="24"/>
          <w:u w:val="single"/>
        </w:rPr>
      </w:pPr>
      <w:r>
        <w:rPr>
          <w:rFonts w:ascii="Times New Roman" w:hAnsi="Times New Roman"/>
          <w:sz w:val="24"/>
          <w:u w:val="single"/>
        </w:rPr>
        <w:t xml:space="preserve">New </w:t>
      </w:r>
      <w:r w:rsidRPr="005403C8">
        <w:rPr>
          <w:rFonts w:ascii="Times New Roman" w:hAnsi="Times New Roman"/>
          <w:sz w:val="24"/>
          <w:u w:val="single"/>
        </w:rPr>
        <w:t xml:space="preserve">Rule </w:t>
      </w:r>
      <w:r w:rsidRPr="005403C8">
        <w:rPr>
          <w:rFonts w:ascii="Times New Roman" w:hAnsi="Times New Roman"/>
          <w:bCs/>
          <w:sz w:val="24"/>
          <w:u w:val="single"/>
        </w:rPr>
        <w:t>606(b)(3)</w:t>
      </w:r>
    </w:p>
    <w:p w:rsidR="00742778" w:rsidRPr="005403C8" w:rsidRDefault="00742778" w:rsidP="00742778">
      <w:pPr>
        <w:ind w:left="2520"/>
        <w:rPr>
          <w:rFonts w:ascii="Times New Roman" w:hAnsi="Times New Roman"/>
          <w:sz w:val="24"/>
          <w:u w:val="single"/>
        </w:rPr>
      </w:pPr>
    </w:p>
    <w:p w:rsidR="00DC45AD" w:rsidRDefault="00742778" w:rsidP="00DC45AD">
      <w:pPr>
        <w:numPr>
          <w:ilvl w:val="2"/>
          <w:numId w:val="31"/>
        </w:numPr>
        <w:rPr>
          <w:rFonts w:ascii="Times New Roman" w:hAnsi="Times New Roman"/>
          <w:sz w:val="24"/>
          <w:u w:val="single"/>
        </w:rPr>
      </w:pPr>
      <w:r w:rsidRPr="005403C8">
        <w:rPr>
          <w:rFonts w:ascii="Times New Roman" w:hAnsi="Times New Roman"/>
          <w:sz w:val="24"/>
          <w:u w:val="single"/>
        </w:rPr>
        <w:t>Initial Reporting and Recordkeeping Costs</w:t>
      </w:r>
    </w:p>
    <w:p w:rsidR="00DC45AD" w:rsidRDefault="00DC45AD" w:rsidP="00DC45AD">
      <w:pPr>
        <w:rPr>
          <w:rFonts w:ascii="Times New Roman" w:hAnsi="Times New Roman"/>
          <w:sz w:val="24"/>
          <w:u w:val="single"/>
        </w:rPr>
      </w:pPr>
    </w:p>
    <w:p w:rsidR="00163A50" w:rsidRDefault="001672A7" w:rsidP="00EA6E9D">
      <w:pPr>
        <w:ind w:firstLine="720"/>
        <w:rPr>
          <w:rFonts w:ascii="Times New Roman" w:eastAsia="MS Mincho" w:hAnsi="Times New Roman"/>
          <w:sz w:val="24"/>
        </w:rPr>
      </w:pPr>
      <w:r w:rsidRPr="00DC45AD">
        <w:rPr>
          <w:rFonts w:ascii="Times New Roman" w:eastAsia="MS Mincho" w:hAnsi="Times New Roman"/>
          <w:sz w:val="24"/>
        </w:rPr>
        <w:t>The</w:t>
      </w:r>
      <w:r w:rsidRPr="00DC45AD" w:rsidDel="007E020B">
        <w:rPr>
          <w:rFonts w:ascii="Times New Roman" w:eastAsia="MS Mincho" w:hAnsi="Times New Roman"/>
          <w:sz w:val="24"/>
        </w:rPr>
        <w:t xml:space="preserve"> Commission </w:t>
      </w:r>
      <w:r w:rsidRPr="00DC45AD">
        <w:rPr>
          <w:rFonts w:ascii="Times New Roman" w:eastAsia="MS Mincho" w:hAnsi="Times New Roman"/>
          <w:sz w:val="24"/>
        </w:rPr>
        <w:t xml:space="preserve">estimates the initial burden for each of the 67 broker-dealer that handles orders subject to the customer-specific disclosures required by Rule 606(b)(3) to </w:t>
      </w:r>
      <w:r w:rsidR="00163A50" w:rsidRPr="00DC45AD">
        <w:rPr>
          <w:rFonts w:ascii="Times New Roman" w:eastAsia="MS Mincho" w:hAnsi="Times New Roman"/>
          <w:sz w:val="24"/>
        </w:rPr>
        <w:t xml:space="preserve">purchase hardware and software upgrades to </w:t>
      </w:r>
      <w:r w:rsidRPr="00DC45AD">
        <w:rPr>
          <w:rFonts w:ascii="Times New Roman" w:eastAsia="MS Mincho" w:hAnsi="Times New Roman"/>
          <w:sz w:val="24"/>
        </w:rPr>
        <w:t>implement the requirements of the rule in-house to be $15,000,</w:t>
      </w:r>
      <w:r w:rsidRPr="005403C8">
        <w:rPr>
          <w:rStyle w:val="FootnoteReference"/>
          <w:rFonts w:ascii="Times New Roman" w:hAnsi="Times New Roman"/>
          <w:sz w:val="24"/>
          <w:vertAlign w:val="superscript"/>
        </w:rPr>
        <w:footnoteReference w:id="64"/>
      </w:r>
      <w:r w:rsidRPr="00DC45AD">
        <w:rPr>
          <w:rFonts w:ascii="Times New Roman" w:eastAsia="MS Mincho" w:hAnsi="Times New Roman"/>
          <w:sz w:val="24"/>
        </w:rPr>
        <w:t xml:space="preserve"> for a total initial burden of  $1,005,000.</w:t>
      </w:r>
      <w:r w:rsidRPr="005403C8">
        <w:rPr>
          <w:rStyle w:val="FootnoteReference"/>
          <w:rFonts w:ascii="Times New Roman" w:hAnsi="Times New Roman"/>
          <w:sz w:val="24"/>
          <w:vertAlign w:val="superscript"/>
        </w:rPr>
        <w:footnoteReference w:id="65"/>
      </w:r>
      <w:r w:rsidRPr="00DC45AD">
        <w:rPr>
          <w:rFonts w:ascii="Times New Roman" w:eastAsia="MS Mincho" w:hAnsi="Times New Roman"/>
          <w:sz w:val="24"/>
        </w:rPr>
        <w:t xml:space="preserve">  The Commission initially estimated that 10 </w:t>
      </w:r>
      <w:r w:rsidR="008E40BC" w:rsidRPr="00DC45AD">
        <w:rPr>
          <w:rFonts w:ascii="Times New Roman" w:eastAsia="MS Mincho" w:hAnsi="Times New Roman"/>
          <w:sz w:val="24"/>
        </w:rPr>
        <w:t>broker-dealer</w:t>
      </w:r>
      <w:r w:rsidRPr="00DC45AD">
        <w:rPr>
          <w:rFonts w:ascii="Times New Roman" w:eastAsia="MS Mincho" w:hAnsi="Times New Roman"/>
          <w:sz w:val="24"/>
        </w:rPr>
        <w:t>s would need to update their systems to capture the data required by the rule for an individual burden of $15,000 and a total burden of $150,000.</w:t>
      </w:r>
      <w:r w:rsidRPr="005403C8">
        <w:rPr>
          <w:rStyle w:val="FootnoteReference"/>
          <w:rFonts w:ascii="Times New Roman" w:hAnsi="Times New Roman"/>
          <w:sz w:val="24"/>
          <w:vertAlign w:val="superscript"/>
        </w:rPr>
        <w:footnoteReference w:id="66"/>
      </w:r>
      <w:r w:rsidRPr="00DC45AD">
        <w:rPr>
          <w:rFonts w:ascii="Times New Roman" w:eastAsia="MS Mincho" w:hAnsi="Times New Roman"/>
          <w:sz w:val="24"/>
        </w:rPr>
        <w:t xml:space="preserve">  The increase in burden from the Proposing Release estimate reflects the increase in number of respondents from 10 to 67, as discussed above.</w:t>
      </w:r>
      <w:r w:rsidRPr="005403C8">
        <w:rPr>
          <w:rStyle w:val="FootnoteReference"/>
          <w:rFonts w:ascii="Times New Roman" w:hAnsi="Times New Roman"/>
          <w:sz w:val="24"/>
          <w:vertAlign w:val="superscript"/>
        </w:rPr>
        <w:footnoteReference w:id="67"/>
      </w:r>
    </w:p>
    <w:p w:rsidR="00163A50" w:rsidRDefault="00163A50" w:rsidP="002C0161">
      <w:pPr>
        <w:keepNext/>
        <w:keepLines/>
        <w:ind w:firstLine="720"/>
        <w:rPr>
          <w:rFonts w:ascii="Times New Roman" w:eastAsia="MS Mincho" w:hAnsi="Times New Roman"/>
          <w:sz w:val="24"/>
        </w:rPr>
      </w:pPr>
    </w:p>
    <w:p w:rsidR="00B06050" w:rsidRPr="00B06050" w:rsidRDefault="00163A50" w:rsidP="009835B0">
      <w:pPr>
        <w:keepNext/>
        <w:keepLines/>
        <w:ind w:firstLine="720"/>
        <w:rPr>
          <w:rFonts w:ascii="Times New Roman" w:hAnsi="Times New Roman"/>
          <w:sz w:val="24"/>
        </w:rPr>
      </w:pPr>
      <w:r w:rsidRPr="00BC7F76">
        <w:rPr>
          <w:rFonts w:ascii="Times New Roman" w:eastAsia="MS Mincho" w:hAnsi="Times New Roman"/>
          <w:sz w:val="24"/>
        </w:rPr>
        <w:t>The</w:t>
      </w:r>
      <w:r w:rsidRPr="00BC7F76" w:rsidDel="007E020B">
        <w:rPr>
          <w:rFonts w:ascii="Times New Roman" w:eastAsia="MS Mincho" w:hAnsi="Times New Roman"/>
          <w:sz w:val="24"/>
        </w:rPr>
        <w:t xml:space="preserve"> Commission </w:t>
      </w:r>
      <w:r w:rsidRPr="00BC7F76">
        <w:rPr>
          <w:rFonts w:ascii="Times New Roman" w:eastAsia="MS Mincho" w:hAnsi="Times New Roman"/>
          <w:sz w:val="24"/>
        </w:rPr>
        <w:t>estimate</w:t>
      </w:r>
      <w:r>
        <w:rPr>
          <w:rFonts w:ascii="Times New Roman" w:eastAsia="MS Mincho" w:hAnsi="Times New Roman"/>
          <w:sz w:val="24"/>
        </w:rPr>
        <w:t xml:space="preserve">s </w:t>
      </w:r>
      <w:r w:rsidRPr="00BC7F76">
        <w:rPr>
          <w:rFonts w:ascii="Times New Roman" w:eastAsia="MS Mincho" w:hAnsi="Times New Roman"/>
          <w:sz w:val="24"/>
        </w:rPr>
        <w:t xml:space="preserve">the initial burden for </w:t>
      </w:r>
      <w:r>
        <w:rPr>
          <w:rFonts w:ascii="Times New Roman" w:eastAsia="MS Mincho" w:hAnsi="Times New Roman"/>
          <w:sz w:val="24"/>
        </w:rPr>
        <w:t>each of the 133 broker-dealer</w:t>
      </w:r>
      <w:r w:rsidRPr="00BC7F76">
        <w:rPr>
          <w:rFonts w:ascii="Times New Roman" w:eastAsia="MS Mincho" w:hAnsi="Times New Roman"/>
          <w:sz w:val="24"/>
        </w:rPr>
        <w:t xml:space="preserve"> that handle</w:t>
      </w:r>
      <w:r>
        <w:rPr>
          <w:rFonts w:ascii="Times New Roman" w:eastAsia="MS Mincho" w:hAnsi="Times New Roman"/>
          <w:sz w:val="24"/>
        </w:rPr>
        <w:t>s</w:t>
      </w:r>
      <w:r w:rsidRPr="00BC7F76">
        <w:rPr>
          <w:rFonts w:ascii="Times New Roman" w:eastAsia="MS Mincho" w:hAnsi="Times New Roman"/>
          <w:sz w:val="24"/>
        </w:rPr>
        <w:t xml:space="preserve"> orders subject to the customer-specific disclosure</w:t>
      </w:r>
      <w:r>
        <w:rPr>
          <w:rFonts w:ascii="Times New Roman" w:eastAsia="MS Mincho" w:hAnsi="Times New Roman"/>
          <w:sz w:val="24"/>
        </w:rPr>
        <w:t xml:space="preserve">s required by Rule 606(b)(3) </w:t>
      </w:r>
      <w:r w:rsidRPr="00BC7F76">
        <w:rPr>
          <w:rFonts w:ascii="Times New Roman" w:eastAsia="MS Mincho" w:hAnsi="Times New Roman"/>
          <w:sz w:val="24"/>
        </w:rPr>
        <w:t xml:space="preserve">to </w:t>
      </w:r>
      <w:r>
        <w:rPr>
          <w:rFonts w:ascii="Times New Roman" w:eastAsia="MS Mincho" w:hAnsi="Times New Roman"/>
          <w:sz w:val="24"/>
        </w:rPr>
        <w:t xml:space="preserve">pay a third-party service provider to </w:t>
      </w:r>
      <w:r w:rsidRPr="00BC7F76">
        <w:rPr>
          <w:rFonts w:ascii="Times New Roman" w:eastAsia="MS Mincho" w:hAnsi="Times New Roman"/>
          <w:sz w:val="24"/>
        </w:rPr>
        <w:t>implement the requirements of the rule</w:t>
      </w:r>
      <w:r>
        <w:rPr>
          <w:rFonts w:ascii="Times New Roman" w:eastAsia="MS Mincho" w:hAnsi="Times New Roman"/>
          <w:sz w:val="24"/>
        </w:rPr>
        <w:t xml:space="preserve"> to be $35,000,</w:t>
      </w:r>
      <w:r w:rsidRPr="005403C8">
        <w:rPr>
          <w:rStyle w:val="FootnoteReference"/>
          <w:rFonts w:ascii="Times New Roman" w:hAnsi="Times New Roman"/>
          <w:sz w:val="24"/>
          <w:vertAlign w:val="superscript"/>
        </w:rPr>
        <w:footnoteReference w:id="68"/>
      </w:r>
      <w:r>
        <w:rPr>
          <w:rFonts w:ascii="Times New Roman" w:eastAsia="MS Mincho" w:hAnsi="Times New Roman"/>
          <w:sz w:val="24"/>
        </w:rPr>
        <w:t xml:space="preserve"> for a total initial burden of </w:t>
      </w:r>
      <w:r w:rsidRPr="00561C19">
        <w:rPr>
          <w:rFonts w:ascii="Times New Roman" w:eastAsia="MS Mincho" w:hAnsi="Times New Roman"/>
          <w:sz w:val="24"/>
        </w:rPr>
        <w:t>$4,655,000</w:t>
      </w:r>
      <w:r w:rsidR="00D14F83">
        <w:rPr>
          <w:rFonts w:ascii="Times New Roman" w:eastAsia="MS Mincho" w:hAnsi="Times New Roman"/>
          <w:sz w:val="24"/>
        </w:rPr>
        <w:t>.</w:t>
      </w:r>
      <w:r w:rsidRPr="005403C8">
        <w:rPr>
          <w:rStyle w:val="FootnoteReference"/>
          <w:rFonts w:ascii="Times New Roman" w:hAnsi="Times New Roman"/>
          <w:sz w:val="24"/>
          <w:vertAlign w:val="superscript"/>
        </w:rPr>
        <w:footnoteReference w:id="69"/>
      </w:r>
      <w:r>
        <w:rPr>
          <w:rFonts w:ascii="Times New Roman" w:eastAsia="MS Mincho" w:hAnsi="Times New Roman"/>
          <w:sz w:val="24"/>
        </w:rPr>
        <w:t xml:space="preserve">  </w:t>
      </w:r>
      <w:r w:rsidRPr="00F95CB2">
        <w:rPr>
          <w:rFonts w:ascii="Times New Roman" w:eastAsia="MS Mincho" w:hAnsi="Times New Roman"/>
          <w:sz w:val="24"/>
        </w:rPr>
        <w:t xml:space="preserve">The Commission initially estimated that </w:t>
      </w:r>
      <w:r>
        <w:rPr>
          <w:rFonts w:ascii="Times New Roman" w:eastAsia="MS Mincho" w:hAnsi="Times New Roman"/>
          <w:sz w:val="24"/>
        </w:rPr>
        <w:t>15</w:t>
      </w:r>
      <w:r w:rsidRPr="00F95CB2">
        <w:rPr>
          <w:rFonts w:ascii="Times New Roman" w:eastAsia="MS Mincho" w:hAnsi="Times New Roman"/>
          <w:sz w:val="24"/>
        </w:rPr>
        <w:t xml:space="preserve"> </w:t>
      </w:r>
      <w:r w:rsidR="008E40BC">
        <w:rPr>
          <w:rFonts w:ascii="Times New Roman" w:eastAsia="MS Mincho" w:hAnsi="Times New Roman"/>
          <w:sz w:val="24"/>
        </w:rPr>
        <w:t>broker-dealer</w:t>
      </w:r>
      <w:r w:rsidRPr="00F95CB2">
        <w:rPr>
          <w:rFonts w:ascii="Times New Roman" w:eastAsia="MS Mincho" w:hAnsi="Times New Roman"/>
          <w:sz w:val="24"/>
        </w:rPr>
        <w:t>s would need to update their systems to captur</w:t>
      </w:r>
      <w:r>
        <w:rPr>
          <w:rFonts w:ascii="Times New Roman" w:eastAsia="MS Mincho" w:hAnsi="Times New Roman"/>
          <w:sz w:val="24"/>
        </w:rPr>
        <w:t>e the data required by the rule</w:t>
      </w:r>
      <w:r w:rsidRPr="00F95CB2">
        <w:rPr>
          <w:rFonts w:ascii="Times New Roman" w:eastAsia="MS Mincho" w:hAnsi="Times New Roman"/>
          <w:sz w:val="24"/>
        </w:rPr>
        <w:t xml:space="preserve"> for a</w:t>
      </w:r>
      <w:r>
        <w:rPr>
          <w:rFonts w:ascii="Times New Roman" w:eastAsia="MS Mincho" w:hAnsi="Times New Roman"/>
          <w:sz w:val="24"/>
        </w:rPr>
        <w:t>n individual burden of $35,000 and a</w:t>
      </w:r>
      <w:r w:rsidRPr="00F95CB2">
        <w:rPr>
          <w:rFonts w:ascii="Times New Roman" w:eastAsia="MS Mincho" w:hAnsi="Times New Roman"/>
          <w:sz w:val="24"/>
        </w:rPr>
        <w:t xml:space="preserve"> total burden </w:t>
      </w:r>
      <w:r>
        <w:rPr>
          <w:rFonts w:ascii="Times New Roman" w:eastAsia="MS Mincho" w:hAnsi="Times New Roman"/>
          <w:sz w:val="24"/>
        </w:rPr>
        <w:t xml:space="preserve">of </w:t>
      </w:r>
      <w:r w:rsidRPr="00981D63">
        <w:rPr>
          <w:rFonts w:ascii="Times New Roman" w:eastAsia="MS Mincho" w:hAnsi="Times New Roman"/>
          <w:sz w:val="24"/>
        </w:rPr>
        <w:t>$525,000</w:t>
      </w:r>
      <w:r w:rsidRPr="00F95CB2">
        <w:rPr>
          <w:rFonts w:ascii="Times New Roman" w:eastAsia="MS Mincho" w:hAnsi="Times New Roman"/>
          <w:sz w:val="24"/>
        </w:rPr>
        <w:t>.</w:t>
      </w:r>
      <w:r w:rsidRPr="005403C8">
        <w:rPr>
          <w:rStyle w:val="FootnoteReference"/>
          <w:rFonts w:ascii="Times New Roman" w:hAnsi="Times New Roman"/>
          <w:sz w:val="24"/>
          <w:vertAlign w:val="superscript"/>
        </w:rPr>
        <w:footnoteReference w:id="70"/>
      </w:r>
      <w:r w:rsidRPr="00F95CB2">
        <w:rPr>
          <w:rFonts w:ascii="Times New Roman" w:eastAsia="MS Mincho" w:hAnsi="Times New Roman"/>
          <w:sz w:val="24"/>
        </w:rPr>
        <w:t xml:space="preserve">  </w:t>
      </w:r>
      <w:r>
        <w:rPr>
          <w:rFonts w:ascii="Times New Roman" w:eastAsia="MS Mincho" w:hAnsi="Times New Roman"/>
          <w:sz w:val="24"/>
        </w:rPr>
        <w:t>The increase in burden from the Proposing Release estimate reflects the increase in number of respondents from 15 to 133, as discussed above.</w:t>
      </w:r>
      <w:r w:rsidRPr="005403C8">
        <w:rPr>
          <w:rStyle w:val="FootnoteReference"/>
          <w:rFonts w:ascii="Times New Roman" w:hAnsi="Times New Roman"/>
          <w:sz w:val="24"/>
          <w:vertAlign w:val="superscript"/>
        </w:rPr>
        <w:footnoteReference w:id="71"/>
      </w:r>
    </w:p>
    <w:p w:rsidR="001672A7" w:rsidRDefault="001672A7" w:rsidP="002C0161">
      <w:pPr>
        <w:keepNext/>
        <w:keepLines/>
        <w:ind w:firstLine="720"/>
        <w:rPr>
          <w:rFonts w:ascii="Times New Roman" w:eastAsia="MS Mincho" w:hAnsi="Times New Roman"/>
          <w:sz w:val="24"/>
        </w:rPr>
      </w:pPr>
    </w:p>
    <w:p w:rsidR="008800B6" w:rsidRPr="005403C8" w:rsidRDefault="008800B6" w:rsidP="002C0161">
      <w:pPr>
        <w:keepNext/>
        <w:keepLines/>
        <w:ind w:firstLine="720"/>
        <w:rPr>
          <w:rFonts w:ascii="Times New Roman" w:hAnsi="Times New Roman"/>
          <w:sz w:val="24"/>
        </w:rPr>
      </w:pPr>
      <w:r w:rsidRPr="005403C8">
        <w:rPr>
          <w:rFonts w:ascii="Times New Roman" w:hAnsi="Times New Roman"/>
          <w:sz w:val="24"/>
        </w:rPr>
        <w:t>The</w:t>
      </w:r>
      <w:r w:rsidR="006D5D60" w:rsidRPr="005403C8">
        <w:rPr>
          <w:rFonts w:ascii="Times New Roman" w:hAnsi="Times New Roman"/>
          <w:sz w:val="24"/>
        </w:rPr>
        <w:t>refore, the</w:t>
      </w:r>
      <w:r w:rsidRPr="005403C8">
        <w:rPr>
          <w:rFonts w:ascii="Times New Roman" w:hAnsi="Times New Roman"/>
          <w:sz w:val="24"/>
        </w:rPr>
        <w:t xml:space="preserve"> estimated total initial cost to comply with </w:t>
      </w:r>
      <w:r w:rsidR="007863C8">
        <w:rPr>
          <w:rFonts w:ascii="Times New Roman" w:hAnsi="Times New Roman"/>
          <w:sz w:val="24"/>
        </w:rPr>
        <w:t>adopted</w:t>
      </w:r>
      <w:r w:rsidR="007863C8" w:rsidRPr="005403C8">
        <w:rPr>
          <w:rFonts w:ascii="Times New Roman" w:hAnsi="Times New Roman"/>
          <w:sz w:val="24"/>
        </w:rPr>
        <w:t xml:space="preserve"> </w:t>
      </w:r>
      <w:r w:rsidRPr="005403C8">
        <w:rPr>
          <w:rFonts w:ascii="Times New Roman" w:hAnsi="Times New Roman"/>
          <w:sz w:val="24"/>
        </w:rPr>
        <w:t xml:space="preserve">Rule 606(b)(3) is </w:t>
      </w:r>
      <w:r w:rsidR="00163A50" w:rsidRPr="00163A50">
        <w:rPr>
          <w:rFonts w:ascii="Times New Roman" w:hAnsi="Times New Roman"/>
          <w:sz w:val="24"/>
        </w:rPr>
        <w:t>$5,660,000</w:t>
      </w:r>
      <w:r w:rsidRPr="005403C8">
        <w:rPr>
          <w:rStyle w:val="FootnoteReference"/>
          <w:rFonts w:ascii="Times New Roman" w:hAnsi="Times New Roman"/>
          <w:sz w:val="24"/>
          <w:vertAlign w:val="superscript"/>
        </w:rPr>
        <w:footnoteReference w:id="72"/>
      </w:r>
      <w:r w:rsidRPr="005403C8">
        <w:rPr>
          <w:rFonts w:ascii="Times New Roman" w:hAnsi="Times New Roman"/>
          <w:sz w:val="24"/>
        </w:rPr>
        <w:t xml:space="preserve"> or $</w:t>
      </w:r>
      <w:r w:rsidR="00667CC6">
        <w:rPr>
          <w:rFonts w:ascii="Times New Roman" w:hAnsi="Times New Roman"/>
          <w:sz w:val="24"/>
        </w:rPr>
        <w:t>1,886,666.67</w:t>
      </w:r>
      <w:r w:rsidRPr="005403C8">
        <w:rPr>
          <w:rFonts w:ascii="Times New Roman" w:hAnsi="Times New Roman"/>
          <w:sz w:val="24"/>
        </w:rPr>
        <w:t xml:space="preserve"> per year when annualized over three years.</w:t>
      </w:r>
      <w:r w:rsidRPr="005403C8">
        <w:rPr>
          <w:rStyle w:val="FootnoteReference"/>
          <w:rFonts w:ascii="Times New Roman" w:hAnsi="Times New Roman"/>
          <w:sz w:val="24"/>
          <w:vertAlign w:val="superscript"/>
        </w:rPr>
        <w:footnoteReference w:id="73"/>
      </w:r>
      <w:r w:rsidR="006317BF">
        <w:rPr>
          <w:rFonts w:ascii="Times New Roman" w:hAnsi="Times New Roman"/>
          <w:sz w:val="24"/>
        </w:rPr>
        <w:t xml:space="preserve">  This is an increase over the initial Proposing Release estimate of</w:t>
      </w:r>
      <w:r w:rsidR="006317BF" w:rsidRPr="005403C8">
        <w:rPr>
          <w:rFonts w:ascii="Times New Roman" w:hAnsi="Times New Roman"/>
          <w:sz w:val="24"/>
        </w:rPr>
        <w:t xml:space="preserve"> </w:t>
      </w:r>
      <w:r w:rsidR="006317BF">
        <w:rPr>
          <w:rFonts w:ascii="Times New Roman" w:hAnsi="Times New Roman"/>
          <w:sz w:val="24"/>
        </w:rPr>
        <w:t>$925,000</w:t>
      </w:r>
      <w:r w:rsidR="006317BF" w:rsidRPr="006317BF">
        <w:rPr>
          <w:rFonts w:ascii="Times New Roman" w:hAnsi="Times New Roman"/>
          <w:sz w:val="24"/>
        </w:rPr>
        <w:t xml:space="preserve"> or $308,333.33 per year when annualized over three years</w:t>
      </w:r>
      <w:r w:rsidR="006317BF">
        <w:rPr>
          <w:rFonts w:ascii="Times New Roman" w:hAnsi="Times New Roman"/>
          <w:sz w:val="24"/>
        </w:rPr>
        <w:t>, for the reasons discussed above</w:t>
      </w:r>
      <w:r w:rsidR="006317BF" w:rsidRPr="005403C8">
        <w:rPr>
          <w:rFonts w:ascii="Times New Roman" w:hAnsi="Times New Roman"/>
          <w:sz w:val="24"/>
        </w:rPr>
        <w:t>.</w:t>
      </w:r>
    </w:p>
    <w:p w:rsidR="008800B6" w:rsidRPr="005403C8" w:rsidRDefault="008800B6" w:rsidP="008800B6">
      <w:pPr>
        <w:ind w:firstLine="720"/>
        <w:rPr>
          <w:rFonts w:ascii="Times New Roman" w:hAnsi="Times New Roman"/>
          <w:sz w:val="24"/>
        </w:rPr>
      </w:pPr>
    </w:p>
    <w:p w:rsidR="008800B6" w:rsidRPr="005403C8" w:rsidRDefault="008800B6" w:rsidP="008800B6">
      <w:pPr>
        <w:numPr>
          <w:ilvl w:val="2"/>
          <w:numId w:val="21"/>
        </w:numPr>
        <w:rPr>
          <w:rFonts w:ascii="Times New Roman" w:hAnsi="Times New Roman"/>
          <w:sz w:val="24"/>
          <w:u w:val="single"/>
        </w:rPr>
      </w:pPr>
      <w:r w:rsidRPr="005403C8">
        <w:rPr>
          <w:rFonts w:ascii="Times New Roman" w:hAnsi="Times New Roman"/>
          <w:sz w:val="24"/>
          <w:u w:val="single"/>
        </w:rPr>
        <w:t>Annual Reporting and Recordkeeping Costs</w:t>
      </w:r>
    </w:p>
    <w:p w:rsidR="008800B6" w:rsidRPr="005403C8" w:rsidRDefault="008800B6" w:rsidP="008800B6">
      <w:pPr>
        <w:ind w:firstLine="720"/>
        <w:rPr>
          <w:rFonts w:ascii="Times New Roman" w:hAnsi="Times New Roman"/>
          <w:b/>
          <w:sz w:val="24"/>
        </w:rPr>
      </w:pPr>
    </w:p>
    <w:p w:rsidR="008800B6" w:rsidRPr="005403C8" w:rsidRDefault="006317BF" w:rsidP="00D14F83">
      <w:pPr>
        <w:ind w:firstLine="720"/>
        <w:rPr>
          <w:rFonts w:ascii="Times New Roman" w:hAnsi="Times New Roman"/>
          <w:sz w:val="24"/>
        </w:rPr>
      </w:pPr>
      <w:r w:rsidRPr="005403C8">
        <w:rPr>
          <w:rFonts w:ascii="Times New Roman" w:hAnsi="Times New Roman"/>
          <w:sz w:val="24"/>
        </w:rPr>
        <w:t>The Commission estimates</w:t>
      </w:r>
      <w:r>
        <w:rPr>
          <w:rFonts w:ascii="Times New Roman" w:hAnsi="Times New Roman"/>
          <w:sz w:val="24"/>
        </w:rPr>
        <w:t xml:space="preserve"> t</w:t>
      </w:r>
      <w:r w:rsidRPr="005403C8">
        <w:rPr>
          <w:rFonts w:ascii="Times New Roman" w:hAnsi="Times New Roman"/>
          <w:sz w:val="24"/>
        </w:rPr>
        <w:t xml:space="preserve">he annual burden for </w:t>
      </w:r>
      <w:r w:rsidR="00D14F83">
        <w:rPr>
          <w:rFonts w:ascii="Times New Roman" w:eastAsia="MS Mincho" w:hAnsi="Times New Roman"/>
          <w:sz w:val="24"/>
        </w:rPr>
        <w:t>broker-dealers</w:t>
      </w:r>
      <w:r w:rsidR="00D14F83" w:rsidRPr="00BC7F76">
        <w:rPr>
          <w:rFonts w:ascii="Times New Roman" w:eastAsia="MS Mincho" w:hAnsi="Times New Roman"/>
          <w:sz w:val="24"/>
        </w:rPr>
        <w:t xml:space="preserve"> that handle orders subject to the customer-specific disclosure</w:t>
      </w:r>
      <w:r w:rsidR="00D14F83">
        <w:rPr>
          <w:rFonts w:ascii="Times New Roman" w:eastAsia="MS Mincho" w:hAnsi="Times New Roman"/>
          <w:sz w:val="24"/>
        </w:rPr>
        <w:t>s required by Rule 606(b)(3) to respond to</w:t>
      </w:r>
      <w:r w:rsidR="008800B6" w:rsidRPr="005403C8">
        <w:rPr>
          <w:rFonts w:ascii="Times New Roman" w:hAnsi="Times New Roman"/>
          <w:sz w:val="24"/>
        </w:rPr>
        <w:t xml:space="preserve"> individual customer requests for information on </w:t>
      </w:r>
      <w:r w:rsidR="00DC45AD">
        <w:rPr>
          <w:rFonts w:ascii="Times New Roman" w:hAnsi="Times New Roman"/>
          <w:sz w:val="24"/>
        </w:rPr>
        <w:t>order handling</w:t>
      </w:r>
      <w:r w:rsidR="00D14F83">
        <w:rPr>
          <w:rFonts w:ascii="Times New Roman" w:hAnsi="Times New Roman"/>
          <w:sz w:val="24"/>
        </w:rPr>
        <w:t xml:space="preserve"> to</w:t>
      </w:r>
      <w:r w:rsidR="008800B6" w:rsidRPr="005403C8">
        <w:rPr>
          <w:rFonts w:ascii="Times New Roman" w:hAnsi="Times New Roman"/>
          <w:sz w:val="24"/>
        </w:rPr>
        <w:t xml:space="preserve"> be $1,300,000</w:t>
      </w:r>
      <w:r w:rsidR="001560A5" w:rsidRPr="005403C8">
        <w:rPr>
          <w:rFonts w:ascii="Times New Roman" w:hAnsi="Times New Roman"/>
          <w:sz w:val="24"/>
        </w:rPr>
        <w:t>.</w:t>
      </w:r>
      <w:r w:rsidR="008800B6" w:rsidRPr="005403C8">
        <w:rPr>
          <w:rStyle w:val="FootnoteReference"/>
          <w:rFonts w:ascii="Times New Roman" w:hAnsi="Times New Roman"/>
          <w:sz w:val="24"/>
          <w:vertAlign w:val="superscript"/>
        </w:rPr>
        <w:footnoteReference w:id="74"/>
      </w:r>
      <w:r w:rsidR="00D14F83">
        <w:rPr>
          <w:rFonts w:ascii="Times New Roman" w:hAnsi="Times New Roman"/>
          <w:sz w:val="24"/>
        </w:rPr>
        <w:t xml:space="preserve">  This burden is unchanged from Proposing Release.</w:t>
      </w:r>
      <w:r w:rsidR="008800B6" w:rsidRPr="005403C8">
        <w:rPr>
          <w:rFonts w:ascii="Times New Roman" w:hAnsi="Times New Roman"/>
          <w:sz w:val="24"/>
        </w:rPr>
        <w:t xml:space="preserve"> </w:t>
      </w:r>
    </w:p>
    <w:p w:rsidR="008800B6" w:rsidRPr="005403C8" w:rsidRDefault="008800B6" w:rsidP="008800B6">
      <w:pPr>
        <w:ind w:firstLine="720"/>
        <w:rPr>
          <w:rFonts w:ascii="Times New Roman" w:hAnsi="Times New Roman"/>
          <w:sz w:val="24"/>
        </w:rPr>
      </w:pPr>
    </w:p>
    <w:p w:rsidR="008800B6" w:rsidRPr="00D14F83" w:rsidRDefault="00D14F83" w:rsidP="00D14F83">
      <w:pPr>
        <w:numPr>
          <w:ilvl w:val="1"/>
          <w:numId w:val="21"/>
        </w:numPr>
        <w:rPr>
          <w:rFonts w:ascii="Times New Roman" w:hAnsi="Times New Roman"/>
          <w:b/>
          <w:sz w:val="24"/>
          <w:u w:val="single"/>
        </w:rPr>
      </w:pPr>
      <w:r w:rsidRPr="005403C8">
        <w:rPr>
          <w:rFonts w:ascii="Times New Roman" w:hAnsi="Times New Roman"/>
          <w:sz w:val="24"/>
          <w:szCs w:val="22"/>
          <w:u w:val="single"/>
        </w:rPr>
        <w:t xml:space="preserve">Amendments </w:t>
      </w:r>
      <w:r>
        <w:rPr>
          <w:rFonts w:ascii="Times New Roman" w:hAnsi="Times New Roman"/>
          <w:sz w:val="24"/>
          <w:szCs w:val="22"/>
          <w:u w:val="single"/>
        </w:rPr>
        <w:t xml:space="preserve">to </w:t>
      </w:r>
      <w:r w:rsidRPr="005403C8">
        <w:rPr>
          <w:rFonts w:ascii="Times New Roman" w:hAnsi="Times New Roman"/>
          <w:sz w:val="24"/>
          <w:u w:val="single"/>
        </w:rPr>
        <w:t xml:space="preserve">Rules </w:t>
      </w:r>
      <w:r w:rsidRPr="005403C8">
        <w:rPr>
          <w:rFonts w:ascii="Times New Roman" w:hAnsi="Times New Roman"/>
          <w:bCs/>
          <w:sz w:val="24"/>
          <w:u w:val="single"/>
        </w:rPr>
        <w:t>606(a)(1) and 606(b)(1)</w:t>
      </w:r>
    </w:p>
    <w:p w:rsidR="008800B6" w:rsidRPr="005403C8" w:rsidRDefault="008800B6" w:rsidP="008800B6">
      <w:pPr>
        <w:ind w:firstLine="720"/>
        <w:rPr>
          <w:rFonts w:ascii="Times New Roman" w:hAnsi="Times New Roman"/>
          <w:sz w:val="24"/>
        </w:rPr>
      </w:pPr>
    </w:p>
    <w:p w:rsidR="008800B6" w:rsidRPr="005403C8" w:rsidRDefault="008800B6" w:rsidP="00C36967">
      <w:pPr>
        <w:numPr>
          <w:ilvl w:val="2"/>
          <w:numId w:val="21"/>
        </w:numPr>
        <w:rPr>
          <w:rFonts w:ascii="Times New Roman" w:hAnsi="Times New Roman"/>
          <w:sz w:val="24"/>
          <w:u w:val="single"/>
        </w:rPr>
      </w:pPr>
      <w:r w:rsidRPr="005403C8">
        <w:rPr>
          <w:rFonts w:ascii="Times New Roman" w:hAnsi="Times New Roman"/>
          <w:sz w:val="24"/>
          <w:u w:val="single"/>
        </w:rPr>
        <w:t>Initial Reporting and Recordkeeping Burden</w:t>
      </w:r>
    </w:p>
    <w:p w:rsidR="008800B6" w:rsidRPr="005403C8" w:rsidRDefault="008800B6" w:rsidP="008800B6">
      <w:pPr>
        <w:pStyle w:val="ListParagraph"/>
        <w:spacing w:after="0" w:line="240" w:lineRule="auto"/>
        <w:ind w:left="2160"/>
        <w:rPr>
          <w:rFonts w:ascii="Times New Roman" w:eastAsia="Times New Roman" w:hAnsi="Times New Roman"/>
          <w:sz w:val="24"/>
          <w:szCs w:val="24"/>
        </w:rPr>
      </w:pPr>
    </w:p>
    <w:p w:rsidR="00D14F83" w:rsidRDefault="00661CDC" w:rsidP="002C0161">
      <w:pPr>
        <w:ind w:firstLine="720"/>
        <w:rPr>
          <w:rFonts w:ascii="Times New Roman" w:eastAsia="MS Mincho" w:hAnsi="Times New Roman"/>
          <w:sz w:val="24"/>
        </w:rPr>
      </w:pPr>
      <w:r w:rsidRPr="00BC7F76">
        <w:rPr>
          <w:rFonts w:ascii="Times New Roman" w:eastAsia="MS Mincho" w:hAnsi="Times New Roman"/>
          <w:sz w:val="24"/>
        </w:rPr>
        <w:t>The</w:t>
      </w:r>
      <w:r w:rsidRPr="00BC7F76" w:rsidDel="007E020B">
        <w:rPr>
          <w:rFonts w:ascii="Times New Roman" w:eastAsia="MS Mincho" w:hAnsi="Times New Roman"/>
          <w:sz w:val="24"/>
        </w:rPr>
        <w:t xml:space="preserve"> Commission </w:t>
      </w:r>
      <w:r w:rsidRPr="00BC7F76">
        <w:rPr>
          <w:rFonts w:ascii="Times New Roman" w:eastAsia="MS Mincho" w:hAnsi="Times New Roman"/>
          <w:sz w:val="24"/>
        </w:rPr>
        <w:t>estimate</w:t>
      </w:r>
      <w:r>
        <w:rPr>
          <w:rFonts w:ascii="Times New Roman" w:eastAsia="MS Mincho" w:hAnsi="Times New Roman"/>
          <w:sz w:val="24"/>
        </w:rPr>
        <w:t xml:space="preserve">s </w:t>
      </w:r>
      <w:r w:rsidRPr="00BC7F76">
        <w:rPr>
          <w:rFonts w:ascii="Times New Roman" w:eastAsia="MS Mincho" w:hAnsi="Times New Roman"/>
          <w:sz w:val="24"/>
        </w:rPr>
        <w:t xml:space="preserve">the initial burden for </w:t>
      </w:r>
      <w:r>
        <w:rPr>
          <w:rFonts w:ascii="Times New Roman" w:eastAsia="MS Mincho" w:hAnsi="Times New Roman"/>
          <w:sz w:val="24"/>
        </w:rPr>
        <w:t>each of the 195 broker-dealer</w:t>
      </w:r>
      <w:r w:rsidRPr="00BC7F76">
        <w:rPr>
          <w:rFonts w:ascii="Times New Roman" w:eastAsia="MS Mincho" w:hAnsi="Times New Roman"/>
          <w:sz w:val="24"/>
        </w:rPr>
        <w:t xml:space="preserve"> that handle</w:t>
      </w:r>
      <w:r>
        <w:rPr>
          <w:rFonts w:ascii="Times New Roman" w:eastAsia="MS Mincho" w:hAnsi="Times New Roman"/>
          <w:sz w:val="24"/>
        </w:rPr>
        <w:t>s</w:t>
      </w:r>
      <w:r w:rsidRPr="00BC7F76">
        <w:rPr>
          <w:rFonts w:ascii="Times New Roman" w:eastAsia="MS Mincho" w:hAnsi="Times New Roman"/>
          <w:sz w:val="24"/>
        </w:rPr>
        <w:t xml:space="preserve"> orders subject to the disclosure</w:t>
      </w:r>
      <w:r>
        <w:rPr>
          <w:rFonts w:ascii="Times New Roman" w:eastAsia="MS Mincho" w:hAnsi="Times New Roman"/>
          <w:sz w:val="24"/>
        </w:rPr>
        <w:t xml:space="preserve">s required by Rule 606(a)(1) </w:t>
      </w:r>
      <w:r w:rsidRPr="00BC7F76">
        <w:rPr>
          <w:rFonts w:ascii="Times New Roman" w:eastAsia="MS Mincho" w:hAnsi="Times New Roman"/>
          <w:sz w:val="24"/>
        </w:rPr>
        <w:t xml:space="preserve">to </w:t>
      </w:r>
      <w:r>
        <w:rPr>
          <w:rFonts w:ascii="Times New Roman" w:eastAsia="MS Mincho" w:hAnsi="Times New Roman"/>
          <w:sz w:val="24"/>
        </w:rPr>
        <w:t xml:space="preserve">engage a third-party service provider to </w:t>
      </w:r>
      <w:r w:rsidRPr="00BC7F76">
        <w:rPr>
          <w:rFonts w:ascii="Times New Roman" w:eastAsia="MS Mincho" w:hAnsi="Times New Roman"/>
          <w:sz w:val="24"/>
        </w:rPr>
        <w:t>impleme</w:t>
      </w:r>
      <w:r w:rsidR="000C6BA9">
        <w:rPr>
          <w:rFonts w:ascii="Times New Roman" w:eastAsia="MS Mincho" w:hAnsi="Times New Roman"/>
          <w:sz w:val="24"/>
        </w:rPr>
        <w:t>nt the requirements of the rule</w:t>
      </w:r>
      <w:r>
        <w:rPr>
          <w:rFonts w:ascii="Times New Roman" w:eastAsia="MS Mincho" w:hAnsi="Times New Roman"/>
          <w:sz w:val="24"/>
        </w:rPr>
        <w:t xml:space="preserve"> to be $32,000,</w:t>
      </w:r>
      <w:r w:rsidRPr="005403C8">
        <w:rPr>
          <w:rStyle w:val="FootnoteReference"/>
          <w:rFonts w:ascii="Times New Roman" w:hAnsi="Times New Roman"/>
          <w:sz w:val="24"/>
          <w:vertAlign w:val="superscript"/>
        </w:rPr>
        <w:footnoteReference w:id="75"/>
      </w:r>
      <w:r>
        <w:rPr>
          <w:rFonts w:ascii="Times New Roman" w:eastAsia="MS Mincho" w:hAnsi="Times New Roman"/>
          <w:sz w:val="24"/>
        </w:rPr>
        <w:t xml:space="preserve"> for a total initial burden of </w:t>
      </w:r>
      <w:r w:rsidRPr="00A3193D">
        <w:rPr>
          <w:rFonts w:ascii="Times New Roman" w:eastAsia="MS Mincho" w:hAnsi="Times New Roman"/>
          <w:sz w:val="24"/>
        </w:rPr>
        <w:t>$6,240,000</w:t>
      </w:r>
      <w:r>
        <w:rPr>
          <w:rFonts w:ascii="Times New Roman" w:eastAsia="MS Mincho" w:hAnsi="Times New Roman"/>
          <w:sz w:val="24"/>
        </w:rPr>
        <w:t>.</w:t>
      </w:r>
      <w:r w:rsidRPr="005403C8">
        <w:rPr>
          <w:rStyle w:val="FootnoteReference"/>
          <w:rFonts w:ascii="Times New Roman" w:hAnsi="Times New Roman"/>
          <w:sz w:val="24"/>
          <w:vertAlign w:val="superscript"/>
        </w:rPr>
        <w:footnoteReference w:id="76"/>
      </w:r>
      <w:r>
        <w:rPr>
          <w:rFonts w:ascii="Times New Roman" w:eastAsia="MS Mincho" w:hAnsi="Times New Roman"/>
          <w:sz w:val="24"/>
        </w:rPr>
        <w:t xml:space="preserve">  </w:t>
      </w:r>
      <w:r w:rsidRPr="00F95CB2">
        <w:rPr>
          <w:rFonts w:ascii="Times New Roman" w:eastAsia="MS Mincho" w:hAnsi="Times New Roman"/>
          <w:sz w:val="24"/>
        </w:rPr>
        <w:t xml:space="preserve">The Commission initially estimated that </w:t>
      </w:r>
      <w:r>
        <w:rPr>
          <w:rFonts w:ascii="Times New Roman" w:eastAsia="MS Mincho" w:hAnsi="Times New Roman"/>
          <w:sz w:val="24"/>
        </w:rPr>
        <w:t>25</w:t>
      </w:r>
      <w:r w:rsidRPr="00F95CB2">
        <w:rPr>
          <w:rFonts w:ascii="Times New Roman" w:eastAsia="MS Mincho" w:hAnsi="Times New Roman"/>
          <w:sz w:val="24"/>
        </w:rPr>
        <w:t xml:space="preserve"> </w:t>
      </w:r>
      <w:r>
        <w:rPr>
          <w:rFonts w:ascii="Times New Roman" w:eastAsia="MS Mincho" w:hAnsi="Times New Roman"/>
          <w:sz w:val="24"/>
        </w:rPr>
        <w:t>broker-dealer</w:t>
      </w:r>
      <w:r w:rsidRPr="00F95CB2">
        <w:rPr>
          <w:rFonts w:ascii="Times New Roman" w:eastAsia="MS Mincho" w:hAnsi="Times New Roman"/>
          <w:sz w:val="24"/>
        </w:rPr>
        <w:t>s would need to update their systems to captur</w:t>
      </w:r>
      <w:r>
        <w:rPr>
          <w:rFonts w:ascii="Times New Roman" w:eastAsia="MS Mincho" w:hAnsi="Times New Roman"/>
          <w:sz w:val="24"/>
        </w:rPr>
        <w:t>e the data required by the rule</w:t>
      </w:r>
      <w:r w:rsidRPr="00F95CB2">
        <w:rPr>
          <w:rFonts w:ascii="Times New Roman" w:eastAsia="MS Mincho" w:hAnsi="Times New Roman"/>
          <w:sz w:val="24"/>
        </w:rPr>
        <w:t xml:space="preserve"> for a</w:t>
      </w:r>
      <w:r>
        <w:rPr>
          <w:rFonts w:ascii="Times New Roman" w:eastAsia="MS Mincho" w:hAnsi="Times New Roman"/>
          <w:sz w:val="24"/>
        </w:rPr>
        <w:t>n individual burden of $10,000 and a</w:t>
      </w:r>
      <w:r w:rsidRPr="00F95CB2">
        <w:rPr>
          <w:rFonts w:ascii="Times New Roman" w:eastAsia="MS Mincho" w:hAnsi="Times New Roman"/>
          <w:sz w:val="24"/>
        </w:rPr>
        <w:t xml:space="preserve"> total burden </w:t>
      </w:r>
      <w:r>
        <w:rPr>
          <w:rFonts w:ascii="Times New Roman" w:eastAsia="MS Mincho" w:hAnsi="Times New Roman"/>
          <w:sz w:val="24"/>
        </w:rPr>
        <w:t xml:space="preserve">of </w:t>
      </w:r>
      <w:r w:rsidRPr="00A3193D">
        <w:rPr>
          <w:rFonts w:ascii="Times New Roman" w:eastAsia="MS Mincho" w:hAnsi="Times New Roman"/>
          <w:sz w:val="24"/>
        </w:rPr>
        <w:t>$250,000</w:t>
      </w:r>
      <w:r w:rsidRPr="00F95CB2">
        <w:rPr>
          <w:rFonts w:ascii="Times New Roman" w:eastAsia="MS Mincho" w:hAnsi="Times New Roman"/>
          <w:sz w:val="24"/>
        </w:rPr>
        <w:t>.</w:t>
      </w:r>
      <w:r w:rsidRPr="005403C8">
        <w:rPr>
          <w:rStyle w:val="FootnoteReference"/>
          <w:rFonts w:ascii="Times New Roman" w:hAnsi="Times New Roman"/>
          <w:sz w:val="24"/>
          <w:vertAlign w:val="superscript"/>
        </w:rPr>
        <w:footnoteReference w:id="77"/>
      </w:r>
      <w:r w:rsidRPr="00F95CB2">
        <w:rPr>
          <w:rFonts w:ascii="Times New Roman" w:eastAsia="MS Mincho" w:hAnsi="Times New Roman"/>
          <w:sz w:val="24"/>
        </w:rPr>
        <w:t xml:space="preserve">  </w:t>
      </w:r>
      <w:r>
        <w:rPr>
          <w:rFonts w:ascii="Times New Roman" w:eastAsia="MS Mincho" w:hAnsi="Times New Roman"/>
          <w:sz w:val="24"/>
        </w:rPr>
        <w:t>The increase in burden from the Proposing Release estimate reflects the increase in number of respondents from 25 to 195, as discussed above.</w:t>
      </w:r>
      <w:r w:rsidRPr="005403C8">
        <w:rPr>
          <w:rStyle w:val="FootnoteReference"/>
          <w:rFonts w:ascii="Times New Roman" w:hAnsi="Times New Roman"/>
          <w:sz w:val="24"/>
          <w:vertAlign w:val="superscript"/>
        </w:rPr>
        <w:footnoteReference w:id="78"/>
      </w:r>
      <w:r>
        <w:rPr>
          <w:rFonts w:ascii="Times New Roman" w:eastAsia="MS Mincho" w:hAnsi="Times New Roman"/>
          <w:sz w:val="24"/>
        </w:rPr>
        <w:t xml:space="preserve">  It also represents an increase in the initial individual cost burden from $10,000 hours to $32,000 in response to </w:t>
      </w:r>
      <w:r w:rsidR="002B0A33">
        <w:rPr>
          <w:rFonts w:ascii="Times New Roman" w:eastAsia="MS Mincho" w:hAnsi="Times New Roman"/>
          <w:sz w:val="24"/>
        </w:rPr>
        <w:t xml:space="preserve">the </w:t>
      </w:r>
      <w:r>
        <w:rPr>
          <w:rFonts w:ascii="Times New Roman" w:eastAsia="MS Mincho" w:hAnsi="Times New Roman"/>
          <w:sz w:val="24"/>
        </w:rPr>
        <w:t xml:space="preserve">comment </w:t>
      </w:r>
      <w:r w:rsidR="002B0A33">
        <w:rPr>
          <w:rFonts w:ascii="Times New Roman" w:eastAsia="MS Mincho" w:hAnsi="Times New Roman"/>
          <w:sz w:val="24"/>
        </w:rPr>
        <w:t xml:space="preserve">letter </w:t>
      </w:r>
      <w:r>
        <w:rPr>
          <w:rFonts w:ascii="Times New Roman" w:eastAsia="MS Mincho" w:hAnsi="Times New Roman"/>
          <w:sz w:val="24"/>
        </w:rPr>
        <w:t>received.</w:t>
      </w:r>
      <w:r w:rsidRPr="005403C8">
        <w:rPr>
          <w:rStyle w:val="FootnoteReference"/>
          <w:rFonts w:ascii="Times New Roman" w:hAnsi="Times New Roman"/>
          <w:sz w:val="24"/>
          <w:vertAlign w:val="superscript"/>
        </w:rPr>
        <w:footnoteReference w:id="79"/>
      </w:r>
    </w:p>
    <w:p w:rsidR="00661CDC" w:rsidRDefault="00661CDC" w:rsidP="002C0161">
      <w:pPr>
        <w:ind w:firstLine="720"/>
        <w:rPr>
          <w:rFonts w:ascii="Times New Roman" w:hAnsi="Times New Roman"/>
          <w:sz w:val="24"/>
        </w:rPr>
      </w:pPr>
    </w:p>
    <w:p w:rsidR="00661CDC" w:rsidRDefault="00DC45AD" w:rsidP="00DC45AD">
      <w:pPr>
        <w:ind w:firstLine="720"/>
        <w:rPr>
          <w:rFonts w:ascii="Times New Roman" w:hAnsi="Times New Roman"/>
          <w:sz w:val="24"/>
        </w:rPr>
      </w:pPr>
      <w:r>
        <w:rPr>
          <w:rFonts w:ascii="Times New Roman" w:hAnsi="Times New Roman"/>
          <w:sz w:val="24"/>
        </w:rPr>
        <w:t>The Commission estimates the initial burden f</w:t>
      </w:r>
      <w:r w:rsidRPr="005403C8">
        <w:rPr>
          <w:rFonts w:ascii="Times New Roman" w:hAnsi="Times New Roman"/>
          <w:sz w:val="24"/>
        </w:rPr>
        <w:t xml:space="preserve">or </w:t>
      </w:r>
      <w:r>
        <w:rPr>
          <w:rFonts w:ascii="Times New Roman" w:hAnsi="Times New Roman"/>
          <w:sz w:val="24"/>
        </w:rPr>
        <w:t>each of the</w:t>
      </w:r>
      <w:r w:rsidRPr="005403C8">
        <w:rPr>
          <w:rFonts w:ascii="Times New Roman" w:hAnsi="Times New Roman"/>
          <w:sz w:val="24"/>
        </w:rPr>
        <w:t xml:space="preserve"> </w:t>
      </w:r>
      <w:r>
        <w:rPr>
          <w:rFonts w:ascii="Times New Roman" w:hAnsi="Times New Roman"/>
          <w:sz w:val="24"/>
        </w:rPr>
        <w:t>195</w:t>
      </w:r>
      <w:r w:rsidRPr="00723FE1">
        <w:rPr>
          <w:rFonts w:ascii="Times New Roman" w:hAnsi="Times New Roman"/>
          <w:sz w:val="24"/>
        </w:rPr>
        <w:t xml:space="preserve"> broker-dealers that handle orders subject to the discl</w:t>
      </w:r>
      <w:r>
        <w:rPr>
          <w:rFonts w:ascii="Times New Roman" w:hAnsi="Times New Roman"/>
          <w:sz w:val="24"/>
        </w:rPr>
        <w:t>osures required by Rule 606(b)(1) to pay a third-party service provider to update their systems to include the amended categories of orders to which the disclosure applies</w:t>
      </w:r>
      <w:r w:rsidRPr="005403C8">
        <w:rPr>
          <w:rStyle w:val="FootnoteReference"/>
          <w:rFonts w:ascii="Times New Roman" w:hAnsi="Times New Roman"/>
          <w:sz w:val="24"/>
          <w:vertAlign w:val="superscript"/>
        </w:rPr>
        <w:footnoteReference w:id="80"/>
      </w:r>
      <w:r>
        <w:rPr>
          <w:rFonts w:ascii="Times New Roman" w:hAnsi="Times New Roman"/>
          <w:sz w:val="24"/>
        </w:rPr>
        <w:t xml:space="preserve"> to be </w:t>
      </w:r>
      <w:r w:rsidRPr="001101BA">
        <w:rPr>
          <w:rFonts w:ascii="Times New Roman" w:hAnsi="Times New Roman"/>
          <w:sz w:val="24"/>
        </w:rPr>
        <w:t>$5,000</w:t>
      </w:r>
      <w:r>
        <w:rPr>
          <w:rFonts w:ascii="Times New Roman" w:hAnsi="Times New Roman"/>
          <w:sz w:val="24"/>
        </w:rPr>
        <w:t>,</w:t>
      </w:r>
      <w:r w:rsidRPr="005403C8">
        <w:rPr>
          <w:rStyle w:val="FootnoteReference"/>
          <w:rFonts w:ascii="Times New Roman" w:hAnsi="Times New Roman"/>
          <w:sz w:val="24"/>
          <w:vertAlign w:val="superscript"/>
        </w:rPr>
        <w:footnoteReference w:id="81"/>
      </w:r>
      <w:r>
        <w:rPr>
          <w:rFonts w:ascii="Times New Roman" w:hAnsi="Times New Roman"/>
          <w:sz w:val="24"/>
        </w:rPr>
        <w:t xml:space="preserve"> for a total initial burden of $975,000</w:t>
      </w:r>
      <w:r w:rsidRPr="001101BA">
        <w:rPr>
          <w:rFonts w:ascii="Times New Roman" w:hAnsi="Times New Roman"/>
          <w:sz w:val="24"/>
        </w:rPr>
        <w:t>.</w:t>
      </w:r>
      <w:r w:rsidRPr="005403C8">
        <w:rPr>
          <w:rStyle w:val="FootnoteReference"/>
          <w:rFonts w:ascii="Times New Roman" w:hAnsi="Times New Roman"/>
          <w:sz w:val="24"/>
          <w:vertAlign w:val="superscript"/>
        </w:rPr>
        <w:footnoteReference w:id="82"/>
      </w:r>
      <w:r>
        <w:rPr>
          <w:rFonts w:ascii="Times New Roman" w:eastAsia="MS Mincho" w:hAnsi="Times New Roman"/>
          <w:sz w:val="24"/>
        </w:rPr>
        <w:t xml:space="preserve"> </w:t>
      </w:r>
      <w:r w:rsidRPr="001101BA">
        <w:rPr>
          <w:rFonts w:ascii="Times New Roman" w:hAnsi="Times New Roman"/>
          <w:sz w:val="24"/>
        </w:rPr>
        <w:t xml:space="preserve"> </w:t>
      </w:r>
      <w:r>
        <w:rPr>
          <w:rFonts w:ascii="Times New Roman" w:hAnsi="Times New Roman"/>
          <w:sz w:val="24"/>
        </w:rPr>
        <w:t xml:space="preserve">  </w:t>
      </w:r>
    </w:p>
    <w:p w:rsidR="00661CDC" w:rsidRDefault="00661CDC" w:rsidP="00661CDC">
      <w:pPr>
        <w:ind w:firstLine="720"/>
        <w:rPr>
          <w:rFonts w:ascii="Times New Roman" w:hAnsi="Times New Roman"/>
          <w:sz w:val="24"/>
        </w:rPr>
      </w:pPr>
    </w:p>
    <w:p w:rsidR="002175D5" w:rsidRPr="005403C8" w:rsidRDefault="00661CDC" w:rsidP="00661CDC">
      <w:pPr>
        <w:ind w:firstLine="720"/>
        <w:rPr>
          <w:rFonts w:ascii="Times New Roman" w:hAnsi="Times New Roman"/>
          <w:sz w:val="24"/>
        </w:rPr>
      </w:pPr>
      <w:r>
        <w:rPr>
          <w:rFonts w:ascii="Times New Roman" w:hAnsi="Times New Roman"/>
          <w:sz w:val="24"/>
        </w:rPr>
        <w:t>The Commission included in these</w:t>
      </w:r>
      <w:r w:rsidRPr="00A3193D">
        <w:rPr>
          <w:rFonts w:ascii="Times New Roman" w:hAnsi="Times New Roman"/>
          <w:sz w:val="24"/>
        </w:rPr>
        <w:t xml:space="preserve"> estimate</w:t>
      </w:r>
      <w:r>
        <w:rPr>
          <w:rFonts w:ascii="Times New Roman" w:hAnsi="Times New Roman"/>
          <w:sz w:val="24"/>
        </w:rPr>
        <w:t>s</w:t>
      </w:r>
      <w:r w:rsidRPr="00A3193D">
        <w:rPr>
          <w:rFonts w:ascii="Times New Roman" w:hAnsi="Times New Roman"/>
          <w:sz w:val="24"/>
        </w:rPr>
        <w:t xml:space="preserve"> the initial burden of making the reports available using the most recent versions of the XML schema and the associated PDF renderer as published on the Commission’s Web site, as required by Rule</w:t>
      </w:r>
      <w:r>
        <w:rPr>
          <w:rFonts w:ascii="Times New Roman" w:hAnsi="Times New Roman"/>
          <w:sz w:val="24"/>
        </w:rPr>
        <w:t>s</w:t>
      </w:r>
      <w:r w:rsidRPr="00A3193D">
        <w:rPr>
          <w:rFonts w:ascii="Times New Roman" w:hAnsi="Times New Roman"/>
          <w:sz w:val="24"/>
        </w:rPr>
        <w:t xml:space="preserve"> 606(a)</w:t>
      </w:r>
      <w:r>
        <w:rPr>
          <w:rFonts w:ascii="Times New Roman" w:hAnsi="Times New Roman"/>
          <w:sz w:val="24"/>
        </w:rPr>
        <w:t>(1)</w:t>
      </w:r>
      <w:r w:rsidRPr="00A3193D">
        <w:rPr>
          <w:rFonts w:ascii="Times New Roman" w:hAnsi="Times New Roman"/>
          <w:sz w:val="24"/>
        </w:rPr>
        <w:t xml:space="preserve"> and (b)(1), as amended.</w:t>
      </w:r>
      <w:r w:rsidR="00E07DB2" w:rsidRPr="005403C8">
        <w:rPr>
          <w:rStyle w:val="FootnoteReference"/>
          <w:rFonts w:ascii="Times New Roman" w:hAnsi="Times New Roman"/>
          <w:sz w:val="24"/>
          <w:vertAlign w:val="superscript"/>
        </w:rPr>
        <w:footnoteReference w:id="83"/>
      </w:r>
    </w:p>
    <w:p w:rsidR="00DC45AD" w:rsidRDefault="00DC45AD" w:rsidP="004A53A2">
      <w:pPr>
        <w:ind w:firstLine="720"/>
        <w:rPr>
          <w:rFonts w:ascii="Times New Roman" w:hAnsi="Times New Roman"/>
          <w:sz w:val="24"/>
        </w:rPr>
      </w:pPr>
    </w:p>
    <w:p w:rsidR="00DC45AD" w:rsidRPr="005403C8" w:rsidRDefault="002175D5" w:rsidP="00DC45AD">
      <w:pPr>
        <w:keepNext/>
        <w:keepLines/>
        <w:ind w:firstLine="720"/>
        <w:rPr>
          <w:rFonts w:ascii="Times New Roman" w:hAnsi="Times New Roman"/>
          <w:sz w:val="24"/>
        </w:rPr>
      </w:pPr>
      <w:r w:rsidRPr="005403C8">
        <w:rPr>
          <w:rFonts w:ascii="Times New Roman" w:hAnsi="Times New Roman"/>
          <w:sz w:val="24"/>
        </w:rPr>
        <w:t>Therefore, t</w:t>
      </w:r>
      <w:r w:rsidR="008800B6" w:rsidRPr="005403C8">
        <w:rPr>
          <w:rFonts w:ascii="Times New Roman" w:hAnsi="Times New Roman"/>
          <w:sz w:val="24"/>
        </w:rPr>
        <w:t xml:space="preserve">he </w:t>
      </w:r>
      <w:r w:rsidRPr="005403C8">
        <w:rPr>
          <w:rFonts w:ascii="Times New Roman" w:hAnsi="Times New Roman"/>
          <w:sz w:val="24"/>
        </w:rPr>
        <w:t xml:space="preserve">estimated </w:t>
      </w:r>
      <w:r w:rsidR="008800B6" w:rsidRPr="005403C8">
        <w:rPr>
          <w:rFonts w:ascii="Times New Roman" w:hAnsi="Times New Roman"/>
          <w:sz w:val="24"/>
        </w:rPr>
        <w:t xml:space="preserve">total </w:t>
      </w:r>
      <w:r w:rsidRPr="005403C8">
        <w:rPr>
          <w:rFonts w:ascii="Times New Roman" w:hAnsi="Times New Roman"/>
          <w:sz w:val="24"/>
        </w:rPr>
        <w:t xml:space="preserve">initial cost to comply with </w:t>
      </w:r>
      <w:r w:rsidR="007863C8">
        <w:rPr>
          <w:rFonts w:ascii="Times New Roman" w:hAnsi="Times New Roman"/>
          <w:sz w:val="24"/>
        </w:rPr>
        <w:t>adopted</w:t>
      </w:r>
      <w:r w:rsidR="007863C8" w:rsidRPr="005403C8">
        <w:rPr>
          <w:rFonts w:ascii="Times New Roman" w:hAnsi="Times New Roman"/>
          <w:sz w:val="24"/>
        </w:rPr>
        <w:t xml:space="preserve"> </w:t>
      </w:r>
      <w:r w:rsidRPr="005403C8">
        <w:rPr>
          <w:rFonts w:ascii="Times New Roman" w:hAnsi="Times New Roman"/>
          <w:sz w:val="24"/>
        </w:rPr>
        <w:t xml:space="preserve">Rules 606(a)(1) and (b)(1) is </w:t>
      </w:r>
      <w:r w:rsidR="008800B6" w:rsidRPr="005403C8">
        <w:rPr>
          <w:rFonts w:ascii="Times New Roman" w:hAnsi="Times New Roman"/>
          <w:sz w:val="24"/>
        </w:rPr>
        <w:t>$</w:t>
      </w:r>
      <w:r w:rsidR="00DC45AD">
        <w:rPr>
          <w:rFonts w:ascii="Times New Roman" w:hAnsi="Times New Roman"/>
          <w:sz w:val="24"/>
        </w:rPr>
        <w:t>7,215,000</w:t>
      </w:r>
      <w:r w:rsidR="008800B6" w:rsidRPr="005403C8">
        <w:rPr>
          <w:rStyle w:val="FootnoteReference"/>
          <w:rFonts w:ascii="Times New Roman" w:hAnsi="Times New Roman"/>
          <w:sz w:val="24"/>
          <w:vertAlign w:val="superscript"/>
        </w:rPr>
        <w:footnoteReference w:id="84"/>
      </w:r>
      <w:r w:rsidR="008800B6" w:rsidRPr="005403C8">
        <w:rPr>
          <w:rFonts w:ascii="Times New Roman" w:hAnsi="Times New Roman"/>
          <w:sz w:val="24"/>
        </w:rPr>
        <w:t xml:space="preserve"> or </w:t>
      </w:r>
      <w:r w:rsidR="00955438" w:rsidRPr="00955438">
        <w:rPr>
          <w:rFonts w:ascii="Times New Roman" w:hAnsi="Times New Roman"/>
          <w:sz w:val="24"/>
        </w:rPr>
        <w:t>$2,405,000</w:t>
      </w:r>
      <w:r w:rsidR="00955438">
        <w:rPr>
          <w:rFonts w:ascii="Times New Roman" w:hAnsi="Times New Roman"/>
          <w:sz w:val="24"/>
        </w:rPr>
        <w:t xml:space="preserve"> </w:t>
      </w:r>
      <w:r w:rsidR="008800B6" w:rsidRPr="005403C8">
        <w:rPr>
          <w:rFonts w:ascii="Times New Roman" w:hAnsi="Times New Roman"/>
          <w:sz w:val="24"/>
        </w:rPr>
        <w:t>per year when annualized over three years.</w:t>
      </w:r>
      <w:r w:rsidR="008800B6" w:rsidRPr="005403C8">
        <w:rPr>
          <w:rStyle w:val="FootnoteReference"/>
          <w:rFonts w:ascii="Times New Roman" w:hAnsi="Times New Roman"/>
          <w:sz w:val="24"/>
          <w:vertAlign w:val="superscript"/>
        </w:rPr>
        <w:footnoteReference w:id="85"/>
      </w:r>
      <w:r w:rsidR="00DC45AD">
        <w:rPr>
          <w:rFonts w:ascii="Times New Roman" w:hAnsi="Times New Roman"/>
          <w:sz w:val="24"/>
        </w:rPr>
        <w:t xml:space="preserve">  This is an increase over the initial Proposing Release estimate of</w:t>
      </w:r>
      <w:r w:rsidR="00DC45AD" w:rsidRPr="005403C8">
        <w:rPr>
          <w:rFonts w:ascii="Times New Roman" w:hAnsi="Times New Roman"/>
          <w:sz w:val="24"/>
        </w:rPr>
        <w:t xml:space="preserve"> </w:t>
      </w:r>
      <w:r w:rsidR="00955438">
        <w:rPr>
          <w:rFonts w:ascii="Times New Roman" w:hAnsi="Times New Roman"/>
          <w:sz w:val="24"/>
        </w:rPr>
        <w:t>$466,000</w:t>
      </w:r>
      <w:r w:rsidR="00DC45AD" w:rsidRPr="006317BF">
        <w:rPr>
          <w:rFonts w:ascii="Times New Roman" w:hAnsi="Times New Roman"/>
          <w:sz w:val="24"/>
        </w:rPr>
        <w:t xml:space="preserve"> or </w:t>
      </w:r>
      <w:r w:rsidR="00955438" w:rsidRPr="00955438">
        <w:rPr>
          <w:rFonts w:ascii="Times New Roman" w:hAnsi="Times New Roman"/>
          <w:sz w:val="24"/>
        </w:rPr>
        <w:t>$155,333.33</w:t>
      </w:r>
      <w:r w:rsidR="00DC45AD" w:rsidRPr="006317BF">
        <w:rPr>
          <w:rFonts w:ascii="Times New Roman" w:hAnsi="Times New Roman"/>
          <w:sz w:val="24"/>
        </w:rPr>
        <w:t xml:space="preserve"> per year when annualized over three years</w:t>
      </w:r>
      <w:r w:rsidR="00DC45AD">
        <w:rPr>
          <w:rFonts w:ascii="Times New Roman" w:hAnsi="Times New Roman"/>
          <w:sz w:val="24"/>
        </w:rPr>
        <w:t>, for the reasons discussed above</w:t>
      </w:r>
      <w:r w:rsidR="00DC45AD" w:rsidRPr="005403C8">
        <w:rPr>
          <w:rFonts w:ascii="Times New Roman" w:hAnsi="Times New Roman"/>
          <w:sz w:val="24"/>
        </w:rPr>
        <w:t>.</w:t>
      </w:r>
    </w:p>
    <w:p w:rsidR="008800B6" w:rsidRPr="005403C8" w:rsidRDefault="008800B6" w:rsidP="004A53A2">
      <w:pPr>
        <w:ind w:firstLine="720"/>
        <w:rPr>
          <w:rFonts w:ascii="Times New Roman" w:hAnsi="Times New Roman"/>
          <w:sz w:val="24"/>
        </w:rPr>
      </w:pPr>
    </w:p>
    <w:p w:rsidR="002175D5" w:rsidRPr="005403C8" w:rsidRDefault="002175D5" w:rsidP="008800B6">
      <w:pPr>
        <w:ind w:firstLine="720"/>
        <w:rPr>
          <w:rFonts w:ascii="Times New Roman" w:hAnsi="Times New Roman"/>
          <w:sz w:val="24"/>
        </w:rPr>
      </w:pPr>
    </w:p>
    <w:p w:rsidR="002175D5" w:rsidRPr="005403C8" w:rsidRDefault="002175D5" w:rsidP="002175D5">
      <w:pPr>
        <w:numPr>
          <w:ilvl w:val="2"/>
          <w:numId w:val="21"/>
        </w:numPr>
        <w:rPr>
          <w:rFonts w:ascii="Times New Roman" w:hAnsi="Times New Roman"/>
          <w:sz w:val="24"/>
          <w:u w:val="single"/>
        </w:rPr>
      </w:pPr>
      <w:r w:rsidRPr="005403C8">
        <w:rPr>
          <w:rFonts w:ascii="Times New Roman" w:hAnsi="Times New Roman"/>
          <w:sz w:val="24"/>
          <w:u w:val="single"/>
        </w:rPr>
        <w:t>Annual Reporting and Recordkeeping Costs</w:t>
      </w:r>
    </w:p>
    <w:p w:rsidR="002175D5" w:rsidRPr="005403C8" w:rsidRDefault="002175D5" w:rsidP="002175D5">
      <w:pPr>
        <w:pStyle w:val="ListParagraph"/>
        <w:spacing w:after="0" w:line="240" w:lineRule="auto"/>
        <w:ind w:left="2160"/>
        <w:rPr>
          <w:rFonts w:ascii="Times New Roman" w:eastAsia="Times New Roman" w:hAnsi="Times New Roman"/>
          <w:sz w:val="24"/>
          <w:szCs w:val="24"/>
        </w:rPr>
      </w:pPr>
    </w:p>
    <w:p w:rsidR="002C0161" w:rsidRPr="005403C8" w:rsidRDefault="002C0161" w:rsidP="008800B6">
      <w:pPr>
        <w:ind w:firstLine="720"/>
        <w:rPr>
          <w:rFonts w:ascii="Times New Roman" w:hAnsi="Times New Roman"/>
          <w:sz w:val="24"/>
        </w:rPr>
      </w:pPr>
      <w:r w:rsidRPr="005403C8">
        <w:rPr>
          <w:rFonts w:ascii="Times New Roman" w:hAnsi="Times New Roman"/>
          <w:sz w:val="24"/>
        </w:rPr>
        <w:t xml:space="preserve">The Commission estimates no annual reporting or recordkeeping costs to comply with </w:t>
      </w:r>
      <w:r w:rsidR="00272E2D">
        <w:rPr>
          <w:rFonts w:ascii="Times New Roman" w:hAnsi="Times New Roman"/>
          <w:sz w:val="24"/>
        </w:rPr>
        <w:t>the amendments to</w:t>
      </w:r>
      <w:r w:rsidR="00272E2D" w:rsidRPr="005403C8">
        <w:rPr>
          <w:rFonts w:ascii="Times New Roman" w:hAnsi="Times New Roman"/>
          <w:sz w:val="24"/>
        </w:rPr>
        <w:t xml:space="preserve"> </w:t>
      </w:r>
      <w:r w:rsidRPr="005403C8">
        <w:rPr>
          <w:rFonts w:ascii="Times New Roman" w:hAnsi="Times New Roman"/>
          <w:sz w:val="24"/>
        </w:rPr>
        <w:t>Rules 606(a)(1) and (b)(1)</w:t>
      </w:r>
      <w:r w:rsidR="00272E2D">
        <w:rPr>
          <w:rFonts w:ascii="Times New Roman" w:hAnsi="Times New Roman"/>
          <w:sz w:val="24"/>
        </w:rPr>
        <w:t>.</w:t>
      </w:r>
    </w:p>
    <w:p w:rsidR="008800B6" w:rsidRPr="005403C8" w:rsidRDefault="002C0161" w:rsidP="002C0161">
      <w:pPr>
        <w:tabs>
          <w:tab w:val="left" w:pos="2652"/>
        </w:tabs>
        <w:rPr>
          <w:rFonts w:ascii="Times New Roman" w:hAnsi="Times New Roman"/>
          <w:sz w:val="24"/>
        </w:rPr>
      </w:pPr>
      <w:r w:rsidRPr="005403C8">
        <w:rPr>
          <w:rFonts w:ascii="Times New Roman" w:hAnsi="Times New Roman"/>
          <w:sz w:val="24"/>
        </w:rPr>
        <w:tab/>
      </w:r>
    </w:p>
    <w:p w:rsidR="008800B6" w:rsidRPr="005403C8" w:rsidRDefault="0089419E" w:rsidP="007621AA">
      <w:pPr>
        <w:keepNext/>
        <w:ind w:firstLine="720"/>
        <w:rPr>
          <w:rFonts w:ascii="Times New Roman" w:hAnsi="Times New Roman"/>
          <w:b/>
          <w:sz w:val="24"/>
        </w:rPr>
      </w:pPr>
      <w:r w:rsidRPr="005403C8">
        <w:rPr>
          <w:rFonts w:ascii="Times New Roman" w:hAnsi="Times New Roman"/>
          <w:b/>
          <w:sz w:val="24"/>
        </w:rPr>
        <w:t xml:space="preserve">Total </w:t>
      </w:r>
      <w:r w:rsidR="00FE4104" w:rsidRPr="005403C8">
        <w:rPr>
          <w:rFonts w:ascii="Times New Roman" w:hAnsi="Times New Roman"/>
          <w:b/>
          <w:sz w:val="24"/>
        </w:rPr>
        <w:t>Annual Cost</w:t>
      </w:r>
      <w:r w:rsidR="0019610E" w:rsidRPr="005403C8">
        <w:rPr>
          <w:rFonts w:ascii="Times New Roman" w:hAnsi="Times New Roman"/>
          <w:b/>
          <w:sz w:val="24"/>
        </w:rPr>
        <w:t xml:space="preserve"> for Respondents</w:t>
      </w:r>
      <w:r w:rsidR="00FE4104" w:rsidRPr="005403C8">
        <w:rPr>
          <w:rFonts w:ascii="Times New Roman" w:hAnsi="Times New Roman"/>
          <w:b/>
          <w:sz w:val="24"/>
        </w:rPr>
        <w:t xml:space="preserve">: </w:t>
      </w:r>
      <w:r w:rsidR="00FE4104" w:rsidRPr="005403C8">
        <w:rPr>
          <w:rFonts w:ascii="Times New Roman" w:hAnsi="Times New Roman"/>
          <w:b/>
          <w:bCs/>
          <w:sz w:val="24"/>
        </w:rPr>
        <w:t>$</w:t>
      </w:r>
      <w:r w:rsidR="00FD3823">
        <w:rPr>
          <w:rFonts w:ascii="Times New Roman" w:hAnsi="Times New Roman"/>
          <w:b/>
          <w:bCs/>
          <w:sz w:val="24"/>
        </w:rPr>
        <w:t>5,591,666.67</w:t>
      </w:r>
    </w:p>
    <w:p w:rsidR="0089419E" w:rsidRPr="005403C8" w:rsidRDefault="0089419E" w:rsidP="007621AA">
      <w:pPr>
        <w:keepNext/>
        <w:ind w:firstLine="720"/>
        <w:rPr>
          <w:rFonts w:ascii="Times New Roman" w:hAnsi="Times New Roman"/>
          <w:sz w:val="24"/>
        </w:rPr>
      </w:pPr>
    </w:p>
    <w:tbl>
      <w:tblPr>
        <w:tblW w:w="11500" w:type="dxa"/>
        <w:jc w:val="center"/>
        <w:tblInd w:w="835" w:type="dxa"/>
        <w:tblLook w:val="04A0" w:firstRow="1" w:lastRow="0" w:firstColumn="1" w:lastColumn="0" w:noHBand="0" w:noVBand="1"/>
      </w:tblPr>
      <w:tblGrid>
        <w:gridCol w:w="956"/>
        <w:gridCol w:w="1288"/>
        <w:gridCol w:w="1008"/>
        <w:gridCol w:w="1008"/>
        <w:gridCol w:w="820"/>
        <w:gridCol w:w="840"/>
        <w:gridCol w:w="1000"/>
        <w:gridCol w:w="900"/>
        <w:gridCol w:w="920"/>
        <w:gridCol w:w="940"/>
        <w:gridCol w:w="1060"/>
        <w:gridCol w:w="760"/>
      </w:tblGrid>
      <w:tr w:rsidR="00BE31EA" w:rsidRPr="005403C8" w:rsidTr="00150237">
        <w:trPr>
          <w:trHeight w:val="205"/>
          <w:jc w:val="center"/>
        </w:trPr>
        <w:tc>
          <w:tcPr>
            <w:tcW w:w="11500" w:type="dxa"/>
            <w:gridSpan w:val="12"/>
            <w:tcBorders>
              <w:top w:val="single" w:sz="8" w:space="0" w:color="auto"/>
              <w:left w:val="single" w:sz="8" w:space="0" w:color="auto"/>
              <w:bottom w:val="single" w:sz="8" w:space="0" w:color="auto"/>
              <w:right w:val="single" w:sz="8" w:space="0" w:color="000000"/>
            </w:tcBorders>
          </w:tcPr>
          <w:p w:rsidR="00BE31EA" w:rsidRPr="005403C8" w:rsidRDefault="00BE31EA" w:rsidP="007621AA">
            <w:pPr>
              <w:keepNext/>
              <w:jc w:val="center"/>
              <w:rPr>
                <w:rFonts w:ascii="Times New Roman" w:hAnsi="Times New Roman"/>
                <w:b/>
                <w:bCs/>
                <w:color w:val="000000"/>
                <w:sz w:val="12"/>
                <w:szCs w:val="12"/>
              </w:rPr>
            </w:pPr>
            <w:r w:rsidRPr="005403C8">
              <w:rPr>
                <w:rFonts w:ascii="Times New Roman" w:hAnsi="Times New Roman"/>
                <w:b/>
                <w:bCs/>
                <w:color w:val="000000"/>
                <w:sz w:val="12"/>
                <w:szCs w:val="12"/>
              </w:rPr>
              <w:t>Summary of Dollar Costs</w:t>
            </w:r>
          </w:p>
        </w:tc>
      </w:tr>
      <w:tr w:rsidR="00BE31EA" w:rsidRPr="005403C8" w:rsidTr="00150237">
        <w:trPr>
          <w:trHeight w:val="169"/>
          <w:jc w:val="center"/>
        </w:trPr>
        <w:tc>
          <w:tcPr>
            <w:tcW w:w="956" w:type="dxa"/>
            <w:tcBorders>
              <w:top w:val="nil"/>
              <w:left w:val="single" w:sz="8" w:space="0" w:color="auto"/>
              <w:bottom w:val="single" w:sz="4" w:space="0" w:color="auto"/>
              <w:right w:val="single" w:sz="4" w:space="0" w:color="auto"/>
            </w:tcBorders>
            <w:shd w:val="clear" w:color="000000" w:fill="D9D9D9"/>
            <w:noWrap/>
            <w:vAlign w:val="center"/>
            <w:hideMark/>
          </w:tcPr>
          <w:p w:rsidR="00BE31EA" w:rsidRPr="005403C8" w:rsidRDefault="00BE31EA" w:rsidP="007621AA">
            <w:pPr>
              <w:keepNext/>
              <w:jc w:val="center"/>
              <w:rPr>
                <w:rFonts w:ascii="Times New Roman" w:hAnsi="Times New Roman"/>
                <w:b/>
                <w:bCs/>
                <w:color w:val="000000"/>
                <w:sz w:val="12"/>
                <w:szCs w:val="12"/>
              </w:rPr>
            </w:pPr>
            <w:r w:rsidRPr="005403C8">
              <w:rPr>
                <w:rFonts w:ascii="Times New Roman" w:hAnsi="Times New Roman"/>
                <w:b/>
                <w:bCs/>
                <w:color w:val="000000"/>
                <w:sz w:val="12"/>
                <w:szCs w:val="12"/>
              </w:rPr>
              <w:t> </w:t>
            </w:r>
          </w:p>
        </w:tc>
        <w:tc>
          <w:tcPr>
            <w:tcW w:w="1288" w:type="dxa"/>
            <w:tcBorders>
              <w:top w:val="nil"/>
              <w:left w:val="nil"/>
              <w:bottom w:val="single" w:sz="4" w:space="0" w:color="auto"/>
              <w:right w:val="single" w:sz="4" w:space="0" w:color="auto"/>
            </w:tcBorders>
            <w:shd w:val="clear" w:color="000000" w:fill="D9D9D9"/>
            <w:noWrap/>
            <w:vAlign w:val="bottom"/>
            <w:hideMark/>
          </w:tcPr>
          <w:p w:rsidR="00BE31EA" w:rsidRPr="005403C8" w:rsidRDefault="00BE31EA" w:rsidP="007621AA">
            <w:pPr>
              <w:keepNext/>
              <w:jc w:val="center"/>
              <w:rPr>
                <w:rFonts w:ascii="Times New Roman" w:hAnsi="Times New Roman"/>
                <w:b/>
                <w:bCs/>
                <w:color w:val="000000"/>
                <w:sz w:val="12"/>
                <w:szCs w:val="12"/>
              </w:rPr>
            </w:pPr>
            <w:r w:rsidRPr="005403C8">
              <w:rPr>
                <w:rFonts w:ascii="Times New Roman" w:hAnsi="Times New Roman"/>
                <w:b/>
                <w:bCs/>
                <w:color w:val="000000"/>
                <w:sz w:val="12"/>
                <w:szCs w:val="12"/>
              </w:rPr>
              <w:t> </w:t>
            </w:r>
          </w:p>
        </w:tc>
        <w:tc>
          <w:tcPr>
            <w:tcW w:w="1008" w:type="dxa"/>
            <w:tcBorders>
              <w:top w:val="single" w:sz="4" w:space="0" w:color="auto"/>
              <w:left w:val="nil"/>
              <w:bottom w:val="single" w:sz="6" w:space="0" w:color="auto"/>
              <w:right w:val="single" w:sz="4" w:space="0" w:color="auto"/>
            </w:tcBorders>
            <w:shd w:val="clear" w:color="000000" w:fill="D9D9D9"/>
          </w:tcPr>
          <w:p w:rsidR="00BE31EA" w:rsidRPr="005403C8" w:rsidRDefault="00BE31EA" w:rsidP="007621AA">
            <w:pPr>
              <w:keepNext/>
              <w:jc w:val="center"/>
              <w:rPr>
                <w:rFonts w:ascii="Times New Roman" w:hAnsi="Times New Roman"/>
                <w:color w:val="FF0000"/>
                <w:sz w:val="12"/>
                <w:szCs w:val="12"/>
              </w:rPr>
            </w:pPr>
          </w:p>
        </w:tc>
        <w:tc>
          <w:tcPr>
            <w:tcW w:w="1008" w:type="dxa"/>
            <w:tcBorders>
              <w:top w:val="nil"/>
              <w:left w:val="single" w:sz="4" w:space="0" w:color="auto"/>
              <w:bottom w:val="single" w:sz="4" w:space="0" w:color="auto"/>
              <w:right w:val="single" w:sz="4" w:space="0" w:color="auto"/>
            </w:tcBorders>
            <w:shd w:val="clear" w:color="000000" w:fill="D9D9D9"/>
            <w:noWrap/>
            <w:vAlign w:val="bottom"/>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A.</w:t>
            </w:r>
          </w:p>
        </w:tc>
        <w:tc>
          <w:tcPr>
            <w:tcW w:w="820" w:type="dxa"/>
            <w:tcBorders>
              <w:top w:val="nil"/>
              <w:left w:val="nil"/>
              <w:bottom w:val="single" w:sz="4" w:space="0" w:color="auto"/>
              <w:right w:val="single" w:sz="4" w:space="0" w:color="auto"/>
            </w:tcBorders>
            <w:shd w:val="clear" w:color="000000" w:fill="D9D9D9"/>
            <w:noWrap/>
            <w:vAlign w:val="bottom"/>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B.</w:t>
            </w:r>
          </w:p>
        </w:tc>
        <w:tc>
          <w:tcPr>
            <w:tcW w:w="840" w:type="dxa"/>
            <w:tcBorders>
              <w:top w:val="nil"/>
              <w:left w:val="nil"/>
              <w:bottom w:val="single" w:sz="4" w:space="0" w:color="auto"/>
              <w:right w:val="single" w:sz="4" w:space="0" w:color="auto"/>
            </w:tcBorders>
            <w:shd w:val="clear" w:color="000000" w:fill="D9D9D9"/>
            <w:noWrap/>
            <w:vAlign w:val="bottom"/>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C.</w:t>
            </w:r>
          </w:p>
        </w:tc>
        <w:tc>
          <w:tcPr>
            <w:tcW w:w="1000" w:type="dxa"/>
            <w:tcBorders>
              <w:top w:val="nil"/>
              <w:left w:val="nil"/>
              <w:bottom w:val="single" w:sz="4" w:space="0" w:color="auto"/>
              <w:right w:val="single" w:sz="4" w:space="0" w:color="auto"/>
            </w:tcBorders>
            <w:shd w:val="clear" w:color="000000" w:fill="D9D9D9"/>
            <w:noWrap/>
            <w:vAlign w:val="bottom"/>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 xml:space="preserve">D. </w:t>
            </w:r>
          </w:p>
        </w:tc>
        <w:tc>
          <w:tcPr>
            <w:tcW w:w="900" w:type="dxa"/>
            <w:tcBorders>
              <w:top w:val="nil"/>
              <w:left w:val="nil"/>
              <w:bottom w:val="single" w:sz="4" w:space="0" w:color="auto"/>
              <w:right w:val="single" w:sz="4" w:space="0" w:color="auto"/>
            </w:tcBorders>
            <w:shd w:val="clear" w:color="000000" w:fill="D9D9D9"/>
            <w:noWrap/>
            <w:vAlign w:val="bottom"/>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E.</w:t>
            </w:r>
          </w:p>
        </w:tc>
        <w:tc>
          <w:tcPr>
            <w:tcW w:w="920" w:type="dxa"/>
            <w:tcBorders>
              <w:top w:val="nil"/>
              <w:left w:val="nil"/>
              <w:bottom w:val="single" w:sz="4" w:space="0" w:color="auto"/>
              <w:right w:val="single" w:sz="4" w:space="0" w:color="auto"/>
            </w:tcBorders>
            <w:shd w:val="clear" w:color="000000" w:fill="D9D9D9"/>
            <w:noWrap/>
            <w:vAlign w:val="bottom"/>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F.</w:t>
            </w:r>
          </w:p>
        </w:tc>
        <w:tc>
          <w:tcPr>
            <w:tcW w:w="940" w:type="dxa"/>
            <w:tcBorders>
              <w:top w:val="nil"/>
              <w:left w:val="nil"/>
              <w:bottom w:val="single" w:sz="4" w:space="0" w:color="auto"/>
              <w:right w:val="single" w:sz="4" w:space="0" w:color="auto"/>
            </w:tcBorders>
            <w:shd w:val="clear" w:color="000000" w:fill="D9D9D9"/>
            <w:noWrap/>
            <w:vAlign w:val="bottom"/>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G.</w:t>
            </w:r>
          </w:p>
        </w:tc>
        <w:tc>
          <w:tcPr>
            <w:tcW w:w="1060" w:type="dxa"/>
            <w:tcBorders>
              <w:top w:val="nil"/>
              <w:left w:val="nil"/>
              <w:bottom w:val="single" w:sz="4" w:space="0" w:color="auto"/>
              <w:right w:val="single" w:sz="4" w:space="0" w:color="auto"/>
            </w:tcBorders>
            <w:shd w:val="clear" w:color="000000" w:fill="D9D9D9"/>
            <w:noWrap/>
            <w:vAlign w:val="bottom"/>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 </w:t>
            </w:r>
          </w:p>
        </w:tc>
        <w:tc>
          <w:tcPr>
            <w:tcW w:w="760" w:type="dxa"/>
            <w:tcBorders>
              <w:top w:val="nil"/>
              <w:left w:val="nil"/>
              <w:bottom w:val="single" w:sz="4" w:space="0" w:color="auto"/>
              <w:right w:val="single" w:sz="8" w:space="0" w:color="auto"/>
            </w:tcBorders>
            <w:shd w:val="clear" w:color="000000" w:fill="D9D9D9"/>
            <w:noWrap/>
            <w:vAlign w:val="bottom"/>
            <w:hideMark/>
          </w:tcPr>
          <w:p w:rsidR="00BE31EA" w:rsidRPr="005403C8" w:rsidRDefault="00BE31EA" w:rsidP="007621AA">
            <w:pPr>
              <w:keepNext/>
              <w:rPr>
                <w:rFonts w:ascii="Times New Roman" w:hAnsi="Times New Roman"/>
                <w:color w:val="000000"/>
                <w:sz w:val="12"/>
                <w:szCs w:val="12"/>
              </w:rPr>
            </w:pPr>
            <w:r w:rsidRPr="005403C8">
              <w:rPr>
                <w:rFonts w:ascii="Times New Roman" w:hAnsi="Times New Roman"/>
                <w:color w:val="000000"/>
                <w:sz w:val="12"/>
                <w:szCs w:val="12"/>
              </w:rPr>
              <w:t> </w:t>
            </w:r>
          </w:p>
        </w:tc>
      </w:tr>
      <w:tr w:rsidR="00BE31EA" w:rsidRPr="005403C8" w:rsidTr="00150237">
        <w:trPr>
          <w:trHeight w:val="804"/>
          <w:jc w:val="center"/>
        </w:trPr>
        <w:tc>
          <w:tcPr>
            <w:tcW w:w="956" w:type="dxa"/>
            <w:tcBorders>
              <w:top w:val="nil"/>
              <w:left w:val="single" w:sz="8" w:space="0" w:color="auto"/>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b/>
                <w:bCs/>
                <w:color w:val="000000"/>
                <w:sz w:val="12"/>
                <w:szCs w:val="12"/>
              </w:rPr>
            </w:pPr>
            <w:r w:rsidRPr="005403C8">
              <w:rPr>
                <w:rFonts w:ascii="Times New Roman" w:hAnsi="Times New Roman"/>
                <w:b/>
                <w:bCs/>
                <w:color w:val="000000"/>
                <w:sz w:val="12"/>
                <w:szCs w:val="12"/>
              </w:rPr>
              <w:t>Name of Information Collection</w:t>
            </w:r>
          </w:p>
        </w:tc>
        <w:tc>
          <w:tcPr>
            <w:tcW w:w="1288" w:type="dxa"/>
            <w:tcBorders>
              <w:top w:val="nil"/>
              <w:left w:val="nil"/>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b/>
                <w:bCs/>
                <w:color w:val="000000"/>
                <w:sz w:val="12"/>
                <w:szCs w:val="12"/>
              </w:rPr>
            </w:pPr>
            <w:r w:rsidRPr="005403C8">
              <w:rPr>
                <w:rFonts w:ascii="Times New Roman" w:hAnsi="Times New Roman"/>
                <w:b/>
                <w:bCs/>
                <w:color w:val="000000"/>
                <w:sz w:val="12"/>
                <w:szCs w:val="12"/>
              </w:rPr>
              <w:t>Type of Burden</w:t>
            </w:r>
          </w:p>
        </w:tc>
        <w:tc>
          <w:tcPr>
            <w:tcW w:w="1008" w:type="dxa"/>
            <w:tcBorders>
              <w:top w:val="single" w:sz="6" w:space="0" w:color="auto"/>
              <w:left w:val="nil"/>
              <w:bottom w:val="single" w:sz="6" w:space="0" w:color="auto"/>
              <w:right w:val="single" w:sz="4" w:space="0" w:color="auto"/>
            </w:tcBorders>
            <w:shd w:val="clear" w:color="000000" w:fill="D9D9D9"/>
            <w:vAlign w:val="center"/>
          </w:tcPr>
          <w:p w:rsidR="00BE31EA" w:rsidRPr="005403C8" w:rsidRDefault="00BE31EA" w:rsidP="00BE31EA">
            <w:pPr>
              <w:keepNext/>
              <w:jc w:val="center"/>
              <w:rPr>
                <w:rFonts w:ascii="Times New Roman" w:hAnsi="Times New Roman"/>
                <w:b/>
                <w:bCs/>
                <w:color w:val="000000"/>
                <w:sz w:val="12"/>
                <w:szCs w:val="12"/>
              </w:rPr>
            </w:pPr>
            <w:r w:rsidRPr="005403C8">
              <w:rPr>
                <w:rFonts w:ascii="Times New Roman" w:hAnsi="Times New Roman"/>
                <w:b/>
                <w:bCs/>
                <w:color w:val="000000"/>
                <w:sz w:val="12"/>
                <w:szCs w:val="12"/>
              </w:rPr>
              <w:t>Burden Description</w:t>
            </w:r>
          </w:p>
        </w:tc>
        <w:tc>
          <w:tcPr>
            <w:tcW w:w="1008" w:type="dxa"/>
            <w:tcBorders>
              <w:top w:val="nil"/>
              <w:left w:val="single" w:sz="4" w:space="0" w:color="auto"/>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b/>
                <w:bCs/>
                <w:color w:val="000000"/>
                <w:sz w:val="12"/>
                <w:szCs w:val="12"/>
              </w:rPr>
            </w:pPr>
            <w:r w:rsidRPr="005403C8">
              <w:rPr>
                <w:rFonts w:ascii="Times New Roman" w:hAnsi="Times New Roman"/>
                <w:b/>
                <w:bCs/>
                <w:color w:val="000000"/>
                <w:sz w:val="12"/>
                <w:szCs w:val="12"/>
              </w:rPr>
              <w:t>Number of Entities Impacted</w:t>
            </w:r>
          </w:p>
        </w:tc>
        <w:tc>
          <w:tcPr>
            <w:tcW w:w="820" w:type="dxa"/>
            <w:tcBorders>
              <w:top w:val="nil"/>
              <w:left w:val="nil"/>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b/>
                <w:bCs/>
                <w:color w:val="000000"/>
                <w:sz w:val="12"/>
                <w:szCs w:val="12"/>
              </w:rPr>
            </w:pPr>
            <w:r w:rsidRPr="005403C8">
              <w:rPr>
                <w:rFonts w:ascii="Times New Roman" w:hAnsi="Times New Roman"/>
                <w:b/>
                <w:bCs/>
                <w:color w:val="000000"/>
                <w:sz w:val="12"/>
                <w:szCs w:val="12"/>
              </w:rPr>
              <w:t>Annual Responses per Entity</w:t>
            </w:r>
          </w:p>
        </w:tc>
        <w:tc>
          <w:tcPr>
            <w:tcW w:w="840" w:type="dxa"/>
            <w:tcBorders>
              <w:top w:val="nil"/>
              <w:left w:val="nil"/>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b/>
                <w:bCs/>
                <w:color w:val="000000"/>
                <w:sz w:val="12"/>
                <w:szCs w:val="12"/>
              </w:rPr>
            </w:pPr>
            <w:r w:rsidRPr="005403C8">
              <w:rPr>
                <w:rFonts w:ascii="Times New Roman" w:hAnsi="Times New Roman"/>
                <w:b/>
                <w:bCs/>
                <w:color w:val="000000"/>
                <w:sz w:val="12"/>
                <w:szCs w:val="12"/>
              </w:rPr>
              <w:t>Initial Cost per Entity per Response</w:t>
            </w:r>
          </w:p>
        </w:tc>
        <w:tc>
          <w:tcPr>
            <w:tcW w:w="1000" w:type="dxa"/>
            <w:tcBorders>
              <w:top w:val="nil"/>
              <w:left w:val="nil"/>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b/>
                <w:bCs/>
                <w:color w:val="000000"/>
                <w:sz w:val="12"/>
                <w:szCs w:val="12"/>
              </w:rPr>
            </w:pPr>
            <w:r w:rsidRPr="005403C8">
              <w:rPr>
                <w:rFonts w:ascii="Times New Roman" w:hAnsi="Times New Roman"/>
                <w:b/>
                <w:bCs/>
                <w:color w:val="000000"/>
                <w:sz w:val="12"/>
                <w:szCs w:val="12"/>
              </w:rPr>
              <w:t>Initial Cost Annualized per Entity per Response</w:t>
            </w:r>
          </w:p>
        </w:tc>
        <w:tc>
          <w:tcPr>
            <w:tcW w:w="900" w:type="dxa"/>
            <w:tcBorders>
              <w:top w:val="nil"/>
              <w:left w:val="nil"/>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b/>
                <w:bCs/>
                <w:color w:val="000000"/>
                <w:sz w:val="12"/>
                <w:szCs w:val="12"/>
              </w:rPr>
            </w:pPr>
            <w:r w:rsidRPr="005403C8">
              <w:rPr>
                <w:rFonts w:ascii="Times New Roman" w:hAnsi="Times New Roman"/>
                <w:b/>
                <w:bCs/>
                <w:color w:val="000000"/>
                <w:sz w:val="12"/>
                <w:szCs w:val="12"/>
              </w:rPr>
              <w:t>Ongoing Cost per Entity per Response</w:t>
            </w:r>
          </w:p>
        </w:tc>
        <w:tc>
          <w:tcPr>
            <w:tcW w:w="920" w:type="dxa"/>
            <w:tcBorders>
              <w:top w:val="nil"/>
              <w:left w:val="nil"/>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b/>
                <w:bCs/>
                <w:color w:val="000000"/>
                <w:sz w:val="12"/>
                <w:szCs w:val="12"/>
              </w:rPr>
            </w:pPr>
            <w:r w:rsidRPr="005403C8">
              <w:rPr>
                <w:rFonts w:ascii="Times New Roman" w:hAnsi="Times New Roman"/>
                <w:b/>
                <w:bCs/>
                <w:color w:val="000000"/>
                <w:sz w:val="12"/>
                <w:szCs w:val="12"/>
              </w:rPr>
              <w:t>Annual Cost Per Entity per Response</w:t>
            </w:r>
          </w:p>
        </w:tc>
        <w:tc>
          <w:tcPr>
            <w:tcW w:w="940" w:type="dxa"/>
            <w:tcBorders>
              <w:top w:val="nil"/>
              <w:left w:val="nil"/>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b/>
                <w:bCs/>
                <w:color w:val="000000"/>
                <w:sz w:val="12"/>
                <w:szCs w:val="12"/>
              </w:rPr>
            </w:pPr>
            <w:r w:rsidRPr="005403C8">
              <w:rPr>
                <w:rFonts w:ascii="Times New Roman" w:hAnsi="Times New Roman"/>
                <w:b/>
                <w:bCs/>
                <w:color w:val="000000"/>
                <w:sz w:val="12"/>
                <w:szCs w:val="12"/>
              </w:rPr>
              <w:t>Total Annual Cost Per Entity</w:t>
            </w:r>
          </w:p>
        </w:tc>
        <w:tc>
          <w:tcPr>
            <w:tcW w:w="1060" w:type="dxa"/>
            <w:tcBorders>
              <w:top w:val="nil"/>
              <w:left w:val="nil"/>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b/>
                <w:bCs/>
                <w:color w:val="000000"/>
                <w:sz w:val="12"/>
                <w:szCs w:val="12"/>
              </w:rPr>
            </w:pPr>
            <w:r w:rsidRPr="005403C8">
              <w:rPr>
                <w:rFonts w:ascii="Times New Roman" w:hAnsi="Times New Roman"/>
                <w:b/>
                <w:bCs/>
                <w:color w:val="000000"/>
                <w:sz w:val="12"/>
                <w:szCs w:val="12"/>
              </w:rPr>
              <w:t xml:space="preserve">Total </w:t>
            </w:r>
            <w:r w:rsidR="00FE4104" w:rsidRPr="005403C8">
              <w:rPr>
                <w:rFonts w:ascii="Times New Roman" w:hAnsi="Times New Roman"/>
                <w:b/>
                <w:bCs/>
                <w:color w:val="000000"/>
                <w:sz w:val="12"/>
                <w:szCs w:val="12"/>
              </w:rPr>
              <w:t xml:space="preserve">Annual </w:t>
            </w:r>
            <w:r w:rsidRPr="005403C8">
              <w:rPr>
                <w:rFonts w:ascii="Times New Roman" w:hAnsi="Times New Roman"/>
                <w:b/>
                <w:bCs/>
                <w:color w:val="000000"/>
                <w:sz w:val="12"/>
                <w:szCs w:val="12"/>
              </w:rPr>
              <w:t xml:space="preserve">Industry Cost               </w:t>
            </w:r>
          </w:p>
        </w:tc>
        <w:tc>
          <w:tcPr>
            <w:tcW w:w="760" w:type="dxa"/>
            <w:tcBorders>
              <w:top w:val="nil"/>
              <w:left w:val="nil"/>
              <w:bottom w:val="single" w:sz="4" w:space="0" w:color="auto"/>
              <w:right w:val="single" w:sz="8" w:space="0" w:color="auto"/>
            </w:tcBorders>
            <w:shd w:val="clear" w:color="000000" w:fill="D9D9D9"/>
            <w:vAlign w:val="center"/>
            <w:hideMark/>
          </w:tcPr>
          <w:p w:rsidR="00BE31EA" w:rsidRPr="005403C8" w:rsidRDefault="00BE31EA" w:rsidP="007621AA">
            <w:pPr>
              <w:keepNext/>
              <w:jc w:val="center"/>
              <w:rPr>
                <w:rFonts w:ascii="Times New Roman" w:hAnsi="Times New Roman"/>
                <w:b/>
                <w:bCs/>
                <w:color w:val="000000"/>
                <w:sz w:val="12"/>
                <w:szCs w:val="12"/>
              </w:rPr>
            </w:pPr>
            <w:r w:rsidRPr="005403C8">
              <w:rPr>
                <w:rFonts w:ascii="Times New Roman" w:hAnsi="Times New Roman"/>
                <w:b/>
                <w:bCs/>
                <w:color w:val="000000"/>
                <w:sz w:val="12"/>
                <w:szCs w:val="12"/>
              </w:rPr>
              <w:t xml:space="preserve"> Small Business Entities Affected</w:t>
            </w:r>
          </w:p>
        </w:tc>
      </w:tr>
      <w:tr w:rsidR="00BE31EA" w:rsidRPr="005403C8" w:rsidTr="00575790">
        <w:trPr>
          <w:trHeight w:val="246"/>
          <w:jc w:val="center"/>
        </w:trPr>
        <w:tc>
          <w:tcPr>
            <w:tcW w:w="956" w:type="dxa"/>
            <w:tcBorders>
              <w:top w:val="nil"/>
              <w:left w:val="single" w:sz="8" w:space="0" w:color="auto"/>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 </w:t>
            </w:r>
          </w:p>
        </w:tc>
        <w:tc>
          <w:tcPr>
            <w:tcW w:w="1288" w:type="dxa"/>
            <w:tcBorders>
              <w:top w:val="nil"/>
              <w:left w:val="nil"/>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 </w:t>
            </w:r>
          </w:p>
        </w:tc>
        <w:tc>
          <w:tcPr>
            <w:tcW w:w="1008" w:type="dxa"/>
            <w:tcBorders>
              <w:top w:val="single" w:sz="6" w:space="0" w:color="auto"/>
              <w:left w:val="nil"/>
              <w:bottom w:val="single" w:sz="6" w:space="0" w:color="auto"/>
              <w:right w:val="single" w:sz="4" w:space="0" w:color="auto"/>
            </w:tcBorders>
            <w:shd w:val="clear" w:color="000000" w:fill="D9D9D9"/>
          </w:tcPr>
          <w:p w:rsidR="00BE31EA" w:rsidRPr="005403C8" w:rsidRDefault="00BE31EA" w:rsidP="007621AA">
            <w:pPr>
              <w:keepNext/>
              <w:jc w:val="center"/>
              <w:rPr>
                <w:rFonts w:ascii="Times New Roman" w:hAnsi="Times New Roman"/>
                <w:color w:val="FF0000"/>
                <w:sz w:val="12"/>
                <w:szCs w:val="12"/>
              </w:rPr>
            </w:pPr>
          </w:p>
        </w:tc>
        <w:tc>
          <w:tcPr>
            <w:tcW w:w="1008" w:type="dxa"/>
            <w:tcBorders>
              <w:top w:val="nil"/>
              <w:left w:val="single" w:sz="4" w:space="0" w:color="auto"/>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 </w:t>
            </w:r>
          </w:p>
        </w:tc>
        <w:tc>
          <w:tcPr>
            <w:tcW w:w="820" w:type="dxa"/>
            <w:tcBorders>
              <w:top w:val="nil"/>
              <w:left w:val="nil"/>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 </w:t>
            </w:r>
          </w:p>
        </w:tc>
        <w:tc>
          <w:tcPr>
            <w:tcW w:w="840" w:type="dxa"/>
            <w:tcBorders>
              <w:top w:val="nil"/>
              <w:left w:val="nil"/>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 </w:t>
            </w:r>
          </w:p>
        </w:tc>
        <w:tc>
          <w:tcPr>
            <w:tcW w:w="1000" w:type="dxa"/>
            <w:tcBorders>
              <w:top w:val="nil"/>
              <w:left w:val="nil"/>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[C ÷ 3 years]</w:t>
            </w:r>
          </w:p>
        </w:tc>
        <w:tc>
          <w:tcPr>
            <w:tcW w:w="900" w:type="dxa"/>
            <w:tcBorders>
              <w:top w:val="nil"/>
              <w:left w:val="nil"/>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 </w:t>
            </w:r>
          </w:p>
        </w:tc>
        <w:tc>
          <w:tcPr>
            <w:tcW w:w="920" w:type="dxa"/>
            <w:tcBorders>
              <w:top w:val="nil"/>
              <w:left w:val="nil"/>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 D + E]</w:t>
            </w:r>
          </w:p>
        </w:tc>
        <w:tc>
          <w:tcPr>
            <w:tcW w:w="940" w:type="dxa"/>
            <w:tcBorders>
              <w:top w:val="nil"/>
              <w:left w:val="nil"/>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[F * B]</w:t>
            </w:r>
          </w:p>
        </w:tc>
        <w:tc>
          <w:tcPr>
            <w:tcW w:w="1060" w:type="dxa"/>
            <w:tcBorders>
              <w:top w:val="nil"/>
              <w:left w:val="nil"/>
              <w:bottom w:val="single" w:sz="4" w:space="0" w:color="auto"/>
              <w:right w:val="single" w:sz="4" w:space="0" w:color="auto"/>
            </w:tcBorders>
            <w:shd w:val="clear" w:color="000000" w:fill="D9D9D9"/>
            <w:vAlign w:val="center"/>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 xml:space="preserve">[G * A]  </w:t>
            </w:r>
          </w:p>
        </w:tc>
        <w:tc>
          <w:tcPr>
            <w:tcW w:w="760" w:type="dxa"/>
            <w:tcBorders>
              <w:top w:val="nil"/>
              <w:left w:val="nil"/>
              <w:bottom w:val="single" w:sz="4" w:space="0" w:color="auto"/>
              <w:right w:val="single" w:sz="8" w:space="0" w:color="auto"/>
            </w:tcBorders>
            <w:shd w:val="clear" w:color="000000" w:fill="D9D9D9"/>
            <w:vAlign w:val="center"/>
            <w:hideMark/>
          </w:tcPr>
          <w:p w:rsidR="00BE31EA" w:rsidRPr="005403C8" w:rsidRDefault="00BE31EA" w:rsidP="007621AA">
            <w:pPr>
              <w:keepNext/>
              <w:jc w:val="center"/>
              <w:rPr>
                <w:rFonts w:ascii="Times New Roman" w:hAnsi="Times New Roman"/>
                <w:color w:val="FF0000"/>
                <w:sz w:val="12"/>
                <w:szCs w:val="12"/>
              </w:rPr>
            </w:pPr>
            <w:r w:rsidRPr="005403C8">
              <w:rPr>
                <w:rFonts w:ascii="Times New Roman" w:hAnsi="Times New Roman"/>
                <w:color w:val="FF0000"/>
                <w:sz w:val="12"/>
                <w:szCs w:val="12"/>
              </w:rPr>
              <w:t>[A * 0 %]</w:t>
            </w:r>
          </w:p>
        </w:tc>
      </w:tr>
      <w:tr w:rsidR="00575790" w:rsidRPr="005403C8" w:rsidTr="00575790">
        <w:trPr>
          <w:trHeight w:val="1248"/>
          <w:jc w:val="center"/>
        </w:trPr>
        <w:tc>
          <w:tcPr>
            <w:tcW w:w="956" w:type="dxa"/>
            <w:vMerge w:val="restart"/>
            <w:tcBorders>
              <w:top w:val="nil"/>
              <w:left w:val="single" w:sz="8" w:space="0" w:color="auto"/>
              <w:right w:val="single" w:sz="4" w:space="0" w:color="auto"/>
            </w:tcBorders>
            <w:shd w:val="clear" w:color="auto" w:fill="auto"/>
            <w:vAlign w:val="center"/>
          </w:tcPr>
          <w:p w:rsidR="00575790" w:rsidRPr="005403C8" w:rsidRDefault="00575790" w:rsidP="00DD4E4B">
            <w:pPr>
              <w:keepNext/>
              <w:jc w:val="center"/>
              <w:rPr>
                <w:rFonts w:ascii="Times New Roman" w:hAnsi="Times New Roman"/>
                <w:color w:val="000000"/>
                <w:sz w:val="12"/>
                <w:szCs w:val="12"/>
              </w:rPr>
            </w:pPr>
            <w:r w:rsidRPr="007C316B">
              <w:rPr>
                <w:rFonts w:ascii="Times New Roman" w:hAnsi="Times New Roman"/>
                <w:color w:val="000000"/>
                <w:sz w:val="12"/>
                <w:szCs w:val="12"/>
              </w:rPr>
              <w:t>Customer-Specific Disclosure on Handling of Non-Exempt Not Held Orders</w:t>
            </w:r>
            <w:r w:rsidRPr="005403C8">
              <w:rPr>
                <w:rFonts w:ascii="Times New Roman" w:hAnsi="Times New Roman"/>
                <w:color w:val="000000"/>
                <w:sz w:val="12"/>
                <w:szCs w:val="12"/>
              </w:rPr>
              <w:t xml:space="preserve"> –Rule </w:t>
            </w:r>
            <w:r w:rsidRPr="005403C8">
              <w:rPr>
                <w:rFonts w:ascii="Times New Roman" w:hAnsi="Times New Roman"/>
                <w:bCs/>
                <w:color w:val="000000"/>
                <w:sz w:val="12"/>
                <w:szCs w:val="12"/>
              </w:rPr>
              <w:t>606(b)(3)</w:t>
            </w:r>
          </w:p>
        </w:tc>
        <w:tc>
          <w:tcPr>
            <w:tcW w:w="1288" w:type="dxa"/>
            <w:vMerge w:val="restart"/>
            <w:tcBorders>
              <w:top w:val="nil"/>
              <w:left w:val="nil"/>
              <w:right w:val="single" w:sz="4" w:space="0" w:color="auto"/>
            </w:tcBorders>
            <w:shd w:val="clear" w:color="auto" w:fill="auto"/>
            <w:vAlign w:val="center"/>
          </w:tcPr>
          <w:p w:rsidR="00575790" w:rsidRPr="005403C8" w:rsidRDefault="00575790" w:rsidP="007621AA">
            <w:pPr>
              <w:keepNext/>
              <w:jc w:val="center"/>
            </w:pPr>
            <w:r w:rsidRPr="005403C8">
              <w:rPr>
                <w:rFonts w:ascii="Times New Roman" w:hAnsi="Times New Roman"/>
                <w:color w:val="000000"/>
                <w:sz w:val="12"/>
                <w:szCs w:val="12"/>
              </w:rPr>
              <w:t>Recordkeeping/Third party disclosure – New information collection</w:t>
            </w:r>
          </w:p>
        </w:tc>
        <w:tc>
          <w:tcPr>
            <w:tcW w:w="1008" w:type="dxa"/>
            <w:tcBorders>
              <w:top w:val="single" w:sz="6" w:space="0" w:color="auto"/>
              <w:left w:val="nil"/>
              <w:right w:val="single" w:sz="4" w:space="0" w:color="auto"/>
            </w:tcBorders>
            <w:vAlign w:val="center"/>
          </w:tcPr>
          <w:p w:rsidR="00575790" w:rsidRPr="005403C8" w:rsidRDefault="00575790" w:rsidP="00BE31EA">
            <w:pPr>
              <w:keepNext/>
              <w:jc w:val="center"/>
              <w:rPr>
                <w:rFonts w:ascii="Times New Roman" w:hAnsi="Times New Roman"/>
                <w:color w:val="000000"/>
                <w:sz w:val="12"/>
                <w:szCs w:val="12"/>
              </w:rPr>
            </w:pPr>
            <w:r w:rsidRPr="005403C8">
              <w:rPr>
                <w:rFonts w:ascii="Times New Roman" w:hAnsi="Times New Roman"/>
                <w:color w:val="000000"/>
                <w:sz w:val="12"/>
                <w:szCs w:val="12"/>
              </w:rPr>
              <w:t>Engage third party to update data capture systems and create reports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r>
              <w:rPr>
                <w:rFonts w:ascii="Times New Roman" w:hAnsi="Times New Roman"/>
                <w:color w:val="000000"/>
                <w:sz w:val="12"/>
                <w:szCs w:val="12"/>
              </w:rPr>
              <w:t>133</w:t>
            </w:r>
          </w:p>
        </w:tc>
        <w:tc>
          <w:tcPr>
            <w:tcW w:w="820" w:type="dxa"/>
            <w:tcBorders>
              <w:top w:val="single" w:sz="4" w:space="0" w:color="auto"/>
              <w:left w:val="nil"/>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p>
          <w:p w:rsidR="00575790" w:rsidRPr="005403C8" w:rsidRDefault="00575790"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1</w:t>
            </w:r>
          </w:p>
        </w:tc>
        <w:tc>
          <w:tcPr>
            <w:tcW w:w="840" w:type="dxa"/>
            <w:tcBorders>
              <w:top w:val="single" w:sz="4" w:space="0" w:color="auto"/>
              <w:left w:val="nil"/>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$35,000.00</w:t>
            </w:r>
          </w:p>
        </w:tc>
        <w:tc>
          <w:tcPr>
            <w:tcW w:w="1000" w:type="dxa"/>
            <w:tcBorders>
              <w:top w:val="single" w:sz="4" w:space="0" w:color="auto"/>
              <w:left w:val="nil"/>
              <w:bottom w:val="single" w:sz="4" w:space="0" w:color="auto"/>
              <w:right w:val="single" w:sz="4" w:space="0" w:color="auto"/>
            </w:tcBorders>
            <w:shd w:val="clear" w:color="auto" w:fill="auto"/>
            <w:vAlign w:val="center"/>
          </w:tcPr>
          <w:p w:rsidR="00575790" w:rsidRPr="005403C8" w:rsidRDefault="00575790" w:rsidP="00BE31EA">
            <w:pPr>
              <w:keepNext/>
              <w:jc w:val="center"/>
              <w:rPr>
                <w:rFonts w:ascii="Times New Roman" w:hAnsi="Times New Roman"/>
                <w:color w:val="000000"/>
                <w:sz w:val="12"/>
                <w:szCs w:val="12"/>
              </w:rPr>
            </w:pPr>
            <w:r>
              <w:rPr>
                <w:rFonts w:ascii="Times New Roman" w:hAnsi="Times New Roman"/>
                <w:color w:val="000000"/>
                <w:sz w:val="12"/>
                <w:szCs w:val="12"/>
              </w:rPr>
              <w:t>$11,666.</w:t>
            </w:r>
            <w:r w:rsidRPr="005403C8">
              <w:rPr>
                <w:rFonts w:ascii="Times New Roman" w:hAnsi="Times New Roman"/>
                <w:color w:val="000000"/>
                <w:sz w:val="12"/>
                <w:szCs w:val="12"/>
              </w:rPr>
              <w:t>67</w:t>
            </w:r>
          </w:p>
        </w:tc>
        <w:tc>
          <w:tcPr>
            <w:tcW w:w="900" w:type="dxa"/>
            <w:tcBorders>
              <w:top w:val="single" w:sz="4" w:space="0" w:color="auto"/>
              <w:left w:val="nil"/>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$0.00</w:t>
            </w:r>
          </w:p>
        </w:tc>
        <w:tc>
          <w:tcPr>
            <w:tcW w:w="920" w:type="dxa"/>
            <w:tcBorders>
              <w:top w:val="single" w:sz="4" w:space="0" w:color="auto"/>
              <w:left w:val="nil"/>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$11,666.67</w:t>
            </w:r>
          </w:p>
        </w:tc>
        <w:tc>
          <w:tcPr>
            <w:tcW w:w="940" w:type="dxa"/>
            <w:tcBorders>
              <w:top w:val="single" w:sz="4" w:space="0" w:color="auto"/>
              <w:left w:val="nil"/>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r>
              <w:rPr>
                <w:rFonts w:ascii="Times New Roman" w:hAnsi="Times New Roman"/>
                <w:color w:val="000000"/>
                <w:sz w:val="12"/>
                <w:szCs w:val="12"/>
              </w:rPr>
              <w:t>$11,666.</w:t>
            </w:r>
            <w:r w:rsidRPr="005403C8">
              <w:rPr>
                <w:rFonts w:ascii="Times New Roman" w:hAnsi="Times New Roman"/>
                <w:color w:val="000000"/>
                <w:sz w:val="12"/>
                <w:szCs w:val="12"/>
              </w:rPr>
              <w:t>67</w:t>
            </w:r>
          </w:p>
        </w:tc>
        <w:tc>
          <w:tcPr>
            <w:tcW w:w="1060" w:type="dxa"/>
            <w:tcBorders>
              <w:top w:val="single" w:sz="4" w:space="0" w:color="auto"/>
              <w:left w:val="nil"/>
              <w:bottom w:val="single" w:sz="4" w:space="0" w:color="auto"/>
              <w:right w:val="single" w:sz="4" w:space="0" w:color="auto"/>
            </w:tcBorders>
            <w:shd w:val="clear" w:color="auto" w:fill="auto"/>
            <w:vAlign w:val="center"/>
          </w:tcPr>
          <w:p w:rsidR="00575790" w:rsidRPr="005403C8" w:rsidRDefault="00FD3823" w:rsidP="007621AA">
            <w:pPr>
              <w:keepNext/>
              <w:jc w:val="center"/>
              <w:rPr>
                <w:rFonts w:ascii="Times New Roman" w:hAnsi="Times New Roman"/>
                <w:color w:val="000000"/>
                <w:sz w:val="12"/>
                <w:szCs w:val="12"/>
              </w:rPr>
            </w:pPr>
            <w:r w:rsidRPr="00FD3823">
              <w:rPr>
                <w:rFonts w:ascii="Times New Roman" w:hAnsi="Times New Roman"/>
                <w:color w:val="000000"/>
                <w:sz w:val="12"/>
                <w:szCs w:val="12"/>
              </w:rPr>
              <w:t>$1,551,666.67</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5790" w:rsidRPr="005403C8" w:rsidRDefault="00575790" w:rsidP="007621AA">
            <w:pPr>
              <w:keepNext/>
              <w:jc w:val="center"/>
              <w:rPr>
                <w:rFonts w:ascii="Times New Roman" w:hAnsi="Times New Roman"/>
                <w:color w:val="000000"/>
                <w:sz w:val="12"/>
                <w:szCs w:val="12"/>
              </w:rPr>
            </w:pPr>
            <w:r>
              <w:rPr>
                <w:rFonts w:ascii="Times New Roman" w:hAnsi="Times New Roman"/>
                <w:color w:val="000000"/>
                <w:sz w:val="12"/>
                <w:szCs w:val="12"/>
              </w:rPr>
              <w:t>0</w:t>
            </w:r>
          </w:p>
        </w:tc>
      </w:tr>
      <w:tr w:rsidR="00BE31EA" w:rsidRPr="005403C8" w:rsidTr="00575790">
        <w:trPr>
          <w:trHeight w:val="705"/>
          <w:jc w:val="center"/>
        </w:trPr>
        <w:tc>
          <w:tcPr>
            <w:tcW w:w="956" w:type="dxa"/>
            <w:vMerge/>
            <w:tcBorders>
              <w:left w:val="single" w:sz="8" w:space="0" w:color="auto"/>
              <w:right w:val="single" w:sz="4" w:space="0" w:color="auto"/>
            </w:tcBorders>
            <w:shd w:val="clear" w:color="auto" w:fill="auto"/>
            <w:vAlign w:val="center"/>
          </w:tcPr>
          <w:p w:rsidR="00BE31EA" w:rsidRPr="005403C8" w:rsidRDefault="00BE31EA" w:rsidP="007621AA">
            <w:pPr>
              <w:keepNext/>
              <w:jc w:val="center"/>
              <w:rPr>
                <w:rFonts w:ascii="Times New Roman" w:hAnsi="Times New Roman"/>
                <w:color w:val="000000"/>
                <w:sz w:val="12"/>
                <w:szCs w:val="12"/>
              </w:rPr>
            </w:pPr>
          </w:p>
        </w:tc>
        <w:tc>
          <w:tcPr>
            <w:tcW w:w="1288" w:type="dxa"/>
            <w:vMerge/>
            <w:tcBorders>
              <w:left w:val="nil"/>
              <w:right w:val="single" w:sz="4" w:space="0" w:color="auto"/>
            </w:tcBorders>
            <w:shd w:val="clear" w:color="auto" w:fill="auto"/>
            <w:vAlign w:val="center"/>
          </w:tcPr>
          <w:p w:rsidR="00BE31EA" w:rsidRPr="005403C8" w:rsidRDefault="00BE31EA" w:rsidP="007621AA">
            <w:pPr>
              <w:keepNext/>
              <w:jc w:val="center"/>
              <w:rPr>
                <w:rFonts w:ascii="Times New Roman" w:hAnsi="Times New Roman"/>
                <w:color w:val="000000"/>
                <w:sz w:val="12"/>
                <w:szCs w:val="12"/>
              </w:rPr>
            </w:pPr>
          </w:p>
        </w:tc>
        <w:tc>
          <w:tcPr>
            <w:tcW w:w="1008" w:type="dxa"/>
            <w:tcBorders>
              <w:top w:val="single" w:sz="6" w:space="0" w:color="auto"/>
              <w:left w:val="nil"/>
              <w:bottom w:val="single" w:sz="6" w:space="0" w:color="auto"/>
              <w:right w:val="single" w:sz="4" w:space="0" w:color="auto"/>
            </w:tcBorders>
            <w:vAlign w:val="center"/>
          </w:tcPr>
          <w:p w:rsidR="00BE31EA" w:rsidRPr="005403C8" w:rsidRDefault="00DE392B" w:rsidP="00BE31EA">
            <w:pPr>
              <w:keepNext/>
              <w:jc w:val="center"/>
              <w:rPr>
                <w:rFonts w:ascii="Times New Roman" w:hAnsi="Times New Roman"/>
                <w:color w:val="000000"/>
                <w:sz w:val="12"/>
                <w:szCs w:val="12"/>
              </w:rPr>
            </w:pPr>
            <w:r w:rsidRPr="005403C8">
              <w:rPr>
                <w:rFonts w:ascii="Times New Roman" w:hAnsi="Times New Roman"/>
                <w:color w:val="000000"/>
                <w:sz w:val="12"/>
                <w:szCs w:val="12"/>
              </w:rPr>
              <w:t>Update data capture systems and create reports in house</w:t>
            </w:r>
            <w:r w:rsidR="00575790">
              <w:rPr>
                <w:rFonts w:ascii="Times New Roman" w:hAnsi="Times New Roman"/>
                <w:color w:val="000000"/>
                <w:sz w:val="12"/>
                <w:szCs w:val="12"/>
              </w:rPr>
              <w:t xml:space="preserve"> (hardware and software)</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BE31EA" w:rsidRPr="005403C8" w:rsidRDefault="00575790" w:rsidP="007621AA">
            <w:pPr>
              <w:keepNext/>
              <w:jc w:val="center"/>
              <w:rPr>
                <w:rFonts w:ascii="Times New Roman" w:hAnsi="Times New Roman"/>
                <w:color w:val="000000"/>
                <w:sz w:val="12"/>
                <w:szCs w:val="12"/>
              </w:rPr>
            </w:pPr>
            <w:r>
              <w:rPr>
                <w:rFonts w:ascii="Times New Roman" w:hAnsi="Times New Roman"/>
                <w:color w:val="000000"/>
                <w:sz w:val="12"/>
                <w:szCs w:val="12"/>
              </w:rPr>
              <w:t>67</w:t>
            </w:r>
          </w:p>
        </w:tc>
        <w:tc>
          <w:tcPr>
            <w:tcW w:w="820" w:type="dxa"/>
            <w:tcBorders>
              <w:top w:val="single" w:sz="4" w:space="0" w:color="auto"/>
              <w:left w:val="nil"/>
              <w:bottom w:val="single" w:sz="4" w:space="0" w:color="auto"/>
              <w:right w:val="single" w:sz="4" w:space="0" w:color="auto"/>
            </w:tcBorders>
            <w:shd w:val="clear" w:color="auto" w:fill="auto"/>
            <w:vAlign w:val="center"/>
          </w:tcPr>
          <w:p w:rsidR="00BE31EA" w:rsidRPr="005403C8" w:rsidRDefault="00BE31EA"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1</w:t>
            </w:r>
          </w:p>
        </w:tc>
        <w:tc>
          <w:tcPr>
            <w:tcW w:w="840" w:type="dxa"/>
            <w:tcBorders>
              <w:top w:val="single" w:sz="4" w:space="0" w:color="auto"/>
              <w:left w:val="nil"/>
              <w:bottom w:val="single" w:sz="4" w:space="0" w:color="auto"/>
              <w:right w:val="single" w:sz="4" w:space="0" w:color="auto"/>
            </w:tcBorders>
            <w:shd w:val="clear" w:color="auto" w:fill="auto"/>
            <w:vAlign w:val="center"/>
          </w:tcPr>
          <w:p w:rsidR="00BE31EA" w:rsidRPr="005403C8" w:rsidRDefault="00150237"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$15,000</w:t>
            </w:r>
          </w:p>
        </w:tc>
        <w:tc>
          <w:tcPr>
            <w:tcW w:w="1000" w:type="dxa"/>
            <w:tcBorders>
              <w:top w:val="single" w:sz="4" w:space="0" w:color="auto"/>
              <w:left w:val="nil"/>
              <w:bottom w:val="single" w:sz="4" w:space="0" w:color="auto"/>
              <w:right w:val="single" w:sz="4" w:space="0" w:color="auto"/>
            </w:tcBorders>
            <w:shd w:val="clear" w:color="auto" w:fill="auto"/>
            <w:vAlign w:val="center"/>
          </w:tcPr>
          <w:p w:rsidR="00BE31EA" w:rsidRPr="005403C8" w:rsidRDefault="00150237"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$5,000.00</w:t>
            </w:r>
          </w:p>
        </w:tc>
        <w:tc>
          <w:tcPr>
            <w:tcW w:w="900" w:type="dxa"/>
            <w:tcBorders>
              <w:top w:val="single" w:sz="4" w:space="0" w:color="auto"/>
              <w:left w:val="nil"/>
              <w:bottom w:val="single" w:sz="4" w:space="0" w:color="auto"/>
              <w:right w:val="single" w:sz="4" w:space="0" w:color="auto"/>
            </w:tcBorders>
            <w:shd w:val="clear" w:color="auto" w:fill="auto"/>
            <w:vAlign w:val="center"/>
          </w:tcPr>
          <w:p w:rsidR="00BE31EA" w:rsidRPr="005403C8" w:rsidRDefault="00150237"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$0.00</w:t>
            </w:r>
          </w:p>
        </w:tc>
        <w:tc>
          <w:tcPr>
            <w:tcW w:w="920" w:type="dxa"/>
            <w:tcBorders>
              <w:top w:val="single" w:sz="4" w:space="0" w:color="auto"/>
              <w:left w:val="nil"/>
              <w:bottom w:val="single" w:sz="4" w:space="0" w:color="auto"/>
              <w:right w:val="single" w:sz="4" w:space="0" w:color="auto"/>
            </w:tcBorders>
            <w:shd w:val="clear" w:color="auto" w:fill="auto"/>
            <w:vAlign w:val="center"/>
          </w:tcPr>
          <w:p w:rsidR="00BE31EA" w:rsidRPr="005403C8" w:rsidRDefault="00150237"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$5,000.00</w:t>
            </w:r>
          </w:p>
        </w:tc>
        <w:tc>
          <w:tcPr>
            <w:tcW w:w="940" w:type="dxa"/>
            <w:tcBorders>
              <w:top w:val="single" w:sz="4" w:space="0" w:color="auto"/>
              <w:left w:val="nil"/>
              <w:bottom w:val="single" w:sz="4" w:space="0" w:color="auto"/>
              <w:right w:val="single" w:sz="4" w:space="0" w:color="auto"/>
            </w:tcBorders>
            <w:shd w:val="clear" w:color="auto" w:fill="auto"/>
            <w:vAlign w:val="center"/>
          </w:tcPr>
          <w:p w:rsidR="00BE31EA" w:rsidRPr="005403C8" w:rsidRDefault="00150237"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$5,000.00</w:t>
            </w:r>
          </w:p>
        </w:tc>
        <w:tc>
          <w:tcPr>
            <w:tcW w:w="1060" w:type="dxa"/>
            <w:tcBorders>
              <w:top w:val="single" w:sz="4" w:space="0" w:color="auto"/>
              <w:left w:val="nil"/>
              <w:bottom w:val="single" w:sz="4" w:space="0" w:color="auto"/>
              <w:right w:val="single" w:sz="4" w:space="0" w:color="auto"/>
            </w:tcBorders>
            <w:shd w:val="clear" w:color="auto" w:fill="auto"/>
            <w:vAlign w:val="center"/>
          </w:tcPr>
          <w:p w:rsidR="00BE31EA" w:rsidRPr="005403C8" w:rsidRDefault="00FD3823" w:rsidP="007621AA">
            <w:pPr>
              <w:keepNext/>
              <w:jc w:val="center"/>
              <w:rPr>
                <w:rFonts w:ascii="Times New Roman" w:hAnsi="Times New Roman"/>
                <w:color w:val="000000"/>
                <w:sz w:val="12"/>
                <w:szCs w:val="12"/>
              </w:rPr>
            </w:pPr>
            <w:r w:rsidRPr="00FD3823">
              <w:rPr>
                <w:rFonts w:ascii="Times New Roman" w:hAnsi="Times New Roman"/>
                <w:color w:val="000000"/>
                <w:sz w:val="12"/>
                <w:szCs w:val="12"/>
              </w:rPr>
              <w:t>$335,000.00</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BE31EA" w:rsidRPr="005403C8" w:rsidRDefault="00371CFE" w:rsidP="007621AA">
            <w:pPr>
              <w:keepNext/>
              <w:jc w:val="center"/>
              <w:rPr>
                <w:rFonts w:ascii="Times New Roman" w:hAnsi="Times New Roman"/>
                <w:color w:val="000000"/>
                <w:sz w:val="12"/>
                <w:szCs w:val="12"/>
              </w:rPr>
            </w:pPr>
            <w:r>
              <w:rPr>
                <w:rFonts w:ascii="Times New Roman" w:hAnsi="Times New Roman"/>
                <w:color w:val="000000"/>
                <w:sz w:val="12"/>
                <w:szCs w:val="12"/>
              </w:rPr>
              <w:t>0</w:t>
            </w:r>
          </w:p>
        </w:tc>
      </w:tr>
      <w:tr w:rsidR="00BE31EA" w:rsidRPr="005403C8" w:rsidTr="00575790">
        <w:trPr>
          <w:trHeight w:val="615"/>
          <w:jc w:val="center"/>
        </w:trPr>
        <w:tc>
          <w:tcPr>
            <w:tcW w:w="956" w:type="dxa"/>
            <w:vMerge/>
            <w:tcBorders>
              <w:left w:val="single" w:sz="8" w:space="0" w:color="auto"/>
              <w:bottom w:val="single" w:sz="4" w:space="0" w:color="auto"/>
              <w:right w:val="single" w:sz="4" w:space="0" w:color="auto"/>
            </w:tcBorders>
            <w:shd w:val="clear" w:color="auto" w:fill="auto"/>
            <w:vAlign w:val="center"/>
          </w:tcPr>
          <w:p w:rsidR="00BE31EA" w:rsidRPr="005403C8" w:rsidRDefault="00BE31EA" w:rsidP="007621AA">
            <w:pPr>
              <w:keepNext/>
              <w:jc w:val="center"/>
              <w:rPr>
                <w:rFonts w:ascii="Times New Roman" w:hAnsi="Times New Roman"/>
                <w:color w:val="000000"/>
                <w:sz w:val="12"/>
                <w:szCs w:val="12"/>
              </w:rPr>
            </w:pPr>
          </w:p>
        </w:tc>
        <w:tc>
          <w:tcPr>
            <w:tcW w:w="1288" w:type="dxa"/>
            <w:vMerge/>
            <w:tcBorders>
              <w:left w:val="nil"/>
              <w:bottom w:val="single" w:sz="4" w:space="0" w:color="auto"/>
              <w:right w:val="single" w:sz="4" w:space="0" w:color="auto"/>
            </w:tcBorders>
            <w:shd w:val="clear" w:color="auto" w:fill="auto"/>
            <w:vAlign w:val="center"/>
          </w:tcPr>
          <w:p w:rsidR="00BE31EA" w:rsidRPr="005403C8" w:rsidRDefault="00BE31EA" w:rsidP="007621AA">
            <w:pPr>
              <w:keepNext/>
              <w:jc w:val="center"/>
              <w:rPr>
                <w:rFonts w:ascii="Times New Roman" w:hAnsi="Times New Roman"/>
                <w:color w:val="000000"/>
                <w:sz w:val="12"/>
                <w:szCs w:val="12"/>
              </w:rPr>
            </w:pPr>
          </w:p>
        </w:tc>
        <w:tc>
          <w:tcPr>
            <w:tcW w:w="1008" w:type="dxa"/>
            <w:tcBorders>
              <w:top w:val="single" w:sz="6" w:space="0" w:color="auto"/>
              <w:left w:val="nil"/>
              <w:bottom w:val="single" w:sz="4" w:space="0" w:color="auto"/>
              <w:right w:val="single" w:sz="4" w:space="0" w:color="auto"/>
            </w:tcBorders>
            <w:vAlign w:val="center"/>
          </w:tcPr>
          <w:p w:rsidR="00BE31EA" w:rsidRPr="005403C8" w:rsidRDefault="00992D85" w:rsidP="00150237">
            <w:pPr>
              <w:keepNext/>
              <w:jc w:val="center"/>
              <w:rPr>
                <w:rFonts w:ascii="Times New Roman" w:hAnsi="Times New Roman"/>
                <w:color w:val="000000"/>
                <w:sz w:val="12"/>
                <w:szCs w:val="12"/>
              </w:rPr>
            </w:pPr>
            <w:r w:rsidRPr="005403C8">
              <w:rPr>
                <w:rFonts w:ascii="Times New Roman" w:hAnsi="Times New Roman"/>
                <w:color w:val="000000"/>
                <w:sz w:val="12"/>
                <w:szCs w:val="12"/>
              </w:rPr>
              <w:t>Engage third party to respond to customer requests</w:t>
            </w:r>
          </w:p>
        </w:tc>
        <w:tc>
          <w:tcPr>
            <w:tcW w:w="1008" w:type="dxa"/>
            <w:tcBorders>
              <w:top w:val="nil"/>
              <w:left w:val="single" w:sz="4" w:space="0" w:color="auto"/>
              <w:bottom w:val="single" w:sz="4" w:space="0" w:color="auto"/>
              <w:right w:val="single" w:sz="4" w:space="0" w:color="auto"/>
            </w:tcBorders>
            <w:shd w:val="clear" w:color="auto" w:fill="auto"/>
            <w:vAlign w:val="center"/>
          </w:tcPr>
          <w:p w:rsidR="00BE31EA" w:rsidRPr="005403C8" w:rsidRDefault="00BE31EA"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65</w:t>
            </w:r>
          </w:p>
        </w:tc>
        <w:tc>
          <w:tcPr>
            <w:tcW w:w="820" w:type="dxa"/>
            <w:tcBorders>
              <w:top w:val="nil"/>
              <w:left w:val="nil"/>
              <w:bottom w:val="single" w:sz="4" w:space="0" w:color="auto"/>
              <w:right w:val="single" w:sz="4" w:space="0" w:color="auto"/>
            </w:tcBorders>
            <w:shd w:val="clear" w:color="auto" w:fill="auto"/>
            <w:vAlign w:val="center"/>
          </w:tcPr>
          <w:p w:rsidR="00BE31EA" w:rsidRPr="005403C8" w:rsidRDefault="00BE31EA"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200</w:t>
            </w:r>
          </w:p>
        </w:tc>
        <w:tc>
          <w:tcPr>
            <w:tcW w:w="840" w:type="dxa"/>
            <w:tcBorders>
              <w:top w:val="nil"/>
              <w:left w:val="nil"/>
              <w:bottom w:val="single" w:sz="4" w:space="0" w:color="auto"/>
              <w:right w:val="single" w:sz="4" w:space="0" w:color="auto"/>
            </w:tcBorders>
            <w:shd w:val="clear" w:color="auto" w:fill="auto"/>
            <w:vAlign w:val="center"/>
          </w:tcPr>
          <w:p w:rsidR="00BE31EA" w:rsidRPr="005403C8" w:rsidRDefault="00150237"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$0.00</w:t>
            </w:r>
          </w:p>
        </w:tc>
        <w:tc>
          <w:tcPr>
            <w:tcW w:w="1000" w:type="dxa"/>
            <w:tcBorders>
              <w:top w:val="nil"/>
              <w:left w:val="nil"/>
              <w:bottom w:val="single" w:sz="4" w:space="0" w:color="auto"/>
              <w:right w:val="single" w:sz="4" w:space="0" w:color="auto"/>
            </w:tcBorders>
            <w:shd w:val="clear" w:color="auto" w:fill="auto"/>
            <w:vAlign w:val="center"/>
          </w:tcPr>
          <w:p w:rsidR="00BE31EA" w:rsidRPr="005403C8" w:rsidRDefault="00150237"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$0.00</w:t>
            </w:r>
          </w:p>
        </w:tc>
        <w:tc>
          <w:tcPr>
            <w:tcW w:w="900" w:type="dxa"/>
            <w:tcBorders>
              <w:top w:val="nil"/>
              <w:left w:val="nil"/>
              <w:bottom w:val="single" w:sz="4" w:space="0" w:color="auto"/>
              <w:right w:val="single" w:sz="4" w:space="0" w:color="auto"/>
            </w:tcBorders>
            <w:shd w:val="clear" w:color="auto" w:fill="auto"/>
            <w:vAlign w:val="center"/>
          </w:tcPr>
          <w:p w:rsidR="00BE31EA" w:rsidRPr="005403C8" w:rsidRDefault="00150237"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$1</w:t>
            </w:r>
            <w:r w:rsidR="00BE31EA" w:rsidRPr="005403C8">
              <w:rPr>
                <w:rFonts w:ascii="Times New Roman" w:hAnsi="Times New Roman"/>
                <w:color w:val="000000"/>
                <w:sz w:val="12"/>
                <w:szCs w:val="12"/>
              </w:rPr>
              <w:t>00</w:t>
            </w:r>
            <w:r w:rsidRPr="005403C8">
              <w:rPr>
                <w:rFonts w:ascii="Times New Roman" w:hAnsi="Times New Roman"/>
                <w:color w:val="000000"/>
                <w:sz w:val="12"/>
                <w:szCs w:val="12"/>
              </w:rPr>
              <w:t>.00</w:t>
            </w:r>
          </w:p>
        </w:tc>
        <w:tc>
          <w:tcPr>
            <w:tcW w:w="920" w:type="dxa"/>
            <w:tcBorders>
              <w:top w:val="nil"/>
              <w:left w:val="nil"/>
              <w:bottom w:val="single" w:sz="4" w:space="0" w:color="auto"/>
              <w:right w:val="single" w:sz="4" w:space="0" w:color="auto"/>
            </w:tcBorders>
            <w:shd w:val="clear" w:color="auto" w:fill="auto"/>
            <w:vAlign w:val="center"/>
          </w:tcPr>
          <w:p w:rsidR="00BE31EA" w:rsidRPr="005403C8" w:rsidRDefault="00150237"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$100.00</w:t>
            </w:r>
          </w:p>
        </w:tc>
        <w:tc>
          <w:tcPr>
            <w:tcW w:w="940" w:type="dxa"/>
            <w:tcBorders>
              <w:top w:val="nil"/>
              <w:left w:val="nil"/>
              <w:bottom w:val="single" w:sz="4" w:space="0" w:color="auto"/>
              <w:right w:val="single" w:sz="4" w:space="0" w:color="auto"/>
            </w:tcBorders>
            <w:shd w:val="clear" w:color="auto" w:fill="auto"/>
            <w:vAlign w:val="center"/>
          </w:tcPr>
          <w:p w:rsidR="00BE31EA" w:rsidRPr="005403C8" w:rsidRDefault="00150237"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$20,000.00</w:t>
            </w:r>
          </w:p>
        </w:tc>
        <w:tc>
          <w:tcPr>
            <w:tcW w:w="1060" w:type="dxa"/>
            <w:tcBorders>
              <w:top w:val="nil"/>
              <w:left w:val="nil"/>
              <w:bottom w:val="single" w:sz="4" w:space="0" w:color="auto"/>
              <w:right w:val="single" w:sz="4" w:space="0" w:color="auto"/>
            </w:tcBorders>
            <w:shd w:val="clear" w:color="auto" w:fill="auto"/>
            <w:vAlign w:val="center"/>
          </w:tcPr>
          <w:p w:rsidR="00BE31EA" w:rsidRPr="005403C8" w:rsidRDefault="00150237"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$1,300,000.00</w:t>
            </w:r>
          </w:p>
        </w:tc>
        <w:tc>
          <w:tcPr>
            <w:tcW w:w="760" w:type="dxa"/>
            <w:tcBorders>
              <w:top w:val="single" w:sz="4" w:space="0" w:color="auto"/>
              <w:left w:val="nil"/>
              <w:bottom w:val="single" w:sz="4" w:space="0" w:color="auto"/>
              <w:right w:val="single" w:sz="8" w:space="0" w:color="auto"/>
            </w:tcBorders>
            <w:shd w:val="clear" w:color="auto" w:fill="auto"/>
            <w:noWrap/>
            <w:vAlign w:val="center"/>
          </w:tcPr>
          <w:p w:rsidR="00BE31EA" w:rsidRPr="005403C8" w:rsidRDefault="00371CFE" w:rsidP="007621AA">
            <w:pPr>
              <w:keepNext/>
              <w:jc w:val="center"/>
              <w:rPr>
                <w:rFonts w:ascii="Times New Roman" w:hAnsi="Times New Roman"/>
                <w:color w:val="000000"/>
                <w:sz w:val="12"/>
                <w:szCs w:val="12"/>
              </w:rPr>
            </w:pPr>
            <w:r>
              <w:rPr>
                <w:rFonts w:ascii="Times New Roman" w:hAnsi="Times New Roman"/>
                <w:color w:val="000000"/>
                <w:sz w:val="12"/>
                <w:szCs w:val="12"/>
              </w:rPr>
              <w:t>0</w:t>
            </w:r>
          </w:p>
        </w:tc>
      </w:tr>
      <w:tr w:rsidR="00575790" w:rsidRPr="005403C8" w:rsidTr="00575790">
        <w:trPr>
          <w:trHeight w:val="1424"/>
          <w:jc w:val="center"/>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575790" w:rsidRPr="00575790" w:rsidRDefault="00575790" w:rsidP="00575790">
            <w:pPr>
              <w:keepNext/>
              <w:jc w:val="center"/>
              <w:rPr>
                <w:rFonts w:ascii="Times New Roman" w:hAnsi="Times New Roman"/>
                <w:color w:val="000000"/>
                <w:sz w:val="12"/>
                <w:szCs w:val="12"/>
              </w:rPr>
            </w:pPr>
            <w:r>
              <w:rPr>
                <w:rFonts w:ascii="Times New Roman" w:hAnsi="Times New Roman"/>
                <w:color w:val="000000"/>
                <w:sz w:val="12"/>
                <w:szCs w:val="12"/>
              </w:rPr>
              <w:t>Quarterly Public Disclosure on Routing of Held Orders and Options Contracts</w:t>
            </w:r>
            <w:r w:rsidRPr="00AC3970">
              <w:rPr>
                <w:rFonts w:ascii="Times New Roman" w:hAnsi="Times New Roman"/>
                <w:color w:val="000000"/>
                <w:sz w:val="12"/>
                <w:szCs w:val="12"/>
              </w:rPr>
              <w:t xml:space="preserve"> </w:t>
            </w:r>
            <w:r w:rsidRPr="005403C8">
              <w:rPr>
                <w:rFonts w:ascii="Times New Roman" w:hAnsi="Times New Roman"/>
                <w:color w:val="000000"/>
                <w:sz w:val="12"/>
                <w:szCs w:val="12"/>
              </w:rPr>
              <w:t>–</w:t>
            </w:r>
            <w:r>
              <w:rPr>
                <w:rFonts w:ascii="Times New Roman" w:hAnsi="Times New Roman"/>
                <w:color w:val="000000"/>
                <w:sz w:val="12"/>
                <w:szCs w:val="12"/>
              </w:rPr>
              <w:t xml:space="preserve"> Rule</w:t>
            </w:r>
            <w:r w:rsidRPr="005403C8">
              <w:rPr>
                <w:rFonts w:ascii="Times New Roman" w:hAnsi="Times New Roman"/>
                <w:color w:val="000000"/>
                <w:sz w:val="12"/>
                <w:szCs w:val="12"/>
              </w:rPr>
              <w:t xml:space="preserve"> </w:t>
            </w:r>
            <w:r w:rsidRPr="005403C8">
              <w:rPr>
                <w:rFonts w:ascii="Times New Roman" w:hAnsi="Times New Roman"/>
                <w:bCs/>
                <w:color w:val="000000"/>
                <w:sz w:val="12"/>
                <w:szCs w:val="12"/>
              </w:rPr>
              <w:t>606(a)(1)</w:t>
            </w:r>
          </w:p>
        </w:tc>
        <w:tc>
          <w:tcPr>
            <w:tcW w:w="1288" w:type="dxa"/>
            <w:tcBorders>
              <w:top w:val="single" w:sz="4" w:space="0" w:color="auto"/>
              <w:left w:val="nil"/>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Recordkeeping/Third party disclosure – New information collection</w:t>
            </w:r>
          </w:p>
        </w:tc>
        <w:tc>
          <w:tcPr>
            <w:tcW w:w="1008" w:type="dxa"/>
            <w:tcBorders>
              <w:top w:val="single" w:sz="4" w:space="0" w:color="auto"/>
              <w:left w:val="nil"/>
              <w:bottom w:val="single" w:sz="4" w:space="0" w:color="auto"/>
              <w:right w:val="single" w:sz="4" w:space="0" w:color="auto"/>
            </w:tcBorders>
            <w:vAlign w:val="center"/>
          </w:tcPr>
          <w:p w:rsidR="00575790" w:rsidRPr="005403C8" w:rsidRDefault="00575790" w:rsidP="00150237">
            <w:pPr>
              <w:keepNext/>
              <w:jc w:val="center"/>
              <w:rPr>
                <w:rFonts w:ascii="Times New Roman" w:hAnsi="Times New Roman"/>
                <w:color w:val="000000"/>
                <w:sz w:val="12"/>
                <w:szCs w:val="12"/>
              </w:rPr>
            </w:pPr>
            <w:r w:rsidRPr="005403C8">
              <w:rPr>
                <w:rFonts w:ascii="Times New Roman" w:hAnsi="Times New Roman"/>
                <w:color w:val="000000"/>
                <w:sz w:val="12"/>
                <w:szCs w:val="12"/>
              </w:rPr>
              <w:t>Engage third party to update data capture systems and create reports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575790" w:rsidRDefault="00575790" w:rsidP="007621AA">
            <w:pPr>
              <w:keepNext/>
              <w:jc w:val="center"/>
              <w:rPr>
                <w:rFonts w:ascii="Times New Roman" w:hAnsi="Times New Roman"/>
                <w:color w:val="000000"/>
                <w:sz w:val="12"/>
                <w:szCs w:val="12"/>
              </w:rPr>
            </w:pPr>
            <w:r>
              <w:rPr>
                <w:rFonts w:ascii="Times New Roman" w:hAnsi="Times New Roman"/>
                <w:color w:val="000000"/>
                <w:sz w:val="12"/>
                <w:szCs w:val="12"/>
              </w:rPr>
              <w:t>195</w:t>
            </w:r>
          </w:p>
        </w:tc>
        <w:tc>
          <w:tcPr>
            <w:tcW w:w="820" w:type="dxa"/>
            <w:tcBorders>
              <w:top w:val="single" w:sz="4" w:space="0" w:color="auto"/>
              <w:left w:val="nil"/>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r>
              <w:rPr>
                <w:rFonts w:ascii="Times New Roman" w:hAnsi="Times New Roman"/>
                <w:color w:val="000000"/>
                <w:sz w:val="12"/>
                <w:szCs w:val="12"/>
              </w:rPr>
              <w:t>1</w:t>
            </w:r>
          </w:p>
        </w:tc>
        <w:tc>
          <w:tcPr>
            <w:tcW w:w="840" w:type="dxa"/>
            <w:tcBorders>
              <w:top w:val="single" w:sz="4" w:space="0" w:color="auto"/>
              <w:left w:val="nil"/>
              <w:bottom w:val="single" w:sz="4" w:space="0" w:color="auto"/>
              <w:right w:val="single" w:sz="4" w:space="0" w:color="auto"/>
            </w:tcBorders>
            <w:shd w:val="clear" w:color="auto" w:fill="auto"/>
            <w:vAlign w:val="center"/>
          </w:tcPr>
          <w:p w:rsidR="00575790" w:rsidRDefault="00FD3823" w:rsidP="007621AA">
            <w:pPr>
              <w:keepNext/>
              <w:jc w:val="center"/>
              <w:rPr>
                <w:rFonts w:ascii="Times New Roman" w:hAnsi="Times New Roman"/>
                <w:color w:val="000000"/>
                <w:sz w:val="12"/>
                <w:szCs w:val="12"/>
              </w:rPr>
            </w:pPr>
            <w:r w:rsidRPr="00FD3823">
              <w:rPr>
                <w:rFonts w:ascii="Times New Roman" w:hAnsi="Times New Roman"/>
                <w:color w:val="000000"/>
                <w:sz w:val="12"/>
                <w:szCs w:val="12"/>
              </w:rPr>
              <w:t>$32,000</w:t>
            </w:r>
            <w:r>
              <w:rPr>
                <w:rFonts w:ascii="Times New Roman" w:hAnsi="Times New Roman"/>
                <w:color w:val="000000"/>
                <w:sz w:val="12"/>
                <w:szCs w:val="12"/>
              </w:rPr>
              <w:t>.00</w:t>
            </w:r>
          </w:p>
        </w:tc>
        <w:tc>
          <w:tcPr>
            <w:tcW w:w="1000" w:type="dxa"/>
            <w:tcBorders>
              <w:top w:val="single" w:sz="4" w:space="0" w:color="auto"/>
              <w:left w:val="nil"/>
              <w:bottom w:val="single" w:sz="4" w:space="0" w:color="auto"/>
              <w:right w:val="single" w:sz="4" w:space="0" w:color="auto"/>
            </w:tcBorders>
            <w:shd w:val="clear" w:color="auto" w:fill="auto"/>
            <w:vAlign w:val="center"/>
          </w:tcPr>
          <w:p w:rsidR="00575790" w:rsidRPr="005403C8" w:rsidRDefault="00FD3823" w:rsidP="007621AA">
            <w:pPr>
              <w:keepNext/>
              <w:jc w:val="center"/>
              <w:rPr>
                <w:rFonts w:ascii="Times New Roman" w:hAnsi="Times New Roman"/>
                <w:color w:val="000000"/>
                <w:sz w:val="12"/>
                <w:szCs w:val="12"/>
              </w:rPr>
            </w:pPr>
            <w:r>
              <w:rPr>
                <w:rFonts w:ascii="Times New Roman" w:hAnsi="Times New Roman"/>
                <w:color w:val="000000"/>
                <w:sz w:val="12"/>
                <w:szCs w:val="12"/>
              </w:rPr>
              <w:t>$10,666.67</w:t>
            </w:r>
          </w:p>
        </w:tc>
        <w:tc>
          <w:tcPr>
            <w:tcW w:w="900" w:type="dxa"/>
            <w:tcBorders>
              <w:top w:val="single" w:sz="4" w:space="0" w:color="auto"/>
              <w:left w:val="nil"/>
              <w:bottom w:val="single" w:sz="4" w:space="0" w:color="auto"/>
              <w:right w:val="single" w:sz="4" w:space="0" w:color="auto"/>
            </w:tcBorders>
            <w:shd w:val="clear" w:color="auto" w:fill="auto"/>
            <w:vAlign w:val="center"/>
          </w:tcPr>
          <w:p w:rsidR="00575790" w:rsidRPr="005403C8" w:rsidRDefault="00FD3823"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$0.00</w:t>
            </w:r>
          </w:p>
        </w:tc>
        <w:tc>
          <w:tcPr>
            <w:tcW w:w="920" w:type="dxa"/>
            <w:tcBorders>
              <w:top w:val="single" w:sz="4" w:space="0" w:color="auto"/>
              <w:left w:val="nil"/>
              <w:bottom w:val="single" w:sz="4" w:space="0" w:color="auto"/>
              <w:right w:val="single" w:sz="4" w:space="0" w:color="auto"/>
            </w:tcBorders>
            <w:shd w:val="clear" w:color="auto" w:fill="auto"/>
            <w:vAlign w:val="center"/>
          </w:tcPr>
          <w:p w:rsidR="00575790" w:rsidRPr="005403C8" w:rsidRDefault="00FD3823" w:rsidP="007621AA">
            <w:pPr>
              <w:keepNext/>
              <w:jc w:val="center"/>
              <w:rPr>
                <w:rFonts w:ascii="Times New Roman" w:hAnsi="Times New Roman"/>
                <w:color w:val="000000"/>
                <w:sz w:val="12"/>
                <w:szCs w:val="12"/>
              </w:rPr>
            </w:pPr>
            <w:r>
              <w:rPr>
                <w:rFonts w:ascii="Times New Roman" w:hAnsi="Times New Roman"/>
                <w:color w:val="000000"/>
                <w:sz w:val="12"/>
                <w:szCs w:val="12"/>
              </w:rPr>
              <w:t>$10,666.67</w:t>
            </w:r>
          </w:p>
        </w:tc>
        <w:tc>
          <w:tcPr>
            <w:tcW w:w="940" w:type="dxa"/>
            <w:tcBorders>
              <w:top w:val="single" w:sz="4" w:space="0" w:color="auto"/>
              <w:left w:val="nil"/>
              <w:bottom w:val="single" w:sz="4" w:space="0" w:color="auto"/>
              <w:right w:val="single" w:sz="4" w:space="0" w:color="auto"/>
            </w:tcBorders>
            <w:shd w:val="clear" w:color="auto" w:fill="auto"/>
            <w:vAlign w:val="center"/>
          </w:tcPr>
          <w:p w:rsidR="00575790" w:rsidRPr="005403C8" w:rsidRDefault="00FD3823" w:rsidP="007621AA">
            <w:pPr>
              <w:keepNext/>
              <w:jc w:val="center"/>
              <w:rPr>
                <w:rFonts w:ascii="Times New Roman" w:hAnsi="Times New Roman"/>
                <w:color w:val="000000"/>
                <w:sz w:val="12"/>
                <w:szCs w:val="12"/>
              </w:rPr>
            </w:pPr>
            <w:r>
              <w:rPr>
                <w:rFonts w:ascii="Times New Roman" w:hAnsi="Times New Roman"/>
                <w:color w:val="000000"/>
                <w:sz w:val="12"/>
                <w:szCs w:val="12"/>
              </w:rPr>
              <w:t>$10,666.67</w:t>
            </w:r>
          </w:p>
        </w:tc>
        <w:tc>
          <w:tcPr>
            <w:tcW w:w="1060" w:type="dxa"/>
            <w:tcBorders>
              <w:top w:val="single" w:sz="4" w:space="0" w:color="auto"/>
              <w:left w:val="nil"/>
              <w:bottom w:val="single" w:sz="4" w:space="0" w:color="auto"/>
              <w:right w:val="single" w:sz="4" w:space="0" w:color="auto"/>
            </w:tcBorders>
            <w:shd w:val="clear" w:color="auto" w:fill="auto"/>
            <w:vAlign w:val="center"/>
          </w:tcPr>
          <w:p w:rsidR="00575790" w:rsidRPr="005403C8" w:rsidRDefault="00FD3823" w:rsidP="007621AA">
            <w:pPr>
              <w:keepNext/>
              <w:jc w:val="center"/>
              <w:rPr>
                <w:rFonts w:ascii="Times New Roman" w:hAnsi="Times New Roman"/>
                <w:color w:val="000000"/>
                <w:sz w:val="12"/>
                <w:szCs w:val="12"/>
              </w:rPr>
            </w:pPr>
            <w:r w:rsidRPr="00FD3823">
              <w:rPr>
                <w:rFonts w:ascii="Times New Roman" w:hAnsi="Times New Roman"/>
                <w:color w:val="000000"/>
                <w:sz w:val="12"/>
                <w:szCs w:val="12"/>
              </w:rPr>
              <w:t>$2,080,000.00</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5790" w:rsidRDefault="00FD3823" w:rsidP="007621AA">
            <w:pPr>
              <w:keepNext/>
              <w:jc w:val="center"/>
              <w:rPr>
                <w:rFonts w:ascii="Times New Roman" w:hAnsi="Times New Roman"/>
                <w:color w:val="000000"/>
                <w:sz w:val="12"/>
                <w:szCs w:val="12"/>
              </w:rPr>
            </w:pPr>
            <w:r>
              <w:rPr>
                <w:rFonts w:ascii="Times New Roman" w:hAnsi="Times New Roman"/>
                <w:color w:val="000000"/>
                <w:sz w:val="12"/>
                <w:szCs w:val="12"/>
              </w:rPr>
              <w:t>0</w:t>
            </w:r>
          </w:p>
        </w:tc>
      </w:tr>
      <w:tr w:rsidR="00575790" w:rsidRPr="005403C8" w:rsidTr="00575790">
        <w:trPr>
          <w:trHeight w:val="1424"/>
          <w:jc w:val="center"/>
        </w:trPr>
        <w:tc>
          <w:tcPr>
            <w:tcW w:w="956" w:type="dxa"/>
            <w:tcBorders>
              <w:top w:val="single" w:sz="4" w:space="0" w:color="auto"/>
              <w:left w:val="single" w:sz="8" w:space="0" w:color="auto"/>
              <w:right w:val="single" w:sz="4" w:space="0" w:color="auto"/>
            </w:tcBorders>
            <w:shd w:val="clear" w:color="auto" w:fill="auto"/>
            <w:vAlign w:val="center"/>
          </w:tcPr>
          <w:p w:rsidR="00575790" w:rsidRPr="005403C8" w:rsidRDefault="00575790" w:rsidP="00DD4E4B">
            <w:pPr>
              <w:keepNext/>
              <w:jc w:val="center"/>
              <w:rPr>
                <w:rFonts w:ascii="Times New Roman" w:hAnsi="Times New Roman"/>
                <w:color w:val="000000"/>
                <w:sz w:val="12"/>
                <w:szCs w:val="12"/>
              </w:rPr>
            </w:pPr>
            <w:r w:rsidRPr="00575790">
              <w:rPr>
                <w:rFonts w:ascii="Times New Roman" w:hAnsi="Times New Roman"/>
                <w:color w:val="000000"/>
                <w:sz w:val="12"/>
                <w:szCs w:val="12"/>
              </w:rPr>
              <w:t xml:space="preserve">Customer-Specific Disclosure on Routing of Held Orders, Exempt Not Held Orders, and Options Contracts </w:t>
            </w:r>
            <w:r>
              <w:rPr>
                <w:rFonts w:ascii="Times New Roman" w:hAnsi="Times New Roman"/>
                <w:color w:val="000000"/>
                <w:sz w:val="12"/>
                <w:szCs w:val="12"/>
              </w:rPr>
              <w:t xml:space="preserve">–Rule </w:t>
            </w:r>
            <w:r w:rsidRPr="005403C8">
              <w:rPr>
                <w:rFonts w:ascii="Times New Roman" w:hAnsi="Times New Roman"/>
                <w:bCs/>
                <w:color w:val="000000"/>
                <w:sz w:val="12"/>
                <w:szCs w:val="12"/>
              </w:rPr>
              <w:t>606(b)(1)</w:t>
            </w:r>
          </w:p>
        </w:tc>
        <w:tc>
          <w:tcPr>
            <w:tcW w:w="1288" w:type="dxa"/>
            <w:tcBorders>
              <w:top w:val="single" w:sz="4" w:space="0" w:color="auto"/>
              <w:left w:val="nil"/>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Recordkeeping/Third party disclosure – New information collection</w:t>
            </w:r>
          </w:p>
        </w:tc>
        <w:tc>
          <w:tcPr>
            <w:tcW w:w="1008" w:type="dxa"/>
            <w:vMerge w:val="restart"/>
            <w:tcBorders>
              <w:top w:val="single" w:sz="4" w:space="0" w:color="auto"/>
              <w:left w:val="nil"/>
              <w:right w:val="single" w:sz="4" w:space="0" w:color="auto"/>
            </w:tcBorders>
            <w:vAlign w:val="center"/>
          </w:tcPr>
          <w:p w:rsidR="00575790" w:rsidRPr="005403C8" w:rsidRDefault="00575790" w:rsidP="00150237">
            <w:pPr>
              <w:keepNext/>
              <w:jc w:val="center"/>
              <w:rPr>
                <w:rFonts w:ascii="Times New Roman" w:hAnsi="Times New Roman"/>
                <w:color w:val="000000"/>
                <w:sz w:val="12"/>
                <w:szCs w:val="12"/>
              </w:rPr>
            </w:pPr>
            <w:r w:rsidRPr="005403C8">
              <w:rPr>
                <w:rFonts w:ascii="Times New Roman" w:hAnsi="Times New Roman"/>
                <w:color w:val="000000"/>
                <w:sz w:val="12"/>
                <w:szCs w:val="12"/>
              </w:rPr>
              <w:t>Engage third party to update data capture systems and create reports</w:t>
            </w:r>
          </w:p>
        </w:tc>
        <w:tc>
          <w:tcPr>
            <w:tcW w:w="1008" w:type="dxa"/>
            <w:tcBorders>
              <w:top w:val="single" w:sz="4" w:space="0" w:color="auto"/>
              <w:left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r>
              <w:rPr>
                <w:rFonts w:ascii="Times New Roman" w:hAnsi="Times New Roman"/>
                <w:color w:val="000000"/>
                <w:sz w:val="12"/>
                <w:szCs w:val="12"/>
              </w:rPr>
              <w:t>195</w:t>
            </w:r>
          </w:p>
        </w:tc>
        <w:tc>
          <w:tcPr>
            <w:tcW w:w="820" w:type="dxa"/>
            <w:tcBorders>
              <w:top w:val="single" w:sz="4" w:space="0" w:color="auto"/>
              <w:left w:val="nil"/>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1</w:t>
            </w:r>
          </w:p>
        </w:tc>
        <w:tc>
          <w:tcPr>
            <w:tcW w:w="840" w:type="dxa"/>
            <w:tcBorders>
              <w:top w:val="single" w:sz="4" w:space="0" w:color="auto"/>
              <w:left w:val="nil"/>
              <w:right w:val="single" w:sz="4" w:space="0" w:color="auto"/>
            </w:tcBorders>
            <w:shd w:val="clear" w:color="auto" w:fill="auto"/>
            <w:vAlign w:val="center"/>
          </w:tcPr>
          <w:p w:rsidR="00575790" w:rsidRPr="005403C8" w:rsidRDefault="00FD3823" w:rsidP="007621AA">
            <w:pPr>
              <w:keepNext/>
              <w:jc w:val="center"/>
              <w:rPr>
                <w:rFonts w:ascii="Times New Roman" w:hAnsi="Times New Roman"/>
                <w:color w:val="000000"/>
                <w:sz w:val="12"/>
                <w:szCs w:val="12"/>
              </w:rPr>
            </w:pPr>
            <w:r>
              <w:rPr>
                <w:rFonts w:ascii="Times New Roman" w:hAnsi="Times New Roman"/>
                <w:color w:val="000000"/>
                <w:sz w:val="12"/>
                <w:szCs w:val="12"/>
              </w:rPr>
              <w:t>$5,000.00</w:t>
            </w:r>
          </w:p>
        </w:tc>
        <w:tc>
          <w:tcPr>
            <w:tcW w:w="1000" w:type="dxa"/>
            <w:tcBorders>
              <w:top w:val="single" w:sz="4" w:space="0" w:color="auto"/>
              <w:left w:val="nil"/>
              <w:right w:val="single" w:sz="4" w:space="0" w:color="auto"/>
            </w:tcBorders>
            <w:shd w:val="clear" w:color="auto" w:fill="auto"/>
            <w:vAlign w:val="center"/>
          </w:tcPr>
          <w:p w:rsidR="00575790" w:rsidRPr="005403C8" w:rsidRDefault="00FD3823" w:rsidP="007621AA">
            <w:pPr>
              <w:keepNext/>
              <w:jc w:val="center"/>
              <w:rPr>
                <w:rFonts w:ascii="Times New Roman" w:hAnsi="Times New Roman"/>
                <w:color w:val="000000"/>
                <w:sz w:val="12"/>
                <w:szCs w:val="12"/>
              </w:rPr>
            </w:pPr>
            <w:r>
              <w:rPr>
                <w:rFonts w:ascii="Times New Roman" w:hAnsi="Times New Roman"/>
                <w:color w:val="000000"/>
                <w:sz w:val="12"/>
                <w:szCs w:val="12"/>
              </w:rPr>
              <w:t>$1,666.67</w:t>
            </w:r>
          </w:p>
        </w:tc>
        <w:tc>
          <w:tcPr>
            <w:tcW w:w="900" w:type="dxa"/>
            <w:tcBorders>
              <w:top w:val="single" w:sz="4" w:space="0" w:color="auto"/>
              <w:left w:val="nil"/>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r w:rsidRPr="005403C8">
              <w:rPr>
                <w:rFonts w:ascii="Times New Roman" w:hAnsi="Times New Roman"/>
                <w:color w:val="000000"/>
                <w:sz w:val="12"/>
                <w:szCs w:val="12"/>
              </w:rPr>
              <w:t>$0.00</w:t>
            </w:r>
          </w:p>
        </w:tc>
        <w:tc>
          <w:tcPr>
            <w:tcW w:w="920" w:type="dxa"/>
            <w:tcBorders>
              <w:top w:val="single" w:sz="4" w:space="0" w:color="auto"/>
              <w:left w:val="nil"/>
              <w:right w:val="single" w:sz="4" w:space="0" w:color="auto"/>
            </w:tcBorders>
            <w:shd w:val="clear" w:color="auto" w:fill="auto"/>
            <w:vAlign w:val="center"/>
          </w:tcPr>
          <w:p w:rsidR="00575790" w:rsidRPr="005403C8" w:rsidRDefault="00FD3823" w:rsidP="007621AA">
            <w:pPr>
              <w:keepNext/>
              <w:jc w:val="center"/>
              <w:rPr>
                <w:rFonts w:ascii="Times New Roman" w:hAnsi="Times New Roman"/>
                <w:color w:val="000000"/>
                <w:sz w:val="12"/>
                <w:szCs w:val="12"/>
              </w:rPr>
            </w:pPr>
            <w:r>
              <w:rPr>
                <w:rFonts w:ascii="Times New Roman" w:hAnsi="Times New Roman"/>
                <w:color w:val="000000"/>
                <w:sz w:val="12"/>
                <w:szCs w:val="12"/>
              </w:rPr>
              <w:t>$1,666.67</w:t>
            </w:r>
          </w:p>
        </w:tc>
        <w:tc>
          <w:tcPr>
            <w:tcW w:w="940" w:type="dxa"/>
            <w:tcBorders>
              <w:top w:val="single" w:sz="4" w:space="0" w:color="auto"/>
              <w:left w:val="nil"/>
              <w:right w:val="single" w:sz="4" w:space="0" w:color="auto"/>
            </w:tcBorders>
            <w:shd w:val="clear" w:color="auto" w:fill="auto"/>
            <w:vAlign w:val="center"/>
          </w:tcPr>
          <w:p w:rsidR="00575790" w:rsidRPr="005403C8" w:rsidRDefault="00FD3823" w:rsidP="007621AA">
            <w:pPr>
              <w:keepNext/>
              <w:jc w:val="center"/>
              <w:rPr>
                <w:rFonts w:ascii="Times New Roman" w:hAnsi="Times New Roman"/>
                <w:color w:val="000000"/>
                <w:sz w:val="12"/>
                <w:szCs w:val="12"/>
              </w:rPr>
            </w:pPr>
            <w:r>
              <w:rPr>
                <w:rFonts w:ascii="Times New Roman" w:hAnsi="Times New Roman"/>
                <w:color w:val="000000"/>
                <w:sz w:val="12"/>
                <w:szCs w:val="12"/>
              </w:rPr>
              <w:t>$1,666.67</w:t>
            </w:r>
          </w:p>
        </w:tc>
        <w:tc>
          <w:tcPr>
            <w:tcW w:w="1060" w:type="dxa"/>
            <w:tcBorders>
              <w:top w:val="single" w:sz="4" w:space="0" w:color="auto"/>
              <w:left w:val="nil"/>
              <w:right w:val="single" w:sz="4" w:space="0" w:color="auto"/>
            </w:tcBorders>
            <w:shd w:val="clear" w:color="auto" w:fill="auto"/>
            <w:vAlign w:val="center"/>
          </w:tcPr>
          <w:p w:rsidR="00575790" w:rsidRPr="005403C8" w:rsidRDefault="00FD3823" w:rsidP="007621AA">
            <w:pPr>
              <w:keepNext/>
              <w:jc w:val="center"/>
              <w:rPr>
                <w:rFonts w:ascii="Times New Roman" w:hAnsi="Times New Roman"/>
                <w:color w:val="000000"/>
                <w:sz w:val="12"/>
                <w:szCs w:val="12"/>
              </w:rPr>
            </w:pPr>
            <w:r w:rsidRPr="00FD3823">
              <w:rPr>
                <w:rFonts w:ascii="Times New Roman" w:hAnsi="Times New Roman"/>
                <w:color w:val="000000"/>
                <w:sz w:val="12"/>
                <w:szCs w:val="12"/>
              </w:rPr>
              <w:t>$325,000.00</w:t>
            </w:r>
          </w:p>
        </w:tc>
        <w:tc>
          <w:tcPr>
            <w:tcW w:w="760" w:type="dxa"/>
            <w:tcBorders>
              <w:top w:val="single" w:sz="4" w:space="0" w:color="auto"/>
              <w:left w:val="nil"/>
              <w:right w:val="single" w:sz="8" w:space="0" w:color="auto"/>
            </w:tcBorders>
            <w:shd w:val="clear" w:color="auto" w:fill="auto"/>
            <w:noWrap/>
            <w:vAlign w:val="center"/>
          </w:tcPr>
          <w:p w:rsidR="00575790" w:rsidRPr="005403C8" w:rsidRDefault="00FD3823" w:rsidP="007621AA">
            <w:pPr>
              <w:keepNext/>
              <w:jc w:val="center"/>
              <w:rPr>
                <w:rFonts w:ascii="Times New Roman" w:hAnsi="Times New Roman"/>
                <w:color w:val="000000"/>
                <w:sz w:val="12"/>
                <w:szCs w:val="12"/>
              </w:rPr>
            </w:pPr>
            <w:r>
              <w:rPr>
                <w:rFonts w:ascii="Times New Roman" w:hAnsi="Times New Roman"/>
                <w:color w:val="000000"/>
                <w:sz w:val="12"/>
                <w:szCs w:val="12"/>
              </w:rPr>
              <w:t>0</w:t>
            </w:r>
          </w:p>
        </w:tc>
      </w:tr>
      <w:tr w:rsidR="00575790" w:rsidRPr="005403C8" w:rsidTr="00EF309D">
        <w:trPr>
          <w:trHeight w:val="417"/>
          <w:jc w:val="center"/>
        </w:trPr>
        <w:tc>
          <w:tcPr>
            <w:tcW w:w="956" w:type="dxa"/>
            <w:tcBorders>
              <w:left w:val="single" w:sz="8" w:space="0" w:color="auto"/>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p>
        </w:tc>
        <w:tc>
          <w:tcPr>
            <w:tcW w:w="1288" w:type="dxa"/>
            <w:tcBorders>
              <w:left w:val="nil"/>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p>
        </w:tc>
        <w:tc>
          <w:tcPr>
            <w:tcW w:w="1008" w:type="dxa"/>
            <w:vMerge/>
            <w:tcBorders>
              <w:left w:val="nil"/>
              <w:bottom w:val="single" w:sz="6" w:space="0" w:color="auto"/>
              <w:right w:val="single" w:sz="4" w:space="0" w:color="auto"/>
            </w:tcBorders>
            <w:vAlign w:val="center"/>
          </w:tcPr>
          <w:p w:rsidR="00575790" w:rsidRPr="005403C8" w:rsidRDefault="00575790" w:rsidP="00150237">
            <w:pPr>
              <w:keepNext/>
              <w:jc w:val="center"/>
              <w:rPr>
                <w:rFonts w:ascii="Times New Roman" w:hAnsi="Times New Roman"/>
                <w:color w:val="000000"/>
                <w:sz w:val="12"/>
                <w:szCs w:val="12"/>
              </w:rPr>
            </w:pPr>
          </w:p>
        </w:tc>
        <w:tc>
          <w:tcPr>
            <w:tcW w:w="1008" w:type="dxa"/>
            <w:tcBorders>
              <w:top w:val="nil"/>
              <w:left w:val="single" w:sz="4" w:space="0" w:color="auto"/>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p>
        </w:tc>
        <w:tc>
          <w:tcPr>
            <w:tcW w:w="820" w:type="dxa"/>
            <w:tcBorders>
              <w:top w:val="nil"/>
              <w:left w:val="nil"/>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p>
        </w:tc>
        <w:tc>
          <w:tcPr>
            <w:tcW w:w="840" w:type="dxa"/>
            <w:tcBorders>
              <w:top w:val="nil"/>
              <w:left w:val="nil"/>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p>
        </w:tc>
        <w:tc>
          <w:tcPr>
            <w:tcW w:w="1000" w:type="dxa"/>
            <w:tcBorders>
              <w:top w:val="nil"/>
              <w:left w:val="nil"/>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p>
        </w:tc>
        <w:tc>
          <w:tcPr>
            <w:tcW w:w="900" w:type="dxa"/>
            <w:tcBorders>
              <w:top w:val="nil"/>
              <w:left w:val="nil"/>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p>
        </w:tc>
        <w:tc>
          <w:tcPr>
            <w:tcW w:w="920" w:type="dxa"/>
            <w:tcBorders>
              <w:top w:val="nil"/>
              <w:left w:val="nil"/>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p>
        </w:tc>
        <w:tc>
          <w:tcPr>
            <w:tcW w:w="940" w:type="dxa"/>
            <w:tcBorders>
              <w:top w:val="nil"/>
              <w:left w:val="nil"/>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p>
        </w:tc>
        <w:tc>
          <w:tcPr>
            <w:tcW w:w="1060" w:type="dxa"/>
            <w:tcBorders>
              <w:top w:val="nil"/>
              <w:left w:val="nil"/>
              <w:bottom w:val="single" w:sz="4" w:space="0" w:color="auto"/>
              <w:right w:val="single" w:sz="4" w:space="0" w:color="auto"/>
            </w:tcBorders>
            <w:shd w:val="clear" w:color="auto" w:fill="auto"/>
            <w:vAlign w:val="center"/>
          </w:tcPr>
          <w:p w:rsidR="00575790" w:rsidRPr="005403C8" w:rsidRDefault="00575790" w:rsidP="007621AA">
            <w:pPr>
              <w:keepNext/>
              <w:jc w:val="center"/>
              <w:rPr>
                <w:rFonts w:ascii="Times New Roman" w:hAnsi="Times New Roman"/>
                <w:color w:val="000000"/>
                <w:sz w:val="12"/>
                <w:szCs w:val="12"/>
              </w:rPr>
            </w:pPr>
          </w:p>
        </w:tc>
        <w:tc>
          <w:tcPr>
            <w:tcW w:w="760" w:type="dxa"/>
            <w:tcBorders>
              <w:top w:val="nil"/>
              <w:left w:val="nil"/>
              <w:bottom w:val="single" w:sz="4" w:space="0" w:color="auto"/>
              <w:right w:val="single" w:sz="8" w:space="0" w:color="auto"/>
            </w:tcBorders>
            <w:shd w:val="clear" w:color="auto" w:fill="auto"/>
            <w:noWrap/>
            <w:vAlign w:val="center"/>
          </w:tcPr>
          <w:p w:rsidR="00575790" w:rsidRDefault="00575790" w:rsidP="007621AA">
            <w:pPr>
              <w:keepNext/>
              <w:jc w:val="center"/>
              <w:rPr>
                <w:rFonts w:ascii="Times New Roman" w:hAnsi="Times New Roman"/>
                <w:color w:val="000000"/>
                <w:sz w:val="12"/>
                <w:szCs w:val="12"/>
              </w:rPr>
            </w:pPr>
          </w:p>
        </w:tc>
      </w:tr>
      <w:tr w:rsidR="00BE31EA" w:rsidRPr="005403C8" w:rsidTr="00FE4104">
        <w:trPr>
          <w:trHeight w:val="315"/>
          <w:jc w:val="center"/>
        </w:trPr>
        <w:tc>
          <w:tcPr>
            <w:tcW w:w="9680" w:type="dxa"/>
            <w:gridSpan w:val="10"/>
            <w:tcBorders>
              <w:top w:val="single" w:sz="4" w:space="0" w:color="auto"/>
              <w:left w:val="single" w:sz="8" w:space="0" w:color="auto"/>
              <w:bottom w:val="single" w:sz="8" w:space="0" w:color="auto"/>
              <w:right w:val="single" w:sz="4" w:space="0" w:color="auto"/>
            </w:tcBorders>
            <w:vAlign w:val="center"/>
          </w:tcPr>
          <w:p w:rsidR="00BE31EA" w:rsidRPr="005403C8" w:rsidRDefault="00FE4104" w:rsidP="00FE4104">
            <w:pPr>
              <w:keepNext/>
              <w:jc w:val="right"/>
              <w:rPr>
                <w:rFonts w:ascii="Times New Roman" w:hAnsi="Times New Roman"/>
                <w:b/>
                <w:bCs/>
                <w:color w:val="000000"/>
                <w:sz w:val="12"/>
                <w:szCs w:val="12"/>
              </w:rPr>
            </w:pPr>
            <w:r w:rsidRPr="005403C8">
              <w:rPr>
                <w:rFonts w:ascii="Times New Roman" w:hAnsi="Times New Roman"/>
                <w:b/>
                <w:bCs/>
                <w:color w:val="000000"/>
                <w:szCs w:val="20"/>
              </w:rPr>
              <w:t>TOTAL</w:t>
            </w:r>
            <w:r w:rsidRPr="005403C8">
              <w:rPr>
                <w:rFonts w:ascii="Times New Roman" w:hAnsi="Times New Roman"/>
                <w:b/>
                <w:bCs/>
                <w:color w:val="000000"/>
                <w:sz w:val="12"/>
                <w:szCs w:val="12"/>
              </w:rPr>
              <w:t>:</w:t>
            </w:r>
          </w:p>
        </w:tc>
        <w:tc>
          <w:tcPr>
            <w:tcW w:w="1060" w:type="dxa"/>
            <w:tcBorders>
              <w:top w:val="nil"/>
              <w:left w:val="nil"/>
              <w:bottom w:val="single" w:sz="8" w:space="0" w:color="auto"/>
              <w:right w:val="single" w:sz="4" w:space="0" w:color="auto"/>
            </w:tcBorders>
            <w:shd w:val="clear" w:color="auto" w:fill="auto"/>
            <w:vAlign w:val="center"/>
            <w:hideMark/>
          </w:tcPr>
          <w:p w:rsidR="00BE31EA" w:rsidRPr="005403C8" w:rsidRDefault="00FD3823" w:rsidP="007621AA">
            <w:pPr>
              <w:keepNext/>
              <w:jc w:val="right"/>
              <w:rPr>
                <w:rFonts w:ascii="Times New Roman" w:hAnsi="Times New Roman"/>
                <w:b/>
                <w:bCs/>
                <w:color w:val="000000"/>
                <w:sz w:val="12"/>
                <w:szCs w:val="12"/>
              </w:rPr>
            </w:pPr>
            <w:r w:rsidRPr="00FD3823">
              <w:rPr>
                <w:rFonts w:ascii="Times New Roman" w:hAnsi="Times New Roman"/>
                <w:b/>
                <w:bCs/>
                <w:color w:val="000000"/>
                <w:sz w:val="12"/>
                <w:szCs w:val="12"/>
              </w:rPr>
              <w:t>$5,591,666.67</w:t>
            </w:r>
          </w:p>
        </w:tc>
        <w:tc>
          <w:tcPr>
            <w:tcW w:w="760" w:type="dxa"/>
            <w:tcBorders>
              <w:top w:val="nil"/>
              <w:left w:val="nil"/>
              <w:bottom w:val="single" w:sz="8" w:space="0" w:color="auto"/>
              <w:right w:val="single" w:sz="8" w:space="0" w:color="auto"/>
            </w:tcBorders>
            <w:shd w:val="clear" w:color="auto" w:fill="auto"/>
            <w:vAlign w:val="center"/>
            <w:hideMark/>
          </w:tcPr>
          <w:p w:rsidR="00BE31EA" w:rsidRPr="005403C8" w:rsidRDefault="00BE31EA" w:rsidP="007621AA">
            <w:pPr>
              <w:keepNext/>
              <w:jc w:val="right"/>
              <w:rPr>
                <w:rFonts w:ascii="Times New Roman" w:hAnsi="Times New Roman"/>
                <w:b/>
                <w:bCs/>
                <w:color w:val="000000"/>
                <w:sz w:val="12"/>
                <w:szCs w:val="12"/>
              </w:rPr>
            </w:pPr>
            <w:r w:rsidRPr="005403C8">
              <w:rPr>
                <w:rFonts w:ascii="Times New Roman" w:hAnsi="Times New Roman"/>
                <w:b/>
                <w:bCs/>
                <w:color w:val="000000"/>
                <w:sz w:val="12"/>
                <w:szCs w:val="12"/>
              </w:rPr>
              <w:t> </w:t>
            </w:r>
          </w:p>
        </w:tc>
      </w:tr>
    </w:tbl>
    <w:p w:rsidR="005768EB" w:rsidRPr="005403C8" w:rsidRDefault="005768EB">
      <w:pPr>
        <w:rPr>
          <w:rFonts w:ascii="Times New Roman" w:hAnsi="Times New Roman"/>
          <w:sz w:val="24"/>
        </w:rPr>
      </w:pPr>
    </w:p>
    <w:p w:rsidR="005768EB" w:rsidRPr="005403C8" w:rsidRDefault="005768EB">
      <w:pPr>
        <w:tabs>
          <w:tab w:val="left" w:pos="-1440"/>
        </w:tabs>
        <w:ind w:left="720" w:hanging="720"/>
        <w:rPr>
          <w:rFonts w:ascii="Times New Roman" w:hAnsi="Times New Roman"/>
          <w:sz w:val="24"/>
        </w:rPr>
      </w:pPr>
      <w:r w:rsidRPr="005403C8">
        <w:rPr>
          <w:rFonts w:ascii="Times New Roman" w:hAnsi="Times New Roman"/>
          <w:sz w:val="24"/>
        </w:rPr>
        <w:tab/>
        <w:t>14.</w:t>
      </w:r>
      <w:r w:rsidRPr="005403C8">
        <w:rPr>
          <w:rFonts w:ascii="Times New Roman" w:hAnsi="Times New Roman"/>
          <w:sz w:val="24"/>
        </w:rPr>
        <w:tab/>
      </w:r>
      <w:r w:rsidRPr="005403C8">
        <w:rPr>
          <w:rStyle w:val="Heading2Char"/>
          <w:rFonts w:ascii="Times New Roman" w:hAnsi="Times New Roman"/>
          <w:u w:val="single"/>
        </w:rPr>
        <w:t>Cost</w:t>
      </w:r>
      <w:r w:rsidR="008F4918" w:rsidRPr="005403C8">
        <w:rPr>
          <w:rStyle w:val="Heading2Char"/>
          <w:rFonts w:ascii="Times New Roman" w:hAnsi="Times New Roman"/>
          <w:u w:val="single"/>
        </w:rPr>
        <w:t>s</w:t>
      </w:r>
      <w:r w:rsidRPr="005403C8">
        <w:rPr>
          <w:rStyle w:val="Heading2Char"/>
          <w:rFonts w:ascii="Times New Roman" w:hAnsi="Times New Roman"/>
          <w:u w:val="single"/>
        </w:rPr>
        <w:t xml:space="preserve"> to Federal Government</w:t>
      </w:r>
    </w:p>
    <w:p w:rsidR="005768EB" w:rsidRPr="005403C8" w:rsidRDefault="005768EB">
      <w:pPr>
        <w:rPr>
          <w:rFonts w:ascii="Times New Roman" w:hAnsi="Times New Roman"/>
          <w:sz w:val="24"/>
        </w:rPr>
      </w:pPr>
    </w:p>
    <w:p w:rsidR="005768EB" w:rsidRPr="005403C8" w:rsidRDefault="005768EB">
      <w:pPr>
        <w:ind w:firstLine="720"/>
        <w:rPr>
          <w:rFonts w:ascii="Times New Roman" w:hAnsi="Times New Roman"/>
          <w:sz w:val="24"/>
        </w:rPr>
      </w:pPr>
      <w:r w:rsidRPr="005403C8">
        <w:rPr>
          <w:rFonts w:ascii="Times New Roman" w:hAnsi="Times New Roman"/>
          <w:sz w:val="24"/>
        </w:rPr>
        <w:t>Not applicable.</w:t>
      </w:r>
    </w:p>
    <w:p w:rsidR="005768EB" w:rsidRPr="005403C8" w:rsidRDefault="005768EB">
      <w:pPr>
        <w:rPr>
          <w:rFonts w:ascii="Times New Roman" w:hAnsi="Times New Roman"/>
          <w:sz w:val="24"/>
        </w:rPr>
      </w:pPr>
    </w:p>
    <w:p w:rsidR="005768EB" w:rsidRPr="005403C8" w:rsidRDefault="005768EB">
      <w:pPr>
        <w:tabs>
          <w:tab w:val="left" w:pos="-1440"/>
        </w:tabs>
        <w:ind w:left="720" w:hanging="720"/>
        <w:rPr>
          <w:rFonts w:ascii="Times New Roman" w:hAnsi="Times New Roman"/>
          <w:sz w:val="24"/>
          <w:u w:val="single"/>
        </w:rPr>
      </w:pPr>
      <w:r w:rsidRPr="005403C8">
        <w:rPr>
          <w:rFonts w:ascii="Times New Roman" w:hAnsi="Times New Roman"/>
          <w:sz w:val="24"/>
        </w:rPr>
        <w:tab/>
        <w:t>15.</w:t>
      </w:r>
      <w:r w:rsidRPr="005403C8">
        <w:rPr>
          <w:rFonts w:ascii="Times New Roman" w:hAnsi="Times New Roman"/>
          <w:sz w:val="24"/>
        </w:rPr>
        <w:tab/>
      </w:r>
      <w:r w:rsidRPr="005403C8">
        <w:rPr>
          <w:rStyle w:val="Heading2Char"/>
          <w:rFonts w:ascii="Times New Roman" w:hAnsi="Times New Roman"/>
          <w:u w:val="single"/>
        </w:rPr>
        <w:t>Changes in Burden</w:t>
      </w:r>
    </w:p>
    <w:p w:rsidR="005768EB" w:rsidRPr="005403C8" w:rsidRDefault="005768EB">
      <w:pPr>
        <w:rPr>
          <w:rFonts w:ascii="Times New Roman" w:hAnsi="Times New Roman"/>
          <w:sz w:val="24"/>
        </w:rPr>
      </w:pPr>
    </w:p>
    <w:p w:rsidR="007621AA" w:rsidRDefault="008F4918" w:rsidP="00122F14">
      <w:pPr>
        <w:rPr>
          <w:rFonts w:ascii="Times New Roman" w:hAnsi="Times New Roman"/>
          <w:sz w:val="24"/>
        </w:rPr>
      </w:pPr>
      <w:r w:rsidRPr="005403C8">
        <w:rPr>
          <w:rFonts w:ascii="Times New Roman" w:hAnsi="Times New Roman"/>
          <w:sz w:val="24"/>
        </w:rPr>
        <w:tab/>
      </w:r>
      <w:r w:rsidR="00CC52B1">
        <w:rPr>
          <w:rFonts w:ascii="Times New Roman" w:hAnsi="Times New Roman"/>
          <w:sz w:val="24"/>
        </w:rPr>
        <w:t>As discussed above, t</w:t>
      </w:r>
      <w:r w:rsidR="0019241B" w:rsidRPr="005403C8">
        <w:rPr>
          <w:rFonts w:ascii="Times New Roman" w:hAnsi="Times New Roman"/>
          <w:sz w:val="24"/>
        </w:rPr>
        <w:t xml:space="preserve">he total annual hourly and cost burden </w:t>
      </w:r>
      <w:r w:rsidR="007863C8">
        <w:rPr>
          <w:rFonts w:ascii="Times New Roman" w:hAnsi="Times New Roman"/>
          <w:sz w:val="24"/>
        </w:rPr>
        <w:t>have</w:t>
      </w:r>
      <w:r w:rsidR="0019241B" w:rsidRPr="005403C8">
        <w:rPr>
          <w:rFonts w:ascii="Times New Roman" w:hAnsi="Times New Roman"/>
          <w:sz w:val="24"/>
        </w:rPr>
        <w:t xml:space="preserve"> increase</w:t>
      </w:r>
      <w:r w:rsidR="007863C8">
        <w:rPr>
          <w:rFonts w:ascii="Times New Roman" w:hAnsi="Times New Roman"/>
          <w:sz w:val="24"/>
        </w:rPr>
        <w:t>d from the previous version of the Rule</w:t>
      </w:r>
      <w:r w:rsidR="0019241B" w:rsidRPr="005403C8">
        <w:rPr>
          <w:rFonts w:ascii="Times New Roman" w:hAnsi="Times New Roman"/>
          <w:sz w:val="24"/>
        </w:rPr>
        <w:t xml:space="preserve">, as the </w:t>
      </w:r>
      <w:r w:rsidR="007863C8">
        <w:rPr>
          <w:rFonts w:ascii="Times New Roman" w:hAnsi="Times New Roman"/>
          <w:sz w:val="24"/>
        </w:rPr>
        <w:t>adopted</w:t>
      </w:r>
      <w:r w:rsidR="0019241B" w:rsidRPr="005403C8">
        <w:rPr>
          <w:rFonts w:ascii="Times New Roman" w:hAnsi="Times New Roman"/>
          <w:sz w:val="24"/>
        </w:rPr>
        <w:t xml:space="preserve"> amendments are enhancing the current </w:t>
      </w:r>
      <w:r w:rsidR="00925F35">
        <w:rPr>
          <w:rFonts w:ascii="Times New Roman" w:hAnsi="Times New Roman"/>
          <w:sz w:val="24"/>
        </w:rPr>
        <w:t xml:space="preserve">quarterly and customer-specific </w:t>
      </w:r>
      <w:r w:rsidR="0019241B" w:rsidRPr="005403C8">
        <w:rPr>
          <w:rFonts w:ascii="Times New Roman" w:hAnsi="Times New Roman"/>
          <w:sz w:val="24"/>
        </w:rPr>
        <w:t xml:space="preserve">disclosure requirements for order routing </w:t>
      </w:r>
      <w:r w:rsidR="00925F35">
        <w:rPr>
          <w:rFonts w:ascii="Times New Roman" w:hAnsi="Times New Roman"/>
          <w:sz w:val="24"/>
        </w:rPr>
        <w:t xml:space="preserve">under Rule 606(a)(1) and (b)(1), respectively, </w:t>
      </w:r>
      <w:r w:rsidR="0019241B" w:rsidRPr="005403C8">
        <w:rPr>
          <w:rFonts w:ascii="Times New Roman" w:hAnsi="Times New Roman"/>
          <w:sz w:val="24"/>
        </w:rPr>
        <w:t>and adding new requirements for customer-sp</w:t>
      </w:r>
      <w:r w:rsidR="00925F35">
        <w:rPr>
          <w:rFonts w:ascii="Times New Roman" w:hAnsi="Times New Roman"/>
          <w:sz w:val="24"/>
        </w:rPr>
        <w:t>ecific reports</w:t>
      </w:r>
      <w:r w:rsidR="0019241B" w:rsidRPr="005403C8">
        <w:rPr>
          <w:rFonts w:ascii="Times New Roman" w:hAnsi="Times New Roman"/>
          <w:sz w:val="24"/>
        </w:rPr>
        <w:t xml:space="preserve"> </w:t>
      </w:r>
      <w:r w:rsidR="00925F35">
        <w:rPr>
          <w:rFonts w:ascii="Times New Roman" w:hAnsi="Times New Roman"/>
          <w:sz w:val="24"/>
        </w:rPr>
        <w:t xml:space="preserve">on </w:t>
      </w:r>
      <w:r w:rsidR="0019241B" w:rsidRPr="005403C8">
        <w:rPr>
          <w:rFonts w:ascii="Times New Roman" w:hAnsi="Times New Roman"/>
          <w:sz w:val="24"/>
        </w:rPr>
        <w:t xml:space="preserve">order </w:t>
      </w:r>
      <w:r w:rsidR="00925F35">
        <w:rPr>
          <w:rFonts w:ascii="Times New Roman" w:hAnsi="Times New Roman"/>
          <w:sz w:val="24"/>
        </w:rPr>
        <w:t>handling under Rule 606(b)(3)</w:t>
      </w:r>
      <w:r w:rsidR="0019241B" w:rsidRPr="005403C8">
        <w:rPr>
          <w:rFonts w:ascii="Times New Roman" w:hAnsi="Times New Roman"/>
          <w:sz w:val="24"/>
        </w:rPr>
        <w:t>.</w:t>
      </w:r>
      <w:r w:rsidR="00CA75E7">
        <w:rPr>
          <w:rFonts w:ascii="Times New Roman" w:hAnsi="Times New Roman"/>
          <w:sz w:val="24"/>
        </w:rPr>
        <w:t xml:space="preserve">  The burdens for the existing collections for Rule 606(a)(1) and 606(b)(1) are also increasing due an increase in the number of respondents since the most recent renewal: the number of broker-dealers subject to the information collection requirements of Rule 606(a)(1) increased from 266 to 292 and the number of clearing brokers subject to the information collection requirements of Rule 606(b)(1) increased from 185 to 217.</w:t>
      </w:r>
    </w:p>
    <w:p w:rsidR="00C626EA" w:rsidRDefault="00C626EA" w:rsidP="00122F14">
      <w:pPr>
        <w:rPr>
          <w:rFonts w:ascii="Times New Roman" w:hAnsi="Times New Roman"/>
          <w:sz w:val="24"/>
        </w:rPr>
      </w:pPr>
    </w:p>
    <w:tbl>
      <w:tblPr>
        <w:tblStyle w:val="TableGrid"/>
        <w:tblW w:w="9990" w:type="dxa"/>
        <w:tblInd w:w="-522" w:type="dxa"/>
        <w:tblLayout w:type="fixed"/>
        <w:tblLook w:val="04A0" w:firstRow="1" w:lastRow="0" w:firstColumn="1" w:lastColumn="0" w:noHBand="0" w:noVBand="1"/>
      </w:tblPr>
      <w:tblGrid>
        <w:gridCol w:w="1800"/>
        <w:gridCol w:w="900"/>
        <w:gridCol w:w="990"/>
        <w:gridCol w:w="900"/>
        <w:gridCol w:w="900"/>
        <w:gridCol w:w="1080"/>
        <w:gridCol w:w="810"/>
        <w:gridCol w:w="900"/>
        <w:gridCol w:w="810"/>
        <w:gridCol w:w="900"/>
      </w:tblGrid>
      <w:tr w:rsidR="00EC285D" w:rsidTr="0088391E">
        <w:tc>
          <w:tcPr>
            <w:tcW w:w="1800" w:type="dxa"/>
            <w:tcBorders>
              <w:top w:val="nil"/>
              <w:left w:val="nil"/>
              <w:bottom w:val="nil"/>
              <w:right w:val="single" w:sz="12" w:space="0" w:color="000000"/>
            </w:tcBorders>
          </w:tcPr>
          <w:p w:rsidR="00EC285D" w:rsidRPr="00D7038E" w:rsidRDefault="00EC285D" w:rsidP="0088391E">
            <w:pPr>
              <w:rPr>
                <w:rFonts w:ascii="Times New Roman" w:hAnsi="Times New Roman"/>
                <w:sz w:val="12"/>
                <w:szCs w:val="12"/>
              </w:rPr>
            </w:pPr>
          </w:p>
        </w:tc>
        <w:tc>
          <w:tcPr>
            <w:tcW w:w="2790" w:type="dxa"/>
            <w:gridSpan w:val="3"/>
            <w:tcBorders>
              <w:top w:val="single" w:sz="12" w:space="0" w:color="000000"/>
              <w:left w:val="single" w:sz="12" w:space="0" w:color="000000"/>
              <w:bottom w:val="single" w:sz="2" w:space="0" w:color="000000"/>
              <w:right w:val="single" w:sz="12" w:space="0" w:color="000000"/>
            </w:tcBorders>
            <w:shd w:val="clear" w:color="auto" w:fill="A6A6A6" w:themeFill="background1" w:themeFillShade="A6"/>
          </w:tcPr>
          <w:p w:rsidR="00EC285D" w:rsidRPr="00D7038E" w:rsidRDefault="00EC285D" w:rsidP="0088391E">
            <w:pPr>
              <w:jc w:val="center"/>
              <w:rPr>
                <w:rFonts w:ascii="Times New Roman" w:hAnsi="Times New Roman"/>
                <w:b/>
                <w:sz w:val="12"/>
                <w:szCs w:val="12"/>
              </w:rPr>
            </w:pPr>
            <w:r w:rsidRPr="00D7038E">
              <w:rPr>
                <w:rFonts w:ascii="Times New Roman" w:hAnsi="Times New Roman"/>
                <w:b/>
                <w:sz w:val="12"/>
                <w:szCs w:val="12"/>
              </w:rPr>
              <w:t>2016</w:t>
            </w:r>
          </w:p>
        </w:tc>
        <w:tc>
          <w:tcPr>
            <w:tcW w:w="2790" w:type="dxa"/>
            <w:gridSpan w:val="3"/>
            <w:tcBorders>
              <w:top w:val="single" w:sz="12" w:space="0" w:color="000000"/>
              <w:left w:val="single" w:sz="12" w:space="0" w:color="000000"/>
              <w:bottom w:val="single" w:sz="2" w:space="0" w:color="000000"/>
              <w:right w:val="single" w:sz="12" w:space="0" w:color="000000"/>
            </w:tcBorders>
            <w:shd w:val="clear" w:color="auto" w:fill="A6A6A6" w:themeFill="background1" w:themeFillShade="A6"/>
          </w:tcPr>
          <w:p w:rsidR="00EC285D" w:rsidRPr="00D7038E" w:rsidRDefault="00EC285D" w:rsidP="0088391E">
            <w:pPr>
              <w:jc w:val="center"/>
              <w:rPr>
                <w:rFonts w:ascii="Times New Roman" w:hAnsi="Times New Roman"/>
                <w:sz w:val="12"/>
                <w:szCs w:val="12"/>
              </w:rPr>
            </w:pPr>
            <w:r w:rsidRPr="00D7038E">
              <w:rPr>
                <w:rFonts w:ascii="Times New Roman" w:hAnsi="Times New Roman"/>
                <w:b/>
                <w:sz w:val="12"/>
                <w:szCs w:val="12"/>
              </w:rPr>
              <w:t>2018</w:t>
            </w:r>
          </w:p>
        </w:tc>
        <w:tc>
          <w:tcPr>
            <w:tcW w:w="2610" w:type="dxa"/>
            <w:gridSpan w:val="3"/>
            <w:tcBorders>
              <w:top w:val="single" w:sz="12" w:space="0" w:color="000000"/>
              <w:left w:val="single" w:sz="12" w:space="0" w:color="000000"/>
              <w:bottom w:val="single" w:sz="2" w:space="0" w:color="000000"/>
              <w:right w:val="single" w:sz="12" w:space="0" w:color="000000"/>
            </w:tcBorders>
            <w:shd w:val="clear" w:color="auto" w:fill="A6A6A6" w:themeFill="background1" w:themeFillShade="A6"/>
          </w:tcPr>
          <w:p w:rsidR="00EC285D" w:rsidRPr="00D7038E" w:rsidRDefault="00EC285D" w:rsidP="0088391E">
            <w:pPr>
              <w:jc w:val="center"/>
              <w:rPr>
                <w:rFonts w:ascii="Times New Roman" w:hAnsi="Times New Roman"/>
                <w:b/>
                <w:sz w:val="12"/>
                <w:szCs w:val="12"/>
              </w:rPr>
            </w:pPr>
            <w:r>
              <w:rPr>
                <w:rFonts w:ascii="Times New Roman" w:hAnsi="Times New Roman"/>
                <w:b/>
                <w:sz w:val="12"/>
                <w:szCs w:val="12"/>
              </w:rPr>
              <w:t>Change</w:t>
            </w:r>
          </w:p>
        </w:tc>
      </w:tr>
      <w:tr w:rsidR="00EC285D" w:rsidTr="0088391E">
        <w:tc>
          <w:tcPr>
            <w:tcW w:w="1800" w:type="dxa"/>
            <w:tcBorders>
              <w:top w:val="nil"/>
              <w:left w:val="nil"/>
              <w:bottom w:val="single" w:sz="12" w:space="0" w:color="000000"/>
              <w:right w:val="single" w:sz="12" w:space="0" w:color="000000"/>
            </w:tcBorders>
          </w:tcPr>
          <w:p w:rsidR="00EC285D" w:rsidRPr="00D7038E" w:rsidRDefault="00EC285D" w:rsidP="0088391E">
            <w:pPr>
              <w:rPr>
                <w:rFonts w:ascii="Times New Roman" w:hAnsi="Times New Roman"/>
                <w:sz w:val="12"/>
                <w:szCs w:val="12"/>
              </w:rPr>
            </w:pPr>
          </w:p>
        </w:tc>
        <w:tc>
          <w:tcPr>
            <w:tcW w:w="900" w:type="dxa"/>
            <w:tcBorders>
              <w:top w:val="single" w:sz="2" w:space="0" w:color="000000"/>
              <w:left w:val="single" w:sz="12" w:space="0" w:color="000000"/>
              <w:bottom w:val="single" w:sz="12" w:space="0" w:color="000000"/>
              <w:right w:val="single" w:sz="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r w:rsidRPr="00D7038E">
              <w:rPr>
                <w:rFonts w:ascii="Times New Roman" w:hAnsi="Times New Roman"/>
                <w:b/>
                <w:sz w:val="12"/>
                <w:szCs w:val="12"/>
              </w:rPr>
              <w:t>Respondents</w:t>
            </w:r>
          </w:p>
        </w:tc>
        <w:tc>
          <w:tcPr>
            <w:tcW w:w="990" w:type="dxa"/>
            <w:tcBorders>
              <w:top w:val="single" w:sz="2" w:space="0" w:color="000000"/>
              <w:left w:val="single" w:sz="2" w:space="0" w:color="000000"/>
              <w:bottom w:val="single" w:sz="12" w:space="0" w:color="000000"/>
              <w:right w:val="single" w:sz="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r w:rsidRPr="00D7038E">
              <w:rPr>
                <w:rFonts w:ascii="Times New Roman" w:hAnsi="Times New Roman"/>
                <w:b/>
                <w:sz w:val="12"/>
                <w:szCs w:val="12"/>
              </w:rPr>
              <w:t>Individual burden</w:t>
            </w:r>
          </w:p>
        </w:tc>
        <w:tc>
          <w:tcPr>
            <w:tcW w:w="900" w:type="dxa"/>
            <w:tcBorders>
              <w:top w:val="single" w:sz="2" w:space="0" w:color="000000"/>
              <w:left w:val="single" w:sz="2" w:space="0" w:color="000000"/>
              <w:bottom w:val="single" w:sz="12" w:space="0" w:color="000000"/>
              <w:right w:val="single" w:sz="1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r w:rsidRPr="00D7038E">
              <w:rPr>
                <w:rFonts w:ascii="Times New Roman" w:hAnsi="Times New Roman"/>
                <w:b/>
                <w:sz w:val="12"/>
                <w:szCs w:val="12"/>
              </w:rPr>
              <w:t>Annual burden</w:t>
            </w:r>
          </w:p>
        </w:tc>
        <w:tc>
          <w:tcPr>
            <w:tcW w:w="900" w:type="dxa"/>
            <w:tcBorders>
              <w:top w:val="single" w:sz="2" w:space="0" w:color="000000"/>
              <w:left w:val="single" w:sz="12" w:space="0" w:color="000000"/>
              <w:bottom w:val="single" w:sz="12" w:space="0" w:color="000000"/>
              <w:right w:val="single" w:sz="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r w:rsidRPr="00D7038E">
              <w:rPr>
                <w:rFonts w:ascii="Times New Roman" w:hAnsi="Times New Roman"/>
                <w:b/>
                <w:sz w:val="12"/>
                <w:szCs w:val="12"/>
              </w:rPr>
              <w:t>Respondents</w:t>
            </w:r>
          </w:p>
        </w:tc>
        <w:tc>
          <w:tcPr>
            <w:tcW w:w="1080" w:type="dxa"/>
            <w:tcBorders>
              <w:top w:val="single" w:sz="2" w:space="0" w:color="000000"/>
              <w:left w:val="single" w:sz="2" w:space="0" w:color="000000"/>
              <w:bottom w:val="single" w:sz="12" w:space="0" w:color="000000"/>
              <w:right w:val="single" w:sz="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r w:rsidRPr="00D7038E">
              <w:rPr>
                <w:rFonts w:ascii="Times New Roman" w:hAnsi="Times New Roman"/>
                <w:b/>
                <w:sz w:val="12"/>
                <w:szCs w:val="12"/>
              </w:rPr>
              <w:t>Individual burden</w:t>
            </w:r>
          </w:p>
        </w:tc>
        <w:tc>
          <w:tcPr>
            <w:tcW w:w="810" w:type="dxa"/>
            <w:tcBorders>
              <w:top w:val="single" w:sz="2" w:space="0" w:color="000000"/>
              <w:left w:val="single" w:sz="2" w:space="0" w:color="000000"/>
              <w:bottom w:val="single" w:sz="12" w:space="0" w:color="000000"/>
              <w:right w:val="single" w:sz="1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r w:rsidRPr="00D7038E">
              <w:rPr>
                <w:rFonts w:ascii="Times New Roman" w:hAnsi="Times New Roman"/>
                <w:b/>
                <w:sz w:val="12"/>
                <w:szCs w:val="12"/>
              </w:rPr>
              <w:t>Annual burden</w:t>
            </w:r>
          </w:p>
        </w:tc>
        <w:tc>
          <w:tcPr>
            <w:tcW w:w="900" w:type="dxa"/>
            <w:tcBorders>
              <w:top w:val="single" w:sz="2" w:space="0" w:color="000000"/>
              <w:left w:val="single" w:sz="12" w:space="0" w:color="000000"/>
              <w:bottom w:val="single" w:sz="12" w:space="0" w:color="000000"/>
              <w:right w:val="single" w:sz="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r w:rsidRPr="00D7038E">
              <w:rPr>
                <w:rFonts w:ascii="Times New Roman" w:hAnsi="Times New Roman"/>
                <w:b/>
                <w:sz w:val="12"/>
                <w:szCs w:val="12"/>
              </w:rPr>
              <w:t>Respondents</w:t>
            </w:r>
          </w:p>
        </w:tc>
        <w:tc>
          <w:tcPr>
            <w:tcW w:w="810" w:type="dxa"/>
            <w:tcBorders>
              <w:top w:val="single" w:sz="2" w:space="0" w:color="000000"/>
              <w:left w:val="single" w:sz="2" w:space="0" w:color="000000"/>
              <w:bottom w:val="single" w:sz="12" w:space="0" w:color="000000"/>
              <w:right w:val="single" w:sz="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r w:rsidRPr="00D7038E">
              <w:rPr>
                <w:rFonts w:ascii="Times New Roman" w:hAnsi="Times New Roman"/>
                <w:b/>
                <w:sz w:val="12"/>
                <w:szCs w:val="12"/>
              </w:rPr>
              <w:t>Individual burden</w:t>
            </w:r>
          </w:p>
        </w:tc>
        <w:tc>
          <w:tcPr>
            <w:tcW w:w="900" w:type="dxa"/>
            <w:tcBorders>
              <w:top w:val="single" w:sz="2" w:space="0" w:color="000000"/>
              <w:left w:val="single" w:sz="2" w:space="0" w:color="000000"/>
              <w:bottom w:val="single" w:sz="12" w:space="0" w:color="000000"/>
              <w:right w:val="single" w:sz="1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r w:rsidRPr="00D7038E">
              <w:rPr>
                <w:rFonts w:ascii="Times New Roman" w:hAnsi="Times New Roman"/>
                <w:b/>
                <w:sz w:val="12"/>
                <w:szCs w:val="12"/>
              </w:rPr>
              <w:t>Annual burden</w:t>
            </w:r>
          </w:p>
        </w:tc>
      </w:tr>
      <w:tr w:rsidR="00EC285D" w:rsidTr="0088391E">
        <w:trPr>
          <w:trHeight w:val="134"/>
        </w:trPr>
        <w:tc>
          <w:tcPr>
            <w:tcW w:w="1800" w:type="dxa"/>
            <w:vMerge w:val="restart"/>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r w:rsidRPr="00D7038E">
              <w:rPr>
                <w:rFonts w:ascii="Times New Roman" w:hAnsi="Times New Roman"/>
                <w:b/>
                <w:sz w:val="12"/>
                <w:szCs w:val="12"/>
              </w:rPr>
              <w:t>Rule 606(a)(1)</w:t>
            </w:r>
          </w:p>
        </w:tc>
        <w:tc>
          <w:tcPr>
            <w:tcW w:w="8190" w:type="dxa"/>
            <w:gridSpan w:val="9"/>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rsidR="00EC285D" w:rsidRPr="00B8043C" w:rsidRDefault="00EC285D" w:rsidP="0088391E">
            <w:pPr>
              <w:jc w:val="center"/>
              <w:rPr>
                <w:rFonts w:ascii="Times New Roman" w:hAnsi="Times New Roman"/>
                <w:b/>
                <w:sz w:val="12"/>
                <w:szCs w:val="12"/>
              </w:rPr>
            </w:pPr>
            <w:r w:rsidRPr="00B8043C">
              <w:rPr>
                <w:rFonts w:ascii="Times New Roman" w:hAnsi="Times New Roman"/>
                <w:b/>
                <w:sz w:val="12"/>
                <w:szCs w:val="12"/>
              </w:rPr>
              <w:t>Hourly burden</w:t>
            </w:r>
          </w:p>
        </w:tc>
      </w:tr>
      <w:tr w:rsidR="00EC285D" w:rsidTr="0088391E">
        <w:trPr>
          <w:trHeight w:val="494"/>
        </w:trPr>
        <w:tc>
          <w:tcPr>
            <w:tcW w:w="1800" w:type="dxa"/>
            <w:vMerge/>
            <w:tcBorders>
              <w:top w:val="single" w:sz="2" w:space="0" w:color="000000"/>
              <w:left w:val="single" w:sz="12" w:space="0" w:color="000000"/>
              <w:bottom w:val="single" w:sz="12" w:space="0" w:color="000000"/>
              <w:right w:val="single" w:sz="1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900" w:type="dxa"/>
            <w:tcBorders>
              <w:top w:val="single" w:sz="12" w:space="0" w:color="000000"/>
              <w:left w:val="single" w:sz="12" w:space="0" w:color="000000"/>
              <w:bottom w:val="single" w:sz="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sidRPr="00D7038E">
              <w:rPr>
                <w:rFonts w:ascii="Times New Roman" w:hAnsi="Times New Roman"/>
                <w:sz w:val="12"/>
                <w:szCs w:val="12"/>
              </w:rPr>
              <w:t>266</w:t>
            </w:r>
          </w:p>
        </w:tc>
        <w:tc>
          <w:tcPr>
            <w:tcW w:w="990" w:type="dxa"/>
            <w:tcBorders>
              <w:top w:val="single" w:sz="12" w:space="0" w:color="000000"/>
              <w:left w:val="single" w:sz="2" w:space="0" w:color="000000"/>
              <w:bottom w:val="single" w:sz="2" w:space="0" w:color="000000"/>
              <w:right w:val="single" w:sz="2" w:space="0" w:color="000000"/>
            </w:tcBorders>
            <w:vAlign w:val="center"/>
          </w:tcPr>
          <w:p w:rsidR="00EC285D" w:rsidRPr="00D7038E" w:rsidRDefault="00EC285D" w:rsidP="0088391E">
            <w:pPr>
              <w:rPr>
                <w:rFonts w:ascii="Times New Roman" w:hAnsi="Times New Roman"/>
                <w:sz w:val="12"/>
                <w:szCs w:val="12"/>
              </w:rPr>
            </w:pPr>
            <w:r>
              <w:rPr>
                <w:rFonts w:ascii="Times New Roman" w:hAnsi="Times New Roman"/>
                <w:sz w:val="12"/>
                <w:szCs w:val="12"/>
              </w:rPr>
              <w:t>160 hours/year to issue quarterly reports</w:t>
            </w:r>
          </w:p>
        </w:tc>
        <w:tc>
          <w:tcPr>
            <w:tcW w:w="900" w:type="dxa"/>
            <w:tcBorders>
              <w:top w:val="single" w:sz="12" w:space="0" w:color="000000"/>
              <w:left w:val="single" w:sz="2" w:space="0" w:color="000000"/>
              <w:bottom w:val="single" w:sz="2" w:space="0" w:color="000000"/>
              <w:right w:val="single" w:sz="1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42,560 hours</w:t>
            </w:r>
          </w:p>
        </w:tc>
        <w:tc>
          <w:tcPr>
            <w:tcW w:w="900" w:type="dxa"/>
            <w:tcBorders>
              <w:top w:val="single" w:sz="12" w:space="0" w:color="000000"/>
              <w:left w:val="single" w:sz="12" w:space="0" w:color="000000"/>
              <w:bottom w:val="single" w:sz="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sidRPr="00D7038E">
              <w:rPr>
                <w:rFonts w:ascii="Times New Roman" w:hAnsi="Times New Roman"/>
                <w:sz w:val="12"/>
                <w:szCs w:val="12"/>
              </w:rPr>
              <w:t>292</w:t>
            </w:r>
          </w:p>
        </w:tc>
        <w:tc>
          <w:tcPr>
            <w:tcW w:w="1080" w:type="dxa"/>
            <w:tcBorders>
              <w:top w:val="single" w:sz="12" w:space="0" w:color="000000"/>
              <w:left w:val="single" w:sz="2" w:space="0" w:color="000000"/>
              <w:bottom w:val="single" w:sz="2" w:space="0" w:color="000000"/>
              <w:right w:val="single" w:sz="2" w:space="0" w:color="000000"/>
            </w:tcBorders>
          </w:tcPr>
          <w:p w:rsidR="00EC285D" w:rsidRPr="00D7038E" w:rsidRDefault="00EC285D" w:rsidP="0088391E">
            <w:pPr>
              <w:rPr>
                <w:rFonts w:ascii="Times New Roman" w:hAnsi="Times New Roman"/>
                <w:sz w:val="12"/>
                <w:szCs w:val="12"/>
              </w:rPr>
            </w:pPr>
            <w:r>
              <w:rPr>
                <w:rFonts w:ascii="Times New Roman" w:hAnsi="Times New Roman"/>
                <w:sz w:val="12"/>
                <w:szCs w:val="12"/>
              </w:rPr>
              <w:t>160 hours/year to issue quarterly reports</w:t>
            </w:r>
          </w:p>
        </w:tc>
        <w:tc>
          <w:tcPr>
            <w:tcW w:w="810" w:type="dxa"/>
            <w:tcBorders>
              <w:top w:val="single" w:sz="12" w:space="0" w:color="000000"/>
              <w:left w:val="single" w:sz="2" w:space="0" w:color="000000"/>
              <w:bottom w:val="single" w:sz="2" w:space="0" w:color="000000"/>
              <w:right w:val="single" w:sz="12" w:space="0" w:color="000000"/>
            </w:tcBorders>
          </w:tcPr>
          <w:p w:rsidR="00EC285D" w:rsidRPr="00D7038E" w:rsidRDefault="00EC285D" w:rsidP="0088391E">
            <w:pPr>
              <w:rPr>
                <w:rFonts w:ascii="Times New Roman" w:hAnsi="Times New Roman"/>
                <w:sz w:val="12"/>
                <w:szCs w:val="12"/>
              </w:rPr>
            </w:pPr>
            <w:r>
              <w:rPr>
                <w:rFonts w:ascii="Times New Roman" w:hAnsi="Times New Roman"/>
                <w:sz w:val="12"/>
                <w:szCs w:val="12"/>
              </w:rPr>
              <w:t>46,720 hours</w:t>
            </w:r>
          </w:p>
        </w:tc>
        <w:tc>
          <w:tcPr>
            <w:tcW w:w="900" w:type="dxa"/>
            <w:tcBorders>
              <w:top w:val="single" w:sz="12" w:space="0" w:color="000000"/>
              <w:left w:val="single" w:sz="12" w:space="0" w:color="000000"/>
              <w:bottom w:val="single" w:sz="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26</w:t>
            </w:r>
          </w:p>
        </w:tc>
        <w:tc>
          <w:tcPr>
            <w:tcW w:w="810" w:type="dxa"/>
            <w:tcBorders>
              <w:top w:val="single" w:sz="12" w:space="0" w:color="000000"/>
              <w:left w:val="single" w:sz="2" w:space="0" w:color="000000"/>
              <w:bottom w:val="single" w:sz="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0 hours/year</w:t>
            </w:r>
          </w:p>
        </w:tc>
        <w:tc>
          <w:tcPr>
            <w:tcW w:w="900" w:type="dxa"/>
            <w:tcBorders>
              <w:top w:val="single" w:sz="12" w:space="0" w:color="000000"/>
              <w:left w:val="single" w:sz="2" w:space="0" w:color="000000"/>
              <w:bottom w:val="single" w:sz="2" w:space="0" w:color="000000"/>
              <w:right w:val="single" w:sz="1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4,160 hours</w:t>
            </w:r>
          </w:p>
        </w:tc>
      </w:tr>
      <w:tr w:rsidR="00EC285D" w:rsidTr="0088391E">
        <w:trPr>
          <w:trHeight w:val="746"/>
        </w:trPr>
        <w:tc>
          <w:tcPr>
            <w:tcW w:w="1800" w:type="dxa"/>
            <w:vMerge/>
            <w:tcBorders>
              <w:top w:val="single" w:sz="2" w:space="0" w:color="000000"/>
              <w:left w:val="single" w:sz="12" w:space="0" w:color="000000"/>
              <w:bottom w:val="single" w:sz="12" w:space="0" w:color="000000"/>
              <w:right w:val="single" w:sz="1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900" w:type="dxa"/>
            <w:tcBorders>
              <w:top w:val="single" w:sz="2" w:space="0" w:color="000000"/>
              <w:left w:val="single" w:sz="12" w:space="0" w:color="000000"/>
              <w:bottom w:val="single" w:sz="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90" w:type="dxa"/>
            <w:tcBorders>
              <w:top w:val="single" w:sz="2" w:space="0" w:color="000000"/>
              <w:left w:val="single" w:sz="2" w:space="0" w:color="000000"/>
              <w:bottom w:val="single" w:sz="2" w:space="0" w:color="000000"/>
              <w:right w:val="single" w:sz="2" w:space="0" w:color="000000"/>
            </w:tcBorders>
            <w:vAlign w:val="center"/>
          </w:tcPr>
          <w:p w:rsidR="00EC285D"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2" w:space="0" w:color="000000"/>
              <w:left w:val="single" w:sz="2" w:space="0" w:color="000000"/>
              <w:bottom w:val="single" w:sz="2" w:space="0" w:color="000000"/>
              <w:right w:val="single" w:sz="12" w:space="0" w:color="000000"/>
            </w:tcBorders>
            <w:vAlign w:val="center"/>
          </w:tcPr>
          <w:p w:rsidR="00EC285D"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2" w:space="0" w:color="000000"/>
              <w:left w:val="single" w:sz="12" w:space="0" w:color="000000"/>
              <w:bottom w:val="single" w:sz="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97</w:t>
            </w:r>
          </w:p>
        </w:tc>
        <w:tc>
          <w:tcPr>
            <w:tcW w:w="1080" w:type="dxa"/>
            <w:tcBorders>
              <w:top w:val="single" w:sz="2" w:space="0" w:color="000000"/>
              <w:left w:val="single" w:sz="2" w:space="0" w:color="000000"/>
              <w:bottom w:val="single" w:sz="2" w:space="0" w:color="000000"/>
              <w:right w:val="single" w:sz="2" w:space="0" w:color="000000"/>
            </w:tcBorders>
          </w:tcPr>
          <w:p w:rsidR="00EC285D" w:rsidRDefault="00EC285D" w:rsidP="0088391E">
            <w:pPr>
              <w:rPr>
                <w:rFonts w:ascii="Times New Roman" w:hAnsi="Times New Roman"/>
                <w:sz w:val="12"/>
                <w:szCs w:val="12"/>
              </w:rPr>
            </w:pPr>
            <w:r>
              <w:rPr>
                <w:rFonts w:ascii="Times New Roman" w:hAnsi="Times New Roman"/>
                <w:sz w:val="12"/>
                <w:szCs w:val="12"/>
              </w:rPr>
              <w:t>80 hours/year</w:t>
            </w:r>
          </w:p>
          <w:p w:rsidR="00EC285D" w:rsidRDefault="00EC285D" w:rsidP="0088391E">
            <w:pPr>
              <w:rPr>
                <w:rFonts w:ascii="Times New Roman" w:hAnsi="Times New Roman"/>
                <w:sz w:val="12"/>
                <w:szCs w:val="12"/>
              </w:rPr>
            </w:pPr>
            <w:r>
              <w:rPr>
                <w:rFonts w:ascii="Times New Roman" w:hAnsi="Times New Roman"/>
                <w:sz w:val="12"/>
                <w:szCs w:val="12"/>
              </w:rPr>
              <w:t>annualized initial burden to implement amendments in-house.</w:t>
            </w:r>
          </w:p>
        </w:tc>
        <w:tc>
          <w:tcPr>
            <w:tcW w:w="810" w:type="dxa"/>
            <w:tcBorders>
              <w:top w:val="single" w:sz="2" w:space="0" w:color="000000"/>
              <w:left w:val="single" w:sz="2" w:space="0" w:color="000000"/>
              <w:bottom w:val="single" w:sz="2" w:space="0" w:color="000000"/>
              <w:right w:val="single" w:sz="12" w:space="0" w:color="000000"/>
            </w:tcBorders>
            <w:vAlign w:val="center"/>
          </w:tcPr>
          <w:p w:rsidR="00EC285D" w:rsidRPr="004E19CA" w:rsidRDefault="00EC285D" w:rsidP="0088391E">
            <w:pPr>
              <w:jc w:val="center"/>
              <w:rPr>
                <w:rFonts w:ascii="Times New Roman" w:hAnsi="Times New Roman"/>
                <w:color w:val="000000"/>
                <w:sz w:val="12"/>
                <w:szCs w:val="12"/>
              </w:rPr>
            </w:pPr>
            <w:r w:rsidRPr="004E19CA">
              <w:rPr>
                <w:rFonts w:ascii="Times New Roman" w:hAnsi="Times New Roman"/>
                <w:color w:val="000000"/>
                <w:sz w:val="12"/>
                <w:szCs w:val="12"/>
              </w:rPr>
              <w:t>7,760 hours</w:t>
            </w:r>
          </w:p>
        </w:tc>
        <w:tc>
          <w:tcPr>
            <w:tcW w:w="900" w:type="dxa"/>
            <w:tcBorders>
              <w:top w:val="single" w:sz="2" w:space="0" w:color="000000"/>
              <w:left w:val="single" w:sz="12" w:space="0" w:color="000000"/>
              <w:bottom w:val="single" w:sz="2" w:space="0" w:color="000000"/>
              <w:right w:val="single" w:sz="2" w:space="0" w:color="000000"/>
            </w:tcBorders>
            <w:vAlign w:val="center"/>
          </w:tcPr>
          <w:p w:rsidR="00EC285D" w:rsidRDefault="00EC285D" w:rsidP="0088391E">
            <w:pPr>
              <w:jc w:val="center"/>
              <w:rPr>
                <w:rFonts w:ascii="Times New Roman" w:hAnsi="Times New Roman"/>
                <w:sz w:val="12"/>
                <w:szCs w:val="12"/>
              </w:rPr>
            </w:pPr>
            <w:r>
              <w:rPr>
                <w:rFonts w:ascii="Times New Roman" w:hAnsi="Times New Roman"/>
                <w:sz w:val="12"/>
                <w:szCs w:val="12"/>
              </w:rPr>
              <w:t>97</w:t>
            </w:r>
          </w:p>
        </w:tc>
        <w:tc>
          <w:tcPr>
            <w:tcW w:w="810" w:type="dxa"/>
            <w:tcBorders>
              <w:top w:val="single" w:sz="2" w:space="0" w:color="000000"/>
              <w:left w:val="single" w:sz="2" w:space="0" w:color="000000"/>
              <w:bottom w:val="single" w:sz="2" w:space="0" w:color="000000"/>
              <w:right w:val="single" w:sz="2" w:space="0" w:color="000000"/>
            </w:tcBorders>
            <w:vAlign w:val="center"/>
          </w:tcPr>
          <w:p w:rsidR="00EC285D" w:rsidRDefault="00EC285D" w:rsidP="0088391E">
            <w:pPr>
              <w:jc w:val="center"/>
              <w:rPr>
                <w:rFonts w:ascii="Times New Roman" w:hAnsi="Times New Roman"/>
                <w:sz w:val="12"/>
                <w:szCs w:val="12"/>
              </w:rPr>
            </w:pPr>
            <w:r>
              <w:rPr>
                <w:rFonts w:ascii="Times New Roman" w:hAnsi="Times New Roman"/>
                <w:sz w:val="12"/>
                <w:szCs w:val="12"/>
              </w:rPr>
              <w:t>80 hours/year</w:t>
            </w:r>
          </w:p>
          <w:p w:rsidR="00EC285D" w:rsidRPr="00D7038E" w:rsidRDefault="00EC285D" w:rsidP="0088391E">
            <w:pPr>
              <w:jc w:val="center"/>
              <w:rPr>
                <w:rFonts w:ascii="Times New Roman" w:hAnsi="Times New Roman"/>
                <w:sz w:val="12"/>
                <w:szCs w:val="12"/>
              </w:rPr>
            </w:pPr>
          </w:p>
        </w:tc>
        <w:tc>
          <w:tcPr>
            <w:tcW w:w="900" w:type="dxa"/>
            <w:tcBorders>
              <w:top w:val="single" w:sz="2" w:space="0" w:color="000000"/>
              <w:left w:val="single" w:sz="2" w:space="0" w:color="000000"/>
              <w:bottom w:val="single" w:sz="2" w:space="0" w:color="000000"/>
              <w:right w:val="single" w:sz="12" w:space="0" w:color="000000"/>
            </w:tcBorders>
            <w:vAlign w:val="center"/>
          </w:tcPr>
          <w:p w:rsidR="00EC285D" w:rsidRPr="004E19CA" w:rsidRDefault="00EC285D" w:rsidP="0088391E">
            <w:pPr>
              <w:jc w:val="center"/>
              <w:rPr>
                <w:rFonts w:ascii="Times New Roman" w:hAnsi="Times New Roman"/>
                <w:color w:val="000000"/>
                <w:sz w:val="12"/>
                <w:szCs w:val="12"/>
              </w:rPr>
            </w:pPr>
            <w:r w:rsidRPr="004E19CA">
              <w:rPr>
                <w:rFonts w:ascii="Times New Roman" w:hAnsi="Times New Roman"/>
                <w:color w:val="000000"/>
                <w:sz w:val="12"/>
                <w:szCs w:val="12"/>
              </w:rPr>
              <w:t>7,760 hours</w:t>
            </w:r>
          </w:p>
        </w:tc>
      </w:tr>
      <w:tr w:rsidR="00EC285D" w:rsidTr="0088391E">
        <w:trPr>
          <w:trHeight w:val="746"/>
        </w:trPr>
        <w:tc>
          <w:tcPr>
            <w:tcW w:w="1800" w:type="dxa"/>
            <w:vMerge/>
            <w:tcBorders>
              <w:top w:val="single" w:sz="2" w:space="0" w:color="000000"/>
              <w:left w:val="single" w:sz="12" w:space="0" w:color="000000"/>
              <w:bottom w:val="single" w:sz="12" w:space="0" w:color="000000"/>
              <w:right w:val="single" w:sz="1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900" w:type="dxa"/>
            <w:tcBorders>
              <w:top w:val="single" w:sz="2" w:space="0" w:color="000000"/>
              <w:left w:val="single" w:sz="12" w:space="0" w:color="000000"/>
              <w:bottom w:val="single" w:sz="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90" w:type="dxa"/>
            <w:tcBorders>
              <w:top w:val="single" w:sz="2" w:space="0" w:color="000000"/>
              <w:left w:val="single" w:sz="2" w:space="0" w:color="000000"/>
              <w:bottom w:val="single" w:sz="2" w:space="0" w:color="000000"/>
              <w:right w:val="single" w:sz="2" w:space="0" w:color="000000"/>
            </w:tcBorders>
            <w:vAlign w:val="center"/>
          </w:tcPr>
          <w:p w:rsidR="00EC285D"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2" w:space="0" w:color="000000"/>
              <w:left w:val="single" w:sz="2" w:space="0" w:color="000000"/>
              <w:bottom w:val="single" w:sz="2" w:space="0" w:color="000000"/>
              <w:right w:val="single" w:sz="12" w:space="0" w:color="000000"/>
            </w:tcBorders>
            <w:vAlign w:val="center"/>
          </w:tcPr>
          <w:p w:rsidR="00EC285D"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2" w:space="0" w:color="000000"/>
              <w:left w:val="single" w:sz="12" w:space="0" w:color="000000"/>
              <w:bottom w:val="single" w:sz="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195</w:t>
            </w:r>
          </w:p>
        </w:tc>
        <w:tc>
          <w:tcPr>
            <w:tcW w:w="1080" w:type="dxa"/>
            <w:tcBorders>
              <w:top w:val="single" w:sz="2" w:space="0" w:color="000000"/>
              <w:left w:val="single" w:sz="2" w:space="0" w:color="000000"/>
              <w:bottom w:val="single" w:sz="2" w:space="0" w:color="000000"/>
              <w:right w:val="single" w:sz="2" w:space="0" w:color="000000"/>
            </w:tcBorders>
          </w:tcPr>
          <w:p w:rsidR="00EC285D" w:rsidRDefault="00EC285D" w:rsidP="0088391E">
            <w:pPr>
              <w:rPr>
                <w:rFonts w:ascii="Times New Roman" w:hAnsi="Times New Roman"/>
                <w:sz w:val="12"/>
                <w:szCs w:val="12"/>
              </w:rPr>
            </w:pPr>
            <w:r>
              <w:rPr>
                <w:rFonts w:ascii="Times New Roman" w:hAnsi="Times New Roman"/>
                <w:sz w:val="12"/>
                <w:szCs w:val="12"/>
              </w:rPr>
              <w:t>6.67 hours/year annualized initial burden to implement amendments using third party.</w:t>
            </w:r>
          </w:p>
        </w:tc>
        <w:tc>
          <w:tcPr>
            <w:tcW w:w="810" w:type="dxa"/>
            <w:tcBorders>
              <w:top w:val="single" w:sz="2" w:space="0" w:color="000000"/>
              <w:left w:val="single" w:sz="2" w:space="0" w:color="000000"/>
              <w:bottom w:val="single" w:sz="2" w:space="0" w:color="000000"/>
              <w:right w:val="single" w:sz="12" w:space="0" w:color="000000"/>
            </w:tcBorders>
            <w:vAlign w:val="center"/>
          </w:tcPr>
          <w:p w:rsidR="00EC285D" w:rsidRPr="004E19CA" w:rsidRDefault="00EC285D" w:rsidP="0088391E">
            <w:pPr>
              <w:jc w:val="center"/>
              <w:rPr>
                <w:rFonts w:ascii="Times New Roman" w:hAnsi="Times New Roman"/>
                <w:color w:val="000000"/>
                <w:sz w:val="12"/>
                <w:szCs w:val="12"/>
              </w:rPr>
            </w:pPr>
            <w:r w:rsidRPr="004E19CA">
              <w:rPr>
                <w:rFonts w:ascii="Times New Roman" w:hAnsi="Times New Roman"/>
                <w:color w:val="000000"/>
                <w:sz w:val="12"/>
                <w:szCs w:val="12"/>
              </w:rPr>
              <w:t>1,300 hours</w:t>
            </w:r>
          </w:p>
        </w:tc>
        <w:tc>
          <w:tcPr>
            <w:tcW w:w="900" w:type="dxa"/>
            <w:tcBorders>
              <w:top w:val="single" w:sz="2" w:space="0" w:color="000000"/>
              <w:left w:val="single" w:sz="12" w:space="0" w:color="000000"/>
              <w:bottom w:val="single" w:sz="2" w:space="0" w:color="000000"/>
              <w:right w:val="single" w:sz="2" w:space="0" w:color="000000"/>
            </w:tcBorders>
            <w:vAlign w:val="center"/>
          </w:tcPr>
          <w:p w:rsidR="00EC285D" w:rsidRDefault="00EC285D" w:rsidP="0088391E">
            <w:pPr>
              <w:jc w:val="center"/>
              <w:rPr>
                <w:rFonts w:ascii="Times New Roman" w:hAnsi="Times New Roman"/>
                <w:sz w:val="12"/>
                <w:szCs w:val="12"/>
              </w:rPr>
            </w:pPr>
            <w:r>
              <w:rPr>
                <w:rFonts w:ascii="Times New Roman" w:hAnsi="Times New Roman"/>
                <w:sz w:val="12"/>
                <w:szCs w:val="12"/>
              </w:rPr>
              <w:t>195</w:t>
            </w:r>
          </w:p>
        </w:tc>
        <w:tc>
          <w:tcPr>
            <w:tcW w:w="810" w:type="dxa"/>
            <w:tcBorders>
              <w:top w:val="single" w:sz="2" w:space="0" w:color="000000"/>
              <w:left w:val="single" w:sz="2" w:space="0" w:color="000000"/>
              <w:bottom w:val="single" w:sz="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6.67 hours/year</w:t>
            </w:r>
          </w:p>
        </w:tc>
        <w:tc>
          <w:tcPr>
            <w:tcW w:w="900" w:type="dxa"/>
            <w:tcBorders>
              <w:top w:val="single" w:sz="2" w:space="0" w:color="000000"/>
              <w:left w:val="single" w:sz="2" w:space="0" w:color="000000"/>
              <w:bottom w:val="single" w:sz="2" w:space="0" w:color="000000"/>
              <w:right w:val="single" w:sz="12" w:space="0" w:color="000000"/>
            </w:tcBorders>
            <w:vAlign w:val="center"/>
          </w:tcPr>
          <w:p w:rsidR="00EC285D" w:rsidRPr="004E19CA" w:rsidRDefault="00EC285D" w:rsidP="0088391E">
            <w:pPr>
              <w:jc w:val="center"/>
              <w:rPr>
                <w:rFonts w:ascii="Times New Roman" w:hAnsi="Times New Roman"/>
                <w:color w:val="000000"/>
                <w:sz w:val="12"/>
                <w:szCs w:val="12"/>
              </w:rPr>
            </w:pPr>
            <w:r w:rsidRPr="004E19CA">
              <w:rPr>
                <w:rFonts w:ascii="Times New Roman" w:hAnsi="Times New Roman"/>
                <w:color w:val="000000"/>
                <w:sz w:val="12"/>
                <w:szCs w:val="12"/>
              </w:rPr>
              <w:t>1,300 hours</w:t>
            </w:r>
          </w:p>
        </w:tc>
      </w:tr>
      <w:tr w:rsidR="00EC285D" w:rsidTr="0088391E">
        <w:trPr>
          <w:trHeight w:val="746"/>
        </w:trPr>
        <w:tc>
          <w:tcPr>
            <w:tcW w:w="1800" w:type="dxa"/>
            <w:vMerge/>
            <w:tcBorders>
              <w:top w:val="single" w:sz="2" w:space="0" w:color="000000"/>
              <w:left w:val="single" w:sz="12" w:space="0" w:color="000000"/>
              <w:bottom w:val="single" w:sz="12" w:space="0" w:color="000000"/>
              <w:right w:val="single" w:sz="1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900" w:type="dxa"/>
            <w:tcBorders>
              <w:top w:val="single" w:sz="2" w:space="0" w:color="000000"/>
              <w:left w:val="single" w:sz="1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90" w:type="dxa"/>
            <w:tcBorders>
              <w:top w:val="single" w:sz="2" w:space="0" w:color="000000"/>
              <w:left w:val="single" w:sz="2" w:space="0" w:color="000000"/>
              <w:bottom w:val="single" w:sz="12" w:space="0" w:color="000000"/>
              <w:right w:val="single" w:sz="2" w:space="0" w:color="000000"/>
            </w:tcBorders>
            <w:vAlign w:val="center"/>
          </w:tcPr>
          <w:p w:rsidR="00EC285D"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2" w:space="0" w:color="000000"/>
              <w:left w:val="single" w:sz="2" w:space="0" w:color="000000"/>
              <w:bottom w:val="single" w:sz="12" w:space="0" w:color="000000"/>
              <w:right w:val="single" w:sz="12" w:space="0" w:color="000000"/>
            </w:tcBorders>
            <w:vAlign w:val="center"/>
          </w:tcPr>
          <w:p w:rsidR="00EC285D"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2" w:space="0" w:color="000000"/>
              <w:left w:val="single" w:sz="1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292</w:t>
            </w:r>
          </w:p>
        </w:tc>
        <w:tc>
          <w:tcPr>
            <w:tcW w:w="1080" w:type="dxa"/>
            <w:tcBorders>
              <w:top w:val="single" w:sz="2" w:space="0" w:color="000000"/>
              <w:left w:val="single" w:sz="2" w:space="0" w:color="000000"/>
              <w:bottom w:val="single" w:sz="12" w:space="0" w:color="000000"/>
              <w:right w:val="single" w:sz="2" w:space="0" w:color="000000"/>
            </w:tcBorders>
          </w:tcPr>
          <w:p w:rsidR="00EC285D" w:rsidRDefault="00EC285D" w:rsidP="0088391E">
            <w:pPr>
              <w:rPr>
                <w:rFonts w:ascii="Times New Roman" w:hAnsi="Times New Roman"/>
                <w:sz w:val="12"/>
                <w:szCs w:val="12"/>
              </w:rPr>
            </w:pPr>
            <w:r>
              <w:rPr>
                <w:rFonts w:ascii="Times New Roman" w:hAnsi="Times New Roman"/>
                <w:color w:val="000000"/>
                <w:sz w:val="12"/>
                <w:szCs w:val="12"/>
              </w:rPr>
              <w:t xml:space="preserve">28.33 hours/year to </w:t>
            </w:r>
            <w:r w:rsidRPr="005403C8">
              <w:rPr>
                <w:rFonts w:ascii="Times New Roman" w:hAnsi="Times New Roman"/>
                <w:color w:val="000000"/>
                <w:sz w:val="12"/>
                <w:szCs w:val="12"/>
              </w:rPr>
              <w:t>Assess payment for order flow and profit-sharing relationships</w:t>
            </w:r>
          </w:p>
        </w:tc>
        <w:tc>
          <w:tcPr>
            <w:tcW w:w="810" w:type="dxa"/>
            <w:tcBorders>
              <w:top w:val="single" w:sz="2" w:space="0" w:color="000000"/>
              <w:left w:val="single" w:sz="2" w:space="0" w:color="000000"/>
              <w:bottom w:val="single" w:sz="12" w:space="0" w:color="000000"/>
              <w:right w:val="single" w:sz="12" w:space="0" w:color="000000"/>
            </w:tcBorders>
            <w:vAlign w:val="center"/>
          </w:tcPr>
          <w:p w:rsidR="00EC285D" w:rsidRPr="004E19CA" w:rsidRDefault="00EC285D" w:rsidP="0088391E">
            <w:pPr>
              <w:jc w:val="center"/>
              <w:rPr>
                <w:rFonts w:ascii="Times New Roman" w:hAnsi="Times New Roman"/>
                <w:color w:val="000000"/>
                <w:sz w:val="12"/>
                <w:szCs w:val="12"/>
              </w:rPr>
            </w:pPr>
            <w:r w:rsidRPr="004E19CA">
              <w:rPr>
                <w:rFonts w:ascii="Times New Roman" w:hAnsi="Times New Roman"/>
                <w:color w:val="000000"/>
                <w:sz w:val="12"/>
                <w:szCs w:val="12"/>
              </w:rPr>
              <w:t>8,273.33 hours</w:t>
            </w:r>
          </w:p>
        </w:tc>
        <w:tc>
          <w:tcPr>
            <w:tcW w:w="900" w:type="dxa"/>
            <w:tcBorders>
              <w:top w:val="single" w:sz="2" w:space="0" w:color="000000"/>
              <w:left w:val="single" w:sz="12" w:space="0" w:color="000000"/>
              <w:bottom w:val="single" w:sz="12" w:space="0" w:color="000000"/>
              <w:right w:val="single" w:sz="2" w:space="0" w:color="000000"/>
            </w:tcBorders>
            <w:vAlign w:val="center"/>
          </w:tcPr>
          <w:p w:rsidR="00EC285D" w:rsidRDefault="00EC285D" w:rsidP="0088391E">
            <w:pPr>
              <w:jc w:val="center"/>
              <w:rPr>
                <w:rFonts w:ascii="Times New Roman" w:hAnsi="Times New Roman"/>
                <w:sz w:val="12"/>
                <w:szCs w:val="12"/>
              </w:rPr>
            </w:pPr>
            <w:r>
              <w:rPr>
                <w:rFonts w:ascii="Times New Roman" w:hAnsi="Times New Roman"/>
                <w:sz w:val="12"/>
                <w:szCs w:val="12"/>
              </w:rPr>
              <w:t>292</w:t>
            </w:r>
          </w:p>
        </w:tc>
        <w:tc>
          <w:tcPr>
            <w:tcW w:w="810" w:type="dxa"/>
            <w:tcBorders>
              <w:top w:val="single" w:sz="2" w:space="0" w:color="000000"/>
              <w:left w:val="single" w:sz="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color w:val="000000"/>
                <w:sz w:val="12"/>
                <w:szCs w:val="12"/>
              </w:rPr>
              <w:t>28.33 hours/year</w:t>
            </w:r>
          </w:p>
        </w:tc>
        <w:tc>
          <w:tcPr>
            <w:tcW w:w="900" w:type="dxa"/>
            <w:tcBorders>
              <w:top w:val="single" w:sz="2" w:space="0" w:color="000000"/>
              <w:left w:val="single" w:sz="2" w:space="0" w:color="000000"/>
              <w:bottom w:val="single" w:sz="12" w:space="0" w:color="000000"/>
              <w:right w:val="single" w:sz="12" w:space="0" w:color="000000"/>
            </w:tcBorders>
            <w:vAlign w:val="center"/>
          </w:tcPr>
          <w:p w:rsidR="00EC285D" w:rsidRPr="004E19CA" w:rsidRDefault="00EC285D" w:rsidP="0088391E">
            <w:pPr>
              <w:jc w:val="center"/>
              <w:rPr>
                <w:rFonts w:ascii="Times New Roman" w:hAnsi="Times New Roman"/>
                <w:color w:val="000000"/>
                <w:sz w:val="12"/>
                <w:szCs w:val="12"/>
              </w:rPr>
            </w:pPr>
            <w:r w:rsidRPr="004E19CA">
              <w:rPr>
                <w:rFonts w:ascii="Times New Roman" w:hAnsi="Times New Roman"/>
                <w:color w:val="000000"/>
                <w:sz w:val="12"/>
                <w:szCs w:val="12"/>
              </w:rPr>
              <w:t>8,273.33 hours</w:t>
            </w:r>
          </w:p>
        </w:tc>
      </w:tr>
      <w:tr w:rsidR="00EC285D" w:rsidTr="0088391E">
        <w:tc>
          <w:tcPr>
            <w:tcW w:w="1800" w:type="dxa"/>
            <w:vMerge/>
            <w:tcBorders>
              <w:top w:val="single" w:sz="2" w:space="0" w:color="000000"/>
              <w:left w:val="single" w:sz="12" w:space="0" w:color="000000"/>
              <w:bottom w:val="single" w:sz="12" w:space="0" w:color="000000"/>
              <w:right w:val="single" w:sz="1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8190" w:type="dxa"/>
            <w:gridSpan w:val="9"/>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rsidR="00EC285D" w:rsidRPr="00B8043C" w:rsidRDefault="00EC285D" w:rsidP="0088391E">
            <w:pPr>
              <w:jc w:val="center"/>
              <w:rPr>
                <w:rFonts w:ascii="Times New Roman" w:hAnsi="Times New Roman"/>
                <w:b/>
                <w:sz w:val="12"/>
                <w:szCs w:val="12"/>
              </w:rPr>
            </w:pPr>
            <w:r>
              <w:rPr>
                <w:rFonts w:ascii="Times New Roman" w:hAnsi="Times New Roman"/>
                <w:b/>
                <w:sz w:val="12"/>
                <w:szCs w:val="12"/>
              </w:rPr>
              <w:t>Cost burden</w:t>
            </w:r>
          </w:p>
        </w:tc>
      </w:tr>
      <w:tr w:rsidR="00EC285D" w:rsidTr="0088391E">
        <w:tc>
          <w:tcPr>
            <w:tcW w:w="1800" w:type="dxa"/>
            <w:vMerge/>
            <w:tcBorders>
              <w:top w:val="single" w:sz="2" w:space="0" w:color="000000"/>
              <w:left w:val="single" w:sz="12" w:space="0" w:color="000000"/>
              <w:bottom w:val="single" w:sz="12" w:space="0" w:color="000000"/>
              <w:right w:val="single" w:sz="1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900" w:type="dxa"/>
            <w:tcBorders>
              <w:top w:val="single" w:sz="12" w:space="0" w:color="000000"/>
              <w:left w:val="single" w:sz="1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90" w:type="dxa"/>
            <w:tcBorders>
              <w:top w:val="single" w:sz="12" w:space="0" w:color="000000"/>
              <w:left w:val="single" w:sz="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$0</w:t>
            </w:r>
          </w:p>
        </w:tc>
        <w:tc>
          <w:tcPr>
            <w:tcW w:w="900" w:type="dxa"/>
            <w:tcBorders>
              <w:top w:val="single" w:sz="12" w:space="0" w:color="000000"/>
              <w:left w:val="single" w:sz="2" w:space="0" w:color="000000"/>
              <w:bottom w:val="single" w:sz="12" w:space="0" w:color="000000"/>
              <w:right w:val="single" w:sz="1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$0</w:t>
            </w:r>
          </w:p>
        </w:tc>
        <w:tc>
          <w:tcPr>
            <w:tcW w:w="900" w:type="dxa"/>
            <w:tcBorders>
              <w:top w:val="single" w:sz="12" w:space="0" w:color="000000"/>
              <w:left w:val="single" w:sz="1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195</w:t>
            </w:r>
          </w:p>
        </w:tc>
        <w:tc>
          <w:tcPr>
            <w:tcW w:w="1080" w:type="dxa"/>
            <w:tcBorders>
              <w:top w:val="single" w:sz="12" w:space="0" w:color="000000"/>
              <w:left w:val="single" w:sz="2" w:space="0" w:color="000000"/>
              <w:bottom w:val="single" w:sz="12" w:space="0" w:color="000000"/>
              <w:right w:val="single" w:sz="2" w:space="0" w:color="000000"/>
            </w:tcBorders>
          </w:tcPr>
          <w:p w:rsidR="00EC285D" w:rsidRPr="00D7038E" w:rsidRDefault="00EC285D" w:rsidP="0088391E">
            <w:pPr>
              <w:rPr>
                <w:rFonts w:ascii="Times New Roman" w:hAnsi="Times New Roman"/>
                <w:sz w:val="12"/>
                <w:szCs w:val="12"/>
              </w:rPr>
            </w:pPr>
            <w:r>
              <w:rPr>
                <w:rFonts w:ascii="Times New Roman" w:hAnsi="Times New Roman"/>
                <w:color w:val="000000"/>
                <w:sz w:val="12"/>
                <w:szCs w:val="12"/>
              </w:rPr>
              <w:t xml:space="preserve">$10,666.67/year </w:t>
            </w:r>
            <w:r>
              <w:rPr>
                <w:rFonts w:ascii="Times New Roman" w:hAnsi="Times New Roman"/>
                <w:sz w:val="12"/>
                <w:szCs w:val="12"/>
              </w:rPr>
              <w:t>annualized initial cost to implement amendments using third party.</w:t>
            </w:r>
          </w:p>
        </w:tc>
        <w:tc>
          <w:tcPr>
            <w:tcW w:w="810" w:type="dxa"/>
            <w:tcBorders>
              <w:top w:val="single" w:sz="12" w:space="0" w:color="000000"/>
              <w:left w:val="single" w:sz="2" w:space="0" w:color="000000"/>
              <w:bottom w:val="single" w:sz="12" w:space="0" w:color="000000"/>
              <w:right w:val="single" w:sz="12" w:space="0" w:color="000000"/>
            </w:tcBorders>
            <w:vAlign w:val="center"/>
          </w:tcPr>
          <w:p w:rsidR="00EC285D" w:rsidRPr="00D7038E" w:rsidRDefault="00EC285D" w:rsidP="0088391E">
            <w:pPr>
              <w:jc w:val="center"/>
              <w:rPr>
                <w:rFonts w:ascii="Times New Roman" w:hAnsi="Times New Roman"/>
                <w:sz w:val="12"/>
                <w:szCs w:val="12"/>
              </w:rPr>
            </w:pPr>
            <w:r w:rsidRPr="00FD3823">
              <w:rPr>
                <w:rFonts w:ascii="Times New Roman" w:hAnsi="Times New Roman"/>
                <w:color w:val="000000"/>
                <w:sz w:val="12"/>
                <w:szCs w:val="12"/>
              </w:rPr>
              <w:t>$2,080,000</w:t>
            </w:r>
          </w:p>
        </w:tc>
        <w:tc>
          <w:tcPr>
            <w:tcW w:w="900" w:type="dxa"/>
            <w:tcBorders>
              <w:top w:val="single" w:sz="12" w:space="0" w:color="000000"/>
              <w:left w:val="single" w:sz="1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195</w:t>
            </w:r>
          </w:p>
        </w:tc>
        <w:tc>
          <w:tcPr>
            <w:tcW w:w="810" w:type="dxa"/>
            <w:tcBorders>
              <w:top w:val="single" w:sz="12" w:space="0" w:color="000000"/>
              <w:left w:val="single" w:sz="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color w:val="000000"/>
                <w:sz w:val="12"/>
                <w:szCs w:val="12"/>
              </w:rPr>
              <w:t>$10,666.67</w:t>
            </w:r>
            <w:r>
              <w:rPr>
                <w:rFonts w:ascii="Times New Roman" w:hAnsi="Times New Roman"/>
                <w:sz w:val="12"/>
                <w:szCs w:val="12"/>
              </w:rPr>
              <w:t>/year</w:t>
            </w:r>
          </w:p>
        </w:tc>
        <w:tc>
          <w:tcPr>
            <w:tcW w:w="900" w:type="dxa"/>
            <w:tcBorders>
              <w:top w:val="single" w:sz="12" w:space="0" w:color="000000"/>
              <w:left w:val="single" w:sz="2" w:space="0" w:color="000000"/>
              <w:bottom w:val="single" w:sz="12" w:space="0" w:color="000000"/>
              <w:right w:val="single" w:sz="12" w:space="0" w:color="000000"/>
            </w:tcBorders>
            <w:vAlign w:val="center"/>
          </w:tcPr>
          <w:p w:rsidR="00EC285D" w:rsidRPr="00D7038E" w:rsidRDefault="00EC285D" w:rsidP="0088391E">
            <w:pPr>
              <w:jc w:val="center"/>
              <w:rPr>
                <w:rFonts w:ascii="Times New Roman" w:hAnsi="Times New Roman"/>
                <w:sz w:val="12"/>
                <w:szCs w:val="12"/>
              </w:rPr>
            </w:pPr>
            <w:r w:rsidRPr="00FD3823">
              <w:rPr>
                <w:rFonts w:ascii="Times New Roman" w:hAnsi="Times New Roman"/>
                <w:color w:val="000000"/>
                <w:sz w:val="12"/>
                <w:szCs w:val="12"/>
              </w:rPr>
              <w:t>$2,080,000</w:t>
            </w:r>
          </w:p>
        </w:tc>
      </w:tr>
      <w:tr w:rsidR="00EC285D" w:rsidTr="0088391E">
        <w:tc>
          <w:tcPr>
            <w:tcW w:w="1800" w:type="dxa"/>
            <w:vMerge w:val="restart"/>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r w:rsidRPr="00D7038E">
              <w:rPr>
                <w:rFonts w:ascii="Times New Roman" w:hAnsi="Times New Roman"/>
                <w:b/>
                <w:sz w:val="12"/>
                <w:szCs w:val="12"/>
              </w:rPr>
              <w:t>Rule 606(b)(1)</w:t>
            </w:r>
          </w:p>
        </w:tc>
        <w:tc>
          <w:tcPr>
            <w:tcW w:w="8190" w:type="dxa"/>
            <w:gridSpan w:val="9"/>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rsidR="00EC285D" w:rsidRDefault="00EC285D" w:rsidP="0088391E">
            <w:pPr>
              <w:jc w:val="center"/>
              <w:rPr>
                <w:rFonts w:ascii="Times New Roman" w:hAnsi="Times New Roman"/>
                <w:sz w:val="12"/>
                <w:szCs w:val="12"/>
              </w:rPr>
            </w:pPr>
            <w:r w:rsidRPr="00B8043C">
              <w:rPr>
                <w:rFonts w:ascii="Times New Roman" w:hAnsi="Times New Roman"/>
                <w:b/>
                <w:sz w:val="12"/>
                <w:szCs w:val="12"/>
              </w:rPr>
              <w:t>Hourly burden</w:t>
            </w:r>
          </w:p>
        </w:tc>
      </w:tr>
      <w:tr w:rsidR="00EC285D" w:rsidTr="0088391E">
        <w:tc>
          <w:tcPr>
            <w:tcW w:w="1800" w:type="dxa"/>
            <w:vMerge/>
            <w:tcBorders>
              <w:top w:val="single" w:sz="2" w:space="0" w:color="000000"/>
              <w:left w:val="single" w:sz="12" w:space="0" w:color="000000"/>
              <w:bottom w:val="single" w:sz="12" w:space="0" w:color="000000"/>
              <w:right w:val="single" w:sz="1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900" w:type="dxa"/>
            <w:tcBorders>
              <w:top w:val="single" w:sz="12" w:space="0" w:color="000000"/>
              <w:left w:val="single" w:sz="1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185</w:t>
            </w:r>
          </w:p>
        </w:tc>
        <w:tc>
          <w:tcPr>
            <w:tcW w:w="990" w:type="dxa"/>
            <w:tcBorders>
              <w:top w:val="single" w:sz="12" w:space="0" w:color="000000"/>
              <w:left w:val="single" w:sz="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400 hours/year</w:t>
            </w:r>
          </w:p>
        </w:tc>
        <w:tc>
          <w:tcPr>
            <w:tcW w:w="900" w:type="dxa"/>
            <w:tcBorders>
              <w:top w:val="single" w:sz="12" w:space="0" w:color="000000"/>
              <w:left w:val="single" w:sz="2" w:space="0" w:color="000000"/>
              <w:bottom w:val="single" w:sz="12" w:space="0" w:color="000000"/>
              <w:right w:val="single" w:sz="1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74,000 hours</w:t>
            </w:r>
          </w:p>
        </w:tc>
        <w:tc>
          <w:tcPr>
            <w:tcW w:w="900" w:type="dxa"/>
            <w:tcBorders>
              <w:top w:val="single" w:sz="12" w:space="0" w:color="000000"/>
              <w:left w:val="single" w:sz="1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217</w:t>
            </w:r>
          </w:p>
        </w:tc>
        <w:tc>
          <w:tcPr>
            <w:tcW w:w="1080" w:type="dxa"/>
            <w:tcBorders>
              <w:top w:val="single" w:sz="12" w:space="0" w:color="000000"/>
              <w:left w:val="single" w:sz="2" w:space="0" w:color="000000"/>
              <w:bottom w:val="single" w:sz="12" w:space="0" w:color="000000"/>
              <w:right w:val="single" w:sz="2" w:space="0" w:color="000000"/>
            </w:tcBorders>
          </w:tcPr>
          <w:p w:rsidR="00EC285D" w:rsidRPr="00D7038E" w:rsidRDefault="00EC285D" w:rsidP="0088391E">
            <w:pPr>
              <w:rPr>
                <w:rFonts w:ascii="Times New Roman" w:hAnsi="Times New Roman"/>
                <w:sz w:val="12"/>
                <w:szCs w:val="12"/>
              </w:rPr>
            </w:pPr>
            <w:r>
              <w:rPr>
                <w:rFonts w:ascii="Times New Roman" w:hAnsi="Times New Roman"/>
                <w:sz w:val="12"/>
                <w:szCs w:val="12"/>
              </w:rPr>
              <w:t>400 hours/year</w:t>
            </w:r>
          </w:p>
        </w:tc>
        <w:tc>
          <w:tcPr>
            <w:tcW w:w="810" w:type="dxa"/>
            <w:tcBorders>
              <w:top w:val="single" w:sz="12" w:space="0" w:color="000000"/>
              <w:left w:val="single" w:sz="2" w:space="0" w:color="000000"/>
              <w:bottom w:val="single" w:sz="12" w:space="0" w:color="000000"/>
              <w:right w:val="single" w:sz="12" w:space="0" w:color="000000"/>
            </w:tcBorders>
          </w:tcPr>
          <w:p w:rsidR="00EC285D" w:rsidRPr="00D7038E" w:rsidRDefault="00EC285D" w:rsidP="0088391E">
            <w:pPr>
              <w:rPr>
                <w:rFonts w:ascii="Times New Roman" w:hAnsi="Times New Roman"/>
                <w:sz w:val="12"/>
                <w:szCs w:val="12"/>
              </w:rPr>
            </w:pPr>
            <w:r>
              <w:rPr>
                <w:rFonts w:ascii="Times New Roman" w:hAnsi="Times New Roman"/>
                <w:sz w:val="12"/>
                <w:szCs w:val="12"/>
              </w:rPr>
              <w:t>86,800 hours</w:t>
            </w:r>
          </w:p>
        </w:tc>
        <w:tc>
          <w:tcPr>
            <w:tcW w:w="900" w:type="dxa"/>
            <w:tcBorders>
              <w:top w:val="single" w:sz="12" w:space="0" w:color="000000"/>
              <w:left w:val="single" w:sz="1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32</w:t>
            </w:r>
          </w:p>
        </w:tc>
        <w:tc>
          <w:tcPr>
            <w:tcW w:w="810" w:type="dxa"/>
            <w:tcBorders>
              <w:top w:val="single" w:sz="12" w:space="0" w:color="000000"/>
              <w:left w:val="single" w:sz="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0 hours/year</w:t>
            </w:r>
          </w:p>
        </w:tc>
        <w:tc>
          <w:tcPr>
            <w:tcW w:w="900" w:type="dxa"/>
            <w:tcBorders>
              <w:top w:val="single" w:sz="12" w:space="0" w:color="000000"/>
              <w:left w:val="single" w:sz="2" w:space="0" w:color="000000"/>
              <w:bottom w:val="single" w:sz="12" w:space="0" w:color="000000"/>
              <w:right w:val="single" w:sz="1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12,800 hours</w:t>
            </w:r>
          </w:p>
        </w:tc>
      </w:tr>
      <w:tr w:rsidR="00EC285D" w:rsidTr="0088391E">
        <w:tc>
          <w:tcPr>
            <w:tcW w:w="1800" w:type="dxa"/>
            <w:vMerge/>
            <w:tcBorders>
              <w:top w:val="single" w:sz="2" w:space="0" w:color="000000"/>
              <w:left w:val="single" w:sz="12" w:space="0" w:color="000000"/>
              <w:bottom w:val="single" w:sz="12" w:space="0" w:color="000000"/>
              <w:right w:val="single" w:sz="1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8190" w:type="dxa"/>
            <w:gridSpan w:val="9"/>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rsidR="00EC285D" w:rsidRDefault="00EC285D" w:rsidP="0088391E">
            <w:pPr>
              <w:jc w:val="center"/>
              <w:rPr>
                <w:rFonts w:ascii="Times New Roman" w:hAnsi="Times New Roman"/>
                <w:sz w:val="12"/>
                <w:szCs w:val="12"/>
              </w:rPr>
            </w:pPr>
            <w:r>
              <w:rPr>
                <w:rFonts w:ascii="Times New Roman" w:hAnsi="Times New Roman"/>
                <w:b/>
                <w:sz w:val="12"/>
                <w:szCs w:val="12"/>
              </w:rPr>
              <w:t>Cost burden</w:t>
            </w:r>
          </w:p>
        </w:tc>
      </w:tr>
      <w:tr w:rsidR="00EC285D" w:rsidTr="0088391E">
        <w:tc>
          <w:tcPr>
            <w:tcW w:w="1800" w:type="dxa"/>
            <w:vMerge/>
            <w:tcBorders>
              <w:top w:val="single" w:sz="2" w:space="0" w:color="000000"/>
              <w:left w:val="single" w:sz="12" w:space="0" w:color="000000"/>
              <w:bottom w:val="single" w:sz="12" w:space="0" w:color="000000"/>
              <w:right w:val="single" w:sz="1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900" w:type="dxa"/>
            <w:tcBorders>
              <w:top w:val="single" w:sz="12" w:space="0" w:color="000000"/>
              <w:left w:val="single" w:sz="1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185</w:t>
            </w:r>
          </w:p>
        </w:tc>
        <w:tc>
          <w:tcPr>
            <w:tcW w:w="990" w:type="dxa"/>
            <w:tcBorders>
              <w:top w:val="single" w:sz="12" w:space="0" w:color="000000"/>
              <w:left w:val="single" w:sz="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$0</w:t>
            </w:r>
          </w:p>
        </w:tc>
        <w:tc>
          <w:tcPr>
            <w:tcW w:w="900" w:type="dxa"/>
            <w:tcBorders>
              <w:top w:val="single" w:sz="12" w:space="0" w:color="000000"/>
              <w:left w:val="single" w:sz="2" w:space="0" w:color="000000"/>
              <w:bottom w:val="single" w:sz="12" w:space="0" w:color="000000"/>
              <w:right w:val="single" w:sz="1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$0</w:t>
            </w:r>
          </w:p>
        </w:tc>
        <w:tc>
          <w:tcPr>
            <w:tcW w:w="900" w:type="dxa"/>
            <w:tcBorders>
              <w:top w:val="single" w:sz="12" w:space="0" w:color="000000"/>
              <w:left w:val="single" w:sz="1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217</w:t>
            </w:r>
          </w:p>
        </w:tc>
        <w:tc>
          <w:tcPr>
            <w:tcW w:w="1080" w:type="dxa"/>
            <w:tcBorders>
              <w:top w:val="single" w:sz="12" w:space="0" w:color="000000"/>
              <w:left w:val="single" w:sz="2" w:space="0" w:color="000000"/>
              <w:bottom w:val="single" w:sz="12" w:space="0" w:color="000000"/>
              <w:right w:val="single" w:sz="2" w:space="0" w:color="000000"/>
            </w:tcBorders>
          </w:tcPr>
          <w:p w:rsidR="00EC285D" w:rsidRPr="00D7038E" w:rsidRDefault="00EC285D" w:rsidP="0088391E">
            <w:pPr>
              <w:rPr>
                <w:rFonts w:ascii="Times New Roman" w:hAnsi="Times New Roman"/>
                <w:sz w:val="12"/>
                <w:szCs w:val="12"/>
              </w:rPr>
            </w:pPr>
            <w:r>
              <w:rPr>
                <w:rFonts w:ascii="Times New Roman" w:hAnsi="Times New Roman"/>
                <w:color w:val="000000"/>
                <w:sz w:val="12"/>
                <w:szCs w:val="12"/>
              </w:rPr>
              <w:t>$1,666.67</w:t>
            </w:r>
          </w:p>
        </w:tc>
        <w:tc>
          <w:tcPr>
            <w:tcW w:w="810" w:type="dxa"/>
            <w:tcBorders>
              <w:top w:val="single" w:sz="12" w:space="0" w:color="000000"/>
              <w:left w:val="single" w:sz="2" w:space="0" w:color="000000"/>
              <w:bottom w:val="single" w:sz="12" w:space="0" w:color="000000"/>
              <w:right w:val="single" w:sz="12" w:space="0" w:color="000000"/>
            </w:tcBorders>
          </w:tcPr>
          <w:p w:rsidR="00EC285D" w:rsidRPr="00D7038E" w:rsidRDefault="00EC285D" w:rsidP="0088391E">
            <w:pPr>
              <w:rPr>
                <w:rFonts w:ascii="Times New Roman" w:hAnsi="Times New Roman"/>
                <w:sz w:val="12"/>
                <w:szCs w:val="12"/>
              </w:rPr>
            </w:pPr>
            <w:r w:rsidRPr="00FD3823">
              <w:rPr>
                <w:rFonts w:ascii="Times New Roman" w:hAnsi="Times New Roman"/>
                <w:color w:val="000000"/>
                <w:sz w:val="12"/>
                <w:szCs w:val="12"/>
              </w:rPr>
              <w:t>$325,000</w:t>
            </w:r>
          </w:p>
        </w:tc>
        <w:tc>
          <w:tcPr>
            <w:tcW w:w="900" w:type="dxa"/>
            <w:tcBorders>
              <w:top w:val="single" w:sz="12" w:space="0" w:color="000000"/>
              <w:left w:val="single" w:sz="1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32</w:t>
            </w:r>
          </w:p>
        </w:tc>
        <w:tc>
          <w:tcPr>
            <w:tcW w:w="810" w:type="dxa"/>
            <w:tcBorders>
              <w:top w:val="single" w:sz="12" w:space="0" w:color="000000"/>
              <w:left w:val="single" w:sz="2" w:space="0" w:color="000000"/>
              <w:bottom w:val="single" w:sz="12" w:space="0" w:color="000000"/>
              <w:right w:val="single" w:sz="2" w:space="0" w:color="000000"/>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color w:val="000000"/>
                <w:sz w:val="12"/>
                <w:szCs w:val="12"/>
              </w:rPr>
              <w:t>$1,666.67</w:t>
            </w:r>
            <w:r>
              <w:rPr>
                <w:rFonts w:ascii="Times New Roman" w:hAnsi="Times New Roman"/>
                <w:sz w:val="12"/>
                <w:szCs w:val="12"/>
              </w:rPr>
              <w:t>/year</w:t>
            </w:r>
          </w:p>
        </w:tc>
        <w:tc>
          <w:tcPr>
            <w:tcW w:w="900" w:type="dxa"/>
            <w:tcBorders>
              <w:top w:val="single" w:sz="12" w:space="0" w:color="000000"/>
              <w:left w:val="single" w:sz="2" w:space="0" w:color="000000"/>
              <w:bottom w:val="single" w:sz="12" w:space="0" w:color="000000"/>
              <w:right w:val="single" w:sz="12" w:space="0" w:color="000000"/>
            </w:tcBorders>
            <w:vAlign w:val="center"/>
          </w:tcPr>
          <w:p w:rsidR="00EC285D" w:rsidRPr="00D7038E" w:rsidRDefault="00EC285D" w:rsidP="0088391E">
            <w:pPr>
              <w:jc w:val="center"/>
              <w:rPr>
                <w:rFonts w:ascii="Times New Roman" w:hAnsi="Times New Roman"/>
                <w:sz w:val="12"/>
                <w:szCs w:val="12"/>
              </w:rPr>
            </w:pPr>
            <w:r w:rsidRPr="00FD3823">
              <w:rPr>
                <w:rFonts w:ascii="Times New Roman" w:hAnsi="Times New Roman"/>
                <w:color w:val="000000"/>
                <w:sz w:val="12"/>
                <w:szCs w:val="12"/>
              </w:rPr>
              <w:t>$325,000</w:t>
            </w:r>
          </w:p>
        </w:tc>
      </w:tr>
      <w:tr w:rsidR="00EC285D" w:rsidTr="0088391E">
        <w:tc>
          <w:tcPr>
            <w:tcW w:w="1800" w:type="dxa"/>
            <w:vMerge w:val="restart"/>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EC285D" w:rsidRPr="00D7038E" w:rsidRDefault="00EC285D" w:rsidP="0088391E">
            <w:pPr>
              <w:rPr>
                <w:rFonts w:ascii="Times New Roman" w:hAnsi="Times New Roman"/>
                <w:b/>
                <w:sz w:val="12"/>
                <w:szCs w:val="12"/>
              </w:rPr>
            </w:pPr>
            <w:r w:rsidRPr="00D7038E">
              <w:rPr>
                <w:rFonts w:ascii="Times New Roman" w:hAnsi="Times New Roman"/>
                <w:b/>
                <w:sz w:val="12"/>
                <w:szCs w:val="12"/>
              </w:rPr>
              <w:t>Rule 606(b)(3)</w:t>
            </w:r>
          </w:p>
        </w:tc>
        <w:tc>
          <w:tcPr>
            <w:tcW w:w="8190" w:type="dxa"/>
            <w:gridSpan w:val="9"/>
            <w:tcBorders>
              <w:top w:val="single" w:sz="12" w:space="0" w:color="000000"/>
              <w:left w:val="single" w:sz="12" w:space="0" w:color="000000"/>
              <w:bottom w:val="single" w:sz="2" w:space="0" w:color="auto"/>
            </w:tcBorders>
            <w:shd w:val="clear" w:color="auto" w:fill="DBE5F1" w:themeFill="accent1" w:themeFillTint="33"/>
          </w:tcPr>
          <w:p w:rsidR="00EC285D" w:rsidRPr="00D7038E" w:rsidRDefault="00EC285D" w:rsidP="0088391E">
            <w:pPr>
              <w:jc w:val="center"/>
              <w:rPr>
                <w:rFonts w:ascii="Times New Roman" w:hAnsi="Times New Roman"/>
                <w:sz w:val="12"/>
                <w:szCs w:val="12"/>
              </w:rPr>
            </w:pPr>
            <w:r w:rsidRPr="00B8043C">
              <w:rPr>
                <w:rFonts w:ascii="Times New Roman" w:hAnsi="Times New Roman"/>
                <w:b/>
                <w:sz w:val="12"/>
                <w:szCs w:val="12"/>
              </w:rPr>
              <w:t>Hourly burden</w:t>
            </w:r>
          </w:p>
        </w:tc>
      </w:tr>
      <w:tr w:rsidR="00EC285D" w:rsidTr="0088391E">
        <w:tc>
          <w:tcPr>
            <w:tcW w:w="1800" w:type="dxa"/>
            <w:vMerge/>
            <w:tcBorders>
              <w:top w:val="single" w:sz="12" w:space="0" w:color="000000"/>
              <w:left w:val="single" w:sz="12" w:space="0" w:color="000000"/>
              <w:bottom w:val="single" w:sz="12" w:space="0" w:color="000000"/>
              <w:right w:val="single" w:sz="12" w:space="0" w:color="auto"/>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900" w:type="dxa"/>
            <w:tcBorders>
              <w:top w:val="single" w:sz="12" w:space="0" w:color="auto"/>
              <w:left w:val="single" w:sz="1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90" w:type="dxa"/>
            <w:tcBorders>
              <w:top w:val="single" w:sz="12" w:space="0" w:color="auto"/>
              <w:left w:val="single" w:sz="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12" w:space="0" w:color="auto"/>
              <w:left w:val="single" w:sz="2" w:space="0" w:color="auto"/>
              <w:bottom w:val="single" w:sz="2" w:space="0" w:color="auto"/>
              <w:right w:val="single" w:sz="1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12" w:space="0" w:color="auto"/>
              <w:left w:val="single" w:sz="1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67</w:t>
            </w:r>
          </w:p>
        </w:tc>
        <w:tc>
          <w:tcPr>
            <w:tcW w:w="1080" w:type="dxa"/>
            <w:tcBorders>
              <w:top w:val="single" w:sz="12" w:space="0" w:color="auto"/>
              <w:left w:val="single" w:sz="2" w:space="0" w:color="auto"/>
              <w:bottom w:val="single" w:sz="2" w:space="0" w:color="auto"/>
              <w:right w:val="single" w:sz="2" w:space="0" w:color="auto"/>
            </w:tcBorders>
            <w:vAlign w:val="center"/>
          </w:tcPr>
          <w:p w:rsidR="00EC285D" w:rsidRDefault="00EC285D" w:rsidP="0088391E">
            <w:pPr>
              <w:rPr>
                <w:rFonts w:ascii="Times New Roman" w:hAnsi="Times New Roman"/>
                <w:sz w:val="12"/>
                <w:szCs w:val="12"/>
              </w:rPr>
            </w:pPr>
            <w:r w:rsidRPr="007D6176">
              <w:rPr>
                <w:rFonts w:ascii="Times New Roman" w:hAnsi="Times New Roman"/>
                <w:color w:val="000000"/>
                <w:sz w:val="12"/>
                <w:szCs w:val="12"/>
              </w:rPr>
              <w:t>86.67 hours</w:t>
            </w:r>
            <w:r>
              <w:rPr>
                <w:rFonts w:ascii="Times New Roman" w:hAnsi="Times New Roman"/>
                <w:sz w:val="12"/>
                <w:szCs w:val="12"/>
              </w:rPr>
              <w:t>/year</w:t>
            </w:r>
          </w:p>
          <w:p w:rsidR="00EC285D" w:rsidRPr="007D6176" w:rsidRDefault="00EC285D" w:rsidP="0088391E">
            <w:pPr>
              <w:rPr>
                <w:rFonts w:ascii="Times New Roman" w:hAnsi="Times New Roman"/>
                <w:sz w:val="12"/>
                <w:szCs w:val="12"/>
              </w:rPr>
            </w:pPr>
            <w:r>
              <w:rPr>
                <w:rFonts w:ascii="Times New Roman" w:hAnsi="Times New Roman"/>
                <w:sz w:val="12"/>
                <w:szCs w:val="12"/>
              </w:rPr>
              <w:t>annualized initial burden to implement amendments in-house.</w:t>
            </w:r>
          </w:p>
        </w:tc>
        <w:tc>
          <w:tcPr>
            <w:tcW w:w="810" w:type="dxa"/>
            <w:tcBorders>
              <w:top w:val="single" w:sz="12" w:space="0" w:color="auto"/>
              <w:left w:val="single" w:sz="2" w:space="0" w:color="auto"/>
              <w:bottom w:val="single" w:sz="2" w:space="0" w:color="auto"/>
              <w:right w:val="single" w:sz="12" w:space="0" w:color="auto"/>
            </w:tcBorders>
            <w:vAlign w:val="center"/>
          </w:tcPr>
          <w:p w:rsidR="00EC285D" w:rsidRPr="007D6176" w:rsidRDefault="00EC285D" w:rsidP="0088391E">
            <w:pPr>
              <w:jc w:val="center"/>
              <w:rPr>
                <w:rFonts w:ascii="Times New Roman" w:hAnsi="Times New Roman"/>
                <w:sz w:val="12"/>
                <w:szCs w:val="12"/>
              </w:rPr>
            </w:pPr>
            <w:r w:rsidRPr="007D6176">
              <w:rPr>
                <w:rFonts w:ascii="Times New Roman" w:hAnsi="Times New Roman"/>
                <w:sz w:val="12"/>
                <w:szCs w:val="12"/>
              </w:rPr>
              <w:t>5,806.67 hours</w:t>
            </w:r>
          </w:p>
        </w:tc>
        <w:tc>
          <w:tcPr>
            <w:tcW w:w="900" w:type="dxa"/>
            <w:tcBorders>
              <w:top w:val="single" w:sz="12" w:space="0" w:color="auto"/>
              <w:left w:val="single" w:sz="1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67</w:t>
            </w:r>
          </w:p>
        </w:tc>
        <w:tc>
          <w:tcPr>
            <w:tcW w:w="810" w:type="dxa"/>
            <w:tcBorders>
              <w:top w:val="single" w:sz="12" w:space="0" w:color="auto"/>
              <w:left w:val="single" w:sz="2" w:space="0" w:color="auto"/>
              <w:bottom w:val="single" w:sz="2" w:space="0" w:color="auto"/>
              <w:right w:val="single" w:sz="2" w:space="0" w:color="auto"/>
            </w:tcBorders>
            <w:vAlign w:val="center"/>
          </w:tcPr>
          <w:p w:rsidR="00EC285D" w:rsidRPr="007D6176" w:rsidRDefault="00EC285D" w:rsidP="0088391E">
            <w:pPr>
              <w:jc w:val="center"/>
              <w:rPr>
                <w:rFonts w:ascii="Times New Roman" w:hAnsi="Times New Roman"/>
                <w:sz w:val="12"/>
                <w:szCs w:val="12"/>
              </w:rPr>
            </w:pPr>
            <w:r w:rsidRPr="007D6176">
              <w:rPr>
                <w:rFonts w:ascii="Times New Roman" w:hAnsi="Times New Roman"/>
                <w:color w:val="000000"/>
                <w:sz w:val="12"/>
                <w:szCs w:val="12"/>
              </w:rPr>
              <w:t>86.67 hours</w:t>
            </w:r>
            <w:r>
              <w:rPr>
                <w:rFonts w:ascii="Times New Roman" w:hAnsi="Times New Roman"/>
                <w:sz w:val="12"/>
                <w:szCs w:val="12"/>
              </w:rPr>
              <w:t>/year</w:t>
            </w:r>
          </w:p>
        </w:tc>
        <w:tc>
          <w:tcPr>
            <w:tcW w:w="900" w:type="dxa"/>
            <w:tcBorders>
              <w:top w:val="single" w:sz="12" w:space="0" w:color="auto"/>
              <w:left w:val="single" w:sz="2" w:space="0" w:color="auto"/>
              <w:bottom w:val="single" w:sz="2" w:space="0" w:color="auto"/>
              <w:right w:val="single" w:sz="12" w:space="0" w:color="auto"/>
            </w:tcBorders>
            <w:vAlign w:val="center"/>
          </w:tcPr>
          <w:p w:rsidR="00EC285D" w:rsidRPr="007D6176" w:rsidRDefault="00EC285D" w:rsidP="0088391E">
            <w:pPr>
              <w:jc w:val="center"/>
              <w:rPr>
                <w:rFonts w:ascii="Times New Roman" w:hAnsi="Times New Roman"/>
                <w:sz w:val="12"/>
                <w:szCs w:val="12"/>
              </w:rPr>
            </w:pPr>
            <w:r w:rsidRPr="007D6176">
              <w:rPr>
                <w:rFonts w:ascii="Times New Roman" w:hAnsi="Times New Roman"/>
                <w:sz w:val="12"/>
                <w:szCs w:val="12"/>
              </w:rPr>
              <w:t>5,806.67 hours</w:t>
            </w:r>
          </w:p>
        </w:tc>
      </w:tr>
      <w:tr w:rsidR="00CC52B1" w:rsidTr="0088391E">
        <w:tc>
          <w:tcPr>
            <w:tcW w:w="1800" w:type="dxa"/>
            <w:vMerge/>
            <w:tcBorders>
              <w:top w:val="single" w:sz="12" w:space="0" w:color="000000"/>
              <w:left w:val="single" w:sz="12" w:space="0" w:color="000000"/>
              <w:bottom w:val="single" w:sz="12" w:space="0" w:color="000000"/>
              <w:right w:val="single" w:sz="12" w:space="0" w:color="auto"/>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900" w:type="dxa"/>
            <w:tcBorders>
              <w:top w:val="single" w:sz="2" w:space="0" w:color="auto"/>
              <w:left w:val="single" w:sz="1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90" w:type="dxa"/>
            <w:tcBorders>
              <w:top w:val="single" w:sz="2" w:space="0" w:color="auto"/>
              <w:left w:val="single" w:sz="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2" w:space="0" w:color="auto"/>
              <w:left w:val="single" w:sz="2" w:space="0" w:color="auto"/>
              <w:bottom w:val="single" w:sz="2" w:space="0" w:color="auto"/>
              <w:right w:val="single" w:sz="1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2" w:space="0" w:color="auto"/>
              <w:left w:val="single" w:sz="1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133</w:t>
            </w:r>
          </w:p>
        </w:tc>
        <w:tc>
          <w:tcPr>
            <w:tcW w:w="1080" w:type="dxa"/>
            <w:tcBorders>
              <w:top w:val="single" w:sz="2" w:space="0" w:color="auto"/>
              <w:left w:val="single" w:sz="2" w:space="0" w:color="auto"/>
              <w:bottom w:val="single" w:sz="2" w:space="0" w:color="auto"/>
              <w:right w:val="single" w:sz="2" w:space="0" w:color="auto"/>
            </w:tcBorders>
            <w:vAlign w:val="center"/>
          </w:tcPr>
          <w:p w:rsidR="00EC285D" w:rsidRPr="00C952D9" w:rsidRDefault="00EC285D" w:rsidP="0088391E">
            <w:pPr>
              <w:rPr>
                <w:rFonts w:ascii="Times New Roman" w:hAnsi="Times New Roman"/>
                <w:b/>
                <w:color w:val="000000"/>
                <w:sz w:val="12"/>
                <w:szCs w:val="12"/>
              </w:rPr>
            </w:pPr>
            <w:r w:rsidRPr="007D6176">
              <w:rPr>
                <w:rFonts w:ascii="Times New Roman" w:hAnsi="Times New Roman"/>
                <w:color w:val="000000"/>
                <w:sz w:val="12"/>
                <w:szCs w:val="12"/>
              </w:rPr>
              <w:t>16.67 hours</w:t>
            </w:r>
            <w:r>
              <w:rPr>
                <w:rFonts w:ascii="Times New Roman" w:hAnsi="Times New Roman"/>
                <w:sz w:val="12"/>
                <w:szCs w:val="12"/>
              </w:rPr>
              <w:t>/year annualized initial burden to implement amendments using third party.</w:t>
            </w:r>
          </w:p>
        </w:tc>
        <w:tc>
          <w:tcPr>
            <w:tcW w:w="810" w:type="dxa"/>
            <w:tcBorders>
              <w:top w:val="single" w:sz="2" w:space="0" w:color="auto"/>
              <w:left w:val="single" w:sz="2" w:space="0" w:color="auto"/>
              <w:bottom w:val="single" w:sz="2" w:space="0" w:color="auto"/>
              <w:right w:val="single" w:sz="12" w:space="0" w:color="auto"/>
            </w:tcBorders>
            <w:vAlign w:val="center"/>
          </w:tcPr>
          <w:p w:rsidR="00EC285D" w:rsidRPr="007D6176" w:rsidRDefault="00EC285D" w:rsidP="0088391E">
            <w:pPr>
              <w:jc w:val="center"/>
              <w:rPr>
                <w:rFonts w:ascii="Times New Roman" w:hAnsi="Times New Roman"/>
                <w:color w:val="000000"/>
                <w:sz w:val="12"/>
                <w:szCs w:val="12"/>
              </w:rPr>
            </w:pPr>
            <w:r w:rsidRPr="007D6176">
              <w:rPr>
                <w:rFonts w:ascii="Times New Roman" w:hAnsi="Times New Roman"/>
                <w:color w:val="000000"/>
                <w:sz w:val="12"/>
                <w:szCs w:val="12"/>
              </w:rPr>
              <w:t>2,216.67 hours</w:t>
            </w:r>
          </w:p>
        </w:tc>
        <w:tc>
          <w:tcPr>
            <w:tcW w:w="900" w:type="dxa"/>
            <w:tcBorders>
              <w:top w:val="single" w:sz="2" w:space="0" w:color="auto"/>
              <w:left w:val="single" w:sz="1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133</w:t>
            </w:r>
          </w:p>
        </w:tc>
        <w:tc>
          <w:tcPr>
            <w:tcW w:w="810" w:type="dxa"/>
            <w:tcBorders>
              <w:top w:val="single" w:sz="2" w:space="0" w:color="auto"/>
              <w:left w:val="single" w:sz="2" w:space="0" w:color="auto"/>
              <w:bottom w:val="single" w:sz="2" w:space="0" w:color="auto"/>
              <w:right w:val="single" w:sz="2" w:space="0" w:color="auto"/>
            </w:tcBorders>
            <w:vAlign w:val="center"/>
          </w:tcPr>
          <w:p w:rsidR="00EC285D" w:rsidRPr="007D6176" w:rsidRDefault="00EC285D" w:rsidP="0088391E">
            <w:pPr>
              <w:jc w:val="center"/>
              <w:rPr>
                <w:rFonts w:ascii="Times New Roman" w:hAnsi="Times New Roman"/>
                <w:color w:val="000000"/>
                <w:sz w:val="12"/>
                <w:szCs w:val="12"/>
              </w:rPr>
            </w:pPr>
            <w:r w:rsidRPr="007D6176">
              <w:rPr>
                <w:rFonts w:ascii="Times New Roman" w:hAnsi="Times New Roman"/>
                <w:color w:val="000000"/>
                <w:sz w:val="12"/>
                <w:szCs w:val="12"/>
              </w:rPr>
              <w:t>16.67 hours</w:t>
            </w:r>
            <w:r>
              <w:rPr>
                <w:rFonts w:ascii="Times New Roman" w:hAnsi="Times New Roman"/>
                <w:sz w:val="12"/>
                <w:szCs w:val="12"/>
              </w:rPr>
              <w:t>/year</w:t>
            </w:r>
          </w:p>
        </w:tc>
        <w:tc>
          <w:tcPr>
            <w:tcW w:w="900" w:type="dxa"/>
            <w:tcBorders>
              <w:top w:val="single" w:sz="2" w:space="0" w:color="auto"/>
              <w:left w:val="single" w:sz="2" w:space="0" w:color="auto"/>
              <w:bottom w:val="single" w:sz="2" w:space="0" w:color="auto"/>
              <w:right w:val="single" w:sz="12" w:space="0" w:color="auto"/>
            </w:tcBorders>
            <w:vAlign w:val="center"/>
          </w:tcPr>
          <w:p w:rsidR="00EC285D" w:rsidRPr="007D6176" w:rsidRDefault="00EC285D" w:rsidP="0088391E">
            <w:pPr>
              <w:jc w:val="center"/>
              <w:rPr>
                <w:rFonts w:ascii="Times New Roman" w:hAnsi="Times New Roman"/>
                <w:color w:val="000000"/>
                <w:sz w:val="12"/>
                <w:szCs w:val="12"/>
              </w:rPr>
            </w:pPr>
            <w:r w:rsidRPr="007D6176">
              <w:rPr>
                <w:rFonts w:ascii="Times New Roman" w:hAnsi="Times New Roman"/>
                <w:color w:val="000000"/>
                <w:sz w:val="12"/>
                <w:szCs w:val="12"/>
              </w:rPr>
              <w:t>2,216.67 hours</w:t>
            </w:r>
          </w:p>
        </w:tc>
      </w:tr>
      <w:tr w:rsidR="00CC52B1" w:rsidTr="0088391E">
        <w:tc>
          <w:tcPr>
            <w:tcW w:w="1800" w:type="dxa"/>
            <w:vMerge/>
            <w:tcBorders>
              <w:top w:val="single" w:sz="12" w:space="0" w:color="000000"/>
              <w:left w:val="single" w:sz="12" w:space="0" w:color="000000"/>
              <w:bottom w:val="single" w:sz="12" w:space="0" w:color="000000"/>
              <w:right w:val="single" w:sz="12" w:space="0" w:color="auto"/>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900" w:type="dxa"/>
            <w:tcBorders>
              <w:top w:val="single" w:sz="2" w:space="0" w:color="auto"/>
              <w:left w:val="single" w:sz="1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90" w:type="dxa"/>
            <w:tcBorders>
              <w:top w:val="single" w:sz="2" w:space="0" w:color="auto"/>
              <w:left w:val="single" w:sz="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2" w:space="0" w:color="auto"/>
              <w:left w:val="single" w:sz="2" w:space="0" w:color="auto"/>
              <w:bottom w:val="single" w:sz="2" w:space="0" w:color="auto"/>
              <w:right w:val="single" w:sz="1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2" w:space="0" w:color="auto"/>
              <w:left w:val="single" w:sz="1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135</w:t>
            </w:r>
          </w:p>
        </w:tc>
        <w:tc>
          <w:tcPr>
            <w:tcW w:w="1080" w:type="dxa"/>
            <w:tcBorders>
              <w:top w:val="single" w:sz="2" w:space="0" w:color="auto"/>
              <w:left w:val="single" w:sz="2" w:space="0" w:color="auto"/>
              <w:bottom w:val="single" w:sz="2" w:space="0" w:color="auto"/>
              <w:right w:val="single" w:sz="2" w:space="0" w:color="auto"/>
            </w:tcBorders>
            <w:vAlign w:val="center"/>
          </w:tcPr>
          <w:p w:rsidR="00EC285D" w:rsidRPr="005403C8" w:rsidRDefault="00EC285D" w:rsidP="0088391E">
            <w:pPr>
              <w:jc w:val="both"/>
              <w:rPr>
                <w:rFonts w:ascii="Times New Roman" w:hAnsi="Times New Roman"/>
                <w:color w:val="000000"/>
                <w:sz w:val="12"/>
                <w:szCs w:val="12"/>
              </w:rPr>
            </w:pPr>
            <w:r w:rsidRPr="005403C8">
              <w:rPr>
                <w:rFonts w:ascii="Times New Roman" w:hAnsi="Times New Roman"/>
                <w:color w:val="000000"/>
                <w:sz w:val="12"/>
                <w:szCs w:val="12"/>
              </w:rPr>
              <w:t>400 hours</w:t>
            </w:r>
            <w:r>
              <w:rPr>
                <w:rFonts w:ascii="Times New Roman" w:hAnsi="Times New Roman"/>
                <w:color w:val="000000"/>
                <w:sz w:val="12"/>
                <w:szCs w:val="12"/>
              </w:rPr>
              <w:t>/year to respond to customer requests in-house</w:t>
            </w:r>
          </w:p>
        </w:tc>
        <w:tc>
          <w:tcPr>
            <w:tcW w:w="810" w:type="dxa"/>
            <w:tcBorders>
              <w:top w:val="single" w:sz="2" w:space="0" w:color="auto"/>
              <w:left w:val="single" w:sz="2" w:space="0" w:color="auto"/>
              <w:bottom w:val="single" w:sz="2" w:space="0" w:color="auto"/>
              <w:right w:val="single" w:sz="12" w:space="0" w:color="auto"/>
            </w:tcBorders>
            <w:vAlign w:val="center"/>
          </w:tcPr>
          <w:p w:rsidR="00EC285D" w:rsidRPr="005403C8" w:rsidRDefault="00EC285D" w:rsidP="0088391E">
            <w:pPr>
              <w:jc w:val="center"/>
              <w:rPr>
                <w:rFonts w:ascii="Times New Roman" w:hAnsi="Times New Roman"/>
                <w:color w:val="000000"/>
                <w:sz w:val="12"/>
                <w:szCs w:val="12"/>
              </w:rPr>
            </w:pPr>
            <w:r w:rsidRPr="005403C8">
              <w:rPr>
                <w:rFonts w:ascii="Times New Roman" w:hAnsi="Times New Roman"/>
                <w:color w:val="000000"/>
                <w:sz w:val="12"/>
                <w:szCs w:val="12"/>
              </w:rPr>
              <w:t>54,000 hours</w:t>
            </w:r>
          </w:p>
        </w:tc>
        <w:tc>
          <w:tcPr>
            <w:tcW w:w="900" w:type="dxa"/>
            <w:tcBorders>
              <w:top w:val="single" w:sz="2" w:space="0" w:color="auto"/>
              <w:left w:val="single" w:sz="1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135</w:t>
            </w:r>
          </w:p>
        </w:tc>
        <w:tc>
          <w:tcPr>
            <w:tcW w:w="810" w:type="dxa"/>
            <w:tcBorders>
              <w:top w:val="single" w:sz="2" w:space="0" w:color="auto"/>
              <w:left w:val="single" w:sz="2" w:space="0" w:color="auto"/>
              <w:bottom w:val="single" w:sz="2" w:space="0" w:color="auto"/>
              <w:right w:val="single" w:sz="2" w:space="0" w:color="auto"/>
            </w:tcBorders>
            <w:vAlign w:val="center"/>
          </w:tcPr>
          <w:p w:rsidR="00EC285D" w:rsidRPr="005403C8" w:rsidRDefault="00EC285D" w:rsidP="0088391E">
            <w:pPr>
              <w:jc w:val="center"/>
              <w:rPr>
                <w:rFonts w:ascii="Times New Roman" w:hAnsi="Times New Roman"/>
                <w:color w:val="000000"/>
                <w:sz w:val="12"/>
                <w:szCs w:val="12"/>
              </w:rPr>
            </w:pPr>
            <w:r w:rsidRPr="005403C8">
              <w:rPr>
                <w:rFonts w:ascii="Times New Roman" w:hAnsi="Times New Roman"/>
                <w:color w:val="000000"/>
                <w:sz w:val="12"/>
                <w:szCs w:val="12"/>
              </w:rPr>
              <w:t>400 hours</w:t>
            </w:r>
            <w:r>
              <w:rPr>
                <w:rFonts w:ascii="Times New Roman" w:hAnsi="Times New Roman"/>
                <w:sz w:val="12"/>
                <w:szCs w:val="12"/>
              </w:rPr>
              <w:t>/year</w:t>
            </w:r>
          </w:p>
        </w:tc>
        <w:tc>
          <w:tcPr>
            <w:tcW w:w="900" w:type="dxa"/>
            <w:tcBorders>
              <w:top w:val="single" w:sz="2" w:space="0" w:color="auto"/>
              <w:left w:val="single" w:sz="2" w:space="0" w:color="auto"/>
              <w:bottom w:val="single" w:sz="2" w:space="0" w:color="auto"/>
              <w:right w:val="single" w:sz="12" w:space="0" w:color="auto"/>
            </w:tcBorders>
            <w:vAlign w:val="center"/>
          </w:tcPr>
          <w:p w:rsidR="00EC285D" w:rsidRPr="005403C8" w:rsidRDefault="00EC285D" w:rsidP="0088391E">
            <w:pPr>
              <w:jc w:val="center"/>
              <w:rPr>
                <w:rFonts w:ascii="Times New Roman" w:hAnsi="Times New Roman"/>
                <w:color w:val="000000"/>
                <w:sz w:val="12"/>
                <w:szCs w:val="12"/>
              </w:rPr>
            </w:pPr>
            <w:r w:rsidRPr="005403C8">
              <w:rPr>
                <w:rFonts w:ascii="Times New Roman" w:hAnsi="Times New Roman"/>
                <w:color w:val="000000"/>
                <w:sz w:val="12"/>
                <w:szCs w:val="12"/>
              </w:rPr>
              <w:t>54,000 hours</w:t>
            </w:r>
          </w:p>
        </w:tc>
      </w:tr>
      <w:tr w:rsidR="00EC285D" w:rsidTr="0088391E">
        <w:tc>
          <w:tcPr>
            <w:tcW w:w="1800" w:type="dxa"/>
            <w:vMerge/>
            <w:tcBorders>
              <w:top w:val="single" w:sz="12" w:space="0" w:color="000000"/>
              <w:left w:val="single" w:sz="12" w:space="0" w:color="000000"/>
              <w:bottom w:val="single" w:sz="12" w:space="0" w:color="000000"/>
              <w:right w:val="single" w:sz="12" w:space="0" w:color="auto"/>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900" w:type="dxa"/>
            <w:tcBorders>
              <w:top w:val="single" w:sz="2" w:space="0" w:color="auto"/>
              <w:left w:val="single" w:sz="12" w:space="0" w:color="auto"/>
              <w:bottom w:val="single" w:sz="1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90" w:type="dxa"/>
            <w:tcBorders>
              <w:top w:val="single" w:sz="2" w:space="0" w:color="auto"/>
              <w:left w:val="single" w:sz="2" w:space="0" w:color="auto"/>
              <w:bottom w:val="single" w:sz="1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2" w:space="0" w:color="auto"/>
              <w:left w:val="single" w:sz="2" w:space="0" w:color="auto"/>
              <w:bottom w:val="single" w:sz="12" w:space="0" w:color="auto"/>
              <w:right w:val="single" w:sz="1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2" w:space="0" w:color="auto"/>
              <w:left w:val="single" w:sz="12" w:space="0" w:color="auto"/>
              <w:bottom w:val="single" w:sz="1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65</w:t>
            </w:r>
          </w:p>
        </w:tc>
        <w:tc>
          <w:tcPr>
            <w:tcW w:w="1080" w:type="dxa"/>
            <w:tcBorders>
              <w:top w:val="single" w:sz="2" w:space="0" w:color="auto"/>
              <w:left w:val="single" w:sz="2" w:space="0" w:color="auto"/>
              <w:bottom w:val="single" w:sz="12" w:space="0" w:color="auto"/>
              <w:right w:val="single" w:sz="2" w:space="0" w:color="auto"/>
            </w:tcBorders>
            <w:vAlign w:val="center"/>
          </w:tcPr>
          <w:p w:rsidR="00EC285D" w:rsidRPr="005403C8" w:rsidRDefault="00EC285D" w:rsidP="0088391E">
            <w:pPr>
              <w:jc w:val="center"/>
              <w:rPr>
                <w:rFonts w:ascii="Times New Roman" w:hAnsi="Times New Roman"/>
                <w:color w:val="000000"/>
                <w:sz w:val="12"/>
                <w:szCs w:val="12"/>
              </w:rPr>
            </w:pPr>
            <w:r w:rsidRPr="005403C8">
              <w:rPr>
                <w:rFonts w:ascii="Times New Roman" w:hAnsi="Times New Roman"/>
                <w:color w:val="000000"/>
                <w:sz w:val="12"/>
                <w:szCs w:val="12"/>
              </w:rPr>
              <w:t>200 hours</w:t>
            </w:r>
            <w:r>
              <w:rPr>
                <w:rFonts w:ascii="Times New Roman" w:hAnsi="Times New Roman"/>
                <w:color w:val="000000"/>
                <w:sz w:val="12"/>
                <w:szCs w:val="12"/>
              </w:rPr>
              <w:t>/year to respond to customer requests using third party</w:t>
            </w:r>
          </w:p>
        </w:tc>
        <w:tc>
          <w:tcPr>
            <w:tcW w:w="810" w:type="dxa"/>
            <w:tcBorders>
              <w:top w:val="single" w:sz="2" w:space="0" w:color="auto"/>
              <w:left w:val="single" w:sz="2" w:space="0" w:color="auto"/>
              <w:bottom w:val="single" w:sz="12" w:space="0" w:color="auto"/>
              <w:right w:val="single" w:sz="12" w:space="0" w:color="auto"/>
            </w:tcBorders>
            <w:vAlign w:val="center"/>
          </w:tcPr>
          <w:p w:rsidR="00EC285D" w:rsidRPr="005403C8" w:rsidRDefault="00EC285D" w:rsidP="0088391E">
            <w:pPr>
              <w:jc w:val="center"/>
              <w:rPr>
                <w:rFonts w:ascii="Times New Roman" w:hAnsi="Times New Roman"/>
                <w:color w:val="000000"/>
                <w:sz w:val="12"/>
                <w:szCs w:val="12"/>
              </w:rPr>
            </w:pPr>
            <w:r w:rsidRPr="005403C8">
              <w:rPr>
                <w:rFonts w:ascii="Times New Roman" w:hAnsi="Times New Roman"/>
                <w:color w:val="000000"/>
                <w:sz w:val="12"/>
                <w:szCs w:val="12"/>
              </w:rPr>
              <w:t>13,000 hours</w:t>
            </w:r>
          </w:p>
        </w:tc>
        <w:tc>
          <w:tcPr>
            <w:tcW w:w="900" w:type="dxa"/>
            <w:tcBorders>
              <w:top w:val="single" w:sz="2" w:space="0" w:color="auto"/>
              <w:left w:val="single" w:sz="12" w:space="0" w:color="auto"/>
              <w:bottom w:val="single" w:sz="1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65</w:t>
            </w:r>
          </w:p>
        </w:tc>
        <w:tc>
          <w:tcPr>
            <w:tcW w:w="810" w:type="dxa"/>
            <w:tcBorders>
              <w:top w:val="single" w:sz="2" w:space="0" w:color="auto"/>
              <w:left w:val="single" w:sz="2" w:space="0" w:color="auto"/>
              <w:bottom w:val="single" w:sz="12" w:space="0" w:color="auto"/>
              <w:right w:val="single" w:sz="2" w:space="0" w:color="auto"/>
            </w:tcBorders>
            <w:vAlign w:val="center"/>
          </w:tcPr>
          <w:p w:rsidR="00EC285D" w:rsidRPr="005403C8" w:rsidRDefault="00EC285D" w:rsidP="0088391E">
            <w:pPr>
              <w:jc w:val="center"/>
              <w:rPr>
                <w:rFonts w:ascii="Times New Roman" w:hAnsi="Times New Roman"/>
                <w:color w:val="000000"/>
                <w:sz w:val="12"/>
                <w:szCs w:val="12"/>
              </w:rPr>
            </w:pPr>
            <w:r w:rsidRPr="005403C8">
              <w:rPr>
                <w:rFonts w:ascii="Times New Roman" w:hAnsi="Times New Roman"/>
                <w:color w:val="000000"/>
                <w:sz w:val="12"/>
                <w:szCs w:val="12"/>
              </w:rPr>
              <w:t>200 hours</w:t>
            </w:r>
            <w:r>
              <w:rPr>
                <w:rFonts w:ascii="Times New Roman" w:hAnsi="Times New Roman"/>
                <w:sz w:val="12"/>
                <w:szCs w:val="12"/>
              </w:rPr>
              <w:t>/year</w:t>
            </w:r>
          </w:p>
        </w:tc>
        <w:tc>
          <w:tcPr>
            <w:tcW w:w="900" w:type="dxa"/>
            <w:tcBorders>
              <w:top w:val="single" w:sz="2" w:space="0" w:color="auto"/>
              <w:left w:val="single" w:sz="2" w:space="0" w:color="auto"/>
              <w:bottom w:val="single" w:sz="12" w:space="0" w:color="auto"/>
              <w:right w:val="single" w:sz="12" w:space="0" w:color="auto"/>
            </w:tcBorders>
            <w:vAlign w:val="center"/>
          </w:tcPr>
          <w:p w:rsidR="00EC285D" w:rsidRPr="005403C8" w:rsidRDefault="00EC285D" w:rsidP="0088391E">
            <w:pPr>
              <w:jc w:val="center"/>
              <w:rPr>
                <w:rFonts w:ascii="Times New Roman" w:hAnsi="Times New Roman"/>
                <w:color w:val="000000"/>
                <w:sz w:val="12"/>
                <w:szCs w:val="12"/>
              </w:rPr>
            </w:pPr>
            <w:r w:rsidRPr="005403C8">
              <w:rPr>
                <w:rFonts w:ascii="Times New Roman" w:hAnsi="Times New Roman"/>
                <w:color w:val="000000"/>
                <w:sz w:val="12"/>
                <w:szCs w:val="12"/>
              </w:rPr>
              <w:t>13,000 hours</w:t>
            </w:r>
          </w:p>
        </w:tc>
      </w:tr>
      <w:tr w:rsidR="00EC285D" w:rsidTr="0088391E">
        <w:tc>
          <w:tcPr>
            <w:tcW w:w="1800" w:type="dxa"/>
            <w:vMerge/>
            <w:tcBorders>
              <w:top w:val="single" w:sz="12" w:space="0" w:color="000000"/>
              <w:left w:val="single" w:sz="12" w:space="0" w:color="000000"/>
              <w:bottom w:val="single" w:sz="12" w:space="0" w:color="000000"/>
              <w:right w:val="single" w:sz="12" w:space="0" w:color="auto"/>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8190" w:type="dxa"/>
            <w:gridSpan w:val="9"/>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EC285D" w:rsidRPr="00C952D9" w:rsidRDefault="00EC285D" w:rsidP="0088391E">
            <w:pPr>
              <w:jc w:val="center"/>
              <w:rPr>
                <w:rFonts w:ascii="Times New Roman" w:hAnsi="Times New Roman"/>
                <w:b/>
                <w:color w:val="000000"/>
                <w:sz w:val="12"/>
                <w:szCs w:val="12"/>
              </w:rPr>
            </w:pPr>
            <w:r>
              <w:rPr>
                <w:rFonts w:ascii="Times New Roman" w:hAnsi="Times New Roman"/>
                <w:b/>
                <w:color w:val="000000"/>
                <w:sz w:val="12"/>
                <w:szCs w:val="12"/>
              </w:rPr>
              <w:t>Cost burden</w:t>
            </w:r>
          </w:p>
        </w:tc>
      </w:tr>
      <w:tr w:rsidR="00EC285D" w:rsidTr="0088391E">
        <w:tc>
          <w:tcPr>
            <w:tcW w:w="1800" w:type="dxa"/>
            <w:vMerge/>
            <w:tcBorders>
              <w:top w:val="single" w:sz="12" w:space="0" w:color="000000"/>
              <w:left w:val="single" w:sz="12" w:space="0" w:color="000000"/>
              <w:bottom w:val="single" w:sz="12" w:space="0" w:color="000000"/>
              <w:right w:val="single" w:sz="12" w:space="0" w:color="auto"/>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900" w:type="dxa"/>
            <w:tcBorders>
              <w:top w:val="single" w:sz="12" w:space="0" w:color="auto"/>
              <w:left w:val="single" w:sz="1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90" w:type="dxa"/>
            <w:tcBorders>
              <w:top w:val="single" w:sz="12" w:space="0" w:color="auto"/>
              <w:left w:val="single" w:sz="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12" w:space="0" w:color="auto"/>
              <w:left w:val="single" w:sz="2" w:space="0" w:color="auto"/>
              <w:bottom w:val="single" w:sz="2" w:space="0" w:color="auto"/>
              <w:right w:val="single" w:sz="1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12" w:space="0" w:color="auto"/>
              <w:left w:val="single" w:sz="1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67</w:t>
            </w:r>
          </w:p>
        </w:tc>
        <w:tc>
          <w:tcPr>
            <w:tcW w:w="1080" w:type="dxa"/>
            <w:tcBorders>
              <w:top w:val="single" w:sz="12" w:space="0" w:color="auto"/>
              <w:left w:val="single" w:sz="2" w:space="0" w:color="auto"/>
              <w:bottom w:val="single" w:sz="2" w:space="0" w:color="auto"/>
              <w:right w:val="single" w:sz="2" w:space="0" w:color="auto"/>
            </w:tcBorders>
            <w:vAlign w:val="center"/>
          </w:tcPr>
          <w:p w:rsidR="00EC285D" w:rsidRPr="005403C8" w:rsidRDefault="00EC285D" w:rsidP="0088391E">
            <w:pPr>
              <w:keepNext/>
              <w:rPr>
                <w:rFonts w:ascii="Times New Roman" w:hAnsi="Times New Roman"/>
                <w:color w:val="000000"/>
                <w:sz w:val="12"/>
                <w:szCs w:val="12"/>
              </w:rPr>
            </w:pPr>
            <w:r w:rsidRPr="005403C8">
              <w:rPr>
                <w:rFonts w:ascii="Times New Roman" w:hAnsi="Times New Roman"/>
                <w:color w:val="000000"/>
                <w:sz w:val="12"/>
                <w:szCs w:val="12"/>
              </w:rPr>
              <w:t>$5,000.00</w:t>
            </w:r>
            <w:r>
              <w:rPr>
                <w:rFonts w:ascii="Times New Roman" w:hAnsi="Times New Roman"/>
                <w:color w:val="000000"/>
                <w:sz w:val="12"/>
                <w:szCs w:val="12"/>
              </w:rPr>
              <w:t>/year annualized initial cost for hardware/software upgrades</w:t>
            </w:r>
          </w:p>
        </w:tc>
        <w:tc>
          <w:tcPr>
            <w:tcW w:w="810" w:type="dxa"/>
            <w:tcBorders>
              <w:top w:val="single" w:sz="12" w:space="0" w:color="auto"/>
              <w:left w:val="single" w:sz="2" w:space="0" w:color="auto"/>
              <w:bottom w:val="single" w:sz="2" w:space="0" w:color="auto"/>
              <w:right w:val="single" w:sz="12" w:space="0" w:color="auto"/>
            </w:tcBorders>
            <w:vAlign w:val="center"/>
          </w:tcPr>
          <w:p w:rsidR="00EC285D" w:rsidRPr="005403C8" w:rsidRDefault="00EC285D" w:rsidP="0088391E">
            <w:pPr>
              <w:keepNext/>
              <w:jc w:val="center"/>
              <w:rPr>
                <w:rFonts w:ascii="Times New Roman" w:hAnsi="Times New Roman"/>
                <w:color w:val="000000"/>
                <w:sz w:val="12"/>
                <w:szCs w:val="12"/>
              </w:rPr>
            </w:pPr>
            <w:r w:rsidRPr="00FD3823">
              <w:rPr>
                <w:rFonts w:ascii="Times New Roman" w:hAnsi="Times New Roman"/>
                <w:color w:val="000000"/>
                <w:sz w:val="12"/>
                <w:szCs w:val="12"/>
              </w:rPr>
              <w:t>$335,000</w:t>
            </w:r>
          </w:p>
        </w:tc>
        <w:tc>
          <w:tcPr>
            <w:tcW w:w="900" w:type="dxa"/>
            <w:tcBorders>
              <w:top w:val="single" w:sz="12" w:space="0" w:color="auto"/>
              <w:left w:val="single" w:sz="1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67</w:t>
            </w:r>
          </w:p>
        </w:tc>
        <w:tc>
          <w:tcPr>
            <w:tcW w:w="810" w:type="dxa"/>
            <w:tcBorders>
              <w:top w:val="single" w:sz="12" w:space="0" w:color="auto"/>
              <w:left w:val="single" w:sz="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sidRPr="005403C8">
              <w:rPr>
                <w:rFonts w:ascii="Times New Roman" w:hAnsi="Times New Roman"/>
                <w:color w:val="000000"/>
                <w:sz w:val="12"/>
                <w:szCs w:val="12"/>
              </w:rPr>
              <w:t>$5,000</w:t>
            </w:r>
            <w:r>
              <w:rPr>
                <w:rFonts w:ascii="Times New Roman" w:hAnsi="Times New Roman"/>
                <w:color w:val="000000"/>
                <w:sz w:val="12"/>
                <w:szCs w:val="12"/>
              </w:rPr>
              <w:t>/year</w:t>
            </w:r>
          </w:p>
        </w:tc>
        <w:tc>
          <w:tcPr>
            <w:tcW w:w="900" w:type="dxa"/>
            <w:tcBorders>
              <w:top w:val="single" w:sz="12" w:space="0" w:color="auto"/>
              <w:left w:val="single" w:sz="2" w:space="0" w:color="auto"/>
              <w:bottom w:val="single" w:sz="2" w:space="0" w:color="auto"/>
              <w:right w:val="single" w:sz="12" w:space="0" w:color="auto"/>
            </w:tcBorders>
            <w:vAlign w:val="center"/>
          </w:tcPr>
          <w:p w:rsidR="00EC285D" w:rsidRPr="00D7038E" w:rsidRDefault="00EC285D" w:rsidP="0088391E">
            <w:pPr>
              <w:jc w:val="center"/>
              <w:rPr>
                <w:rFonts w:ascii="Times New Roman" w:hAnsi="Times New Roman"/>
                <w:sz w:val="12"/>
                <w:szCs w:val="12"/>
              </w:rPr>
            </w:pPr>
            <w:r w:rsidRPr="00FD3823">
              <w:rPr>
                <w:rFonts w:ascii="Times New Roman" w:hAnsi="Times New Roman"/>
                <w:color w:val="000000"/>
                <w:sz w:val="12"/>
                <w:szCs w:val="12"/>
              </w:rPr>
              <w:t>$335,000</w:t>
            </w:r>
          </w:p>
        </w:tc>
      </w:tr>
      <w:tr w:rsidR="00EC285D" w:rsidTr="0088391E">
        <w:tc>
          <w:tcPr>
            <w:tcW w:w="1800" w:type="dxa"/>
            <w:vMerge/>
            <w:tcBorders>
              <w:top w:val="single" w:sz="12" w:space="0" w:color="000000"/>
              <w:left w:val="single" w:sz="12" w:space="0" w:color="000000"/>
              <w:bottom w:val="single" w:sz="12" w:space="0" w:color="000000"/>
              <w:right w:val="single" w:sz="12" w:space="0" w:color="auto"/>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900" w:type="dxa"/>
            <w:tcBorders>
              <w:top w:val="single" w:sz="2" w:space="0" w:color="auto"/>
              <w:left w:val="single" w:sz="1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90" w:type="dxa"/>
            <w:tcBorders>
              <w:top w:val="single" w:sz="2" w:space="0" w:color="auto"/>
              <w:left w:val="single" w:sz="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2" w:space="0" w:color="auto"/>
              <w:left w:val="single" w:sz="2" w:space="0" w:color="auto"/>
              <w:bottom w:val="single" w:sz="2" w:space="0" w:color="auto"/>
              <w:right w:val="single" w:sz="1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2" w:space="0" w:color="auto"/>
              <w:left w:val="single" w:sz="1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133</w:t>
            </w:r>
          </w:p>
        </w:tc>
        <w:tc>
          <w:tcPr>
            <w:tcW w:w="1080" w:type="dxa"/>
            <w:tcBorders>
              <w:top w:val="single" w:sz="2" w:space="0" w:color="auto"/>
              <w:left w:val="single" w:sz="2" w:space="0" w:color="auto"/>
              <w:bottom w:val="single" w:sz="2" w:space="0" w:color="auto"/>
              <w:right w:val="single" w:sz="2" w:space="0" w:color="auto"/>
            </w:tcBorders>
          </w:tcPr>
          <w:p w:rsidR="00EC285D" w:rsidRPr="00D7038E" w:rsidRDefault="00EC285D" w:rsidP="0088391E">
            <w:pPr>
              <w:rPr>
                <w:rFonts w:ascii="Times New Roman" w:hAnsi="Times New Roman"/>
                <w:sz w:val="12"/>
                <w:szCs w:val="12"/>
              </w:rPr>
            </w:pPr>
            <w:r>
              <w:rPr>
                <w:rFonts w:ascii="Times New Roman" w:hAnsi="Times New Roman"/>
                <w:color w:val="000000"/>
                <w:sz w:val="12"/>
                <w:szCs w:val="12"/>
              </w:rPr>
              <w:t>$11,666.</w:t>
            </w:r>
            <w:r w:rsidRPr="005403C8">
              <w:rPr>
                <w:rFonts w:ascii="Times New Roman" w:hAnsi="Times New Roman"/>
                <w:color w:val="000000"/>
                <w:sz w:val="12"/>
                <w:szCs w:val="12"/>
              </w:rPr>
              <w:t>67</w:t>
            </w:r>
            <w:r>
              <w:rPr>
                <w:rFonts w:ascii="Times New Roman" w:hAnsi="Times New Roman"/>
                <w:color w:val="000000"/>
                <w:sz w:val="12"/>
                <w:szCs w:val="12"/>
              </w:rPr>
              <w:t xml:space="preserve">/year annualized initial cost </w:t>
            </w:r>
            <w:r>
              <w:rPr>
                <w:rFonts w:ascii="Times New Roman" w:hAnsi="Times New Roman"/>
                <w:sz w:val="12"/>
                <w:szCs w:val="12"/>
              </w:rPr>
              <w:t>to implement amendments using third party.</w:t>
            </w:r>
          </w:p>
        </w:tc>
        <w:tc>
          <w:tcPr>
            <w:tcW w:w="810" w:type="dxa"/>
            <w:tcBorders>
              <w:top w:val="single" w:sz="2" w:space="0" w:color="auto"/>
              <w:left w:val="single" w:sz="2" w:space="0" w:color="auto"/>
              <w:bottom w:val="single" w:sz="2" w:space="0" w:color="auto"/>
              <w:right w:val="single" w:sz="12" w:space="0" w:color="auto"/>
            </w:tcBorders>
            <w:vAlign w:val="center"/>
          </w:tcPr>
          <w:p w:rsidR="00EC285D" w:rsidRPr="00D7038E" w:rsidRDefault="00EC285D" w:rsidP="0088391E">
            <w:pPr>
              <w:jc w:val="center"/>
              <w:rPr>
                <w:rFonts w:ascii="Times New Roman" w:hAnsi="Times New Roman"/>
                <w:sz w:val="12"/>
                <w:szCs w:val="12"/>
              </w:rPr>
            </w:pPr>
            <w:r w:rsidRPr="00FD3823">
              <w:rPr>
                <w:rFonts w:ascii="Times New Roman" w:hAnsi="Times New Roman"/>
                <w:color w:val="000000"/>
                <w:sz w:val="12"/>
                <w:szCs w:val="12"/>
              </w:rPr>
              <w:t>$1,551,666.67</w:t>
            </w:r>
          </w:p>
        </w:tc>
        <w:tc>
          <w:tcPr>
            <w:tcW w:w="900" w:type="dxa"/>
            <w:tcBorders>
              <w:top w:val="single" w:sz="2" w:space="0" w:color="auto"/>
              <w:left w:val="single" w:sz="1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133</w:t>
            </w:r>
          </w:p>
        </w:tc>
        <w:tc>
          <w:tcPr>
            <w:tcW w:w="810" w:type="dxa"/>
            <w:tcBorders>
              <w:top w:val="single" w:sz="2" w:space="0" w:color="auto"/>
              <w:left w:val="single" w:sz="2" w:space="0" w:color="auto"/>
              <w:bottom w:val="single" w:sz="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color w:val="000000"/>
                <w:sz w:val="12"/>
                <w:szCs w:val="12"/>
              </w:rPr>
              <w:t>$11,666.</w:t>
            </w:r>
            <w:r w:rsidRPr="005403C8">
              <w:rPr>
                <w:rFonts w:ascii="Times New Roman" w:hAnsi="Times New Roman"/>
                <w:color w:val="000000"/>
                <w:sz w:val="12"/>
                <w:szCs w:val="12"/>
              </w:rPr>
              <w:t>67</w:t>
            </w:r>
            <w:r>
              <w:rPr>
                <w:rFonts w:ascii="Times New Roman" w:hAnsi="Times New Roman"/>
                <w:color w:val="000000"/>
                <w:sz w:val="12"/>
                <w:szCs w:val="12"/>
              </w:rPr>
              <w:t>/year</w:t>
            </w:r>
          </w:p>
        </w:tc>
        <w:tc>
          <w:tcPr>
            <w:tcW w:w="900" w:type="dxa"/>
            <w:tcBorders>
              <w:top w:val="single" w:sz="2" w:space="0" w:color="auto"/>
              <w:left w:val="single" w:sz="2" w:space="0" w:color="auto"/>
              <w:bottom w:val="single" w:sz="2" w:space="0" w:color="auto"/>
              <w:right w:val="single" w:sz="12" w:space="0" w:color="auto"/>
            </w:tcBorders>
            <w:vAlign w:val="center"/>
          </w:tcPr>
          <w:p w:rsidR="00EC285D" w:rsidRPr="00D7038E" w:rsidRDefault="00EC285D" w:rsidP="0088391E">
            <w:pPr>
              <w:jc w:val="center"/>
              <w:rPr>
                <w:rFonts w:ascii="Times New Roman" w:hAnsi="Times New Roman"/>
                <w:sz w:val="12"/>
                <w:szCs w:val="12"/>
              </w:rPr>
            </w:pPr>
            <w:r w:rsidRPr="00FD3823">
              <w:rPr>
                <w:rFonts w:ascii="Times New Roman" w:hAnsi="Times New Roman"/>
                <w:color w:val="000000"/>
                <w:sz w:val="12"/>
                <w:szCs w:val="12"/>
              </w:rPr>
              <w:t>$1,551,666.67</w:t>
            </w:r>
          </w:p>
        </w:tc>
      </w:tr>
      <w:tr w:rsidR="00EC285D" w:rsidTr="0088391E">
        <w:trPr>
          <w:trHeight w:val="656"/>
        </w:trPr>
        <w:tc>
          <w:tcPr>
            <w:tcW w:w="1800" w:type="dxa"/>
            <w:vMerge/>
            <w:tcBorders>
              <w:top w:val="single" w:sz="12" w:space="0" w:color="000000"/>
              <w:left w:val="single" w:sz="12" w:space="0" w:color="000000"/>
              <w:bottom w:val="single" w:sz="12" w:space="0" w:color="000000"/>
              <w:right w:val="single" w:sz="12" w:space="0" w:color="auto"/>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900" w:type="dxa"/>
            <w:tcBorders>
              <w:top w:val="single" w:sz="2" w:space="0" w:color="auto"/>
              <w:left w:val="single" w:sz="12" w:space="0" w:color="auto"/>
              <w:bottom w:val="single" w:sz="1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90" w:type="dxa"/>
            <w:tcBorders>
              <w:top w:val="single" w:sz="2" w:space="0" w:color="auto"/>
              <w:left w:val="single" w:sz="2" w:space="0" w:color="auto"/>
              <w:bottom w:val="single" w:sz="1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2" w:space="0" w:color="auto"/>
              <w:left w:val="single" w:sz="2" w:space="0" w:color="auto"/>
              <w:bottom w:val="single" w:sz="12" w:space="0" w:color="auto"/>
              <w:right w:val="single" w:sz="1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2" w:space="0" w:color="auto"/>
              <w:left w:val="single" w:sz="12" w:space="0" w:color="auto"/>
              <w:bottom w:val="single" w:sz="1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65</w:t>
            </w:r>
          </w:p>
        </w:tc>
        <w:tc>
          <w:tcPr>
            <w:tcW w:w="1080" w:type="dxa"/>
            <w:tcBorders>
              <w:top w:val="single" w:sz="2" w:space="0" w:color="auto"/>
              <w:left w:val="single" w:sz="2" w:space="0" w:color="auto"/>
              <w:bottom w:val="single" w:sz="12" w:space="0" w:color="auto"/>
              <w:right w:val="single" w:sz="2" w:space="0" w:color="auto"/>
            </w:tcBorders>
            <w:vAlign w:val="center"/>
          </w:tcPr>
          <w:p w:rsidR="00EC285D" w:rsidRPr="005403C8" w:rsidRDefault="00EC285D" w:rsidP="0088391E">
            <w:pPr>
              <w:keepNext/>
              <w:rPr>
                <w:rFonts w:ascii="Times New Roman" w:hAnsi="Times New Roman"/>
                <w:color w:val="000000"/>
                <w:sz w:val="12"/>
                <w:szCs w:val="12"/>
              </w:rPr>
            </w:pPr>
            <w:r w:rsidRPr="005403C8">
              <w:rPr>
                <w:rFonts w:ascii="Times New Roman" w:hAnsi="Times New Roman"/>
                <w:color w:val="000000"/>
                <w:sz w:val="12"/>
                <w:szCs w:val="12"/>
              </w:rPr>
              <w:t>$20,000.00</w:t>
            </w:r>
            <w:r>
              <w:rPr>
                <w:rFonts w:ascii="Times New Roman" w:hAnsi="Times New Roman"/>
                <w:color w:val="000000"/>
                <w:sz w:val="12"/>
                <w:szCs w:val="12"/>
              </w:rPr>
              <w:t>/year to respond to customer requests using third party</w:t>
            </w:r>
          </w:p>
        </w:tc>
        <w:tc>
          <w:tcPr>
            <w:tcW w:w="810" w:type="dxa"/>
            <w:tcBorders>
              <w:top w:val="single" w:sz="2" w:space="0" w:color="auto"/>
              <w:left w:val="single" w:sz="2" w:space="0" w:color="auto"/>
              <w:bottom w:val="single" w:sz="12" w:space="0" w:color="auto"/>
              <w:right w:val="single" w:sz="12" w:space="0" w:color="auto"/>
            </w:tcBorders>
            <w:vAlign w:val="center"/>
          </w:tcPr>
          <w:p w:rsidR="00EC285D" w:rsidRPr="005403C8" w:rsidRDefault="00EC285D" w:rsidP="0088391E">
            <w:pPr>
              <w:keepNext/>
              <w:jc w:val="center"/>
              <w:rPr>
                <w:rFonts w:ascii="Times New Roman" w:hAnsi="Times New Roman"/>
                <w:color w:val="000000"/>
                <w:sz w:val="12"/>
                <w:szCs w:val="12"/>
              </w:rPr>
            </w:pPr>
            <w:r w:rsidRPr="005403C8">
              <w:rPr>
                <w:rFonts w:ascii="Times New Roman" w:hAnsi="Times New Roman"/>
                <w:color w:val="000000"/>
                <w:sz w:val="12"/>
                <w:szCs w:val="12"/>
              </w:rPr>
              <w:t>$1,300,000</w:t>
            </w:r>
          </w:p>
        </w:tc>
        <w:tc>
          <w:tcPr>
            <w:tcW w:w="900" w:type="dxa"/>
            <w:tcBorders>
              <w:top w:val="single" w:sz="2" w:space="0" w:color="auto"/>
              <w:left w:val="single" w:sz="12" w:space="0" w:color="auto"/>
              <w:bottom w:val="single" w:sz="1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65</w:t>
            </w:r>
          </w:p>
        </w:tc>
        <w:tc>
          <w:tcPr>
            <w:tcW w:w="810" w:type="dxa"/>
            <w:tcBorders>
              <w:top w:val="single" w:sz="2" w:space="0" w:color="auto"/>
              <w:left w:val="single" w:sz="2" w:space="0" w:color="auto"/>
              <w:bottom w:val="single" w:sz="12" w:space="0" w:color="auto"/>
              <w:right w:val="single" w:sz="2" w:space="0" w:color="auto"/>
            </w:tcBorders>
            <w:vAlign w:val="center"/>
          </w:tcPr>
          <w:p w:rsidR="00EC285D" w:rsidRDefault="00EC285D" w:rsidP="0088391E">
            <w:pPr>
              <w:jc w:val="center"/>
              <w:rPr>
                <w:rFonts w:ascii="Times New Roman" w:hAnsi="Times New Roman"/>
                <w:color w:val="000000"/>
                <w:sz w:val="12"/>
                <w:szCs w:val="12"/>
              </w:rPr>
            </w:pPr>
            <w:r w:rsidRPr="005403C8">
              <w:rPr>
                <w:rFonts w:ascii="Times New Roman" w:hAnsi="Times New Roman"/>
                <w:color w:val="000000"/>
                <w:sz w:val="12"/>
                <w:szCs w:val="12"/>
              </w:rPr>
              <w:t>$20,000</w:t>
            </w:r>
          </w:p>
          <w:p w:rsidR="00EC285D" w:rsidRPr="009F09A4" w:rsidRDefault="00EC285D" w:rsidP="0088391E">
            <w:pPr>
              <w:jc w:val="center"/>
              <w:rPr>
                <w:rFonts w:ascii="Times New Roman" w:hAnsi="Times New Roman"/>
                <w:color w:val="000000"/>
                <w:sz w:val="12"/>
                <w:szCs w:val="12"/>
              </w:rPr>
            </w:pPr>
            <w:r>
              <w:rPr>
                <w:rFonts w:ascii="Times New Roman" w:hAnsi="Times New Roman"/>
                <w:color w:val="000000"/>
                <w:sz w:val="12"/>
                <w:szCs w:val="12"/>
              </w:rPr>
              <w:t>/year</w:t>
            </w:r>
          </w:p>
        </w:tc>
        <w:tc>
          <w:tcPr>
            <w:tcW w:w="900" w:type="dxa"/>
            <w:tcBorders>
              <w:top w:val="single" w:sz="2" w:space="0" w:color="auto"/>
              <w:left w:val="single" w:sz="2" w:space="0" w:color="auto"/>
              <w:bottom w:val="single" w:sz="12" w:space="0" w:color="auto"/>
              <w:right w:val="single" w:sz="12" w:space="0" w:color="auto"/>
            </w:tcBorders>
            <w:vAlign w:val="center"/>
          </w:tcPr>
          <w:p w:rsidR="00EC285D" w:rsidRPr="00D7038E" w:rsidRDefault="00EC285D" w:rsidP="0088391E">
            <w:pPr>
              <w:jc w:val="center"/>
              <w:rPr>
                <w:rFonts w:ascii="Times New Roman" w:hAnsi="Times New Roman"/>
                <w:sz w:val="12"/>
                <w:szCs w:val="12"/>
              </w:rPr>
            </w:pPr>
            <w:r w:rsidRPr="005403C8">
              <w:rPr>
                <w:rFonts w:ascii="Times New Roman" w:hAnsi="Times New Roman"/>
                <w:color w:val="000000"/>
                <w:sz w:val="12"/>
                <w:szCs w:val="12"/>
              </w:rPr>
              <w:t>$1,300,000</w:t>
            </w:r>
          </w:p>
        </w:tc>
      </w:tr>
      <w:tr w:rsidR="00EC285D" w:rsidTr="0088391E">
        <w:tc>
          <w:tcPr>
            <w:tcW w:w="1800" w:type="dxa"/>
            <w:vMerge w:val="restart"/>
            <w:tcBorders>
              <w:top w:val="single" w:sz="12" w:space="0" w:color="000000"/>
              <w:left w:val="single" w:sz="12" w:space="0" w:color="000000"/>
              <w:right w:val="single" w:sz="12" w:space="0" w:color="auto"/>
            </w:tcBorders>
            <w:shd w:val="clear" w:color="auto" w:fill="D9D9D9" w:themeFill="background1" w:themeFillShade="D9"/>
          </w:tcPr>
          <w:p w:rsidR="00EC285D" w:rsidRPr="00D7038E" w:rsidRDefault="00EC285D" w:rsidP="0088391E">
            <w:pPr>
              <w:rPr>
                <w:rFonts w:ascii="Times New Roman" w:hAnsi="Times New Roman"/>
                <w:b/>
                <w:sz w:val="12"/>
                <w:szCs w:val="12"/>
              </w:rPr>
            </w:pPr>
            <w:r w:rsidRPr="00D7038E">
              <w:rPr>
                <w:rFonts w:ascii="Times New Roman" w:hAnsi="Times New Roman"/>
                <w:b/>
                <w:sz w:val="12"/>
                <w:szCs w:val="12"/>
              </w:rPr>
              <w:t>Update Compliance Manuals</w:t>
            </w:r>
          </w:p>
        </w:tc>
        <w:tc>
          <w:tcPr>
            <w:tcW w:w="8190" w:type="dxa"/>
            <w:gridSpan w:val="9"/>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EC285D" w:rsidRDefault="00EC285D" w:rsidP="0088391E">
            <w:pPr>
              <w:jc w:val="center"/>
              <w:rPr>
                <w:rFonts w:ascii="Times New Roman" w:hAnsi="Times New Roman"/>
                <w:color w:val="000000"/>
                <w:sz w:val="12"/>
                <w:szCs w:val="12"/>
              </w:rPr>
            </w:pPr>
            <w:r w:rsidRPr="00B8043C">
              <w:rPr>
                <w:rFonts w:ascii="Times New Roman" w:hAnsi="Times New Roman"/>
                <w:b/>
                <w:sz w:val="12"/>
                <w:szCs w:val="12"/>
              </w:rPr>
              <w:t>Hourly burden</w:t>
            </w:r>
          </w:p>
        </w:tc>
      </w:tr>
      <w:tr w:rsidR="00EC285D" w:rsidTr="0088391E">
        <w:tc>
          <w:tcPr>
            <w:tcW w:w="1800" w:type="dxa"/>
            <w:vMerge/>
            <w:tcBorders>
              <w:left w:val="single" w:sz="12" w:space="0" w:color="000000"/>
              <w:bottom w:val="single" w:sz="12" w:space="0" w:color="000000"/>
              <w:right w:val="single" w:sz="12" w:space="0" w:color="auto"/>
            </w:tcBorders>
            <w:shd w:val="clear" w:color="auto" w:fill="D9D9D9" w:themeFill="background1" w:themeFillShade="D9"/>
          </w:tcPr>
          <w:p w:rsidR="00EC285D" w:rsidRPr="00D7038E" w:rsidRDefault="00EC285D" w:rsidP="0088391E">
            <w:pPr>
              <w:rPr>
                <w:rFonts w:ascii="Times New Roman" w:hAnsi="Times New Roman"/>
                <w:b/>
                <w:sz w:val="12"/>
                <w:szCs w:val="12"/>
              </w:rPr>
            </w:pPr>
          </w:p>
        </w:tc>
        <w:tc>
          <w:tcPr>
            <w:tcW w:w="900" w:type="dxa"/>
            <w:tcBorders>
              <w:top w:val="single" w:sz="12" w:space="0" w:color="auto"/>
              <w:left w:val="single" w:sz="12" w:space="0" w:color="auto"/>
              <w:bottom w:val="single" w:sz="1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90" w:type="dxa"/>
            <w:tcBorders>
              <w:top w:val="single" w:sz="12" w:space="0" w:color="auto"/>
              <w:left w:val="single" w:sz="2" w:space="0" w:color="auto"/>
              <w:bottom w:val="single" w:sz="1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12" w:space="0" w:color="auto"/>
              <w:left w:val="single" w:sz="2" w:space="0" w:color="auto"/>
              <w:bottom w:val="single" w:sz="12" w:space="0" w:color="auto"/>
              <w:right w:val="single" w:sz="1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N/A</w:t>
            </w:r>
          </w:p>
        </w:tc>
        <w:tc>
          <w:tcPr>
            <w:tcW w:w="900" w:type="dxa"/>
            <w:tcBorders>
              <w:top w:val="single" w:sz="12" w:space="0" w:color="auto"/>
              <w:left w:val="single" w:sz="12" w:space="0" w:color="auto"/>
              <w:bottom w:val="single" w:sz="1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4,405</w:t>
            </w:r>
          </w:p>
        </w:tc>
        <w:tc>
          <w:tcPr>
            <w:tcW w:w="1080" w:type="dxa"/>
            <w:tcBorders>
              <w:top w:val="single" w:sz="12" w:space="0" w:color="auto"/>
              <w:left w:val="single" w:sz="2" w:space="0" w:color="auto"/>
              <w:bottom w:val="single" w:sz="12" w:space="0" w:color="auto"/>
              <w:right w:val="single" w:sz="2" w:space="0" w:color="auto"/>
            </w:tcBorders>
            <w:vAlign w:val="center"/>
          </w:tcPr>
          <w:p w:rsidR="00EC285D" w:rsidRPr="005403C8" w:rsidRDefault="00EC285D" w:rsidP="0088391E">
            <w:pPr>
              <w:jc w:val="center"/>
              <w:rPr>
                <w:rFonts w:ascii="Times New Roman" w:hAnsi="Times New Roman"/>
                <w:color w:val="000000"/>
                <w:sz w:val="12"/>
                <w:szCs w:val="12"/>
              </w:rPr>
            </w:pPr>
            <w:r>
              <w:rPr>
                <w:rFonts w:ascii="Times New Roman" w:hAnsi="Times New Roman"/>
                <w:color w:val="000000"/>
                <w:sz w:val="12"/>
                <w:szCs w:val="12"/>
              </w:rPr>
              <w:t>0.67 hours</w:t>
            </w:r>
          </w:p>
        </w:tc>
        <w:tc>
          <w:tcPr>
            <w:tcW w:w="810" w:type="dxa"/>
            <w:tcBorders>
              <w:top w:val="single" w:sz="12" w:space="0" w:color="auto"/>
              <w:left w:val="single" w:sz="2" w:space="0" w:color="auto"/>
              <w:bottom w:val="single" w:sz="12" w:space="0" w:color="auto"/>
              <w:right w:val="single" w:sz="12" w:space="0" w:color="auto"/>
            </w:tcBorders>
            <w:vAlign w:val="center"/>
          </w:tcPr>
          <w:p w:rsidR="00EC285D" w:rsidRPr="005403C8" w:rsidRDefault="00EC285D" w:rsidP="0088391E">
            <w:pPr>
              <w:jc w:val="center"/>
              <w:rPr>
                <w:rFonts w:ascii="Times New Roman" w:hAnsi="Times New Roman"/>
                <w:color w:val="000000"/>
                <w:sz w:val="12"/>
                <w:szCs w:val="12"/>
              </w:rPr>
            </w:pPr>
            <w:r>
              <w:rPr>
                <w:rFonts w:ascii="Times New Roman" w:hAnsi="Times New Roman"/>
                <w:color w:val="000000"/>
                <w:sz w:val="12"/>
                <w:szCs w:val="12"/>
              </w:rPr>
              <w:t>2,936.67 hours</w:t>
            </w:r>
          </w:p>
        </w:tc>
        <w:tc>
          <w:tcPr>
            <w:tcW w:w="900" w:type="dxa"/>
            <w:tcBorders>
              <w:top w:val="single" w:sz="12" w:space="0" w:color="auto"/>
              <w:left w:val="single" w:sz="12" w:space="0" w:color="auto"/>
              <w:bottom w:val="single" w:sz="12" w:space="0" w:color="auto"/>
              <w:right w:val="single" w:sz="2" w:space="0" w:color="auto"/>
            </w:tcBorders>
            <w:vAlign w:val="center"/>
          </w:tcPr>
          <w:p w:rsidR="00EC285D" w:rsidRPr="00D7038E" w:rsidRDefault="00EC285D" w:rsidP="0088391E">
            <w:pPr>
              <w:jc w:val="center"/>
              <w:rPr>
                <w:rFonts w:ascii="Times New Roman" w:hAnsi="Times New Roman"/>
                <w:sz w:val="12"/>
                <w:szCs w:val="12"/>
              </w:rPr>
            </w:pPr>
            <w:r>
              <w:rPr>
                <w:rFonts w:ascii="Times New Roman" w:hAnsi="Times New Roman"/>
                <w:sz w:val="12"/>
                <w:szCs w:val="12"/>
              </w:rPr>
              <w:t>4,405</w:t>
            </w:r>
          </w:p>
        </w:tc>
        <w:tc>
          <w:tcPr>
            <w:tcW w:w="810" w:type="dxa"/>
            <w:tcBorders>
              <w:top w:val="single" w:sz="12" w:space="0" w:color="auto"/>
              <w:left w:val="single" w:sz="2" w:space="0" w:color="auto"/>
              <w:bottom w:val="single" w:sz="12" w:space="0" w:color="auto"/>
              <w:right w:val="single" w:sz="2" w:space="0" w:color="auto"/>
            </w:tcBorders>
            <w:vAlign w:val="center"/>
          </w:tcPr>
          <w:p w:rsidR="00EC285D" w:rsidRPr="005403C8" w:rsidRDefault="00EC285D" w:rsidP="0088391E">
            <w:pPr>
              <w:jc w:val="center"/>
              <w:rPr>
                <w:rFonts w:ascii="Times New Roman" w:hAnsi="Times New Roman"/>
                <w:color w:val="000000"/>
                <w:sz w:val="12"/>
                <w:szCs w:val="12"/>
              </w:rPr>
            </w:pPr>
            <w:r>
              <w:rPr>
                <w:rFonts w:ascii="Times New Roman" w:hAnsi="Times New Roman"/>
                <w:color w:val="000000"/>
                <w:sz w:val="12"/>
                <w:szCs w:val="12"/>
              </w:rPr>
              <w:t>0.67 hours</w:t>
            </w:r>
          </w:p>
        </w:tc>
        <w:tc>
          <w:tcPr>
            <w:tcW w:w="900" w:type="dxa"/>
            <w:tcBorders>
              <w:top w:val="single" w:sz="12" w:space="0" w:color="auto"/>
              <w:left w:val="single" w:sz="2" w:space="0" w:color="auto"/>
              <w:bottom w:val="single" w:sz="12" w:space="0" w:color="auto"/>
              <w:right w:val="single" w:sz="12" w:space="0" w:color="auto"/>
            </w:tcBorders>
            <w:vAlign w:val="center"/>
          </w:tcPr>
          <w:p w:rsidR="00EC285D" w:rsidRPr="005403C8" w:rsidRDefault="00EC285D" w:rsidP="0088391E">
            <w:pPr>
              <w:jc w:val="center"/>
              <w:rPr>
                <w:rFonts w:ascii="Times New Roman" w:hAnsi="Times New Roman"/>
                <w:color w:val="000000"/>
                <w:sz w:val="12"/>
                <w:szCs w:val="12"/>
              </w:rPr>
            </w:pPr>
            <w:r>
              <w:rPr>
                <w:rFonts w:ascii="Times New Roman" w:hAnsi="Times New Roman"/>
                <w:color w:val="000000"/>
                <w:sz w:val="12"/>
                <w:szCs w:val="12"/>
              </w:rPr>
              <w:t>2,936.67 hours</w:t>
            </w:r>
          </w:p>
        </w:tc>
      </w:tr>
    </w:tbl>
    <w:p w:rsidR="00C626EA" w:rsidRDefault="00C626EA" w:rsidP="00C626EA">
      <w:pPr>
        <w:rPr>
          <w:rFonts w:ascii="Times New Roman" w:hAnsi="Times New Roman"/>
          <w:sz w:val="24"/>
        </w:rPr>
      </w:pPr>
    </w:p>
    <w:p w:rsidR="005768EB" w:rsidRPr="00122F14" w:rsidRDefault="00122F14" w:rsidP="00C626EA">
      <w:pPr>
        <w:rPr>
          <w:rFonts w:ascii="Times New Roman" w:hAnsi="Times New Roman"/>
          <w:sz w:val="24"/>
        </w:rPr>
      </w:pPr>
      <w:r>
        <w:rPr>
          <w:rFonts w:ascii="Times New Roman" w:hAnsi="Times New Roman"/>
          <w:sz w:val="24"/>
        </w:rPr>
        <w:br w:type="page"/>
      </w:r>
      <w:r w:rsidR="005768EB" w:rsidRPr="005403C8">
        <w:rPr>
          <w:rFonts w:ascii="Times New Roman" w:hAnsi="Times New Roman"/>
          <w:sz w:val="24"/>
        </w:rPr>
        <w:tab/>
        <w:t>16.</w:t>
      </w:r>
      <w:r w:rsidR="005768EB" w:rsidRPr="005403C8">
        <w:rPr>
          <w:rFonts w:ascii="Times New Roman" w:hAnsi="Times New Roman"/>
          <w:sz w:val="24"/>
        </w:rPr>
        <w:tab/>
      </w:r>
      <w:r w:rsidR="005768EB" w:rsidRPr="005403C8">
        <w:rPr>
          <w:rStyle w:val="Heading2Char"/>
          <w:rFonts w:ascii="Times New Roman" w:hAnsi="Times New Roman"/>
          <w:u w:val="single"/>
        </w:rPr>
        <w:t>Information Collections Planned for Statistical Purposes</w:t>
      </w:r>
    </w:p>
    <w:p w:rsidR="005768EB" w:rsidRPr="005403C8" w:rsidRDefault="005768EB">
      <w:pPr>
        <w:rPr>
          <w:rFonts w:ascii="Times New Roman" w:hAnsi="Times New Roman"/>
          <w:sz w:val="24"/>
        </w:rPr>
      </w:pPr>
    </w:p>
    <w:p w:rsidR="005768EB" w:rsidRPr="005403C8" w:rsidRDefault="005768EB">
      <w:pPr>
        <w:ind w:firstLine="720"/>
        <w:rPr>
          <w:rFonts w:ascii="Times New Roman" w:hAnsi="Times New Roman"/>
          <w:sz w:val="24"/>
        </w:rPr>
      </w:pPr>
      <w:r w:rsidRPr="005403C8">
        <w:rPr>
          <w:rFonts w:ascii="Times New Roman" w:hAnsi="Times New Roman"/>
          <w:sz w:val="24"/>
        </w:rPr>
        <w:t>These are disclosures from brokers to the general public and to specific consumers who request certain information.  The Commission is not collecting data.  The Commission has no information to publish and no plans to publish any data for statistical or other purposes.</w:t>
      </w:r>
    </w:p>
    <w:p w:rsidR="005768EB" w:rsidRPr="005403C8" w:rsidRDefault="005768EB">
      <w:pPr>
        <w:rPr>
          <w:rFonts w:ascii="Times New Roman" w:hAnsi="Times New Roman"/>
          <w:sz w:val="24"/>
        </w:rPr>
      </w:pPr>
    </w:p>
    <w:p w:rsidR="005768EB" w:rsidRPr="005403C8" w:rsidRDefault="005768EB">
      <w:pPr>
        <w:ind w:firstLine="720"/>
        <w:rPr>
          <w:rFonts w:ascii="Times New Roman" w:hAnsi="Times New Roman"/>
          <w:sz w:val="24"/>
        </w:rPr>
      </w:pPr>
      <w:r w:rsidRPr="005403C8">
        <w:rPr>
          <w:rFonts w:ascii="Times New Roman" w:hAnsi="Times New Roman"/>
          <w:sz w:val="24"/>
        </w:rPr>
        <w:t>17.</w:t>
      </w:r>
      <w:r w:rsidRPr="005403C8">
        <w:rPr>
          <w:rFonts w:ascii="Times New Roman" w:hAnsi="Times New Roman"/>
          <w:sz w:val="24"/>
        </w:rPr>
        <w:tab/>
      </w:r>
      <w:r w:rsidR="008F4918" w:rsidRPr="005403C8">
        <w:rPr>
          <w:rStyle w:val="Heading2Char"/>
          <w:rFonts w:ascii="Times New Roman" w:hAnsi="Times New Roman"/>
          <w:u w:val="single"/>
        </w:rPr>
        <w:t xml:space="preserve">Approval to Omit OMB </w:t>
      </w:r>
      <w:r w:rsidRPr="005403C8">
        <w:rPr>
          <w:rStyle w:val="Heading2Char"/>
          <w:rFonts w:ascii="Times New Roman" w:hAnsi="Times New Roman"/>
          <w:u w:val="single"/>
        </w:rPr>
        <w:t>Expiration Date</w:t>
      </w:r>
      <w:r w:rsidRPr="005403C8">
        <w:rPr>
          <w:rFonts w:ascii="Times New Roman" w:hAnsi="Times New Roman"/>
          <w:sz w:val="24"/>
          <w:u w:val="single"/>
        </w:rPr>
        <w:t xml:space="preserve"> </w:t>
      </w:r>
    </w:p>
    <w:p w:rsidR="005768EB" w:rsidRPr="005403C8" w:rsidRDefault="005768EB">
      <w:pPr>
        <w:rPr>
          <w:rFonts w:ascii="Times New Roman" w:hAnsi="Times New Roman"/>
          <w:sz w:val="24"/>
        </w:rPr>
      </w:pPr>
    </w:p>
    <w:p w:rsidR="005768EB" w:rsidRPr="005403C8" w:rsidRDefault="005768EB">
      <w:pPr>
        <w:ind w:firstLine="720"/>
        <w:rPr>
          <w:rFonts w:ascii="Times New Roman" w:hAnsi="Times New Roman"/>
          <w:sz w:val="24"/>
        </w:rPr>
      </w:pPr>
      <w:r w:rsidRPr="005403C8">
        <w:rPr>
          <w:rFonts w:ascii="Times New Roman" w:hAnsi="Times New Roman"/>
          <w:sz w:val="24"/>
        </w:rPr>
        <w:t>Not applicable.</w:t>
      </w:r>
      <w:r w:rsidR="008F4918" w:rsidRPr="005403C8">
        <w:rPr>
          <w:rFonts w:ascii="Times New Roman" w:hAnsi="Times New Roman"/>
          <w:sz w:val="24"/>
        </w:rPr>
        <w:t xml:space="preserve">  The Commission is not seeking approval to omit the expiration date.</w:t>
      </w:r>
    </w:p>
    <w:p w:rsidR="005768EB" w:rsidRPr="005403C8" w:rsidRDefault="005768EB">
      <w:pPr>
        <w:rPr>
          <w:rFonts w:ascii="Times New Roman" w:hAnsi="Times New Roman"/>
          <w:sz w:val="24"/>
        </w:rPr>
      </w:pPr>
    </w:p>
    <w:p w:rsidR="005768EB" w:rsidRPr="005403C8" w:rsidRDefault="005768EB">
      <w:pPr>
        <w:ind w:firstLine="720"/>
        <w:rPr>
          <w:rFonts w:ascii="Times New Roman" w:hAnsi="Times New Roman"/>
          <w:sz w:val="24"/>
        </w:rPr>
      </w:pPr>
      <w:r w:rsidRPr="005403C8">
        <w:rPr>
          <w:rFonts w:ascii="Times New Roman" w:hAnsi="Times New Roman"/>
          <w:sz w:val="24"/>
        </w:rPr>
        <w:t>18.</w:t>
      </w:r>
      <w:r w:rsidRPr="005403C8">
        <w:rPr>
          <w:rFonts w:ascii="Times New Roman" w:hAnsi="Times New Roman"/>
          <w:sz w:val="24"/>
        </w:rPr>
        <w:tab/>
      </w:r>
      <w:r w:rsidRPr="00AE6E3F">
        <w:rPr>
          <w:rStyle w:val="Heading2Char"/>
          <w:rFonts w:ascii="Times New Roman" w:hAnsi="Times New Roman"/>
          <w:u w:val="single"/>
        </w:rPr>
        <w:t>Exceptions to Certification</w:t>
      </w:r>
      <w:r w:rsidR="009F6A2D" w:rsidRPr="00AE6E3F">
        <w:rPr>
          <w:rStyle w:val="Heading2Char"/>
          <w:rFonts w:ascii="Times New Roman" w:hAnsi="Times New Roman"/>
          <w:u w:val="single"/>
        </w:rPr>
        <w:t xml:space="preserve"> for Paperwork Reduction Act Submissions</w:t>
      </w:r>
    </w:p>
    <w:p w:rsidR="005768EB" w:rsidRPr="005403C8" w:rsidRDefault="005768EB">
      <w:pPr>
        <w:ind w:firstLine="720"/>
        <w:rPr>
          <w:rFonts w:ascii="Times New Roman" w:hAnsi="Times New Roman"/>
          <w:sz w:val="24"/>
        </w:rPr>
      </w:pPr>
    </w:p>
    <w:p w:rsidR="005768EB" w:rsidRPr="005403C8" w:rsidRDefault="005768EB">
      <w:pPr>
        <w:ind w:firstLine="720"/>
        <w:rPr>
          <w:rFonts w:ascii="Times New Roman" w:hAnsi="Times New Roman"/>
          <w:sz w:val="24"/>
        </w:rPr>
      </w:pPr>
      <w:r w:rsidRPr="005403C8">
        <w:rPr>
          <w:rFonts w:ascii="Times New Roman" w:hAnsi="Times New Roman"/>
          <w:sz w:val="24"/>
        </w:rPr>
        <w:t>Not applicable.</w:t>
      </w:r>
      <w:r w:rsidR="008F4918" w:rsidRPr="005403C8">
        <w:rPr>
          <w:rFonts w:ascii="Times New Roman" w:hAnsi="Times New Roman"/>
          <w:sz w:val="24"/>
        </w:rPr>
        <w:t xml:space="preserve">  This collection complies with the requirements in 5 CFR 1320.9.</w:t>
      </w:r>
    </w:p>
    <w:p w:rsidR="005768EB" w:rsidRPr="005403C8" w:rsidRDefault="005768EB">
      <w:pPr>
        <w:rPr>
          <w:rFonts w:ascii="Times New Roman" w:hAnsi="Times New Roman"/>
          <w:sz w:val="24"/>
        </w:rPr>
      </w:pPr>
    </w:p>
    <w:p w:rsidR="005768EB" w:rsidRPr="005403C8" w:rsidRDefault="005768EB" w:rsidP="00C31A02">
      <w:pPr>
        <w:pStyle w:val="Heading1"/>
      </w:pPr>
      <w:r w:rsidRPr="005403C8">
        <w:rPr>
          <w:u w:val="none"/>
        </w:rPr>
        <w:t>B.</w:t>
      </w:r>
      <w:r w:rsidRPr="005403C8">
        <w:rPr>
          <w:u w:val="none"/>
        </w:rPr>
        <w:tab/>
      </w:r>
      <w:r w:rsidRPr="005403C8">
        <w:t>Collection of Information Employing Statistical Methods.</w:t>
      </w:r>
    </w:p>
    <w:p w:rsidR="005768EB" w:rsidRPr="005403C8" w:rsidRDefault="005768EB">
      <w:pPr>
        <w:rPr>
          <w:rFonts w:ascii="Times New Roman" w:hAnsi="Times New Roman"/>
          <w:sz w:val="24"/>
          <w:u w:val="single"/>
        </w:rPr>
      </w:pPr>
    </w:p>
    <w:p w:rsidR="005768EB" w:rsidRPr="00CA255B" w:rsidRDefault="005768EB">
      <w:pPr>
        <w:ind w:firstLine="720"/>
        <w:rPr>
          <w:rFonts w:ascii="Times New Roman" w:hAnsi="Times New Roman"/>
          <w:sz w:val="24"/>
        </w:rPr>
      </w:pPr>
      <w:r w:rsidRPr="005403C8">
        <w:rPr>
          <w:rFonts w:ascii="Times New Roman" w:hAnsi="Times New Roman"/>
          <w:sz w:val="24"/>
        </w:rPr>
        <w:t>Not applicable.</w:t>
      </w:r>
    </w:p>
    <w:sectPr w:rsidR="005768EB" w:rsidRPr="00CA255B">
      <w:headerReference w:type="default" r:id="rId10"/>
      <w:footerReference w:type="even" r:id="rId11"/>
      <w:footerReference w:type="default" r:id="rId12"/>
      <w:headerReference w:type="first" r:id="rId13"/>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EEA" w:rsidRDefault="00270EEA">
      <w:r>
        <w:separator/>
      </w:r>
    </w:p>
  </w:endnote>
  <w:endnote w:type="continuationSeparator" w:id="0">
    <w:p w:rsidR="00270EEA" w:rsidRDefault="00270EEA">
      <w:r>
        <w:continuationSeparator/>
      </w:r>
    </w:p>
  </w:endnote>
  <w:endnote w:type="continuationNotice" w:id="1">
    <w:p w:rsidR="00270EEA" w:rsidRDefault="00270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0FC" w:rsidRDefault="00D050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50FC" w:rsidRDefault="00D050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0FC" w:rsidRDefault="00D050FC">
    <w:pPr>
      <w:pStyle w:val="Footer"/>
      <w:framePr w:wrap="around" w:vAnchor="text" w:hAnchor="margin" w:xAlign="center"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8D6A06">
      <w:rPr>
        <w:rStyle w:val="PageNumber"/>
        <w:rFonts w:ascii="Times New Roman" w:hAnsi="Times New Roman"/>
        <w:noProof/>
        <w:sz w:val="24"/>
      </w:rPr>
      <w:t>2</w:t>
    </w:r>
    <w:r>
      <w:rPr>
        <w:rStyle w:val="PageNumber"/>
        <w:rFonts w:ascii="Times New Roman" w:hAnsi="Times New Roman"/>
        <w:sz w:val="24"/>
      </w:rPr>
      <w:fldChar w:fldCharType="end"/>
    </w:r>
  </w:p>
  <w:p w:rsidR="00D050FC" w:rsidRDefault="00D050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EEA" w:rsidRDefault="00270EEA">
      <w:r>
        <w:separator/>
      </w:r>
    </w:p>
  </w:footnote>
  <w:footnote w:type="continuationSeparator" w:id="0">
    <w:p w:rsidR="00270EEA" w:rsidRDefault="00270EEA">
      <w:r>
        <w:continuationSeparator/>
      </w:r>
    </w:p>
  </w:footnote>
  <w:footnote w:type="continuationNotice" w:id="1">
    <w:p w:rsidR="00270EEA" w:rsidRDefault="00270EEA"/>
  </w:footnote>
  <w:footnote w:id="2">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vertAlign w:val="superscript"/>
        </w:rPr>
        <w:t xml:space="preserve"> </w:t>
      </w:r>
      <w:r w:rsidRPr="00EA21EB">
        <w:rPr>
          <w:rFonts w:ascii="Times New Roman" w:hAnsi="Times New Roman"/>
          <w:sz w:val="24"/>
          <w:szCs w:val="24"/>
        </w:rPr>
        <w:tab/>
      </w:r>
      <w:r w:rsidRPr="00CA75E7">
        <w:rPr>
          <w:rFonts w:ascii="Times New Roman" w:hAnsi="Times New Roman"/>
          <w:color w:val="000000"/>
          <w:sz w:val="24"/>
          <w:szCs w:val="24"/>
        </w:rPr>
        <w:t>OMB No. 3235-0541.</w:t>
      </w:r>
    </w:p>
  </w:footnote>
  <w:footnote w:id="3">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vertAlign w:val="superscript"/>
        </w:rPr>
        <w:t xml:space="preserve"> </w:t>
      </w:r>
      <w:r w:rsidRPr="00EA21EB">
        <w:rPr>
          <w:rFonts w:ascii="Times New Roman" w:hAnsi="Times New Roman"/>
          <w:sz w:val="24"/>
          <w:szCs w:val="24"/>
        </w:rPr>
        <w:tab/>
      </w:r>
      <w:r w:rsidRPr="00EA21EB">
        <w:rPr>
          <w:rFonts w:ascii="Times New Roman" w:hAnsi="Times New Roman"/>
          <w:color w:val="000000"/>
          <w:sz w:val="24"/>
          <w:szCs w:val="24"/>
          <w:u w:val="single"/>
        </w:rPr>
        <w:t>See</w:t>
      </w:r>
      <w:r w:rsidRPr="00EA21EB">
        <w:rPr>
          <w:rFonts w:ascii="Times New Roman" w:hAnsi="Times New Roman"/>
          <w:color w:val="000000"/>
          <w:sz w:val="24"/>
          <w:szCs w:val="24"/>
        </w:rPr>
        <w:t xml:space="preserve"> Securities Exchange Act Release No. 51808 (June 9, 2005), 70 FR 37496 (June 29, 2005).</w:t>
      </w:r>
    </w:p>
  </w:footnote>
  <w:footnote w:id="4">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vertAlign w:val="superscript"/>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w:t>
      </w:r>
      <w:r w:rsidRPr="00EA21EB">
        <w:rPr>
          <w:rFonts w:ascii="Times New Roman" w:hAnsi="Times New Roman"/>
          <w:color w:val="000000"/>
          <w:sz w:val="24"/>
          <w:szCs w:val="24"/>
        </w:rPr>
        <w:t xml:space="preserve">Securities </w:t>
      </w:r>
      <w:r w:rsidRPr="00EA21EB">
        <w:rPr>
          <w:rFonts w:ascii="Times New Roman" w:hAnsi="Times New Roman"/>
          <w:sz w:val="24"/>
          <w:szCs w:val="24"/>
        </w:rPr>
        <w:t>Exchange Act Release No. 78309 (July 13, 2016), 81 FR 49431 (July 27, 2016) (“Proposing Release”).</w:t>
      </w:r>
    </w:p>
  </w:footnote>
  <w:footnote w:id="5">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vertAlign w:val="superscript"/>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w:t>
      </w:r>
      <w:r w:rsidRPr="00EA21EB">
        <w:rPr>
          <w:rFonts w:ascii="Times New Roman" w:hAnsi="Times New Roman"/>
          <w:color w:val="000000"/>
          <w:sz w:val="24"/>
          <w:szCs w:val="24"/>
        </w:rPr>
        <w:t xml:space="preserve">Securities </w:t>
      </w:r>
      <w:r w:rsidRPr="00EA21EB">
        <w:rPr>
          <w:rFonts w:ascii="Times New Roman" w:hAnsi="Times New Roman"/>
          <w:sz w:val="24"/>
          <w:szCs w:val="24"/>
        </w:rPr>
        <w:t xml:space="preserve">Exchange Act Release </w:t>
      </w:r>
      <w:r>
        <w:rPr>
          <w:rFonts w:ascii="Times New Roman" w:hAnsi="Times New Roman"/>
          <w:sz w:val="24"/>
          <w:szCs w:val="24"/>
        </w:rPr>
        <w:t>No. 84528</w:t>
      </w:r>
      <w:r w:rsidRPr="00EA21EB">
        <w:rPr>
          <w:rFonts w:ascii="Times New Roman" w:hAnsi="Times New Roman"/>
          <w:sz w:val="24"/>
          <w:szCs w:val="24"/>
        </w:rPr>
        <w:t xml:space="preserve"> (</w:t>
      </w:r>
      <w:r>
        <w:rPr>
          <w:rFonts w:ascii="Times New Roman" w:hAnsi="Times New Roman"/>
          <w:sz w:val="24"/>
          <w:szCs w:val="24"/>
        </w:rPr>
        <w:t>November 2, 2018</w:t>
      </w:r>
      <w:r w:rsidRPr="00EA21EB">
        <w:rPr>
          <w:rFonts w:ascii="Times New Roman" w:hAnsi="Times New Roman"/>
          <w:sz w:val="24"/>
          <w:szCs w:val="24"/>
        </w:rPr>
        <w:t>),</w:t>
      </w:r>
      <w:r>
        <w:rPr>
          <w:rFonts w:ascii="Times New Roman" w:hAnsi="Times New Roman"/>
          <w:sz w:val="24"/>
          <w:szCs w:val="24"/>
        </w:rPr>
        <w:t xml:space="preserve"> 83 </w:t>
      </w:r>
      <w:r w:rsidRPr="00EA21EB">
        <w:rPr>
          <w:rFonts w:ascii="Times New Roman" w:hAnsi="Times New Roman"/>
          <w:sz w:val="24"/>
          <w:szCs w:val="24"/>
        </w:rPr>
        <w:t xml:space="preserve">FR </w:t>
      </w:r>
      <w:r>
        <w:rPr>
          <w:rFonts w:ascii="Times New Roman" w:hAnsi="Times New Roman"/>
          <w:sz w:val="24"/>
          <w:szCs w:val="24"/>
        </w:rPr>
        <w:t>58338</w:t>
      </w:r>
      <w:r w:rsidRPr="00EA21EB">
        <w:rPr>
          <w:rFonts w:ascii="Times New Roman" w:hAnsi="Times New Roman"/>
          <w:sz w:val="24"/>
          <w:szCs w:val="24"/>
        </w:rPr>
        <w:t xml:space="preserve"> (</w:t>
      </w:r>
      <w:r>
        <w:rPr>
          <w:rFonts w:ascii="Times New Roman" w:hAnsi="Times New Roman"/>
          <w:sz w:val="24"/>
          <w:szCs w:val="24"/>
        </w:rPr>
        <w:t xml:space="preserve">November </w:t>
      </w:r>
      <w:r w:rsidRPr="00B32BB4">
        <w:rPr>
          <w:rFonts w:ascii="Times New Roman" w:hAnsi="Times New Roman"/>
          <w:sz w:val="24"/>
          <w:szCs w:val="24"/>
        </w:rPr>
        <w:t>19</w:t>
      </w:r>
      <w:r>
        <w:rPr>
          <w:rFonts w:ascii="Times New Roman" w:hAnsi="Times New Roman"/>
          <w:sz w:val="24"/>
          <w:szCs w:val="24"/>
        </w:rPr>
        <w:t>, 2018</w:t>
      </w:r>
      <w:r w:rsidRPr="00EA21EB">
        <w:rPr>
          <w:rFonts w:ascii="Times New Roman" w:hAnsi="Times New Roman"/>
          <w:sz w:val="24"/>
          <w:szCs w:val="24"/>
        </w:rPr>
        <w:t>) (“Adopting Release”).</w:t>
      </w:r>
    </w:p>
  </w:footnote>
  <w:footnote w:id="6">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Adopting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_Ref505670440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EA21EB">
        <w:rPr>
          <w:rFonts w:ascii="Times New Roman" w:hAnsi="Times New Roman"/>
          <w:sz w:val="24"/>
          <w:szCs w:val="24"/>
        </w:rPr>
        <w:t xml:space="preserve">, at </w:t>
      </w:r>
      <w:r>
        <w:rPr>
          <w:rFonts w:ascii="Times New Roman" w:hAnsi="Times New Roman"/>
          <w:sz w:val="24"/>
          <w:szCs w:val="24"/>
        </w:rPr>
        <w:t>58383.</w:t>
      </w:r>
    </w:p>
  </w:footnote>
  <w:footnote w:id="7">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Proposing Release</w:t>
      </w:r>
      <w:r>
        <w:rPr>
          <w:rFonts w:ascii="Times New Roman" w:hAnsi="Times New Roman"/>
          <w:sz w:val="24"/>
          <w:szCs w:val="24"/>
        </w:rPr>
        <w:t xml:space="preserve">, </w:t>
      </w:r>
      <w:r w:rsidRPr="004413B2">
        <w:rPr>
          <w:rFonts w:ascii="Times New Roman" w:hAnsi="Times New Roman"/>
          <w:sz w:val="24"/>
          <w:szCs w:val="24"/>
          <w:u w:val="single"/>
        </w:rPr>
        <w:t>supra</w:t>
      </w:r>
      <w:r>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_Ref526324924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r w:rsidRPr="00EA21EB">
        <w:rPr>
          <w:rFonts w:ascii="Times New Roman" w:hAnsi="Times New Roman"/>
          <w:sz w:val="24"/>
          <w:szCs w:val="24"/>
        </w:rPr>
        <w:t xml:space="preserve"> at</w:t>
      </w:r>
      <w:r>
        <w:rPr>
          <w:rFonts w:ascii="Times New Roman" w:hAnsi="Times New Roman"/>
          <w:sz w:val="24"/>
          <w:szCs w:val="24"/>
        </w:rPr>
        <w:t xml:space="preserve"> 49477</w:t>
      </w:r>
      <w:r w:rsidRPr="00EA21EB">
        <w:rPr>
          <w:rFonts w:ascii="Times New Roman" w:hAnsi="Times New Roman"/>
          <w:sz w:val="24"/>
          <w:szCs w:val="24"/>
        </w:rPr>
        <w:t>.</w:t>
      </w:r>
    </w:p>
  </w:footnote>
  <w:footnote w:id="8">
    <w:p w:rsidR="00D050FC" w:rsidRPr="00EA21EB" w:rsidRDefault="00D050FC" w:rsidP="00D176F5">
      <w:pPr>
        <w:pStyle w:val="FootnoteText"/>
        <w:tabs>
          <w:tab w:val="left" w:pos="720"/>
          <w:tab w:val="left" w:pos="1440"/>
          <w:tab w:val="left" w:pos="2160"/>
          <w:tab w:val="left" w:pos="2880"/>
          <w:tab w:val="left" w:pos="3600"/>
          <w:tab w:val="left" w:pos="4320"/>
          <w:tab w:val="left" w:pos="5040"/>
          <w:tab w:val="left" w:pos="6187"/>
        </w:tabs>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w:t>
      </w:r>
      <w:r w:rsidRPr="007D229B">
        <w:rPr>
          <w:rFonts w:ascii="Times New Roman" w:hAnsi="Times New Roman"/>
          <w:sz w:val="24"/>
          <w:szCs w:val="24"/>
          <w:u w:val="single"/>
        </w:rPr>
        <w:t>id.</w:t>
      </w:r>
      <w:r w:rsidRPr="00EA21EB">
        <w:rPr>
          <w:rFonts w:ascii="Times New Roman" w:hAnsi="Times New Roman"/>
          <w:sz w:val="24"/>
          <w:szCs w:val="24"/>
        </w:rPr>
        <w:tab/>
      </w:r>
    </w:p>
  </w:footnote>
  <w:footnote w:id="9">
    <w:p w:rsidR="00D050FC" w:rsidRPr="00EA21EB" w:rsidRDefault="00D050FC" w:rsidP="00D176F5">
      <w:pPr>
        <w:pStyle w:val="FootnoteText"/>
        <w:tabs>
          <w:tab w:val="left" w:pos="720"/>
          <w:tab w:val="left" w:pos="1440"/>
          <w:tab w:val="left" w:pos="2160"/>
          <w:tab w:val="left" w:pos="2880"/>
          <w:tab w:val="left" w:pos="3600"/>
          <w:tab w:val="left" w:pos="4320"/>
          <w:tab w:val="left" w:pos="5040"/>
          <w:tab w:val="left" w:pos="6187"/>
        </w:tabs>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t>Letter from David M. Weisberger, Managing Director, IHS Markit to Brent J. Fields, Secretary, Commission, dated September 26, 2016 (“Markit Letter”).</w:t>
      </w:r>
    </w:p>
  </w:footnote>
  <w:footnote w:id="10">
    <w:p w:rsidR="00D050FC" w:rsidRPr="00EA21EB" w:rsidRDefault="00D050FC" w:rsidP="00D176F5">
      <w:pPr>
        <w:pStyle w:val="FootnoteText"/>
        <w:tabs>
          <w:tab w:val="left" w:pos="720"/>
          <w:tab w:val="left" w:pos="1440"/>
          <w:tab w:val="left" w:pos="2160"/>
          <w:tab w:val="left" w:pos="2880"/>
          <w:tab w:val="left" w:pos="3600"/>
          <w:tab w:val="left" w:pos="4320"/>
          <w:tab w:val="left" w:pos="7575"/>
        </w:tabs>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t xml:space="preserve">2014 Form BD and Form Custody data. </w:t>
      </w:r>
      <w:r>
        <w:rPr>
          <w:rFonts w:ascii="Times New Roman" w:hAnsi="Times New Roman"/>
          <w:sz w:val="24"/>
          <w:szCs w:val="24"/>
        </w:rPr>
        <w:tab/>
      </w:r>
    </w:p>
  </w:footnote>
  <w:footnote w:id="11">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Pr>
          <w:rFonts w:ascii="Times New Roman" w:hAnsi="Times New Roman"/>
          <w:sz w:val="24"/>
          <w:szCs w:val="24"/>
        </w:rPr>
        <w:t xml:space="preserve"> </w:t>
      </w:r>
      <w:r>
        <w:rPr>
          <w:rFonts w:ascii="Times New Roman" w:hAnsi="Times New Roman"/>
          <w:sz w:val="24"/>
          <w:szCs w:val="24"/>
        </w:rPr>
        <w:tab/>
        <w:t>2016</w:t>
      </w:r>
      <w:r w:rsidRPr="00EA21EB">
        <w:rPr>
          <w:rFonts w:ascii="Times New Roman" w:hAnsi="Times New Roman"/>
          <w:sz w:val="24"/>
          <w:szCs w:val="24"/>
        </w:rPr>
        <w:t xml:space="preserve"> Form BD and Form Custody data. </w:t>
      </w:r>
    </w:p>
  </w:footnote>
  <w:footnote w:id="12">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Pr>
          <w:rFonts w:ascii="Times New Roman" w:hAnsi="Times New Roman"/>
          <w:sz w:val="24"/>
          <w:szCs w:val="24"/>
        </w:rPr>
        <w:t xml:space="preserve"> </w:t>
      </w:r>
      <w:r>
        <w:rPr>
          <w:rFonts w:ascii="Times New Roman" w:hAnsi="Times New Roman"/>
          <w:sz w:val="24"/>
          <w:szCs w:val="24"/>
        </w:rPr>
        <w:tab/>
      </w:r>
      <w:r w:rsidRPr="007D229B">
        <w:rPr>
          <w:rFonts w:ascii="Times New Roman" w:hAnsi="Times New Roman"/>
          <w:sz w:val="24"/>
          <w:szCs w:val="24"/>
          <w:u w:val="single"/>
        </w:rPr>
        <w:t>Id.</w:t>
      </w:r>
      <w:r w:rsidRPr="00EA21EB">
        <w:rPr>
          <w:rFonts w:ascii="Times New Roman" w:hAnsi="Times New Roman"/>
          <w:sz w:val="24"/>
          <w:szCs w:val="24"/>
        </w:rPr>
        <w:t xml:space="preserve"> </w:t>
      </w:r>
    </w:p>
  </w:footnote>
  <w:footnote w:id="13">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Adopting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_Ref505670440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EA21EB">
        <w:rPr>
          <w:rFonts w:ascii="Times New Roman" w:hAnsi="Times New Roman"/>
          <w:sz w:val="24"/>
          <w:szCs w:val="24"/>
        </w:rPr>
        <w:t xml:space="preserve">, at </w:t>
      </w:r>
      <w:r>
        <w:rPr>
          <w:rFonts w:ascii="Times New Roman" w:hAnsi="Times New Roman"/>
          <w:sz w:val="24"/>
          <w:szCs w:val="24"/>
        </w:rPr>
        <w:t>58382.</w:t>
      </w:r>
    </w:p>
  </w:footnote>
  <w:footnote w:id="14">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w:t>
      </w:r>
      <w:r w:rsidRPr="002A03EE">
        <w:rPr>
          <w:rFonts w:ascii="Times New Roman" w:hAnsi="Times New Roman"/>
          <w:sz w:val="24"/>
          <w:szCs w:val="24"/>
          <w:u w:val="single"/>
        </w:rPr>
        <w:t>id.</w:t>
      </w:r>
    </w:p>
  </w:footnote>
  <w:footnote w:id="15">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t xml:space="preserve">The Commission initially estimated that </w:t>
      </w:r>
      <w:r>
        <w:rPr>
          <w:rFonts w:ascii="Times New Roman" w:hAnsi="Times New Roman"/>
          <w:sz w:val="24"/>
          <w:szCs w:val="24"/>
        </w:rPr>
        <w:t xml:space="preserve">only </w:t>
      </w:r>
      <w:r w:rsidRPr="00EA21EB">
        <w:rPr>
          <w:rFonts w:ascii="Times New Roman" w:hAnsi="Times New Roman"/>
          <w:sz w:val="24"/>
          <w:szCs w:val="24"/>
        </w:rPr>
        <w:t xml:space="preserve">a portion of the 200 broker-dealers subject to the disclosure requirements of Rule 606(b)(3) would </w:t>
      </w:r>
      <w:r>
        <w:rPr>
          <w:rFonts w:ascii="Times New Roman" w:hAnsi="Times New Roman"/>
          <w:sz w:val="24"/>
          <w:szCs w:val="24"/>
        </w:rPr>
        <w:t xml:space="preserve">not </w:t>
      </w:r>
      <w:r w:rsidRPr="00EA21EB">
        <w:rPr>
          <w:rFonts w:ascii="Times New Roman" w:hAnsi="Times New Roman"/>
          <w:sz w:val="24"/>
          <w:szCs w:val="24"/>
        </w:rPr>
        <w:t xml:space="preserve">already have systems in place to capture the data required by the rule and </w:t>
      </w:r>
      <w:r>
        <w:rPr>
          <w:rFonts w:ascii="Times New Roman" w:hAnsi="Times New Roman"/>
          <w:sz w:val="24"/>
          <w:szCs w:val="24"/>
        </w:rPr>
        <w:t>that 10 broker-dealers would build the required systems in-house and 15 would engage a third-party service provider to do so</w:t>
      </w:r>
      <w:r w:rsidRPr="00EA21EB">
        <w:rPr>
          <w:rFonts w:ascii="Times New Roman" w:hAnsi="Times New Roman"/>
          <w:sz w:val="24"/>
          <w:szCs w:val="24"/>
        </w:rPr>
        <w:t xml:space="preserve">.  </w:t>
      </w:r>
      <w:r w:rsidRPr="00EA21EB">
        <w:rPr>
          <w:rFonts w:ascii="Times New Roman" w:hAnsi="Times New Roman"/>
          <w:sz w:val="24"/>
          <w:szCs w:val="24"/>
          <w:u w:val="single"/>
        </w:rPr>
        <w:t>See</w:t>
      </w:r>
      <w:r w:rsidRPr="00EA21EB">
        <w:rPr>
          <w:rFonts w:ascii="Times New Roman" w:hAnsi="Times New Roman"/>
          <w:sz w:val="24"/>
          <w:szCs w:val="24"/>
        </w:rPr>
        <w:t xml:space="preserve"> </w:t>
      </w:r>
      <w:r>
        <w:rPr>
          <w:rFonts w:ascii="Times New Roman" w:hAnsi="Times New Roman"/>
          <w:sz w:val="24"/>
          <w:szCs w:val="24"/>
        </w:rPr>
        <w:t>Proposing</w:t>
      </w:r>
      <w:r w:rsidRPr="00EA21EB">
        <w:rPr>
          <w:rFonts w:ascii="Times New Roman" w:hAnsi="Times New Roman"/>
          <w:sz w:val="24"/>
          <w:szCs w:val="24"/>
        </w:rPr>
        <w:t xml:space="preserve">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_Ref526324924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sidRPr="00EA21EB">
        <w:rPr>
          <w:rFonts w:ascii="Times New Roman" w:hAnsi="Times New Roman"/>
          <w:sz w:val="24"/>
          <w:szCs w:val="24"/>
        </w:rPr>
        <w:t xml:space="preserve">, at 49470.  In response to </w:t>
      </w:r>
      <w:r>
        <w:rPr>
          <w:rFonts w:ascii="Times New Roman" w:hAnsi="Times New Roman"/>
          <w:sz w:val="24"/>
          <w:szCs w:val="24"/>
        </w:rPr>
        <w:t xml:space="preserve">the </w:t>
      </w:r>
      <w:r w:rsidRPr="00EA21EB">
        <w:rPr>
          <w:rFonts w:ascii="Times New Roman" w:hAnsi="Times New Roman"/>
          <w:sz w:val="24"/>
          <w:szCs w:val="24"/>
        </w:rPr>
        <w:t>comment</w:t>
      </w:r>
      <w:r>
        <w:rPr>
          <w:rFonts w:ascii="Times New Roman" w:hAnsi="Times New Roman"/>
          <w:sz w:val="24"/>
          <w:szCs w:val="24"/>
        </w:rPr>
        <w:t xml:space="preserve"> letter</w:t>
      </w:r>
      <w:r w:rsidRPr="00EA21EB">
        <w:rPr>
          <w:rFonts w:ascii="Times New Roman" w:hAnsi="Times New Roman"/>
          <w:sz w:val="24"/>
          <w:szCs w:val="24"/>
        </w:rPr>
        <w:t xml:space="preserve"> received (</w:t>
      </w:r>
      <w:r w:rsidRPr="00EA21EB">
        <w:rPr>
          <w:rFonts w:ascii="Times New Roman" w:hAnsi="Times New Roman"/>
          <w:sz w:val="24"/>
          <w:szCs w:val="24"/>
          <w:u w:val="single"/>
        </w:rPr>
        <w:t>see</w:t>
      </w:r>
      <w:r w:rsidRPr="00EA21EB">
        <w:rPr>
          <w:rFonts w:ascii="Times New Roman" w:hAnsi="Times New Roman"/>
          <w:sz w:val="24"/>
          <w:szCs w:val="24"/>
        </w:rPr>
        <w:t xml:space="preserve"> Markit Letter,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sidRPr="00EA21EB">
        <w:rPr>
          <w:rFonts w:ascii="Times New Roman" w:hAnsi="Times New Roman"/>
          <w:sz w:val="24"/>
          <w:szCs w:val="24"/>
        </w:rPr>
        <w:fldChar w:fldCharType="begin"/>
      </w:r>
      <w:r w:rsidRPr="00EA21EB">
        <w:rPr>
          <w:rFonts w:ascii="Times New Roman" w:hAnsi="Times New Roman"/>
          <w:sz w:val="24"/>
          <w:szCs w:val="24"/>
        </w:rPr>
        <w:instrText xml:space="preserve"> NOTEREF _Ref526344125 \h  \* MERGEFORMAT </w:instrText>
      </w:r>
      <w:r w:rsidRPr="00EA21EB">
        <w:rPr>
          <w:rFonts w:ascii="Times New Roman" w:hAnsi="Times New Roman"/>
          <w:sz w:val="24"/>
          <w:szCs w:val="24"/>
        </w:rPr>
      </w:r>
      <w:r w:rsidRPr="00EA21EB">
        <w:rPr>
          <w:rFonts w:ascii="Times New Roman" w:hAnsi="Times New Roman"/>
          <w:sz w:val="24"/>
          <w:szCs w:val="24"/>
        </w:rPr>
        <w:fldChar w:fldCharType="separate"/>
      </w:r>
      <w:r>
        <w:rPr>
          <w:rFonts w:ascii="Times New Roman" w:hAnsi="Times New Roman"/>
          <w:sz w:val="24"/>
          <w:szCs w:val="24"/>
        </w:rPr>
        <w:t>8</w:t>
      </w:r>
      <w:r w:rsidRPr="00EA21EB">
        <w:rPr>
          <w:rFonts w:ascii="Times New Roman" w:hAnsi="Times New Roman"/>
          <w:sz w:val="24"/>
          <w:szCs w:val="24"/>
        </w:rPr>
        <w:fldChar w:fldCharType="end"/>
      </w:r>
      <w:r w:rsidRPr="00EA21EB">
        <w:rPr>
          <w:rFonts w:ascii="Times New Roman" w:hAnsi="Times New Roman"/>
          <w:sz w:val="24"/>
          <w:szCs w:val="24"/>
        </w:rPr>
        <w:t xml:space="preserve">, at 33), the Commission revised its estimate to reflect that all </w:t>
      </w:r>
      <w:r>
        <w:rPr>
          <w:rFonts w:ascii="Times New Roman" w:hAnsi="Times New Roman"/>
          <w:sz w:val="24"/>
          <w:szCs w:val="24"/>
        </w:rPr>
        <w:t xml:space="preserve">200 </w:t>
      </w:r>
      <w:r w:rsidRPr="00EA21EB">
        <w:rPr>
          <w:rFonts w:ascii="Times New Roman" w:hAnsi="Times New Roman"/>
          <w:sz w:val="24"/>
          <w:szCs w:val="24"/>
        </w:rPr>
        <w:t>broker-dealers subject to the rule would need to update their data capture systems and format the report required by the rule</w:t>
      </w:r>
      <w:r>
        <w:rPr>
          <w:rFonts w:ascii="Times New Roman" w:hAnsi="Times New Roman"/>
          <w:sz w:val="24"/>
          <w:szCs w:val="24"/>
        </w:rPr>
        <w:t>, with 67 broker-dealers doing so in-house and 133 broker-dealers engaging a third-party service provider</w:t>
      </w:r>
      <w:r w:rsidRPr="00EA21EB">
        <w:rPr>
          <w:rFonts w:ascii="Times New Roman" w:hAnsi="Times New Roman"/>
          <w:sz w:val="24"/>
          <w:szCs w:val="24"/>
        </w:rPr>
        <w:t xml:space="preserve">.  </w:t>
      </w:r>
      <w:r w:rsidRPr="00EA21EB">
        <w:rPr>
          <w:rFonts w:ascii="Times New Roman" w:hAnsi="Times New Roman"/>
          <w:sz w:val="24"/>
          <w:szCs w:val="24"/>
          <w:u w:val="single"/>
        </w:rPr>
        <w:t>See</w:t>
      </w:r>
      <w:r w:rsidRPr="00EA21EB">
        <w:rPr>
          <w:rFonts w:ascii="Times New Roman" w:hAnsi="Times New Roman"/>
          <w:sz w:val="24"/>
          <w:szCs w:val="24"/>
        </w:rPr>
        <w:t xml:space="preserve"> Adopting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_Ref505670440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EA21EB">
        <w:rPr>
          <w:rFonts w:ascii="Times New Roman" w:hAnsi="Times New Roman"/>
          <w:sz w:val="24"/>
          <w:szCs w:val="24"/>
        </w:rPr>
        <w:t xml:space="preserve">, at </w:t>
      </w:r>
      <w:r>
        <w:rPr>
          <w:rFonts w:ascii="Times New Roman" w:hAnsi="Times New Roman"/>
          <w:sz w:val="24"/>
          <w:szCs w:val="24"/>
        </w:rPr>
        <w:t>58383.</w:t>
      </w:r>
    </w:p>
  </w:footnote>
  <w:footnote w:id="16">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Adopting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_Ref505670440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EA21EB">
        <w:rPr>
          <w:rFonts w:ascii="Times New Roman" w:hAnsi="Times New Roman"/>
          <w:sz w:val="24"/>
          <w:szCs w:val="24"/>
        </w:rPr>
        <w:t xml:space="preserve">, at </w:t>
      </w:r>
      <w:r>
        <w:rPr>
          <w:rFonts w:ascii="Times New Roman" w:hAnsi="Times New Roman"/>
          <w:sz w:val="24"/>
          <w:szCs w:val="24"/>
        </w:rPr>
        <w:t>58383.</w:t>
      </w:r>
    </w:p>
  </w:footnote>
  <w:footnote w:id="17">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t>The Commission estimates the monetized burden for this requirement to be $84,100.  (Sr. Programmer for 160 hours at $324 per hour) + (Sr. Database Administrator for 40 hours at $334 per hour) + (Sr. Business Analyst for 40 hours at $269 per hour) + (Attorney for 20 hours at $407 per hour) = 260 hours and $84,100.</w:t>
      </w:r>
    </w:p>
  </w:footnote>
  <w:footnote w:id="18">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t>17,420 hours = 260 hours x 67 broker-dealers that handle such orders and would perform the necessary programming upgrades in-house. The monetized hourly burden is $5,634,700 = $84,100  x 67 such broker-dealers.</w:t>
      </w:r>
    </w:p>
  </w:footnote>
  <w:footnote w:id="19">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w:t>
      </w:r>
      <w:r>
        <w:rPr>
          <w:rFonts w:ascii="Times New Roman" w:hAnsi="Times New Roman"/>
          <w:sz w:val="24"/>
          <w:szCs w:val="24"/>
        </w:rPr>
        <w:t>Proposing</w:t>
      </w:r>
      <w:r w:rsidRPr="00EA21EB">
        <w:rPr>
          <w:rFonts w:ascii="Times New Roman" w:hAnsi="Times New Roman"/>
          <w:sz w:val="24"/>
          <w:szCs w:val="24"/>
        </w:rPr>
        <w:t xml:space="preserve">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_Ref526324924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sidRPr="00EA21EB">
        <w:rPr>
          <w:rFonts w:ascii="Times New Roman" w:hAnsi="Times New Roman"/>
          <w:sz w:val="24"/>
          <w:szCs w:val="24"/>
        </w:rPr>
        <w:t>, at 49470.</w:t>
      </w:r>
    </w:p>
  </w:footnote>
  <w:footnote w:id="20">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613559">
        <w:rPr>
          <w:rFonts w:ascii="Times New Roman" w:hAnsi="Times New Roman"/>
          <w:sz w:val="24"/>
          <w:szCs w:val="24"/>
          <w:u w:val="single"/>
        </w:rPr>
        <w:t>See</w:t>
      </w:r>
      <w:r>
        <w:rPr>
          <w:rFonts w:ascii="Times New Roman" w:hAnsi="Times New Roman"/>
          <w:sz w:val="24"/>
          <w:szCs w:val="24"/>
        </w:rPr>
        <w:t xml:space="preserve"> </w:t>
      </w:r>
      <w:r w:rsidRPr="00613559">
        <w:rPr>
          <w:rFonts w:ascii="Times New Roman" w:hAnsi="Times New Roman"/>
          <w:sz w:val="24"/>
          <w:szCs w:val="24"/>
          <w:u w:val="single"/>
        </w:rPr>
        <w:t>supra</w:t>
      </w:r>
      <w:r>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_Ref526345901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t>.</w:t>
      </w:r>
    </w:p>
  </w:footnote>
  <w:footnote w:id="21">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Adopting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_Ref505670440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EA21EB">
        <w:rPr>
          <w:rFonts w:ascii="Times New Roman" w:hAnsi="Times New Roman"/>
          <w:sz w:val="24"/>
          <w:szCs w:val="24"/>
        </w:rPr>
        <w:t xml:space="preserve">, at </w:t>
      </w:r>
      <w:r>
        <w:rPr>
          <w:rFonts w:ascii="Times New Roman" w:hAnsi="Times New Roman"/>
          <w:sz w:val="24"/>
          <w:szCs w:val="24"/>
        </w:rPr>
        <w:t xml:space="preserve">58415 (citing </w:t>
      </w:r>
      <w:r w:rsidRPr="00EA21EB">
        <w:rPr>
          <w:rFonts w:ascii="Times New Roman" w:hAnsi="Times New Roman"/>
          <w:sz w:val="24"/>
          <w:szCs w:val="24"/>
        </w:rPr>
        <w:t xml:space="preserve">Markit Letter,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sidRPr="00EA21EB">
        <w:rPr>
          <w:rFonts w:ascii="Times New Roman" w:hAnsi="Times New Roman"/>
          <w:sz w:val="24"/>
          <w:szCs w:val="24"/>
        </w:rPr>
        <w:fldChar w:fldCharType="begin"/>
      </w:r>
      <w:r w:rsidRPr="00EA21EB">
        <w:rPr>
          <w:rFonts w:ascii="Times New Roman" w:hAnsi="Times New Roman"/>
          <w:sz w:val="24"/>
          <w:szCs w:val="24"/>
        </w:rPr>
        <w:instrText xml:space="preserve"> NOTEREF _Ref526344125 \h  \* MERGEFORMAT </w:instrText>
      </w:r>
      <w:r w:rsidRPr="00EA21EB">
        <w:rPr>
          <w:rFonts w:ascii="Times New Roman" w:hAnsi="Times New Roman"/>
          <w:sz w:val="24"/>
          <w:szCs w:val="24"/>
        </w:rPr>
      </w:r>
      <w:r w:rsidRPr="00EA21EB">
        <w:rPr>
          <w:rFonts w:ascii="Times New Roman" w:hAnsi="Times New Roman"/>
          <w:sz w:val="24"/>
          <w:szCs w:val="24"/>
        </w:rPr>
        <w:fldChar w:fldCharType="separate"/>
      </w:r>
      <w:r>
        <w:rPr>
          <w:rFonts w:ascii="Times New Roman" w:hAnsi="Times New Roman"/>
          <w:sz w:val="24"/>
          <w:szCs w:val="24"/>
        </w:rPr>
        <w:t>8</w:t>
      </w:r>
      <w:r w:rsidRPr="00EA21EB">
        <w:rPr>
          <w:rFonts w:ascii="Times New Roman" w:hAnsi="Times New Roman"/>
          <w:sz w:val="24"/>
          <w:szCs w:val="24"/>
        </w:rPr>
        <w:fldChar w:fldCharType="end"/>
      </w:r>
      <w:r w:rsidRPr="00EA21EB">
        <w:rPr>
          <w:rFonts w:ascii="Times New Roman" w:hAnsi="Times New Roman"/>
          <w:sz w:val="24"/>
          <w:szCs w:val="24"/>
        </w:rPr>
        <w:t>, at 33</w:t>
      </w:r>
      <w:r>
        <w:rPr>
          <w:rFonts w:ascii="Times New Roman" w:hAnsi="Times New Roman"/>
          <w:sz w:val="24"/>
          <w:szCs w:val="24"/>
        </w:rPr>
        <w:t>)</w:t>
      </w:r>
      <w:r w:rsidRPr="00EA21EB">
        <w:rPr>
          <w:rFonts w:ascii="Times New Roman" w:hAnsi="Times New Roman"/>
          <w:sz w:val="24"/>
          <w:szCs w:val="24"/>
        </w:rPr>
        <w:t>.</w:t>
      </w:r>
      <w:r w:rsidRPr="007D229B">
        <w:rPr>
          <w:rFonts w:ascii="Times New Roman" w:hAnsi="Times New Roman"/>
          <w:sz w:val="24"/>
          <w:szCs w:val="24"/>
          <w:highlight w:val="cyan"/>
        </w:rPr>
        <w:t xml:space="preserve"> </w:t>
      </w:r>
    </w:p>
  </w:footnote>
  <w:footnote w:id="22">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t xml:space="preserve">The Commission estimates the monetized burden for this requirement to be </w:t>
      </w:r>
      <w:r w:rsidRPr="00AB0210">
        <w:rPr>
          <w:rFonts w:ascii="Times New Roman" w:hAnsi="Times New Roman"/>
          <w:sz w:val="24"/>
          <w:szCs w:val="24"/>
        </w:rPr>
        <w:t>$16,200.  (Sr. Business Analyst for 15 hours at $269 per hour) + (Compliance Manager for 20 hours at $303 per hour) + (Attorney for 15 hours at $407 per hour) = 50 hours</w:t>
      </w:r>
      <w:r>
        <w:rPr>
          <w:rFonts w:ascii="Times New Roman" w:hAnsi="Times New Roman"/>
          <w:sz w:val="24"/>
          <w:szCs w:val="24"/>
        </w:rPr>
        <w:t xml:space="preserve"> and $16,200.</w:t>
      </w:r>
    </w:p>
  </w:footnote>
  <w:footnote w:id="23">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AB0210">
        <w:rPr>
          <w:rFonts w:ascii="Times New Roman" w:hAnsi="Times New Roman"/>
          <w:sz w:val="24"/>
          <w:szCs w:val="24"/>
        </w:rPr>
        <w:t>6,650 hours = 50 hours x 133 broker-dealers that handle such orders and would engage a third-party vendor to perform the necessary programming upgrades.  The monetized hourly burden is $2,154,600  = $16,200  x 133 such broker-dealers.</w:t>
      </w:r>
    </w:p>
  </w:footnote>
  <w:footnote w:id="24">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w:t>
      </w:r>
      <w:r>
        <w:rPr>
          <w:rFonts w:ascii="Times New Roman" w:hAnsi="Times New Roman"/>
          <w:sz w:val="24"/>
          <w:szCs w:val="24"/>
        </w:rPr>
        <w:t>Proposing</w:t>
      </w:r>
      <w:r w:rsidRPr="00EA21EB">
        <w:rPr>
          <w:rFonts w:ascii="Times New Roman" w:hAnsi="Times New Roman"/>
          <w:sz w:val="24"/>
          <w:szCs w:val="24"/>
        </w:rPr>
        <w:t xml:space="preserve">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_Ref526324924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sidRPr="00EA21EB">
        <w:rPr>
          <w:rFonts w:ascii="Times New Roman" w:hAnsi="Times New Roman"/>
          <w:sz w:val="24"/>
          <w:szCs w:val="24"/>
        </w:rPr>
        <w:t>, at 49470.</w:t>
      </w:r>
    </w:p>
  </w:footnote>
  <w:footnote w:id="25">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613559">
        <w:rPr>
          <w:rFonts w:ascii="Times New Roman" w:hAnsi="Times New Roman"/>
          <w:sz w:val="24"/>
          <w:szCs w:val="24"/>
          <w:u w:val="single"/>
        </w:rPr>
        <w:t>See</w:t>
      </w:r>
      <w:r>
        <w:rPr>
          <w:rFonts w:ascii="Times New Roman" w:hAnsi="Times New Roman"/>
          <w:sz w:val="24"/>
          <w:szCs w:val="24"/>
        </w:rPr>
        <w:t xml:space="preserve"> </w:t>
      </w:r>
      <w:r w:rsidRPr="00613559">
        <w:rPr>
          <w:rFonts w:ascii="Times New Roman" w:hAnsi="Times New Roman"/>
          <w:sz w:val="24"/>
          <w:szCs w:val="24"/>
          <w:u w:val="single"/>
        </w:rPr>
        <w:t>supra</w:t>
      </w:r>
      <w:r>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_Ref526345901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t>.</w:t>
      </w:r>
    </w:p>
  </w:footnote>
  <w:footnote w:id="26">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ab/>
      </w:r>
      <w:r>
        <w:rPr>
          <w:rFonts w:ascii="Times New Roman" w:hAnsi="Times New Roman"/>
          <w:sz w:val="24"/>
          <w:szCs w:val="24"/>
        </w:rPr>
        <w:t>17,240 hours + 6,650</w:t>
      </w:r>
      <w:r w:rsidRPr="00EA21EB">
        <w:rPr>
          <w:rFonts w:ascii="Times New Roman" w:hAnsi="Times New Roman"/>
          <w:sz w:val="24"/>
          <w:szCs w:val="24"/>
        </w:rPr>
        <w:t xml:space="preserve"> hours</w:t>
      </w:r>
      <w:r>
        <w:rPr>
          <w:rFonts w:ascii="Times New Roman" w:hAnsi="Times New Roman"/>
          <w:sz w:val="24"/>
          <w:szCs w:val="24"/>
        </w:rPr>
        <w:t xml:space="preserve"> = 24,070 hours</w:t>
      </w:r>
      <w:r w:rsidRPr="00EA21EB">
        <w:rPr>
          <w:rFonts w:ascii="Times New Roman" w:hAnsi="Times New Roman"/>
          <w:sz w:val="24"/>
          <w:szCs w:val="24"/>
        </w:rPr>
        <w:t>.  The associated monetized burden is</w:t>
      </w:r>
      <w:r w:rsidRPr="00976F75">
        <w:t xml:space="preserve"> </w:t>
      </w:r>
      <w:r w:rsidRPr="00976F75">
        <w:rPr>
          <w:rFonts w:ascii="Times New Roman" w:hAnsi="Times New Roman"/>
          <w:sz w:val="24"/>
          <w:szCs w:val="24"/>
        </w:rPr>
        <w:t xml:space="preserve">$5,660,000 </w:t>
      </w:r>
      <w:r w:rsidRPr="00EA21EB">
        <w:rPr>
          <w:rFonts w:ascii="Times New Roman" w:hAnsi="Times New Roman"/>
          <w:sz w:val="24"/>
          <w:szCs w:val="24"/>
        </w:rPr>
        <w:t xml:space="preserve"> = </w:t>
      </w:r>
      <w:r w:rsidRPr="00976F75">
        <w:rPr>
          <w:rFonts w:ascii="Times New Roman" w:hAnsi="Times New Roman"/>
          <w:sz w:val="24"/>
          <w:szCs w:val="24"/>
        </w:rPr>
        <w:t>$4,655,000</w:t>
      </w:r>
      <w:r>
        <w:rPr>
          <w:rFonts w:ascii="Times New Roman" w:hAnsi="Times New Roman"/>
          <w:sz w:val="24"/>
          <w:szCs w:val="24"/>
        </w:rPr>
        <w:t xml:space="preserve"> + </w:t>
      </w:r>
      <w:r w:rsidRPr="00976F75">
        <w:rPr>
          <w:rFonts w:ascii="Times New Roman" w:hAnsi="Times New Roman"/>
          <w:sz w:val="24"/>
          <w:szCs w:val="24"/>
        </w:rPr>
        <w:t>$1,005,000</w:t>
      </w:r>
      <w:r w:rsidRPr="00EA21EB">
        <w:rPr>
          <w:rFonts w:ascii="Times New Roman" w:hAnsi="Times New Roman"/>
          <w:sz w:val="24"/>
          <w:szCs w:val="24"/>
        </w:rPr>
        <w:t xml:space="preserve">. </w:t>
      </w:r>
    </w:p>
  </w:footnote>
  <w:footnote w:id="27">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ab/>
      </w:r>
      <w:r>
        <w:rPr>
          <w:rFonts w:ascii="Times New Roman" w:hAnsi="Times New Roman"/>
          <w:sz w:val="24"/>
          <w:szCs w:val="24"/>
        </w:rPr>
        <w:t>24,070</w:t>
      </w:r>
      <w:r w:rsidRPr="00EA21EB">
        <w:rPr>
          <w:rFonts w:ascii="Times New Roman" w:hAnsi="Times New Roman"/>
          <w:sz w:val="24"/>
          <w:szCs w:val="24"/>
        </w:rPr>
        <w:t xml:space="preserve"> hours / 3 years = </w:t>
      </w:r>
      <w:r>
        <w:rPr>
          <w:rFonts w:ascii="Times New Roman" w:hAnsi="Times New Roman"/>
          <w:sz w:val="24"/>
          <w:szCs w:val="24"/>
        </w:rPr>
        <w:t xml:space="preserve">8,023.33 </w:t>
      </w:r>
      <w:r w:rsidRPr="00EA21EB">
        <w:rPr>
          <w:rFonts w:ascii="Times New Roman" w:hAnsi="Times New Roman"/>
          <w:sz w:val="24"/>
          <w:szCs w:val="24"/>
        </w:rPr>
        <w:t xml:space="preserve">hours. The associated monetized burden is </w:t>
      </w:r>
      <w:r w:rsidRPr="00976F75">
        <w:rPr>
          <w:rFonts w:ascii="Times New Roman" w:hAnsi="Times New Roman"/>
          <w:sz w:val="24"/>
          <w:szCs w:val="24"/>
        </w:rPr>
        <w:t>$</w:t>
      </w:r>
      <w:r>
        <w:rPr>
          <w:rFonts w:ascii="Times New Roman" w:hAnsi="Times New Roman"/>
          <w:sz w:val="24"/>
          <w:szCs w:val="24"/>
        </w:rPr>
        <w:t>1,886,666.67</w:t>
      </w:r>
      <w:r w:rsidRPr="00976F75">
        <w:rPr>
          <w:rFonts w:ascii="Times New Roman" w:hAnsi="Times New Roman"/>
          <w:sz w:val="24"/>
          <w:szCs w:val="24"/>
        </w:rPr>
        <w:t xml:space="preserve"> </w:t>
      </w:r>
      <w:r w:rsidRPr="00EA21EB">
        <w:rPr>
          <w:rFonts w:ascii="Times New Roman" w:hAnsi="Times New Roman"/>
          <w:sz w:val="24"/>
          <w:szCs w:val="24"/>
        </w:rPr>
        <w:t xml:space="preserve"> per year (</w:t>
      </w:r>
      <w:r w:rsidRPr="00976F75">
        <w:rPr>
          <w:rFonts w:ascii="Times New Roman" w:hAnsi="Times New Roman"/>
          <w:sz w:val="24"/>
          <w:szCs w:val="24"/>
        </w:rPr>
        <w:t>$5,660,000</w:t>
      </w:r>
      <w:r w:rsidRPr="00EA21EB">
        <w:rPr>
          <w:rFonts w:ascii="Times New Roman" w:hAnsi="Times New Roman"/>
          <w:sz w:val="24"/>
          <w:szCs w:val="24"/>
        </w:rPr>
        <w:t xml:space="preserve"> annualized over three years).</w:t>
      </w:r>
    </w:p>
  </w:footnote>
  <w:footnote w:id="28">
    <w:p w:rsidR="00D050FC" w:rsidRPr="0038347A"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Pr>
          <w:rFonts w:ascii="Times New Roman" w:hAnsi="Times New Roman"/>
          <w:sz w:val="24"/>
          <w:szCs w:val="24"/>
        </w:rPr>
        <w:t>T</w:t>
      </w:r>
      <w:r w:rsidRPr="00EA21EB">
        <w:rPr>
          <w:rFonts w:ascii="Times New Roman" w:hAnsi="Times New Roman"/>
          <w:sz w:val="24"/>
          <w:szCs w:val="24"/>
        </w:rPr>
        <w:t xml:space="preserve">he Commission estimates there will be 200 requests annually, each of which will take an </w:t>
      </w:r>
      <w:r>
        <w:rPr>
          <w:rFonts w:ascii="Times New Roman" w:hAnsi="Times New Roman"/>
          <w:sz w:val="24"/>
          <w:szCs w:val="24"/>
        </w:rPr>
        <w:t>average of 2 hours to respond</w:t>
      </w:r>
      <w:r w:rsidRPr="0038347A">
        <w:rPr>
          <w:rFonts w:ascii="Times New Roman" w:hAnsi="Times New Roman"/>
          <w:sz w:val="24"/>
          <w:szCs w:val="24"/>
        </w:rPr>
        <w:t>.  The Commission therefore estimates the monetized burden for this requirement to be $81,400.  (Programmer Analyst for 1 hours at $236 per hour) + (Jr. Business Analyst for 1 hours at $171 per hour) = 2 hours and $407 x 200 requests.</w:t>
      </w:r>
    </w:p>
  </w:footnote>
  <w:footnote w:id="29">
    <w:p w:rsidR="00D050FC" w:rsidRPr="00EA21EB" w:rsidRDefault="00D050FC" w:rsidP="00D176F5">
      <w:pPr>
        <w:pStyle w:val="FootnoteText"/>
        <w:spacing w:after="120"/>
        <w:ind w:left="720" w:hanging="720"/>
        <w:rPr>
          <w:rFonts w:ascii="Times New Roman" w:hAnsi="Times New Roman"/>
          <w:sz w:val="24"/>
          <w:szCs w:val="24"/>
        </w:rPr>
      </w:pPr>
      <w:r w:rsidRPr="0038347A">
        <w:rPr>
          <w:rStyle w:val="FootnoteReference"/>
          <w:rFonts w:ascii="Times New Roman" w:hAnsi="Times New Roman"/>
          <w:sz w:val="24"/>
          <w:szCs w:val="24"/>
          <w:vertAlign w:val="superscript"/>
        </w:rPr>
        <w:footnoteRef/>
      </w:r>
      <w:r w:rsidRPr="0038347A">
        <w:rPr>
          <w:rFonts w:ascii="Times New Roman" w:hAnsi="Times New Roman"/>
          <w:sz w:val="24"/>
          <w:szCs w:val="24"/>
        </w:rPr>
        <w:t xml:space="preserve"> </w:t>
      </w:r>
      <w:r w:rsidRPr="0038347A">
        <w:rPr>
          <w:rFonts w:ascii="Times New Roman" w:hAnsi="Times New Roman"/>
          <w:sz w:val="24"/>
          <w:szCs w:val="24"/>
        </w:rPr>
        <w:tab/>
        <w:t>54,000 hours = 2 hours x 200 requests x 135 broker-deal</w:t>
      </w:r>
      <w:r>
        <w:rPr>
          <w:rFonts w:ascii="Times New Roman" w:hAnsi="Times New Roman"/>
          <w:sz w:val="24"/>
          <w:szCs w:val="24"/>
        </w:rPr>
        <w:t xml:space="preserve">ers that handle such orders and </w:t>
      </w:r>
      <w:r w:rsidRPr="0038347A">
        <w:rPr>
          <w:rFonts w:ascii="Times New Roman" w:hAnsi="Times New Roman"/>
          <w:sz w:val="24"/>
          <w:szCs w:val="24"/>
        </w:rPr>
        <w:t>respond to customer requests</w:t>
      </w:r>
      <w:r>
        <w:rPr>
          <w:rFonts w:ascii="Times New Roman" w:hAnsi="Times New Roman"/>
          <w:sz w:val="24"/>
          <w:szCs w:val="24"/>
        </w:rPr>
        <w:t xml:space="preserve"> in-house</w:t>
      </w:r>
      <w:r w:rsidRPr="0038347A">
        <w:rPr>
          <w:rFonts w:ascii="Times New Roman" w:hAnsi="Times New Roman"/>
          <w:sz w:val="24"/>
          <w:szCs w:val="24"/>
        </w:rPr>
        <w:t>.  The monetized hourly burden is $10,989,000  =  $81,400 x 135 such broker-dealers.</w:t>
      </w:r>
    </w:p>
  </w:footnote>
  <w:footnote w:id="30">
    <w:p w:rsidR="00D050FC" w:rsidRPr="0038347A"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Pr>
          <w:rFonts w:ascii="Times New Roman" w:hAnsi="Times New Roman"/>
          <w:sz w:val="24"/>
          <w:szCs w:val="24"/>
        </w:rPr>
        <w:t>T</w:t>
      </w:r>
      <w:r w:rsidRPr="00EA21EB">
        <w:rPr>
          <w:rFonts w:ascii="Times New Roman" w:hAnsi="Times New Roman"/>
          <w:sz w:val="24"/>
          <w:szCs w:val="24"/>
        </w:rPr>
        <w:t xml:space="preserve">he Commission estimates there will be 200 requests annually, each of which will take an </w:t>
      </w:r>
      <w:r>
        <w:rPr>
          <w:rFonts w:ascii="Times New Roman" w:hAnsi="Times New Roman"/>
          <w:sz w:val="24"/>
          <w:szCs w:val="24"/>
        </w:rPr>
        <w:t>average of 1 hour</w:t>
      </w:r>
      <w:r w:rsidRPr="0038347A">
        <w:rPr>
          <w:rFonts w:ascii="Times New Roman" w:hAnsi="Times New Roman"/>
          <w:sz w:val="24"/>
          <w:szCs w:val="24"/>
        </w:rPr>
        <w:t xml:space="preserve"> </w:t>
      </w:r>
      <w:r>
        <w:rPr>
          <w:rFonts w:ascii="Times New Roman" w:hAnsi="Times New Roman"/>
          <w:sz w:val="24"/>
          <w:szCs w:val="24"/>
        </w:rPr>
        <w:t>per request for a broker-dealer to engage a third-party service provider to respond</w:t>
      </w:r>
      <w:r w:rsidRPr="0038347A">
        <w:rPr>
          <w:rFonts w:ascii="Times New Roman" w:hAnsi="Times New Roman"/>
          <w:sz w:val="24"/>
          <w:szCs w:val="24"/>
        </w:rPr>
        <w:t>.  The Commission therefore estimates the monetized burden for this requirement to be $</w:t>
      </w:r>
      <w:r>
        <w:rPr>
          <w:rFonts w:ascii="Times New Roman" w:hAnsi="Times New Roman"/>
          <w:sz w:val="24"/>
          <w:szCs w:val="24"/>
        </w:rPr>
        <w:t>60,600.</w:t>
      </w:r>
      <w:r w:rsidRPr="0038347A">
        <w:rPr>
          <w:rFonts w:ascii="Times New Roman" w:hAnsi="Times New Roman"/>
          <w:sz w:val="24"/>
          <w:szCs w:val="24"/>
        </w:rPr>
        <w:t xml:space="preserve"> </w:t>
      </w:r>
      <w:r>
        <w:rPr>
          <w:rFonts w:ascii="Times New Roman" w:hAnsi="Times New Roman"/>
          <w:sz w:val="24"/>
          <w:szCs w:val="24"/>
        </w:rPr>
        <w:t xml:space="preserve"> </w:t>
      </w:r>
      <w:r w:rsidRPr="0071679C">
        <w:rPr>
          <w:rFonts w:ascii="Times New Roman" w:hAnsi="Times New Roman"/>
          <w:sz w:val="24"/>
          <w:szCs w:val="24"/>
        </w:rPr>
        <w:t>(Compliance Manager for 1 hours at $303</w:t>
      </w:r>
      <w:r>
        <w:rPr>
          <w:rFonts w:ascii="Times New Roman" w:hAnsi="Times New Roman"/>
          <w:sz w:val="24"/>
          <w:szCs w:val="24"/>
        </w:rPr>
        <w:t xml:space="preserve"> per hour) = 1 hour and $303</w:t>
      </w:r>
      <w:r w:rsidRPr="0038347A">
        <w:rPr>
          <w:rFonts w:ascii="Times New Roman" w:hAnsi="Times New Roman"/>
          <w:sz w:val="24"/>
          <w:szCs w:val="24"/>
        </w:rPr>
        <w:t xml:space="preserve"> x 200 requests.</w:t>
      </w:r>
    </w:p>
  </w:footnote>
  <w:footnote w:id="31">
    <w:p w:rsidR="00D050FC" w:rsidRPr="00EA21EB" w:rsidRDefault="00D050FC" w:rsidP="00D176F5">
      <w:pPr>
        <w:pStyle w:val="FootnoteText"/>
        <w:spacing w:after="120"/>
        <w:ind w:left="720" w:hanging="720"/>
        <w:rPr>
          <w:rFonts w:ascii="Times New Roman" w:hAnsi="Times New Roman"/>
          <w:sz w:val="24"/>
          <w:szCs w:val="24"/>
        </w:rPr>
      </w:pPr>
      <w:r w:rsidRPr="0038347A">
        <w:rPr>
          <w:rStyle w:val="FootnoteReference"/>
          <w:rFonts w:ascii="Times New Roman" w:hAnsi="Times New Roman"/>
          <w:sz w:val="24"/>
          <w:szCs w:val="24"/>
          <w:vertAlign w:val="superscript"/>
        </w:rPr>
        <w:footnoteRef/>
      </w:r>
      <w:r w:rsidRPr="0038347A">
        <w:rPr>
          <w:rFonts w:ascii="Times New Roman" w:hAnsi="Times New Roman"/>
          <w:sz w:val="24"/>
          <w:szCs w:val="24"/>
        </w:rPr>
        <w:t xml:space="preserve"> </w:t>
      </w:r>
      <w:r w:rsidRPr="0038347A">
        <w:rPr>
          <w:rFonts w:ascii="Times New Roman" w:hAnsi="Times New Roman"/>
          <w:sz w:val="24"/>
          <w:szCs w:val="24"/>
        </w:rPr>
        <w:tab/>
      </w:r>
      <w:r>
        <w:rPr>
          <w:rFonts w:ascii="Times New Roman" w:hAnsi="Times New Roman"/>
          <w:sz w:val="24"/>
          <w:szCs w:val="24"/>
        </w:rPr>
        <w:t>13</w:t>
      </w:r>
      <w:r w:rsidRPr="0038347A">
        <w:rPr>
          <w:rFonts w:ascii="Times New Roman" w:hAnsi="Times New Roman"/>
          <w:sz w:val="24"/>
          <w:szCs w:val="24"/>
        </w:rPr>
        <w:t xml:space="preserve">,000 hours = </w:t>
      </w:r>
      <w:r>
        <w:rPr>
          <w:rFonts w:ascii="Times New Roman" w:hAnsi="Times New Roman"/>
          <w:sz w:val="24"/>
          <w:szCs w:val="24"/>
        </w:rPr>
        <w:t>1</w:t>
      </w:r>
      <w:r w:rsidRPr="0038347A">
        <w:rPr>
          <w:rFonts w:ascii="Times New Roman" w:hAnsi="Times New Roman"/>
          <w:sz w:val="24"/>
          <w:szCs w:val="24"/>
        </w:rPr>
        <w:t xml:space="preserve"> hours x 200 requests x </w:t>
      </w:r>
      <w:r>
        <w:rPr>
          <w:rFonts w:ascii="Times New Roman" w:hAnsi="Times New Roman"/>
          <w:sz w:val="24"/>
          <w:szCs w:val="24"/>
        </w:rPr>
        <w:t>6</w:t>
      </w:r>
      <w:r w:rsidRPr="0038347A">
        <w:rPr>
          <w:rFonts w:ascii="Times New Roman" w:hAnsi="Times New Roman"/>
          <w:sz w:val="24"/>
          <w:szCs w:val="24"/>
        </w:rPr>
        <w:t>5 broker-deal</w:t>
      </w:r>
      <w:r>
        <w:rPr>
          <w:rFonts w:ascii="Times New Roman" w:hAnsi="Times New Roman"/>
          <w:sz w:val="24"/>
          <w:szCs w:val="24"/>
        </w:rPr>
        <w:t xml:space="preserve">ers that handle such orders and would engage a third-party service provider to </w:t>
      </w:r>
      <w:r w:rsidRPr="0038347A">
        <w:rPr>
          <w:rFonts w:ascii="Times New Roman" w:hAnsi="Times New Roman"/>
          <w:sz w:val="24"/>
          <w:szCs w:val="24"/>
        </w:rPr>
        <w:t xml:space="preserve">respond to customer requests.  The monetized hourly burden is </w:t>
      </w:r>
      <w:r w:rsidRPr="0071679C">
        <w:rPr>
          <w:rFonts w:ascii="Times New Roman" w:hAnsi="Times New Roman"/>
          <w:sz w:val="24"/>
          <w:szCs w:val="24"/>
        </w:rPr>
        <w:t>$3,939,000</w:t>
      </w:r>
      <w:r w:rsidRPr="0038347A">
        <w:rPr>
          <w:rFonts w:ascii="Times New Roman" w:hAnsi="Times New Roman"/>
          <w:sz w:val="24"/>
          <w:szCs w:val="24"/>
        </w:rPr>
        <w:t xml:space="preserve">  =  $</w:t>
      </w:r>
      <w:r>
        <w:rPr>
          <w:rFonts w:ascii="Times New Roman" w:hAnsi="Times New Roman"/>
          <w:sz w:val="24"/>
          <w:szCs w:val="24"/>
        </w:rPr>
        <w:t>60,600</w:t>
      </w:r>
      <w:r w:rsidRPr="0038347A">
        <w:rPr>
          <w:rFonts w:ascii="Times New Roman" w:hAnsi="Times New Roman"/>
          <w:sz w:val="24"/>
          <w:szCs w:val="24"/>
        </w:rPr>
        <w:t xml:space="preserve"> x </w:t>
      </w:r>
      <w:r>
        <w:rPr>
          <w:rFonts w:ascii="Times New Roman" w:hAnsi="Times New Roman"/>
          <w:sz w:val="24"/>
          <w:szCs w:val="24"/>
        </w:rPr>
        <w:t>65</w:t>
      </w:r>
      <w:r w:rsidRPr="0038347A">
        <w:rPr>
          <w:rFonts w:ascii="Times New Roman" w:hAnsi="Times New Roman"/>
          <w:sz w:val="24"/>
          <w:szCs w:val="24"/>
        </w:rPr>
        <w:t xml:space="preserve"> such broker-dealers.</w:t>
      </w:r>
    </w:p>
  </w:footnote>
  <w:footnote w:id="32">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ab/>
        <w:t xml:space="preserve">54,000 hours + 13,000 hours = 67,000 hours.  The associated monetized burden is </w:t>
      </w:r>
      <w:r w:rsidRPr="007431E6">
        <w:rPr>
          <w:rFonts w:ascii="Times New Roman" w:hAnsi="Times New Roman"/>
          <w:sz w:val="24"/>
          <w:szCs w:val="24"/>
        </w:rPr>
        <w:t>$14,928,000</w:t>
      </w:r>
      <w:r w:rsidRPr="00EA21EB">
        <w:rPr>
          <w:rFonts w:ascii="Times New Roman" w:hAnsi="Times New Roman"/>
          <w:sz w:val="24"/>
          <w:szCs w:val="24"/>
        </w:rPr>
        <w:t xml:space="preserve"> = </w:t>
      </w:r>
      <w:r w:rsidRPr="007431E6">
        <w:rPr>
          <w:rFonts w:ascii="Times New Roman" w:hAnsi="Times New Roman"/>
          <w:sz w:val="24"/>
          <w:szCs w:val="24"/>
        </w:rPr>
        <w:t>$10,989,000</w:t>
      </w:r>
      <w:r w:rsidRPr="00EA21EB">
        <w:rPr>
          <w:rFonts w:ascii="Times New Roman" w:hAnsi="Times New Roman"/>
          <w:sz w:val="24"/>
          <w:szCs w:val="24"/>
        </w:rPr>
        <w:t xml:space="preserve"> + </w:t>
      </w:r>
      <w:r w:rsidRPr="007431E6">
        <w:rPr>
          <w:rFonts w:ascii="Times New Roman" w:hAnsi="Times New Roman"/>
          <w:sz w:val="24"/>
          <w:szCs w:val="24"/>
        </w:rPr>
        <w:t>$3,939,000</w:t>
      </w:r>
      <w:r w:rsidRPr="00EA21EB">
        <w:rPr>
          <w:rFonts w:ascii="Times New Roman" w:hAnsi="Times New Roman"/>
          <w:sz w:val="24"/>
          <w:szCs w:val="24"/>
        </w:rPr>
        <w:t>.</w:t>
      </w:r>
    </w:p>
  </w:footnote>
  <w:footnote w:id="33">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t xml:space="preserve">The Commission initially estimated that </w:t>
      </w:r>
      <w:r>
        <w:rPr>
          <w:rFonts w:ascii="Times New Roman" w:hAnsi="Times New Roman"/>
          <w:sz w:val="24"/>
          <w:szCs w:val="24"/>
        </w:rPr>
        <w:t xml:space="preserve">only </w:t>
      </w:r>
      <w:r w:rsidRPr="00EA21EB">
        <w:rPr>
          <w:rFonts w:ascii="Times New Roman" w:hAnsi="Times New Roman"/>
          <w:sz w:val="24"/>
          <w:szCs w:val="24"/>
        </w:rPr>
        <w:t xml:space="preserve">a portion of the </w:t>
      </w:r>
      <w:r>
        <w:rPr>
          <w:rFonts w:ascii="Times New Roman" w:hAnsi="Times New Roman"/>
          <w:sz w:val="24"/>
          <w:szCs w:val="24"/>
        </w:rPr>
        <w:t>292</w:t>
      </w:r>
      <w:r w:rsidRPr="00EA21EB">
        <w:rPr>
          <w:rFonts w:ascii="Times New Roman" w:hAnsi="Times New Roman"/>
          <w:sz w:val="24"/>
          <w:szCs w:val="24"/>
        </w:rPr>
        <w:t xml:space="preserve"> broker-dealers subject to the disclosure requirements of Rule</w:t>
      </w:r>
      <w:r>
        <w:rPr>
          <w:rFonts w:ascii="Times New Roman" w:hAnsi="Times New Roman"/>
          <w:sz w:val="24"/>
          <w:szCs w:val="24"/>
        </w:rPr>
        <w:t>s 606(a)(1) and 606(b)(1</w:t>
      </w:r>
      <w:r w:rsidRPr="00EA21EB">
        <w:rPr>
          <w:rFonts w:ascii="Times New Roman" w:hAnsi="Times New Roman"/>
          <w:sz w:val="24"/>
          <w:szCs w:val="24"/>
        </w:rPr>
        <w:t xml:space="preserve">) would </w:t>
      </w:r>
      <w:r>
        <w:rPr>
          <w:rFonts w:ascii="Times New Roman" w:hAnsi="Times New Roman"/>
          <w:sz w:val="24"/>
          <w:szCs w:val="24"/>
        </w:rPr>
        <w:t xml:space="preserve">not </w:t>
      </w:r>
      <w:r w:rsidRPr="00EA21EB">
        <w:rPr>
          <w:rFonts w:ascii="Times New Roman" w:hAnsi="Times New Roman"/>
          <w:sz w:val="24"/>
          <w:szCs w:val="24"/>
        </w:rPr>
        <w:t xml:space="preserve">already have systems in place to capture the data required by the rule and </w:t>
      </w:r>
      <w:r>
        <w:rPr>
          <w:rFonts w:ascii="Times New Roman" w:hAnsi="Times New Roman"/>
          <w:sz w:val="24"/>
          <w:szCs w:val="24"/>
        </w:rPr>
        <w:t>that 25 broker-dealers would build the required systems in-house and 25 would engage a third-party service provider to do so</w:t>
      </w:r>
      <w:r w:rsidRPr="00EA21EB">
        <w:rPr>
          <w:rFonts w:ascii="Times New Roman" w:hAnsi="Times New Roman"/>
          <w:sz w:val="24"/>
          <w:szCs w:val="24"/>
        </w:rPr>
        <w:t xml:space="preserve">.  </w:t>
      </w:r>
      <w:r w:rsidRPr="00EA21EB">
        <w:rPr>
          <w:rFonts w:ascii="Times New Roman" w:hAnsi="Times New Roman"/>
          <w:sz w:val="24"/>
          <w:szCs w:val="24"/>
          <w:u w:val="single"/>
        </w:rPr>
        <w:t>See</w:t>
      </w:r>
      <w:r w:rsidRPr="00EA21EB">
        <w:rPr>
          <w:rFonts w:ascii="Times New Roman" w:hAnsi="Times New Roman"/>
          <w:sz w:val="24"/>
          <w:szCs w:val="24"/>
        </w:rPr>
        <w:t xml:space="preserve"> </w:t>
      </w:r>
      <w:r>
        <w:rPr>
          <w:rFonts w:ascii="Times New Roman" w:hAnsi="Times New Roman"/>
          <w:sz w:val="24"/>
          <w:szCs w:val="24"/>
        </w:rPr>
        <w:t>Proposing</w:t>
      </w:r>
      <w:r w:rsidRPr="00EA21EB">
        <w:rPr>
          <w:rFonts w:ascii="Times New Roman" w:hAnsi="Times New Roman"/>
          <w:sz w:val="24"/>
          <w:szCs w:val="24"/>
        </w:rPr>
        <w:t xml:space="preserve">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_Ref526324924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 at 49474</w:t>
      </w:r>
      <w:r w:rsidRPr="00EA21EB">
        <w:rPr>
          <w:rFonts w:ascii="Times New Roman" w:hAnsi="Times New Roman"/>
          <w:sz w:val="24"/>
          <w:szCs w:val="24"/>
        </w:rPr>
        <w:t xml:space="preserve">.  In response to </w:t>
      </w:r>
      <w:r>
        <w:rPr>
          <w:rFonts w:ascii="Times New Roman" w:hAnsi="Times New Roman"/>
          <w:sz w:val="24"/>
          <w:szCs w:val="24"/>
        </w:rPr>
        <w:t xml:space="preserve">the </w:t>
      </w:r>
      <w:r w:rsidRPr="00EA21EB">
        <w:rPr>
          <w:rFonts w:ascii="Times New Roman" w:hAnsi="Times New Roman"/>
          <w:sz w:val="24"/>
          <w:szCs w:val="24"/>
        </w:rPr>
        <w:t>comment</w:t>
      </w:r>
      <w:r>
        <w:rPr>
          <w:rFonts w:ascii="Times New Roman" w:hAnsi="Times New Roman"/>
          <w:sz w:val="24"/>
          <w:szCs w:val="24"/>
        </w:rPr>
        <w:t xml:space="preserve"> letter</w:t>
      </w:r>
      <w:r w:rsidRPr="00EA21EB">
        <w:rPr>
          <w:rFonts w:ascii="Times New Roman" w:hAnsi="Times New Roman"/>
          <w:sz w:val="24"/>
          <w:szCs w:val="24"/>
        </w:rPr>
        <w:t xml:space="preserve"> received (</w:t>
      </w:r>
      <w:r w:rsidRPr="00EA21EB">
        <w:rPr>
          <w:rFonts w:ascii="Times New Roman" w:hAnsi="Times New Roman"/>
          <w:sz w:val="24"/>
          <w:szCs w:val="24"/>
          <w:u w:val="single"/>
        </w:rPr>
        <w:t>see</w:t>
      </w:r>
      <w:r w:rsidRPr="00EA21EB">
        <w:rPr>
          <w:rFonts w:ascii="Times New Roman" w:hAnsi="Times New Roman"/>
          <w:sz w:val="24"/>
          <w:szCs w:val="24"/>
        </w:rPr>
        <w:t xml:space="preserve"> Markit Letter,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sidRPr="00EA21EB">
        <w:rPr>
          <w:rFonts w:ascii="Times New Roman" w:hAnsi="Times New Roman"/>
          <w:sz w:val="24"/>
          <w:szCs w:val="24"/>
        </w:rPr>
        <w:fldChar w:fldCharType="begin"/>
      </w:r>
      <w:r w:rsidRPr="00EA21EB">
        <w:rPr>
          <w:rFonts w:ascii="Times New Roman" w:hAnsi="Times New Roman"/>
          <w:sz w:val="24"/>
          <w:szCs w:val="24"/>
        </w:rPr>
        <w:instrText xml:space="preserve"> NOTEREF _Ref526344125 \h  \* MERGEFORMAT </w:instrText>
      </w:r>
      <w:r w:rsidRPr="00EA21EB">
        <w:rPr>
          <w:rFonts w:ascii="Times New Roman" w:hAnsi="Times New Roman"/>
          <w:sz w:val="24"/>
          <w:szCs w:val="24"/>
        </w:rPr>
      </w:r>
      <w:r w:rsidRPr="00EA21EB">
        <w:rPr>
          <w:rFonts w:ascii="Times New Roman" w:hAnsi="Times New Roman"/>
          <w:sz w:val="24"/>
          <w:szCs w:val="24"/>
        </w:rPr>
        <w:fldChar w:fldCharType="separate"/>
      </w:r>
      <w:r>
        <w:rPr>
          <w:rFonts w:ascii="Times New Roman" w:hAnsi="Times New Roman"/>
          <w:sz w:val="24"/>
          <w:szCs w:val="24"/>
        </w:rPr>
        <w:t>8</w:t>
      </w:r>
      <w:r w:rsidRPr="00EA21EB">
        <w:rPr>
          <w:rFonts w:ascii="Times New Roman" w:hAnsi="Times New Roman"/>
          <w:sz w:val="24"/>
          <w:szCs w:val="24"/>
        </w:rPr>
        <w:fldChar w:fldCharType="end"/>
      </w:r>
      <w:r w:rsidRPr="00EA21EB">
        <w:rPr>
          <w:rFonts w:ascii="Times New Roman" w:hAnsi="Times New Roman"/>
          <w:sz w:val="24"/>
          <w:szCs w:val="24"/>
        </w:rPr>
        <w:t xml:space="preserve">, at 33), the Commission revised its estimate to reflect that all </w:t>
      </w:r>
      <w:r>
        <w:rPr>
          <w:rFonts w:ascii="Times New Roman" w:hAnsi="Times New Roman"/>
          <w:sz w:val="24"/>
          <w:szCs w:val="24"/>
        </w:rPr>
        <w:t xml:space="preserve">292 </w:t>
      </w:r>
      <w:r w:rsidRPr="00EA21EB">
        <w:rPr>
          <w:rFonts w:ascii="Times New Roman" w:hAnsi="Times New Roman"/>
          <w:sz w:val="24"/>
          <w:szCs w:val="24"/>
        </w:rPr>
        <w:t>broker-dealers subject to the rule would need to update their data capture systems and format the report required by the rule</w:t>
      </w:r>
      <w:r>
        <w:rPr>
          <w:rFonts w:ascii="Times New Roman" w:hAnsi="Times New Roman"/>
          <w:sz w:val="24"/>
          <w:szCs w:val="24"/>
        </w:rPr>
        <w:t>, with 97 broker-dealers doing so in-house and 195 broker-dealers engaging a third-party service provider</w:t>
      </w:r>
      <w:r w:rsidRPr="00EA21EB">
        <w:rPr>
          <w:rFonts w:ascii="Times New Roman" w:hAnsi="Times New Roman"/>
          <w:sz w:val="24"/>
          <w:szCs w:val="24"/>
        </w:rPr>
        <w:t xml:space="preserve">.  </w:t>
      </w:r>
      <w:r w:rsidRPr="00EA21EB">
        <w:rPr>
          <w:rFonts w:ascii="Times New Roman" w:hAnsi="Times New Roman"/>
          <w:sz w:val="24"/>
          <w:szCs w:val="24"/>
          <w:u w:val="single"/>
        </w:rPr>
        <w:t>See</w:t>
      </w:r>
      <w:r w:rsidRPr="00EA21EB">
        <w:rPr>
          <w:rFonts w:ascii="Times New Roman" w:hAnsi="Times New Roman"/>
          <w:sz w:val="24"/>
          <w:szCs w:val="24"/>
        </w:rPr>
        <w:t xml:space="preserve"> Adopting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_Ref505670440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EA21EB">
        <w:rPr>
          <w:rFonts w:ascii="Times New Roman" w:hAnsi="Times New Roman"/>
          <w:sz w:val="24"/>
          <w:szCs w:val="24"/>
        </w:rPr>
        <w:t xml:space="preserve">, at </w:t>
      </w:r>
      <w:r>
        <w:rPr>
          <w:rFonts w:ascii="Times New Roman" w:hAnsi="Times New Roman"/>
          <w:sz w:val="24"/>
          <w:szCs w:val="24"/>
        </w:rPr>
        <w:t>58386.</w:t>
      </w:r>
    </w:p>
  </w:footnote>
  <w:footnote w:id="34">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t xml:space="preserve">The Commission estimates the monetized burden for this requirement to be </w:t>
      </w:r>
      <w:r w:rsidRPr="000C6BA9">
        <w:rPr>
          <w:rFonts w:ascii="Times New Roman" w:hAnsi="Times New Roman"/>
          <w:sz w:val="24"/>
          <w:szCs w:val="24"/>
        </w:rPr>
        <w:t>$76,800</w:t>
      </w:r>
      <w:r w:rsidRPr="00EA21EB">
        <w:rPr>
          <w:rFonts w:ascii="Times New Roman" w:hAnsi="Times New Roman"/>
          <w:sz w:val="24"/>
          <w:szCs w:val="24"/>
        </w:rPr>
        <w:t xml:space="preserve">.  </w:t>
      </w:r>
      <w:r w:rsidRPr="00483D16">
        <w:rPr>
          <w:rFonts w:ascii="Times New Roman" w:hAnsi="Times New Roman"/>
          <w:sz w:val="24"/>
          <w:szCs w:val="24"/>
        </w:rPr>
        <w:t>(Sr. Programmer for 160 hours at $324 per hour) + (Sr. Database Administrator for 20 hours at $334 per hour) + (Sr. Business Analyst for 20 hours at $269 per hour) + (Attorney for 4 hours at $407 per hour) + (Sr. Operations Manager for 20 hours at $358 per hour) + (Systems Analyst f</w:t>
      </w:r>
      <w:r>
        <w:rPr>
          <w:rFonts w:ascii="Times New Roman" w:hAnsi="Times New Roman"/>
          <w:sz w:val="24"/>
          <w:szCs w:val="24"/>
        </w:rPr>
        <w:t xml:space="preserve">or 16 hours at $257 per hour) = 240 hours and </w:t>
      </w:r>
      <w:r w:rsidRPr="000C6BA9">
        <w:rPr>
          <w:rFonts w:ascii="Times New Roman" w:hAnsi="Times New Roman"/>
          <w:sz w:val="24"/>
          <w:szCs w:val="24"/>
        </w:rPr>
        <w:t>$76,800</w:t>
      </w:r>
      <w:r w:rsidRPr="00EA21EB">
        <w:rPr>
          <w:rFonts w:ascii="Times New Roman" w:hAnsi="Times New Roman"/>
          <w:sz w:val="24"/>
          <w:szCs w:val="24"/>
        </w:rPr>
        <w:t>.</w:t>
      </w:r>
    </w:p>
  </w:footnote>
  <w:footnote w:id="35">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483D16">
        <w:rPr>
          <w:rFonts w:ascii="Times New Roman" w:hAnsi="Times New Roman"/>
          <w:sz w:val="24"/>
          <w:szCs w:val="24"/>
        </w:rPr>
        <w:t>23,280</w:t>
      </w:r>
      <w:r>
        <w:rPr>
          <w:rFonts w:ascii="Times New Roman" w:hAnsi="Times New Roman"/>
          <w:sz w:val="24"/>
          <w:szCs w:val="24"/>
        </w:rPr>
        <w:t xml:space="preserve"> hours = 240 hours x 9</w:t>
      </w:r>
      <w:r w:rsidRPr="00EA21EB">
        <w:rPr>
          <w:rFonts w:ascii="Times New Roman" w:hAnsi="Times New Roman"/>
          <w:sz w:val="24"/>
          <w:szCs w:val="24"/>
        </w:rPr>
        <w:t>7 broker-dealers that handle such orders and would perform the necessary programming upgrades in-house. The monetized hourly burden is</w:t>
      </w:r>
      <w:r>
        <w:rPr>
          <w:rFonts w:ascii="Times New Roman" w:hAnsi="Times New Roman"/>
          <w:sz w:val="24"/>
          <w:szCs w:val="24"/>
        </w:rPr>
        <w:t xml:space="preserve"> </w:t>
      </w:r>
      <w:r w:rsidRPr="000C6BA9">
        <w:rPr>
          <w:rFonts w:ascii="Times New Roman" w:hAnsi="Times New Roman"/>
          <w:sz w:val="24"/>
          <w:szCs w:val="24"/>
        </w:rPr>
        <w:t>$7,449,600</w:t>
      </w:r>
      <w:r w:rsidRPr="00EA21EB">
        <w:rPr>
          <w:rFonts w:ascii="Times New Roman" w:hAnsi="Times New Roman"/>
          <w:sz w:val="24"/>
          <w:szCs w:val="24"/>
        </w:rPr>
        <w:t xml:space="preserve"> = </w:t>
      </w:r>
      <w:r w:rsidRPr="000C6BA9">
        <w:rPr>
          <w:rFonts w:ascii="Times New Roman" w:hAnsi="Times New Roman"/>
          <w:sz w:val="24"/>
          <w:szCs w:val="24"/>
        </w:rPr>
        <w:t xml:space="preserve">$76,800 </w:t>
      </w:r>
      <w:r>
        <w:rPr>
          <w:rFonts w:ascii="Times New Roman" w:hAnsi="Times New Roman"/>
          <w:sz w:val="24"/>
          <w:szCs w:val="24"/>
        </w:rPr>
        <w:t>x 9</w:t>
      </w:r>
      <w:r w:rsidRPr="00EA21EB">
        <w:rPr>
          <w:rFonts w:ascii="Times New Roman" w:hAnsi="Times New Roman"/>
          <w:sz w:val="24"/>
          <w:szCs w:val="24"/>
        </w:rPr>
        <w:t>7 such broker-dealers.</w:t>
      </w:r>
    </w:p>
  </w:footnote>
  <w:footnote w:id="36">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w:t>
      </w:r>
      <w:r>
        <w:rPr>
          <w:rFonts w:ascii="Times New Roman" w:hAnsi="Times New Roman"/>
          <w:sz w:val="24"/>
          <w:szCs w:val="24"/>
        </w:rPr>
        <w:t>Proposing</w:t>
      </w:r>
      <w:r w:rsidRPr="00EA21EB">
        <w:rPr>
          <w:rFonts w:ascii="Times New Roman" w:hAnsi="Times New Roman"/>
          <w:sz w:val="24"/>
          <w:szCs w:val="24"/>
        </w:rPr>
        <w:t xml:space="preserve">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_Ref526324924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 at 49474</w:t>
      </w:r>
      <w:r w:rsidRPr="00EA21EB">
        <w:rPr>
          <w:rFonts w:ascii="Times New Roman" w:hAnsi="Times New Roman"/>
          <w:sz w:val="24"/>
          <w:szCs w:val="24"/>
        </w:rPr>
        <w:t>.</w:t>
      </w:r>
    </w:p>
  </w:footnote>
  <w:footnote w:id="37">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613559">
        <w:rPr>
          <w:rFonts w:ascii="Times New Roman" w:hAnsi="Times New Roman"/>
          <w:sz w:val="24"/>
          <w:szCs w:val="24"/>
          <w:u w:val="single"/>
        </w:rPr>
        <w:t>See</w:t>
      </w:r>
      <w:r>
        <w:rPr>
          <w:rFonts w:ascii="Times New Roman" w:hAnsi="Times New Roman"/>
          <w:sz w:val="24"/>
          <w:szCs w:val="24"/>
        </w:rPr>
        <w:t xml:space="preserve"> </w:t>
      </w:r>
      <w:r w:rsidRPr="00613559">
        <w:rPr>
          <w:rFonts w:ascii="Times New Roman" w:hAnsi="Times New Roman"/>
          <w:sz w:val="24"/>
          <w:szCs w:val="24"/>
          <w:u w:val="single"/>
        </w:rPr>
        <w:t>supra</w:t>
      </w:r>
      <w:r>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_Ref526429381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33</w:t>
      </w:r>
      <w:r>
        <w:rPr>
          <w:rFonts w:ascii="Times New Roman" w:hAnsi="Times New Roman"/>
          <w:sz w:val="24"/>
          <w:szCs w:val="24"/>
        </w:rPr>
        <w:fldChar w:fldCharType="end"/>
      </w:r>
      <w:r>
        <w:rPr>
          <w:rFonts w:ascii="Times New Roman" w:hAnsi="Times New Roman"/>
          <w:sz w:val="24"/>
          <w:szCs w:val="24"/>
        </w:rPr>
        <w:t>.</w:t>
      </w:r>
    </w:p>
  </w:footnote>
  <w:footnote w:id="38">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Adopting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_Ref505670440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EA21EB">
        <w:rPr>
          <w:rFonts w:ascii="Times New Roman" w:hAnsi="Times New Roman"/>
          <w:sz w:val="24"/>
          <w:szCs w:val="24"/>
        </w:rPr>
        <w:t xml:space="preserve">, at </w:t>
      </w:r>
      <w:r>
        <w:rPr>
          <w:rFonts w:ascii="Times New Roman" w:hAnsi="Times New Roman"/>
          <w:sz w:val="24"/>
          <w:szCs w:val="24"/>
        </w:rPr>
        <w:t xml:space="preserve">58387 (citing </w:t>
      </w:r>
      <w:r w:rsidRPr="00EA21EB">
        <w:rPr>
          <w:rFonts w:ascii="Times New Roman" w:hAnsi="Times New Roman"/>
          <w:sz w:val="24"/>
          <w:szCs w:val="24"/>
        </w:rPr>
        <w:t xml:space="preserve">Markit Letter,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sidRPr="00EA21EB">
        <w:rPr>
          <w:rFonts w:ascii="Times New Roman" w:hAnsi="Times New Roman"/>
          <w:sz w:val="24"/>
          <w:szCs w:val="24"/>
        </w:rPr>
        <w:fldChar w:fldCharType="begin"/>
      </w:r>
      <w:r w:rsidRPr="00EA21EB">
        <w:rPr>
          <w:rFonts w:ascii="Times New Roman" w:hAnsi="Times New Roman"/>
          <w:sz w:val="24"/>
          <w:szCs w:val="24"/>
        </w:rPr>
        <w:instrText xml:space="preserve"> NOTEREF _Ref526344125 \h  \* MERGEFORMAT </w:instrText>
      </w:r>
      <w:r w:rsidRPr="00EA21EB">
        <w:rPr>
          <w:rFonts w:ascii="Times New Roman" w:hAnsi="Times New Roman"/>
          <w:sz w:val="24"/>
          <w:szCs w:val="24"/>
        </w:rPr>
      </w:r>
      <w:r w:rsidRPr="00EA21EB">
        <w:rPr>
          <w:rFonts w:ascii="Times New Roman" w:hAnsi="Times New Roman"/>
          <w:sz w:val="24"/>
          <w:szCs w:val="24"/>
        </w:rPr>
        <w:fldChar w:fldCharType="separate"/>
      </w:r>
      <w:r>
        <w:rPr>
          <w:rFonts w:ascii="Times New Roman" w:hAnsi="Times New Roman"/>
          <w:sz w:val="24"/>
          <w:szCs w:val="24"/>
        </w:rPr>
        <w:t>8</w:t>
      </w:r>
      <w:r w:rsidRPr="00EA21EB">
        <w:rPr>
          <w:rFonts w:ascii="Times New Roman" w:hAnsi="Times New Roman"/>
          <w:sz w:val="24"/>
          <w:szCs w:val="24"/>
        </w:rPr>
        <w:fldChar w:fldCharType="end"/>
      </w:r>
      <w:r w:rsidRPr="00EA21EB">
        <w:rPr>
          <w:rFonts w:ascii="Times New Roman" w:hAnsi="Times New Roman"/>
          <w:sz w:val="24"/>
          <w:szCs w:val="24"/>
        </w:rPr>
        <w:t>, at 33</w:t>
      </w:r>
      <w:r>
        <w:rPr>
          <w:rFonts w:ascii="Times New Roman" w:hAnsi="Times New Roman"/>
          <w:sz w:val="24"/>
          <w:szCs w:val="24"/>
        </w:rPr>
        <w:t>)</w:t>
      </w:r>
      <w:r w:rsidRPr="00EA21EB">
        <w:rPr>
          <w:rFonts w:ascii="Times New Roman" w:hAnsi="Times New Roman"/>
          <w:sz w:val="24"/>
          <w:szCs w:val="24"/>
        </w:rPr>
        <w:t>.</w:t>
      </w:r>
    </w:p>
  </w:footnote>
  <w:footnote w:id="39">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t xml:space="preserve">The Commission estimates the monetized burden for this requirement to be </w:t>
      </w:r>
      <w:r w:rsidRPr="00A3193D">
        <w:rPr>
          <w:rFonts w:ascii="Times New Roman" w:hAnsi="Times New Roman"/>
          <w:sz w:val="24"/>
          <w:szCs w:val="24"/>
        </w:rPr>
        <w:t>$6,410</w:t>
      </w:r>
      <w:r w:rsidRPr="00AB0210">
        <w:rPr>
          <w:rFonts w:ascii="Times New Roman" w:hAnsi="Times New Roman"/>
          <w:sz w:val="24"/>
          <w:szCs w:val="24"/>
        </w:rPr>
        <w:t xml:space="preserve">.  </w:t>
      </w:r>
      <w:r w:rsidRPr="00A3193D">
        <w:rPr>
          <w:rFonts w:ascii="Times New Roman" w:hAnsi="Times New Roman"/>
          <w:sz w:val="24"/>
          <w:szCs w:val="24"/>
        </w:rPr>
        <w:t xml:space="preserve">(Sr. Business Analyst for 5 hours at $269 per hour) + (Compliance Manager for 10 hours at $303 per hour) + (Attorney </w:t>
      </w:r>
      <w:r>
        <w:rPr>
          <w:rFonts w:ascii="Times New Roman" w:hAnsi="Times New Roman"/>
          <w:sz w:val="24"/>
          <w:szCs w:val="24"/>
        </w:rPr>
        <w:t xml:space="preserve">for 5 hours at $407 per hour) </w:t>
      </w:r>
      <w:r w:rsidRPr="00A3193D">
        <w:rPr>
          <w:rFonts w:ascii="Times New Roman" w:hAnsi="Times New Roman"/>
          <w:sz w:val="24"/>
          <w:szCs w:val="24"/>
        </w:rPr>
        <w:t>= 20 hours and $6,410.</w:t>
      </w:r>
    </w:p>
  </w:footnote>
  <w:footnote w:id="40">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Pr>
          <w:rFonts w:ascii="Times New Roman" w:hAnsi="Times New Roman"/>
          <w:sz w:val="24"/>
          <w:szCs w:val="24"/>
        </w:rPr>
        <w:t>3,900</w:t>
      </w:r>
      <w:r w:rsidRPr="00AB0210">
        <w:rPr>
          <w:rFonts w:ascii="Times New Roman" w:hAnsi="Times New Roman"/>
          <w:sz w:val="24"/>
          <w:szCs w:val="24"/>
        </w:rPr>
        <w:t xml:space="preserve"> hours = </w:t>
      </w:r>
      <w:r>
        <w:rPr>
          <w:rFonts w:ascii="Times New Roman" w:hAnsi="Times New Roman"/>
          <w:sz w:val="24"/>
          <w:szCs w:val="24"/>
        </w:rPr>
        <w:t>20</w:t>
      </w:r>
      <w:r w:rsidRPr="00AB0210">
        <w:rPr>
          <w:rFonts w:ascii="Times New Roman" w:hAnsi="Times New Roman"/>
          <w:sz w:val="24"/>
          <w:szCs w:val="24"/>
        </w:rPr>
        <w:t xml:space="preserve"> hours x </w:t>
      </w:r>
      <w:r>
        <w:rPr>
          <w:rFonts w:ascii="Times New Roman" w:hAnsi="Times New Roman"/>
          <w:sz w:val="24"/>
          <w:szCs w:val="24"/>
        </w:rPr>
        <w:t>195</w:t>
      </w:r>
      <w:r w:rsidRPr="00AB0210">
        <w:rPr>
          <w:rFonts w:ascii="Times New Roman" w:hAnsi="Times New Roman"/>
          <w:sz w:val="24"/>
          <w:szCs w:val="24"/>
        </w:rPr>
        <w:t xml:space="preserve"> broker-dealers that handle such orders and would engage a third-party vendor to perform the necessary programming upgrades.  The monetized hourly burden is </w:t>
      </w:r>
      <w:r w:rsidRPr="000C6BA9">
        <w:rPr>
          <w:rFonts w:ascii="Times New Roman" w:hAnsi="Times New Roman"/>
          <w:sz w:val="24"/>
          <w:szCs w:val="24"/>
        </w:rPr>
        <w:t>$1,249,950</w:t>
      </w:r>
      <w:r w:rsidRPr="00AB0210">
        <w:rPr>
          <w:rFonts w:ascii="Times New Roman" w:hAnsi="Times New Roman"/>
          <w:sz w:val="24"/>
          <w:szCs w:val="24"/>
        </w:rPr>
        <w:t xml:space="preserve">  = </w:t>
      </w:r>
      <w:r w:rsidRPr="00A3193D">
        <w:rPr>
          <w:rFonts w:ascii="Times New Roman" w:hAnsi="Times New Roman"/>
          <w:sz w:val="24"/>
          <w:szCs w:val="24"/>
        </w:rPr>
        <w:t>$6,410</w:t>
      </w:r>
      <w:r>
        <w:rPr>
          <w:rFonts w:ascii="Times New Roman" w:hAnsi="Times New Roman"/>
          <w:sz w:val="24"/>
          <w:szCs w:val="24"/>
        </w:rPr>
        <w:t xml:space="preserve"> x 195</w:t>
      </w:r>
      <w:r w:rsidRPr="00AB0210">
        <w:rPr>
          <w:rFonts w:ascii="Times New Roman" w:hAnsi="Times New Roman"/>
          <w:sz w:val="24"/>
          <w:szCs w:val="24"/>
        </w:rPr>
        <w:t xml:space="preserve"> such broker-dealers.</w:t>
      </w:r>
    </w:p>
  </w:footnote>
  <w:footnote w:id="41">
    <w:p w:rsidR="00D050FC" w:rsidRPr="00EA21EB" w:rsidRDefault="00D050FC" w:rsidP="00D176F5">
      <w:pPr>
        <w:pStyle w:val="FootnoteText"/>
        <w:tabs>
          <w:tab w:val="left" w:pos="720"/>
          <w:tab w:val="left" w:pos="1440"/>
          <w:tab w:val="left" w:pos="2160"/>
          <w:tab w:val="left" w:pos="3547"/>
        </w:tabs>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613559">
        <w:rPr>
          <w:rFonts w:ascii="Times New Roman" w:hAnsi="Times New Roman"/>
          <w:sz w:val="24"/>
          <w:szCs w:val="24"/>
          <w:u w:val="single"/>
        </w:rPr>
        <w:t>See</w:t>
      </w:r>
      <w:r>
        <w:rPr>
          <w:rFonts w:ascii="Times New Roman" w:hAnsi="Times New Roman"/>
          <w:sz w:val="24"/>
          <w:szCs w:val="24"/>
        </w:rPr>
        <w:t xml:space="preserve"> </w:t>
      </w:r>
      <w:r w:rsidRPr="00613559">
        <w:rPr>
          <w:rFonts w:ascii="Times New Roman" w:hAnsi="Times New Roman"/>
          <w:sz w:val="24"/>
          <w:szCs w:val="24"/>
          <w:u w:val="single"/>
        </w:rPr>
        <w:t>supra</w:t>
      </w:r>
      <w:r>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_Ref526429381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33</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tab/>
      </w:r>
    </w:p>
  </w:footnote>
  <w:footnote w:id="42">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t xml:space="preserve">The Commission estimates the monetized burden for this requirement to be </w:t>
      </w:r>
      <w:r w:rsidRPr="00C5343B">
        <w:rPr>
          <w:rFonts w:ascii="Times New Roman" w:hAnsi="Times New Roman"/>
          <w:sz w:val="24"/>
          <w:szCs w:val="24"/>
        </w:rPr>
        <w:t>$3,380</w:t>
      </w:r>
      <w:r w:rsidRPr="00AB0210">
        <w:rPr>
          <w:rFonts w:ascii="Times New Roman" w:hAnsi="Times New Roman"/>
          <w:sz w:val="24"/>
          <w:szCs w:val="24"/>
        </w:rPr>
        <w:t xml:space="preserve">.  </w:t>
      </w:r>
      <w:r w:rsidRPr="00C5343B">
        <w:rPr>
          <w:rFonts w:ascii="Times New Roman" w:hAnsi="Times New Roman"/>
          <w:sz w:val="24"/>
          <w:szCs w:val="24"/>
        </w:rPr>
        <w:t xml:space="preserve">(Sr. Business Analyst for 5 hours at $269 per hour) + (Attorney </w:t>
      </w:r>
      <w:r>
        <w:rPr>
          <w:rFonts w:ascii="Times New Roman" w:hAnsi="Times New Roman"/>
          <w:sz w:val="24"/>
          <w:szCs w:val="24"/>
        </w:rPr>
        <w:t xml:space="preserve">for 5 hours at $407 per hour) </w:t>
      </w:r>
      <w:r w:rsidRPr="00C5343B">
        <w:rPr>
          <w:rFonts w:ascii="Times New Roman" w:hAnsi="Times New Roman"/>
          <w:sz w:val="24"/>
          <w:szCs w:val="24"/>
        </w:rPr>
        <w:t>= 10 hours and $3,380.</w:t>
      </w:r>
    </w:p>
  </w:footnote>
  <w:footnote w:id="43">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A42A3F">
        <w:rPr>
          <w:rFonts w:ascii="Times New Roman" w:hAnsi="Times New Roman"/>
          <w:sz w:val="24"/>
          <w:szCs w:val="24"/>
        </w:rPr>
        <w:t>2,920</w:t>
      </w:r>
      <w:r w:rsidRPr="00AB0210">
        <w:rPr>
          <w:rFonts w:ascii="Times New Roman" w:hAnsi="Times New Roman"/>
          <w:sz w:val="24"/>
          <w:szCs w:val="24"/>
        </w:rPr>
        <w:t xml:space="preserve"> hours = </w:t>
      </w:r>
      <w:r>
        <w:rPr>
          <w:rFonts w:ascii="Times New Roman" w:hAnsi="Times New Roman"/>
          <w:sz w:val="24"/>
          <w:szCs w:val="24"/>
        </w:rPr>
        <w:t>10</w:t>
      </w:r>
      <w:r w:rsidRPr="00AB0210">
        <w:rPr>
          <w:rFonts w:ascii="Times New Roman" w:hAnsi="Times New Roman"/>
          <w:sz w:val="24"/>
          <w:szCs w:val="24"/>
        </w:rPr>
        <w:t xml:space="preserve"> hours x </w:t>
      </w:r>
      <w:r>
        <w:rPr>
          <w:rFonts w:ascii="Times New Roman" w:hAnsi="Times New Roman"/>
          <w:sz w:val="24"/>
          <w:szCs w:val="24"/>
        </w:rPr>
        <w:t>292</w:t>
      </w:r>
      <w:r w:rsidRPr="00AB0210">
        <w:rPr>
          <w:rFonts w:ascii="Times New Roman" w:hAnsi="Times New Roman"/>
          <w:sz w:val="24"/>
          <w:szCs w:val="24"/>
        </w:rPr>
        <w:t xml:space="preserve"> broker-dealers that handle such order</w:t>
      </w:r>
      <w:r>
        <w:rPr>
          <w:rFonts w:ascii="Times New Roman" w:hAnsi="Times New Roman"/>
          <w:sz w:val="24"/>
          <w:szCs w:val="24"/>
        </w:rPr>
        <w:t>s</w:t>
      </w:r>
      <w:r w:rsidRPr="00AB0210">
        <w:rPr>
          <w:rFonts w:ascii="Times New Roman" w:hAnsi="Times New Roman"/>
          <w:sz w:val="24"/>
          <w:szCs w:val="24"/>
        </w:rPr>
        <w:t xml:space="preserve">.  The monetized hourly burden is </w:t>
      </w:r>
      <w:r w:rsidRPr="00C5343B">
        <w:rPr>
          <w:rFonts w:ascii="Times New Roman" w:hAnsi="Times New Roman"/>
          <w:sz w:val="24"/>
          <w:szCs w:val="24"/>
        </w:rPr>
        <w:t>$986,960</w:t>
      </w:r>
      <w:r w:rsidRPr="00AB0210">
        <w:rPr>
          <w:rFonts w:ascii="Times New Roman" w:hAnsi="Times New Roman"/>
          <w:sz w:val="24"/>
          <w:szCs w:val="24"/>
        </w:rPr>
        <w:t xml:space="preserve">  = </w:t>
      </w:r>
      <w:r w:rsidRPr="00C5343B">
        <w:rPr>
          <w:rFonts w:ascii="Times New Roman" w:hAnsi="Times New Roman"/>
          <w:sz w:val="24"/>
          <w:szCs w:val="24"/>
        </w:rPr>
        <w:t>$3,380</w:t>
      </w:r>
      <w:r w:rsidRPr="00AB0210">
        <w:rPr>
          <w:rFonts w:ascii="Times New Roman" w:hAnsi="Times New Roman"/>
          <w:sz w:val="24"/>
          <w:szCs w:val="24"/>
        </w:rPr>
        <w:t xml:space="preserve"> x </w:t>
      </w:r>
      <w:r>
        <w:rPr>
          <w:rFonts w:ascii="Times New Roman" w:hAnsi="Times New Roman"/>
          <w:sz w:val="24"/>
          <w:szCs w:val="24"/>
        </w:rPr>
        <w:t>292</w:t>
      </w:r>
      <w:r w:rsidRPr="00AB0210">
        <w:rPr>
          <w:rFonts w:ascii="Times New Roman" w:hAnsi="Times New Roman"/>
          <w:sz w:val="24"/>
          <w:szCs w:val="24"/>
        </w:rPr>
        <w:t xml:space="preserve"> such broker-dealers.</w:t>
      </w:r>
    </w:p>
  </w:footnote>
  <w:footnote w:id="44">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Pr>
          <w:rFonts w:ascii="Times New Roman" w:hAnsi="Times New Roman"/>
          <w:sz w:val="24"/>
          <w:szCs w:val="24"/>
        </w:rPr>
        <w:t xml:space="preserve">2017 Form BD and Form Custody data.  The Proposing Release used 2015 Form BD and Form Custody data.  </w:t>
      </w:r>
      <w:r w:rsidRPr="00EA21EB">
        <w:rPr>
          <w:rFonts w:ascii="Times New Roman" w:hAnsi="Times New Roman"/>
          <w:sz w:val="24"/>
          <w:szCs w:val="24"/>
          <w:u w:val="single"/>
        </w:rPr>
        <w:t>See</w:t>
      </w:r>
      <w:r w:rsidRPr="00EA21EB">
        <w:rPr>
          <w:rFonts w:ascii="Times New Roman" w:hAnsi="Times New Roman"/>
          <w:sz w:val="24"/>
          <w:szCs w:val="24"/>
        </w:rPr>
        <w:t xml:space="preserve"> </w:t>
      </w:r>
      <w:r>
        <w:rPr>
          <w:rFonts w:ascii="Times New Roman" w:hAnsi="Times New Roman"/>
          <w:sz w:val="24"/>
          <w:szCs w:val="24"/>
        </w:rPr>
        <w:t>Proposing</w:t>
      </w:r>
      <w:r w:rsidRPr="00EA21EB">
        <w:rPr>
          <w:rFonts w:ascii="Times New Roman" w:hAnsi="Times New Roman"/>
          <w:sz w:val="24"/>
          <w:szCs w:val="24"/>
        </w:rPr>
        <w:t xml:space="preserve">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_Ref526324924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 at 49474</w:t>
      </w:r>
      <w:r w:rsidRPr="00EA21EB">
        <w:rPr>
          <w:rFonts w:ascii="Times New Roman" w:hAnsi="Times New Roman"/>
          <w:sz w:val="24"/>
          <w:szCs w:val="24"/>
        </w:rPr>
        <w:t>.</w:t>
      </w:r>
    </w:p>
  </w:footnote>
  <w:footnote w:id="45">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Adopting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_Ref505670440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EA21EB">
        <w:rPr>
          <w:rFonts w:ascii="Times New Roman" w:hAnsi="Times New Roman"/>
          <w:sz w:val="24"/>
          <w:szCs w:val="24"/>
        </w:rPr>
        <w:t xml:space="preserve">, at </w:t>
      </w:r>
      <w:r>
        <w:rPr>
          <w:rFonts w:ascii="Times New Roman" w:hAnsi="Times New Roman"/>
          <w:sz w:val="24"/>
          <w:szCs w:val="24"/>
        </w:rPr>
        <w:t>58</w:t>
      </w:r>
      <w:r w:rsidR="00A07A01">
        <w:rPr>
          <w:rFonts w:ascii="Times New Roman" w:hAnsi="Times New Roman"/>
          <w:sz w:val="24"/>
          <w:szCs w:val="24"/>
        </w:rPr>
        <w:t>387-88</w:t>
      </w:r>
      <w:r>
        <w:rPr>
          <w:rFonts w:ascii="Times New Roman" w:hAnsi="Times New Roman"/>
          <w:sz w:val="24"/>
          <w:szCs w:val="24"/>
        </w:rPr>
        <w:t>.</w:t>
      </w:r>
    </w:p>
  </w:footnote>
  <w:footnote w:id="46">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1101BA">
        <w:rPr>
          <w:rFonts w:ascii="Times New Roman" w:hAnsi="Times New Roman"/>
          <w:sz w:val="24"/>
          <w:szCs w:val="24"/>
        </w:rPr>
        <w:t xml:space="preserve">The Commission estimates the monetized burden for this requirement to be </w:t>
      </w:r>
      <w:r w:rsidRPr="00AC0D95">
        <w:rPr>
          <w:rFonts w:ascii="Times New Roman" w:hAnsi="Times New Roman"/>
          <w:sz w:val="24"/>
          <w:szCs w:val="24"/>
        </w:rPr>
        <w:t>$6,826</w:t>
      </w:r>
      <w:r w:rsidRPr="001101BA">
        <w:rPr>
          <w:rFonts w:ascii="Times New Roman" w:hAnsi="Times New Roman"/>
          <w:sz w:val="24"/>
          <w:szCs w:val="24"/>
        </w:rPr>
        <w:t xml:space="preserve">.  (Programmer for 16 hours at $265 per hour) + (Sr. Database Administrator for 2 hours at $334 per hour) + (Sr. Business Analyst for 2 hours at $269 per hour) + (Attorney for 1 hours at $407 per hour) + (Sr. Operations Manager for 2 hours at $358 per hour) + (Systems Analyst for 1 hours at $257 per hour) = 24 hours and </w:t>
      </w:r>
      <w:r w:rsidRPr="00AC0D95">
        <w:rPr>
          <w:rFonts w:ascii="Times New Roman" w:hAnsi="Times New Roman"/>
          <w:sz w:val="24"/>
          <w:szCs w:val="24"/>
        </w:rPr>
        <w:t>$6,826</w:t>
      </w:r>
      <w:r w:rsidRPr="001101BA">
        <w:rPr>
          <w:rFonts w:ascii="Times New Roman" w:hAnsi="Times New Roman"/>
          <w:sz w:val="24"/>
          <w:szCs w:val="24"/>
        </w:rPr>
        <w:t>.</w:t>
      </w:r>
    </w:p>
  </w:footnote>
  <w:footnote w:id="47">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1101BA">
        <w:rPr>
          <w:rFonts w:ascii="Times New Roman" w:hAnsi="Times New Roman"/>
          <w:sz w:val="24"/>
          <w:szCs w:val="24"/>
        </w:rPr>
        <w:t>2,328 hours = 24 hours x 97 broker-dealers that route such orders and would perform the necessary programming upgrades in-house. The monetiz</w:t>
      </w:r>
      <w:r>
        <w:rPr>
          <w:rFonts w:ascii="Times New Roman" w:hAnsi="Times New Roman"/>
          <w:sz w:val="24"/>
          <w:szCs w:val="24"/>
        </w:rPr>
        <w:t xml:space="preserve">ed hourly burden is </w:t>
      </w:r>
      <w:r w:rsidRPr="00AC0D95">
        <w:rPr>
          <w:rFonts w:ascii="Times New Roman" w:hAnsi="Times New Roman"/>
          <w:sz w:val="24"/>
          <w:szCs w:val="24"/>
        </w:rPr>
        <w:t>$662,122</w:t>
      </w:r>
      <w:r>
        <w:rPr>
          <w:rFonts w:ascii="Times New Roman" w:hAnsi="Times New Roman"/>
          <w:sz w:val="24"/>
          <w:szCs w:val="24"/>
        </w:rPr>
        <w:t xml:space="preserve"> = </w:t>
      </w:r>
      <w:r w:rsidRPr="00AC0D95">
        <w:rPr>
          <w:rFonts w:ascii="Times New Roman" w:hAnsi="Times New Roman"/>
          <w:sz w:val="24"/>
          <w:szCs w:val="24"/>
        </w:rPr>
        <w:t xml:space="preserve">$6,826 </w:t>
      </w:r>
      <w:r w:rsidRPr="001101BA">
        <w:rPr>
          <w:rFonts w:ascii="Times New Roman" w:hAnsi="Times New Roman"/>
          <w:sz w:val="24"/>
          <w:szCs w:val="24"/>
        </w:rPr>
        <w:t xml:space="preserve"> x 97 such broker-dealers.</w:t>
      </w:r>
    </w:p>
  </w:footnote>
  <w:footnote w:id="48">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1101BA">
        <w:rPr>
          <w:rFonts w:ascii="Times New Roman" w:hAnsi="Times New Roman"/>
          <w:sz w:val="24"/>
          <w:szCs w:val="24"/>
        </w:rPr>
        <w:t>The Commission estimates the monetized burden for this requirement to be $979.  (Sr. Business Analyst for 1 hours at $269 per hour) + (Compliance Manager for 1 hours at $303 per hour) + (Attorney for 1 hours at $407 per hour) = 3 hours and $979.</w:t>
      </w:r>
    </w:p>
  </w:footnote>
  <w:footnote w:id="49">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Pr>
          <w:rFonts w:ascii="Times New Roman" w:hAnsi="Times New Roman"/>
          <w:sz w:val="24"/>
          <w:szCs w:val="24"/>
        </w:rPr>
        <w:t>585</w:t>
      </w:r>
      <w:r w:rsidRPr="00AB0210">
        <w:rPr>
          <w:rFonts w:ascii="Times New Roman" w:hAnsi="Times New Roman"/>
          <w:sz w:val="24"/>
          <w:szCs w:val="24"/>
        </w:rPr>
        <w:t xml:space="preserve"> hours = </w:t>
      </w:r>
      <w:r>
        <w:rPr>
          <w:rFonts w:ascii="Times New Roman" w:hAnsi="Times New Roman"/>
          <w:sz w:val="24"/>
          <w:szCs w:val="24"/>
        </w:rPr>
        <w:t>3</w:t>
      </w:r>
      <w:r w:rsidRPr="00AB0210">
        <w:rPr>
          <w:rFonts w:ascii="Times New Roman" w:hAnsi="Times New Roman"/>
          <w:sz w:val="24"/>
          <w:szCs w:val="24"/>
        </w:rPr>
        <w:t xml:space="preserve"> hours x </w:t>
      </w:r>
      <w:r>
        <w:rPr>
          <w:rFonts w:ascii="Times New Roman" w:hAnsi="Times New Roman"/>
          <w:sz w:val="24"/>
          <w:szCs w:val="24"/>
        </w:rPr>
        <w:t>195</w:t>
      </w:r>
      <w:r w:rsidRPr="00AB0210">
        <w:rPr>
          <w:rFonts w:ascii="Times New Roman" w:hAnsi="Times New Roman"/>
          <w:sz w:val="24"/>
          <w:szCs w:val="24"/>
        </w:rPr>
        <w:t xml:space="preserve"> broker-dealers that handle such orders and would engage a third-party vendor to perform the necessary programming upgrades.  The monetized hourly burden</w:t>
      </w:r>
      <w:r>
        <w:rPr>
          <w:rFonts w:ascii="Times New Roman" w:hAnsi="Times New Roman"/>
          <w:sz w:val="24"/>
          <w:szCs w:val="24"/>
        </w:rPr>
        <w:t xml:space="preserve"> is $190,905 =</w:t>
      </w:r>
      <w:r w:rsidRPr="001101BA">
        <w:rPr>
          <w:rFonts w:ascii="Times New Roman" w:hAnsi="Times New Roman"/>
          <w:sz w:val="24"/>
          <w:szCs w:val="24"/>
        </w:rPr>
        <w:t xml:space="preserve"> $979</w:t>
      </w:r>
      <w:r>
        <w:rPr>
          <w:rFonts w:ascii="Times New Roman" w:hAnsi="Times New Roman"/>
          <w:sz w:val="24"/>
          <w:szCs w:val="24"/>
        </w:rPr>
        <w:t xml:space="preserve"> x 195</w:t>
      </w:r>
      <w:r w:rsidRPr="00AB0210">
        <w:rPr>
          <w:rFonts w:ascii="Times New Roman" w:hAnsi="Times New Roman"/>
          <w:sz w:val="24"/>
          <w:szCs w:val="24"/>
        </w:rPr>
        <w:t xml:space="preserve"> such broker-dealers.</w:t>
      </w:r>
    </w:p>
  </w:footnote>
  <w:footnote w:id="50">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Adopting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_Ref505670440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EA21EB">
        <w:rPr>
          <w:rFonts w:ascii="Times New Roman" w:hAnsi="Times New Roman"/>
          <w:sz w:val="24"/>
          <w:szCs w:val="24"/>
        </w:rPr>
        <w:t xml:space="preserve">, at </w:t>
      </w:r>
      <w:r>
        <w:rPr>
          <w:rFonts w:ascii="Times New Roman" w:hAnsi="Times New Roman"/>
          <w:sz w:val="24"/>
          <w:szCs w:val="24"/>
        </w:rPr>
        <w:t>58387.</w:t>
      </w:r>
    </w:p>
  </w:footnote>
  <w:footnote w:id="51">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CF2F47">
        <w:rPr>
          <w:rFonts w:ascii="Times New Roman" w:hAnsi="Times New Roman"/>
          <w:sz w:val="24"/>
          <w:szCs w:val="24"/>
        </w:rPr>
        <w:t>23</w:t>
      </w:r>
      <w:r>
        <w:rPr>
          <w:rFonts w:ascii="Times New Roman" w:hAnsi="Times New Roman"/>
          <w:sz w:val="24"/>
          <w:szCs w:val="24"/>
        </w:rPr>
        <w:t>,</w:t>
      </w:r>
      <w:r w:rsidRPr="00CF2F47">
        <w:rPr>
          <w:rFonts w:ascii="Times New Roman" w:hAnsi="Times New Roman"/>
          <w:sz w:val="24"/>
          <w:szCs w:val="24"/>
        </w:rPr>
        <w:t>280</w:t>
      </w:r>
      <w:r w:rsidRPr="00EA21EB">
        <w:rPr>
          <w:rFonts w:ascii="Times New Roman" w:hAnsi="Times New Roman"/>
          <w:sz w:val="24"/>
          <w:szCs w:val="24"/>
        </w:rPr>
        <w:t xml:space="preserve"> hours + </w:t>
      </w:r>
      <w:r w:rsidRPr="00CF2F47">
        <w:rPr>
          <w:rFonts w:ascii="Times New Roman" w:hAnsi="Times New Roman"/>
          <w:sz w:val="24"/>
          <w:szCs w:val="24"/>
        </w:rPr>
        <w:t>3</w:t>
      </w:r>
      <w:r>
        <w:rPr>
          <w:rFonts w:ascii="Times New Roman" w:hAnsi="Times New Roman"/>
          <w:sz w:val="24"/>
          <w:szCs w:val="24"/>
        </w:rPr>
        <w:t>,</w:t>
      </w:r>
      <w:r w:rsidRPr="00CF2F47">
        <w:rPr>
          <w:rFonts w:ascii="Times New Roman" w:hAnsi="Times New Roman"/>
          <w:sz w:val="24"/>
          <w:szCs w:val="24"/>
        </w:rPr>
        <w:t>900</w:t>
      </w:r>
      <w:r>
        <w:rPr>
          <w:rFonts w:ascii="Times New Roman" w:hAnsi="Times New Roman"/>
          <w:sz w:val="24"/>
          <w:szCs w:val="24"/>
        </w:rPr>
        <w:t xml:space="preserve"> </w:t>
      </w:r>
      <w:r w:rsidRPr="00EA21EB">
        <w:rPr>
          <w:rFonts w:ascii="Times New Roman" w:hAnsi="Times New Roman"/>
          <w:sz w:val="24"/>
          <w:szCs w:val="24"/>
        </w:rPr>
        <w:t xml:space="preserve">hours + </w:t>
      </w:r>
      <w:r w:rsidRPr="00CF2F47">
        <w:rPr>
          <w:rFonts w:ascii="Times New Roman" w:hAnsi="Times New Roman"/>
          <w:sz w:val="24"/>
          <w:szCs w:val="24"/>
        </w:rPr>
        <w:t>2</w:t>
      </w:r>
      <w:r>
        <w:rPr>
          <w:rFonts w:ascii="Times New Roman" w:hAnsi="Times New Roman"/>
          <w:sz w:val="24"/>
          <w:szCs w:val="24"/>
        </w:rPr>
        <w:t>,</w:t>
      </w:r>
      <w:r w:rsidRPr="00CF2F47">
        <w:rPr>
          <w:rFonts w:ascii="Times New Roman" w:hAnsi="Times New Roman"/>
          <w:sz w:val="24"/>
          <w:szCs w:val="24"/>
        </w:rPr>
        <w:t>920</w:t>
      </w:r>
      <w:r>
        <w:rPr>
          <w:rFonts w:ascii="Times New Roman" w:hAnsi="Times New Roman"/>
          <w:sz w:val="24"/>
          <w:szCs w:val="24"/>
        </w:rPr>
        <w:t xml:space="preserve"> hours + </w:t>
      </w:r>
      <w:r w:rsidRPr="00CF2F47">
        <w:rPr>
          <w:rFonts w:ascii="Times New Roman" w:hAnsi="Times New Roman"/>
          <w:sz w:val="24"/>
          <w:szCs w:val="24"/>
        </w:rPr>
        <w:t>2,328</w:t>
      </w:r>
      <w:r w:rsidRPr="00EA21EB">
        <w:rPr>
          <w:rFonts w:ascii="Times New Roman" w:hAnsi="Times New Roman"/>
          <w:sz w:val="24"/>
          <w:szCs w:val="24"/>
        </w:rPr>
        <w:t xml:space="preserve"> hours + </w:t>
      </w:r>
      <w:r w:rsidRPr="00CF2F47">
        <w:rPr>
          <w:rFonts w:ascii="Times New Roman" w:hAnsi="Times New Roman"/>
          <w:sz w:val="24"/>
          <w:szCs w:val="24"/>
        </w:rPr>
        <w:t>585</w:t>
      </w:r>
      <w:r w:rsidRPr="00EA21EB">
        <w:rPr>
          <w:rFonts w:ascii="Times New Roman" w:hAnsi="Times New Roman"/>
          <w:sz w:val="24"/>
          <w:szCs w:val="24"/>
        </w:rPr>
        <w:t xml:space="preserve"> hours = </w:t>
      </w:r>
      <w:r>
        <w:rPr>
          <w:rFonts w:ascii="Times New Roman" w:hAnsi="Times New Roman"/>
          <w:sz w:val="24"/>
          <w:szCs w:val="24"/>
        </w:rPr>
        <w:t>33,013</w:t>
      </w:r>
      <w:r w:rsidRPr="00EA21EB">
        <w:rPr>
          <w:rFonts w:ascii="Times New Roman" w:hAnsi="Times New Roman"/>
          <w:sz w:val="24"/>
          <w:szCs w:val="24"/>
        </w:rPr>
        <w:t xml:space="preserve"> hours. The associated monetized burden is </w:t>
      </w:r>
      <w:r w:rsidRPr="00AC0D95">
        <w:rPr>
          <w:rFonts w:ascii="Times New Roman" w:hAnsi="Times New Roman"/>
          <w:sz w:val="24"/>
          <w:szCs w:val="24"/>
        </w:rPr>
        <w:t>$10,539,537</w:t>
      </w:r>
      <w:r w:rsidRPr="00EA21EB">
        <w:rPr>
          <w:rFonts w:ascii="Times New Roman" w:hAnsi="Times New Roman"/>
          <w:sz w:val="24"/>
          <w:szCs w:val="24"/>
        </w:rPr>
        <w:t xml:space="preserve"> = $</w:t>
      </w:r>
      <w:r w:rsidRPr="004702D5">
        <w:rPr>
          <w:rFonts w:ascii="Times New Roman" w:hAnsi="Times New Roman"/>
          <w:sz w:val="24"/>
          <w:szCs w:val="24"/>
        </w:rPr>
        <w:t>1</w:t>
      </w:r>
      <w:r>
        <w:rPr>
          <w:rFonts w:ascii="Times New Roman" w:hAnsi="Times New Roman"/>
          <w:sz w:val="24"/>
          <w:szCs w:val="24"/>
        </w:rPr>
        <w:t>,</w:t>
      </w:r>
      <w:r w:rsidRPr="004702D5">
        <w:rPr>
          <w:rFonts w:ascii="Times New Roman" w:hAnsi="Times New Roman"/>
          <w:sz w:val="24"/>
          <w:szCs w:val="24"/>
        </w:rPr>
        <w:t>249</w:t>
      </w:r>
      <w:r>
        <w:rPr>
          <w:rFonts w:ascii="Times New Roman" w:hAnsi="Times New Roman"/>
          <w:sz w:val="24"/>
          <w:szCs w:val="24"/>
        </w:rPr>
        <w:t>,</w:t>
      </w:r>
      <w:r w:rsidRPr="004702D5">
        <w:rPr>
          <w:rFonts w:ascii="Times New Roman" w:hAnsi="Times New Roman"/>
          <w:sz w:val="24"/>
          <w:szCs w:val="24"/>
        </w:rPr>
        <w:t>950</w:t>
      </w:r>
      <w:r w:rsidRPr="00EA21EB">
        <w:rPr>
          <w:rFonts w:ascii="Times New Roman" w:hAnsi="Times New Roman"/>
          <w:sz w:val="24"/>
          <w:szCs w:val="24"/>
        </w:rPr>
        <w:t xml:space="preserve"> + $537,300 + $</w:t>
      </w:r>
      <w:r w:rsidRPr="004702D5">
        <w:rPr>
          <w:rFonts w:ascii="Times New Roman" w:hAnsi="Times New Roman"/>
          <w:sz w:val="24"/>
          <w:szCs w:val="24"/>
        </w:rPr>
        <w:t>986</w:t>
      </w:r>
      <w:r>
        <w:rPr>
          <w:rFonts w:ascii="Times New Roman" w:hAnsi="Times New Roman"/>
          <w:sz w:val="24"/>
          <w:szCs w:val="24"/>
        </w:rPr>
        <w:t>,</w:t>
      </w:r>
      <w:r w:rsidRPr="004702D5">
        <w:rPr>
          <w:rFonts w:ascii="Times New Roman" w:hAnsi="Times New Roman"/>
          <w:sz w:val="24"/>
          <w:szCs w:val="24"/>
        </w:rPr>
        <w:t>960</w:t>
      </w:r>
      <w:r w:rsidRPr="00EA21EB">
        <w:rPr>
          <w:rFonts w:ascii="Times New Roman" w:hAnsi="Times New Roman"/>
          <w:sz w:val="24"/>
          <w:szCs w:val="24"/>
        </w:rPr>
        <w:t xml:space="preserve"> +</w:t>
      </w:r>
      <w:r>
        <w:rPr>
          <w:rFonts w:ascii="Times New Roman" w:hAnsi="Times New Roman"/>
          <w:sz w:val="24"/>
          <w:szCs w:val="24"/>
        </w:rPr>
        <w:t xml:space="preserve"> </w:t>
      </w:r>
      <w:r w:rsidRPr="00AC0D95">
        <w:rPr>
          <w:rFonts w:ascii="Times New Roman" w:hAnsi="Times New Roman"/>
          <w:sz w:val="24"/>
          <w:szCs w:val="24"/>
        </w:rPr>
        <w:t>$662,122</w:t>
      </w:r>
      <w:r w:rsidRPr="004702D5">
        <w:rPr>
          <w:rFonts w:ascii="Times New Roman" w:hAnsi="Times New Roman"/>
          <w:sz w:val="24"/>
          <w:szCs w:val="24"/>
        </w:rPr>
        <w:t xml:space="preserve"> </w:t>
      </w:r>
      <w:r w:rsidRPr="00EA21EB">
        <w:rPr>
          <w:rFonts w:ascii="Times New Roman" w:hAnsi="Times New Roman"/>
          <w:sz w:val="24"/>
          <w:szCs w:val="24"/>
        </w:rPr>
        <w:t xml:space="preserve"> + </w:t>
      </w:r>
      <w:r w:rsidRPr="004702D5">
        <w:rPr>
          <w:rFonts w:ascii="Times New Roman" w:hAnsi="Times New Roman"/>
          <w:sz w:val="24"/>
          <w:szCs w:val="24"/>
        </w:rPr>
        <w:t>$190,905</w:t>
      </w:r>
      <w:r w:rsidRPr="00EA21EB">
        <w:rPr>
          <w:rFonts w:ascii="Times New Roman" w:hAnsi="Times New Roman"/>
          <w:sz w:val="24"/>
          <w:szCs w:val="24"/>
        </w:rPr>
        <w:t>.</w:t>
      </w:r>
    </w:p>
  </w:footnote>
  <w:footnote w:id="52">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4702D5">
        <w:rPr>
          <w:rFonts w:ascii="Times New Roman" w:hAnsi="Times New Roman"/>
          <w:sz w:val="24"/>
          <w:szCs w:val="24"/>
        </w:rPr>
        <w:t>33,013</w:t>
      </w:r>
      <w:r w:rsidRPr="00EA21EB">
        <w:rPr>
          <w:rFonts w:ascii="Times New Roman" w:hAnsi="Times New Roman"/>
          <w:sz w:val="24"/>
          <w:szCs w:val="24"/>
        </w:rPr>
        <w:t xml:space="preserve"> hours / 3 years = </w:t>
      </w:r>
      <w:r w:rsidRPr="004702D5">
        <w:rPr>
          <w:rFonts w:ascii="Times New Roman" w:hAnsi="Times New Roman"/>
          <w:sz w:val="24"/>
          <w:szCs w:val="24"/>
        </w:rPr>
        <w:t>11,004.33</w:t>
      </w:r>
      <w:r w:rsidRPr="00EA21EB">
        <w:rPr>
          <w:rFonts w:ascii="Times New Roman" w:hAnsi="Times New Roman"/>
          <w:sz w:val="24"/>
          <w:szCs w:val="24"/>
        </w:rPr>
        <w:t xml:space="preserve"> hours.  The associated monetized burden is $</w:t>
      </w:r>
      <w:r>
        <w:rPr>
          <w:rFonts w:ascii="Times New Roman" w:hAnsi="Times New Roman"/>
          <w:sz w:val="24"/>
          <w:szCs w:val="24"/>
        </w:rPr>
        <w:t xml:space="preserve">3,513,179 </w:t>
      </w:r>
      <w:r w:rsidRPr="00EA21EB">
        <w:rPr>
          <w:rFonts w:ascii="Times New Roman" w:hAnsi="Times New Roman"/>
          <w:sz w:val="24"/>
          <w:szCs w:val="24"/>
        </w:rPr>
        <w:t>per year (</w:t>
      </w:r>
      <w:r w:rsidRPr="00AC0D95">
        <w:rPr>
          <w:rFonts w:ascii="Times New Roman" w:hAnsi="Times New Roman"/>
          <w:sz w:val="24"/>
          <w:szCs w:val="24"/>
        </w:rPr>
        <w:t>$10,539,537</w:t>
      </w:r>
      <w:r w:rsidRPr="00EA21EB">
        <w:rPr>
          <w:rFonts w:ascii="Times New Roman" w:hAnsi="Times New Roman"/>
          <w:sz w:val="24"/>
          <w:szCs w:val="24"/>
        </w:rPr>
        <w:t xml:space="preserve"> annualized over three years).</w:t>
      </w:r>
    </w:p>
  </w:footnote>
  <w:footnote w:id="53">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1101BA">
        <w:rPr>
          <w:rFonts w:ascii="Times New Roman" w:hAnsi="Times New Roman"/>
          <w:sz w:val="24"/>
          <w:szCs w:val="24"/>
        </w:rPr>
        <w:t xml:space="preserve">The Commission estimates the monetized burden for this requirement to be </w:t>
      </w:r>
      <w:r w:rsidRPr="00DE6189">
        <w:rPr>
          <w:rFonts w:ascii="Times New Roman" w:hAnsi="Times New Roman"/>
          <w:sz w:val="24"/>
          <w:szCs w:val="24"/>
        </w:rPr>
        <w:t>$3,380</w:t>
      </w:r>
      <w:r w:rsidRPr="001101BA">
        <w:rPr>
          <w:rFonts w:ascii="Times New Roman" w:hAnsi="Times New Roman"/>
          <w:sz w:val="24"/>
          <w:szCs w:val="24"/>
        </w:rPr>
        <w:t xml:space="preserve">.  </w:t>
      </w:r>
      <w:r w:rsidRPr="00DE6189">
        <w:rPr>
          <w:rFonts w:ascii="Times New Roman" w:hAnsi="Times New Roman"/>
          <w:sz w:val="24"/>
          <w:szCs w:val="24"/>
        </w:rPr>
        <w:t>(Sr. Business Analyst for 5 hours at $269 per hour) + (Attorney</w:t>
      </w:r>
      <w:r>
        <w:rPr>
          <w:rFonts w:ascii="Times New Roman" w:hAnsi="Times New Roman"/>
          <w:sz w:val="24"/>
          <w:szCs w:val="24"/>
        </w:rPr>
        <w:t xml:space="preserve"> for 5 hours at $407 per hour)</w:t>
      </w:r>
      <w:r w:rsidRPr="00DE6189">
        <w:rPr>
          <w:rFonts w:ascii="Times New Roman" w:hAnsi="Times New Roman"/>
          <w:sz w:val="24"/>
          <w:szCs w:val="24"/>
        </w:rPr>
        <w:t xml:space="preserve"> = 10 hours and $3,380.</w:t>
      </w:r>
    </w:p>
  </w:footnote>
  <w:footnote w:id="54">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DE6189">
        <w:rPr>
          <w:rFonts w:ascii="Times New Roman" w:hAnsi="Times New Roman"/>
          <w:sz w:val="24"/>
          <w:szCs w:val="24"/>
        </w:rPr>
        <w:t>2,920</w:t>
      </w:r>
      <w:r>
        <w:rPr>
          <w:rFonts w:ascii="Times New Roman" w:hAnsi="Times New Roman"/>
          <w:sz w:val="24"/>
          <w:szCs w:val="24"/>
        </w:rPr>
        <w:t xml:space="preserve"> </w:t>
      </w:r>
      <w:r w:rsidRPr="00AB0210">
        <w:rPr>
          <w:rFonts w:ascii="Times New Roman" w:hAnsi="Times New Roman"/>
          <w:sz w:val="24"/>
          <w:szCs w:val="24"/>
        </w:rPr>
        <w:t xml:space="preserve">hours = </w:t>
      </w:r>
      <w:r>
        <w:rPr>
          <w:rFonts w:ascii="Times New Roman" w:hAnsi="Times New Roman"/>
          <w:sz w:val="24"/>
          <w:szCs w:val="24"/>
        </w:rPr>
        <w:t>10</w:t>
      </w:r>
      <w:r w:rsidRPr="00AB0210">
        <w:rPr>
          <w:rFonts w:ascii="Times New Roman" w:hAnsi="Times New Roman"/>
          <w:sz w:val="24"/>
          <w:szCs w:val="24"/>
        </w:rPr>
        <w:t xml:space="preserve"> hours</w:t>
      </w:r>
      <w:r>
        <w:rPr>
          <w:rFonts w:ascii="Times New Roman" w:hAnsi="Times New Roman"/>
          <w:sz w:val="24"/>
          <w:szCs w:val="24"/>
        </w:rPr>
        <w:t xml:space="preserve"> annually</w:t>
      </w:r>
      <w:r w:rsidRPr="00AB0210">
        <w:rPr>
          <w:rFonts w:ascii="Times New Roman" w:hAnsi="Times New Roman"/>
          <w:sz w:val="24"/>
          <w:szCs w:val="24"/>
        </w:rPr>
        <w:t xml:space="preserve"> x </w:t>
      </w:r>
      <w:r>
        <w:rPr>
          <w:rFonts w:ascii="Times New Roman" w:hAnsi="Times New Roman"/>
          <w:sz w:val="24"/>
          <w:szCs w:val="24"/>
        </w:rPr>
        <w:t>292</w:t>
      </w:r>
      <w:r w:rsidRPr="00AB0210">
        <w:rPr>
          <w:rFonts w:ascii="Times New Roman" w:hAnsi="Times New Roman"/>
          <w:sz w:val="24"/>
          <w:szCs w:val="24"/>
        </w:rPr>
        <w:t xml:space="preserve"> broker-dealers.  The monetized hourly burden</w:t>
      </w:r>
      <w:r>
        <w:rPr>
          <w:rFonts w:ascii="Times New Roman" w:hAnsi="Times New Roman"/>
          <w:sz w:val="24"/>
          <w:szCs w:val="24"/>
        </w:rPr>
        <w:t xml:space="preserve"> is </w:t>
      </w:r>
      <w:r w:rsidRPr="00DE6189">
        <w:rPr>
          <w:rFonts w:ascii="Times New Roman" w:hAnsi="Times New Roman"/>
          <w:sz w:val="24"/>
          <w:szCs w:val="24"/>
        </w:rPr>
        <w:t>$986,960</w:t>
      </w:r>
      <w:r>
        <w:rPr>
          <w:rFonts w:ascii="Times New Roman" w:hAnsi="Times New Roman"/>
          <w:sz w:val="24"/>
          <w:szCs w:val="24"/>
        </w:rPr>
        <w:t xml:space="preserve"> =</w:t>
      </w:r>
      <w:r w:rsidRPr="001101BA">
        <w:rPr>
          <w:rFonts w:ascii="Times New Roman" w:hAnsi="Times New Roman"/>
          <w:sz w:val="24"/>
          <w:szCs w:val="24"/>
        </w:rPr>
        <w:t xml:space="preserve"> </w:t>
      </w:r>
      <w:r>
        <w:rPr>
          <w:rFonts w:ascii="Times New Roman" w:hAnsi="Times New Roman"/>
          <w:sz w:val="24"/>
          <w:szCs w:val="24"/>
        </w:rPr>
        <w:t>$3,380 x 292</w:t>
      </w:r>
      <w:r w:rsidRPr="00AB0210">
        <w:rPr>
          <w:rFonts w:ascii="Times New Roman" w:hAnsi="Times New Roman"/>
          <w:sz w:val="24"/>
          <w:szCs w:val="24"/>
        </w:rPr>
        <w:t xml:space="preserve"> broker-dealers.</w:t>
      </w:r>
    </w:p>
  </w:footnote>
  <w:footnote w:id="55">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1101BA">
        <w:rPr>
          <w:rFonts w:ascii="Times New Roman" w:hAnsi="Times New Roman"/>
          <w:sz w:val="24"/>
          <w:szCs w:val="24"/>
        </w:rPr>
        <w:t xml:space="preserve">The Commission estimates the monetized burden for this requirement to be </w:t>
      </w:r>
      <w:r w:rsidRPr="00DE6189">
        <w:rPr>
          <w:rFonts w:ascii="Times New Roman" w:hAnsi="Times New Roman"/>
          <w:sz w:val="24"/>
          <w:szCs w:val="24"/>
        </w:rPr>
        <w:t>$3,745</w:t>
      </w:r>
      <w:r w:rsidRPr="001101BA">
        <w:rPr>
          <w:rFonts w:ascii="Times New Roman" w:hAnsi="Times New Roman"/>
          <w:sz w:val="24"/>
          <w:szCs w:val="24"/>
        </w:rPr>
        <w:t xml:space="preserve">.  </w:t>
      </w:r>
      <w:r w:rsidRPr="00DE6189">
        <w:rPr>
          <w:rFonts w:ascii="Times New Roman" w:hAnsi="Times New Roman"/>
          <w:sz w:val="24"/>
          <w:szCs w:val="24"/>
        </w:rPr>
        <w:t xml:space="preserve">(Jr. Business Analyst for 10 hours at $171 per hour) + (Attorney </w:t>
      </w:r>
      <w:r>
        <w:rPr>
          <w:rFonts w:ascii="Times New Roman" w:hAnsi="Times New Roman"/>
          <w:sz w:val="24"/>
          <w:szCs w:val="24"/>
        </w:rPr>
        <w:t xml:space="preserve">for 5 hours at $407 per hour) </w:t>
      </w:r>
      <w:r w:rsidRPr="00DE6189">
        <w:rPr>
          <w:rFonts w:ascii="Times New Roman" w:hAnsi="Times New Roman"/>
          <w:sz w:val="24"/>
          <w:szCs w:val="24"/>
        </w:rPr>
        <w:t>= 15 hours and $3,745.</w:t>
      </w:r>
    </w:p>
  </w:footnote>
  <w:footnote w:id="56">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DE6189">
        <w:rPr>
          <w:rFonts w:ascii="Times New Roman" w:hAnsi="Times New Roman"/>
          <w:sz w:val="24"/>
          <w:szCs w:val="24"/>
        </w:rPr>
        <w:t>4,380</w:t>
      </w:r>
      <w:r>
        <w:rPr>
          <w:rFonts w:ascii="Times New Roman" w:hAnsi="Times New Roman"/>
          <w:sz w:val="24"/>
          <w:szCs w:val="24"/>
        </w:rPr>
        <w:t xml:space="preserve"> </w:t>
      </w:r>
      <w:r w:rsidRPr="00AB0210">
        <w:rPr>
          <w:rFonts w:ascii="Times New Roman" w:hAnsi="Times New Roman"/>
          <w:sz w:val="24"/>
          <w:szCs w:val="24"/>
        </w:rPr>
        <w:t xml:space="preserve">hours = </w:t>
      </w:r>
      <w:r>
        <w:rPr>
          <w:rFonts w:ascii="Times New Roman" w:hAnsi="Times New Roman"/>
          <w:sz w:val="24"/>
          <w:szCs w:val="24"/>
        </w:rPr>
        <w:t>15</w:t>
      </w:r>
      <w:r w:rsidRPr="00AB0210">
        <w:rPr>
          <w:rFonts w:ascii="Times New Roman" w:hAnsi="Times New Roman"/>
          <w:sz w:val="24"/>
          <w:szCs w:val="24"/>
        </w:rPr>
        <w:t xml:space="preserve"> hours</w:t>
      </w:r>
      <w:r>
        <w:rPr>
          <w:rFonts w:ascii="Times New Roman" w:hAnsi="Times New Roman"/>
          <w:sz w:val="24"/>
          <w:szCs w:val="24"/>
        </w:rPr>
        <w:t xml:space="preserve"> annually</w:t>
      </w:r>
      <w:r w:rsidRPr="00AB0210">
        <w:rPr>
          <w:rFonts w:ascii="Times New Roman" w:hAnsi="Times New Roman"/>
          <w:sz w:val="24"/>
          <w:szCs w:val="24"/>
        </w:rPr>
        <w:t xml:space="preserve"> x </w:t>
      </w:r>
      <w:r>
        <w:rPr>
          <w:rFonts w:ascii="Times New Roman" w:hAnsi="Times New Roman"/>
          <w:sz w:val="24"/>
          <w:szCs w:val="24"/>
        </w:rPr>
        <w:t>292</w:t>
      </w:r>
      <w:r w:rsidRPr="00AB0210">
        <w:rPr>
          <w:rFonts w:ascii="Times New Roman" w:hAnsi="Times New Roman"/>
          <w:sz w:val="24"/>
          <w:szCs w:val="24"/>
        </w:rPr>
        <w:t xml:space="preserve"> broker-dealers.  The monetized hourly burden</w:t>
      </w:r>
      <w:r>
        <w:rPr>
          <w:rFonts w:ascii="Times New Roman" w:hAnsi="Times New Roman"/>
          <w:sz w:val="24"/>
          <w:szCs w:val="24"/>
        </w:rPr>
        <w:t xml:space="preserve"> is </w:t>
      </w:r>
      <w:r w:rsidRPr="00DE6189">
        <w:rPr>
          <w:rFonts w:ascii="Times New Roman" w:hAnsi="Times New Roman"/>
          <w:sz w:val="24"/>
          <w:szCs w:val="24"/>
        </w:rPr>
        <w:t>$1,093,540</w:t>
      </w:r>
      <w:r>
        <w:rPr>
          <w:rFonts w:ascii="Times New Roman" w:hAnsi="Times New Roman"/>
          <w:sz w:val="24"/>
          <w:szCs w:val="24"/>
        </w:rPr>
        <w:t xml:space="preserve"> =</w:t>
      </w:r>
      <w:r w:rsidRPr="001101BA">
        <w:rPr>
          <w:rFonts w:ascii="Times New Roman" w:hAnsi="Times New Roman"/>
          <w:sz w:val="24"/>
          <w:szCs w:val="24"/>
        </w:rPr>
        <w:t xml:space="preserve"> </w:t>
      </w:r>
      <w:r w:rsidRPr="00DE6189">
        <w:rPr>
          <w:rFonts w:ascii="Times New Roman" w:hAnsi="Times New Roman"/>
          <w:sz w:val="24"/>
          <w:szCs w:val="24"/>
        </w:rPr>
        <w:t>$3,745</w:t>
      </w:r>
      <w:r>
        <w:rPr>
          <w:rFonts w:ascii="Times New Roman" w:hAnsi="Times New Roman"/>
          <w:sz w:val="24"/>
          <w:szCs w:val="24"/>
        </w:rPr>
        <w:t xml:space="preserve"> x 292</w:t>
      </w:r>
      <w:r w:rsidRPr="00AB0210">
        <w:rPr>
          <w:rFonts w:ascii="Times New Roman" w:hAnsi="Times New Roman"/>
          <w:sz w:val="24"/>
          <w:szCs w:val="24"/>
        </w:rPr>
        <w:t xml:space="preserve"> broker-dealers.</w:t>
      </w:r>
    </w:p>
  </w:footnote>
  <w:footnote w:id="57">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F97957">
        <w:rPr>
          <w:rFonts w:ascii="Times New Roman" w:hAnsi="Times New Roman"/>
          <w:sz w:val="24"/>
          <w:szCs w:val="24"/>
          <w:u w:val="single"/>
        </w:rPr>
        <w:t>See</w:t>
      </w:r>
      <w:r>
        <w:rPr>
          <w:rFonts w:ascii="Times New Roman" w:hAnsi="Times New Roman"/>
          <w:sz w:val="24"/>
          <w:szCs w:val="24"/>
        </w:rPr>
        <w:t xml:space="preserve"> </w:t>
      </w:r>
      <w:r w:rsidRPr="00F97957">
        <w:rPr>
          <w:rFonts w:ascii="Times New Roman" w:hAnsi="Times New Roman"/>
          <w:sz w:val="24"/>
          <w:szCs w:val="24"/>
          <w:u w:val="single"/>
        </w:rPr>
        <w:t>supra</w:t>
      </w:r>
      <w:r>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_Ref526501323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44</w:t>
      </w:r>
      <w:r>
        <w:rPr>
          <w:rFonts w:ascii="Times New Roman" w:hAnsi="Times New Roman"/>
          <w:sz w:val="24"/>
          <w:szCs w:val="24"/>
        </w:rPr>
        <w:fldChar w:fldCharType="end"/>
      </w:r>
      <w:r>
        <w:rPr>
          <w:rFonts w:ascii="Times New Roman" w:hAnsi="Times New Roman"/>
          <w:sz w:val="24"/>
          <w:szCs w:val="24"/>
        </w:rPr>
        <w:t>.</w:t>
      </w:r>
    </w:p>
  </w:footnote>
  <w:footnote w:id="58">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ab/>
      </w:r>
      <w:r w:rsidRPr="00DE6189">
        <w:rPr>
          <w:rFonts w:ascii="Times New Roman" w:hAnsi="Times New Roman"/>
          <w:sz w:val="24"/>
          <w:szCs w:val="24"/>
        </w:rPr>
        <w:t>2,920</w:t>
      </w:r>
      <w:r w:rsidRPr="00EA21EB">
        <w:rPr>
          <w:rFonts w:ascii="Times New Roman" w:hAnsi="Times New Roman"/>
          <w:sz w:val="24"/>
          <w:szCs w:val="24"/>
        </w:rPr>
        <w:t xml:space="preserve"> hours + </w:t>
      </w:r>
      <w:r w:rsidRPr="00DE6189">
        <w:rPr>
          <w:rFonts w:ascii="Times New Roman" w:hAnsi="Times New Roman"/>
          <w:sz w:val="24"/>
          <w:szCs w:val="24"/>
        </w:rPr>
        <w:t>4,380</w:t>
      </w:r>
      <w:r w:rsidRPr="00EA21EB">
        <w:rPr>
          <w:rFonts w:ascii="Times New Roman" w:hAnsi="Times New Roman"/>
          <w:sz w:val="24"/>
          <w:szCs w:val="24"/>
        </w:rPr>
        <w:t xml:space="preserve"> hours = </w:t>
      </w:r>
      <w:r>
        <w:rPr>
          <w:rFonts w:ascii="Times New Roman" w:hAnsi="Times New Roman"/>
          <w:sz w:val="24"/>
          <w:szCs w:val="24"/>
        </w:rPr>
        <w:t xml:space="preserve">7,300 </w:t>
      </w:r>
      <w:r w:rsidRPr="00EA21EB">
        <w:rPr>
          <w:rFonts w:ascii="Times New Roman" w:hAnsi="Times New Roman"/>
          <w:sz w:val="24"/>
          <w:szCs w:val="24"/>
        </w:rPr>
        <w:t xml:space="preserve"> hours.  The associated monetized burden is </w:t>
      </w:r>
      <w:r w:rsidRPr="00DE6189">
        <w:rPr>
          <w:rFonts w:ascii="Times New Roman" w:hAnsi="Times New Roman"/>
          <w:sz w:val="24"/>
          <w:szCs w:val="24"/>
        </w:rPr>
        <w:t>$2,080,500</w:t>
      </w:r>
      <w:r w:rsidRPr="00EA21EB">
        <w:rPr>
          <w:rFonts w:ascii="Times New Roman" w:hAnsi="Times New Roman"/>
          <w:sz w:val="24"/>
          <w:szCs w:val="24"/>
        </w:rPr>
        <w:t xml:space="preserve"> = </w:t>
      </w:r>
      <w:r w:rsidRPr="00DE6189">
        <w:rPr>
          <w:rFonts w:ascii="Times New Roman" w:hAnsi="Times New Roman"/>
          <w:sz w:val="24"/>
          <w:szCs w:val="24"/>
        </w:rPr>
        <w:t>$986,960</w:t>
      </w:r>
      <w:r w:rsidRPr="00EA21EB">
        <w:rPr>
          <w:rFonts w:ascii="Times New Roman" w:hAnsi="Times New Roman"/>
          <w:sz w:val="24"/>
          <w:szCs w:val="24"/>
        </w:rPr>
        <w:t xml:space="preserve"> + </w:t>
      </w:r>
      <w:r w:rsidRPr="00DE6189">
        <w:rPr>
          <w:rFonts w:ascii="Times New Roman" w:hAnsi="Times New Roman"/>
          <w:sz w:val="24"/>
          <w:szCs w:val="24"/>
        </w:rPr>
        <w:t>$1,093,540</w:t>
      </w:r>
      <w:r>
        <w:rPr>
          <w:rFonts w:ascii="Times New Roman" w:hAnsi="Times New Roman"/>
          <w:sz w:val="24"/>
          <w:szCs w:val="24"/>
        </w:rPr>
        <w:t>.</w:t>
      </w:r>
    </w:p>
  </w:footnote>
  <w:footnote w:id="59">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Adopting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_Ref505670440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EA21EB">
        <w:rPr>
          <w:rFonts w:ascii="Times New Roman" w:hAnsi="Times New Roman"/>
          <w:sz w:val="24"/>
          <w:szCs w:val="24"/>
        </w:rPr>
        <w:t xml:space="preserve">, at </w:t>
      </w:r>
      <w:r>
        <w:rPr>
          <w:rFonts w:ascii="Times New Roman" w:hAnsi="Times New Roman"/>
          <w:sz w:val="24"/>
          <w:szCs w:val="24"/>
        </w:rPr>
        <w:t>58388-89.</w:t>
      </w:r>
    </w:p>
  </w:footnote>
  <w:footnote w:id="60">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w:t>
      </w:r>
      <w:r w:rsidRPr="007D229B">
        <w:rPr>
          <w:rFonts w:ascii="Times New Roman" w:hAnsi="Times New Roman"/>
          <w:sz w:val="24"/>
          <w:szCs w:val="24"/>
          <w:u w:val="single"/>
        </w:rPr>
        <w:t>id.</w:t>
      </w:r>
    </w:p>
  </w:footnote>
  <w:footnote w:id="61">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B5438E">
        <w:rPr>
          <w:rFonts w:ascii="Times New Roman" w:hAnsi="Times New Roman"/>
          <w:sz w:val="24"/>
          <w:szCs w:val="24"/>
        </w:rPr>
        <w:t>The Commission estimates the monetized burden for this requirement to be $426.  (Paralegal for 2 hours at $213 per hour) = 2 hours and $426.</w:t>
      </w:r>
    </w:p>
  </w:footnote>
  <w:footnote w:id="62">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B5438E">
        <w:rPr>
          <w:rFonts w:ascii="Times New Roman" w:hAnsi="Times New Roman"/>
          <w:sz w:val="24"/>
          <w:szCs w:val="24"/>
        </w:rPr>
        <w:t>2 hours x (381 market centers + 4,024 broker-dealers) = 8,810 hours.  The Commission estimates the total monetized burden for this requirement to be $1,876,530. ($426 per market center or broker-dealer that routes such orders x (381 market centers + 4,024 broker-dealers)).</w:t>
      </w:r>
    </w:p>
  </w:footnote>
  <w:footnote w:id="63">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FF39AA">
        <w:rPr>
          <w:rFonts w:ascii="Times New Roman" w:hAnsi="Times New Roman"/>
          <w:sz w:val="24"/>
          <w:szCs w:val="24"/>
        </w:rPr>
        <w:t>8,810</w:t>
      </w:r>
      <w:r w:rsidRPr="00EA21EB">
        <w:rPr>
          <w:rFonts w:ascii="Times New Roman" w:hAnsi="Times New Roman"/>
          <w:sz w:val="24"/>
          <w:szCs w:val="24"/>
        </w:rPr>
        <w:t xml:space="preserve"> hours / 3 years = </w:t>
      </w:r>
      <w:r w:rsidRPr="00FF39AA">
        <w:rPr>
          <w:rFonts w:ascii="Times New Roman" w:hAnsi="Times New Roman"/>
          <w:sz w:val="24"/>
          <w:szCs w:val="24"/>
        </w:rPr>
        <w:t>2,936.67</w:t>
      </w:r>
      <w:r w:rsidRPr="00EA21EB">
        <w:rPr>
          <w:rFonts w:ascii="Times New Roman" w:hAnsi="Times New Roman"/>
          <w:sz w:val="24"/>
          <w:szCs w:val="24"/>
        </w:rPr>
        <w:t xml:space="preserve"> hours.  The associated monetized burden is </w:t>
      </w:r>
      <w:r>
        <w:rPr>
          <w:rFonts w:ascii="Times New Roman" w:hAnsi="Times New Roman"/>
          <w:sz w:val="24"/>
          <w:szCs w:val="24"/>
        </w:rPr>
        <w:t xml:space="preserve">$625,510 </w:t>
      </w:r>
      <w:r w:rsidRPr="00EA21EB">
        <w:rPr>
          <w:rFonts w:ascii="Times New Roman" w:hAnsi="Times New Roman"/>
          <w:sz w:val="24"/>
          <w:szCs w:val="24"/>
        </w:rPr>
        <w:t>per year (</w:t>
      </w:r>
      <w:r w:rsidRPr="00B5438E">
        <w:rPr>
          <w:rFonts w:ascii="Times New Roman" w:hAnsi="Times New Roman"/>
          <w:sz w:val="24"/>
          <w:szCs w:val="24"/>
        </w:rPr>
        <w:t>$1,876,530</w:t>
      </w:r>
      <w:r w:rsidRPr="00EA21EB">
        <w:rPr>
          <w:rFonts w:ascii="Times New Roman" w:hAnsi="Times New Roman"/>
          <w:sz w:val="24"/>
          <w:szCs w:val="24"/>
        </w:rPr>
        <w:t xml:space="preserve"> annualized over three years).</w:t>
      </w:r>
    </w:p>
  </w:footnote>
  <w:footnote w:id="64">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Pr>
          <w:rFonts w:ascii="Times New Roman" w:hAnsi="Times New Roman"/>
          <w:sz w:val="24"/>
          <w:szCs w:val="24"/>
        </w:rPr>
        <w:t>The Commission estimates $15,000 per broker-dealer</w:t>
      </w:r>
      <w:r w:rsidRPr="00613559">
        <w:rPr>
          <w:rFonts w:ascii="Times New Roman" w:hAnsi="Times New Roman"/>
          <w:sz w:val="24"/>
          <w:szCs w:val="24"/>
        </w:rPr>
        <w:t xml:space="preserve"> to purchase</w:t>
      </w:r>
      <w:r>
        <w:rPr>
          <w:rFonts w:ascii="Times New Roman" w:hAnsi="Times New Roman"/>
          <w:sz w:val="24"/>
          <w:szCs w:val="24"/>
        </w:rPr>
        <w:t xml:space="preserve"> the necessary</w:t>
      </w:r>
      <w:r w:rsidRPr="00613559">
        <w:rPr>
          <w:rFonts w:ascii="Times New Roman" w:hAnsi="Times New Roman"/>
          <w:sz w:val="24"/>
          <w:szCs w:val="24"/>
        </w:rPr>
        <w:t xml:space="preserve"> hardware and software upgrades</w:t>
      </w:r>
      <w:r>
        <w:rPr>
          <w:rFonts w:ascii="Times New Roman" w:hAnsi="Times New Roman"/>
          <w:sz w:val="24"/>
          <w:szCs w:val="24"/>
        </w:rPr>
        <w:t>.</w:t>
      </w:r>
      <w:r w:rsidRPr="00613559">
        <w:rPr>
          <w:rFonts w:ascii="Times New Roman" w:hAnsi="Times New Roman"/>
          <w:sz w:val="24"/>
          <w:szCs w:val="24"/>
        </w:rPr>
        <w:t xml:space="preserve"> </w:t>
      </w:r>
    </w:p>
  </w:footnote>
  <w:footnote w:id="65">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613559">
        <w:rPr>
          <w:rFonts w:ascii="Times New Roman" w:hAnsi="Times New Roman"/>
          <w:sz w:val="24"/>
          <w:szCs w:val="24"/>
        </w:rPr>
        <w:t>$15,000 per broker-dealer who will need to purchase hardware and software upgrades x 67 such</w:t>
      </w:r>
      <w:r>
        <w:rPr>
          <w:rFonts w:ascii="Times New Roman" w:hAnsi="Times New Roman"/>
          <w:sz w:val="24"/>
          <w:szCs w:val="24"/>
        </w:rPr>
        <w:t xml:space="preserve"> broker-dealers) = $1,005,000.</w:t>
      </w:r>
    </w:p>
  </w:footnote>
  <w:footnote w:id="66">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w:t>
      </w:r>
      <w:r>
        <w:rPr>
          <w:rFonts w:ascii="Times New Roman" w:hAnsi="Times New Roman"/>
          <w:sz w:val="24"/>
          <w:szCs w:val="24"/>
        </w:rPr>
        <w:t>Proposing</w:t>
      </w:r>
      <w:r w:rsidRPr="00EA21EB">
        <w:rPr>
          <w:rFonts w:ascii="Times New Roman" w:hAnsi="Times New Roman"/>
          <w:sz w:val="24"/>
          <w:szCs w:val="24"/>
        </w:rPr>
        <w:t xml:space="preserve">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_Ref526324924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sidRPr="00EA21EB">
        <w:rPr>
          <w:rFonts w:ascii="Times New Roman" w:hAnsi="Times New Roman"/>
          <w:sz w:val="24"/>
          <w:szCs w:val="24"/>
        </w:rPr>
        <w:t>, at 49470.</w:t>
      </w:r>
    </w:p>
  </w:footnote>
  <w:footnote w:id="67">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613559">
        <w:rPr>
          <w:rFonts w:ascii="Times New Roman" w:hAnsi="Times New Roman"/>
          <w:sz w:val="24"/>
          <w:szCs w:val="24"/>
          <w:u w:val="single"/>
        </w:rPr>
        <w:t>See</w:t>
      </w:r>
      <w:r>
        <w:rPr>
          <w:rFonts w:ascii="Times New Roman" w:hAnsi="Times New Roman"/>
          <w:sz w:val="24"/>
          <w:szCs w:val="24"/>
        </w:rPr>
        <w:t xml:space="preserve"> </w:t>
      </w:r>
      <w:r w:rsidRPr="00613559">
        <w:rPr>
          <w:rFonts w:ascii="Times New Roman" w:hAnsi="Times New Roman"/>
          <w:sz w:val="24"/>
          <w:szCs w:val="24"/>
          <w:u w:val="single"/>
        </w:rPr>
        <w:t>supra</w:t>
      </w:r>
      <w:r>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_Ref526345901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t>.</w:t>
      </w:r>
    </w:p>
  </w:footnote>
  <w:footnote w:id="68">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Pr>
          <w:rFonts w:ascii="Times New Roman" w:hAnsi="Times New Roman"/>
          <w:sz w:val="24"/>
          <w:szCs w:val="24"/>
        </w:rPr>
        <w:t>The Commission estimates $35,000 per broker-dealer</w:t>
      </w:r>
      <w:r w:rsidRPr="00613559">
        <w:rPr>
          <w:rFonts w:ascii="Times New Roman" w:hAnsi="Times New Roman"/>
          <w:sz w:val="24"/>
          <w:szCs w:val="24"/>
        </w:rPr>
        <w:t xml:space="preserve"> to</w:t>
      </w:r>
      <w:r w:rsidRPr="00561C19">
        <w:rPr>
          <w:rFonts w:ascii="Times New Roman" w:hAnsi="Times New Roman"/>
          <w:sz w:val="24"/>
          <w:szCs w:val="24"/>
        </w:rPr>
        <w:t xml:space="preserve"> engage a third-party vendor</w:t>
      </w:r>
      <w:r>
        <w:rPr>
          <w:rFonts w:ascii="Times New Roman" w:hAnsi="Times New Roman"/>
          <w:sz w:val="24"/>
          <w:szCs w:val="24"/>
        </w:rPr>
        <w:t xml:space="preserve"> to perform the necessary upgrades.</w:t>
      </w:r>
      <w:r w:rsidRPr="00613559">
        <w:rPr>
          <w:rFonts w:ascii="Times New Roman" w:hAnsi="Times New Roman"/>
          <w:sz w:val="24"/>
          <w:szCs w:val="24"/>
        </w:rPr>
        <w:t xml:space="preserve"> </w:t>
      </w:r>
    </w:p>
  </w:footnote>
  <w:footnote w:id="69">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561C19">
        <w:rPr>
          <w:rFonts w:ascii="Times New Roman" w:hAnsi="Times New Roman"/>
          <w:sz w:val="24"/>
          <w:szCs w:val="24"/>
        </w:rPr>
        <w:t>$35,000 per broker-dealer who will need to engage a third-party vendor x 133 such</w:t>
      </w:r>
      <w:r>
        <w:rPr>
          <w:rFonts w:ascii="Times New Roman" w:hAnsi="Times New Roman"/>
          <w:sz w:val="24"/>
          <w:szCs w:val="24"/>
        </w:rPr>
        <w:t xml:space="preserve"> broker-dealers) = $4,655,000.</w:t>
      </w:r>
    </w:p>
  </w:footnote>
  <w:footnote w:id="70">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w:t>
      </w:r>
      <w:r>
        <w:rPr>
          <w:rFonts w:ascii="Times New Roman" w:hAnsi="Times New Roman"/>
          <w:sz w:val="24"/>
          <w:szCs w:val="24"/>
        </w:rPr>
        <w:t>Proposing</w:t>
      </w:r>
      <w:r w:rsidRPr="00EA21EB">
        <w:rPr>
          <w:rFonts w:ascii="Times New Roman" w:hAnsi="Times New Roman"/>
          <w:sz w:val="24"/>
          <w:szCs w:val="24"/>
        </w:rPr>
        <w:t xml:space="preserve">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_Ref526324924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sidRPr="00EA21EB">
        <w:rPr>
          <w:rFonts w:ascii="Times New Roman" w:hAnsi="Times New Roman"/>
          <w:sz w:val="24"/>
          <w:szCs w:val="24"/>
        </w:rPr>
        <w:t>, at 49470.</w:t>
      </w:r>
    </w:p>
  </w:footnote>
  <w:footnote w:id="71">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613559">
        <w:rPr>
          <w:rFonts w:ascii="Times New Roman" w:hAnsi="Times New Roman"/>
          <w:sz w:val="24"/>
          <w:szCs w:val="24"/>
          <w:u w:val="single"/>
        </w:rPr>
        <w:t>See</w:t>
      </w:r>
      <w:r>
        <w:rPr>
          <w:rFonts w:ascii="Times New Roman" w:hAnsi="Times New Roman"/>
          <w:sz w:val="24"/>
          <w:szCs w:val="24"/>
        </w:rPr>
        <w:t xml:space="preserve"> </w:t>
      </w:r>
      <w:r w:rsidRPr="00613559">
        <w:rPr>
          <w:rFonts w:ascii="Times New Roman" w:hAnsi="Times New Roman"/>
          <w:sz w:val="24"/>
          <w:szCs w:val="24"/>
          <w:u w:val="single"/>
        </w:rPr>
        <w:t>supra</w:t>
      </w:r>
      <w:r>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_Ref526345901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t>.</w:t>
      </w:r>
    </w:p>
  </w:footnote>
  <w:footnote w:id="72">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vertAlign w:val="superscript"/>
        </w:rPr>
        <w:t xml:space="preserve"> </w:t>
      </w:r>
      <w:r w:rsidRPr="00EA21EB">
        <w:rPr>
          <w:rFonts w:ascii="Times New Roman" w:hAnsi="Times New Roman"/>
          <w:sz w:val="24"/>
          <w:szCs w:val="24"/>
        </w:rPr>
        <w:tab/>
      </w:r>
      <w:r w:rsidRPr="00163A50">
        <w:rPr>
          <w:rFonts w:ascii="Times New Roman" w:hAnsi="Times New Roman"/>
          <w:sz w:val="24"/>
          <w:szCs w:val="24"/>
        </w:rPr>
        <w:t xml:space="preserve">$4,655,000 </w:t>
      </w:r>
      <w:r w:rsidRPr="00EA21EB">
        <w:rPr>
          <w:rFonts w:ascii="Times New Roman" w:hAnsi="Times New Roman"/>
          <w:sz w:val="24"/>
          <w:szCs w:val="24"/>
        </w:rPr>
        <w:t xml:space="preserve"> + </w:t>
      </w:r>
      <w:r w:rsidRPr="00163A50">
        <w:rPr>
          <w:rFonts w:ascii="Times New Roman" w:hAnsi="Times New Roman"/>
          <w:sz w:val="24"/>
          <w:szCs w:val="24"/>
        </w:rPr>
        <w:t xml:space="preserve">$1,005,000 </w:t>
      </w:r>
      <w:r w:rsidRPr="00EA21EB">
        <w:rPr>
          <w:rFonts w:ascii="Times New Roman" w:hAnsi="Times New Roman"/>
          <w:sz w:val="24"/>
          <w:szCs w:val="24"/>
        </w:rPr>
        <w:t xml:space="preserve"> = </w:t>
      </w:r>
      <w:r w:rsidRPr="00163A50">
        <w:rPr>
          <w:rFonts w:ascii="Times New Roman" w:hAnsi="Times New Roman"/>
          <w:sz w:val="24"/>
          <w:szCs w:val="24"/>
        </w:rPr>
        <w:t>$5,660,000</w:t>
      </w:r>
      <w:r w:rsidRPr="00EA21EB">
        <w:rPr>
          <w:rFonts w:ascii="Times New Roman" w:hAnsi="Times New Roman"/>
          <w:sz w:val="24"/>
          <w:szCs w:val="24"/>
        </w:rPr>
        <w:t>.</w:t>
      </w:r>
    </w:p>
  </w:footnote>
  <w:footnote w:id="73">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vertAlign w:val="superscript"/>
        </w:rPr>
        <w:t xml:space="preserve"> </w:t>
      </w:r>
      <w:r w:rsidRPr="00EA21EB">
        <w:rPr>
          <w:rFonts w:ascii="Times New Roman" w:hAnsi="Times New Roman"/>
          <w:sz w:val="24"/>
          <w:szCs w:val="24"/>
        </w:rPr>
        <w:tab/>
      </w:r>
      <w:r>
        <w:rPr>
          <w:rFonts w:ascii="Times New Roman" w:hAnsi="Times New Roman"/>
          <w:sz w:val="24"/>
          <w:szCs w:val="24"/>
        </w:rPr>
        <w:t>$</w:t>
      </w:r>
      <w:r w:rsidRPr="00667CC6">
        <w:rPr>
          <w:rFonts w:ascii="Times New Roman" w:hAnsi="Times New Roman"/>
          <w:sz w:val="24"/>
          <w:szCs w:val="24"/>
        </w:rPr>
        <w:t>5,660,000</w:t>
      </w:r>
      <w:r w:rsidRPr="00EA21EB">
        <w:rPr>
          <w:rFonts w:ascii="Times New Roman" w:hAnsi="Times New Roman"/>
          <w:sz w:val="24"/>
          <w:szCs w:val="24"/>
        </w:rPr>
        <w:t xml:space="preserve"> / 3 years = </w:t>
      </w:r>
      <w:r w:rsidRPr="00667CC6">
        <w:rPr>
          <w:rFonts w:ascii="Times New Roman" w:hAnsi="Times New Roman"/>
          <w:sz w:val="24"/>
          <w:szCs w:val="24"/>
        </w:rPr>
        <w:t>$1,886,666.67</w:t>
      </w:r>
      <w:r w:rsidRPr="00EA21EB">
        <w:rPr>
          <w:rFonts w:ascii="Times New Roman" w:hAnsi="Times New Roman"/>
          <w:sz w:val="24"/>
          <w:szCs w:val="24"/>
        </w:rPr>
        <w:t>.</w:t>
      </w:r>
    </w:p>
  </w:footnote>
  <w:footnote w:id="74">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t>65 broker-dealers x 200 annual requests x $100 per request to engage a third party service provider = $1,300,000.</w:t>
      </w:r>
    </w:p>
  </w:footnote>
  <w:footnote w:id="75">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Pr>
          <w:rFonts w:ascii="Times New Roman" w:hAnsi="Times New Roman"/>
          <w:sz w:val="24"/>
          <w:szCs w:val="24"/>
        </w:rPr>
        <w:t>The Commission estimates $32,000 per broker-dealer</w:t>
      </w:r>
      <w:r w:rsidRPr="00613559">
        <w:rPr>
          <w:rFonts w:ascii="Times New Roman" w:hAnsi="Times New Roman"/>
          <w:sz w:val="24"/>
          <w:szCs w:val="24"/>
        </w:rPr>
        <w:t xml:space="preserve"> to</w:t>
      </w:r>
      <w:r w:rsidRPr="00561C19">
        <w:rPr>
          <w:rFonts w:ascii="Times New Roman" w:hAnsi="Times New Roman"/>
          <w:sz w:val="24"/>
          <w:szCs w:val="24"/>
        </w:rPr>
        <w:t xml:space="preserve"> engage a third-party vendor</w:t>
      </w:r>
      <w:r>
        <w:rPr>
          <w:rFonts w:ascii="Times New Roman" w:hAnsi="Times New Roman"/>
          <w:sz w:val="24"/>
          <w:szCs w:val="24"/>
        </w:rPr>
        <w:t xml:space="preserve"> to perform the necessary upgrades.</w:t>
      </w:r>
      <w:r w:rsidRPr="00613559">
        <w:rPr>
          <w:rFonts w:ascii="Times New Roman" w:hAnsi="Times New Roman"/>
          <w:sz w:val="24"/>
          <w:szCs w:val="24"/>
        </w:rPr>
        <w:t xml:space="preserve"> </w:t>
      </w:r>
    </w:p>
  </w:footnote>
  <w:footnote w:id="76">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Pr>
          <w:rFonts w:ascii="Times New Roman" w:hAnsi="Times New Roman"/>
          <w:sz w:val="24"/>
          <w:szCs w:val="24"/>
        </w:rPr>
        <w:t>$32</w:t>
      </w:r>
      <w:r w:rsidRPr="00561C19">
        <w:rPr>
          <w:rFonts w:ascii="Times New Roman" w:hAnsi="Times New Roman"/>
          <w:sz w:val="24"/>
          <w:szCs w:val="24"/>
        </w:rPr>
        <w:t>,000 per broker-dealer who will need to e</w:t>
      </w:r>
      <w:r>
        <w:rPr>
          <w:rFonts w:ascii="Times New Roman" w:hAnsi="Times New Roman"/>
          <w:sz w:val="24"/>
          <w:szCs w:val="24"/>
        </w:rPr>
        <w:t>ngage a third-party vendor x 195</w:t>
      </w:r>
      <w:r w:rsidRPr="00561C19">
        <w:rPr>
          <w:rFonts w:ascii="Times New Roman" w:hAnsi="Times New Roman"/>
          <w:sz w:val="24"/>
          <w:szCs w:val="24"/>
        </w:rPr>
        <w:t xml:space="preserve"> such</w:t>
      </w:r>
      <w:r>
        <w:rPr>
          <w:rFonts w:ascii="Times New Roman" w:hAnsi="Times New Roman"/>
          <w:sz w:val="24"/>
          <w:szCs w:val="24"/>
        </w:rPr>
        <w:t xml:space="preserve"> broker-dealers) = $</w:t>
      </w:r>
      <w:r w:rsidRPr="00DC45AD">
        <w:rPr>
          <w:rFonts w:ascii="Times New Roman" w:hAnsi="Times New Roman"/>
          <w:sz w:val="24"/>
          <w:szCs w:val="24"/>
        </w:rPr>
        <w:t>6,240,000</w:t>
      </w:r>
      <w:r>
        <w:rPr>
          <w:rFonts w:ascii="Times New Roman" w:hAnsi="Times New Roman"/>
          <w:sz w:val="24"/>
          <w:szCs w:val="24"/>
        </w:rPr>
        <w:t>.</w:t>
      </w:r>
    </w:p>
  </w:footnote>
  <w:footnote w:id="77">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w:t>
      </w:r>
      <w:r>
        <w:rPr>
          <w:rFonts w:ascii="Times New Roman" w:hAnsi="Times New Roman"/>
          <w:sz w:val="24"/>
          <w:szCs w:val="24"/>
        </w:rPr>
        <w:t>Proposing</w:t>
      </w:r>
      <w:r w:rsidRPr="00EA21EB">
        <w:rPr>
          <w:rFonts w:ascii="Times New Roman" w:hAnsi="Times New Roman"/>
          <w:sz w:val="24"/>
          <w:szCs w:val="24"/>
        </w:rPr>
        <w:t xml:space="preserve">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_Ref526324924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 at 49474-75</w:t>
      </w:r>
      <w:r w:rsidRPr="00EA21EB">
        <w:rPr>
          <w:rFonts w:ascii="Times New Roman" w:hAnsi="Times New Roman"/>
          <w:sz w:val="24"/>
          <w:szCs w:val="24"/>
        </w:rPr>
        <w:t>.</w:t>
      </w:r>
    </w:p>
  </w:footnote>
  <w:footnote w:id="78">
    <w:p w:rsidR="00D050FC" w:rsidRPr="00EA21EB" w:rsidRDefault="00D050FC" w:rsidP="00D176F5">
      <w:pPr>
        <w:pStyle w:val="FootnoteText"/>
        <w:tabs>
          <w:tab w:val="left" w:pos="720"/>
          <w:tab w:val="left" w:pos="1440"/>
          <w:tab w:val="left" w:pos="2160"/>
          <w:tab w:val="left" w:pos="3547"/>
        </w:tabs>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613559">
        <w:rPr>
          <w:rFonts w:ascii="Times New Roman" w:hAnsi="Times New Roman"/>
          <w:sz w:val="24"/>
          <w:szCs w:val="24"/>
          <w:u w:val="single"/>
        </w:rPr>
        <w:t>See</w:t>
      </w:r>
      <w:r>
        <w:rPr>
          <w:rFonts w:ascii="Times New Roman" w:hAnsi="Times New Roman"/>
          <w:sz w:val="24"/>
          <w:szCs w:val="24"/>
        </w:rPr>
        <w:t xml:space="preserve"> </w:t>
      </w:r>
      <w:r w:rsidRPr="00613559">
        <w:rPr>
          <w:rFonts w:ascii="Times New Roman" w:hAnsi="Times New Roman"/>
          <w:sz w:val="24"/>
          <w:szCs w:val="24"/>
          <w:u w:val="single"/>
        </w:rPr>
        <w:t>supra</w:t>
      </w:r>
      <w:r>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_Ref526429381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33</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tab/>
      </w:r>
    </w:p>
  </w:footnote>
  <w:footnote w:id="79">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Adopting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_Ref505670440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EA21EB">
        <w:rPr>
          <w:rFonts w:ascii="Times New Roman" w:hAnsi="Times New Roman"/>
          <w:sz w:val="24"/>
          <w:szCs w:val="24"/>
        </w:rPr>
        <w:t xml:space="preserve">, at </w:t>
      </w:r>
      <w:r>
        <w:rPr>
          <w:rFonts w:ascii="Times New Roman" w:hAnsi="Times New Roman"/>
          <w:sz w:val="24"/>
          <w:szCs w:val="24"/>
        </w:rPr>
        <w:t xml:space="preserve">58387 (citing </w:t>
      </w:r>
      <w:r w:rsidRPr="00EA21EB">
        <w:rPr>
          <w:rFonts w:ascii="Times New Roman" w:hAnsi="Times New Roman"/>
          <w:sz w:val="24"/>
          <w:szCs w:val="24"/>
        </w:rPr>
        <w:t xml:space="preserve">Markit Letter,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sidRPr="00EA21EB">
        <w:rPr>
          <w:rFonts w:ascii="Times New Roman" w:hAnsi="Times New Roman"/>
          <w:sz w:val="24"/>
          <w:szCs w:val="24"/>
        </w:rPr>
        <w:fldChar w:fldCharType="begin"/>
      </w:r>
      <w:r w:rsidRPr="00EA21EB">
        <w:rPr>
          <w:rFonts w:ascii="Times New Roman" w:hAnsi="Times New Roman"/>
          <w:sz w:val="24"/>
          <w:szCs w:val="24"/>
        </w:rPr>
        <w:instrText xml:space="preserve"> NOTEREF _Ref526344125 \h  \* MERGEFORMAT </w:instrText>
      </w:r>
      <w:r w:rsidRPr="00EA21EB">
        <w:rPr>
          <w:rFonts w:ascii="Times New Roman" w:hAnsi="Times New Roman"/>
          <w:sz w:val="24"/>
          <w:szCs w:val="24"/>
        </w:rPr>
      </w:r>
      <w:r w:rsidRPr="00EA21EB">
        <w:rPr>
          <w:rFonts w:ascii="Times New Roman" w:hAnsi="Times New Roman"/>
          <w:sz w:val="24"/>
          <w:szCs w:val="24"/>
        </w:rPr>
        <w:fldChar w:fldCharType="separate"/>
      </w:r>
      <w:r>
        <w:rPr>
          <w:rFonts w:ascii="Times New Roman" w:hAnsi="Times New Roman"/>
          <w:sz w:val="24"/>
          <w:szCs w:val="24"/>
        </w:rPr>
        <w:t>8</w:t>
      </w:r>
      <w:r w:rsidRPr="00EA21EB">
        <w:rPr>
          <w:rFonts w:ascii="Times New Roman" w:hAnsi="Times New Roman"/>
          <w:sz w:val="24"/>
          <w:szCs w:val="24"/>
        </w:rPr>
        <w:fldChar w:fldCharType="end"/>
      </w:r>
      <w:r w:rsidRPr="00EA21EB">
        <w:rPr>
          <w:rFonts w:ascii="Times New Roman" w:hAnsi="Times New Roman"/>
          <w:sz w:val="24"/>
          <w:szCs w:val="24"/>
        </w:rPr>
        <w:t>, at 33</w:t>
      </w:r>
      <w:r>
        <w:rPr>
          <w:rFonts w:ascii="Times New Roman" w:hAnsi="Times New Roman"/>
          <w:sz w:val="24"/>
          <w:szCs w:val="24"/>
        </w:rPr>
        <w:t>)</w:t>
      </w:r>
      <w:r w:rsidRPr="00EA21EB">
        <w:rPr>
          <w:rFonts w:ascii="Times New Roman" w:hAnsi="Times New Roman"/>
          <w:sz w:val="24"/>
          <w:szCs w:val="24"/>
        </w:rPr>
        <w:t>.</w:t>
      </w:r>
      <w:r>
        <w:rPr>
          <w:rFonts w:ascii="Times New Roman" w:hAnsi="Times New Roman"/>
          <w:sz w:val="24"/>
          <w:szCs w:val="24"/>
        </w:rPr>
        <w:t xml:space="preserve"> </w:t>
      </w:r>
    </w:p>
  </w:footnote>
  <w:footnote w:id="80">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Pr>
          <w:rFonts w:ascii="Times New Roman" w:hAnsi="Times New Roman"/>
          <w:sz w:val="24"/>
          <w:szCs w:val="24"/>
        </w:rPr>
        <w:t xml:space="preserve">This burden was not estimated in the Proposing Release because it reflects a change to the categories of orders subject to disclosure.  </w:t>
      </w:r>
      <w:r w:rsidRPr="00EA21EB">
        <w:rPr>
          <w:rFonts w:ascii="Times New Roman" w:hAnsi="Times New Roman"/>
          <w:sz w:val="24"/>
          <w:szCs w:val="24"/>
          <w:u w:val="single"/>
        </w:rPr>
        <w:t>See</w:t>
      </w:r>
      <w:r w:rsidRPr="00EA21EB">
        <w:rPr>
          <w:rFonts w:ascii="Times New Roman" w:hAnsi="Times New Roman"/>
          <w:sz w:val="24"/>
          <w:szCs w:val="24"/>
        </w:rPr>
        <w:t xml:space="preserve"> Adopting Release, </w:t>
      </w:r>
      <w:r w:rsidRPr="00EA21EB">
        <w:rPr>
          <w:rFonts w:ascii="Times New Roman" w:hAnsi="Times New Roman"/>
          <w:sz w:val="24"/>
          <w:szCs w:val="24"/>
          <w:u w:val="single"/>
        </w:rPr>
        <w:t>supra</w:t>
      </w:r>
      <w:r w:rsidRPr="00EA21EB">
        <w:rPr>
          <w:rFonts w:ascii="Times New Roman" w:hAnsi="Times New Roman"/>
          <w:sz w:val="24"/>
          <w:szCs w:val="24"/>
        </w:rPr>
        <w:t xml:space="preserve"> note </w:t>
      </w:r>
      <w:r>
        <w:rPr>
          <w:rFonts w:ascii="Times New Roman" w:hAnsi="Times New Roman"/>
          <w:sz w:val="24"/>
          <w:szCs w:val="24"/>
        </w:rPr>
        <w:fldChar w:fldCharType="begin"/>
      </w:r>
      <w:r>
        <w:rPr>
          <w:rFonts w:ascii="Times New Roman" w:hAnsi="Times New Roman"/>
          <w:sz w:val="24"/>
          <w:szCs w:val="24"/>
        </w:rPr>
        <w:instrText xml:space="preserve"> NOTEREF _Ref505670440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EA21EB">
        <w:rPr>
          <w:rFonts w:ascii="Times New Roman" w:hAnsi="Times New Roman"/>
          <w:sz w:val="24"/>
          <w:szCs w:val="24"/>
        </w:rPr>
        <w:t xml:space="preserve">, at </w:t>
      </w:r>
      <w:r>
        <w:rPr>
          <w:rFonts w:ascii="Times New Roman" w:hAnsi="Times New Roman"/>
          <w:sz w:val="24"/>
          <w:szCs w:val="24"/>
        </w:rPr>
        <w:t>58387-88</w:t>
      </w:r>
      <w:r w:rsidRPr="00EA21EB">
        <w:rPr>
          <w:rFonts w:ascii="Times New Roman" w:hAnsi="Times New Roman"/>
          <w:sz w:val="24"/>
          <w:szCs w:val="24"/>
        </w:rPr>
        <w:t>.</w:t>
      </w:r>
    </w:p>
  </w:footnote>
  <w:footnote w:id="81">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1101BA">
        <w:rPr>
          <w:rFonts w:ascii="Times New Roman" w:hAnsi="Times New Roman"/>
          <w:sz w:val="24"/>
          <w:szCs w:val="24"/>
        </w:rPr>
        <w:t xml:space="preserve">The Commission estimates that a third-party service provider would charge an average of $5,000 to upgrade a broker-dealer’s systems to comply with </w:t>
      </w:r>
      <w:r>
        <w:rPr>
          <w:rFonts w:ascii="Times New Roman" w:hAnsi="Times New Roman"/>
          <w:sz w:val="24"/>
          <w:szCs w:val="24"/>
        </w:rPr>
        <w:t>adopted</w:t>
      </w:r>
      <w:r w:rsidRPr="001101BA">
        <w:rPr>
          <w:rFonts w:ascii="Times New Roman" w:hAnsi="Times New Roman"/>
          <w:sz w:val="24"/>
          <w:szCs w:val="24"/>
        </w:rPr>
        <w:t xml:space="preserve"> Rule 606(b)(1).</w:t>
      </w:r>
    </w:p>
  </w:footnote>
  <w:footnote w:id="82">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Pr>
          <w:rFonts w:ascii="Times New Roman" w:hAnsi="Times New Roman"/>
          <w:sz w:val="24"/>
          <w:szCs w:val="24"/>
        </w:rPr>
        <w:t>$</w:t>
      </w:r>
      <w:r w:rsidRPr="00561C19">
        <w:rPr>
          <w:rFonts w:ascii="Times New Roman" w:hAnsi="Times New Roman"/>
          <w:sz w:val="24"/>
          <w:szCs w:val="24"/>
        </w:rPr>
        <w:t xml:space="preserve">5,000 per broker-dealer who will need to engage a third-party vendor x </w:t>
      </w:r>
      <w:r>
        <w:rPr>
          <w:rFonts w:ascii="Times New Roman" w:hAnsi="Times New Roman"/>
          <w:sz w:val="24"/>
          <w:szCs w:val="24"/>
        </w:rPr>
        <w:t>195</w:t>
      </w:r>
      <w:r w:rsidRPr="00561C19">
        <w:rPr>
          <w:rFonts w:ascii="Times New Roman" w:hAnsi="Times New Roman"/>
          <w:sz w:val="24"/>
          <w:szCs w:val="24"/>
        </w:rPr>
        <w:t xml:space="preserve"> such</w:t>
      </w:r>
      <w:r>
        <w:rPr>
          <w:rFonts w:ascii="Times New Roman" w:hAnsi="Times New Roman"/>
          <w:sz w:val="24"/>
          <w:szCs w:val="24"/>
        </w:rPr>
        <w:t xml:space="preserve"> broker-dealers) = $975,000.</w:t>
      </w:r>
    </w:p>
  </w:footnote>
  <w:footnote w:id="83">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EA21EB">
        <w:rPr>
          <w:rFonts w:ascii="Times New Roman" w:hAnsi="Times New Roman"/>
          <w:sz w:val="24"/>
          <w:szCs w:val="24"/>
          <w:u w:val="single"/>
        </w:rPr>
        <w:t>See</w:t>
      </w:r>
      <w:r w:rsidRPr="00EA21EB">
        <w:rPr>
          <w:rFonts w:ascii="Times New Roman" w:hAnsi="Times New Roman"/>
          <w:sz w:val="24"/>
          <w:szCs w:val="24"/>
        </w:rPr>
        <w:t xml:space="preserve"> Adopting Release, </w:t>
      </w:r>
      <w:r w:rsidRPr="00EA21EB">
        <w:rPr>
          <w:rFonts w:ascii="Times New Roman" w:hAnsi="Times New Roman"/>
          <w:sz w:val="24"/>
          <w:szCs w:val="24"/>
          <w:u w:val="single"/>
        </w:rPr>
        <w:t>supra</w:t>
      </w:r>
      <w:r w:rsidRPr="00EA21EB">
        <w:rPr>
          <w:rFonts w:ascii="Times New Roman" w:hAnsi="Times New Roman"/>
          <w:sz w:val="24"/>
          <w:szCs w:val="24"/>
        </w:rPr>
        <w:t xml:space="preserve"> note</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NOTEREF _Ref505670440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EA21EB">
        <w:rPr>
          <w:rFonts w:ascii="Times New Roman" w:hAnsi="Times New Roman"/>
          <w:sz w:val="24"/>
          <w:szCs w:val="24"/>
        </w:rPr>
        <w:t xml:space="preserve">, at </w:t>
      </w:r>
      <w:r w:rsidR="00A07A01">
        <w:rPr>
          <w:rFonts w:ascii="Times New Roman" w:hAnsi="Times New Roman"/>
          <w:sz w:val="24"/>
          <w:szCs w:val="24"/>
        </w:rPr>
        <w:t>58387.</w:t>
      </w:r>
    </w:p>
  </w:footnote>
  <w:footnote w:id="84">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Pr>
          <w:rFonts w:ascii="Times New Roman" w:hAnsi="Times New Roman"/>
          <w:sz w:val="24"/>
          <w:szCs w:val="24"/>
        </w:rPr>
        <w:t>$</w:t>
      </w:r>
      <w:r w:rsidRPr="00DC45AD">
        <w:rPr>
          <w:rFonts w:ascii="Times New Roman" w:hAnsi="Times New Roman"/>
          <w:sz w:val="24"/>
          <w:szCs w:val="24"/>
        </w:rPr>
        <w:t>6,240,000</w:t>
      </w:r>
      <w:r w:rsidRPr="00EA21EB">
        <w:rPr>
          <w:rFonts w:ascii="Times New Roman" w:hAnsi="Times New Roman"/>
          <w:sz w:val="24"/>
          <w:szCs w:val="24"/>
        </w:rPr>
        <w:t xml:space="preserve"> + </w:t>
      </w:r>
      <w:r w:rsidRPr="00DC45AD">
        <w:rPr>
          <w:rFonts w:ascii="Times New Roman" w:hAnsi="Times New Roman"/>
          <w:sz w:val="24"/>
          <w:szCs w:val="24"/>
        </w:rPr>
        <w:t>$975,000</w:t>
      </w:r>
      <w:r w:rsidRPr="00EA21EB">
        <w:rPr>
          <w:rFonts w:ascii="Times New Roman" w:hAnsi="Times New Roman"/>
          <w:sz w:val="24"/>
          <w:szCs w:val="24"/>
        </w:rPr>
        <w:t xml:space="preserve"> = </w:t>
      </w:r>
      <w:r w:rsidRPr="00DC45AD">
        <w:rPr>
          <w:rFonts w:ascii="Times New Roman" w:hAnsi="Times New Roman"/>
          <w:sz w:val="24"/>
          <w:szCs w:val="24"/>
        </w:rPr>
        <w:t>$7,215,000</w:t>
      </w:r>
      <w:r>
        <w:rPr>
          <w:rFonts w:ascii="Times New Roman" w:hAnsi="Times New Roman"/>
          <w:sz w:val="24"/>
          <w:szCs w:val="24"/>
        </w:rPr>
        <w:t>.</w:t>
      </w:r>
    </w:p>
  </w:footnote>
  <w:footnote w:id="85">
    <w:p w:rsidR="00D050FC" w:rsidRPr="00EA21EB" w:rsidRDefault="00D050FC" w:rsidP="00D176F5">
      <w:pPr>
        <w:pStyle w:val="FootnoteText"/>
        <w:spacing w:after="120"/>
        <w:ind w:left="720" w:hanging="720"/>
        <w:rPr>
          <w:rFonts w:ascii="Times New Roman" w:hAnsi="Times New Roman"/>
          <w:sz w:val="24"/>
          <w:szCs w:val="24"/>
        </w:rPr>
      </w:pPr>
      <w:r w:rsidRPr="00EA21EB">
        <w:rPr>
          <w:rStyle w:val="FootnoteReference"/>
          <w:rFonts w:ascii="Times New Roman" w:hAnsi="Times New Roman"/>
          <w:sz w:val="24"/>
          <w:szCs w:val="24"/>
          <w:vertAlign w:val="superscript"/>
        </w:rPr>
        <w:footnoteRef/>
      </w:r>
      <w:r w:rsidRPr="00EA21EB">
        <w:rPr>
          <w:rFonts w:ascii="Times New Roman" w:hAnsi="Times New Roman"/>
          <w:sz w:val="24"/>
          <w:szCs w:val="24"/>
        </w:rPr>
        <w:t xml:space="preserve"> </w:t>
      </w:r>
      <w:r w:rsidRPr="00EA21EB">
        <w:rPr>
          <w:rFonts w:ascii="Times New Roman" w:hAnsi="Times New Roman"/>
          <w:sz w:val="24"/>
          <w:szCs w:val="24"/>
        </w:rPr>
        <w:tab/>
      </w:r>
      <w:r w:rsidRPr="00DC45AD">
        <w:rPr>
          <w:rFonts w:ascii="Times New Roman" w:hAnsi="Times New Roman"/>
          <w:sz w:val="24"/>
          <w:szCs w:val="24"/>
        </w:rPr>
        <w:t>$7,215,000</w:t>
      </w:r>
      <w:r w:rsidRPr="00EA21EB">
        <w:rPr>
          <w:rFonts w:ascii="Times New Roman" w:hAnsi="Times New Roman"/>
          <w:sz w:val="24"/>
          <w:szCs w:val="24"/>
        </w:rPr>
        <w:t xml:space="preserve"> / 3 years = $</w:t>
      </w:r>
      <w:r>
        <w:rPr>
          <w:rFonts w:ascii="Times New Roman" w:hAnsi="Times New Roman"/>
          <w:sz w:val="24"/>
          <w:szCs w:val="24"/>
        </w:rPr>
        <w:t>2,405,000.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0FC" w:rsidRDefault="00D050FC">
    <w:pPr>
      <w:framePr w:w="9361" w:wrap="notBeside" w:vAnchor="text" w:hAnchor="text" w:x="1" w:y="1"/>
      <w:jc w:val="center"/>
      <w:rPr>
        <w:rFonts w:ascii="Times New Roman" w:hAnsi="Times New Roman"/>
        <w:sz w:val="24"/>
      </w:rPr>
    </w:pPr>
  </w:p>
  <w:p w:rsidR="00D050FC" w:rsidRDefault="00D050FC">
    <w:pPr>
      <w:spacing w:line="240" w:lineRule="exac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0FC" w:rsidRPr="00EA5543" w:rsidRDefault="00D050FC" w:rsidP="001560A5">
    <w:pPr>
      <w:pStyle w:val="Header"/>
      <w:jc w:val="center"/>
      <w:rPr>
        <w:rFonts w:ascii="Times New Roman" w:hAnsi="Times New Roman"/>
        <w:i/>
        <w:sz w:val="22"/>
        <w:szCs w:val="22"/>
      </w:rPr>
    </w:pPr>
    <w:r>
      <w:rPr>
        <w:rFonts w:ascii="Times New Roman" w:hAnsi="Times New Roman"/>
        <w:i/>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2858C4"/>
    <w:lvl w:ilvl="0">
      <w:start w:val="1"/>
      <w:numFmt w:val="decimal"/>
      <w:lvlText w:val="%1."/>
      <w:lvlJc w:val="left"/>
      <w:pPr>
        <w:tabs>
          <w:tab w:val="num" w:pos="1800"/>
        </w:tabs>
        <w:ind w:left="1800" w:hanging="360"/>
      </w:pPr>
    </w:lvl>
  </w:abstractNum>
  <w:abstractNum w:abstractNumId="1">
    <w:nsid w:val="FFFFFF7D"/>
    <w:multiLevelType w:val="singleLevel"/>
    <w:tmpl w:val="4F644842"/>
    <w:lvl w:ilvl="0">
      <w:start w:val="1"/>
      <w:numFmt w:val="decimal"/>
      <w:lvlText w:val="%1."/>
      <w:lvlJc w:val="left"/>
      <w:pPr>
        <w:tabs>
          <w:tab w:val="num" w:pos="1440"/>
        </w:tabs>
        <w:ind w:left="1440" w:hanging="360"/>
      </w:pPr>
    </w:lvl>
  </w:abstractNum>
  <w:abstractNum w:abstractNumId="2">
    <w:nsid w:val="FFFFFF7E"/>
    <w:multiLevelType w:val="singleLevel"/>
    <w:tmpl w:val="FFB0C2F2"/>
    <w:lvl w:ilvl="0">
      <w:start w:val="1"/>
      <w:numFmt w:val="decimal"/>
      <w:lvlText w:val="%1."/>
      <w:lvlJc w:val="left"/>
      <w:pPr>
        <w:tabs>
          <w:tab w:val="num" w:pos="1080"/>
        </w:tabs>
        <w:ind w:left="1080" w:hanging="360"/>
      </w:pPr>
    </w:lvl>
  </w:abstractNum>
  <w:abstractNum w:abstractNumId="3">
    <w:nsid w:val="FFFFFF7F"/>
    <w:multiLevelType w:val="singleLevel"/>
    <w:tmpl w:val="D75C6510"/>
    <w:lvl w:ilvl="0">
      <w:start w:val="1"/>
      <w:numFmt w:val="decimal"/>
      <w:lvlText w:val="%1."/>
      <w:lvlJc w:val="left"/>
      <w:pPr>
        <w:tabs>
          <w:tab w:val="num" w:pos="720"/>
        </w:tabs>
        <w:ind w:left="720" w:hanging="360"/>
      </w:pPr>
    </w:lvl>
  </w:abstractNum>
  <w:abstractNum w:abstractNumId="4">
    <w:nsid w:val="FFFFFF80"/>
    <w:multiLevelType w:val="singleLevel"/>
    <w:tmpl w:val="6D6681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71A8DF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93E5AB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0D4337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3D2B114"/>
    <w:lvl w:ilvl="0">
      <w:start w:val="1"/>
      <w:numFmt w:val="decimal"/>
      <w:lvlText w:val="%1."/>
      <w:lvlJc w:val="left"/>
      <w:pPr>
        <w:tabs>
          <w:tab w:val="num" w:pos="360"/>
        </w:tabs>
        <w:ind w:left="360" w:hanging="360"/>
      </w:pPr>
    </w:lvl>
  </w:abstractNum>
  <w:abstractNum w:abstractNumId="9">
    <w:nsid w:val="FFFFFF89"/>
    <w:multiLevelType w:val="singleLevel"/>
    <w:tmpl w:val="A9F829A2"/>
    <w:lvl w:ilvl="0">
      <w:start w:val="1"/>
      <w:numFmt w:val="bullet"/>
      <w:lvlText w:val=""/>
      <w:lvlJc w:val="left"/>
      <w:pPr>
        <w:tabs>
          <w:tab w:val="num" w:pos="360"/>
        </w:tabs>
        <w:ind w:left="360" w:hanging="360"/>
      </w:pPr>
      <w:rPr>
        <w:rFonts w:ascii="Symbol" w:hAnsi="Symbol" w:hint="default"/>
      </w:rPr>
    </w:lvl>
  </w:abstractNum>
  <w:abstractNum w:abstractNumId="10">
    <w:nsid w:val="0054556F"/>
    <w:multiLevelType w:val="hybridMultilevel"/>
    <w:tmpl w:val="097630F4"/>
    <w:lvl w:ilvl="0" w:tplc="A02098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7A62D5A"/>
    <w:multiLevelType w:val="hybridMultilevel"/>
    <w:tmpl w:val="83CE18F0"/>
    <w:lvl w:ilvl="0" w:tplc="A02098EC">
      <w:start w:val="1"/>
      <w:numFmt w:val="upperLetter"/>
      <w:lvlText w:val="%1."/>
      <w:lvlJc w:val="left"/>
      <w:pPr>
        <w:ind w:left="1890" w:hanging="360"/>
      </w:pPr>
      <w:rPr>
        <w:rFonts w:hint="default"/>
      </w:rPr>
    </w:lvl>
    <w:lvl w:ilvl="1" w:tplc="C41AC5B6">
      <w:start w:val="1"/>
      <w:numFmt w:val="lowerLetter"/>
      <w:lvlText w:val="%2."/>
      <w:lvlJc w:val="left"/>
      <w:pPr>
        <w:ind w:left="2520" w:hanging="360"/>
      </w:pPr>
      <w:rPr>
        <w:b w:val="0"/>
      </w:rPr>
    </w:lvl>
    <w:lvl w:ilvl="2" w:tplc="A7D650F8">
      <w:start w:val="1"/>
      <w:numFmt w:val="lowerRoman"/>
      <w:lvlText w:val="%3."/>
      <w:lvlJc w:val="right"/>
      <w:pPr>
        <w:ind w:left="3240" w:hanging="180"/>
      </w:pPr>
      <w:rPr>
        <w:b w:val="0"/>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A9236E2"/>
    <w:multiLevelType w:val="hybridMultilevel"/>
    <w:tmpl w:val="8B8AD966"/>
    <w:lvl w:ilvl="0" w:tplc="A02098EC">
      <w:start w:val="1"/>
      <w:numFmt w:val="upperLetter"/>
      <w:lvlText w:val="%1."/>
      <w:lvlJc w:val="left"/>
      <w:pPr>
        <w:ind w:left="1800" w:hanging="360"/>
      </w:pPr>
      <w:rPr>
        <w:rFonts w:hint="default"/>
      </w:rPr>
    </w:lvl>
    <w:lvl w:ilvl="1" w:tplc="C41AC5B6">
      <w:start w:val="1"/>
      <w:numFmt w:val="lowerLetter"/>
      <w:lvlText w:val="%2."/>
      <w:lvlJc w:val="left"/>
      <w:pPr>
        <w:ind w:left="2520" w:hanging="360"/>
      </w:pPr>
      <w:rPr>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AF1667D"/>
    <w:multiLevelType w:val="hybridMultilevel"/>
    <w:tmpl w:val="35E0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C7014B"/>
    <w:multiLevelType w:val="hybridMultilevel"/>
    <w:tmpl w:val="88AC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31605A"/>
    <w:multiLevelType w:val="hybridMultilevel"/>
    <w:tmpl w:val="3B9063CA"/>
    <w:lvl w:ilvl="0" w:tplc="C41AC5B6">
      <w:start w:val="1"/>
      <w:numFmt w:val="lowerLetter"/>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CD2012"/>
    <w:multiLevelType w:val="hybridMultilevel"/>
    <w:tmpl w:val="57782556"/>
    <w:lvl w:ilvl="0" w:tplc="FED855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3CE2F21"/>
    <w:multiLevelType w:val="hybridMultilevel"/>
    <w:tmpl w:val="6996334E"/>
    <w:lvl w:ilvl="0" w:tplc="A7D650F8">
      <w:start w:val="1"/>
      <w:numFmt w:val="lowerRoman"/>
      <w:lvlText w:val="%1."/>
      <w:lvlJc w:val="right"/>
      <w:pPr>
        <w:ind w:left="324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0C63BB"/>
    <w:multiLevelType w:val="hybridMultilevel"/>
    <w:tmpl w:val="919EC802"/>
    <w:lvl w:ilvl="0" w:tplc="74AA1760">
      <w:start w:val="1"/>
      <w:numFmt w:val="upperLetter"/>
      <w:lvlText w:val="%1."/>
      <w:lvlJc w:val="left"/>
      <w:pPr>
        <w:ind w:left="1890" w:hanging="360"/>
      </w:pPr>
      <w:rPr>
        <w:rFonts w:hint="default"/>
        <w:b w:val="0"/>
      </w:rPr>
    </w:lvl>
    <w:lvl w:ilvl="1" w:tplc="C41AC5B6">
      <w:start w:val="1"/>
      <w:numFmt w:val="lowerLetter"/>
      <w:lvlText w:val="%2."/>
      <w:lvlJc w:val="left"/>
      <w:pPr>
        <w:ind w:left="2520" w:hanging="360"/>
      </w:pPr>
      <w:rPr>
        <w:b w:val="0"/>
      </w:rPr>
    </w:lvl>
    <w:lvl w:ilvl="2" w:tplc="A7D650F8">
      <w:start w:val="1"/>
      <w:numFmt w:val="lowerRoman"/>
      <w:lvlText w:val="%3."/>
      <w:lvlJc w:val="right"/>
      <w:pPr>
        <w:ind w:left="3240" w:hanging="180"/>
      </w:pPr>
      <w:rPr>
        <w:b w:val="0"/>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D8E1FFD"/>
    <w:multiLevelType w:val="hybridMultilevel"/>
    <w:tmpl w:val="994A2250"/>
    <w:lvl w:ilvl="0" w:tplc="CB82C42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03E5467"/>
    <w:multiLevelType w:val="hybridMultilevel"/>
    <w:tmpl w:val="91F4E0AE"/>
    <w:lvl w:ilvl="0" w:tplc="A02098EC">
      <w:start w:val="1"/>
      <w:numFmt w:val="upperLetter"/>
      <w:lvlText w:val="%1."/>
      <w:lvlJc w:val="left"/>
      <w:pPr>
        <w:ind w:left="1800" w:hanging="360"/>
      </w:pPr>
      <w:rPr>
        <w:rFonts w:hint="default"/>
      </w:rPr>
    </w:lvl>
    <w:lvl w:ilvl="1" w:tplc="C41AC5B6">
      <w:start w:val="1"/>
      <w:numFmt w:val="lowerLetter"/>
      <w:lvlText w:val="%2."/>
      <w:lvlJc w:val="left"/>
      <w:pPr>
        <w:ind w:left="2520" w:hanging="360"/>
      </w:pPr>
      <w:rPr>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5337009"/>
    <w:multiLevelType w:val="hybridMultilevel"/>
    <w:tmpl w:val="CB10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9F6F5D"/>
    <w:multiLevelType w:val="hybridMultilevel"/>
    <w:tmpl w:val="18CA3B06"/>
    <w:lvl w:ilvl="0" w:tplc="C41AC5B6">
      <w:start w:val="1"/>
      <w:numFmt w:val="lowerLetter"/>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D27DAD"/>
    <w:multiLevelType w:val="hybridMultilevel"/>
    <w:tmpl w:val="097630F4"/>
    <w:lvl w:ilvl="0" w:tplc="A02098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6EB4082"/>
    <w:multiLevelType w:val="hybridMultilevel"/>
    <w:tmpl w:val="57782556"/>
    <w:lvl w:ilvl="0" w:tplc="FED855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BF355A3"/>
    <w:multiLevelType w:val="hybridMultilevel"/>
    <w:tmpl w:val="097630F4"/>
    <w:lvl w:ilvl="0" w:tplc="A02098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0212B10"/>
    <w:multiLevelType w:val="hybridMultilevel"/>
    <w:tmpl w:val="994A2250"/>
    <w:lvl w:ilvl="0" w:tplc="CB82C42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652C0524"/>
    <w:multiLevelType w:val="hybridMultilevel"/>
    <w:tmpl w:val="57782556"/>
    <w:lvl w:ilvl="0" w:tplc="FED855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6731CA7"/>
    <w:multiLevelType w:val="hybridMultilevel"/>
    <w:tmpl w:val="57782556"/>
    <w:lvl w:ilvl="0" w:tplc="FED855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8320C2E"/>
    <w:multiLevelType w:val="hybridMultilevel"/>
    <w:tmpl w:val="163A07A4"/>
    <w:lvl w:ilvl="0" w:tplc="A02098EC">
      <w:start w:val="1"/>
      <w:numFmt w:val="upperLetter"/>
      <w:lvlText w:val="%1."/>
      <w:lvlJc w:val="left"/>
      <w:pPr>
        <w:ind w:left="1800" w:hanging="360"/>
      </w:pPr>
      <w:rPr>
        <w:rFonts w:hint="default"/>
      </w:rPr>
    </w:lvl>
    <w:lvl w:ilvl="1" w:tplc="C41AC5B6">
      <w:start w:val="1"/>
      <w:numFmt w:val="lowerLetter"/>
      <w:lvlText w:val="%2."/>
      <w:lvlJc w:val="left"/>
      <w:pPr>
        <w:ind w:left="2520" w:hanging="360"/>
      </w:pPr>
      <w:rPr>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9466A8C"/>
    <w:multiLevelType w:val="hybridMultilevel"/>
    <w:tmpl w:val="57782556"/>
    <w:lvl w:ilvl="0" w:tplc="FED855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F61378E"/>
    <w:multiLevelType w:val="hybridMultilevel"/>
    <w:tmpl w:val="097630F4"/>
    <w:lvl w:ilvl="0" w:tplc="A02098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2DD6BCE"/>
    <w:multiLevelType w:val="hybridMultilevel"/>
    <w:tmpl w:val="143E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7937FC"/>
    <w:multiLevelType w:val="hybridMultilevel"/>
    <w:tmpl w:val="097630F4"/>
    <w:lvl w:ilvl="0" w:tplc="A02098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A2418AB"/>
    <w:multiLevelType w:val="hybridMultilevel"/>
    <w:tmpl w:val="57782556"/>
    <w:lvl w:ilvl="0" w:tplc="FED855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1"/>
  </w:num>
  <w:num w:numId="13">
    <w:abstractNumId w:val="10"/>
  </w:num>
  <w:num w:numId="14">
    <w:abstractNumId w:val="23"/>
  </w:num>
  <w:num w:numId="15">
    <w:abstractNumId w:val="25"/>
  </w:num>
  <w:num w:numId="16">
    <w:abstractNumId w:val="20"/>
  </w:num>
  <w:num w:numId="17">
    <w:abstractNumId w:val="19"/>
  </w:num>
  <w:num w:numId="18">
    <w:abstractNumId w:val="16"/>
  </w:num>
  <w:num w:numId="19">
    <w:abstractNumId w:val="28"/>
  </w:num>
  <w:num w:numId="20">
    <w:abstractNumId w:val="30"/>
  </w:num>
  <w:num w:numId="21">
    <w:abstractNumId w:val="11"/>
  </w:num>
  <w:num w:numId="22">
    <w:abstractNumId w:val="26"/>
  </w:num>
  <w:num w:numId="23">
    <w:abstractNumId w:val="27"/>
  </w:num>
  <w:num w:numId="24">
    <w:abstractNumId w:val="24"/>
  </w:num>
  <w:num w:numId="25">
    <w:abstractNumId w:val="34"/>
  </w:num>
  <w:num w:numId="26">
    <w:abstractNumId w:val="18"/>
  </w:num>
  <w:num w:numId="27">
    <w:abstractNumId w:val="32"/>
  </w:num>
  <w:num w:numId="28">
    <w:abstractNumId w:val="21"/>
  </w:num>
  <w:num w:numId="29">
    <w:abstractNumId w:val="13"/>
  </w:num>
  <w:num w:numId="30">
    <w:abstractNumId w:val="14"/>
  </w:num>
  <w:num w:numId="31">
    <w:abstractNumId w:val="29"/>
  </w:num>
  <w:num w:numId="32">
    <w:abstractNumId w:val="12"/>
  </w:num>
  <w:num w:numId="33">
    <w:abstractNumId w:val="17"/>
  </w:num>
  <w:num w:numId="34">
    <w:abstractNumId w:val="2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numFmt w:val="decimal"/>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15C2"/>
    <w:rsid w:val="00013003"/>
    <w:rsid w:val="0001661C"/>
    <w:rsid w:val="00023095"/>
    <w:rsid w:val="00031044"/>
    <w:rsid w:val="00034A17"/>
    <w:rsid w:val="000372B6"/>
    <w:rsid w:val="00037DC9"/>
    <w:rsid w:val="0004279E"/>
    <w:rsid w:val="00051854"/>
    <w:rsid w:val="000540F1"/>
    <w:rsid w:val="00063123"/>
    <w:rsid w:val="0006422D"/>
    <w:rsid w:val="00064DB8"/>
    <w:rsid w:val="0006564C"/>
    <w:rsid w:val="00065AC7"/>
    <w:rsid w:val="000813ED"/>
    <w:rsid w:val="00085100"/>
    <w:rsid w:val="00087D2E"/>
    <w:rsid w:val="0009259F"/>
    <w:rsid w:val="000A4080"/>
    <w:rsid w:val="000B50FA"/>
    <w:rsid w:val="000C3417"/>
    <w:rsid w:val="000C4B94"/>
    <w:rsid w:val="000C6BA9"/>
    <w:rsid w:val="000D2D73"/>
    <w:rsid w:val="000D454F"/>
    <w:rsid w:val="000E08BE"/>
    <w:rsid w:val="000E287A"/>
    <w:rsid w:val="000E3172"/>
    <w:rsid w:val="000E789F"/>
    <w:rsid w:val="000E7A41"/>
    <w:rsid w:val="000F4B78"/>
    <w:rsid w:val="001101BA"/>
    <w:rsid w:val="0011476E"/>
    <w:rsid w:val="0011480C"/>
    <w:rsid w:val="00115538"/>
    <w:rsid w:val="00122F14"/>
    <w:rsid w:val="00142AF3"/>
    <w:rsid w:val="00150237"/>
    <w:rsid w:val="0015372E"/>
    <w:rsid w:val="001560A5"/>
    <w:rsid w:val="00157ABF"/>
    <w:rsid w:val="00157C50"/>
    <w:rsid w:val="00163A50"/>
    <w:rsid w:val="00163EA3"/>
    <w:rsid w:val="001649CB"/>
    <w:rsid w:val="001672A7"/>
    <w:rsid w:val="00173C78"/>
    <w:rsid w:val="001812E9"/>
    <w:rsid w:val="0018134E"/>
    <w:rsid w:val="0019241B"/>
    <w:rsid w:val="0019610E"/>
    <w:rsid w:val="00196BA9"/>
    <w:rsid w:val="001A32AE"/>
    <w:rsid w:val="001A52EF"/>
    <w:rsid w:val="001B2DD9"/>
    <w:rsid w:val="001B38D8"/>
    <w:rsid w:val="001C071C"/>
    <w:rsid w:val="001D3511"/>
    <w:rsid w:val="001D421F"/>
    <w:rsid w:val="001F0E63"/>
    <w:rsid w:val="001F4E7B"/>
    <w:rsid w:val="001F7254"/>
    <w:rsid w:val="001F733B"/>
    <w:rsid w:val="00201005"/>
    <w:rsid w:val="00204104"/>
    <w:rsid w:val="00206E6E"/>
    <w:rsid w:val="00213471"/>
    <w:rsid w:val="002175D5"/>
    <w:rsid w:val="002271E2"/>
    <w:rsid w:val="00265612"/>
    <w:rsid w:val="0026652E"/>
    <w:rsid w:val="00270EEA"/>
    <w:rsid w:val="00272E2D"/>
    <w:rsid w:val="002769F3"/>
    <w:rsid w:val="00277FBD"/>
    <w:rsid w:val="00287278"/>
    <w:rsid w:val="00287491"/>
    <w:rsid w:val="002915F8"/>
    <w:rsid w:val="00291ABD"/>
    <w:rsid w:val="0029469B"/>
    <w:rsid w:val="002A03EE"/>
    <w:rsid w:val="002A3E3F"/>
    <w:rsid w:val="002B0A33"/>
    <w:rsid w:val="002B55DA"/>
    <w:rsid w:val="002C0161"/>
    <w:rsid w:val="002C1450"/>
    <w:rsid w:val="002C32BD"/>
    <w:rsid w:val="002C7175"/>
    <w:rsid w:val="002F0323"/>
    <w:rsid w:val="002F6093"/>
    <w:rsid w:val="002F63FC"/>
    <w:rsid w:val="00303B38"/>
    <w:rsid w:val="00312710"/>
    <w:rsid w:val="0032132D"/>
    <w:rsid w:val="00322500"/>
    <w:rsid w:val="00327A9E"/>
    <w:rsid w:val="00335846"/>
    <w:rsid w:val="0034719A"/>
    <w:rsid w:val="00351AF9"/>
    <w:rsid w:val="0036101B"/>
    <w:rsid w:val="00362DD7"/>
    <w:rsid w:val="00371CFE"/>
    <w:rsid w:val="0037222B"/>
    <w:rsid w:val="003734FD"/>
    <w:rsid w:val="003741EA"/>
    <w:rsid w:val="00374DBA"/>
    <w:rsid w:val="0038347A"/>
    <w:rsid w:val="00385FC8"/>
    <w:rsid w:val="003870A1"/>
    <w:rsid w:val="003B6A3D"/>
    <w:rsid w:val="003C1704"/>
    <w:rsid w:val="003C2FBB"/>
    <w:rsid w:val="003D7CA4"/>
    <w:rsid w:val="003E0145"/>
    <w:rsid w:val="003E628F"/>
    <w:rsid w:val="003E7D10"/>
    <w:rsid w:val="003F4FED"/>
    <w:rsid w:val="003F631D"/>
    <w:rsid w:val="00405EF9"/>
    <w:rsid w:val="00421F11"/>
    <w:rsid w:val="004230D8"/>
    <w:rsid w:val="004268EE"/>
    <w:rsid w:val="00427E84"/>
    <w:rsid w:val="004411F0"/>
    <w:rsid w:val="004413B2"/>
    <w:rsid w:val="00445902"/>
    <w:rsid w:val="004459E5"/>
    <w:rsid w:val="00452769"/>
    <w:rsid w:val="004531DB"/>
    <w:rsid w:val="004610AA"/>
    <w:rsid w:val="00465B49"/>
    <w:rsid w:val="00466B5D"/>
    <w:rsid w:val="004702D5"/>
    <w:rsid w:val="004755A0"/>
    <w:rsid w:val="00475DAB"/>
    <w:rsid w:val="00480ECB"/>
    <w:rsid w:val="004825E7"/>
    <w:rsid w:val="00482B8A"/>
    <w:rsid w:val="00483D16"/>
    <w:rsid w:val="004850AA"/>
    <w:rsid w:val="00485DEA"/>
    <w:rsid w:val="004908AB"/>
    <w:rsid w:val="00493B4C"/>
    <w:rsid w:val="0049518E"/>
    <w:rsid w:val="00496677"/>
    <w:rsid w:val="00497E01"/>
    <w:rsid w:val="004A03F8"/>
    <w:rsid w:val="004A50D5"/>
    <w:rsid w:val="004A53A2"/>
    <w:rsid w:val="004A6E38"/>
    <w:rsid w:val="004A7725"/>
    <w:rsid w:val="004B01AF"/>
    <w:rsid w:val="004B3783"/>
    <w:rsid w:val="004C4D60"/>
    <w:rsid w:val="004C7811"/>
    <w:rsid w:val="004C796D"/>
    <w:rsid w:val="004D1438"/>
    <w:rsid w:val="004E19CA"/>
    <w:rsid w:val="004E5A4F"/>
    <w:rsid w:val="004E7C51"/>
    <w:rsid w:val="004F15B1"/>
    <w:rsid w:val="004F187E"/>
    <w:rsid w:val="0051127A"/>
    <w:rsid w:val="0052028A"/>
    <w:rsid w:val="00523D3A"/>
    <w:rsid w:val="00523D69"/>
    <w:rsid w:val="00525468"/>
    <w:rsid w:val="005403C8"/>
    <w:rsid w:val="00544862"/>
    <w:rsid w:val="0054642C"/>
    <w:rsid w:val="00561C19"/>
    <w:rsid w:val="00563016"/>
    <w:rsid w:val="00575790"/>
    <w:rsid w:val="005768EB"/>
    <w:rsid w:val="005813A8"/>
    <w:rsid w:val="005927BC"/>
    <w:rsid w:val="005A6654"/>
    <w:rsid w:val="005B4181"/>
    <w:rsid w:val="005E0009"/>
    <w:rsid w:val="005E7313"/>
    <w:rsid w:val="005F5043"/>
    <w:rsid w:val="005F5425"/>
    <w:rsid w:val="00600D43"/>
    <w:rsid w:val="00606C6E"/>
    <w:rsid w:val="00607E59"/>
    <w:rsid w:val="006113E8"/>
    <w:rsid w:val="00613559"/>
    <w:rsid w:val="00617F0A"/>
    <w:rsid w:val="0062145C"/>
    <w:rsid w:val="006261F7"/>
    <w:rsid w:val="00631456"/>
    <w:rsid w:val="006317BF"/>
    <w:rsid w:val="00632C3E"/>
    <w:rsid w:val="00633F4E"/>
    <w:rsid w:val="00640E1F"/>
    <w:rsid w:val="00643685"/>
    <w:rsid w:val="00657901"/>
    <w:rsid w:val="00661CDC"/>
    <w:rsid w:val="00663767"/>
    <w:rsid w:val="00667CC6"/>
    <w:rsid w:val="00674CD3"/>
    <w:rsid w:val="00681B6B"/>
    <w:rsid w:val="00683E12"/>
    <w:rsid w:val="0068444A"/>
    <w:rsid w:val="00690B63"/>
    <w:rsid w:val="00695A5E"/>
    <w:rsid w:val="006A3F30"/>
    <w:rsid w:val="006B57FE"/>
    <w:rsid w:val="006C05BE"/>
    <w:rsid w:val="006C25B3"/>
    <w:rsid w:val="006D090A"/>
    <w:rsid w:val="006D0D5B"/>
    <w:rsid w:val="006D5D60"/>
    <w:rsid w:val="006D691F"/>
    <w:rsid w:val="006E4840"/>
    <w:rsid w:val="006E608D"/>
    <w:rsid w:val="006E6B50"/>
    <w:rsid w:val="006F3489"/>
    <w:rsid w:val="006F63C8"/>
    <w:rsid w:val="0070379E"/>
    <w:rsid w:val="00712BDF"/>
    <w:rsid w:val="00715EED"/>
    <w:rsid w:val="0071679C"/>
    <w:rsid w:val="00717CB1"/>
    <w:rsid w:val="00723FE1"/>
    <w:rsid w:val="007313BE"/>
    <w:rsid w:val="00734A34"/>
    <w:rsid w:val="00734F26"/>
    <w:rsid w:val="00735547"/>
    <w:rsid w:val="00735D23"/>
    <w:rsid w:val="007425E7"/>
    <w:rsid w:val="00742778"/>
    <w:rsid w:val="007431E6"/>
    <w:rsid w:val="00746064"/>
    <w:rsid w:val="00751072"/>
    <w:rsid w:val="00755407"/>
    <w:rsid w:val="00756CEA"/>
    <w:rsid w:val="007621AA"/>
    <w:rsid w:val="00772DCF"/>
    <w:rsid w:val="00780580"/>
    <w:rsid w:val="00785C48"/>
    <w:rsid w:val="007863C8"/>
    <w:rsid w:val="0078669E"/>
    <w:rsid w:val="0078780E"/>
    <w:rsid w:val="00794B22"/>
    <w:rsid w:val="007968BB"/>
    <w:rsid w:val="007A1BB7"/>
    <w:rsid w:val="007B400A"/>
    <w:rsid w:val="007C0781"/>
    <w:rsid w:val="007C316B"/>
    <w:rsid w:val="007C4D5F"/>
    <w:rsid w:val="007D229B"/>
    <w:rsid w:val="007D6176"/>
    <w:rsid w:val="007E61E9"/>
    <w:rsid w:val="00800666"/>
    <w:rsid w:val="00800F63"/>
    <w:rsid w:val="008026FC"/>
    <w:rsid w:val="00802D5C"/>
    <w:rsid w:val="008038A3"/>
    <w:rsid w:val="00815A92"/>
    <w:rsid w:val="00817314"/>
    <w:rsid w:val="00833201"/>
    <w:rsid w:val="008627E8"/>
    <w:rsid w:val="008671CD"/>
    <w:rsid w:val="00875590"/>
    <w:rsid w:val="008800B6"/>
    <w:rsid w:val="0088391E"/>
    <w:rsid w:val="008912FD"/>
    <w:rsid w:val="008925E7"/>
    <w:rsid w:val="0089419E"/>
    <w:rsid w:val="00894AE6"/>
    <w:rsid w:val="008A7B09"/>
    <w:rsid w:val="008B41AB"/>
    <w:rsid w:val="008B485C"/>
    <w:rsid w:val="008C1424"/>
    <w:rsid w:val="008C4342"/>
    <w:rsid w:val="008D6A06"/>
    <w:rsid w:val="008D786E"/>
    <w:rsid w:val="008E40BC"/>
    <w:rsid w:val="008E424C"/>
    <w:rsid w:val="008E4288"/>
    <w:rsid w:val="008E7488"/>
    <w:rsid w:val="008F4918"/>
    <w:rsid w:val="00910C25"/>
    <w:rsid w:val="00913976"/>
    <w:rsid w:val="00915A2A"/>
    <w:rsid w:val="00917159"/>
    <w:rsid w:val="00924660"/>
    <w:rsid w:val="00925F35"/>
    <w:rsid w:val="00932795"/>
    <w:rsid w:val="00940B3C"/>
    <w:rsid w:val="00946382"/>
    <w:rsid w:val="00946A99"/>
    <w:rsid w:val="00952A1E"/>
    <w:rsid w:val="00955438"/>
    <w:rsid w:val="009703DD"/>
    <w:rsid w:val="009738E1"/>
    <w:rsid w:val="00976F75"/>
    <w:rsid w:val="009808B4"/>
    <w:rsid w:val="00981D63"/>
    <w:rsid w:val="009835B0"/>
    <w:rsid w:val="00992D85"/>
    <w:rsid w:val="009C1CED"/>
    <w:rsid w:val="009C4EA0"/>
    <w:rsid w:val="009D0DF2"/>
    <w:rsid w:val="009D1C5D"/>
    <w:rsid w:val="009D70C8"/>
    <w:rsid w:val="009E0CB6"/>
    <w:rsid w:val="009E6D97"/>
    <w:rsid w:val="009F09A4"/>
    <w:rsid w:val="009F5111"/>
    <w:rsid w:val="009F592F"/>
    <w:rsid w:val="009F66C3"/>
    <w:rsid w:val="009F6A2D"/>
    <w:rsid w:val="009F77E4"/>
    <w:rsid w:val="00A005F3"/>
    <w:rsid w:val="00A07A01"/>
    <w:rsid w:val="00A16345"/>
    <w:rsid w:val="00A16829"/>
    <w:rsid w:val="00A1796C"/>
    <w:rsid w:val="00A27DB9"/>
    <w:rsid w:val="00A30CA3"/>
    <w:rsid w:val="00A315D4"/>
    <w:rsid w:val="00A3193D"/>
    <w:rsid w:val="00A32E26"/>
    <w:rsid w:val="00A42A3F"/>
    <w:rsid w:val="00A45B1A"/>
    <w:rsid w:val="00A47615"/>
    <w:rsid w:val="00A51CCE"/>
    <w:rsid w:val="00A52EF0"/>
    <w:rsid w:val="00A66842"/>
    <w:rsid w:val="00A85DF0"/>
    <w:rsid w:val="00A90B03"/>
    <w:rsid w:val="00A913EB"/>
    <w:rsid w:val="00A95B31"/>
    <w:rsid w:val="00AA0B3E"/>
    <w:rsid w:val="00AA6294"/>
    <w:rsid w:val="00AB0210"/>
    <w:rsid w:val="00AB15FF"/>
    <w:rsid w:val="00AB3BE1"/>
    <w:rsid w:val="00AB3E64"/>
    <w:rsid w:val="00AC0D95"/>
    <w:rsid w:val="00AC3970"/>
    <w:rsid w:val="00AC7F56"/>
    <w:rsid w:val="00AD0549"/>
    <w:rsid w:val="00AD4141"/>
    <w:rsid w:val="00AE1AC6"/>
    <w:rsid w:val="00AE6E3F"/>
    <w:rsid w:val="00AF20C4"/>
    <w:rsid w:val="00B04EC5"/>
    <w:rsid w:val="00B06050"/>
    <w:rsid w:val="00B06858"/>
    <w:rsid w:val="00B15D4C"/>
    <w:rsid w:val="00B264B5"/>
    <w:rsid w:val="00B32BB4"/>
    <w:rsid w:val="00B32DF4"/>
    <w:rsid w:val="00B43C19"/>
    <w:rsid w:val="00B51FAB"/>
    <w:rsid w:val="00B52BEB"/>
    <w:rsid w:val="00B5438E"/>
    <w:rsid w:val="00B60D95"/>
    <w:rsid w:val="00B647A8"/>
    <w:rsid w:val="00B70F50"/>
    <w:rsid w:val="00B76C32"/>
    <w:rsid w:val="00B8043C"/>
    <w:rsid w:val="00B8368C"/>
    <w:rsid w:val="00B83792"/>
    <w:rsid w:val="00B84CB6"/>
    <w:rsid w:val="00B859DE"/>
    <w:rsid w:val="00B91FED"/>
    <w:rsid w:val="00BA5340"/>
    <w:rsid w:val="00BB0004"/>
    <w:rsid w:val="00BB6C37"/>
    <w:rsid w:val="00BC24DD"/>
    <w:rsid w:val="00BC4C79"/>
    <w:rsid w:val="00BC75FD"/>
    <w:rsid w:val="00BC7F76"/>
    <w:rsid w:val="00BD63FB"/>
    <w:rsid w:val="00BE31EA"/>
    <w:rsid w:val="00BE7565"/>
    <w:rsid w:val="00BF0161"/>
    <w:rsid w:val="00BF183C"/>
    <w:rsid w:val="00C231E2"/>
    <w:rsid w:val="00C31A02"/>
    <w:rsid w:val="00C36967"/>
    <w:rsid w:val="00C41384"/>
    <w:rsid w:val="00C42F6D"/>
    <w:rsid w:val="00C5343B"/>
    <w:rsid w:val="00C60B5B"/>
    <w:rsid w:val="00C626EA"/>
    <w:rsid w:val="00C639B4"/>
    <w:rsid w:val="00C63E6F"/>
    <w:rsid w:val="00C71E53"/>
    <w:rsid w:val="00C727C1"/>
    <w:rsid w:val="00C74BCA"/>
    <w:rsid w:val="00C74BCB"/>
    <w:rsid w:val="00C80C8A"/>
    <w:rsid w:val="00C867C6"/>
    <w:rsid w:val="00C952D9"/>
    <w:rsid w:val="00C97749"/>
    <w:rsid w:val="00CA255B"/>
    <w:rsid w:val="00CA5DB6"/>
    <w:rsid w:val="00CA75E7"/>
    <w:rsid w:val="00CB52BD"/>
    <w:rsid w:val="00CC1164"/>
    <w:rsid w:val="00CC15C2"/>
    <w:rsid w:val="00CC52B1"/>
    <w:rsid w:val="00CC58D7"/>
    <w:rsid w:val="00CD19A9"/>
    <w:rsid w:val="00CE2870"/>
    <w:rsid w:val="00CF2F47"/>
    <w:rsid w:val="00D00487"/>
    <w:rsid w:val="00D050FC"/>
    <w:rsid w:val="00D14D61"/>
    <w:rsid w:val="00D14F83"/>
    <w:rsid w:val="00D176F5"/>
    <w:rsid w:val="00D27ECA"/>
    <w:rsid w:val="00D3267B"/>
    <w:rsid w:val="00D40A41"/>
    <w:rsid w:val="00D41C9D"/>
    <w:rsid w:val="00D4684D"/>
    <w:rsid w:val="00D4691B"/>
    <w:rsid w:val="00D52653"/>
    <w:rsid w:val="00D52F5A"/>
    <w:rsid w:val="00D664A3"/>
    <w:rsid w:val="00D7038E"/>
    <w:rsid w:val="00DA23D7"/>
    <w:rsid w:val="00DA5561"/>
    <w:rsid w:val="00DB18A5"/>
    <w:rsid w:val="00DB49E3"/>
    <w:rsid w:val="00DB5935"/>
    <w:rsid w:val="00DC45AD"/>
    <w:rsid w:val="00DC4733"/>
    <w:rsid w:val="00DD14E3"/>
    <w:rsid w:val="00DD2A32"/>
    <w:rsid w:val="00DD4E4B"/>
    <w:rsid w:val="00DE0D90"/>
    <w:rsid w:val="00DE2BC1"/>
    <w:rsid w:val="00DE392B"/>
    <w:rsid w:val="00DE6189"/>
    <w:rsid w:val="00DF1B70"/>
    <w:rsid w:val="00DF4374"/>
    <w:rsid w:val="00DF584F"/>
    <w:rsid w:val="00E06B25"/>
    <w:rsid w:val="00E07DB2"/>
    <w:rsid w:val="00E20CDE"/>
    <w:rsid w:val="00E421AE"/>
    <w:rsid w:val="00E46FCA"/>
    <w:rsid w:val="00E53D9D"/>
    <w:rsid w:val="00E6661C"/>
    <w:rsid w:val="00E677C8"/>
    <w:rsid w:val="00E74076"/>
    <w:rsid w:val="00E86FFD"/>
    <w:rsid w:val="00E8709A"/>
    <w:rsid w:val="00E93EE8"/>
    <w:rsid w:val="00EA21EB"/>
    <w:rsid w:val="00EA38F0"/>
    <w:rsid w:val="00EA5543"/>
    <w:rsid w:val="00EA6E9D"/>
    <w:rsid w:val="00EB2298"/>
    <w:rsid w:val="00EB4D4D"/>
    <w:rsid w:val="00EC2046"/>
    <w:rsid w:val="00EC285D"/>
    <w:rsid w:val="00EC3F56"/>
    <w:rsid w:val="00ED1133"/>
    <w:rsid w:val="00ED4AB0"/>
    <w:rsid w:val="00EE3C04"/>
    <w:rsid w:val="00EE5E9F"/>
    <w:rsid w:val="00EF01A0"/>
    <w:rsid w:val="00EF309D"/>
    <w:rsid w:val="00EF7569"/>
    <w:rsid w:val="00F134B9"/>
    <w:rsid w:val="00F16F2B"/>
    <w:rsid w:val="00F22AA0"/>
    <w:rsid w:val="00F2728B"/>
    <w:rsid w:val="00F437A1"/>
    <w:rsid w:val="00F44FC7"/>
    <w:rsid w:val="00F53C3B"/>
    <w:rsid w:val="00F6128B"/>
    <w:rsid w:val="00F64DCE"/>
    <w:rsid w:val="00F64EC3"/>
    <w:rsid w:val="00F7240B"/>
    <w:rsid w:val="00F94701"/>
    <w:rsid w:val="00F9559B"/>
    <w:rsid w:val="00F95CB2"/>
    <w:rsid w:val="00F97957"/>
    <w:rsid w:val="00FA620A"/>
    <w:rsid w:val="00FA7A85"/>
    <w:rsid w:val="00FB6788"/>
    <w:rsid w:val="00FB7FC0"/>
    <w:rsid w:val="00FC2BB7"/>
    <w:rsid w:val="00FC65FE"/>
    <w:rsid w:val="00FD1BB7"/>
    <w:rsid w:val="00FD1FDB"/>
    <w:rsid w:val="00FD3823"/>
    <w:rsid w:val="00FE2585"/>
    <w:rsid w:val="00FE4104"/>
    <w:rsid w:val="00FE5ACA"/>
    <w:rsid w:val="00FF39AA"/>
    <w:rsid w:val="00FF3DB6"/>
    <w:rsid w:val="00FF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1A02"/>
    <w:pPr>
      <w:widowControl w:val="0"/>
      <w:autoSpaceDE w:val="0"/>
      <w:autoSpaceDN w:val="0"/>
      <w:adjustRightInd w:val="0"/>
    </w:pPr>
    <w:rPr>
      <w:rFonts w:ascii="Courier" w:hAnsi="Courier"/>
      <w:szCs w:val="24"/>
    </w:rPr>
  </w:style>
  <w:style w:type="paragraph" w:styleId="Heading1">
    <w:name w:val="heading 1"/>
    <w:basedOn w:val="Normal"/>
    <w:next w:val="Normal"/>
    <w:qFormat/>
    <w:rsid w:val="00C31A02"/>
    <w:pPr>
      <w:tabs>
        <w:tab w:val="left" w:pos="-1440"/>
      </w:tabs>
      <w:ind w:left="720" w:hanging="720"/>
      <w:outlineLvl w:val="0"/>
    </w:pPr>
    <w:rPr>
      <w:rFonts w:ascii="Times New Roman" w:hAnsi="Times New Roman"/>
      <w:sz w:val="24"/>
      <w:u w:val="single"/>
    </w:rPr>
  </w:style>
  <w:style w:type="paragraph" w:styleId="Heading2">
    <w:name w:val="heading 2"/>
    <w:basedOn w:val="Normal"/>
    <w:next w:val="Normal"/>
    <w:link w:val="Heading2Char"/>
    <w:autoRedefine/>
    <w:unhideWhenUsed/>
    <w:qFormat/>
    <w:rsid w:val="00AE1AC6"/>
    <w:pPr>
      <w:tabs>
        <w:tab w:val="left" w:pos="-1440"/>
      </w:tabs>
      <w:ind w:left="720" w:hanging="720"/>
      <w:outlineLvl w:val="1"/>
    </w:pPr>
    <w:rPr>
      <w:rFonts w:ascii="Times New Roman" w:hAnsi="Times New Roman"/>
      <w:sz w:val="24"/>
    </w:rPr>
  </w:style>
  <w:style w:type="paragraph" w:styleId="Heading3">
    <w:name w:val="heading 3"/>
    <w:basedOn w:val="Normal"/>
    <w:next w:val="Normal"/>
    <w:link w:val="Heading3Char"/>
    <w:semiHidden/>
    <w:unhideWhenUsed/>
    <w:qFormat/>
    <w:rsid w:val="00B5438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Style 19,Style 16,fr,Style 35,Style 39,Style 14,12,Style 6,Footnote Reference Superscript,SUPERS,BVI fnr,Footnote symbol,(Footnote Reference),Footnote reference number,note TESI,EN Footnote Reference,Voetnootverwijzing,Footnote"/>
    <w:qFormat/>
  </w:style>
  <w:style w:type="paragraph" w:styleId="FootnoteText">
    <w:name w:val="footnote text"/>
    <w:basedOn w:val="Normal"/>
    <w:link w:val="FootnoteTextChar"/>
    <w:semiHidden/>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ind w:firstLine="720"/>
    </w:pPr>
    <w:rPr>
      <w:rFonts w:ascii="Times New Roman" w:hAnsi="Times New Roman"/>
      <w:sz w:val="24"/>
    </w:rPr>
  </w:style>
  <w:style w:type="character" w:styleId="PageNumber">
    <w:name w:val="page number"/>
    <w:basedOn w:val="DefaultParagraphFont"/>
  </w:style>
  <w:style w:type="paragraph" w:styleId="BalloonText">
    <w:name w:val="Balloon Text"/>
    <w:basedOn w:val="Normal"/>
    <w:semiHidden/>
    <w:rsid w:val="00DE2BC1"/>
    <w:rPr>
      <w:rFonts w:ascii="Tahoma" w:hAnsi="Tahoma" w:cs="Tahoma"/>
      <w:sz w:val="16"/>
      <w:szCs w:val="16"/>
    </w:rPr>
  </w:style>
  <w:style w:type="character" w:styleId="CommentReference">
    <w:name w:val="annotation reference"/>
    <w:rsid w:val="00DB18A5"/>
    <w:rPr>
      <w:sz w:val="16"/>
      <w:szCs w:val="16"/>
    </w:rPr>
  </w:style>
  <w:style w:type="paragraph" w:styleId="CommentText">
    <w:name w:val="annotation text"/>
    <w:basedOn w:val="Normal"/>
    <w:link w:val="CommentTextChar"/>
    <w:rsid w:val="00DB18A5"/>
    <w:rPr>
      <w:szCs w:val="20"/>
    </w:rPr>
  </w:style>
  <w:style w:type="character" w:customStyle="1" w:styleId="CommentTextChar">
    <w:name w:val="Comment Text Char"/>
    <w:link w:val="CommentText"/>
    <w:rsid w:val="00DB18A5"/>
    <w:rPr>
      <w:rFonts w:ascii="Courier" w:hAnsi="Courier"/>
    </w:rPr>
  </w:style>
  <w:style w:type="paragraph" w:styleId="CommentSubject">
    <w:name w:val="annotation subject"/>
    <w:basedOn w:val="CommentText"/>
    <w:next w:val="CommentText"/>
    <w:link w:val="CommentSubjectChar"/>
    <w:rsid w:val="00DB18A5"/>
    <w:rPr>
      <w:b/>
      <w:bCs/>
    </w:rPr>
  </w:style>
  <w:style w:type="character" w:customStyle="1" w:styleId="CommentSubjectChar">
    <w:name w:val="Comment Subject Char"/>
    <w:link w:val="CommentSubject"/>
    <w:rsid w:val="00DB18A5"/>
    <w:rPr>
      <w:rFonts w:ascii="Courier" w:hAnsi="Courier"/>
      <w:b/>
      <w:bCs/>
    </w:rPr>
  </w:style>
  <w:style w:type="paragraph" w:styleId="Title">
    <w:name w:val="Title"/>
    <w:basedOn w:val="Heading1"/>
    <w:next w:val="Normal"/>
    <w:link w:val="TitleChar"/>
    <w:qFormat/>
    <w:rsid w:val="00C31A02"/>
  </w:style>
  <w:style w:type="character" w:customStyle="1" w:styleId="BodyTextIndentChar">
    <w:name w:val="Body Text Indent Char"/>
    <w:link w:val="BodyTextIndent"/>
    <w:rsid w:val="00C31A02"/>
    <w:rPr>
      <w:sz w:val="24"/>
      <w:szCs w:val="24"/>
    </w:rPr>
  </w:style>
  <w:style w:type="character" w:customStyle="1" w:styleId="TitleChar">
    <w:name w:val="Title Char"/>
    <w:link w:val="Title"/>
    <w:rsid w:val="00C31A02"/>
    <w:rPr>
      <w:sz w:val="24"/>
      <w:szCs w:val="24"/>
      <w:u w:val="single"/>
    </w:rPr>
  </w:style>
  <w:style w:type="character" w:customStyle="1" w:styleId="Heading2Char">
    <w:name w:val="Heading 2 Char"/>
    <w:link w:val="Heading2"/>
    <w:rsid w:val="00AE1AC6"/>
    <w:rPr>
      <w:sz w:val="24"/>
      <w:szCs w:val="24"/>
    </w:rPr>
  </w:style>
  <w:style w:type="character" w:customStyle="1" w:styleId="FootnoteTextChar">
    <w:name w:val="Footnote Text Char"/>
    <w:link w:val="FootnoteText"/>
    <w:semiHidden/>
    <w:rsid w:val="00B859DE"/>
    <w:rPr>
      <w:rFonts w:ascii="Courier" w:hAnsi="Courier"/>
    </w:rPr>
  </w:style>
  <w:style w:type="character" w:customStyle="1" w:styleId="tgc">
    <w:name w:val="_tgc"/>
    <w:rsid w:val="008912FD"/>
  </w:style>
  <w:style w:type="paragraph" w:styleId="ListParagraph">
    <w:name w:val="List Paragraph"/>
    <w:basedOn w:val="Normal"/>
    <w:uiPriority w:val="34"/>
    <w:qFormat/>
    <w:rsid w:val="00287278"/>
    <w:pPr>
      <w:widowControl/>
      <w:autoSpaceDE/>
      <w:autoSpaceDN/>
      <w:adjustRightInd/>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7621A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B2DD9"/>
    <w:rPr>
      <w:rFonts w:ascii="Courier" w:hAnsi="Courier"/>
      <w:szCs w:val="24"/>
    </w:rPr>
  </w:style>
  <w:style w:type="character" w:styleId="Hyperlink">
    <w:name w:val="Hyperlink"/>
    <w:basedOn w:val="DefaultParagraphFont"/>
    <w:rsid w:val="003870A1"/>
    <w:rPr>
      <w:color w:val="0000FF" w:themeColor="hyperlink"/>
      <w:u w:val="single"/>
    </w:rPr>
  </w:style>
  <w:style w:type="paragraph" w:styleId="BodyText">
    <w:name w:val="Body Text"/>
    <w:basedOn w:val="Normal"/>
    <w:link w:val="BodyTextChar"/>
    <w:uiPriority w:val="99"/>
    <w:unhideWhenUsed/>
    <w:rsid w:val="00B5438E"/>
    <w:pPr>
      <w:widowControl/>
      <w:autoSpaceDE/>
      <w:autoSpaceDN/>
      <w:adjustRightInd/>
      <w:spacing w:after="120" w:line="480" w:lineRule="auto"/>
    </w:pPr>
    <w:rPr>
      <w:rFonts w:ascii="Times New Roman" w:eastAsia="MS Mincho" w:hAnsi="Times New Roman"/>
      <w:sz w:val="24"/>
    </w:rPr>
  </w:style>
  <w:style w:type="character" w:customStyle="1" w:styleId="BodyTextChar">
    <w:name w:val="Body Text Char"/>
    <w:basedOn w:val="DefaultParagraphFont"/>
    <w:link w:val="BodyText"/>
    <w:uiPriority w:val="99"/>
    <w:rsid w:val="00B5438E"/>
    <w:rPr>
      <w:rFonts w:eastAsia="MS Mincho"/>
      <w:sz w:val="24"/>
      <w:szCs w:val="24"/>
    </w:rPr>
  </w:style>
  <w:style w:type="character" w:customStyle="1" w:styleId="Heading3Char">
    <w:name w:val="Heading 3 Char"/>
    <w:basedOn w:val="DefaultParagraphFont"/>
    <w:link w:val="Heading3"/>
    <w:semiHidden/>
    <w:rsid w:val="00B5438E"/>
    <w:rPr>
      <w:rFonts w:asciiTheme="majorHAnsi" w:eastAsiaTheme="majorEastAsia" w:hAnsiTheme="majorHAnsi" w:cstheme="majorBidi"/>
      <w:b/>
      <w:bCs/>
      <w:color w:val="4F81BD" w:themeColor="accent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1A02"/>
    <w:pPr>
      <w:widowControl w:val="0"/>
      <w:autoSpaceDE w:val="0"/>
      <w:autoSpaceDN w:val="0"/>
      <w:adjustRightInd w:val="0"/>
    </w:pPr>
    <w:rPr>
      <w:rFonts w:ascii="Courier" w:hAnsi="Courier"/>
      <w:szCs w:val="24"/>
    </w:rPr>
  </w:style>
  <w:style w:type="paragraph" w:styleId="Heading1">
    <w:name w:val="heading 1"/>
    <w:basedOn w:val="Normal"/>
    <w:next w:val="Normal"/>
    <w:qFormat/>
    <w:rsid w:val="00C31A02"/>
    <w:pPr>
      <w:tabs>
        <w:tab w:val="left" w:pos="-1440"/>
      </w:tabs>
      <w:ind w:left="720" w:hanging="720"/>
      <w:outlineLvl w:val="0"/>
    </w:pPr>
    <w:rPr>
      <w:rFonts w:ascii="Times New Roman" w:hAnsi="Times New Roman"/>
      <w:sz w:val="24"/>
      <w:u w:val="single"/>
    </w:rPr>
  </w:style>
  <w:style w:type="paragraph" w:styleId="Heading2">
    <w:name w:val="heading 2"/>
    <w:basedOn w:val="Normal"/>
    <w:next w:val="Normal"/>
    <w:link w:val="Heading2Char"/>
    <w:autoRedefine/>
    <w:unhideWhenUsed/>
    <w:qFormat/>
    <w:rsid w:val="00AE1AC6"/>
    <w:pPr>
      <w:tabs>
        <w:tab w:val="left" w:pos="-1440"/>
      </w:tabs>
      <w:ind w:left="720" w:hanging="720"/>
      <w:outlineLvl w:val="1"/>
    </w:pPr>
    <w:rPr>
      <w:rFonts w:ascii="Times New Roman" w:hAnsi="Times New Roman"/>
      <w:sz w:val="24"/>
    </w:rPr>
  </w:style>
  <w:style w:type="paragraph" w:styleId="Heading3">
    <w:name w:val="heading 3"/>
    <w:basedOn w:val="Normal"/>
    <w:next w:val="Normal"/>
    <w:link w:val="Heading3Char"/>
    <w:semiHidden/>
    <w:unhideWhenUsed/>
    <w:qFormat/>
    <w:rsid w:val="00B5438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Style 19,Style 16,fr,Style 35,Style 39,Style 14,12,Style 6,Footnote Reference Superscript,SUPERS,BVI fnr,Footnote symbol,(Footnote Reference),Footnote reference number,note TESI,EN Footnote Reference,Voetnootverwijzing,Footnote"/>
    <w:qFormat/>
  </w:style>
  <w:style w:type="paragraph" w:styleId="FootnoteText">
    <w:name w:val="footnote text"/>
    <w:basedOn w:val="Normal"/>
    <w:link w:val="FootnoteTextChar"/>
    <w:semiHidden/>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ind w:firstLine="720"/>
    </w:pPr>
    <w:rPr>
      <w:rFonts w:ascii="Times New Roman" w:hAnsi="Times New Roman"/>
      <w:sz w:val="24"/>
    </w:rPr>
  </w:style>
  <w:style w:type="character" w:styleId="PageNumber">
    <w:name w:val="page number"/>
    <w:basedOn w:val="DefaultParagraphFont"/>
  </w:style>
  <w:style w:type="paragraph" w:styleId="BalloonText">
    <w:name w:val="Balloon Text"/>
    <w:basedOn w:val="Normal"/>
    <w:semiHidden/>
    <w:rsid w:val="00DE2BC1"/>
    <w:rPr>
      <w:rFonts w:ascii="Tahoma" w:hAnsi="Tahoma" w:cs="Tahoma"/>
      <w:sz w:val="16"/>
      <w:szCs w:val="16"/>
    </w:rPr>
  </w:style>
  <w:style w:type="character" w:styleId="CommentReference">
    <w:name w:val="annotation reference"/>
    <w:rsid w:val="00DB18A5"/>
    <w:rPr>
      <w:sz w:val="16"/>
      <w:szCs w:val="16"/>
    </w:rPr>
  </w:style>
  <w:style w:type="paragraph" w:styleId="CommentText">
    <w:name w:val="annotation text"/>
    <w:basedOn w:val="Normal"/>
    <w:link w:val="CommentTextChar"/>
    <w:rsid w:val="00DB18A5"/>
    <w:rPr>
      <w:szCs w:val="20"/>
    </w:rPr>
  </w:style>
  <w:style w:type="character" w:customStyle="1" w:styleId="CommentTextChar">
    <w:name w:val="Comment Text Char"/>
    <w:link w:val="CommentText"/>
    <w:rsid w:val="00DB18A5"/>
    <w:rPr>
      <w:rFonts w:ascii="Courier" w:hAnsi="Courier"/>
    </w:rPr>
  </w:style>
  <w:style w:type="paragraph" w:styleId="CommentSubject">
    <w:name w:val="annotation subject"/>
    <w:basedOn w:val="CommentText"/>
    <w:next w:val="CommentText"/>
    <w:link w:val="CommentSubjectChar"/>
    <w:rsid w:val="00DB18A5"/>
    <w:rPr>
      <w:b/>
      <w:bCs/>
    </w:rPr>
  </w:style>
  <w:style w:type="character" w:customStyle="1" w:styleId="CommentSubjectChar">
    <w:name w:val="Comment Subject Char"/>
    <w:link w:val="CommentSubject"/>
    <w:rsid w:val="00DB18A5"/>
    <w:rPr>
      <w:rFonts w:ascii="Courier" w:hAnsi="Courier"/>
      <w:b/>
      <w:bCs/>
    </w:rPr>
  </w:style>
  <w:style w:type="paragraph" w:styleId="Title">
    <w:name w:val="Title"/>
    <w:basedOn w:val="Heading1"/>
    <w:next w:val="Normal"/>
    <w:link w:val="TitleChar"/>
    <w:qFormat/>
    <w:rsid w:val="00C31A02"/>
  </w:style>
  <w:style w:type="character" w:customStyle="1" w:styleId="BodyTextIndentChar">
    <w:name w:val="Body Text Indent Char"/>
    <w:link w:val="BodyTextIndent"/>
    <w:rsid w:val="00C31A02"/>
    <w:rPr>
      <w:sz w:val="24"/>
      <w:szCs w:val="24"/>
    </w:rPr>
  </w:style>
  <w:style w:type="character" w:customStyle="1" w:styleId="TitleChar">
    <w:name w:val="Title Char"/>
    <w:link w:val="Title"/>
    <w:rsid w:val="00C31A02"/>
    <w:rPr>
      <w:sz w:val="24"/>
      <w:szCs w:val="24"/>
      <w:u w:val="single"/>
    </w:rPr>
  </w:style>
  <w:style w:type="character" w:customStyle="1" w:styleId="Heading2Char">
    <w:name w:val="Heading 2 Char"/>
    <w:link w:val="Heading2"/>
    <w:rsid w:val="00AE1AC6"/>
    <w:rPr>
      <w:sz w:val="24"/>
      <w:szCs w:val="24"/>
    </w:rPr>
  </w:style>
  <w:style w:type="character" w:customStyle="1" w:styleId="FootnoteTextChar">
    <w:name w:val="Footnote Text Char"/>
    <w:link w:val="FootnoteText"/>
    <w:semiHidden/>
    <w:rsid w:val="00B859DE"/>
    <w:rPr>
      <w:rFonts w:ascii="Courier" w:hAnsi="Courier"/>
    </w:rPr>
  </w:style>
  <w:style w:type="character" w:customStyle="1" w:styleId="tgc">
    <w:name w:val="_tgc"/>
    <w:rsid w:val="008912FD"/>
  </w:style>
  <w:style w:type="paragraph" w:styleId="ListParagraph">
    <w:name w:val="List Paragraph"/>
    <w:basedOn w:val="Normal"/>
    <w:uiPriority w:val="34"/>
    <w:qFormat/>
    <w:rsid w:val="00287278"/>
    <w:pPr>
      <w:widowControl/>
      <w:autoSpaceDE/>
      <w:autoSpaceDN/>
      <w:adjustRightInd/>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7621A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B2DD9"/>
    <w:rPr>
      <w:rFonts w:ascii="Courier" w:hAnsi="Courier"/>
      <w:szCs w:val="24"/>
    </w:rPr>
  </w:style>
  <w:style w:type="character" w:styleId="Hyperlink">
    <w:name w:val="Hyperlink"/>
    <w:basedOn w:val="DefaultParagraphFont"/>
    <w:rsid w:val="003870A1"/>
    <w:rPr>
      <w:color w:val="0000FF" w:themeColor="hyperlink"/>
      <w:u w:val="single"/>
    </w:rPr>
  </w:style>
  <w:style w:type="paragraph" w:styleId="BodyText">
    <w:name w:val="Body Text"/>
    <w:basedOn w:val="Normal"/>
    <w:link w:val="BodyTextChar"/>
    <w:uiPriority w:val="99"/>
    <w:unhideWhenUsed/>
    <w:rsid w:val="00B5438E"/>
    <w:pPr>
      <w:widowControl/>
      <w:autoSpaceDE/>
      <w:autoSpaceDN/>
      <w:adjustRightInd/>
      <w:spacing w:after="120" w:line="480" w:lineRule="auto"/>
    </w:pPr>
    <w:rPr>
      <w:rFonts w:ascii="Times New Roman" w:eastAsia="MS Mincho" w:hAnsi="Times New Roman"/>
      <w:sz w:val="24"/>
    </w:rPr>
  </w:style>
  <w:style w:type="character" w:customStyle="1" w:styleId="BodyTextChar">
    <w:name w:val="Body Text Char"/>
    <w:basedOn w:val="DefaultParagraphFont"/>
    <w:link w:val="BodyText"/>
    <w:uiPriority w:val="99"/>
    <w:rsid w:val="00B5438E"/>
    <w:rPr>
      <w:rFonts w:eastAsia="MS Mincho"/>
      <w:sz w:val="24"/>
      <w:szCs w:val="24"/>
    </w:rPr>
  </w:style>
  <w:style w:type="character" w:customStyle="1" w:styleId="Heading3Char">
    <w:name w:val="Heading 3 Char"/>
    <w:basedOn w:val="DefaultParagraphFont"/>
    <w:link w:val="Heading3"/>
    <w:semiHidden/>
    <w:rsid w:val="00B5438E"/>
    <w:rPr>
      <w:rFonts w:asciiTheme="majorHAnsi" w:eastAsiaTheme="majorEastAsia" w:hAnsiTheme="majorHAnsi" w:cstheme="majorBidi"/>
      <w:b/>
      <w:bCs/>
      <w:color w:val="4F81BD"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9605">
      <w:bodyDiv w:val="1"/>
      <w:marLeft w:val="0"/>
      <w:marRight w:val="0"/>
      <w:marTop w:val="0"/>
      <w:marBottom w:val="0"/>
      <w:divBdr>
        <w:top w:val="none" w:sz="0" w:space="0" w:color="auto"/>
        <w:left w:val="none" w:sz="0" w:space="0" w:color="auto"/>
        <w:bottom w:val="none" w:sz="0" w:space="0" w:color="auto"/>
        <w:right w:val="none" w:sz="0" w:space="0" w:color="auto"/>
      </w:divBdr>
    </w:div>
    <w:div w:id="32772201">
      <w:bodyDiv w:val="1"/>
      <w:marLeft w:val="0"/>
      <w:marRight w:val="0"/>
      <w:marTop w:val="0"/>
      <w:marBottom w:val="0"/>
      <w:divBdr>
        <w:top w:val="none" w:sz="0" w:space="0" w:color="auto"/>
        <w:left w:val="none" w:sz="0" w:space="0" w:color="auto"/>
        <w:bottom w:val="none" w:sz="0" w:space="0" w:color="auto"/>
        <w:right w:val="none" w:sz="0" w:space="0" w:color="auto"/>
      </w:divBdr>
    </w:div>
    <w:div w:id="33847508">
      <w:bodyDiv w:val="1"/>
      <w:marLeft w:val="0"/>
      <w:marRight w:val="0"/>
      <w:marTop w:val="0"/>
      <w:marBottom w:val="0"/>
      <w:divBdr>
        <w:top w:val="none" w:sz="0" w:space="0" w:color="auto"/>
        <w:left w:val="none" w:sz="0" w:space="0" w:color="auto"/>
        <w:bottom w:val="none" w:sz="0" w:space="0" w:color="auto"/>
        <w:right w:val="none" w:sz="0" w:space="0" w:color="auto"/>
      </w:divBdr>
    </w:div>
    <w:div w:id="39062833">
      <w:bodyDiv w:val="1"/>
      <w:marLeft w:val="0"/>
      <w:marRight w:val="0"/>
      <w:marTop w:val="0"/>
      <w:marBottom w:val="0"/>
      <w:divBdr>
        <w:top w:val="none" w:sz="0" w:space="0" w:color="auto"/>
        <w:left w:val="none" w:sz="0" w:space="0" w:color="auto"/>
        <w:bottom w:val="none" w:sz="0" w:space="0" w:color="auto"/>
        <w:right w:val="none" w:sz="0" w:space="0" w:color="auto"/>
      </w:divBdr>
    </w:div>
    <w:div w:id="76632080">
      <w:bodyDiv w:val="1"/>
      <w:marLeft w:val="0"/>
      <w:marRight w:val="0"/>
      <w:marTop w:val="0"/>
      <w:marBottom w:val="0"/>
      <w:divBdr>
        <w:top w:val="none" w:sz="0" w:space="0" w:color="auto"/>
        <w:left w:val="none" w:sz="0" w:space="0" w:color="auto"/>
        <w:bottom w:val="none" w:sz="0" w:space="0" w:color="auto"/>
        <w:right w:val="none" w:sz="0" w:space="0" w:color="auto"/>
      </w:divBdr>
    </w:div>
    <w:div w:id="92289067">
      <w:bodyDiv w:val="1"/>
      <w:marLeft w:val="0"/>
      <w:marRight w:val="0"/>
      <w:marTop w:val="0"/>
      <w:marBottom w:val="0"/>
      <w:divBdr>
        <w:top w:val="none" w:sz="0" w:space="0" w:color="auto"/>
        <w:left w:val="none" w:sz="0" w:space="0" w:color="auto"/>
        <w:bottom w:val="none" w:sz="0" w:space="0" w:color="auto"/>
        <w:right w:val="none" w:sz="0" w:space="0" w:color="auto"/>
      </w:divBdr>
    </w:div>
    <w:div w:id="116073290">
      <w:bodyDiv w:val="1"/>
      <w:marLeft w:val="0"/>
      <w:marRight w:val="0"/>
      <w:marTop w:val="0"/>
      <w:marBottom w:val="0"/>
      <w:divBdr>
        <w:top w:val="none" w:sz="0" w:space="0" w:color="auto"/>
        <w:left w:val="none" w:sz="0" w:space="0" w:color="auto"/>
        <w:bottom w:val="none" w:sz="0" w:space="0" w:color="auto"/>
        <w:right w:val="none" w:sz="0" w:space="0" w:color="auto"/>
      </w:divBdr>
    </w:div>
    <w:div w:id="168758885">
      <w:bodyDiv w:val="1"/>
      <w:marLeft w:val="0"/>
      <w:marRight w:val="0"/>
      <w:marTop w:val="0"/>
      <w:marBottom w:val="0"/>
      <w:divBdr>
        <w:top w:val="none" w:sz="0" w:space="0" w:color="auto"/>
        <w:left w:val="none" w:sz="0" w:space="0" w:color="auto"/>
        <w:bottom w:val="none" w:sz="0" w:space="0" w:color="auto"/>
        <w:right w:val="none" w:sz="0" w:space="0" w:color="auto"/>
      </w:divBdr>
    </w:div>
    <w:div w:id="171184638">
      <w:bodyDiv w:val="1"/>
      <w:marLeft w:val="0"/>
      <w:marRight w:val="0"/>
      <w:marTop w:val="0"/>
      <w:marBottom w:val="0"/>
      <w:divBdr>
        <w:top w:val="none" w:sz="0" w:space="0" w:color="auto"/>
        <w:left w:val="none" w:sz="0" w:space="0" w:color="auto"/>
        <w:bottom w:val="none" w:sz="0" w:space="0" w:color="auto"/>
        <w:right w:val="none" w:sz="0" w:space="0" w:color="auto"/>
      </w:divBdr>
    </w:div>
    <w:div w:id="213516462">
      <w:bodyDiv w:val="1"/>
      <w:marLeft w:val="0"/>
      <w:marRight w:val="0"/>
      <w:marTop w:val="0"/>
      <w:marBottom w:val="0"/>
      <w:divBdr>
        <w:top w:val="none" w:sz="0" w:space="0" w:color="auto"/>
        <w:left w:val="none" w:sz="0" w:space="0" w:color="auto"/>
        <w:bottom w:val="none" w:sz="0" w:space="0" w:color="auto"/>
        <w:right w:val="none" w:sz="0" w:space="0" w:color="auto"/>
      </w:divBdr>
    </w:div>
    <w:div w:id="214314345">
      <w:bodyDiv w:val="1"/>
      <w:marLeft w:val="0"/>
      <w:marRight w:val="0"/>
      <w:marTop w:val="0"/>
      <w:marBottom w:val="0"/>
      <w:divBdr>
        <w:top w:val="none" w:sz="0" w:space="0" w:color="auto"/>
        <w:left w:val="none" w:sz="0" w:space="0" w:color="auto"/>
        <w:bottom w:val="none" w:sz="0" w:space="0" w:color="auto"/>
        <w:right w:val="none" w:sz="0" w:space="0" w:color="auto"/>
      </w:divBdr>
    </w:div>
    <w:div w:id="220289089">
      <w:bodyDiv w:val="1"/>
      <w:marLeft w:val="0"/>
      <w:marRight w:val="0"/>
      <w:marTop w:val="0"/>
      <w:marBottom w:val="0"/>
      <w:divBdr>
        <w:top w:val="none" w:sz="0" w:space="0" w:color="auto"/>
        <w:left w:val="none" w:sz="0" w:space="0" w:color="auto"/>
        <w:bottom w:val="none" w:sz="0" w:space="0" w:color="auto"/>
        <w:right w:val="none" w:sz="0" w:space="0" w:color="auto"/>
      </w:divBdr>
    </w:div>
    <w:div w:id="230047671">
      <w:bodyDiv w:val="1"/>
      <w:marLeft w:val="0"/>
      <w:marRight w:val="0"/>
      <w:marTop w:val="0"/>
      <w:marBottom w:val="0"/>
      <w:divBdr>
        <w:top w:val="none" w:sz="0" w:space="0" w:color="auto"/>
        <w:left w:val="none" w:sz="0" w:space="0" w:color="auto"/>
        <w:bottom w:val="none" w:sz="0" w:space="0" w:color="auto"/>
        <w:right w:val="none" w:sz="0" w:space="0" w:color="auto"/>
      </w:divBdr>
    </w:div>
    <w:div w:id="239414352">
      <w:bodyDiv w:val="1"/>
      <w:marLeft w:val="0"/>
      <w:marRight w:val="0"/>
      <w:marTop w:val="0"/>
      <w:marBottom w:val="0"/>
      <w:divBdr>
        <w:top w:val="none" w:sz="0" w:space="0" w:color="auto"/>
        <w:left w:val="none" w:sz="0" w:space="0" w:color="auto"/>
        <w:bottom w:val="none" w:sz="0" w:space="0" w:color="auto"/>
        <w:right w:val="none" w:sz="0" w:space="0" w:color="auto"/>
      </w:divBdr>
    </w:div>
    <w:div w:id="243493365">
      <w:bodyDiv w:val="1"/>
      <w:marLeft w:val="0"/>
      <w:marRight w:val="0"/>
      <w:marTop w:val="0"/>
      <w:marBottom w:val="0"/>
      <w:divBdr>
        <w:top w:val="none" w:sz="0" w:space="0" w:color="auto"/>
        <w:left w:val="none" w:sz="0" w:space="0" w:color="auto"/>
        <w:bottom w:val="none" w:sz="0" w:space="0" w:color="auto"/>
        <w:right w:val="none" w:sz="0" w:space="0" w:color="auto"/>
      </w:divBdr>
    </w:div>
    <w:div w:id="258567196">
      <w:bodyDiv w:val="1"/>
      <w:marLeft w:val="0"/>
      <w:marRight w:val="0"/>
      <w:marTop w:val="0"/>
      <w:marBottom w:val="0"/>
      <w:divBdr>
        <w:top w:val="none" w:sz="0" w:space="0" w:color="auto"/>
        <w:left w:val="none" w:sz="0" w:space="0" w:color="auto"/>
        <w:bottom w:val="none" w:sz="0" w:space="0" w:color="auto"/>
        <w:right w:val="none" w:sz="0" w:space="0" w:color="auto"/>
      </w:divBdr>
    </w:div>
    <w:div w:id="269433528">
      <w:bodyDiv w:val="1"/>
      <w:marLeft w:val="0"/>
      <w:marRight w:val="0"/>
      <w:marTop w:val="0"/>
      <w:marBottom w:val="0"/>
      <w:divBdr>
        <w:top w:val="none" w:sz="0" w:space="0" w:color="auto"/>
        <w:left w:val="none" w:sz="0" w:space="0" w:color="auto"/>
        <w:bottom w:val="none" w:sz="0" w:space="0" w:color="auto"/>
        <w:right w:val="none" w:sz="0" w:space="0" w:color="auto"/>
      </w:divBdr>
    </w:div>
    <w:div w:id="270283137">
      <w:bodyDiv w:val="1"/>
      <w:marLeft w:val="0"/>
      <w:marRight w:val="0"/>
      <w:marTop w:val="0"/>
      <w:marBottom w:val="0"/>
      <w:divBdr>
        <w:top w:val="none" w:sz="0" w:space="0" w:color="auto"/>
        <w:left w:val="none" w:sz="0" w:space="0" w:color="auto"/>
        <w:bottom w:val="none" w:sz="0" w:space="0" w:color="auto"/>
        <w:right w:val="none" w:sz="0" w:space="0" w:color="auto"/>
      </w:divBdr>
    </w:div>
    <w:div w:id="275521494">
      <w:bodyDiv w:val="1"/>
      <w:marLeft w:val="0"/>
      <w:marRight w:val="0"/>
      <w:marTop w:val="0"/>
      <w:marBottom w:val="0"/>
      <w:divBdr>
        <w:top w:val="none" w:sz="0" w:space="0" w:color="auto"/>
        <w:left w:val="none" w:sz="0" w:space="0" w:color="auto"/>
        <w:bottom w:val="none" w:sz="0" w:space="0" w:color="auto"/>
        <w:right w:val="none" w:sz="0" w:space="0" w:color="auto"/>
      </w:divBdr>
    </w:div>
    <w:div w:id="311564066">
      <w:bodyDiv w:val="1"/>
      <w:marLeft w:val="0"/>
      <w:marRight w:val="0"/>
      <w:marTop w:val="0"/>
      <w:marBottom w:val="0"/>
      <w:divBdr>
        <w:top w:val="none" w:sz="0" w:space="0" w:color="auto"/>
        <w:left w:val="none" w:sz="0" w:space="0" w:color="auto"/>
        <w:bottom w:val="none" w:sz="0" w:space="0" w:color="auto"/>
        <w:right w:val="none" w:sz="0" w:space="0" w:color="auto"/>
      </w:divBdr>
    </w:div>
    <w:div w:id="327363459">
      <w:bodyDiv w:val="1"/>
      <w:marLeft w:val="0"/>
      <w:marRight w:val="0"/>
      <w:marTop w:val="0"/>
      <w:marBottom w:val="0"/>
      <w:divBdr>
        <w:top w:val="none" w:sz="0" w:space="0" w:color="auto"/>
        <w:left w:val="none" w:sz="0" w:space="0" w:color="auto"/>
        <w:bottom w:val="none" w:sz="0" w:space="0" w:color="auto"/>
        <w:right w:val="none" w:sz="0" w:space="0" w:color="auto"/>
      </w:divBdr>
    </w:div>
    <w:div w:id="344600062">
      <w:bodyDiv w:val="1"/>
      <w:marLeft w:val="0"/>
      <w:marRight w:val="0"/>
      <w:marTop w:val="0"/>
      <w:marBottom w:val="0"/>
      <w:divBdr>
        <w:top w:val="none" w:sz="0" w:space="0" w:color="auto"/>
        <w:left w:val="none" w:sz="0" w:space="0" w:color="auto"/>
        <w:bottom w:val="none" w:sz="0" w:space="0" w:color="auto"/>
        <w:right w:val="none" w:sz="0" w:space="0" w:color="auto"/>
      </w:divBdr>
    </w:div>
    <w:div w:id="350839881">
      <w:bodyDiv w:val="1"/>
      <w:marLeft w:val="0"/>
      <w:marRight w:val="0"/>
      <w:marTop w:val="0"/>
      <w:marBottom w:val="0"/>
      <w:divBdr>
        <w:top w:val="none" w:sz="0" w:space="0" w:color="auto"/>
        <w:left w:val="none" w:sz="0" w:space="0" w:color="auto"/>
        <w:bottom w:val="none" w:sz="0" w:space="0" w:color="auto"/>
        <w:right w:val="none" w:sz="0" w:space="0" w:color="auto"/>
      </w:divBdr>
    </w:div>
    <w:div w:id="420176428">
      <w:bodyDiv w:val="1"/>
      <w:marLeft w:val="0"/>
      <w:marRight w:val="0"/>
      <w:marTop w:val="0"/>
      <w:marBottom w:val="0"/>
      <w:divBdr>
        <w:top w:val="none" w:sz="0" w:space="0" w:color="auto"/>
        <w:left w:val="none" w:sz="0" w:space="0" w:color="auto"/>
        <w:bottom w:val="none" w:sz="0" w:space="0" w:color="auto"/>
        <w:right w:val="none" w:sz="0" w:space="0" w:color="auto"/>
      </w:divBdr>
    </w:div>
    <w:div w:id="425540548">
      <w:bodyDiv w:val="1"/>
      <w:marLeft w:val="0"/>
      <w:marRight w:val="0"/>
      <w:marTop w:val="0"/>
      <w:marBottom w:val="0"/>
      <w:divBdr>
        <w:top w:val="none" w:sz="0" w:space="0" w:color="auto"/>
        <w:left w:val="none" w:sz="0" w:space="0" w:color="auto"/>
        <w:bottom w:val="none" w:sz="0" w:space="0" w:color="auto"/>
        <w:right w:val="none" w:sz="0" w:space="0" w:color="auto"/>
      </w:divBdr>
    </w:div>
    <w:div w:id="448281264">
      <w:bodyDiv w:val="1"/>
      <w:marLeft w:val="0"/>
      <w:marRight w:val="0"/>
      <w:marTop w:val="0"/>
      <w:marBottom w:val="0"/>
      <w:divBdr>
        <w:top w:val="none" w:sz="0" w:space="0" w:color="auto"/>
        <w:left w:val="none" w:sz="0" w:space="0" w:color="auto"/>
        <w:bottom w:val="none" w:sz="0" w:space="0" w:color="auto"/>
        <w:right w:val="none" w:sz="0" w:space="0" w:color="auto"/>
      </w:divBdr>
    </w:div>
    <w:div w:id="453257874">
      <w:bodyDiv w:val="1"/>
      <w:marLeft w:val="0"/>
      <w:marRight w:val="0"/>
      <w:marTop w:val="0"/>
      <w:marBottom w:val="0"/>
      <w:divBdr>
        <w:top w:val="none" w:sz="0" w:space="0" w:color="auto"/>
        <w:left w:val="none" w:sz="0" w:space="0" w:color="auto"/>
        <w:bottom w:val="none" w:sz="0" w:space="0" w:color="auto"/>
        <w:right w:val="none" w:sz="0" w:space="0" w:color="auto"/>
      </w:divBdr>
    </w:div>
    <w:div w:id="469834286">
      <w:bodyDiv w:val="1"/>
      <w:marLeft w:val="0"/>
      <w:marRight w:val="0"/>
      <w:marTop w:val="0"/>
      <w:marBottom w:val="0"/>
      <w:divBdr>
        <w:top w:val="none" w:sz="0" w:space="0" w:color="auto"/>
        <w:left w:val="none" w:sz="0" w:space="0" w:color="auto"/>
        <w:bottom w:val="none" w:sz="0" w:space="0" w:color="auto"/>
        <w:right w:val="none" w:sz="0" w:space="0" w:color="auto"/>
      </w:divBdr>
    </w:div>
    <w:div w:id="478347915">
      <w:bodyDiv w:val="1"/>
      <w:marLeft w:val="0"/>
      <w:marRight w:val="0"/>
      <w:marTop w:val="0"/>
      <w:marBottom w:val="0"/>
      <w:divBdr>
        <w:top w:val="none" w:sz="0" w:space="0" w:color="auto"/>
        <w:left w:val="none" w:sz="0" w:space="0" w:color="auto"/>
        <w:bottom w:val="none" w:sz="0" w:space="0" w:color="auto"/>
        <w:right w:val="none" w:sz="0" w:space="0" w:color="auto"/>
      </w:divBdr>
    </w:div>
    <w:div w:id="530652296">
      <w:bodyDiv w:val="1"/>
      <w:marLeft w:val="0"/>
      <w:marRight w:val="0"/>
      <w:marTop w:val="0"/>
      <w:marBottom w:val="0"/>
      <w:divBdr>
        <w:top w:val="none" w:sz="0" w:space="0" w:color="auto"/>
        <w:left w:val="none" w:sz="0" w:space="0" w:color="auto"/>
        <w:bottom w:val="none" w:sz="0" w:space="0" w:color="auto"/>
        <w:right w:val="none" w:sz="0" w:space="0" w:color="auto"/>
      </w:divBdr>
    </w:div>
    <w:div w:id="548760421">
      <w:bodyDiv w:val="1"/>
      <w:marLeft w:val="0"/>
      <w:marRight w:val="0"/>
      <w:marTop w:val="0"/>
      <w:marBottom w:val="0"/>
      <w:divBdr>
        <w:top w:val="none" w:sz="0" w:space="0" w:color="auto"/>
        <w:left w:val="none" w:sz="0" w:space="0" w:color="auto"/>
        <w:bottom w:val="none" w:sz="0" w:space="0" w:color="auto"/>
        <w:right w:val="none" w:sz="0" w:space="0" w:color="auto"/>
      </w:divBdr>
    </w:div>
    <w:div w:id="549850453">
      <w:bodyDiv w:val="1"/>
      <w:marLeft w:val="0"/>
      <w:marRight w:val="0"/>
      <w:marTop w:val="0"/>
      <w:marBottom w:val="0"/>
      <w:divBdr>
        <w:top w:val="none" w:sz="0" w:space="0" w:color="auto"/>
        <w:left w:val="none" w:sz="0" w:space="0" w:color="auto"/>
        <w:bottom w:val="none" w:sz="0" w:space="0" w:color="auto"/>
        <w:right w:val="none" w:sz="0" w:space="0" w:color="auto"/>
      </w:divBdr>
    </w:div>
    <w:div w:id="557085371">
      <w:bodyDiv w:val="1"/>
      <w:marLeft w:val="0"/>
      <w:marRight w:val="0"/>
      <w:marTop w:val="0"/>
      <w:marBottom w:val="0"/>
      <w:divBdr>
        <w:top w:val="none" w:sz="0" w:space="0" w:color="auto"/>
        <w:left w:val="none" w:sz="0" w:space="0" w:color="auto"/>
        <w:bottom w:val="none" w:sz="0" w:space="0" w:color="auto"/>
        <w:right w:val="none" w:sz="0" w:space="0" w:color="auto"/>
      </w:divBdr>
    </w:div>
    <w:div w:id="559512859">
      <w:bodyDiv w:val="1"/>
      <w:marLeft w:val="0"/>
      <w:marRight w:val="0"/>
      <w:marTop w:val="0"/>
      <w:marBottom w:val="0"/>
      <w:divBdr>
        <w:top w:val="none" w:sz="0" w:space="0" w:color="auto"/>
        <w:left w:val="none" w:sz="0" w:space="0" w:color="auto"/>
        <w:bottom w:val="none" w:sz="0" w:space="0" w:color="auto"/>
        <w:right w:val="none" w:sz="0" w:space="0" w:color="auto"/>
      </w:divBdr>
    </w:div>
    <w:div w:id="566455515">
      <w:bodyDiv w:val="1"/>
      <w:marLeft w:val="0"/>
      <w:marRight w:val="0"/>
      <w:marTop w:val="0"/>
      <w:marBottom w:val="0"/>
      <w:divBdr>
        <w:top w:val="none" w:sz="0" w:space="0" w:color="auto"/>
        <w:left w:val="none" w:sz="0" w:space="0" w:color="auto"/>
        <w:bottom w:val="none" w:sz="0" w:space="0" w:color="auto"/>
        <w:right w:val="none" w:sz="0" w:space="0" w:color="auto"/>
      </w:divBdr>
    </w:div>
    <w:div w:id="569779459">
      <w:bodyDiv w:val="1"/>
      <w:marLeft w:val="0"/>
      <w:marRight w:val="0"/>
      <w:marTop w:val="0"/>
      <w:marBottom w:val="0"/>
      <w:divBdr>
        <w:top w:val="none" w:sz="0" w:space="0" w:color="auto"/>
        <w:left w:val="none" w:sz="0" w:space="0" w:color="auto"/>
        <w:bottom w:val="none" w:sz="0" w:space="0" w:color="auto"/>
        <w:right w:val="none" w:sz="0" w:space="0" w:color="auto"/>
      </w:divBdr>
    </w:div>
    <w:div w:id="573322874">
      <w:bodyDiv w:val="1"/>
      <w:marLeft w:val="0"/>
      <w:marRight w:val="0"/>
      <w:marTop w:val="0"/>
      <w:marBottom w:val="0"/>
      <w:divBdr>
        <w:top w:val="none" w:sz="0" w:space="0" w:color="auto"/>
        <w:left w:val="none" w:sz="0" w:space="0" w:color="auto"/>
        <w:bottom w:val="none" w:sz="0" w:space="0" w:color="auto"/>
        <w:right w:val="none" w:sz="0" w:space="0" w:color="auto"/>
      </w:divBdr>
    </w:div>
    <w:div w:id="585387584">
      <w:bodyDiv w:val="1"/>
      <w:marLeft w:val="0"/>
      <w:marRight w:val="0"/>
      <w:marTop w:val="0"/>
      <w:marBottom w:val="0"/>
      <w:divBdr>
        <w:top w:val="none" w:sz="0" w:space="0" w:color="auto"/>
        <w:left w:val="none" w:sz="0" w:space="0" w:color="auto"/>
        <w:bottom w:val="none" w:sz="0" w:space="0" w:color="auto"/>
        <w:right w:val="none" w:sz="0" w:space="0" w:color="auto"/>
      </w:divBdr>
    </w:div>
    <w:div w:id="586766341">
      <w:bodyDiv w:val="1"/>
      <w:marLeft w:val="0"/>
      <w:marRight w:val="0"/>
      <w:marTop w:val="0"/>
      <w:marBottom w:val="0"/>
      <w:divBdr>
        <w:top w:val="none" w:sz="0" w:space="0" w:color="auto"/>
        <w:left w:val="none" w:sz="0" w:space="0" w:color="auto"/>
        <w:bottom w:val="none" w:sz="0" w:space="0" w:color="auto"/>
        <w:right w:val="none" w:sz="0" w:space="0" w:color="auto"/>
      </w:divBdr>
    </w:div>
    <w:div w:id="590048998">
      <w:bodyDiv w:val="1"/>
      <w:marLeft w:val="0"/>
      <w:marRight w:val="0"/>
      <w:marTop w:val="0"/>
      <w:marBottom w:val="0"/>
      <w:divBdr>
        <w:top w:val="none" w:sz="0" w:space="0" w:color="auto"/>
        <w:left w:val="none" w:sz="0" w:space="0" w:color="auto"/>
        <w:bottom w:val="none" w:sz="0" w:space="0" w:color="auto"/>
        <w:right w:val="none" w:sz="0" w:space="0" w:color="auto"/>
      </w:divBdr>
    </w:div>
    <w:div w:id="601299797">
      <w:bodyDiv w:val="1"/>
      <w:marLeft w:val="0"/>
      <w:marRight w:val="0"/>
      <w:marTop w:val="0"/>
      <w:marBottom w:val="0"/>
      <w:divBdr>
        <w:top w:val="none" w:sz="0" w:space="0" w:color="auto"/>
        <w:left w:val="none" w:sz="0" w:space="0" w:color="auto"/>
        <w:bottom w:val="none" w:sz="0" w:space="0" w:color="auto"/>
        <w:right w:val="none" w:sz="0" w:space="0" w:color="auto"/>
      </w:divBdr>
    </w:div>
    <w:div w:id="614142580">
      <w:bodyDiv w:val="1"/>
      <w:marLeft w:val="0"/>
      <w:marRight w:val="0"/>
      <w:marTop w:val="0"/>
      <w:marBottom w:val="0"/>
      <w:divBdr>
        <w:top w:val="none" w:sz="0" w:space="0" w:color="auto"/>
        <w:left w:val="none" w:sz="0" w:space="0" w:color="auto"/>
        <w:bottom w:val="none" w:sz="0" w:space="0" w:color="auto"/>
        <w:right w:val="none" w:sz="0" w:space="0" w:color="auto"/>
      </w:divBdr>
    </w:div>
    <w:div w:id="631063373">
      <w:bodyDiv w:val="1"/>
      <w:marLeft w:val="0"/>
      <w:marRight w:val="0"/>
      <w:marTop w:val="0"/>
      <w:marBottom w:val="0"/>
      <w:divBdr>
        <w:top w:val="none" w:sz="0" w:space="0" w:color="auto"/>
        <w:left w:val="none" w:sz="0" w:space="0" w:color="auto"/>
        <w:bottom w:val="none" w:sz="0" w:space="0" w:color="auto"/>
        <w:right w:val="none" w:sz="0" w:space="0" w:color="auto"/>
      </w:divBdr>
    </w:div>
    <w:div w:id="632561813">
      <w:bodyDiv w:val="1"/>
      <w:marLeft w:val="0"/>
      <w:marRight w:val="0"/>
      <w:marTop w:val="0"/>
      <w:marBottom w:val="0"/>
      <w:divBdr>
        <w:top w:val="none" w:sz="0" w:space="0" w:color="auto"/>
        <w:left w:val="none" w:sz="0" w:space="0" w:color="auto"/>
        <w:bottom w:val="none" w:sz="0" w:space="0" w:color="auto"/>
        <w:right w:val="none" w:sz="0" w:space="0" w:color="auto"/>
      </w:divBdr>
    </w:div>
    <w:div w:id="642545092">
      <w:bodyDiv w:val="1"/>
      <w:marLeft w:val="0"/>
      <w:marRight w:val="0"/>
      <w:marTop w:val="0"/>
      <w:marBottom w:val="0"/>
      <w:divBdr>
        <w:top w:val="none" w:sz="0" w:space="0" w:color="auto"/>
        <w:left w:val="none" w:sz="0" w:space="0" w:color="auto"/>
        <w:bottom w:val="none" w:sz="0" w:space="0" w:color="auto"/>
        <w:right w:val="none" w:sz="0" w:space="0" w:color="auto"/>
      </w:divBdr>
    </w:div>
    <w:div w:id="671763284">
      <w:bodyDiv w:val="1"/>
      <w:marLeft w:val="0"/>
      <w:marRight w:val="0"/>
      <w:marTop w:val="0"/>
      <w:marBottom w:val="0"/>
      <w:divBdr>
        <w:top w:val="none" w:sz="0" w:space="0" w:color="auto"/>
        <w:left w:val="none" w:sz="0" w:space="0" w:color="auto"/>
        <w:bottom w:val="none" w:sz="0" w:space="0" w:color="auto"/>
        <w:right w:val="none" w:sz="0" w:space="0" w:color="auto"/>
      </w:divBdr>
    </w:div>
    <w:div w:id="696123846">
      <w:bodyDiv w:val="1"/>
      <w:marLeft w:val="0"/>
      <w:marRight w:val="0"/>
      <w:marTop w:val="0"/>
      <w:marBottom w:val="0"/>
      <w:divBdr>
        <w:top w:val="none" w:sz="0" w:space="0" w:color="auto"/>
        <w:left w:val="none" w:sz="0" w:space="0" w:color="auto"/>
        <w:bottom w:val="none" w:sz="0" w:space="0" w:color="auto"/>
        <w:right w:val="none" w:sz="0" w:space="0" w:color="auto"/>
      </w:divBdr>
    </w:div>
    <w:div w:id="720862522">
      <w:bodyDiv w:val="1"/>
      <w:marLeft w:val="0"/>
      <w:marRight w:val="0"/>
      <w:marTop w:val="0"/>
      <w:marBottom w:val="0"/>
      <w:divBdr>
        <w:top w:val="none" w:sz="0" w:space="0" w:color="auto"/>
        <w:left w:val="none" w:sz="0" w:space="0" w:color="auto"/>
        <w:bottom w:val="none" w:sz="0" w:space="0" w:color="auto"/>
        <w:right w:val="none" w:sz="0" w:space="0" w:color="auto"/>
      </w:divBdr>
    </w:div>
    <w:div w:id="725569233">
      <w:bodyDiv w:val="1"/>
      <w:marLeft w:val="0"/>
      <w:marRight w:val="0"/>
      <w:marTop w:val="0"/>
      <w:marBottom w:val="0"/>
      <w:divBdr>
        <w:top w:val="none" w:sz="0" w:space="0" w:color="auto"/>
        <w:left w:val="none" w:sz="0" w:space="0" w:color="auto"/>
        <w:bottom w:val="none" w:sz="0" w:space="0" w:color="auto"/>
        <w:right w:val="none" w:sz="0" w:space="0" w:color="auto"/>
      </w:divBdr>
    </w:div>
    <w:div w:id="743573477">
      <w:bodyDiv w:val="1"/>
      <w:marLeft w:val="0"/>
      <w:marRight w:val="0"/>
      <w:marTop w:val="0"/>
      <w:marBottom w:val="0"/>
      <w:divBdr>
        <w:top w:val="none" w:sz="0" w:space="0" w:color="auto"/>
        <w:left w:val="none" w:sz="0" w:space="0" w:color="auto"/>
        <w:bottom w:val="none" w:sz="0" w:space="0" w:color="auto"/>
        <w:right w:val="none" w:sz="0" w:space="0" w:color="auto"/>
      </w:divBdr>
    </w:div>
    <w:div w:id="749350212">
      <w:bodyDiv w:val="1"/>
      <w:marLeft w:val="0"/>
      <w:marRight w:val="0"/>
      <w:marTop w:val="0"/>
      <w:marBottom w:val="0"/>
      <w:divBdr>
        <w:top w:val="none" w:sz="0" w:space="0" w:color="auto"/>
        <w:left w:val="none" w:sz="0" w:space="0" w:color="auto"/>
        <w:bottom w:val="none" w:sz="0" w:space="0" w:color="auto"/>
        <w:right w:val="none" w:sz="0" w:space="0" w:color="auto"/>
      </w:divBdr>
    </w:div>
    <w:div w:id="751776173">
      <w:bodyDiv w:val="1"/>
      <w:marLeft w:val="0"/>
      <w:marRight w:val="0"/>
      <w:marTop w:val="0"/>
      <w:marBottom w:val="0"/>
      <w:divBdr>
        <w:top w:val="none" w:sz="0" w:space="0" w:color="auto"/>
        <w:left w:val="none" w:sz="0" w:space="0" w:color="auto"/>
        <w:bottom w:val="none" w:sz="0" w:space="0" w:color="auto"/>
        <w:right w:val="none" w:sz="0" w:space="0" w:color="auto"/>
      </w:divBdr>
    </w:div>
    <w:div w:id="760032501">
      <w:bodyDiv w:val="1"/>
      <w:marLeft w:val="0"/>
      <w:marRight w:val="0"/>
      <w:marTop w:val="0"/>
      <w:marBottom w:val="0"/>
      <w:divBdr>
        <w:top w:val="none" w:sz="0" w:space="0" w:color="auto"/>
        <w:left w:val="none" w:sz="0" w:space="0" w:color="auto"/>
        <w:bottom w:val="none" w:sz="0" w:space="0" w:color="auto"/>
        <w:right w:val="none" w:sz="0" w:space="0" w:color="auto"/>
      </w:divBdr>
    </w:div>
    <w:div w:id="771321132">
      <w:bodyDiv w:val="1"/>
      <w:marLeft w:val="0"/>
      <w:marRight w:val="0"/>
      <w:marTop w:val="0"/>
      <w:marBottom w:val="0"/>
      <w:divBdr>
        <w:top w:val="none" w:sz="0" w:space="0" w:color="auto"/>
        <w:left w:val="none" w:sz="0" w:space="0" w:color="auto"/>
        <w:bottom w:val="none" w:sz="0" w:space="0" w:color="auto"/>
        <w:right w:val="none" w:sz="0" w:space="0" w:color="auto"/>
      </w:divBdr>
    </w:div>
    <w:div w:id="791443006">
      <w:bodyDiv w:val="1"/>
      <w:marLeft w:val="0"/>
      <w:marRight w:val="0"/>
      <w:marTop w:val="0"/>
      <w:marBottom w:val="0"/>
      <w:divBdr>
        <w:top w:val="none" w:sz="0" w:space="0" w:color="auto"/>
        <w:left w:val="none" w:sz="0" w:space="0" w:color="auto"/>
        <w:bottom w:val="none" w:sz="0" w:space="0" w:color="auto"/>
        <w:right w:val="none" w:sz="0" w:space="0" w:color="auto"/>
      </w:divBdr>
    </w:div>
    <w:div w:id="800223577">
      <w:bodyDiv w:val="1"/>
      <w:marLeft w:val="0"/>
      <w:marRight w:val="0"/>
      <w:marTop w:val="0"/>
      <w:marBottom w:val="0"/>
      <w:divBdr>
        <w:top w:val="none" w:sz="0" w:space="0" w:color="auto"/>
        <w:left w:val="none" w:sz="0" w:space="0" w:color="auto"/>
        <w:bottom w:val="none" w:sz="0" w:space="0" w:color="auto"/>
        <w:right w:val="none" w:sz="0" w:space="0" w:color="auto"/>
      </w:divBdr>
    </w:div>
    <w:div w:id="803498869">
      <w:bodyDiv w:val="1"/>
      <w:marLeft w:val="0"/>
      <w:marRight w:val="0"/>
      <w:marTop w:val="0"/>
      <w:marBottom w:val="0"/>
      <w:divBdr>
        <w:top w:val="none" w:sz="0" w:space="0" w:color="auto"/>
        <w:left w:val="none" w:sz="0" w:space="0" w:color="auto"/>
        <w:bottom w:val="none" w:sz="0" w:space="0" w:color="auto"/>
        <w:right w:val="none" w:sz="0" w:space="0" w:color="auto"/>
      </w:divBdr>
    </w:div>
    <w:div w:id="809901958">
      <w:bodyDiv w:val="1"/>
      <w:marLeft w:val="0"/>
      <w:marRight w:val="0"/>
      <w:marTop w:val="0"/>
      <w:marBottom w:val="0"/>
      <w:divBdr>
        <w:top w:val="none" w:sz="0" w:space="0" w:color="auto"/>
        <w:left w:val="none" w:sz="0" w:space="0" w:color="auto"/>
        <w:bottom w:val="none" w:sz="0" w:space="0" w:color="auto"/>
        <w:right w:val="none" w:sz="0" w:space="0" w:color="auto"/>
      </w:divBdr>
    </w:div>
    <w:div w:id="811411174">
      <w:bodyDiv w:val="1"/>
      <w:marLeft w:val="0"/>
      <w:marRight w:val="0"/>
      <w:marTop w:val="0"/>
      <w:marBottom w:val="0"/>
      <w:divBdr>
        <w:top w:val="none" w:sz="0" w:space="0" w:color="auto"/>
        <w:left w:val="none" w:sz="0" w:space="0" w:color="auto"/>
        <w:bottom w:val="none" w:sz="0" w:space="0" w:color="auto"/>
        <w:right w:val="none" w:sz="0" w:space="0" w:color="auto"/>
      </w:divBdr>
    </w:div>
    <w:div w:id="815803740">
      <w:bodyDiv w:val="1"/>
      <w:marLeft w:val="0"/>
      <w:marRight w:val="0"/>
      <w:marTop w:val="0"/>
      <w:marBottom w:val="0"/>
      <w:divBdr>
        <w:top w:val="none" w:sz="0" w:space="0" w:color="auto"/>
        <w:left w:val="none" w:sz="0" w:space="0" w:color="auto"/>
        <w:bottom w:val="none" w:sz="0" w:space="0" w:color="auto"/>
        <w:right w:val="none" w:sz="0" w:space="0" w:color="auto"/>
      </w:divBdr>
    </w:div>
    <w:div w:id="816186861">
      <w:bodyDiv w:val="1"/>
      <w:marLeft w:val="0"/>
      <w:marRight w:val="0"/>
      <w:marTop w:val="0"/>
      <w:marBottom w:val="0"/>
      <w:divBdr>
        <w:top w:val="none" w:sz="0" w:space="0" w:color="auto"/>
        <w:left w:val="none" w:sz="0" w:space="0" w:color="auto"/>
        <w:bottom w:val="none" w:sz="0" w:space="0" w:color="auto"/>
        <w:right w:val="none" w:sz="0" w:space="0" w:color="auto"/>
      </w:divBdr>
    </w:div>
    <w:div w:id="821045409">
      <w:bodyDiv w:val="1"/>
      <w:marLeft w:val="0"/>
      <w:marRight w:val="0"/>
      <w:marTop w:val="0"/>
      <w:marBottom w:val="0"/>
      <w:divBdr>
        <w:top w:val="none" w:sz="0" w:space="0" w:color="auto"/>
        <w:left w:val="none" w:sz="0" w:space="0" w:color="auto"/>
        <w:bottom w:val="none" w:sz="0" w:space="0" w:color="auto"/>
        <w:right w:val="none" w:sz="0" w:space="0" w:color="auto"/>
      </w:divBdr>
    </w:div>
    <w:div w:id="833565574">
      <w:bodyDiv w:val="1"/>
      <w:marLeft w:val="0"/>
      <w:marRight w:val="0"/>
      <w:marTop w:val="0"/>
      <w:marBottom w:val="0"/>
      <w:divBdr>
        <w:top w:val="none" w:sz="0" w:space="0" w:color="auto"/>
        <w:left w:val="none" w:sz="0" w:space="0" w:color="auto"/>
        <w:bottom w:val="none" w:sz="0" w:space="0" w:color="auto"/>
        <w:right w:val="none" w:sz="0" w:space="0" w:color="auto"/>
      </w:divBdr>
    </w:div>
    <w:div w:id="842553770">
      <w:bodyDiv w:val="1"/>
      <w:marLeft w:val="0"/>
      <w:marRight w:val="0"/>
      <w:marTop w:val="0"/>
      <w:marBottom w:val="0"/>
      <w:divBdr>
        <w:top w:val="none" w:sz="0" w:space="0" w:color="auto"/>
        <w:left w:val="none" w:sz="0" w:space="0" w:color="auto"/>
        <w:bottom w:val="none" w:sz="0" w:space="0" w:color="auto"/>
        <w:right w:val="none" w:sz="0" w:space="0" w:color="auto"/>
      </w:divBdr>
    </w:div>
    <w:div w:id="852645396">
      <w:bodyDiv w:val="1"/>
      <w:marLeft w:val="0"/>
      <w:marRight w:val="0"/>
      <w:marTop w:val="0"/>
      <w:marBottom w:val="0"/>
      <w:divBdr>
        <w:top w:val="none" w:sz="0" w:space="0" w:color="auto"/>
        <w:left w:val="none" w:sz="0" w:space="0" w:color="auto"/>
        <w:bottom w:val="none" w:sz="0" w:space="0" w:color="auto"/>
        <w:right w:val="none" w:sz="0" w:space="0" w:color="auto"/>
      </w:divBdr>
    </w:div>
    <w:div w:id="856844777">
      <w:bodyDiv w:val="1"/>
      <w:marLeft w:val="0"/>
      <w:marRight w:val="0"/>
      <w:marTop w:val="0"/>
      <w:marBottom w:val="0"/>
      <w:divBdr>
        <w:top w:val="none" w:sz="0" w:space="0" w:color="auto"/>
        <w:left w:val="none" w:sz="0" w:space="0" w:color="auto"/>
        <w:bottom w:val="none" w:sz="0" w:space="0" w:color="auto"/>
        <w:right w:val="none" w:sz="0" w:space="0" w:color="auto"/>
      </w:divBdr>
    </w:div>
    <w:div w:id="861358203">
      <w:bodyDiv w:val="1"/>
      <w:marLeft w:val="0"/>
      <w:marRight w:val="0"/>
      <w:marTop w:val="0"/>
      <w:marBottom w:val="0"/>
      <w:divBdr>
        <w:top w:val="none" w:sz="0" w:space="0" w:color="auto"/>
        <w:left w:val="none" w:sz="0" w:space="0" w:color="auto"/>
        <w:bottom w:val="none" w:sz="0" w:space="0" w:color="auto"/>
        <w:right w:val="none" w:sz="0" w:space="0" w:color="auto"/>
      </w:divBdr>
    </w:div>
    <w:div w:id="871115353">
      <w:bodyDiv w:val="1"/>
      <w:marLeft w:val="0"/>
      <w:marRight w:val="0"/>
      <w:marTop w:val="0"/>
      <w:marBottom w:val="0"/>
      <w:divBdr>
        <w:top w:val="none" w:sz="0" w:space="0" w:color="auto"/>
        <w:left w:val="none" w:sz="0" w:space="0" w:color="auto"/>
        <w:bottom w:val="none" w:sz="0" w:space="0" w:color="auto"/>
        <w:right w:val="none" w:sz="0" w:space="0" w:color="auto"/>
      </w:divBdr>
    </w:div>
    <w:div w:id="875314910">
      <w:bodyDiv w:val="1"/>
      <w:marLeft w:val="0"/>
      <w:marRight w:val="0"/>
      <w:marTop w:val="0"/>
      <w:marBottom w:val="0"/>
      <w:divBdr>
        <w:top w:val="none" w:sz="0" w:space="0" w:color="auto"/>
        <w:left w:val="none" w:sz="0" w:space="0" w:color="auto"/>
        <w:bottom w:val="none" w:sz="0" w:space="0" w:color="auto"/>
        <w:right w:val="none" w:sz="0" w:space="0" w:color="auto"/>
      </w:divBdr>
    </w:div>
    <w:div w:id="900600412">
      <w:bodyDiv w:val="1"/>
      <w:marLeft w:val="0"/>
      <w:marRight w:val="0"/>
      <w:marTop w:val="0"/>
      <w:marBottom w:val="0"/>
      <w:divBdr>
        <w:top w:val="none" w:sz="0" w:space="0" w:color="auto"/>
        <w:left w:val="none" w:sz="0" w:space="0" w:color="auto"/>
        <w:bottom w:val="none" w:sz="0" w:space="0" w:color="auto"/>
        <w:right w:val="none" w:sz="0" w:space="0" w:color="auto"/>
      </w:divBdr>
    </w:div>
    <w:div w:id="930771087">
      <w:bodyDiv w:val="1"/>
      <w:marLeft w:val="0"/>
      <w:marRight w:val="0"/>
      <w:marTop w:val="0"/>
      <w:marBottom w:val="0"/>
      <w:divBdr>
        <w:top w:val="none" w:sz="0" w:space="0" w:color="auto"/>
        <w:left w:val="none" w:sz="0" w:space="0" w:color="auto"/>
        <w:bottom w:val="none" w:sz="0" w:space="0" w:color="auto"/>
        <w:right w:val="none" w:sz="0" w:space="0" w:color="auto"/>
      </w:divBdr>
    </w:div>
    <w:div w:id="945887641">
      <w:bodyDiv w:val="1"/>
      <w:marLeft w:val="0"/>
      <w:marRight w:val="0"/>
      <w:marTop w:val="0"/>
      <w:marBottom w:val="0"/>
      <w:divBdr>
        <w:top w:val="none" w:sz="0" w:space="0" w:color="auto"/>
        <w:left w:val="none" w:sz="0" w:space="0" w:color="auto"/>
        <w:bottom w:val="none" w:sz="0" w:space="0" w:color="auto"/>
        <w:right w:val="none" w:sz="0" w:space="0" w:color="auto"/>
      </w:divBdr>
    </w:div>
    <w:div w:id="985890508">
      <w:bodyDiv w:val="1"/>
      <w:marLeft w:val="0"/>
      <w:marRight w:val="0"/>
      <w:marTop w:val="0"/>
      <w:marBottom w:val="0"/>
      <w:divBdr>
        <w:top w:val="none" w:sz="0" w:space="0" w:color="auto"/>
        <w:left w:val="none" w:sz="0" w:space="0" w:color="auto"/>
        <w:bottom w:val="none" w:sz="0" w:space="0" w:color="auto"/>
        <w:right w:val="none" w:sz="0" w:space="0" w:color="auto"/>
      </w:divBdr>
    </w:div>
    <w:div w:id="995769014">
      <w:bodyDiv w:val="1"/>
      <w:marLeft w:val="0"/>
      <w:marRight w:val="0"/>
      <w:marTop w:val="0"/>
      <w:marBottom w:val="0"/>
      <w:divBdr>
        <w:top w:val="none" w:sz="0" w:space="0" w:color="auto"/>
        <w:left w:val="none" w:sz="0" w:space="0" w:color="auto"/>
        <w:bottom w:val="none" w:sz="0" w:space="0" w:color="auto"/>
        <w:right w:val="none" w:sz="0" w:space="0" w:color="auto"/>
      </w:divBdr>
    </w:div>
    <w:div w:id="1006447425">
      <w:bodyDiv w:val="1"/>
      <w:marLeft w:val="0"/>
      <w:marRight w:val="0"/>
      <w:marTop w:val="0"/>
      <w:marBottom w:val="0"/>
      <w:divBdr>
        <w:top w:val="none" w:sz="0" w:space="0" w:color="auto"/>
        <w:left w:val="none" w:sz="0" w:space="0" w:color="auto"/>
        <w:bottom w:val="none" w:sz="0" w:space="0" w:color="auto"/>
        <w:right w:val="none" w:sz="0" w:space="0" w:color="auto"/>
      </w:divBdr>
    </w:div>
    <w:div w:id="1010376431">
      <w:bodyDiv w:val="1"/>
      <w:marLeft w:val="0"/>
      <w:marRight w:val="0"/>
      <w:marTop w:val="0"/>
      <w:marBottom w:val="0"/>
      <w:divBdr>
        <w:top w:val="none" w:sz="0" w:space="0" w:color="auto"/>
        <w:left w:val="none" w:sz="0" w:space="0" w:color="auto"/>
        <w:bottom w:val="none" w:sz="0" w:space="0" w:color="auto"/>
        <w:right w:val="none" w:sz="0" w:space="0" w:color="auto"/>
      </w:divBdr>
    </w:div>
    <w:div w:id="1026449519">
      <w:bodyDiv w:val="1"/>
      <w:marLeft w:val="0"/>
      <w:marRight w:val="0"/>
      <w:marTop w:val="0"/>
      <w:marBottom w:val="0"/>
      <w:divBdr>
        <w:top w:val="none" w:sz="0" w:space="0" w:color="auto"/>
        <w:left w:val="none" w:sz="0" w:space="0" w:color="auto"/>
        <w:bottom w:val="none" w:sz="0" w:space="0" w:color="auto"/>
        <w:right w:val="none" w:sz="0" w:space="0" w:color="auto"/>
      </w:divBdr>
    </w:div>
    <w:div w:id="1040518333">
      <w:bodyDiv w:val="1"/>
      <w:marLeft w:val="0"/>
      <w:marRight w:val="0"/>
      <w:marTop w:val="0"/>
      <w:marBottom w:val="0"/>
      <w:divBdr>
        <w:top w:val="none" w:sz="0" w:space="0" w:color="auto"/>
        <w:left w:val="none" w:sz="0" w:space="0" w:color="auto"/>
        <w:bottom w:val="none" w:sz="0" w:space="0" w:color="auto"/>
        <w:right w:val="none" w:sz="0" w:space="0" w:color="auto"/>
      </w:divBdr>
    </w:div>
    <w:div w:id="1042482082">
      <w:bodyDiv w:val="1"/>
      <w:marLeft w:val="0"/>
      <w:marRight w:val="0"/>
      <w:marTop w:val="0"/>
      <w:marBottom w:val="0"/>
      <w:divBdr>
        <w:top w:val="none" w:sz="0" w:space="0" w:color="auto"/>
        <w:left w:val="none" w:sz="0" w:space="0" w:color="auto"/>
        <w:bottom w:val="none" w:sz="0" w:space="0" w:color="auto"/>
        <w:right w:val="none" w:sz="0" w:space="0" w:color="auto"/>
      </w:divBdr>
    </w:div>
    <w:div w:id="1051152028">
      <w:bodyDiv w:val="1"/>
      <w:marLeft w:val="0"/>
      <w:marRight w:val="0"/>
      <w:marTop w:val="0"/>
      <w:marBottom w:val="0"/>
      <w:divBdr>
        <w:top w:val="none" w:sz="0" w:space="0" w:color="auto"/>
        <w:left w:val="none" w:sz="0" w:space="0" w:color="auto"/>
        <w:bottom w:val="none" w:sz="0" w:space="0" w:color="auto"/>
        <w:right w:val="none" w:sz="0" w:space="0" w:color="auto"/>
      </w:divBdr>
    </w:div>
    <w:div w:id="1053579089">
      <w:bodyDiv w:val="1"/>
      <w:marLeft w:val="0"/>
      <w:marRight w:val="0"/>
      <w:marTop w:val="0"/>
      <w:marBottom w:val="0"/>
      <w:divBdr>
        <w:top w:val="none" w:sz="0" w:space="0" w:color="auto"/>
        <w:left w:val="none" w:sz="0" w:space="0" w:color="auto"/>
        <w:bottom w:val="none" w:sz="0" w:space="0" w:color="auto"/>
        <w:right w:val="none" w:sz="0" w:space="0" w:color="auto"/>
      </w:divBdr>
    </w:div>
    <w:div w:id="1054888437">
      <w:bodyDiv w:val="1"/>
      <w:marLeft w:val="0"/>
      <w:marRight w:val="0"/>
      <w:marTop w:val="0"/>
      <w:marBottom w:val="0"/>
      <w:divBdr>
        <w:top w:val="none" w:sz="0" w:space="0" w:color="auto"/>
        <w:left w:val="none" w:sz="0" w:space="0" w:color="auto"/>
        <w:bottom w:val="none" w:sz="0" w:space="0" w:color="auto"/>
        <w:right w:val="none" w:sz="0" w:space="0" w:color="auto"/>
      </w:divBdr>
    </w:div>
    <w:div w:id="1058817450">
      <w:bodyDiv w:val="1"/>
      <w:marLeft w:val="0"/>
      <w:marRight w:val="0"/>
      <w:marTop w:val="0"/>
      <w:marBottom w:val="0"/>
      <w:divBdr>
        <w:top w:val="none" w:sz="0" w:space="0" w:color="auto"/>
        <w:left w:val="none" w:sz="0" w:space="0" w:color="auto"/>
        <w:bottom w:val="none" w:sz="0" w:space="0" w:color="auto"/>
        <w:right w:val="none" w:sz="0" w:space="0" w:color="auto"/>
      </w:divBdr>
    </w:div>
    <w:div w:id="1071346829">
      <w:bodyDiv w:val="1"/>
      <w:marLeft w:val="0"/>
      <w:marRight w:val="0"/>
      <w:marTop w:val="0"/>
      <w:marBottom w:val="0"/>
      <w:divBdr>
        <w:top w:val="none" w:sz="0" w:space="0" w:color="auto"/>
        <w:left w:val="none" w:sz="0" w:space="0" w:color="auto"/>
        <w:bottom w:val="none" w:sz="0" w:space="0" w:color="auto"/>
        <w:right w:val="none" w:sz="0" w:space="0" w:color="auto"/>
      </w:divBdr>
    </w:div>
    <w:div w:id="1071923135">
      <w:bodyDiv w:val="1"/>
      <w:marLeft w:val="0"/>
      <w:marRight w:val="0"/>
      <w:marTop w:val="0"/>
      <w:marBottom w:val="0"/>
      <w:divBdr>
        <w:top w:val="none" w:sz="0" w:space="0" w:color="auto"/>
        <w:left w:val="none" w:sz="0" w:space="0" w:color="auto"/>
        <w:bottom w:val="none" w:sz="0" w:space="0" w:color="auto"/>
        <w:right w:val="none" w:sz="0" w:space="0" w:color="auto"/>
      </w:divBdr>
    </w:div>
    <w:div w:id="1092508641">
      <w:bodyDiv w:val="1"/>
      <w:marLeft w:val="0"/>
      <w:marRight w:val="0"/>
      <w:marTop w:val="0"/>
      <w:marBottom w:val="0"/>
      <w:divBdr>
        <w:top w:val="none" w:sz="0" w:space="0" w:color="auto"/>
        <w:left w:val="none" w:sz="0" w:space="0" w:color="auto"/>
        <w:bottom w:val="none" w:sz="0" w:space="0" w:color="auto"/>
        <w:right w:val="none" w:sz="0" w:space="0" w:color="auto"/>
      </w:divBdr>
    </w:div>
    <w:div w:id="1104960171">
      <w:bodyDiv w:val="1"/>
      <w:marLeft w:val="0"/>
      <w:marRight w:val="0"/>
      <w:marTop w:val="0"/>
      <w:marBottom w:val="0"/>
      <w:divBdr>
        <w:top w:val="none" w:sz="0" w:space="0" w:color="auto"/>
        <w:left w:val="none" w:sz="0" w:space="0" w:color="auto"/>
        <w:bottom w:val="none" w:sz="0" w:space="0" w:color="auto"/>
        <w:right w:val="none" w:sz="0" w:space="0" w:color="auto"/>
      </w:divBdr>
    </w:div>
    <w:div w:id="1106998476">
      <w:bodyDiv w:val="1"/>
      <w:marLeft w:val="0"/>
      <w:marRight w:val="0"/>
      <w:marTop w:val="0"/>
      <w:marBottom w:val="0"/>
      <w:divBdr>
        <w:top w:val="none" w:sz="0" w:space="0" w:color="auto"/>
        <w:left w:val="none" w:sz="0" w:space="0" w:color="auto"/>
        <w:bottom w:val="none" w:sz="0" w:space="0" w:color="auto"/>
        <w:right w:val="none" w:sz="0" w:space="0" w:color="auto"/>
      </w:divBdr>
    </w:div>
    <w:div w:id="1123159585">
      <w:bodyDiv w:val="1"/>
      <w:marLeft w:val="0"/>
      <w:marRight w:val="0"/>
      <w:marTop w:val="0"/>
      <w:marBottom w:val="0"/>
      <w:divBdr>
        <w:top w:val="none" w:sz="0" w:space="0" w:color="auto"/>
        <w:left w:val="none" w:sz="0" w:space="0" w:color="auto"/>
        <w:bottom w:val="none" w:sz="0" w:space="0" w:color="auto"/>
        <w:right w:val="none" w:sz="0" w:space="0" w:color="auto"/>
      </w:divBdr>
    </w:div>
    <w:div w:id="1126314857">
      <w:bodyDiv w:val="1"/>
      <w:marLeft w:val="0"/>
      <w:marRight w:val="0"/>
      <w:marTop w:val="0"/>
      <w:marBottom w:val="0"/>
      <w:divBdr>
        <w:top w:val="none" w:sz="0" w:space="0" w:color="auto"/>
        <w:left w:val="none" w:sz="0" w:space="0" w:color="auto"/>
        <w:bottom w:val="none" w:sz="0" w:space="0" w:color="auto"/>
        <w:right w:val="none" w:sz="0" w:space="0" w:color="auto"/>
      </w:divBdr>
    </w:div>
    <w:div w:id="1126318350">
      <w:bodyDiv w:val="1"/>
      <w:marLeft w:val="0"/>
      <w:marRight w:val="0"/>
      <w:marTop w:val="0"/>
      <w:marBottom w:val="0"/>
      <w:divBdr>
        <w:top w:val="none" w:sz="0" w:space="0" w:color="auto"/>
        <w:left w:val="none" w:sz="0" w:space="0" w:color="auto"/>
        <w:bottom w:val="none" w:sz="0" w:space="0" w:color="auto"/>
        <w:right w:val="none" w:sz="0" w:space="0" w:color="auto"/>
      </w:divBdr>
    </w:div>
    <w:div w:id="1128165562">
      <w:bodyDiv w:val="1"/>
      <w:marLeft w:val="0"/>
      <w:marRight w:val="0"/>
      <w:marTop w:val="0"/>
      <w:marBottom w:val="0"/>
      <w:divBdr>
        <w:top w:val="none" w:sz="0" w:space="0" w:color="auto"/>
        <w:left w:val="none" w:sz="0" w:space="0" w:color="auto"/>
        <w:bottom w:val="none" w:sz="0" w:space="0" w:color="auto"/>
        <w:right w:val="none" w:sz="0" w:space="0" w:color="auto"/>
      </w:divBdr>
    </w:div>
    <w:div w:id="1144617157">
      <w:bodyDiv w:val="1"/>
      <w:marLeft w:val="0"/>
      <w:marRight w:val="0"/>
      <w:marTop w:val="0"/>
      <w:marBottom w:val="0"/>
      <w:divBdr>
        <w:top w:val="none" w:sz="0" w:space="0" w:color="auto"/>
        <w:left w:val="none" w:sz="0" w:space="0" w:color="auto"/>
        <w:bottom w:val="none" w:sz="0" w:space="0" w:color="auto"/>
        <w:right w:val="none" w:sz="0" w:space="0" w:color="auto"/>
      </w:divBdr>
    </w:div>
    <w:div w:id="1153763024">
      <w:bodyDiv w:val="1"/>
      <w:marLeft w:val="0"/>
      <w:marRight w:val="0"/>
      <w:marTop w:val="0"/>
      <w:marBottom w:val="0"/>
      <w:divBdr>
        <w:top w:val="none" w:sz="0" w:space="0" w:color="auto"/>
        <w:left w:val="none" w:sz="0" w:space="0" w:color="auto"/>
        <w:bottom w:val="none" w:sz="0" w:space="0" w:color="auto"/>
        <w:right w:val="none" w:sz="0" w:space="0" w:color="auto"/>
      </w:divBdr>
    </w:div>
    <w:div w:id="1207644596">
      <w:bodyDiv w:val="1"/>
      <w:marLeft w:val="0"/>
      <w:marRight w:val="0"/>
      <w:marTop w:val="0"/>
      <w:marBottom w:val="0"/>
      <w:divBdr>
        <w:top w:val="none" w:sz="0" w:space="0" w:color="auto"/>
        <w:left w:val="none" w:sz="0" w:space="0" w:color="auto"/>
        <w:bottom w:val="none" w:sz="0" w:space="0" w:color="auto"/>
        <w:right w:val="none" w:sz="0" w:space="0" w:color="auto"/>
      </w:divBdr>
    </w:div>
    <w:div w:id="1216087596">
      <w:bodyDiv w:val="1"/>
      <w:marLeft w:val="0"/>
      <w:marRight w:val="0"/>
      <w:marTop w:val="0"/>
      <w:marBottom w:val="0"/>
      <w:divBdr>
        <w:top w:val="none" w:sz="0" w:space="0" w:color="auto"/>
        <w:left w:val="none" w:sz="0" w:space="0" w:color="auto"/>
        <w:bottom w:val="none" w:sz="0" w:space="0" w:color="auto"/>
        <w:right w:val="none" w:sz="0" w:space="0" w:color="auto"/>
      </w:divBdr>
    </w:div>
    <w:div w:id="1220631639">
      <w:bodyDiv w:val="1"/>
      <w:marLeft w:val="0"/>
      <w:marRight w:val="0"/>
      <w:marTop w:val="0"/>
      <w:marBottom w:val="0"/>
      <w:divBdr>
        <w:top w:val="none" w:sz="0" w:space="0" w:color="auto"/>
        <w:left w:val="none" w:sz="0" w:space="0" w:color="auto"/>
        <w:bottom w:val="none" w:sz="0" w:space="0" w:color="auto"/>
        <w:right w:val="none" w:sz="0" w:space="0" w:color="auto"/>
      </w:divBdr>
    </w:div>
    <w:div w:id="1239824684">
      <w:bodyDiv w:val="1"/>
      <w:marLeft w:val="0"/>
      <w:marRight w:val="0"/>
      <w:marTop w:val="0"/>
      <w:marBottom w:val="0"/>
      <w:divBdr>
        <w:top w:val="none" w:sz="0" w:space="0" w:color="auto"/>
        <w:left w:val="none" w:sz="0" w:space="0" w:color="auto"/>
        <w:bottom w:val="none" w:sz="0" w:space="0" w:color="auto"/>
        <w:right w:val="none" w:sz="0" w:space="0" w:color="auto"/>
      </w:divBdr>
    </w:div>
    <w:div w:id="1270432998">
      <w:bodyDiv w:val="1"/>
      <w:marLeft w:val="0"/>
      <w:marRight w:val="0"/>
      <w:marTop w:val="0"/>
      <w:marBottom w:val="0"/>
      <w:divBdr>
        <w:top w:val="none" w:sz="0" w:space="0" w:color="auto"/>
        <w:left w:val="none" w:sz="0" w:space="0" w:color="auto"/>
        <w:bottom w:val="none" w:sz="0" w:space="0" w:color="auto"/>
        <w:right w:val="none" w:sz="0" w:space="0" w:color="auto"/>
      </w:divBdr>
    </w:div>
    <w:div w:id="1273170102">
      <w:bodyDiv w:val="1"/>
      <w:marLeft w:val="0"/>
      <w:marRight w:val="0"/>
      <w:marTop w:val="0"/>
      <w:marBottom w:val="0"/>
      <w:divBdr>
        <w:top w:val="none" w:sz="0" w:space="0" w:color="auto"/>
        <w:left w:val="none" w:sz="0" w:space="0" w:color="auto"/>
        <w:bottom w:val="none" w:sz="0" w:space="0" w:color="auto"/>
        <w:right w:val="none" w:sz="0" w:space="0" w:color="auto"/>
      </w:divBdr>
    </w:div>
    <w:div w:id="1273514911">
      <w:bodyDiv w:val="1"/>
      <w:marLeft w:val="0"/>
      <w:marRight w:val="0"/>
      <w:marTop w:val="0"/>
      <w:marBottom w:val="0"/>
      <w:divBdr>
        <w:top w:val="none" w:sz="0" w:space="0" w:color="auto"/>
        <w:left w:val="none" w:sz="0" w:space="0" w:color="auto"/>
        <w:bottom w:val="none" w:sz="0" w:space="0" w:color="auto"/>
        <w:right w:val="none" w:sz="0" w:space="0" w:color="auto"/>
      </w:divBdr>
    </w:div>
    <w:div w:id="1330981323">
      <w:bodyDiv w:val="1"/>
      <w:marLeft w:val="0"/>
      <w:marRight w:val="0"/>
      <w:marTop w:val="0"/>
      <w:marBottom w:val="0"/>
      <w:divBdr>
        <w:top w:val="none" w:sz="0" w:space="0" w:color="auto"/>
        <w:left w:val="none" w:sz="0" w:space="0" w:color="auto"/>
        <w:bottom w:val="none" w:sz="0" w:space="0" w:color="auto"/>
        <w:right w:val="none" w:sz="0" w:space="0" w:color="auto"/>
      </w:divBdr>
    </w:div>
    <w:div w:id="1336617454">
      <w:bodyDiv w:val="1"/>
      <w:marLeft w:val="0"/>
      <w:marRight w:val="0"/>
      <w:marTop w:val="0"/>
      <w:marBottom w:val="0"/>
      <w:divBdr>
        <w:top w:val="none" w:sz="0" w:space="0" w:color="auto"/>
        <w:left w:val="none" w:sz="0" w:space="0" w:color="auto"/>
        <w:bottom w:val="none" w:sz="0" w:space="0" w:color="auto"/>
        <w:right w:val="none" w:sz="0" w:space="0" w:color="auto"/>
      </w:divBdr>
    </w:div>
    <w:div w:id="1344940341">
      <w:bodyDiv w:val="1"/>
      <w:marLeft w:val="0"/>
      <w:marRight w:val="0"/>
      <w:marTop w:val="0"/>
      <w:marBottom w:val="0"/>
      <w:divBdr>
        <w:top w:val="none" w:sz="0" w:space="0" w:color="auto"/>
        <w:left w:val="none" w:sz="0" w:space="0" w:color="auto"/>
        <w:bottom w:val="none" w:sz="0" w:space="0" w:color="auto"/>
        <w:right w:val="none" w:sz="0" w:space="0" w:color="auto"/>
      </w:divBdr>
    </w:div>
    <w:div w:id="1366716579">
      <w:bodyDiv w:val="1"/>
      <w:marLeft w:val="0"/>
      <w:marRight w:val="0"/>
      <w:marTop w:val="0"/>
      <w:marBottom w:val="0"/>
      <w:divBdr>
        <w:top w:val="none" w:sz="0" w:space="0" w:color="auto"/>
        <w:left w:val="none" w:sz="0" w:space="0" w:color="auto"/>
        <w:bottom w:val="none" w:sz="0" w:space="0" w:color="auto"/>
        <w:right w:val="none" w:sz="0" w:space="0" w:color="auto"/>
      </w:divBdr>
    </w:div>
    <w:div w:id="1382368105">
      <w:bodyDiv w:val="1"/>
      <w:marLeft w:val="0"/>
      <w:marRight w:val="0"/>
      <w:marTop w:val="0"/>
      <w:marBottom w:val="0"/>
      <w:divBdr>
        <w:top w:val="none" w:sz="0" w:space="0" w:color="auto"/>
        <w:left w:val="none" w:sz="0" w:space="0" w:color="auto"/>
        <w:bottom w:val="none" w:sz="0" w:space="0" w:color="auto"/>
        <w:right w:val="none" w:sz="0" w:space="0" w:color="auto"/>
      </w:divBdr>
    </w:div>
    <w:div w:id="1397437513">
      <w:bodyDiv w:val="1"/>
      <w:marLeft w:val="0"/>
      <w:marRight w:val="0"/>
      <w:marTop w:val="0"/>
      <w:marBottom w:val="0"/>
      <w:divBdr>
        <w:top w:val="none" w:sz="0" w:space="0" w:color="auto"/>
        <w:left w:val="none" w:sz="0" w:space="0" w:color="auto"/>
        <w:bottom w:val="none" w:sz="0" w:space="0" w:color="auto"/>
        <w:right w:val="none" w:sz="0" w:space="0" w:color="auto"/>
      </w:divBdr>
    </w:div>
    <w:div w:id="1399014718">
      <w:bodyDiv w:val="1"/>
      <w:marLeft w:val="0"/>
      <w:marRight w:val="0"/>
      <w:marTop w:val="0"/>
      <w:marBottom w:val="0"/>
      <w:divBdr>
        <w:top w:val="none" w:sz="0" w:space="0" w:color="auto"/>
        <w:left w:val="none" w:sz="0" w:space="0" w:color="auto"/>
        <w:bottom w:val="none" w:sz="0" w:space="0" w:color="auto"/>
        <w:right w:val="none" w:sz="0" w:space="0" w:color="auto"/>
      </w:divBdr>
    </w:div>
    <w:div w:id="1418137817">
      <w:bodyDiv w:val="1"/>
      <w:marLeft w:val="0"/>
      <w:marRight w:val="0"/>
      <w:marTop w:val="0"/>
      <w:marBottom w:val="0"/>
      <w:divBdr>
        <w:top w:val="none" w:sz="0" w:space="0" w:color="auto"/>
        <w:left w:val="none" w:sz="0" w:space="0" w:color="auto"/>
        <w:bottom w:val="none" w:sz="0" w:space="0" w:color="auto"/>
        <w:right w:val="none" w:sz="0" w:space="0" w:color="auto"/>
      </w:divBdr>
    </w:div>
    <w:div w:id="1419641913">
      <w:bodyDiv w:val="1"/>
      <w:marLeft w:val="0"/>
      <w:marRight w:val="0"/>
      <w:marTop w:val="0"/>
      <w:marBottom w:val="0"/>
      <w:divBdr>
        <w:top w:val="none" w:sz="0" w:space="0" w:color="auto"/>
        <w:left w:val="none" w:sz="0" w:space="0" w:color="auto"/>
        <w:bottom w:val="none" w:sz="0" w:space="0" w:color="auto"/>
        <w:right w:val="none" w:sz="0" w:space="0" w:color="auto"/>
      </w:divBdr>
    </w:div>
    <w:div w:id="1447773873">
      <w:bodyDiv w:val="1"/>
      <w:marLeft w:val="0"/>
      <w:marRight w:val="0"/>
      <w:marTop w:val="0"/>
      <w:marBottom w:val="0"/>
      <w:divBdr>
        <w:top w:val="none" w:sz="0" w:space="0" w:color="auto"/>
        <w:left w:val="none" w:sz="0" w:space="0" w:color="auto"/>
        <w:bottom w:val="none" w:sz="0" w:space="0" w:color="auto"/>
        <w:right w:val="none" w:sz="0" w:space="0" w:color="auto"/>
      </w:divBdr>
    </w:div>
    <w:div w:id="1468089580">
      <w:bodyDiv w:val="1"/>
      <w:marLeft w:val="0"/>
      <w:marRight w:val="0"/>
      <w:marTop w:val="0"/>
      <w:marBottom w:val="0"/>
      <w:divBdr>
        <w:top w:val="none" w:sz="0" w:space="0" w:color="auto"/>
        <w:left w:val="none" w:sz="0" w:space="0" w:color="auto"/>
        <w:bottom w:val="none" w:sz="0" w:space="0" w:color="auto"/>
        <w:right w:val="none" w:sz="0" w:space="0" w:color="auto"/>
      </w:divBdr>
    </w:div>
    <w:div w:id="1494220854">
      <w:bodyDiv w:val="1"/>
      <w:marLeft w:val="0"/>
      <w:marRight w:val="0"/>
      <w:marTop w:val="0"/>
      <w:marBottom w:val="0"/>
      <w:divBdr>
        <w:top w:val="none" w:sz="0" w:space="0" w:color="auto"/>
        <w:left w:val="none" w:sz="0" w:space="0" w:color="auto"/>
        <w:bottom w:val="none" w:sz="0" w:space="0" w:color="auto"/>
        <w:right w:val="none" w:sz="0" w:space="0" w:color="auto"/>
      </w:divBdr>
    </w:div>
    <w:div w:id="1505625688">
      <w:bodyDiv w:val="1"/>
      <w:marLeft w:val="0"/>
      <w:marRight w:val="0"/>
      <w:marTop w:val="0"/>
      <w:marBottom w:val="0"/>
      <w:divBdr>
        <w:top w:val="none" w:sz="0" w:space="0" w:color="auto"/>
        <w:left w:val="none" w:sz="0" w:space="0" w:color="auto"/>
        <w:bottom w:val="none" w:sz="0" w:space="0" w:color="auto"/>
        <w:right w:val="none" w:sz="0" w:space="0" w:color="auto"/>
      </w:divBdr>
    </w:div>
    <w:div w:id="1514762220">
      <w:bodyDiv w:val="1"/>
      <w:marLeft w:val="0"/>
      <w:marRight w:val="0"/>
      <w:marTop w:val="0"/>
      <w:marBottom w:val="0"/>
      <w:divBdr>
        <w:top w:val="none" w:sz="0" w:space="0" w:color="auto"/>
        <w:left w:val="none" w:sz="0" w:space="0" w:color="auto"/>
        <w:bottom w:val="none" w:sz="0" w:space="0" w:color="auto"/>
        <w:right w:val="none" w:sz="0" w:space="0" w:color="auto"/>
      </w:divBdr>
    </w:div>
    <w:div w:id="1547451083">
      <w:bodyDiv w:val="1"/>
      <w:marLeft w:val="0"/>
      <w:marRight w:val="0"/>
      <w:marTop w:val="0"/>
      <w:marBottom w:val="0"/>
      <w:divBdr>
        <w:top w:val="none" w:sz="0" w:space="0" w:color="auto"/>
        <w:left w:val="none" w:sz="0" w:space="0" w:color="auto"/>
        <w:bottom w:val="none" w:sz="0" w:space="0" w:color="auto"/>
        <w:right w:val="none" w:sz="0" w:space="0" w:color="auto"/>
      </w:divBdr>
    </w:div>
    <w:div w:id="1550216539">
      <w:bodyDiv w:val="1"/>
      <w:marLeft w:val="0"/>
      <w:marRight w:val="0"/>
      <w:marTop w:val="0"/>
      <w:marBottom w:val="0"/>
      <w:divBdr>
        <w:top w:val="none" w:sz="0" w:space="0" w:color="auto"/>
        <w:left w:val="none" w:sz="0" w:space="0" w:color="auto"/>
        <w:bottom w:val="none" w:sz="0" w:space="0" w:color="auto"/>
        <w:right w:val="none" w:sz="0" w:space="0" w:color="auto"/>
      </w:divBdr>
    </w:div>
    <w:div w:id="1575318720">
      <w:bodyDiv w:val="1"/>
      <w:marLeft w:val="0"/>
      <w:marRight w:val="0"/>
      <w:marTop w:val="0"/>
      <w:marBottom w:val="0"/>
      <w:divBdr>
        <w:top w:val="none" w:sz="0" w:space="0" w:color="auto"/>
        <w:left w:val="none" w:sz="0" w:space="0" w:color="auto"/>
        <w:bottom w:val="none" w:sz="0" w:space="0" w:color="auto"/>
        <w:right w:val="none" w:sz="0" w:space="0" w:color="auto"/>
      </w:divBdr>
    </w:div>
    <w:div w:id="1577472821">
      <w:bodyDiv w:val="1"/>
      <w:marLeft w:val="0"/>
      <w:marRight w:val="0"/>
      <w:marTop w:val="0"/>
      <w:marBottom w:val="0"/>
      <w:divBdr>
        <w:top w:val="none" w:sz="0" w:space="0" w:color="auto"/>
        <w:left w:val="none" w:sz="0" w:space="0" w:color="auto"/>
        <w:bottom w:val="none" w:sz="0" w:space="0" w:color="auto"/>
        <w:right w:val="none" w:sz="0" w:space="0" w:color="auto"/>
      </w:divBdr>
    </w:div>
    <w:div w:id="1589196026">
      <w:bodyDiv w:val="1"/>
      <w:marLeft w:val="0"/>
      <w:marRight w:val="0"/>
      <w:marTop w:val="0"/>
      <w:marBottom w:val="0"/>
      <w:divBdr>
        <w:top w:val="none" w:sz="0" w:space="0" w:color="auto"/>
        <w:left w:val="none" w:sz="0" w:space="0" w:color="auto"/>
        <w:bottom w:val="none" w:sz="0" w:space="0" w:color="auto"/>
        <w:right w:val="none" w:sz="0" w:space="0" w:color="auto"/>
      </w:divBdr>
    </w:div>
    <w:div w:id="1598709401">
      <w:bodyDiv w:val="1"/>
      <w:marLeft w:val="0"/>
      <w:marRight w:val="0"/>
      <w:marTop w:val="0"/>
      <w:marBottom w:val="0"/>
      <w:divBdr>
        <w:top w:val="none" w:sz="0" w:space="0" w:color="auto"/>
        <w:left w:val="none" w:sz="0" w:space="0" w:color="auto"/>
        <w:bottom w:val="none" w:sz="0" w:space="0" w:color="auto"/>
        <w:right w:val="none" w:sz="0" w:space="0" w:color="auto"/>
      </w:divBdr>
    </w:div>
    <w:div w:id="1603104192">
      <w:bodyDiv w:val="1"/>
      <w:marLeft w:val="0"/>
      <w:marRight w:val="0"/>
      <w:marTop w:val="0"/>
      <w:marBottom w:val="0"/>
      <w:divBdr>
        <w:top w:val="none" w:sz="0" w:space="0" w:color="auto"/>
        <w:left w:val="none" w:sz="0" w:space="0" w:color="auto"/>
        <w:bottom w:val="none" w:sz="0" w:space="0" w:color="auto"/>
        <w:right w:val="none" w:sz="0" w:space="0" w:color="auto"/>
      </w:divBdr>
    </w:div>
    <w:div w:id="1626155587">
      <w:bodyDiv w:val="1"/>
      <w:marLeft w:val="0"/>
      <w:marRight w:val="0"/>
      <w:marTop w:val="0"/>
      <w:marBottom w:val="0"/>
      <w:divBdr>
        <w:top w:val="none" w:sz="0" w:space="0" w:color="auto"/>
        <w:left w:val="none" w:sz="0" w:space="0" w:color="auto"/>
        <w:bottom w:val="none" w:sz="0" w:space="0" w:color="auto"/>
        <w:right w:val="none" w:sz="0" w:space="0" w:color="auto"/>
      </w:divBdr>
    </w:div>
    <w:div w:id="1627199683">
      <w:bodyDiv w:val="1"/>
      <w:marLeft w:val="0"/>
      <w:marRight w:val="0"/>
      <w:marTop w:val="0"/>
      <w:marBottom w:val="0"/>
      <w:divBdr>
        <w:top w:val="none" w:sz="0" w:space="0" w:color="auto"/>
        <w:left w:val="none" w:sz="0" w:space="0" w:color="auto"/>
        <w:bottom w:val="none" w:sz="0" w:space="0" w:color="auto"/>
        <w:right w:val="none" w:sz="0" w:space="0" w:color="auto"/>
      </w:divBdr>
    </w:div>
    <w:div w:id="1632323061">
      <w:bodyDiv w:val="1"/>
      <w:marLeft w:val="0"/>
      <w:marRight w:val="0"/>
      <w:marTop w:val="0"/>
      <w:marBottom w:val="0"/>
      <w:divBdr>
        <w:top w:val="none" w:sz="0" w:space="0" w:color="auto"/>
        <w:left w:val="none" w:sz="0" w:space="0" w:color="auto"/>
        <w:bottom w:val="none" w:sz="0" w:space="0" w:color="auto"/>
        <w:right w:val="none" w:sz="0" w:space="0" w:color="auto"/>
      </w:divBdr>
    </w:div>
    <w:div w:id="1633628615">
      <w:bodyDiv w:val="1"/>
      <w:marLeft w:val="0"/>
      <w:marRight w:val="0"/>
      <w:marTop w:val="0"/>
      <w:marBottom w:val="0"/>
      <w:divBdr>
        <w:top w:val="none" w:sz="0" w:space="0" w:color="auto"/>
        <w:left w:val="none" w:sz="0" w:space="0" w:color="auto"/>
        <w:bottom w:val="none" w:sz="0" w:space="0" w:color="auto"/>
        <w:right w:val="none" w:sz="0" w:space="0" w:color="auto"/>
      </w:divBdr>
    </w:div>
    <w:div w:id="1669602215">
      <w:bodyDiv w:val="1"/>
      <w:marLeft w:val="0"/>
      <w:marRight w:val="0"/>
      <w:marTop w:val="0"/>
      <w:marBottom w:val="0"/>
      <w:divBdr>
        <w:top w:val="none" w:sz="0" w:space="0" w:color="auto"/>
        <w:left w:val="none" w:sz="0" w:space="0" w:color="auto"/>
        <w:bottom w:val="none" w:sz="0" w:space="0" w:color="auto"/>
        <w:right w:val="none" w:sz="0" w:space="0" w:color="auto"/>
      </w:divBdr>
    </w:div>
    <w:div w:id="1685479809">
      <w:bodyDiv w:val="1"/>
      <w:marLeft w:val="0"/>
      <w:marRight w:val="0"/>
      <w:marTop w:val="0"/>
      <w:marBottom w:val="0"/>
      <w:divBdr>
        <w:top w:val="none" w:sz="0" w:space="0" w:color="auto"/>
        <w:left w:val="none" w:sz="0" w:space="0" w:color="auto"/>
        <w:bottom w:val="none" w:sz="0" w:space="0" w:color="auto"/>
        <w:right w:val="none" w:sz="0" w:space="0" w:color="auto"/>
      </w:divBdr>
    </w:div>
    <w:div w:id="1705934420">
      <w:bodyDiv w:val="1"/>
      <w:marLeft w:val="0"/>
      <w:marRight w:val="0"/>
      <w:marTop w:val="0"/>
      <w:marBottom w:val="0"/>
      <w:divBdr>
        <w:top w:val="none" w:sz="0" w:space="0" w:color="auto"/>
        <w:left w:val="none" w:sz="0" w:space="0" w:color="auto"/>
        <w:bottom w:val="none" w:sz="0" w:space="0" w:color="auto"/>
        <w:right w:val="none" w:sz="0" w:space="0" w:color="auto"/>
      </w:divBdr>
    </w:div>
    <w:div w:id="1710689260">
      <w:bodyDiv w:val="1"/>
      <w:marLeft w:val="0"/>
      <w:marRight w:val="0"/>
      <w:marTop w:val="0"/>
      <w:marBottom w:val="0"/>
      <w:divBdr>
        <w:top w:val="none" w:sz="0" w:space="0" w:color="auto"/>
        <w:left w:val="none" w:sz="0" w:space="0" w:color="auto"/>
        <w:bottom w:val="none" w:sz="0" w:space="0" w:color="auto"/>
        <w:right w:val="none" w:sz="0" w:space="0" w:color="auto"/>
      </w:divBdr>
    </w:div>
    <w:div w:id="1710955887">
      <w:bodyDiv w:val="1"/>
      <w:marLeft w:val="0"/>
      <w:marRight w:val="0"/>
      <w:marTop w:val="0"/>
      <w:marBottom w:val="0"/>
      <w:divBdr>
        <w:top w:val="none" w:sz="0" w:space="0" w:color="auto"/>
        <w:left w:val="none" w:sz="0" w:space="0" w:color="auto"/>
        <w:bottom w:val="none" w:sz="0" w:space="0" w:color="auto"/>
        <w:right w:val="none" w:sz="0" w:space="0" w:color="auto"/>
      </w:divBdr>
    </w:div>
    <w:div w:id="1720741311">
      <w:bodyDiv w:val="1"/>
      <w:marLeft w:val="0"/>
      <w:marRight w:val="0"/>
      <w:marTop w:val="0"/>
      <w:marBottom w:val="0"/>
      <w:divBdr>
        <w:top w:val="none" w:sz="0" w:space="0" w:color="auto"/>
        <w:left w:val="none" w:sz="0" w:space="0" w:color="auto"/>
        <w:bottom w:val="none" w:sz="0" w:space="0" w:color="auto"/>
        <w:right w:val="none" w:sz="0" w:space="0" w:color="auto"/>
      </w:divBdr>
    </w:div>
    <w:div w:id="1725833167">
      <w:bodyDiv w:val="1"/>
      <w:marLeft w:val="0"/>
      <w:marRight w:val="0"/>
      <w:marTop w:val="0"/>
      <w:marBottom w:val="0"/>
      <w:divBdr>
        <w:top w:val="none" w:sz="0" w:space="0" w:color="auto"/>
        <w:left w:val="none" w:sz="0" w:space="0" w:color="auto"/>
        <w:bottom w:val="none" w:sz="0" w:space="0" w:color="auto"/>
        <w:right w:val="none" w:sz="0" w:space="0" w:color="auto"/>
      </w:divBdr>
    </w:div>
    <w:div w:id="1743790411">
      <w:bodyDiv w:val="1"/>
      <w:marLeft w:val="0"/>
      <w:marRight w:val="0"/>
      <w:marTop w:val="0"/>
      <w:marBottom w:val="0"/>
      <w:divBdr>
        <w:top w:val="none" w:sz="0" w:space="0" w:color="auto"/>
        <w:left w:val="none" w:sz="0" w:space="0" w:color="auto"/>
        <w:bottom w:val="none" w:sz="0" w:space="0" w:color="auto"/>
        <w:right w:val="none" w:sz="0" w:space="0" w:color="auto"/>
      </w:divBdr>
    </w:div>
    <w:div w:id="1747528267">
      <w:bodyDiv w:val="1"/>
      <w:marLeft w:val="0"/>
      <w:marRight w:val="0"/>
      <w:marTop w:val="0"/>
      <w:marBottom w:val="0"/>
      <w:divBdr>
        <w:top w:val="none" w:sz="0" w:space="0" w:color="auto"/>
        <w:left w:val="none" w:sz="0" w:space="0" w:color="auto"/>
        <w:bottom w:val="none" w:sz="0" w:space="0" w:color="auto"/>
        <w:right w:val="none" w:sz="0" w:space="0" w:color="auto"/>
      </w:divBdr>
    </w:div>
    <w:div w:id="1747993696">
      <w:bodyDiv w:val="1"/>
      <w:marLeft w:val="0"/>
      <w:marRight w:val="0"/>
      <w:marTop w:val="0"/>
      <w:marBottom w:val="0"/>
      <w:divBdr>
        <w:top w:val="none" w:sz="0" w:space="0" w:color="auto"/>
        <w:left w:val="none" w:sz="0" w:space="0" w:color="auto"/>
        <w:bottom w:val="none" w:sz="0" w:space="0" w:color="auto"/>
        <w:right w:val="none" w:sz="0" w:space="0" w:color="auto"/>
      </w:divBdr>
    </w:div>
    <w:div w:id="1760129667">
      <w:bodyDiv w:val="1"/>
      <w:marLeft w:val="0"/>
      <w:marRight w:val="0"/>
      <w:marTop w:val="0"/>
      <w:marBottom w:val="0"/>
      <w:divBdr>
        <w:top w:val="none" w:sz="0" w:space="0" w:color="auto"/>
        <w:left w:val="none" w:sz="0" w:space="0" w:color="auto"/>
        <w:bottom w:val="none" w:sz="0" w:space="0" w:color="auto"/>
        <w:right w:val="none" w:sz="0" w:space="0" w:color="auto"/>
      </w:divBdr>
    </w:div>
    <w:div w:id="1793938524">
      <w:bodyDiv w:val="1"/>
      <w:marLeft w:val="0"/>
      <w:marRight w:val="0"/>
      <w:marTop w:val="0"/>
      <w:marBottom w:val="0"/>
      <w:divBdr>
        <w:top w:val="none" w:sz="0" w:space="0" w:color="auto"/>
        <w:left w:val="none" w:sz="0" w:space="0" w:color="auto"/>
        <w:bottom w:val="none" w:sz="0" w:space="0" w:color="auto"/>
        <w:right w:val="none" w:sz="0" w:space="0" w:color="auto"/>
      </w:divBdr>
    </w:div>
    <w:div w:id="1835607416">
      <w:bodyDiv w:val="1"/>
      <w:marLeft w:val="0"/>
      <w:marRight w:val="0"/>
      <w:marTop w:val="0"/>
      <w:marBottom w:val="0"/>
      <w:divBdr>
        <w:top w:val="none" w:sz="0" w:space="0" w:color="auto"/>
        <w:left w:val="none" w:sz="0" w:space="0" w:color="auto"/>
        <w:bottom w:val="none" w:sz="0" w:space="0" w:color="auto"/>
        <w:right w:val="none" w:sz="0" w:space="0" w:color="auto"/>
      </w:divBdr>
    </w:div>
    <w:div w:id="1839227973">
      <w:bodyDiv w:val="1"/>
      <w:marLeft w:val="0"/>
      <w:marRight w:val="0"/>
      <w:marTop w:val="0"/>
      <w:marBottom w:val="0"/>
      <w:divBdr>
        <w:top w:val="none" w:sz="0" w:space="0" w:color="auto"/>
        <w:left w:val="none" w:sz="0" w:space="0" w:color="auto"/>
        <w:bottom w:val="none" w:sz="0" w:space="0" w:color="auto"/>
        <w:right w:val="none" w:sz="0" w:space="0" w:color="auto"/>
      </w:divBdr>
    </w:div>
    <w:div w:id="1866868107">
      <w:bodyDiv w:val="1"/>
      <w:marLeft w:val="0"/>
      <w:marRight w:val="0"/>
      <w:marTop w:val="0"/>
      <w:marBottom w:val="0"/>
      <w:divBdr>
        <w:top w:val="none" w:sz="0" w:space="0" w:color="auto"/>
        <w:left w:val="none" w:sz="0" w:space="0" w:color="auto"/>
        <w:bottom w:val="none" w:sz="0" w:space="0" w:color="auto"/>
        <w:right w:val="none" w:sz="0" w:space="0" w:color="auto"/>
      </w:divBdr>
    </w:div>
    <w:div w:id="1872066974">
      <w:bodyDiv w:val="1"/>
      <w:marLeft w:val="0"/>
      <w:marRight w:val="0"/>
      <w:marTop w:val="0"/>
      <w:marBottom w:val="0"/>
      <w:divBdr>
        <w:top w:val="none" w:sz="0" w:space="0" w:color="auto"/>
        <w:left w:val="none" w:sz="0" w:space="0" w:color="auto"/>
        <w:bottom w:val="none" w:sz="0" w:space="0" w:color="auto"/>
        <w:right w:val="none" w:sz="0" w:space="0" w:color="auto"/>
      </w:divBdr>
    </w:div>
    <w:div w:id="1873683271">
      <w:bodyDiv w:val="1"/>
      <w:marLeft w:val="0"/>
      <w:marRight w:val="0"/>
      <w:marTop w:val="0"/>
      <w:marBottom w:val="0"/>
      <w:divBdr>
        <w:top w:val="none" w:sz="0" w:space="0" w:color="auto"/>
        <w:left w:val="none" w:sz="0" w:space="0" w:color="auto"/>
        <w:bottom w:val="none" w:sz="0" w:space="0" w:color="auto"/>
        <w:right w:val="none" w:sz="0" w:space="0" w:color="auto"/>
      </w:divBdr>
    </w:div>
    <w:div w:id="1884975770">
      <w:bodyDiv w:val="1"/>
      <w:marLeft w:val="0"/>
      <w:marRight w:val="0"/>
      <w:marTop w:val="0"/>
      <w:marBottom w:val="0"/>
      <w:divBdr>
        <w:top w:val="none" w:sz="0" w:space="0" w:color="auto"/>
        <w:left w:val="none" w:sz="0" w:space="0" w:color="auto"/>
        <w:bottom w:val="none" w:sz="0" w:space="0" w:color="auto"/>
        <w:right w:val="none" w:sz="0" w:space="0" w:color="auto"/>
      </w:divBdr>
    </w:div>
    <w:div w:id="1885407623">
      <w:bodyDiv w:val="1"/>
      <w:marLeft w:val="0"/>
      <w:marRight w:val="0"/>
      <w:marTop w:val="0"/>
      <w:marBottom w:val="0"/>
      <w:divBdr>
        <w:top w:val="none" w:sz="0" w:space="0" w:color="auto"/>
        <w:left w:val="none" w:sz="0" w:space="0" w:color="auto"/>
        <w:bottom w:val="none" w:sz="0" w:space="0" w:color="auto"/>
        <w:right w:val="none" w:sz="0" w:space="0" w:color="auto"/>
      </w:divBdr>
    </w:div>
    <w:div w:id="1886988065">
      <w:bodyDiv w:val="1"/>
      <w:marLeft w:val="0"/>
      <w:marRight w:val="0"/>
      <w:marTop w:val="0"/>
      <w:marBottom w:val="0"/>
      <w:divBdr>
        <w:top w:val="none" w:sz="0" w:space="0" w:color="auto"/>
        <w:left w:val="none" w:sz="0" w:space="0" w:color="auto"/>
        <w:bottom w:val="none" w:sz="0" w:space="0" w:color="auto"/>
        <w:right w:val="none" w:sz="0" w:space="0" w:color="auto"/>
      </w:divBdr>
    </w:div>
    <w:div w:id="1920210335">
      <w:bodyDiv w:val="1"/>
      <w:marLeft w:val="0"/>
      <w:marRight w:val="0"/>
      <w:marTop w:val="0"/>
      <w:marBottom w:val="0"/>
      <w:divBdr>
        <w:top w:val="none" w:sz="0" w:space="0" w:color="auto"/>
        <w:left w:val="none" w:sz="0" w:space="0" w:color="auto"/>
        <w:bottom w:val="none" w:sz="0" w:space="0" w:color="auto"/>
        <w:right w:val="none" w:sz="0" w:space="0" w:color="auto"/>
      </w:divBdr>
    </w:div>
    <w:div w:id="1935702458">
      <w:bodyDiv w:val="1"/>
      <w:marLeft w:val="0"/>
      <w:marRight w:val="0"/>
      <w:marTop w:val="0"/>
      <w:marBottom w:val="0"/>
      <w:divBdr>
        <w:top w:val="none" w:sz="0" w:space="0" w:color="auto"/>
        <w:left w:val="none" w:sz="0" w:space="0" w:color="auto"/>
        <w:bottom w:val="none" w:sz="0" w:space="0" w:color="auto"/>
        <w:right w:val="none" w:sz="0" w:space="0" w:color="auto"/>
      </w:divBdr>
    </w:div>
    <w:div w:id="1942686615">
      <w:bodyDiv w:val="1"/>
      <w:marLeft w:val="0"/>
      <w:marRight w:val="0"/>
      <w:marTop w:val="0"/>
      <w:marBottom w:val="0"/>
      <w:divBdr>
        <w:top w:val="none" w:sz="0" w:space="0" w:color="auto"/>
        <w:left w:val="none" w:sz="0" w:space="0" w:color="auto"/>
        <w:bottom w:val="none" w:sz="0" w:space="0" w:color="auto"/>
        <w:right w:val="none" w:sz="0" w:space="0" w:color="auto"/>
      </w:divBdr>
    </w:div>
    <w:div w:id="1943024584">
      <w:bodyDiv w:val="1"/>
      <w:marLeft w:val="0"/>
      <w:marRight w:val="0"/>
      <w:marTop w:val="0"/>
      <w:marBottom w:val="0"/>
      <w:divBdr>
        <w:top w:val="none" w:sz="0" w:space="0" w:color="auto"/>
        <w:left w:val="none" w:sz="0" w:space="0" w:color="auto"/>
        <w:bottom w:val="none" w:sz="0" w:space="0" w:color="auto"/>
        <w:right w:val="none" w:sz="0" w:space="0" w:color="auto"/>
      </w:divBdr>
    </w:div>
    <w:div w:id="1970475798">
      <w:bodyDiv w:val="1"/>
      <w:marLeft w:val="0"/>
      <w:marRight w:val="0"/>
      <w:marTop w:val="0"/>
      <w:marBottom w:val="0"/>
      <w:divBdr>
        <w:top w:val="none" w:sz="0" w:space="0" w:color="auto"/>
        <w:left w:val="none" w:sz="0" w:space="0" w:color="auto"/>
        <w:bottom w:val="none" w:sz="0" w:space="0" w:color="auto"/>
        <w:right w:val="none" w:sz="0" w:space="0" w:color="auto"/>
      </w:divBdr>
    </w:div>
    <w:div w:id="1993412114">
      <w:bodyDiv w:val="1"/>
      <w:marLeft w:val="0"/>
      <w:marRight w:val="0"/>
      <w:marTop w:val="0"/>
      <w:marBottom w:val="0"/>
      <w:divBdr>
        <w:top w:val="none" w:sz="0" w:space="0" w:color="auto"/>
        <w:left w:val="none" w:sz="0" w:space="0" w:color="auto"/>
        <w:bottom w:val="none" w:sz="0" w:space="0" w:color="auto"/>
        <w:right w:val="none" w:sz="0" w:space="0" w:color="auto"/>
      </w:divBdr>
    </w:div>
    <w:div w:id="1994796649">
      <w:bodyDiv w:val="1"/>
      <w:marLeft w:val="0"/>
      <w:marRight w:val="0"/>
      <w:marTop w:val="0"/>
      <w:marBottom w:val="0"/>
      <w:divBdr>
        <w:top w:val="none" w:sz="0" w:space="0" w:color="auto"/>
        <w:left w:val="none" w:sz="0" w:space="0" w:color="auto"/>
        <w:bottom w:val="none" w:sz="0" w:space="0" w:color="auto"/>
        <w:right w:val="none" w:sz="0" w:space="0" w:color="auto"/>
      </w:divBdr>
    </w:div>
    <w:div w:id="2002539631">
      <w:bodyDiv w:val="1"/>
      <w:marLeft w:val="0"/>
      <w:marRight w:val="0"/>
      <w:marTop w:val="0"/>
      <w:marBottom w:val="0"/>
      <w:divBdr>
        <w:top w:val="none" w:sz="0" w:space="0" w:color="auto"/>
        <w:left w:val="none" w:sz="0" w:space="0" w:color="auto"/>
        <w:bottom w:val="none" w:sz="0" w:space="0" w:color="auto"/>
        <w:right w:val="none" w:sz="0" w:space="0" w:color="auto"/>
      </w:divBdr>
    </w:div>
    <w:div w:id="2021656844">
      <w:bodyDiv w:val="1"/>
      <w:marLeft w:val="0"/>
      <w:marRight w:val="0"/>
      <w:marTop w:val="0"/>
      <w:marBottom w:val="0"/>
      <w:divBdr>
        <w:top w:val="none" w:sz="0" w:space="0" w:color="auto"/>
        <w:left w:val="none" w:sz="0" w:space="0" w:color="auto"/>
        <w:bottom w:val="none" w:sz="0" w:space="0" w:color="auto"/>
        <w:right w:val="none" w:sz="0" w:space="0" w:color="auto"/>
      </w:divBdr>
    </w:div>
    <w:div w:id="2040081742">
      <w:bodyDiv w:val="1"/>
      <w:marLeft w:val="0"/>
      <w:marRight w:val="0"/>
      <w:marTop w:val="0"/>
      <w:marBottom w:val="0"/>
      <w:divBdr>
        <w:top w:val="none" w:sz="0" w:space="0" w:color="auto"/>
        <w:left w:val="none" w:sz="0" w:space="0" w:color="auto"/>
        <w:bottom w:val="none" w:sz="0" w:space="0" w:color="auto"/>
        <w:right w:val="none" w:sz="0" w:space="0" w:color="auto"/>
      </w:divBdr>
    </w:div>
    <w:div w:id="2041853428">
      <w:bodyDiv w:val="1"/>
      <w:marLeft w:val="0"/>
      <w:marRight w:val="0"/>
      <w:marTop w:val="0"/>
      <w:marBottom w:val="0"/>
      <w:divBdr>
        <w:top w:val="none" w:sz="0" w:space="0" w:color="auto"/>
        <w:left w:val="none" w:sz="0" w:space="0" w:color="auto"/>
        <w:bottom w:val="none" w:sz="0" w:space="0" w:color="auto"/>
        <w:right w:val="none" w:sz="0" w:space="0" w:color="auto"/>
      </w:divBdr>
    </w:div>
    <w:div w:id="2050373155">
      <w:bodyDiv w:val="1"/>
      <w:marLeft w:val="0"/>
      <w:marRight w:val="0"/>
      <w:marTop w:val="0"/>
      <w:marBottom w:val="0"/>
      <w:divBdr>
        <w:top w:val="none" w:sz="0" w:space="0" w:color="auto"/>
        <w:left w:val="none" w:sz="0" w:space="0" w:color="auto"/>
        <w:bottom w:val="none" w:sz="0" w:space="0" w:color="auto"/>
        <w:right w:val="none" w:sz="0" w:space="0" w:color="auto"/>
      </w:divBdr>
    </w:div>
    <w:div w:id="2078286536">
      <w:bodyDiv w:val="1"/>
      <w:marLeft w:val="0"/>
      <w:marRight w:val="0"/>
      <w:marTop w:val="0"/>
      <w:marBottom w:val="0"/>
      <w:divBdr>
        <w:top w:val="none" w:sz="0" w:space="0" w:color="auto"/>
        <w:left w:val="none" w:sz="0" w:space="0" w:color="auto"/>
        <w:bottom w:val="none" w:sz="0" w:space="0" w:color="auto"/>
        <w:right w:val="none" w:sz="0" w:space="0" w:color="auto"/>
      </w:divBdr>
    </w:div>
    <w:div w:id="2091609938">
      <w:bodyDiv w:val="1"/>
      <w:marLeft w:val="0"/>
      <w:marRight w:val="0"/>
      <w:marTop w:val="0"/>
      <w:marBottom w:val="0"/>
      <w:divBdr>
        <w:top w:val="none" w:sz="0" w:space="0" w:color="auto"/>
        <w:left w:val="none" w:sz="0" w:space="0" w:color="auto"/>
        <w:bottom w:val="none" w:sz="0" w:space="0" w:color="auto"/>
        <w:right w:val="none" w:sz="0" w:space="0" w:color="auto"/>
      </w:divBdr>
    </w:div>
    <w:div w:id="2099249743">
      <w:bodyDiv w:val="1"/>
      <w:marLeft w:val="0"/>
      <w:marRight w:val="0"/>
      <w:marTop w:val="0"/>
      <w:marBottom w:val="0"/>
      <w:divBdr>
        <w:top w:val="none" w:sz="0" w:space="0" w:color="auto"/>
        <w:left w:val="none" w:sz="0" w:space="0" w:color="auto"/>
        <w:bottom w:val="none" w:sz="0" w:space="0" w:color="auto"/>
        <w:right w:val="none" w:sz="0" w:space="0" w:color="auto"/>
      </w:divBdr>
    </w:div>
    <w:div w:id="2100519816">
      <w:bodyDiv w:val="1"/>
      <w:marLeft w:val="0"/>
      <w:marRight w:val="0"/>
      <w:marTop w:val="0"/>
      <w:marBottom w:val="0"/>
      <w:divBdr>
        <w:top w:val="none" w:sz="0" w:space="0" w:color="auto"/>
        <w:left w:val="none" w:sz="0" w:space="0" w:color="auto"/>
        <w:bottom w:val="none" w:sz="0" w:space="0" w:color="auto"/>
        <w:right w:val="none" w:sz="0" w:space="0" w:color="auto"/>
      </w:divBdr>
    </w:div>
    <w:div w:id="2103913779">
      <w:bodyDiv w:val="1"/>
      <w:marLeft w:val="0"/>
      <w:marRight w:val="0"/>
      <w:marTop w:val="0"/>
      <w:marBottom w:val="0"/>
      <w:divBdr>
        <w:top w:val="none" w:sz="0" w:space="0" w:color="auto"/>
        <w:left w:val="none" w:sz="0" w:space="0" w:color="auto"/>
        <w:bottom w:val="none" w:sz="0" w:space="0" w:color="auto"/>
        <w:right w:val="none" w:sz="0" w:space="0" w:color="auto"/>
      </w:divBdr>
    </w:div>
    <w:div w:id="2104104444">
      <w:bodyDiv w:val="1"/>
      <w:marLeft w:val="0"/>
      <w:marRight w:val="0"/>
      <w:marTop w:val="0"/>
      <w:marBottom w:val="0"/>
      <w:divBdr>
        <w:top w:val="none" w:sz="0" w:space="0" w:color="auto"/>
        <w:left w:val="none" w:sz="0" w:space="0" w:color="auto"/>
        <w:bottom w:val="none" w:sz="0" w:space="0" w:color="auto"/>
        <w:right w:val="none" w:sz="0" w:space="0" w:color="auto"/>
      </w:divBdr>
    </w:div>
    <w:div w:id="214121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ec.gov/comments/s7-14-16/s71416.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076FE-8BE6-41C1-84E4-82367353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5215</Words>
  <Characters>29732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34878</CharactersWithSpaces>
  <SharedDoc>false</SharedDoc>
  <HLinks>
    <vt:vector size="6" baseType="variant">
      <vt:variant>
        <vt:i4>7929974</vt:i4>
      </vt:variant>
      <vt:variant>
        <vt:i4>0</vt:i4>
      </vt:variant>
      <vt:variant>
        <vt:i4>0</vt:i4>
      </vt:variant>
      <vt:variant>
        <vt:i4>5</vt:i4>
      </vt:variant>
      <vt:variant>
        <vt:lpwstr>http://www.sec.gov/rules/proposed.shtml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2018-11-19T15:56:00Z</dcterms:created>
  <dcterms:modified xsi:type="dcterms:W3CDTF">2018-11-19T15:56:00Z</dcterms:modified>
</cp:coreProperties>
</file>