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D7" w:rsidRPr="00395146" w:rsidRDefault="009C0CD7" w:rsidP="009C0CD7">
      <w:pPr>
        <w:spacing w:before="2"/>
        <w:jc w:val="center"/>
        <w:rPr>
          <w:rFonts w:ascii="Times New Roman" w:eastAsia="Times New Roman" w:hAnsi="Times New Roman" w:cs="Times New Roman"/>
          <w:b/>
          <w:sz w:val="24"/>
          <w:szCs w:val="19"/>
        </w:rPr>
      </w:pPr>
      <w:bookmarkStart w:id="0" w:name="_GoBack"/>
      <w:bookmarkEnd w:id="0"/>
      <w:r w:rsidRPr="00395146">
        <w:rPr>
          <w:rFonts w:ascii="Times New Roman" w:eastAsia="Times New Roman" w:hAnsi="Times New Roman" w:cs="Times New Roman"/>
          <w:b/>
          <w:sz w:val="24"/>
          <w:szCs w:val="19"/>
        </w:rPr>
        <w:t>SUPPORTING STATEMENT</w:t>
      </w:r>
    </w:p>
    <w:p w:rsidR="009C0CD7" w:rsidRDefault="009C0CD7" w:rsidP="009C0CD7">
      <w:pPr>
        <w:pStyle w:val="Heading1"/>
        <w:jc w:val="center"/>
        <w:rPr>
          <w:spacing w:val="-1"/>
        </w:rPr>
      </w:pPr>
    </w:p>
    <w:p w:rsidR="009C0CD7" w:rsidRPr="000D541F" w:rsidRDefault="009C0CD7" w:rsidP="009C0CD7">
      <w:pPr>
        <w:pStyle w:val="Heading1"/>
        <w:jc w:val="center"/>
        <w:rPr>
          <w:spacing w:val="-1"/>
        </w:rPr>
      </w:pPr>
      <w:r w:rsidRPr="000D541F">
        <w:rPr>
          <w:spacing w:val="-1"/>
        </w:rPr>
        <w:t>Paperwork Reduction Act</w:t>
      </w:r>
      <w:r>
        <w:rPr>
          <w:spacing w:val="-1"/>
        </w:rPr>
        <w:t xml:space="preserve"> </w:t>
      </w:r>
      <w:r w:rsidRPr="000D541F">
        <w:rPr>
          <w:spacing w:val="-1"/>
        </w:rPr>
        <w:t>Information Collection 3090-XXXX</w:t>
      </w:r>
      <w:r>
        <w:rPr>
          <w:spacing w:val="-1"/>
        </w:rPr>
        <w:t>:</w:t>
      </w:r>
      <w:r>
        <w:rPr>
          <w:spacing w:val="-1"/>
        </w:rPr>
        <w:br/>
        <w:t>CDP Supply Chain Climate Change Information Request</w:t>
      </w:r>
    </w:p>
    <w:p w:rsidR="009C0CD7" w:rsidRDefault="009C0CD7" w:rsidP="009C0CD7">
      <w:pPr>
        <w:pStyle w:val="Heading1"/>
        <w:ind w:right="111"/>
        <w:rPr>
          <w:spacing w:val="-1"/>
        </w:rPr>
      </w:pPr>
    </w:p>
    <w:p w:rsidR="009C0CD7" w:rsidRDefault="009C0CD7" w:rsidP="009C0CD7">
      <w:pPr>
        <w:pStyle w:val="Heading1"/>
        <w:ind w:right="111"/>
        <w:rPr>
          <w:spacing w:val="-1"/>
        </w:rPr>
      </w:pPr>
    </w:p>
    <w:p w:rsidR="009C0CD7" w:rsidRDefault="009C0CD7" w:rsidP="009C0CD7">
      <w:pPr>
        <w:pStyle w:val="Heading1"/>
        <w:ind w:right="111"/>
        <w:rPr>
          <w:b w:val="0"/>
          <w:bCs w:val="0"/>
        </w:rPr>
      </w:pPr>
      <w:r>
        <w:rPr>
          <w:spacing w:val="-1"/>
        </w:rPr>
        <w:t>PART</w:t>
      </w:r>
      <w:r>
        <w:t xml:space="preserve"> </w:t>
      </w:r>
      <w:r>
        <w:rPr>
          <w:spacing w:val="-1"/>
        </w:rPr>
        <w:t>B.</w:t>
      </w:r>
      <w:r>
        <w:t xml:space="preserve"> </w:t>
      </w:r>
      <w:r>
        <w:rPr>
          <w:spacing w:val="-1"/>
        </w:rPr>
        <w:t>COLLECTIONS</w:t>
      </w:r>
      <w:r>
        <w:t xml:space="preserve"> </w:t>
      </w:r>
      <w:r>
        <w:rPr>
          <w:spacing w:val="-1"/>
        </w:rPr>
        <w:t>OF</w:t>
      </w:r>
      <w:r>
        <w:t xml:space="preserve"> </w:t>
      </w:r>
      <w:r>
        <w:rPr>
          <w:spacing w:val="-1"/>
        </w:rPr>
        <w:t>INFORMATION EMPLOYING STATISTICAL</w:t>
      </w:r>
      <w:r>
        <w:rPr>
          <w:spacing w:val="24"/>
        </w:rPr>
        <w:t xml:space="preserve"> </w:t>
      </w:r>
      <w:r>
        <w:rPr>
          <w:spacing w:val="-1"/>
        </w:rPr>
        <w:t>METHODS</w:t>
      </w:r>
    </w:p>
    <w:p w:rsidR="009C0CD7" w:rsidRDefault="009C0CD7" w:rsidP="009C0CD7">
      <w:pPr>
        <w:spacing w:before="9"/>
        <w:rPr>
          <w:rFonts w:ascii="Times New Roman" w:eastAsia="Times New Roman" w:hAnsi="Times New Roman" w:cs="Times New Roman"/>
          <w:b/>
          <w:bCs/>
          <w:sz w:val="23"/>
          <w:szCs w:val="23"/>
        </w:rPr>
      </w:pPr>
    </w:p>
    <w:p w:rsidR="009C0CD7" w:rsidRDefault="009C0CD7" w:rsidP="009C0CD7">
      <w:pPr>
        <w:spacing w:before="1"/>
        <w:rPr>
          <w:rFonts w:ascii="Times New Roman" w:eastAsia="Times New Roman" w:hAnsi="Times New Roman" w:cs="Times New Roman"/>
          <w:sz w:val="24"/>
          <w:szCs w:val="24"/>
        </w:rPr>
      </w:pPr>
    </w:p>
    <w:p w:rsidR="009C0CD7" w:rsidRDefault="009C0CD7" w:rsidP="009C0CD7">
      <w:pPr>
        <w:pStyle w:val="Heading1"/>
        <w:numPr>
          <w:ilvl w:val="0"/>
          <w:numId w:val="1"/>
        </w:numPr>
        <w:tabs>
          <w:tab w:val="left" w:pos="340"/>
        </w:tabs>
        <w:ind w:right="136" w:firstLine="0"/>
        <w:rPr>
          <w:b w:val="0"/>
          <w:bCs w:val="0"/>
        </w:rPr>
      </w:pPr>
      <w:r>
        <w:rPr>
          <w:spacing w:val="-1"/>
        </w:rPr>
        <w:t xml:space="preserve">Describe (including </w:t>
      </w:r>
      <w:r>
        <w:t>a</w:t>
      </w:r>
      <w:r>
        <w:rPr>
          <w:spacing w:val="-1"/>
        </w:rPr>
        <w:t xml:space="preserve"> numerical estimate) the potential </w:t>
      </w:r>
      <w:r>
        <w:t>respondent</w:t>
      </w:r>
      <w:r>
        <w:rPr>
          <w:spacing w:val="-1"/>
        </w:rPr>
        <w:t xml:space="preserve"> </w:t>
      </w:r>
      <w:r>
        <w:t>universe</w:t>
      </w:r>
      <w:r>
        <w:rPr>
          <w:spacing w:val="-1"/>
        </w:rPr>
        <w:t xml:space="preserve"> and</w:t>
      </w:r>
      <w:r>
        <w:rPr>
          <w:spacing w:val="51"/>
        </w:rPr>
        <w:t xml:space="preserve"> </w:t>
      </w:r>
      <w:r>
        <w:t>any</w:t>
      </w:r>
      <w:r>
        <w:rPr>
          <w:spacing w:val="-1"/>
        </w:rPr>
        <w:t xml:space="preserve"> </w:t>
      </w:r>
      <w:r>
        <w:t>sampling</w:t>
      </w:r>
      <w:r>
        <w:rPr>
          <w:spacing w:val="-1"/>
        </w:rPr>
        <w:t xml:space="preserve"> </w:t>
      </w:r>
      <w:r>
        <w:t>or</w:t>
      </w:r>
      <w:r>
        <w:rPr>
          <w:spacing w:val="-1"/>
        </w:rPr>
        <w:t xml:space="preserve"> </w:t>
      </w:r>
      <w:r>
        <w:t>other</w:t>
      </w:r>
      <w:r>
        <w:rPr>
          <w:spacing w:val="-1"/>
        </w:rPr>
        <w:t xml:space="preserve"> </w:t>
      </w:r>
      <w:r>
        <w:t>respondent</w:t>
      </w:r>
      <w:r>
        <w:rPr>
          <w:spacing w:val="-1"/>
        </w:rPr>
        <w:t xml:space="preserve"> </w:t>
      </w:r>
      <w:r>
        <w:t>selection methods to be used. Data on the number of</w:t>
      </w:r>
      <w:r>
        <w:rPr>
          <w:spacing w:val="-1"/>
        </w:rPr>
        <w:t xml:space="preserve"> </w:t>
      </w:r>
      <w:r>
        <w:t>entities</w:t>
      </w:r>
      <w:r>
        <w:rPr>
          <w:spacing w:val="-1"/>
        </w:rPr>
        <w:t xml:space="preserve"> </w:t>
      </w:r>
      <w:r>
        <w:t>(e.g.,</w:t>
      </w:r>
      <w:r>
        <w:rPr>
          <w:spacing w:val="-1"/>
        </w:rPr>
        <w:t xml:space="preserve"> </w:t>
      </w:r>
      <w:r>
        <w:t>establishments,</w:t>
      </w:r>
      <w:r>
        <w:rPr>
          <w:spacing w:val="-1"/>
        </w:rPr>
        <w:t xml:space="preserve"> </w:t>
      </w:r>
      <w:r>
        <w:t>State</w:t>
      </w:r>
      <w:r>
        <w:rPr>
          <w:spacing w:val="-1"/>
        </w:rPr>
        <w:t xml:space="preserve"> </w:t>
      </w:r>
      <w:r>
        <w:t xml:space="preserve">and local </w:t>
      </w:r>
      <w:r>
        <w:rPr>
          <w:spacing w:val="-1"/>
        </w:rPr>
        <w:t>government</w:t>
      </w:r>
      <w:r>
        <w:t xml:space="preserve"> units, </w:t>
      </w:r>
      <w:r>
        <w:rPr>
          <w:spacing w:val="-1"/>
        </w:rPr>
        <w:t>households,</w:t>
      </w:r>
      <w:r>
        <w:t xml:space="preserve"> or</w:t>
      </w:r>
      <w:r>
        <w:rPr>
          <w:spacing w:val="35"/>
        </w:rPr>
        <w:t xml:space="preserve"> </w:t>
      </w:r>
      <w:r>
        <w:t>persons)</w:t>
      </w:r>
      <w:r>
        <w:rPr>
          <w:spacing w:val="-1"/>
        </w:rPr>
        <w:t xml:space="preserve"> </w:t>
      </w:r>
      <w:r>
        <w:t>in</w:t>
      </w:r>
      <w:r>
        <w:rPr>
          <w:spacing w:val="-1"/>
        </w:rPr>
        <w:t xml:space="preserve"> </w:t>
      </w:r>
      <w:r>
        <w:t>the</w:t>
      </w:r>
      <w:r>
        <w:rPr>
          <w:spacing w:val="-1"/>
        </w:rPr>
        <w:t xml:space="preserve"> universe </w:t>
      </w:r>
      <w:r>
        <w:t>covered</w:t>
      </w:r>
      <w:r>
        <w:rPr>
          <w:spacing w:val="-1"/>
        </w:rPr>
        <w:t xml:space="preserve"> by </w:t>
      </w:r>
      <w:r>
        <w:t>the</w:t>
      </w:r>
      <w:r>
        <w:rPr>
          <w:spacing w:val="-1"/>
        </w:rPr>
        <w:t xml:space="preserve"> </w:t>
      </w:r>
      <w:r>
        <w:t xml:space="preserve">collection and in the </w:t>
      </w:r>
      <w:r>
        <w:rPr>
          <w:spacing w:val="-1"/>
        </w:rPr>
        <w:t>corresponding</w:t>
      </w:r>
      <w:r>
        <w:t xml:space="preserve"> sample</w:t>
      </w:r>
      <w:r>
        <w:rPr>
          <w:spacing w:val="35"/>
        </w:rPr>
        <w:t xml:space="preserve"> </w:t>
      </w:r>
      <w:r>
        <w:t xml:space="preserve">are to be provided in </w:t>
      </w:r>
      <w:r>
        <w:rPr>
          <w:spacing w:val="-1"/>
        </w:rPr>
        <w:t>tabular</w:t>
      </w:r>
      <w:r>
        <w:t xml:space="preserve"> form for the </w:t>
      </w:r>
      <w:r>
        <w:rPr>
          <w:spacing w:val="-1"/>
        </w:rPr>
        <w:t>universe</w:t>
      </w:r>
      <w:r>
        <w:t xml:space="preserve"> as a </w:t>
      </w:r>
      <w:r>
        <w:rPr>
          <w:spacing w:val="-1"/>
        </w:rPr>
        <w:t>whole</w:t>
      </w:r>
      <w:r>
        <w:t xml:space="preserve"> and for each of </w:t>
      </w:r>
      <w:r>
        <w:rPr>
          <w:spacing w:val="-1"/>
        </w:rPr>
        <w:t>the</w:t>
      </w:r>
      <w:r>
        <w:rPr>
          <w:spacing w:val="29"/>
        </w:rPr>
        <w:t xml:space="preserve"> </w:t>
      </w:r>
      <w:r>
        <w:t>strata</w:t>
      </w:r>
      <w:r>
        <w:rPr>
          <w:spacing w:val="-1"/>
        </w:rPr>
        <w:t xml:space="preserve"> </w:t>
      </w:r>
      <w:r>
        <w:t>in</w:t>
      </w:r>
      <w:r>
        <w:rPr>
          <w:spacing w:val="-1"/>
        </w:rPr>
        <w:t xml:space="preserve"> the </w:t>
      </w:r>
      <w:r>
        <w:t>proposed</w:t>
      </w:r>
      <w:r>
        <w:rPr>
          <w:spacing w:val="-1"/>
        </w:rPr>
        <w:t xml:space="preserve"> </w:t>
      </w:r>
      <w:r>
        <w:t>sample.</w:t>
      </w:r>
      <w:r>
        <w:rPr>
          <w:spacing w:val="-1"/>
        </w:rPr>
        <w:t xml:space="preserve"> Indicate </w:t>
      </w:r>
      <w:r>
        <w:t xml:space="preserve">expected response rates </w:t>
      </w:r>
      <w:r>
        <w:rPr>
          <w:spacing w:val="-1"/>
        </w:rPr>
        <w:t>for</w:t>
      </w:r>
      <w:r>
        <w:t xml:space="preserve"> </w:t>
      </w:r>
      <w:r>
        <w:rPr>
          <w:spacing w:val="-1"/>
        </w:rPr>
        <w:t>the</w:t>
      </w:r>
      <w:r>
        <w:t xml:space="preserve"> collection as</w:t>
      </w:r>
      <w:r>
        <w:rPr>
          <w:spacing w:val="30"/>
        </w:rPr>
        <w:t xml:space="preserve"> </w:t>
      </w:r>
      <w:r>
        <w:t>a whole. If the collection had been conducted</w:t>
      </w:r>
      <w:r>
        <w:rPr>
          <w:spacing w:val="-1"/>
        </w:rPr>
        <w:t xml:space="preserve"> </w:t>
      </w:r>
      <w:r>
        <w:t>previously,</w:t>
      </w:r>
      <w:r>
        <w:rPr>
          <w:spacing w:val="-1"/>
        </w:rPr>
        <w:t xml:space="preserve"> </w:t>
      </w:r>
      <w:r>
        <w:t>include</w:t>
      </w:r>
      <w:r>
        <w:rPr>
          <w:spacing w:val="-1"/>
        </w:rPr>
        <w:t xml:space="preserve"> </w:t>
      </w:r>
      <w:r>
        <w:t>the</w:t>
      </w:r>
      <w:r>
        <w:rPr>
          <w:spacing w:val="-1"/>
        </w:rPr>
        <w:t xml:space="preserve"> </w:t>
      </w:r>
      <w:r>
        <w:t>actual</w:t>
      </w:r>
      <w:r>
        <w:rPr>
          <w:spacing w:val="-1"/>
        </w:rPr>
        <w:t xml:space="preserve"> </w:t>
      </w:r>
      <w:r>
        <w:t xml:space="preserve">response rate </w:t>
      </w:r>
      <w:r>
        <w:rPr>
          <w:spacing w:val="-1"/>
        </w:rPr>
        <w:t>achieved</w:t>
      </w:r>
      <w:r>
        <w:t xml:space="preserve"> during the last </w:t>
      </w:r>
      <w:r>
        <w:rPr>
          <w:spacing w:val="-1"/>
        </w:rPr>
        <w:t>collection.</w:t>
      </w:r>
    </w:p>
    <w:p w:rsidR="009C0CD7" w:rsidRDefault="009C0CD7" w:rsidP="009C0CD7">
      <w:pPr>
        <w:spacing w:before="9"/>
        <w:rPr>
          <w:rFonts w:ascii="Times New Roman" w:eastAsia="Times New Roman" w:hAnsi="Times New Roman" w:cs="Times New Roman"/>
          <w:b/>
          <w:bCs/>
          <w:sz w:val="23"/>
          <w:szCs w:val="23"/>
        </w:rPr>
      </w:pPr>
    </w:p>
    <w:p w:rsidR="009C0CD7" w:rsidRDefault="009C0CD7" w:rsidP="009C0CD7">
      <w:pPr>
        <w:pStyle w:val="BodyText"/>
        <w:ind w:right="398"/>
      </w:pPr>
      <w:r>
        <w:t>The potential respondent universe includes approximately 250 major contractors to the Federal government. Collection will be voluntary. Based on response rates achieved by CDP during past collection efforts (see methodology descriptions in part A), GSA anticipates that 130 responses will be received for a total response rate of 52%.</w:t>
      </w:r>
    </w:p>
    <w:p w:rsidR="009C0CD7" w:rsidRDefault="009C0CD7" w:rsidP="009C0CD7">
      <w:pPr>
        <w:spacing w:before="2"/>
        <w:rPr>
          <w:rFonts w:ascii="Times New Roman" w:eastAsia="Times New Roman" w:hAnsi="Times New Roman" w:cs="Times New Roman"/>
          <w:sz w:val="24"/>
          <w:szCs w:val="24"/>
        </w:rPr>
      </w:pPr>
    </w:p>
    <w:p w:rsidR="009C0CD7" w:rsidRDefault="009C0CD7" w:rsidP="009C0CD7">
      <w:pPr>
        <w:pStyle w:val="Heading1"/>
        <w:numPr>
          <w:ilvl w:val="0"/>
          <w:numId w:val="1"/>
        </w:numPr>
        <w:tabs>
          <w:tab w:val="left" w:pos="340"/>
        </w:tabs>
        <w:spacing w:line="275" w:lineRule="exact"/>
        <w:ind w:left="339" w:hanging="239"/>
        <w:rPr>
          <w:b w:val="0"/>
          <w:bCs w:val="0"/>
        </w:rPr>
      </w:pPr>
      <w:r>
        <w:t>Describe</w:t>
      </w:r>
      <w:r>
        <w:rPr>
          <w:spacing w:val="-1"/>
        </w:rPr>
        <w:t xml:space="preserve"> </w:t>
      </w:r>
      <w:r>
        <w:t>the</w:t>
      </w:r>
      <w:r>
        <w:rPr>
          <w:spacing w:val="-1"/>
        </w:rPr>
        <w:t xml:space="preserve"> </w:t>
      </w:r>
      <w:r>
        <w:t>procedures</w:t>
      </w:r>
      <w:r>
        <w:rPr>
          <w:spacing w:val="-1"/>
        </w:rPr>
        <w:t xml:space="preserve"> </w:t>
      </w:r>
      <w:r>
        <w:t>for</w:t>
      </w:r>
      <w:r>
        <w:rPr>
          <w:spacing w:val="-1"/>
        </w:rPr>
        <w:t xml:space="preserve"> </w:t>
      </w:r>
      <w:r>
        <w:t>the</w:t>
      </w:r>
      <w:r>
        <w:rPr>
          <w:spacing w:val="-1"/>
        </w:rPr>
        <w:t xml:space="preserve"> collection </w:t>
      </w:r>
      <w:r>
        <w:t>of</w:t>
      </w:r>
      <w:r>
        <w:rPr>
          <w:spacing w:val="-1"/>
        </w:rPr>
        <w:t xml:space="preserve"> information, </w:t>
      </w:r>
      <w:r>
        <w:t>including:</w:t>
      </w:r>
    </w:p>
    <w:p w:rsidR="009C0CD7" w:rsidRDefault="009C0CD7" w:rsidP="009C0CD7">
      <w:pPr>
        <w:pStyle w:val="BodyText"/>
        <w:ind w:left="120" w:right="121"/>
      </w:pPr>
      <w:r>
        <w:t>This collection will not use statistical sampling methods. As described in part A, GSA will use information from individual responses for the purposes of market research into the risk mitigation practices of individual respondents. Based on the nature of the information gathered, GSA does not believe it is appropriate or practicable to use statistical methods to infer characteristics of non-respondents based on responses received, and will not attempt to do so.</w:t>
      </w:r>
    </w:p>
    <w:p w:rsidR="009C0CD7" w:rsidRDefault="009C0CD7" w:rsidP="009C0CD7">
      <w:pPr>
        <w:spacing w:before="11"/>
        <w:rPr>
          <w:rFonts w:ascii="Times New Roman" w:eastAsia="Times New Roman" w:hAnsi="Times New Roman" w:cs="Times New Roman"/>
          <w:sz w:val="23"/>
          <w:szCs w:val="23"/>
        </w:rPr>
      </w:pPr>
    </w:p>
    <w:p w:rsidR="009C0CD7" w:rsidRDefault="009C0CD7" w:rsidP="009C0CD7">
      <w:pPr>
        <w:pStyle w:val="Heading1"/>
        <w:numPr>
          <w:ilvl w:val="0"/>
          <w:numId w:val="1"/>
        </w:numPr>
        <w:tabs>
          <w:tab w:val="left" w:pos="360"/>
        </w:tabs>
        <w:ind w:left="120" w:right="110" w:firstLine="0"/>
        <w:rPr>
          <w:b w:val="0"/>
          <w:bCs w:val="0"/>
        </w:rPr>
      </w:pPr>
      <w:r>
        <w:t>Describe</w:t>
      </w:r>
      <w:r>
        <w:rPr>
          <w:spacing w:val="-1"/>
        </w:rPr>
        <w:t xml:space="preserve"> </w:t>
      </w:r>
      <w:r>
        <w:t>methods</w:t>
      </w:r>
      <w:r>
        <w:rPr>
          <w:spacing w:val="-1"/>
        </w:rPr>
        <w:t xml:space="preserve"> </w:t>
      </w:r>
      <w:r>
        <w:t>to</w:t>
      </w:r>
      <w:r>
        <w:rPr>
          <w:spacing w:val="-1"/>
        </w:rPr>
        <w:t xml:space="preserve"> maximize </w:t>
      </w:r>
      <w:r>
        <w:t>response</w:t>
      </w:r>
      <w:r>
        <w:rPr>
          <w:spacing w:val="2"/>
        </w:rPr>
        <w:t xml:space="preserve"> </w:t>
      </w:r>
      <w:r>
        <w:t xml:space="preserve">rates and to deal </w:t>
      </w:r>
      <w:r>
        <w:rPr>
          <w:spacing w:val="-1"/>
        </w:rPr>
        <w:t>with</w:t>
      </w:r>
      <w:r>
        <w:t xml:space="preserve"> issues of</w:t>
      </w:r>
      <w:r>
        <w:rPr>
          <w:spacing w:val="28"/>
        </w:rPr>
        <w:t xml:space="preserve"> </w:t>
      </w:r>
      <w:r>
        <w:t xml:space="preserve">nonresponse. The accuracy and reliability </w:t>
      </w:r>
      <w:r>
        <w:rPr>
          <w:spacing w:val="-1"/>
        </w:rPr>
        <w:t>of</w:t>
      </w:r>
      <w:r>
        <w:t xml:space="preserve"> information collected must be shown to</w:t>
      </w:r>
      <w:r>
        <w:rPr>
          <w:spacing w:val="20"/>
        </w:rPr>
        <w:t xml:space="preserve"> </w:t>
      </w:r>
      <w:r>
        <w:t>be</w:t>
      </w:r>
      <w:r>
        <w:rPr>
          <w:spacing w:val="-1"/>
        </w:rPr>
        <w:t xml:space="preserve"> </w:t>
      </w:r>
      <w:r>
        <w:t>adequate</w:t>
      </w:r>
      <w:r>
        <w:rPr>
          <w:spacing w:val="-1"/>
        </w:rPr>
        <w:t xml:space="preserve"> </w:t>
      </w:r>
      <w:r>
        <w:t>for</w:t>
      </w:r>
      <w:r>
        <w:rPr>
          <w:spacing w:val="-1"/>
        </w:rPr>
        <w:t xml:space="preserve"> </w:t>
      </w:r>
      <w:r>
        <w:t>intended</w:t>
      </w:r>
      <w:r>
        <w:rPr>
          <w:spacing w:val="-1"/>
        </w:rPr>
        <w:t xml:space="preserve"> </w:t>
      </w:r>
      <w:r>
        <w:t>uses.</w:t>
      </w:r>
      <w:r>
        <w:rPr>
          <w:spacing w:val="-1"/>
        </w:rPr>
        <w:t xml:space="preserve"> </w:t>
      </w:r>
      <w:r>
        <w:t>For</w:t>
      </w:r>
      <w:r>
        <w:rPr>
          <w:spacing w:val="-1"/>
        </w:rPr>
        <w:t xml:space="preserve"> </w:t>
      </w:r>
      <w:r>
        <w:t>collections</w:t>
      </w:r>
      <w:r>
        <w:rPr>
          <w:spacing w:val="-1"/>
        </w:rPr>
        <w:t xml:space="preserve"> </w:t>
      </w:r>
      <w:r>
        <w:t>based</w:t>
      </w:r>
      <w:r>
        <w:rPr>
          <w:spacing w:val="-1"/>
        </w:rPr>
        <w:t xml:space="preserve"> </w:t>
      </w:r>
      <w:r>
        <w:t>on</w:t>
      </w:r>
      <w:r>
        <w:rPr>
          <w:spacing w:val="-1"/>
        </w:rPr>
        <w:t xml:space="preserve"> </w:t>
      </w:r>
      <w:r>
        <w:t>sampling,</w:t>
      </w:r>
      <w:r>
        <w:rPr>
          <w:spacing w:val="-1"/>
        </w:rPr>
        <w:t xml:space="preserve"> </w:t>
      </w:r>
      <w:r>
        <w:t>a</w:t>
      </w:r>
      <w:r>
        <w:rPr>
          <w:spacing w:val="-1"/>
        </w:rPr>
        <w:t xml:space="preserve"> </w:t>
      </w:r>
      <w:r>
        <w:t xml:space="preserve">special </w:t>
      </w:r>
      <w:r>
        <w:rPr>
          <w:spacing w:val="-1"/>
        </w:rPr>
        <w:t>justification</w:t>
      </w:r>
      <w:r>
        <w:rPr>
          <w:spacing w:val="-2"/>
        </w:rPr>
        <w:t xml:space="preserve"> </w:t>
      </w:r>
      <w:r>
        <w:t xml:space="preserve">must be </w:t>
      </w:r>
      <w:r>
        <w:rPr>
          <w:spacing w:val="-1"/>
        </w:rPr>
        <w:t>provided</w:t>
      </w:r>
      <w:r>
        <w:t xml:space="preserve"> for </w:t>
      </w:r>
      <w:r>
        <w:rPr>
          <w:spacing w:val="-1"/>
        </w:rPr>
        <w:t>any</w:t>
      </w:r>
      <w:r>
        <w:t xml:space="preserve"> </w:t>
      </w:r>
      <w:r>
        <w:rPr>
          <w:spacing w:val="-1"/>
        </w:rPr>
        <w:t>collection</w:t>
      </w:r>
      <w:r>
        <w:t xml:space="preserve"> that </w:t>
      </w:r>
      <w:r>
        <w:rPr>
          <w:spacing w:val="-1"/>
        </w:rPr>
        <w:t>will</w:t>
      </w:r>
      <w:r>
        <w:t xml:space="preserve"> not yield </w:t>
      </w:r>
      <w:r>
        <w:rPr>
          <w:spacing w:val="-1"/>
        </w:rPr>
        <w:t>"reliable"</w:t>
      </w:r>
      <w:r>
        <w:t xml:space="preserve"> </w:t>
      </w:r>
      <w:r>
        <w:rPr>
          <w:spacing w:val="-1"/>
        </w:rPr>
        <w:t>data</w:t>
      </w:r>
      <w:r>
        <w:rPr>
          <w:spacing w:val="79"/>
        </w:rPr>
        <w:t xml:space="preserve"> </w:t>
      </w:r>
      <w:r>
        <w:t>that</w:t>
      </w:r>
      <w:r>
        <w:rPr>
          <w:spacing w:val="-1"/>
        </w:rPr>
        <w:t xml:space="preserve"> </w:t>
      </w:r>
      <w:r>
        <w:t>can</w:t>
      </w:r>
      <w:r>
        <w:rPr>
          <w:spacing w:val="-1"/>
        </w:rPr>
        <w:t xml:space="preserve"> </w:t>
      </w:r>
      <w:r>
        <w:t>be</w:t>
      </w:r>
      <w:r>
        <w:rPr>
          <w:spacing w:val="-1"/>
        </w:rPr>
        <w:t xml:space="preserve"> generalized </w:t>
      </w:r>
      <w:r>
        <w:t>to</w:t>
      </w:r>
      <w:r>
        <w:rPr>
          <w:spacing w:val="-1"/>
        </w:rPr>
        <w:t xml:space="preserve"> </w:t>
      </w:r>
      <w:r>
        <w:t>the</w:t>
      </w:r>
      <w:r>
        <w:rPr>
          <w:spacing w:val="-1"/>
        </w:rPr>
        <w:t xml:space="preserve"> universe </w:t>
      </w:r>
      <w:r>
        <w:t>studied.</w:t>
      </w:r>
    </w:p>
    <w:p w:rsidR="009C0CD7" w:rsidRDefault="009C0CD7" w:rsidP="009C0CD7">
      <w:pPr>
        <w:spacing w:before="9"/>
        <w:rPr>
          <w:rFonts w:ascii="Times New Roman" w:eastAsia="Times New Roman" w:hAnsi="Times New Roman" w:cs="Times New Roman"/>
          <w:b/>
          <w:bCs/>
          <w:sz w:val="23"/>
          <w:szCs w:val="23"/>
        </w:rPr>
      </w:pPr>
    </w:p>
    <w:p w:rsidR="009C0CD7" w:rsidRDefault="009C0CD7" w:rsidP="009C0CD7">
      <w:pPr>
        <w:pStyle w:val="BodyText"/>
        <w:ind w:left="120" w:right="121"/>
      </w:pPr>
      <w:r>
        <w:t>Because statistical methods will not be used, methods to encourage responses are not relevant to statistical characteristics of the respondent universe. Because each individual response is useful to GSA’s market research on risk mitigation practices of individual companies, GSA will use a pre-notification letter (email) prior to the actual collection attempt and follow-up emails approximately monthly during the collection period to encourage responses. Follow-up notices will be limited to those who have not yet responded. GSA’s selection of CDP to collect this information is also a means of encouraging response rate, as CDP’s methodology and instrument are already well-known and well-regarded by the respondent universe and many respondents have already responded to CDP’s information collections (not on behalf of GSA) in multiple prior years.</w:t>
      </w:r>
    </w:p>
    <w:p w:rsidR="009C0CD7" w:rsidRDefault="009C0CD7" w:rsidP="009C0CD7">
      <w:pPr>
        <w:spacing w:before="2"/>
        <w:rPr>
          <w:rFonts w:ascii="Times New Roman" w:eastAsia="Times New Roman" w:hAnsi="Times New Roman" w:cs="Times New Roman"/>
          <w:sz w:val="24"/>
          <w:szCs w:val="24"/>
        </w:rPr>
      </w:pPr>
    </w:p>
    <w:p w:rsidR="009C0CD7" w:rsidRDefault="009C0CD7" w:rsidP="009C0CD7">
      <w:pPr>
        <w:pStyle w:val="Heading1"/>
        <w:numPr>
          <w:ilvl w:val="0"/>
          <w:numId w:val="1"/>
        </w:numPr>
        <w:tabs>
          <w:tab w:val="left" w:pos="360"/>
        </w:tabs>
        <w:ind w:left="120" w:right="267" w:firstLine="0"/>
        <w:rPr>
          <w:b w:val="0"/>
          <w:bCs w:val="0"/>
        </w:rPr>
      </w:pPr>
      <w:r>
        <w:rPr>
          <w:spacing w:val="-1"/>
        </w:rPr>
        <w:t xml:space="preserve">Describe any tests of </w:t>
      </w:r>
      <w:r>
        <w:t>procedures</w:t>
      </w:r>
      <w:r>
        <w:rPr>
          <w:spacing w:val="-1"/>
        </w:rPr>
        <w:t xml:space="preserve"> </w:t>
      </w:r>
      <w:r>
        <w:t>or</w:t>
      </w:r>
      <w:r>
        <w:rPr>
          <w:spacing w:val="-1"/>
        </w:rPr>
        <w:t xml:space="preserve"> </w:t>
      </w:r>
      <w:r>
        <w:t>methods</w:t>
      </w:r>
      <w:r>
        <w:rPr>
          <w:spacing w:val="-1"/>
        </w:rPr>
        <w:t xml:space="preserve"> </w:t>
      </w:r>
      <w:r>
        <w:t>to</w:t>
      </w:r>
      <w:r>
        <w:rPr>
          <w:spacing w:val="1"/>
        </w:rPr>
        <w:t xml:space="preserve"> </w:t>
      </w:r>
      <w:r>
        <w:t>be undertaken. Testing is</w:t>
      </w:r>
      <w:r>
        <w:rPr>
          <w:spacing w:val="26"/>
        </w:rPr>
        <w:t xml:space="preserve"> </w:t>
      </w:r>
      <w:r>
        <w:t xml:space="preserve">encouraged as an effective means of </w:t>
      </w:r>
      <w:r>
        <w:rPr>
          <w:spacing w:val="-1"/>
        </w:rPr>
        <w:t>refining</w:t>
      </w:r>
      <w:r>
        <w:t xml:space="preserve"> </w:t>
      </w:r>
      <w:r>
        <w:rPr>
          <w:spacing w:val="-1"/>
        </w:rPr>
        <w:t>collections</w:t>
      </w:r>
      <w:r>
        <w:t xml:space="preserve"> </w:t>
      </w:r>
      <w:r>
        <w:rPr>
          <w:spacing w:val="-1"/>
        </w:rPr>
        <w:t>of information</w:t>
      </w:r>
      <w:r>
        <w:t xml:space="preserve"> to </w:t>
      </w:r>
      <w:r>
        <w:rPr>
          <w:spacing w:val="-1"/>
        </w:rPr>
        <w:t>minimize</w:t>
      </w:r>
      <w:r>
        <w:rPr>
          <w:spacing w:val="59"/>
        </w:rPr>
        <w:t xml:space="preserve"> </w:t>
      </w:r>
      <w:r>
        <w:t>burden</w:t>
      </w:r>
      <w:r>
        <w:rPr>
          <w:spacing w:val="-1"/>
        </w:rPr>
        <w:t xml:space="preserve"> </w:t>
      </w:r>
      <w:r>
        <w:t>and</w:t>
      </w:r>
      <w:r>
        <w:rPr>
          <w:spacing w:val="-1"/>
        </w:rPr>
        <w:t xml:space="preserve"> </w:t>
      </w:r>
      <w:r>
        <w:t>improve</w:t>
      </w:r>
      <w:r>
        <w:rPr>
          <w:spacing w:val="-1"/>
        </w:rPr>
        <w:t xml:space="preserve"> </w:t>
      </w:r>
      <w:r>
        <w:t>utility.</w:t>
      </w:r>
      <w:r>
        <w:rPr>
          <w:spacing w:val="-1"/>
        </w:rPr>
        <w:t xml:space="preserve"> </w:t>
      </w:r>
      <w:r>
        <w:t>Tests</w:t>
      </w:r>
      <w:r>
        <w:rPr>
          <w:spacing w:val="-1"/>
        </w:rPr>
        <w:t xml:space="preserve"> </w:t>
      </w:r>
      <w:r>
        <w:t>must</w:t>
      </w:r>
      <w:r>
        <w:rPr>
          <w:spacing w:val="-1"/>
        </w:rPr>
        <w:t xml:space="preserve"> </w:t>
      </w:r>
      <w:r>
        <w:t xml:space="preserve">be </w:t>
      </w:r>
      <w:r>
        <w:rPr>
          <w:spacing w:val="-1"/>
        </w:rPr>
        <w:t xml:space="preserve">approved </w:t>
      </w:r>
      <w:r>
        <w:t>if</w:t>
      </w:r>
      <w:r>
        <w:rPr>
          <w:spacing w:val="-1"/>
        </w:rPr>
        <w:t xml:space="preserve"> they </w:t>
      </w:r>
      <w:r>
        <w:t>call</w:t>
      </w:r>
      <w:r>
        <w:rPr>
          <w:spacing w:val="-1"/>
        </w:rPr>
        <w:t xml:space="preserve"> </w:t>
      </w:r>
      <w:r>
        <w:t>for</w:t>
      </w:r>
      <w:r>
        <w:rPr>
          <w:spacing w:val="-1"/>
        </w:rPr>
        <w:t xml:space="preserve"> answers </w:t>
      </w:r>
      <w:r>
        <w:t>to</w:t>
      </w:r>
      <w:r>
        <w:rPr>
          <w:spacing w:val="27"/>
        </w:rPr>
        <w:t xml:space="preserve"> </w:t>
      </w:r>
      <w:r>
        <w:rPr>
          <w:spacing w:val="-1"/>
        </w:rPr>
        <w:t xml:space="preserve">identical </w:t>
      </w:r>
      <w:r>
        <w:t>questions</w:t>
      </w:r>
      <w:r>
        <w:rPr>
          <w:spacing w:val="-1"/>
        </w:rPr>
        <w:t xml:space="preserve"> from</w:t>
      </w:r>
      <w:r>
        <w:t xml:space="preserve"> 10</w:t>
      </w:r>
      <w:r>
        <w:rPr>
          <w:spacing w:val="-1"/>
        </w:rPr>
        <w:t xml:space="preserve"> </w:t>
      </w:r>
      <w:r>
        <w:t>or</w:t>
      </w:r>
      <w:r>
        <w:rPr>
          <w:spacing w:val="1"/>
        </w:rPr>
        <w:t xml:space="preserve"> </w:t>
      </w:r>
      <w:r>
        <w:rPr>
          <w:spacing w:val="-1"/>
        </w:rPr>
        <w:t xml:space="preserve">more respondents. </w:t>
      </w:r>
      <w:r>
        <w:t>A</w:t>
      </w:r>
      <w:r>
        <w:rPr>
          <w:spacing w:val="-1"/>
        </w:rPr>
        <w:t xml:space="preserve"> proposed </w:t>
      </w:r>
      <w:r>
        <w:t>test</w:t>
      </w:r>
      <w:r>
        <w:rPr>
          <w:spacing w:val="-1"/>
        </w:rPr>
        <w:t xml:space="preserve"> or </w:t>
      </w:r>
      <w:r>
        <w:t>set</w:t>
      </w:r>
      <w:r>
        <w:rPr>
          <w:spacing w:val="-1"/>
        </w:rPr>
        <w:t xml:space="preserve"> </w:t>
      </w:r>
      <w:r>
        <w:t>of</w:t>
      </w:r>
      <w:r>
        <w:rPr>
          <w:spacing w:val="-1"/>
        </w:rPr>
        <w:t xml:space="preserve"> </w:t>
      </w:r>
      <w:r>
        <w:t>test</w:t>
      </w:r>
      <w:r>
        <w:rPr>
          <w:spacing w:val="-1"/>
        </w:rPr>
        <w:t xml:space="preserve"> </w:t>
      </w:r>
      <w:r>
        <w:t>may</w:t>
      </w:r>
      <w:r>
        <w:rPr>
          <w:spacing w:val="25"/>
        </w:rPr>
        <w:t xml:space="preserve"> </w:t>
      </w:r>
      <w:r>
        <w:t>be submitted for approval separately or in</w:t>
      </w:r>
      <w:r>
        <w:rPr>
          <w:spacing w:val="-1"/>
        </w:rPr>
        <w:t xml:space="preserve"> </w:t>
      </w:r>
      <w:r>
        <w:t>combination</w:t>
      </w:r>
      <w:r>
        <w:rPr>
          <w:spacing w:val="-1"/>
        </w:rPr>
        <w:t xml:space="preserve"> with the</w:t>
      </w:r>
      <w:r>
        <w:t xml:space="preserve"> main collection of</w:t>
      </w:r>
      <w:r>
        <w:rPr>
          <w:spacing w:val="24"/>
        </w:rPr>
        <w:t xml:space="preserve"> </w:t>
      </w:r>
      <w:r>
        <w:rPr>
          <w:spacing w:val="-1"/>
        </w:rPr>
        <w:t>information.</w:t>
      </w:r>
    </w:p>
    <w:p w:rsidR="009C0CD7" w:rsidRDefault="009C0CD7" w:rsidP="009C0CD7">
      <w:pPr>
        <w:spacing w:before="9"/>
        <w:rPr>
          <w:rFonts w:ascii="Times New Roman" w:eastAsia="Times New Roman" w:hAnsi="Times New Roman" w:cs="Times New Roman"/>
          <w:b/>
          <w:bCs/>
          <w:sz w:val="14"/>
          <w:szCs w:val="14"/>
        </w:rPr>
      </w:pPr>
    </w:p>
    <w:p w:rsidR="009C0CD7" w:rsidRDefault="009C0CD7" w:rsidP="009C0CD7">
      <w:pPr>
        <w:spacing w:line="20" w:lineRule="atLeast"/>
        <w:ind w:left="113"/>
        <w:rPr>
          <w:rFonts w:ascii="Times New Roman" w:eastAsia="Times New Roman" w:hAnsi="Times New Roman" w:cs="Times New Roman"/>
          <w:sz w:val="2"/>
          <w:szCs w:val="2"/>
        </w:rPr>
      </w:pPr>
    </w:p>
    <w:p w:rsidR="009C0CD7" w:rsidRDefault="009C0CD7" w:rsidP="009C0CD7">
      <w:pPr>
        <w:pStyle w:val="BodyText"/>
        <w:spacing w:before="69"/>
      </w:pPr>
      <w:bookmarkStart w:id="1" w:name="_bookmark1"/>
      <w:bookmarkEnd w:id="1"/>
      <w:r>
        <w:t>No testing will be undertaken.</w:t>
      </w:r>
    </w:p>
    <w:p w:rsidR="009C0CD7" w:rsidRDefault="009C0CD7" w:rsidP="009C0CD7">
      <w:pPr>
        <w:spacing w:before="2"/>
        <w:rPr>
          <w:rFonts w:ascii="Times New Roman" w:eastAsia="Times New Roman" w:hAnsi="Times New Roman" w:cs="Times New Roman"/>
          <w:sz w:val="24"/>
          <w:szCs w:val="24"/>
        </w:rPr>
      </w:pPr>
    </w:p>
    <w:p w:rsidR="009C0CD7" w:rsidRDefault="009C0CD7" w:rsidP="009C0CD7">
      <w:pPr>
        <w:pStyle w:val="Heading1"/>
        <w:numPr>
          <w:ilvl w:val="0"/>
          <w:numId w:val="1"/>
        </w:numPr>
        <w:tabs>
          <w:tab w:val="left" w:pos="340"/>
        </w:tabs>
        <w:ind w:right="307" w:firstLine="0"/>
        <w:rPr>
          <w:b w:val="0"/>
          <w:bCs w:val="0"/>
        </w:rPr>
      </w:pPr>
      <w:r>
        <w:t>Provide the name and telephone number of</w:t>
      </w:r>
      <w:r>
        <w:rPr>
          <w:spacing w:val="-1"/>
        </w:rPr>
        <w:t xml:space="preserve"> individuals</w:t>
      </w:r>
      <w:r>
        <w:rPr>
          <w:spacing w:val="-2"/>
        </w:rPr>
        <w:t xml:space="preserve"> </w:t>
      </w:r>
      <w:r>
        <w:rPr>
          <w:spacing w:val="-1"/>
        </w:rPr>
        <w:t>consulted</w:t>
      </w:r>
      <w:r>
        <w:t xml:space="preserve"> </w:t>
      </w:r>
      <w:r>
        <w:rPr>
          <w:spacing w:val="-1"/>
        </w:rPr>
        <w:t>on statistical</w:t>
      </w:r>
      <w:r>
        <w:rPr>
          <w:spacing w:val="33"/>
        </w:rPr>
        <w:t xml:space="preserve"> </w:t>
      </w:r>
      <w:r>
        <w:t>aspects</w:t>
      </w:r>
      <w:r>
        <w:rPr>
          <w:spacing w:val="-1"/>
        </w:rPr>
        <w:t xml:space="preserve"> </w:t>
      </w:r>
      <w:r>
        <w:t>of</w:t>
      </w:r>
      <w:r>
        <w:rPr>
          <w:spacing w:val="-1"/>
        </w:rPr>
        <w:t xml:space="preserve"> </w:t>
      </w:r>
      <w:r>
        <w:t>the</w:t>
      </w:r>
      <w:r>
        <w:rPr>
          <w:spacing w:val="-1"/>
        </w:rPr>
        <w:t xml:space="preserve"> </w:t>
      </w:r>
      <w:r>
        <w:t>design</w:t>
      </w:r>
      <w:r>
        <w:rPr>
          <w:spacing w:val="-1"/>
        </w:rPr>
        <w:t xml:space="preserve"> </w:t>
      </w:r>
      <w:r>
        <w:t>and</w:t>
      </w:r>
      <w:r>
        <w:rPr>
          <w:spacing w:val="-1"/>
        </w:rPr>
        <w:t xml:space="preserve"> </w:t>
      </w:r>
      <w:r>
        <w:t>the</w:t>
      </w:r>
      <w:r>
        <w:rPr>
          <w:spacing w:val="-1"/>
        </w:rPr>
        <w:t xml:space="preserve"> </w:t>
      </w:r>
      <w:r>
        <w:t>name</w:t>
      </w:r>
      <w:r>
        <w:rPr>
          <w:spacing w:val="-1"/>
        </w:rPr>
        <w:t xml:space="preserve"> </w:t>
      </w:r>
      <w:r>
        <w:t>of</w:t>
      </w:r>
      <w:r>
        <w:rPr>
          <w:spacing w:val="-1"/>
        </w:rPr>
        <w:t xml:space="preserve"> </w:t>
      </w:r>
      <w:r>
        <w:t xml:space="preserve">the agency unit, contractors, grantees, or other </w:t>
      </w:r>
      <w:r>
        <w:rPr>
          <w:spacing w:val="-1"/>
        </w:rPr>
        <w:t>person(s)</w:t>
      </w:r>
      <w:r>
        <w:t xml:space="preserve"> </w:t>
      </w:r>
      <w:r>
        <w:rPr>
          <w:spacing w:val="-1"/>
        </w:rPr>
        <w:t>who</w:t>
      </w:r>
      <w:r>
        <w:t xml:space="preserve"> </w:t>
      </w:r>
      <w:r>
        <w:rPr>
          <w:spacing w:val="-1"/>
        </w:rPr>
        <w:t>will</w:t>
      </w:r>
      <w:r>
        <w:t xml:space="preserve"> </w:t>
      </w:r>
      <w:r>
        <w:rPr>
          <w:spacing w:val="-1"/>
        </w:rPr>
        <w:t>actually</w:t>
      </w:r>
      <w:r>
        <w:t xml:space="preserve"> </w:t>
      </w:r>
      <w:r>
        <w:rPr>
          <w:spacing w:val="-1"/>
        </w:rPr>
        <w:t>collect</w:t>
      </w:r>
      <w:r>
        <w:t xml:space="preserve"> or </w:t>
      </w:r>
      <w:r>
        <w:rPr>
          <w:spacing w:val="-1"/>
        </w:rPr>
        <w:t>analyze</w:t>
      </w:r>
      <w:r>
        <w:t xml:space="preserve"> the information for the </w:t>
      </w:r>
      <w:r>
        <w:rPr>
          <w:spacing w:val="-1"/>
        </w:rPr>
        <w:t>agency.</w:t>
      </w:r>
    </w:p>
    <w:p w:rsidR="009C0CD7" w:rsidRDefault="009C0CD7" w:rsidP="009C0CD7">
      <w:pPr>
        <w:spacing w:before="9"/>
        <w:rPr>
          <w:rFonts w:ascii="Times New Roman" w:eastAsia="Times New Roman" w:hAnsi="Times New Roman" w:cs="Times New Roman"/>
          <w:b/>
          <w:bCs/>
          <w:sz w:val="23"/>
          <w:szCs w:val="23"/>
        </w:rPr>
      </w:pPr>
    </w:p>
    <w:p w:rsidR="009C0CD7" w:rsidRDefault="009C0CD7" w:rsidP="009C0CD7">
      <w:pPr>
        <w:pStyle w:val="BodyText"/>
      </w:pPr>
      <w:r>
        <w:t xml:space="preserve">Statistical methods will not be used. </w:t>
      </w:r>
    </w:p>
    <w:p w:rsidR="009C0CD7" w:rsidRDefault="009C0CD7" w:rsidP="009C0CD7">
      <w:pPr>
        <w:pStyle w:val="BodyText"/>
        <w:ind w:right="224"/>
      </w:pPr>
    </w:p>
    <w:p w:rsidR="009C0CD7" w:rsidRDefault="009C0CD7" w:rsidP="009C0CD7">
      <w:pPr>
        <w:spacing w:before="2"/>
        <w:rPr>
          <w:rFonts w:ascii="Times New Roman" w:eastAsia="Times New Roman" w:hAnsi="Times New Roman" w:cs="Times New Roman"/>
          <w:sz w:val="24"/>
          <w:szCs w:val="24"/>
        </w:rPr>
      </w:pPr>
    </w:p>
    <w:p w:rsidR="00804D3F" w:rsidRDefault="002C1ADF"/>
    <w:sectPr w:rsidR="00804D3F">
      <w:headerReference w:type="default" r:id="rId8"/>
      <w:footerReference w:type="default" r:id="rId9"/>
      <w:pgSz w:w="12240" w:h="15840"/>
      <w:pgMar w:top="980" w:right="1720" w:bottom="960" w:left="1700" w:header="748"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1ADF">
      <w:r>
        <w:separator/>
      </w:r>
    </w:p>
  </w:endnote>
  <w:endnote w:type="continuationSeparator" w:id="0">
    <w:p w:rsidR="00000000" w:rsidRDefault="002C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C3" w:rsidRDefault="009C0CD7">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30EE553B" wp14:editId="42489113">
              <wp:simplePos x="0" y="0"/>
              <wp:positionH relativeFrom="page">
                <wp:posOffset>6223000</wp:posOffset>
              </wp:positionH>
              <wp:positionV relativeFrom="page">
                <wp:posOffset>9431020</wp:posOffset>
              </wp:positionV>
              <wp:extent cx="203835" cy="177800"/>
              <wp:effectExtent l="3175" t="127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3" w:rsidRDefault="009C0CD7">
                          <w:pPr>
                            <w:pStyle w:val="BodyText"/>
                            <w:spacing w:line="265" w:lineRule="exact"/>
                            <w:ind w:left="40"/>
                          </w:pPr>
                          <w:r>
                            <w:fldChar w:fldCharType="begin"/>
                          </w:r>
                          <w:r>
                            <w:instrText xml:space="preserve"> PAGE </w:instrText>
                          </w:r>
                          <w:r>
                            <w:fldChar w:fldCharType="separate"/>
                          </w:r>
                          <w:r w:rsidR="002C1A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0pt;margin-top:742.6pt;width:16.0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ysg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" filled="f" stroked="f">
              <v:textbox inset="0,0,0,0">
                <w:txbxContent>
                  <w:p w:rsidR="004248C3" w:rsidRDefault="009C0CD7">
                    <w:pPr>
                      <w:pStyle w:val="BodyText"/>
                      <w:spacing w:line="265" w:lineRule="exact"/>
                      <w:ind w:left="40"/>
                    </w:pPr>
                    <w:r>
                      <w:fldChar w:fldCharType="begin"/>
                    </w:r>
                    <w:r>
                      <w:instrText xml:space="preserve"> PAGE </w:instrText>
                    </w:r>
                    <w:r>
                      <w:fldChar w:fldCharType="separate"/>
                    </w:r>
                    <w:r w:rsidR="002C1AD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1ADF">
      <w:r>
        <w:separator/>
      </w:r>
    </w:p>
  </w:footnote>
  <w:footnote w:type="continuationSeparator" w:id="0">
    <w:p w:rsidR="00000000" w:rsidRDefault="002C1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C3" w:rsidRDefault="009C0CD7">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CFD0B14" wp14:editId="529EC7EB">
              <wp:simplePos x="0" y="0"/>
              <wp:positionH relativeFrom="page">
                <wp:posOffset>2272665</wp:posOffset>
              </wp:positionH>
              <wp:positionV relativeFrom="page">
                <wp:posOffset>462280</wp:posOffset>
              </wp:positionV>
              <wp:extent cx="245554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3" w:rsidRDefault="002C1ADF">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8.95pt;margin-top:36.4pt;width:193.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" filled="f" stroked="f">
              <v:textbox inset="0,0,0,0">
                <w:txbxContent>
                  <w:p w:rsidR="004248C3" w:rsidRDefault="002C1ADF">
                    <w:pPr>
                      <w:pStyle w:val="BodyText"/>
                      <w:spacing w:line="26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068716B" wp14:editId="31D3D0B1">
              <wp:simplePos x="0" y="0"/>
              <wp:positionH relativeFrom="page">
                <wp:posOffset>5274310</wp:posOffset>
              </wp:positionH>
              <wp:positionV relativeFrom="page">
                <wp:posOffset>462280</wp:posOffset>
              </wp:positionV>
              <wp:extent cx="64389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3" w:rsidRDefault="002C1ADF">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5.3pt;margin-top:36.4pt;width:50.7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GHsg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" filled="f" stroked="f">
              <v:textbox inset="0,0,0,0">
                <w:txbxContent>
                  <w:p w:rsidR="004248C3" w:rsidRDefault="002C1ADF">
                    <w:pPr>
                      <w:pStyle w:val="BodyText"/>
                      <w:spacing w:line="26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316A2"/>
    <w:multiLevelType w:val="hybridMultilevel"/>
    <w:tmpl w:val="D1CC02B6"/>
    <w:lvl w:ilvl="0" w:tplc="384E86BA">
      <w:start w:val="1"/>
      <w:numFmt w:val="decimal"/>
      <w:lvlText w:val="%1."/>
      <w:lvlJc w:val="left"/>
      <w:pPr>
        <w:ind w:left="100" w:hanging="240"/>
        <w:jc w:val="left"/>
      </w:pPr>
      <w:rPr>
        <w:rFonts w:ascii="Times New Roman" w:eastAsia="Times New Roman" w:hAnsi="Times New Roman" w:hint="default"/>
        <w:b/>
        <w:bCs/>
        <w:spacing w:val="-1"/>
        <w:sz w:val="24"/>
        <w:szCs w:val="24"/>
      </w:rPr>
    </w:lvl>
    <w:lvl w:ilvl="1" w:tplc="11FE876A">
      <w:start w:val="1"/>
      <w:numFmt w:val="bullet"/>
      <w:lvlText w:val=""/>
      <w:lvlJc w:val="left"/>
      <w:pPr>
        <w:ind w:left="1200" w:hanging="360"/>
      </w:pPr>
      <w:rPr>
        <w:rFonts w:ascii="Symbol" w:eastAsia="Symbol" w:hAnsi="Symbol" w:hint="default"/>
        <w:sz w:val="24"/>
        <w:szCs w:val="24"/>
      </w:rPr>
    </w:lvl>
    <w:lvl w:ilvl="2" w:tplc="701095F0">
      <w:start w:val="1"/>
      <w:numFmt w:val="bullet"/>
      <w:lvlText w:val="•"/>
      <w:lvlJc w:val="left"/>
      <w:pPr>
        <w:ind w:left="1200" w:hanging="360"/>
      </w:pPr>
      <w:rPr>
        <w:rFonts w:hint="default"/>
      </w:rPr>
    </w:lvl>
    <w:lvl w:ilvl="3" w:tplc="ACD6F808">
      <w:start w:val="1"/>
      <w:numFmt w:val="bullet"/>
      <w:lvlText w:val="•"/>
      <w:lvlJc w:val="left"/>
      <w:pPr>
        <w:ind w:left="2155" w:hanging="360"/>
      </w:pPr>
      <w:rPr>
        <w:rFonts w:hint="default"/>
      </w:rPr>
    </w:lvl>
    <w:lvl w:ilvl="4" w:tplc="D2FA39AE">
      <w:start w:val="1"/>
      <w:numFmt w:val="bullet"/>
      <w:lvlText w:val="•"/>
      <w:lvlJc w:val="left"/>
      <w:pPr>
        <w:ind w:left="3110" w:hanging="360"/>
      </w:pPr>
      <w:rPr>
        <w:rFonts w:hint="default"/>
      </w:rPr>
    </w:lvl>
    <w:lvl w:ilvl="5" w:tplc="18A4C5FE">
      <w:start w:val="1"/>
      <w:numFmt w:val="bullet"/>
      <w:lvlText w:val="•"/>
      <w:lvlJc w:val="left"/>
      <w:pPr>
        <w:ind w:left="4065" w:hanging="360"/>
      </w:pPr>
      <w:rPr>
        <w:rFonts w:hint="default"/>
      </w:rPr>
    </w:lvl>
    <w:lvl w:ilvl="6" w:tplc="51E08180">
      <w:start w:val="1"/>
      <w:numFmt w:val="bullet"/>
      <w:lvlText w:val="•"/>
      <w:lvlJc w:val="left"/>
      <w:pPr>
        <w:ind w:left="5020" w:hanging="360"/>
      </w:pPr>
      <w:rPr>
        <w:rFonts w:hint="default"/>
      </w:rPr>
    </w:lvl>
    <w:lvl w:ilvl="7" w:tplc="99B6613A">
      <w:start w:val="1"/>
      <w:numFmt w:val="bullet"/>
      <w:lvlText w:val="•"/>
      <w:lvlJc w:val="left"/>
      <w:pPr>
        <w:ind w:left="5975" w:hanging="360"/>
      </w:pPr>
      <w:rPr>
        <w:rFonts w:hint="default"/>
      </w:rPr>
    </w:lvl>
    <w:lvl w:ilvl="8" w:tplc="5704CE5C">
      <w:start w:val="1"/>
      <w:numFmt w:val="bullet"/>
      <w:lvlText w:val="•"/>
      <w:lvlJc w:val="left"/>
      <w:pPr>
        <w:ind w:left="6930" w:hanging="3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D7"/>
    <w:rsid w:val="002C1ADF"/>
    <w:rsid w:val="003E35E0"/>
    <w:rsid w:val="0068334C"/>
    <w:rsid w:val="009C0CD7"/>
    <w:rsid w:val="00BF364F"/>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0CD7"/>
    <w:pPr>
      <w:widowControl w:val="0"/>
      <w:spacing w:after="0" w:line="240" w:lineRule="auto"/>
    </w:pPr>
    <w:rPr>
      <w:rFonts w:asciiTheme="minorHAnsi" w:hAnsiTheme="minorHAnsi"/>
      <w:sz w:val="22"/>
    </w:rPr>
  </w:style>
  <w:style w:type="paragraph" w:styleId="Heading1">
    <w:name w:val="heading 1"/>
    <w:basedOn w:val="Normal"/>
    <w:link w:val="Heading1Char"/>
    <w:uiPriority w:val="1"/>
    <w:qFormat/>
    <w:rsid w:val="009C0CD7"/>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CD7"/>
    <w:rPr>
      <w:rFonts w:ascii="Times New Roman" w:eastAsia="Times New Roman" w:hAnsi="Times New Roman"/>
      <w:b/>
      <w:bCs/>
      <w:szCs w:val="24"/>
    </w:rPr>
  </w:style>
  <w:style w:type="paragraph" w:styleId="BodyText">
    <w:name w:val="Body Text"/>
    <w:basedOn w:val="Normal"/>
    <w:link w:val="BodyTextChar"/>
    <w:uiPriority w:val="1"/>
    <w:qFormat/>
    <w:rsid w:val="009C0CD7"/>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C0CD7"/>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0CD7"/>
    <w:pPr>
      <w:widowControl w:val="0"/>
      <w:spacing w:after="0" w:line="240" w:lineRule="auto"/>
    </w:pPr>
    <w:rPr>
      <w:rFonts w:asciiTheme="minorHAnsi" w:hAnsiTheme="minorHAnsi"/>
      <w:sz w:val="22"/>
    </w:rPr>
  </w:style>
  <w:style w:type="paragraph" w:styleId="Heading1">
    <w:name w:val="heading 1"/>
    <w:basedOn w:val="Normal"/>
    <w:link w:val="Heading1Char"/>
    <w:uiPriority w:val="1"/>
    <w:qFormat/>
    <w:rsid w:val="009C0CD7"/>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CD7"/>
    <w:rPr>
      <w:rFonts w:ascii="Times New Roman" w:eastAsia="Times New Roman" w:hAnsi="Times New Roman"/>
      <w:b/>
      <w:bCs/>
      <w:szCs w:val="24"/>
    </w:rPr>
  </w:style>
  <w:style w:type="paragraph" w:styleId="BodyText">
    <w:name w:val="Body Text"/>
    <w:basedOn w:val="Normal"/>
    <w:link w:val="BodyTextChar"/>
    <w:uiPriority w:val="1"/>
    <w:qFormat/>
    <w:rsid w:val="009C0CD7"/>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C0CD7"/>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NicoleDBynum</dc:creator>
  <cp:lastModifiedBy>SYSTEM</cp:lastModifiedBy>
  <cp:revision>2</cp:revision>
  <dcterms:created xsi:type="dcterms:W3CDTF">2018-10-17T19:11:00Z</dcterms:created>
  <dcterms:modified xsi:type="dcterms:W3CDTF">2018-10-17T19:11:00Z</dcterms:modified>
</cp:coreProperties>
</file>