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B8B0" w14:textId="77777777" w:rsidR="005019A1" w:rsidRPr="00F61808" w:rsidRDefault="005019A1" w:rsidP="00BB7D00">
      <w:pPr>
        <w:spacing w:after="0" w:line="200" w:lineRule="exact"/>
        <w:rPr>
          <w:rFonts w:ascii="Times New Roman" w:hAnsi="Times New Roman" w:cs="Times New Roman"/>
          <w:sz w:val="20"/>
          <w:szCs w:val="20"/>
        </w:rPr>
      </w:pPr>
      <w:bookmarkStart w:id="0" w:name="_GoBack"/>
      <w:bookmarkEnd w:id="0"/>
    </w:p>
    <w:p w14:paraId="5FF8125C" w14:textId="77777777" w:rsidR="00334D12" w:rsidRPr="00F61808" w:rsidRDefault="00334D12" w:rsidP="00BB7D00">
      <w:pPr>
        <w:spacing w:after="0" w:line="200" w:lineRule="exact"/>
        <w:rPr>
          <w:rFonts w:ascii="Times New Roman" w:hAnsi="Times New Roman" w:cs="Times New Roman"/>
          <w:sz w:val="20"/>
          <w:szCs w:val="20"/>
        </w:rPr>
      </w:pPr>
    </w:p>
    <w:p w14:paraId="052E0425" w14:textId="00ED5671" w:rsidR="005019A1" w:rsidRPr="00F61808" w:rsidRDefault="00756B64" w:rsidP="00BB7D00">
      <w:pPr>
        <w:spacing w:after="0" w:line="248" w:lineRule="auto"/>
        <w:ind w:right="6179" w:hanging="14"/>
        <w:rPr>
          <w:rFonts w:ascii="Times New Roman" w:eastAsia="Times New Roman" w:hAnsi="Times New Roman" w:cs="Times New Roman"/>
        </w:rPr>
      </w:pPr>
      <w:r w:rsidRPr="00F61808">
        <w:rPr>
          <w:rFonts w:ascii="Times New Roman" w:eastAsia="Times New Roman" w:hAnsi="Times New Roman" w:cs="Times New Roman"/>
        </w:rPr>
        <w:t>MEMORANDUM</w:t>
      </w:r>
      <w:r w:rsidRPr="00F61808">
        <w:rPr>
          <w:rFonts w:ascii="Times New Roman" w:eastAsia="Times New Roman" w:hAnsi="Times New Roman" w:cs="Times New Roman"/>
          <w:spacing w:val="54"/>
        </w:rPr>
        <w:t xml:space="preserve"> </w:t>
      </w:r>
      <w:r w:rsidRPr="00F61808">
        <w:rPr>
          <w:rFonts w:ascii="Times New Roman" w:eastAsia="Times New Roman" w:hAnsi="Times New Roman" w:cs="Times New Roman"/>
        </w:rPr>
        <w:t xml:space="preserve">FOR: </w:t>
      </w:r>
      <w:r w:rsidR="009A310A" w:rsidRPr="00F61808">
        <w:rPr>
          <w:rFonts w:ascii="Times New Roman" w:eastAsia="Times New Roman" w:hAnsi="Times New Roman" w:cs="Times New Roman"/>
        </w:rPr>
        <w:t>Jasmeet Seehra</w:t>
      </w:r>
    </w:p>
    <w:p w14:paraId="5161A880" w14:textId="23642C96" w:rsidR="005019A1" w:rsidRPr="00F61808" w:rsidRDefault="005F31C8" w:rsidP="00BB7D00">
      <w:pPr>
        <w:spacing w:before="4" w:after="0" w:line="240" w:lineRule="auto"/>
        <w:ind w:right="-20"/>
        <w:rPr>
          <w:rFonts w:ascii="Times New Roman" w:eastAsia="Times New Roman" w:hAnsi="Times New Roman" w:cs="Times New Roman"/>
        </w:rPr>
      </w:pPr>
      <w:r w:rsidRPr="00F61808">
        <w:rPr>
          <w:rFonts w:ascii="Times New Roman" w:eastAsia="Times New Roman" w:hAnsi="Times New Roman" w:cs="Times New Roman"/>
        </w:rPr>
        <w:t>GSA</w:t>
      </w:r>
      <w:r w:rsidR="00756B64" w:rsidRPr="00F61808">
        <w:rPr>
          <w:rFonts w:ascii="Times New Roman" w:eastAsia="Times New Roman" w:hAnsi="Times New Roman" w:cs="Times New Roman"/>
          <w:spacing w:val="25"/>
        </w:rPr>
        <w:t xml:space="preserve"> </w:t>
      </w:r>
      <w:r w:rsidR="00756B64" w:rsidRPr="00F61808">
        <w:rPr>
          <w:rFonts w:ascii="Times New Roman" w:eastAsia="Times New Roman" w:hAnsi="Times New Roman" w:cs="Times New Roman"/>
        </w:rPr>
        <w:t>Desk</w:t>
      </w:r>
      <w:r w:rsidR="00756B64" w:rsidRPr="00F61808">
        <w:rPr>
          <w:rFonts w:ascii="Times New Roman" w:eastAsia="Times New Roman" w:hAnsi="Times New Roman" w:cs="Times New Roman"/>
          <w:spacing w:val="18"/>
        </w:rPr>
        <w:t xml:space="preserve"> </w:t>
      </w:r>
      <w:r w:rsidR="00756B64" w:rsidRPr="00F61808">
        <w:rPr>
          <w:rFonts w:ascii="Times New Roman" w:eastAsia="Times New Roman" w:hAnsi="Times New Roman" w:cs="Times New Roman"/>
        </w:rPr>
        <w:t>Officer</w:t>
      </w:r>
    </w:p>
    <w:p w14:paraId="2A8A2505" w14:textId="77777777" w:rsidR="005019A1" w:rsidRPr="00F61808" w:rsidRDefault="00756B64" w:rsidP="00BB7D00">
      <w:pPr>
        <w:spacing w:before="15" w:after="0" w:line="240" w:lineRule="auto"/>
        <w:ind w:right="-20"/>
        <w:rPr>
          <w:rFonts w:ascii="Times New Roman" w:eastAsia="Times New Roman" w:hAnsi="Times New Roman" w:cs="Times New Roman"/>
        </w:rPr>
      </w:pPr>
      <w:r w:rsidRPr="00F61808">
        <w:rPr>
          <w:rFonts w:ascii="Times New Roman" w:eastAsia="Times New Roman" w:hAnsi="Times New Roman" w:cs="Times New Roman"/>
        </w:rPr>
        <w:t>Office</w:t>
      </w:r>
      <w:r w:rsidRPr="00F61808">
        <w:rPr>
          <w:rFonts w:ascii="Times New Roman" w:eastAsia="Times New Roman" w:hAnsi="Times New Roman" w:cs="Times New Roman"/>
          <w:spacing w:val="25"/>
        </w:rPr>
        <w:t xml:space="preserve"> </w:t>
      </w:r>
      <w:r w:rsidRPr="00F61808">
        <w:rPr>
          <w:rFonts w:ascii="Times New Roman" w:eastAsia="Times New Roman" w:hAnsi="Times New Roman" w:cs="Times New Roman"/>
        </w:rPr>
        <w:t>of</w:t>
      </w:r>
      <w:r w:rsidRPr="00F61808">
        <w:rPr>
          <w:rFonts w:ascii="Times New Roman" w:eastAsia="Times New Roman" w:hAnsi="Times New Roman" w:cs="Times New Roman"/>
          <w:spacing w:val="13"/>
        </w:rPr>
        <w:t xml:space="preserve"> </w:t>
      </w:r>
      <w:r w:rsidRPr="00F61808">
        <w:rPr>
          <w:rFonts w:ascii="Times New Roman" w:eastAsia="Times New Roman" w:hAnsi="Times New Roman" w:cs="Times New Roman"/>
        </w:rPr>
        <w:t>Management</w:t>
      </w:r>
      <w:r w:rsidRPr="00F61808">
        <w:rPr>
          <w:rFonts w:ascii="Times New Roman" w:eastAsia="Times New Roman" w:hAnsi="Times New Roman" w:cs="Times New Roman"/>
          <w:spacing w:val="33"/>
        </w:rPr>
        <w:t xml:space="preserve"> </w:t>
      </w:r>
      <w:r w:rsidRPr="00F61808">
        <w:rPr>
          <w:rFonts w:ascii="Times New Roman" w:eastAsia="Times New Roman" w:hAnsi="Times New Roman" w:cs="Times New Roman"/>
        </w:rPr>
        <w:t>and</w:t>
      </w:r>
      <w:r w:rsidRPr="00F61808">
        <w:rPr>
          <w:rFonts w:ascii="Times New Roman" w:eastAsia="Times New Roman" w:hAnsi="Times New Roman" w:cs="Times New Roman"/>
          <w:spacing w:val="18"/>
        </w:rPr>
        <w:t xml:space="preserve"> </w:t>
      </w:r>
      <w:r w:rsidRPr="00F61808">
        <w:rPr>
          <w:rFonts w:ascii="Times New Roman" w:eastAsia="Times New Roman" w:hAnsi="Times New Roman" w:cs="Times New Roman"/>
        </w:rPr>
        <w:t>Budget</w:t>
      </w:r>
    </w:p>
    <w:p w14:paraId="10BB0796" w14:textId="77777777" w:rsidR="005019A1" w:rsidRPr="00F61808" w:rsidRDefault="005019A1" w:rsidP="00BB7D00">
      <w:pPr>
        <w:spacing w:before="10" w:after="0" w:line="260" w:lineRule="exact"/>
        <w:rPr>
          <w:rFonts w:ascii="Times New Roman" w:hAnsi="Times New Roman" w:cs="Times New Roman"/>
          <w:sz w:val="26"/>
          <w:szCs w:val="26"/>
        </w:rPr>
      </w:pPr>
    </w:p>
    <w:p w14:paraId="721EC601" w14:textId="77777777" w:rsidR="005019A1" w:rsidRPr="00F61808" w:rsidRDefault="00756B64" w:rsidP="00BB7D00">
      <w:pPr>
        <w:spacing w:after="0" w:line="240" w:lineRule="auto"/>
        <w:ind w:right="-20"/>
        <w:rPr>
          <w:rFonts w:ascii="Times New Roman" w:eastAsia="Times New Roman" w:hAnsi="Times New Roman" w:cs="Times New Roman"/>
        </w:rPr>
      </w:pPr>
      <w:r w:rsidRPr="00F61808">
        <w:rPr>
          <w:rFonts w:ascii="Times New Roman" w:eastAsia="Times New Roman" w:hAnsi="Times New Roman" w:cs="Times New Roman"/>
        </w:rPr>
        <w:t>FROM:</w:t>
      </w:r>
    </w:p>
    <w:p w14:paraId="219EFD44" w14:textId="468E5B5A" w:rsidR="005019A1" w:rsidRPr="00F61808" w:rsidRDefault="009A310A" w:rsidP="00BB7D00">
      <w:pPr>
        <w:spacing w:before="12" w:after="0" w:line="240" w:lineRule="auto"/>
        <w:ind w:right="-20"/>
        <w:rPr>
          <w:rFonts w:ascii="Times New Roman" w:eastAsia="Times New Roman" w:hAnsi="Times New Roman" w:cs="Times New Roman"/>
        </w:rPr>
      </w:pPr>
      <w:r w:rsidRPr="00F61808">
        <w:rPr>
          <w:rFonts w:ascii="Times New Roman" w:eastAsia="Times New Roman" w:hAnsi="Times New Roman" w:cs="Times New Roman"/>
        </w:rPr>
        <w:t>David A. Shive</w:t>
      </w:r>
    </w:p>
    <w:p w14:paraId="638F1BB9" w14:textId="77777777" w:rsidR="005019A1" w:rsidRPr="00F61808" w:rsidRDefault="00756B64" w:rsidP="00BB7D00">
      <w:pPr>
        <w:spacing w:before="12" w:after="0" w:line="240" w:lineRule="auto"/>
        <w:ind w:right="-20"/>
        <w:rPr>
          <w:rFonts w:ascii="Times New Roman" w:eastAsia="Times New Roman" w:hAnsi="Times New Roman" w:cs="Times New Roman"/>
        </w:rPr>
      </w:pPr>
      <w:r w:rsidRPr="00F61808">
        <w:rPr>
          <w:rFonts w:ascii="Times New Roman" w:eastAsia="Times New Roman" w:hAnsi="Times New Roman" w:cs="Times New Roman"/>
        </w:rPr>
        <w:t>Chief</w:t>
      </w:r>
      <w:r w:rsidRPr="00F61808">
        <w:rPr>
          <w:rFonts w:ascii="Times New Roman" w:eastAsia="Times New Roman" w:hAnsi="Times New Roman" w:cs="Times New Roman"/>
          <w:spacing w:val="27"/>
        </w:rPr>
        <w:t xml:space="preserve"> </w:t>
      </w:r>
      <w:r w:rsidRPr="00F61808">
        <w:rPr>
          <w:rFonts w:ascii="Times New Roman" w:eastAsia="Times New Roman" w:hAnsi="Times New Roman" w:cs="Times New Roman"/>
        </w:rPr>
        <w:t>Information</w:t>
      </w:r>
      <w:r w:rsidRPr="00F61808">
        <w:rPr>
          <w:rFonts w:ascii="Times New Roman" w:eastAsia="Times New Roman" w:hAnsi="Times New Roman" w:cs="Times New Roman"/>
          <w:spacing w:val="35"/>
        </w:rPr>
        <w:t xml:space="preserve"> </w:t>
      </w:r>
      <w:r w:rsidRPr="00F61808">
        <w:rPr>
          <w:rFonts w:ascii="Times New Roman" w:eastAsia="Times New Roman" w:hAnsi="Times New Roman" w:cs="Times New Roman"/>
        </w:rPr>
        <w:t>Officer</w:t>
      </w:r>
    </w:p>
    <w:p w14:paraId="04277B87" w14:textId="77777777" w:rsidR="005019A1" w:rsidRPr="00F61808" w:rsidRDefault="005019A1" w:rsidP="00BB7D00">
      <w:pPr>
        <w:spacing w:before="14" w:after="0" w:line="260" w:lineRule="exact"/>
        <w:rPr>
          <w:rFonts w:ascii="Times New Roman" w:hAnsi="Times New Roman" w:cs="Times New Roman"/>
          <w:sz w:val="26"/>
          <w:szCs w:val="26"/>
        </w:rPr>
      </w:pPr>
    </w:p>
    <w:p w14:paraId="79BA8C0F" w14:textId="77777777" w:rsidR="005019A1" w:rsidRPr="00F61808" w:rsidRDefault="00756B64" w:rsidP="00BB7D00">
      <w:pPr>
        <w:spacing w:after="0" w:line="240" w:lineRule="auto"/>
        <w:ind w:right="-20"/>
        <w:rPr>
          <w:rFonts w:ascii="Times New Roman" w:eastAsia="Times New Roman" w:hAnsi="Times New Roman" w:cs="Times New Roman"/>
        </w:rPr>
      </w:pPr>
      <w:r w:rsidRPr="00F61808">
        <w:rPr>
          <w:rFonts w:ascii="Times New Roman" w:eastAsia="Times New Roman" w:hAnsi="Times New Roman" w:cs="Times New Roman"/>
        </w:rPr>
        <w:t xml:space="preserve">SUBJECT: </w:t>
      </w:r>
      <w:r w:rsidRPr="00F61808">
        <w:rPr>
          <w:rFonts w:ascii="Times New Roman" w:eastAsia="Times New Roman" w:hAnsi="Times New Roman" w:cs="Times New Roman"/>
          <w:spacing w:val="44"/>
        </w:rPr>
        <w:t xml:space="preserve"> </w:t>
      </w:r>
      <w:r w:rsidRPr="00F61808">
        <w:rPr>
          <w:rFonts w:ascii="Times New Roman" w:eastAsia="Times New Roman" w:hAnsi="Times New Roman" w:cs="Times New Roman"/>
        </w:rPr>
        <w:t>Request</w:t>
      </w:r>
      <w:r w:rsidRPr="00F61808">
        <w:rPr>
          <w:rFonts w:ascii="Times New Roman" w:eastAsia="Times New Roman" w:hAnsi="Times New Roman" w:cs="Times New Roman"/>
          <w:spacing w:val="26"/>
        </w:rPr>
        <w:t xml:space="preserve"> </w:t>
      </w:r>
      <w:r w:rsidRPr="00F61808">
        <w:rPr>
          <w:rFonts w:ascii="Times New Roman" w:eastAsia="Times New Roman" w:hAnsi="Times New Roman" w:cs="Times New Roman"/>
        </w:rPr>
        <w:t>for</w:t>
      </w:r>
      <w:r w:rsidRPr="00F61808">
        <w:rPr>
          <w:rFonts w:ascii="Times New Roman" w:eastAsia="Times New Roman" w:hAnsi="Times New Roman" w:cs="Times New Roman"/>
          <w:spacing w:val="12"/>
        </w:rPr>
        <w:t xml:space="preserve"> </w:t>
      </w:r>
      <w:r w:rsidRPr="00F61808">
        <w:rPr>
          <w:rFonts w:ascii="Times New Roman" w:eastAsia="Times New Roman" w:hAnsi="Times New Roman" w:cs="Times New Roman"/>
        </w:rPr>
        <w:t>Emergency</w:t>
      </w:r>
      <w:r w:rsidRPr="00F61808">
        <w:rPr>
          <w:rFonts w:ascii="Times New Roman" w:eastAsia="Times New Roman" w:hAnsi="Times New Roman" w:cs="Times New Roman"/>
          <w:spacing w:val="34"/>
        </w:rPr>
        <w:t xml:space="preserve"> </w:t>
      </w:r>
      <w:r w:rsidRPr="00F61808">
        <w:rPr>
          <w:rFonts w:ascii="Times New Roman" w:eastAsia="Times New Roman" w:hAnsi="Times New Roman" w:cs="Times New Roman"/>
        </w:rPr>
        <w:t>Clearance</w:t>
      </w:r>
    </w:p>
    <w:p w14:paraId="049C0720" w14:textId="77777777" w:rsidR="005019A1" w:rsidRPr="00F61808" w:rsidRDefault="005019A1" w:rsidP="00BB7D00">
      <w:pPr>
        <w:spacing w:before="1" w:after="0" w:line="280" w:lineRule="exact"/>
        <w:rPr>
          <w:rFonts w:ascii="Times New Roman" w:hAnsi="Times New Roman" w:cs="Times New Roman"/>
          <w:sz w:val="28"/>
          <w:szCs w:val="28"/>
        </w:rPr>
      </w:pPr>
    </w:p>
    <w:p w14:paraId="76397086" w14:textId="458B2899" w:rsidR="00485C56" w:rsidRPr="00F61808" w:rsidRDefault="005F31C8" w:rsidP="007F1261">
      <w:pPr>
        <w:spacing w:after="0" w:line="250" w:lineRule="auto"/>
        <w:ind w:right="617" w:firstLine="4"/>
        <w:rPr>
          <w:rFonts w:ascii="Times New Roman" w:hAnsi="Times New Roman" w:cs="Times New Roman"/>
          <w:sz w:val="24"/>
          <w:szCs w:val="24"/>
        </w:rPr>
      </w:pPr>
      <w:r w:rsidRPr="00F61808">
        <w:rPr>
          <w:rFonts w:ascii="Times New Roman" w:hAnsi="Times New Roman" w:cs="Times New Roman"/>
          <w:sz w:val="24"/>
          <w:szCs w:val="24"/>
        </w:rPr>
        <w:t>This is to request emergency clearance for</w:t>
      </w:r>
      <w:r w:rsidR="0061581A" w:rsidRPr="00F61808">
        <w:rPr>
          <w:rFonts w:ascii="Times New Roman" w:hAnsi="Times New Roman" w:cs="Times New Roman"/>
          <w:sz w:val="24"/>
          <w:szCs w:val="24"/>
        </w:rPr>
        <w:t xml:space="preserve"> the</w:t>
      </w:r>
      <w:r w:rsidR="007F1261" w:rsidRPr="00F61808">
        <w:rPr>
          <w:rFonts w:ascii="Times New Roman" w:hAnsi="Times New Roman" w:cs="Times New Roman"/>
          <w:sz w:val="24"/>
          <w:szCs w:val="24"/>
        </w:rPr>
        <w:t xml:space="preserve"> use of a survey to collect the information necessary to prepare a report to Congress as required by the MOBILE NOW Act (Section 608(d) of Title VI of the Consolidated Appropriations Act, 2018 [</w:t>
      </w:r>
      <w:hyperlink r:id="rId8" w:history="1">
        <w:r w:rsidR="007F1261" w:rsidRPr="00F61808">
          <w:rPr>
            <w:rFonts w:ascii="Times New Roman" w:hAnsi="Times New Roman" w:cs="Times New Roman"/>
            <w:color w:val="2121FF"/>
            <w:sz w:val="24"/>
            <w:szCs w:val="24"/>
            <w:u w:val="single"/>
          </w:rPr>
          <w:t>P. L. 115-141</w:t>
        </w:r>
      </w:hyperlink>
      <w:r w:rsidR="007F1261" w:rsidRPr="00F61808">
        <w:rPr>
          <w:rFonts w:ascii="Times New Roman" w:hAnsi="Times New Roman" w:cs="Times New Roman"/>
          <w:sz w:val="24"/>
          <w:szCs w:val="24"/>
        </w:rPr>
        <w:t xml:space="preserve">]).  The Act requires </w:t>
      </w:r>
      <w:r w:rsidR="00485C56" w:rsidRPr="00F61808">
        <w:rPr>
          <w:rFonts w:ascii="Times New Roman" w:hAnsi="Times New Roman" w:cs="Times New Roman"/>
          <w:sz w:val="24"/>
          <w:szCs w:val="24"/>
        </w:rPr>
        <w:t>the General Services Administration (</w:t>
      </w:r>
      <w:r w:rsidR="007F1261" w:rsidRPr="00F61808">
        <w:rPr>
          <w:rFonts w:ascii="Times New Roman" w:hAnsi="Times New Roman" w:cs="Times New Roman"/>
          <w:sz w:val="24"/>
          <w:szCs w:val="24"/>
        </w:rPr>
        <w:t>GSA</w:t>
      </w:r>
      <w:r w:rsidR="00485C56" w:rsidRPr="00F61808">
        <w:rPr>
          <w:rFonts w:ascii="Times New Roman" w:hAnsi="Times New Roman" w:cs="Times New Roman"/>
          <w:sz w:val="24"/>
          <w:szCs w:val="24"/>
        </w:rPr>
        <w:t>)</w:t>
      </w:r>
      <w:r w:rsidR="007F1261" w:rsidRPr="00F61808">
        <w:rPr>
          <w:rFonts w:ascii="Times New Roman" w:hAnsi="Times New Roman" w:cs="Times New Roman"/>
          <w:sz w:val="24"/>
          <w:szCs w:val="24"/>
        </w:rPr>
        <w:t xml:space="preserve"> to consult with State and local governments, or their representatives</w:t>
      </w:r>
      <w:r w:rsidR="00485C56" w:rsidRPr="00F61808">
        <w:rPr>
          <w:rFonts w:ascii="Times New Roman" w:hAnsi="Times New Roman" w:cs="Times New Roman"/>
          <w:sz w:val="24"/>
          <w:szCs w:val="24"/>
        </w:rPr>
        <w:t>:</w:t>
      </w:r>
    </w:p>
    <w:p w14:paraId="62145DBA" w14:textId="5F1A6EBE" w:rsidR="00485C56" w:rsidRPr="00F61808" w:rsidRDefault="00485C56" w:rsidP="00485C56">
      <w:pPr>
        <w:pStyle w:val="ListParagraph"/>
        <w:numPr>
          <w:ilvl w:val="0"/>
          <w:numId w:val="2"/>
        </w:numPr>
        <w:spacing w:after="0" w:line="250" w:lineRule="auto"/>
        <w:ind w:right="617"/>
        <w:rPr>
          <w:rFonts w:ascii="Times New Roman" w:hAnsi="Times New Roman" w:cs="Times New Roman"/>
          <w:sz w:val="24"/>
          <w:szCs w:val="24"/>
        </w:rPr>
      </w:pPr>
      <w:r w:rsidRPr="00F61808">
        <w:rPr>
          <w:rFonts w:ascii="Times New Roman" w:hAnsi="Times New Roman" w:cs="Times New Roman"/>
          <w:sz w:val="24"/>
          <w:szCs w:val="24"/>
        </w:rPr>
        <w:t>O</w:t>
      </w:r>
      <w:r w:rsidR="007F1261" w:rsidRPr="00F61808">
        <w:rPr>
          <w:rFonts w:ascii="Times New Roman" w:hAnsi="Times New Roman" w:cs="Times New Roman"/>
          <w:sz w:val="24"/>
          <w:szCs w:val="24"/>
        </w:rPr>
        <w:t>n ways to incentivize State and local data shari</w:t>
      </w:r>
      <w:r w:rsidRPr="00F61808">
        <w:rPr>
          <w:rFonts w:ascii="Times New Roman" w:hAnsi="Times New Roman" w:cs="Times New Roman"/>
          <w:sz w:val="24"/>
          <w:szCs w:val="24"/>
        </w:rPr>
        <w:t>ng of real property information;</w:t>
      </w:r>
    </w:p>
    <w:p w14:paraId="60C5C0CC" w14:textId="14175DEC" w:rsidR="00485C56" w:rsidRPr="00F61808" w:rsidRDefault="00485C56" w:rsidP="00485C56">
      <w:pPr>
        <w:pStyle w:val="ListParagraph"/>
        <w:numPr>
          <w:ilvl w:val="0"/>
          <w:numId w:val="2"/>
        </w:numPr>
        <w:spacing w:after="0" w:line="250" w:lineRule="auto"/>
        <w:ind w:right="617"/>
        <w:rPr>
          <w:rFonts w:ascii="Times New Roman" w:hAnsi="Times New Roman" w:cs="Times New Roman"/>
          <w:sz w:val="24"/>
          <w:szCs w:val="24"/>
        </w:rPr>
      </w:pPr>
      <w:r w:rsidRPr="00F61808">
        <w:rPr>
          <w:rFonts w:ascii="Times New Roman" w:hAnsi="Times New Roman" w:cs="Times New Roman"/>
          <w:sz w:val="24"/>
          <w:szCs w:val="24"/>
        </w:rPr>
        <w:t>T</w:t>
      </w:r>
      <w:r w:rsidR="007F1261" w:rsidRPr="00F61808">
        <w:rPr>
          <w:rFonts w:ascii="Times New Roman" w:hAnsi="Times New Roman" w:cs="Times New Roman"/>
          <w:sz w:val="24"/>
          <w:szCs w:val="24"/>
        </w:rPr>
        <w:t>he feasibility of establishing a voluntary database</w:t>
      </w:r>
      <w:r w:rsidRPr="00F61808">
        <w:rPr>
          <w:rFonts w:ascii="Times New Roman" w:hAnsi="Times New Roman" w:cs="Times New Roman"/>
          <w:sz w:val="24"/>
          <w:szCs w:val="24"/>
        </w:rPr>
        <w:t xml:space="preserve"> of this information;</w:t>
      </w:r>
    </w:p>
    <w:p w14:paraId="24755634" w14:textId="5F7AD39D" w:rsidR="00485C56" w:rsidRPr="00F61808" w:rsidRDefault="00485C56" w:rsidP="00485C56">
      <w:pPr>
        <w:pStyle w:val="ListParagraph"/>
        <w:numPr>
          <w:ilvl w:val="0"/>
          <w:numId w:val="2"/>
        </w:numPr>
        <w:spacing w:after="0" w:line="250" w:lineRule="auto"/>
        <w:ind w:right="617"/>
        <w:rPr>
          <w:rFonts w:ascii="Times New Roman" w:hAnsi="Times New Roman" w:cs="Times New Roman"/>
          <w:sz w:val="24"/>
          <w:szCs w:val="24"/>
        </w:rPr>
      </w:pPr>
      <w:r w:rsidRPr="00F61808">
        <w:rPr>
          <w:rFonts w:ascii="Times New Roman" w:hAnsi="Times New Roman" w:cs="Times New Roman"/>
          <w:sz w:val="24"/>
          <w:szCs w:val="24"/>
        </w:rPr>
        <w:t>To identify the most cost effective options for State and local governments to collect and provide real property data on assets that could support a communications facility installation; and to,</w:t>
      </w:r>
    </w:p>
    <w:p w14:paraId="6B1C5820" w14:textId="211CA201" w:rsidR="00485C56" w:rsidRPr="00F61808" w:rsidRDefault="00485C56" w:rsidP="00485C56">
      <w:pPr>
        <w:pStyle w:val="ListParagraph"/>
        <w:numPr>
          <w:ilvl w:val="0"/>
          <w:numId w:val="2"/>
        </w:numPr>
        <w:spacing w:after="0" w:line="250" w:lineRule="auto"/>
        <w:ind w:right="617"/>
        <w:rPr>
          <w:rFonts w:ascii="Times New Roman" w:hAnsi="Times New Roman" w:cs="Times New Roman"/>
          <w:sz w:val="24"/>
          <w:szCs w:val="24"/>
        </w:rPr>
      </w:pPr>
      <w:r w:rsidRPr="00F61808">
        <w:rPr>
          <w:rFonts w:ascii="Times New Roman" w:hAnsi="Times New Roman" w:cs="Times New Roman"/>
          <w:sz w:val="24"/>
          <w:szCs w:val="24"/>
        </w:rPr>
        <w:t>Make recommendations on ways the Federal Government can assist State and local governments in collecting and providing this data.</w:t>
      </w:r>
    </w:p>
    <w:p w14:paraId="2C10F1E5" w14:textId="77777777" w:rsidR="00485C56" w:rsidRPr="00F61808" w:rsidRDefault="00485C56" w:rsidP="00485C56">
      <w:pPr>
        <w:pStyle w:val="ListParagraph"/>
        <w:spacing w:after="0" w:line="250" w:lineRule="auto"/>
        <w:ind w:left="778" w:right="617"/>
        <w:rPr>
          <w:rFonts w:ascii="Times New Roman" w:hAnsi="Times New Roman" w:cs="Times New Roman"/>
          <w:sz w:val="24"/>
          <w:szCs w:val="24"/>
        </w:rPr>
      </w:pPr>
    </w:p>
    <w:p w14:paraId="50403A35" w14:textId="1BF7B75A" w:rsidR="005F31C8" w:rsidRPr="00F61808" w:rsidRDefault="00485C56" w:rsidP="00485C56">
      <w:pPr>
        <w:spacing w:after="0" w:line="250" w:lineRule="auto"/>
        <w:ind w:right="617"/>
        <w:rPr>
          <w:rFonts w:ascii="Times New Roman" w:hAnsi="Times New Roman" w:cs="Times New Roman"/>
          <w:sz w:val="24"/>
          <w:szCs w:val="24"/>
        </w:rPr>
      </w:pPr>
      <w:r w:rsidRPr="00F61808">
        <w:rPr>
          <w:rFonts w:ascii="Times New Roman" w:hAnsi="Times New Roman" w:cs="Times New Roman"/>
          <w:sz w:val="24"/>
          <w:szCs w:val="24"/>
        </w:rPr>
        <w:t xml:space="preserve">Section 608(d) also directs GSA to submit a report to Congress by March 22, 2019.  </w:t>
      </w:r>
      <w:r w:rsidR="005F31C8" w:rsidRPr="00F61808">
        <w:rPr>
          <w:rFonts w:ascii="Times New Roman" w:hAnsi="Times New Roman" w:cs="Times New Roman"/>
          <w:sz w:val="24"/>
          <w:szCs w:val="24"/>
        </w:rPr>
        <w:t xml:space="preserve">In addition to the emergency clearance, we will also complete the normal OMB review process and post the 60-Day and 30 Day Federal Register Notices following the Emergency Federal Register Notice. </w:t>
      </w:r>
    </w:p>
    <w:p w14:paraId="3C5B83BE" w14:textId="77777777" w:rsidR="005F31C8" w:rsidRPr="00F61808" w:rsidRDefault="005F31C8" w:rsidP="005F31C8">
      <w:pPr>
        <w:spacing w:after="0" w:line="250" w:lineRule="auto"/>
        <w:ind w:right="617" w:firstLine="4"/>
        <w:rPr>
          <w:rFonts w:ascii="Times New Roman" w:hAnsi="Times New Roman" w:cs="Times New Roman"/>
          <w:sz w:val="24"/>
          <w:szCs w:val="24"/>
        </w:rPr>
      </w:pPr>
    </w:p>
    <w:p w14:paraId="60D9851D" w14:textId="13C25C9A" w:rsidR="00485C56" w:rsidRPr="00F61808" w:rsidRDefault="00485C56" w:rsidP="00485C56">
      <w:pPr>
        <w:rPr>
          <w:rFonts w:ascii="Times New Roman" w:hAnsi="Times New Roman" w:cs="Times New Roman"/>
          <w:sz w:val="24"/>
          <w:szCs w:val="24"/>
        </w:rPr>
      </w:pPr>
      <w:r w:rsidRPr="00F61808">
        <w:rPr>
          <w:rFonts w:ascii="Times New Roman" w:hAnsi="Times New Roman" w:cs="Times New Roman"/>
          <w:sz w:val="24"/>
          <w:szCs w:val="24"/>
        </w:rPr>
        <w:t xml:space="preserve">The information required to prepare the report is not already available and requires the solicitation of feedback from the relevant stakeholders. GSA must begin gathering feedback as soon as possible, as all outreach and feedback must be concluded by no later than November 30, 2018.  This will allow GSA time to review and summarize the survey results and draft a report by the beginning of January, 2019.  The report must be prepared in consultation with the Office of Management and Budget, the Federal Communications Commission, and the Department of Commerce as congressionally mandated by the Act; </w:t>
      </w:r>
      <w:r w:rsidRPr="00F61808">
        <w:rPr>
          <w:rFonts w:ascii="Times New Roman" w:hAnsi="Times New Roman" w:cs="Times New Roman"/>
          <w:sz w:val="24"/>
          <w:szCs w:val="24"/>
        </w:rPr>
        <w:lastRenderedPageBreak/>
        <w:t>and must be submitted for internal GSA review by early February. The final report to Congress will be submitted on March 22, 2019.</w:t>
      </w:r>
    </w:p>
    <w:p w14:paraId="5136B92F" w14:textId="5E5E2C78" w:rsidR="00485C56" w:rsidRPr="00F61808" w:rsidRDefault="00485C56" w:rsidP="00485C56">
      <w:pPr>
        <w:rPr>
          <w:rFonts w:ascii="Times New Roman" w:hAnsi="Times New Roman" w:cs="Times New Roman"/>
          <w:sz w:val="24"/>
          <w:szCs w:val="24"/>
        </w:rPr>
      </w:pPr>
      <w:r w:rsidRPr="00F61808">
        <w:rPr>
          <w:rFonts w:ascii="Times New Roman" w:hAnsi="Times New Roman" w:cs="Times New Roman"/>
          <w:sz w:val="24"/>
          <w:szCs w:val="24"/>
        </w:rPr>
        <w:t>The GSA</w:t>
      </w:r>
      <w:r w:rsidR="002E16ED" w:rsidRPr="00F61808">
        <w:rPr>
          <w:rFonts w:ascii="Times New Roman" w:hAnsi="Times New Roman" w:cs="Times New Roman"/>
          <w:sz w:val="24"/>
          <w:szCs w:val="24"/>
        </w:rPr>
        <w:t>’s</w:t>
      </w:r>
      <w:r w:rsidRPr="00F61808">
        <w:rPr>
          <w:rFonts w:ascii="Times New Roman" w:hAnsi="Times New Roman" w:cs="Times New Roman"/>
          <w:sz w:val="24"/>
          <w:szCs w:val="24"/>
        </w:rPr>
        <w:t xml:space="preserve"> Office of Government-wide Policy (OGP)</w:t>
      </w:r>
      <w:r w:rsidR="002E16ED" w:rsidRPr="00F61808">
        <w:rPr>
          <w:rFonts w:ascii="Times New Roman" w:hAnsi="Times New Roman" w:cs="Times New Roman"/>
          <w:sz w:val="24"/>
          <w:szCs w:val="24"/>
        </w:rPr>
        <w:t xml:space="preserve"> i</w:t>
      </w:r>
      <w:r w:rsidRPr="00F61808">
        <w:rPr>
          <w:rFonts w:ascii="Times New Roman" w:hAnsi="Times New Roman" w:cs="Times New Roman"/>
          <w:sz w:val="24"/>
          <w:szCs w:val="24"/>
        </w:rPr>
        <w:t>s consult</w:t>
      </w:r>
      <w:r w:rsidR="002E16ED" w:rsidRPr="00F61808">
        <w:rPr>
          <w:rFonts w:ascii="Times New Roman" w:hAnsi="Times New Roman" w:cs="Times New Roman"/>
          <w:sz w:val="24"/>
          <w:szCs w:val="24"/>
        </w:rPr>
        <w:t>ing with Office of Management and Budget, the Department of Commerce, and the Federal Communications Commission on the requirements as mandated by the Act.  Further, OGP has conducted been informal discussions with t</w:t>
      </w:r>
      <w:r w:rsidRPr="00F61808">
        <w:rPr>
          <w:rFonts w:ascii="Times New Roman" w:hAnsi="Times New Roman" w:cs="Times New Roman"/>
          <w:sz w:val="24"/>
          <w:szCs w:val="24"/>
        </w:rPr>
        <w:t>he National Telecommunications and Information Association (NTIA), National Association of Regulatory Utility Commissioners (NARUC), National League of Cities (NLC) and National Association of Regional Councils (NARC)</w:t>
      </w:r>
      <w:r w:rsidR="002E16ED" w:rsidRPr="00F61808">
        <w:rPr>
          <w:rFonts w:ascii="Times New Roman" w:hAnsi="Times New Roman" w:cs="Times New Roman"/>
          <w:sz w:val="24"/>
          <w:szCs w:val="24"/>
        </w:rPr>
        <w:t xml:space="preserve"> to </w:t>
      </w:r>
      <w:r w:rsidRPr="00F61808">
        <w:rPr>
          <w:rFonts w:ascii="Times New Roman" w:hAnsi="Times New Roman" w:cs="Times New Roman"/>
          <w:sz w:val="24"/>
          <w:szCs w:val="24"/>
        </w:rPr>
        <w:t>solicit general information regarding the State and local contacts that these associations work with</w:t>
      </w:r>
      <w:r w:rsidR="002E16ED" w:rsidRPr="00F61808">
        <w:rPr>
          <w:rFonts w:ascii="Times New Roman" w:hAnsi="Times New Roman" w:cs="Times New Roman"/>
          <w:sz w:val="24"/>
          <w:szCs w:val="24"/>
        </w:rPr>
        <w:t>;</w:t>
      </w:r>
      <w:r w:rsidRPr="00F61808">
        <w:rPr>
          <w:rFonts w:ascii="Times New Roman" w:hAnsi="Times New Roman" w:cs="Times New Roman"/>
          <w:sz w:val="24"/>
          <w:szCs w:val="24"/>
        </w:rPr>
        <w:t xml:space="preserve"> and collaboration ideas for reaching their respective memberships in order to solicit the information required by the MOBILE NOW </w:t>
      </w:r>
      <w:r w:rsidR="002E16ED" w:rsidRPr="00F61808">
        <w:rPr>
          <w:rFonts w:ascii="Times New Roman" w:hAnsi="Times New Roman" w:cs="Times New Roman"/>
          <w:sz w:val="24"/>
          <w:szCs w:val="24"/>
        </w:rPr>
        <w:t>A</w:t>
      </w:r>
      <w:r w:rsidRPr="00F61808">
        <w:rPr>
          <w:rFonts w:ascii="Times New Roman" w:hAnsi="Times New Roman" w:cs="Times New Roman"/>
          <w:sz w:val="24"/>
          <w:szCs w:val="24"/>
        </w:rPr>
        <w:t xml:space="preserve">ct. </w:t>
      </w:r>
    </w:p>
    <w:p w14:paraId="3B55C771" w14:textId="315E25E9" w:rsidR="006753F2" w:rsidRPr="00F61808" w:rsidRDefault="00485C56" w:rsidP="00F61808">
      <w:pPr>
        <w:rPr>
          <w:rFonts w:ascii="Times New Roman" w:hAnsi="Times New Roman" w:cs="Times New Roman"/>
        </w:rPr>
      </w:pPr>
      <w:r w:rsidRPr="00F61808">
        <w:rPr>
          <w:rFonts w:ascii="Times New Roman" w:hAnsi="Times New Roman" w:cs="Times New Roman"/>
          <w:sz w:val="24"/>
          <w:szCs w:val="24"/>
        </w:rPr>
        <w:t>Without</w:t>
      </w:r>
      <w:r w:rsidR="002E16ED" w:rsidRPr="00F61808">
        <w:rPr>
          <w:rFonts w:ascii="Times New Roman" w:hAnsi="Times New Roman" w:cs="Times New Roman"/>
          <w:sz w:val="24"/>
          <w:szCs w:val="24"/>
        </w:rPr>
        <w:t xml:space="preserve"> gathering</w:t>
      </w:r>
      <w:r w:rsidRPr="00F61808">
        <w:rPr>
          <w:rFonts w:ascii="Times New Roman" w:hAnsi="Times New Roman" w:cs="Times New Roman"/>
          <w:sz w:val="24"/>
          <w:szCs w:val="24"/>
        </w:rPr>
        <w:t xml:space="preserve"> this information collection, GSA will not be able to issue a report to Congress and will be in violatio</w:t>
      </w:r>
      <w:r w:rsidR="00F61808" w:rsidRPr="00F61808">
        <w:rPr>
          <w:rFonts w:ascii="Times New Roman" w:hAnsi="Times New Roman" w:cs="Times New Roman"/>
          <w:sz w:val="24"/>
          <w:szCs w:val="24"/>
        </w:rPr>
        <w:t>n of the MOBILE NOW Act.</w:t>
      </w:r>
    </w:p>
    <w:p w14:paraId="64D11862" w14:textId="7D495053" w:rsidR="006753F2" w:rsidRPr="00F61808" w:rsidRDefault="006753F2" w:rsidP="00F61808">
      <w:pPr>
        <w:spacing w:after="0" w:line="250" w:lineRule="auto"/>
        <w:ind w:right="617"/>
        <w:rPr>
          <w:rFonts w:ascii="Times New Roman" w:hAnsi="Times New Roman" w:cs="Times New Roman"/>
          <w:sz w:val="24"/>
          <w:szCs w:val="24"/>
        </w:rPr>
      </w:pPr>
      <w:r w:rsidRPr="00F61808">
        <w:rPr>
          <w:rFonts w:ascii="Times New Roman" w:hAnsi="Times New Roman" w:cs="Times New Roman"/>
          <w:sz w:val="24"/>
          <w:szCs w:val="24"/>
        </w:rPr>
        <w:t>DATED:</w:t>
      </w:r>
    </w:p>
    <w:p w14:paraId="44A15BBE" w14:textId="77777777" w:rsidR="006753F2" w:rsidRPr="00F61808" w:rsidRDefault="006753F2" w:rsidP="005F31C8">
      <w:pPr>
        <w:spacing w:after="0" w:line="250" w:lineRule="auto"/>
        <w:ind w:left="630" w:right="617" w:firstLine="4"/>
        <w:rPr>
          <w:rFonts w:ascii="Times New Roman" w:hAnsi="Times New Roman" w:cs="Times New Roman"/>
          <w:sz w:val="24"/>
          <w:szCs w:val="24"/>
        </w:rPr>
      </w:pPr>
    </w:p>
    <w:p w14:paraId="2DFACE7F" w14:textId="77777777" w:rsidR="00D63883" w:rsidRPr="00F61808" w:rsidRDefault="00D63883" w:rsidP="005F31C8">
      <w:pPr>
        <w:spacing w:after="0" w:line="250" w:lineRule="auto"/>
        <w:ind w:left="630" w:right="617" w:firstLine="4"/>
        <w:rPr>
          <w:rFonts w:ascii="Times New Roman" w:hAnsi="Times New Roman" w:cs="Times New Roman"/>
          <w:sz w:val="24"/>
          <w:szCs w:val="24"/>
        </w:rPr>
      </w:pPr>
    </w:p>
    <w:p w14:paraId="009B8B39" w14:textId="77777777" w:rsidR="006753F2" w:rsidRPr="00F61808" w:rsidRDefault="006753F2" w:rsidP="005F31C8">
      <w:pPr>
        <w:spacing w:after="0" w:line="250" w:lineRule="auto"/>
        <w:ind w:left="630" w:right="617" w:firstLine="4"/>
        <w:rPr>
          <w:rFonts w:ascii="Times New Roman" w:hAnsi="Times New Roman" w:cs="Times New Roman"/>
          <w:sz w:val="24"/>
          <w:szCs w:val="24"/>
        </w:rPr>
      </w:pPr>
    </w:p>
    <w:p w14:paraId="6A38C1FA" w14:textId="77777777" w:rsidR="006753F2" w:rsidRPr="00F61808" w:rsidRDefault="006753F2" w:rsidP="005F31C8">
      <w:pPr>
        <w:spacing w:after="0" w:line="250" w:lineRule="auto"/>
        <w:ind w:left="630" w:right="617" w:firstLine="4"/>
        <w:rPr>
          <w:rFonts w:ascii="Times New Roman" w:hAnsi="Times New Roman" w:cs="Times New Roman"/>
          <w:sz w:val="24"/>
          <w:szCs w:val="24"/>
        </w:rPr>
      </w:pPr>
    </w:p>
    <w:p w14:paraId="1E767D79" w14:textId="339E7EB6" w:rsidR="006753F2" w:rsidRPr="00F61808" w:rsidRDefault="006753F2" w:rsidP="00F61808">
      <w:pPr>
        <w:spacing w:after="0" w:line="250" w:lineRule="auto"/>
        <w:ind w:right="617"/>
        <w:rPr>
          <w:rFonts w:ascii="Times New Roman" w:hAnsi="Times New Roman" w:cs="Times New Roman"/>
          <w:sz w:val="24"/>
          <w:szCs w:val="24"/>
        </w:rPr>
      </w:pPr>
      <w:r w:rsidRPr="00F61808">
        <w:rPr>
          <w:rFonts w:ascii="Times New Roman" w:hAnsi="Times New Roman" w:cs="Times New Roman"/>
          <w:sz w:val="24"/>
          <w:szCs w:val="24"/>
        </w:rPr>
        <w:t>David A. Shive,</w:t>
      </w:r>
    </w:p>
    <w:p w14:paraId="626FCBF4" w14:textId="75F0468D" w:rsidR="006753F2" w:rsidRPr="00F61808" w:rsidRDefault="006753F2" w:rsidP="00F61808">
      <w:pPr>
        <w:spacing w:after="0" w:line="250" w:lineRule="auto"/>
        <w:ind w:right="617"/>
        <w:rPr>
          <w:rFonts w:ascii="Times New Roman" w:eastAsia="Times New Roman" w:hAnsi="Times New Roman" w:cs="Times New Roman"/>
          <w:sz w:val="24"/>
          <w:szCs w:val="24"/>
        </w:rPr>
      </w:pPr>
      <w:r w:rsidRPr="00F61808">
        <w:rPr>
          <w:rFonts w:ascii="Times New Roman" w:hAnsi="Times New Roman" w:cs="Times New Roman"/>
          <w:sz w:val="24"/>
          <w:szCs w:val="24"/>
        </w:rPr>
        <w:t>Chief Information Officer.</w:t>
      </w:r>
    </w:p>
    <w:sectPr w:rsidR="006753F2" w:rsidRPr="00F61808">
      <w:headerReference w:type="even" r:id="rId9"/>
      <w:headerReference w:type="default" r:id="rId10"/>
      <w:footerReference w:type="even" r:id="rId11"/>
      <w:footerReference w:type="default" r:id="rId12"/>
      <w:headerReference w:type="first" r:id="rId13"/>
      <w:footerReference w:type="first" r:id="rId14"/>
      <w:pgSz w:w="12180" w:h="15820"/>
      <w:pgMar w:top="1280" w:right="1720" w:bottom="1200" w:left="1720" w:header="1058"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E8DB8" w14:textId="77777777" w:rsidR="008D2D0C" w:rsidRDefault="008D2D0C">
      <w:pPr>
        <w:spacing w:after="0" w:line="240" w:lineRule="auto"/>
      </w:pPr>
      <w:r>
        <w:separator/>
      </w:r>
    </w:p>
  </w:endnote>
  <w:endnote w:type="continuationSeparator" w:id="0">
    <w:p w14:paraId="1DAE0698" w14:textId="77777777" w:rsidR="008D2D0C" w:rsidRDefault="008D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BD8A1" w14:textId="77777777" w:rsidR="002E53CB" w:rsidRDefault="002E5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054EF" w14:textId="77777777" w:rsidR="002E53CB" w:rsidRDefault="002E53CB" w:rsidP="002E53CB">
    <w:pPr>
      <w:pStyle w:val="Footer"/>
      <w:tabs>
        <w:tab w:val="clear" w:pos="9360"/>
        <w:tab w:val="right" w:pos="9350"/>
      </w:tabs>
      <w:jc w:val="right"/>
      <w:rPr>
        <w:b/>
        <w:sz w:val="18"/>
        <w:szCs w:val="18"/>
      </w:rPr>
    </w:pPr>
    <w:r>
      <w:rPr>
        <w:b/>
        <w:sz w:val="18"/>
        <w:szCs w:val="18"/>
      </w:rPr>
      <w:t>U.S. General Services Administration</w:t>
    </w:r>
  </w:p>
  <w:p w14:paraId="41474810" w14:textId="77777777" w:rsidR="002E53CB" w:rsidRDefault="002E53CB" w:rsidP="002E53CB">
    <w:pPr>
      <w:pStyle w:val="Footer"/>
      <w:tabs>
        <w:tab w:val="clear" w:pos="9360"/>
        <w:tab w:val="left" w:pos="6171"/>
        <w:tab w:val="right" w:pos="9350"/>
      </w:tabs>
      <w:jc w:val="right"/>
      <w:rPr>
        <w:sz w:val="18"/>
        <w:szCs w:val="18"/>
      </w:rPr>
    </w:pPr>
    <w:r>
      <w:rPr>
        <w:sz w:val="18"/>
        <w:szCs w:val="18"/>
      </w:rPr>
      <w:tab/>
      <w:t>1800 F Street, NW</w:t>
    </w:r>
  </w:p>
  <w:p w14:paraId="66A47596" w14:textId="77777777" w:rsidR="002E53CB" w:rsidRDefault="002E53CB" w:rsidP="002E53CB">
    <w:pPr>
      <w:pStyle w:val="Footer"/>
      <w:tabs>
        <w:tab w:val="left" w:pos="6171"/>
      </w:tabs>
      <w:jc w:val="right"/>
      <w:rPr>
        <w:sz w:val="18"/>
        <w:szCs w:val="18"/>
      </w:rPr>
    </w:pPr>
    <w:r>
      <w:rPr>
        <w:sz w:val="18"/>
        <w:szCs w:val="18"/>
      </w:rPr>
      <w:tab/>
      <w:t>Washington, DC 20405</w:t>
    </w:r>
  </w:p>
  <w:p w14:paraId="4E3FEB49" w14:textId="77777777" w:rsidR="002E53CB" w:rsidRPr="002F6F1D" w:rsidRDefault="002E53CB" w:rsidP="002E53CB">
    <w:pPr>
      <w:pStyle w:val="Footer"/>
      <w:tabs>
        <w:tab w:val="left" w:pos="6171"/>
      </w:tabs>
      <w:jc w:val="right"/>
      <w:rPr>
        <w:sz w:val="18"/>
        <w:szCs w:val="18"/>
      </w:rPr>
    </w:pPr>
    <w:r>
      <w:rPr>
        <w:sz w:val="18"/>
        <w:szCs w:val="18"/>
      </w:rPr>
      <w:tab/>
      <w:t>www.gsa.gov</w:t>
    </w:r>
  </w:p>
  <w:p w14:paraId="0C41ADDD" w14:textId="6D79DD57" w:rsidR="005019A1" w:rsidRDefault="005019A1">
    <w:pPr>
      <w:spacing w:after="0"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AFAF2" w14:textId="77777777" w:rsidR="002E53CB" w:rsidRDefault="002E5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AD31B" w14:textId="77777777" w:rsidR="008D2D0C" w:rsidRDefault="008D2D0C">
      <w:pPr>
        <w:spacing w:after="0" w:line="240" w:lineRule="auto"/>
      </w:pPr>
      <w:r>
        <w:separator/>
      </w:r>
    </w:p>
  </w:footnote>
  <w:footnote w:type="continuationSeparator" w:id="0">
    <w:p w14:paraId="237BF7BC" w14:textId="77777777" w:rsidR="008D2D0C" w:rsidRDefault="008D2D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958A6" w14:textId="77777777" w:rsidR="002E53CB" w:rsidRDefault="002E53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3D9D6" w14:textId="77777777" w:rsidR="002E53CB" w:rsidRPr="00E80BB6" w:rsidRDefault="002E53CB" w:rsidP="002E53CB">
    <w:pPr>
      <w:pStyle w:val="Header"/>
      <w:ind w:right="720"/>
      <w:rPr>
        <w:rFonts w:cs="Arial"/>
        <w:noProof/>
        <w:sz w:val="77"/>
        <w:szCs w:val="77"/>
      </w:rPr>
    </w:pPr>
    <w:r>
      <w:rPr>
        <w:noProof/>
      </w:rPr>
      <w:drawing>
        <wp:anchor distT="0" distB="0" distL="114300" distR="114300" simplePos="0" relativeHeight="251659264" behindDoc="1" locked="0" layoutInCell="1" allowOverlap="1" wp14:anchorId="278871B3" wp14:editId="387EB4EC">
          <wp:simplePos x="0" y="0"/>
          <wp:positionH relativeFrom="column">
            <wp:posOffset>-49530</wp:posOffset>
          </wp:positionH>
          <wp:positionV relativeFrom="paragraph">
            <wp:posOffset>0</wp:posOffset>
          </wp:positionV>
          <wp:extent cx="756920" cy="742950"/>
          <wp:effectExtent l="19050" t="0" r="5080" b="0"/>
          <wp:wrapNone/>
          <wp:docPr id="1" name="Picture 2" descr="gsa_large_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a_large_0.gif"/>
                  <pic:cNvPicPr>
                    <a:picLocks noChangeAspect="1" noChangeArrowheads="1"/>
                  </pic:cNvPicPr>
                </pic:nvPicPr>
                <pic:blipFill>
                  <a:blip r:embed="rId1"/>
                  <a:srcRect/>
                  <a:stretch>
                    <a:fillRect/>
                  </a:stretch>
                </pic:blipFill>
                <pic:spPr bwMode="auto">
                  <a:xfrm>
                    <a:off x="0" y="0"/>
                    <a:ext cx="756920" cy="742950"/>
                  </a:xfrm>
                  <a:prstGeom prst="rect">
                    <a:avLst/>
                  </a:prstGeom>
                  <a:noFill/>
                </pic:spPr>
              </pic:pic>
            </a:graphicData>
          </a:graphic>
        </wp:anchor>
      </w:drawing>
    </w:r>
  </w:p>
  <w:p w14:paraId="58C8B9B0" w14:textId="6FEF93DA" w:rsidR="002E53CB" w:rsidRPr="00DE3A50" w:rsidRDefault="002E53CB" w:rsidP="002E53CB">
    <w:pPr>
      <w:pStyle w:val="Header"/>
      <w:ind w:right="720"/>
      <w:jc w:val="right"/>
      <w:rPr>
        <w:rFonts w:cs="Arial"/>
        <w:sz w:val="18"/>
        <w:szCs w:val="18"/>
      </w:rPr>
    </w:pPr>
    <w:r w:rsidRPr="00F07CD4">
      <w:rPr>
        <w:rFonts w:cs="Arial"/>
        <w:sz w:val="18"/>
        <w:szCs w:val="18"/>
      </w:rPr>
      <w:tab/>
    </w:r>
    <w:r>
      <w:rPr>
        <w:rFonts w:cs="Arial"/>
        <w:sz w:val="18"/>
        <w:szCs w:val="18"/>
      </w:rPr>
      <w:tab/>
    </w:r>
    <w:r w:rsidRPr="00F07CD4">
      <w:rPr>
        <w:rFonts w:cs="Arial"/>
        <w:b/>
        <w:snapToGrid w:val="0"/>
        <w:color w:val="4D4D4D"/>
        <w:sz w:val="18"/>
        <w:szCs w:val="18"/>
      </w:rPr>
      <w:t xml:space="preserve">GSA Office of </w:t>
    </w:r>
    <w:r>
      <w:rPr>
        <w:rFonts w:cs="Arial"/>
        <w:b/>
        <w:snapToGrid w:val="0"/>
        <w:color w:val="4D4D4D"/>
        <w:sz w:val="18"/>
        <w:szCs w:val="18"/>
      </w:rPr>
      <w:t>Government-wide Acquisition</w:t>
    </w:r>
    <w:r w:rsidRPr="00F07CD4">
      <w:rPr>
        <w:rFonts w:cs="Arial"/>
        <w:b/>
        <w:snapToGrid w:val="0"/>
        <w:color w:val="4D4D4D"/>
        <w:sz w:val="18"/>
        <w:szCs w:val="18"/>
      </w:rPr>
      <w:t xml:space="preserve"> </w:t>
    </w:r>
    <w:r>
      <w:rPr>
        <w:rFonts w:cs="Arial"/>
        <w:b/>
        <w:snapToGrid w:val="0"/>
        <w:color w:val="4D4D4D"/>
        <w:sz w:val="18"/>
        <w:szCs w:val="18"/>
      </w:rPr>
      <w:t>Policy</w:t>
    </w:r>
  </w:p>
  <w:p w14:paraId="7040DC2E" w14:textId="57C29C6E" w:rsidR="005019A1" w:rsidRDefault="005019A1">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5D137" w14:textId="77777777" w:rsidR="002E53CB" w:rsidRDefault="002E5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D3877"/>
    <w:multiLevelType w:val="hybridMultilevel"/>
    <w:tmpl w:val="D37AAFE0"/>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
    <w:nsid w:val="3F9C7DCE"/>
    <w:multiLevelType w:val="hybridMultilevel"/>
    <w:tmpl w:val="314A294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A1"/>
    <w:rsid w:val="00106147"/>
    <w:rsid w:val="00195158"/>
    <w:rsid w:val="002644FF"/>
    <w:rsid w:val="002E16ED"/>
    <w:rsid w:val="002E53CB"/>
    <w:rsid w:val="00334D12"/>
    <w:rsid w:val="003F486F"/>
    <w:rsid w:val="00485C56"/>
    <w:rsid w:val="005019A1"/>
    <w:rsid w:val="005F31C8"/>
    <w:rsid w:val="0061581A"/>
    <w:rsid w:val="006753F2"/>
    <w:rsid w:val="00727EBB"/>
    <w:rsid w:val="00756B64"/>
    <w:rsid w:val="007F1261"/>
    <w:rsid w:val="0082381C"/>
    <w:rsid w:val="008D2D0C"/>
    <w:rsid w:val="009A310A"/>
    <w:rsid w:val="009B105A"/>
    <w:rsid w:val="00A7649F"/>
    <w:rsid w:val="00BA4219"/>
    <w:rsid w:val="00BB7D00"/>
    <w:rsid w:val="00BF6E54"/>
    <w:rsid w:val="00C42A35"/>
    <w:rsid w:val="00C90B57"/>
    <w:rsid w:val="00D63883"/>
    <w:rsid w:val="00EA6C04"/>
    <w:rsid w:val="00F6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57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D12"/>
  </w:style>
  <w:style w:type="paragraph" w:styleId="Footer">
    <w:name w:val="footer"/>
    <w:basedOn w:val="Normal"/>
    <w:link w:val="FooterChar"/>
    <w:unhideWhenUsed/>
    <w:rsid w:val="00334D12"/>
    <w:pPr>
      <w:tabs>
        <w:tab w:val="center" w:pos="4680"/>
        <w:tab w:val="right" w:pos="9360"/>
      </w:tabs>
      <w:spacing w:after="0" w:line="240" w:lineRule="auto"/>
    </w:pPr>
  </w:style>
  <w:style w:type="character" w:customStyle="1" w:styleId="FooterChar">
    <w:name w:val="Footer Char"/>
    <w:basedOn w:val="DefaultParagraphFont"/>
    <w:link w:val="Footer"/>
    <w:rsid w:val="00334D12"/>
  </w:style>
  <w:style w:type="character" w:styleId="Hyperlink">
    <w:name w:val="Hyperlink"/>
    <w:basedOn w:val="DefaultParagraphFont"/>
    <w:uiPriority w:val="99"/>
    <w:semiHidden/>
    <w:unhideWhenUsed/>
    <w:rsid w:val="007F1261"/>
    <w:rPr>
      <w:color w:val="0000FF"/>
      <w:u w:val="single"/>
    </w:rPr>
  </w:style>
  <w:style w:type="paragraph" w:styleId="ListParagraph">
    <w:name w:val="List Paragraph"/>
    <w:basedOn w:val="Normal"/>
    <w:uiPriority w:val="34"/>
    <w:qFormat/>
    <w:rsid w:val="00485C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D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D12"/>
  </w:style>
  <w:style w:type="paragraph" w:styleId="Footer">
    <w:name w:val="footer"/>
    <w:basedOn w:val="Normal"/>
    <w:link w:val="FooterChar"/>
    <w:unhideWhenUsed/>
    <w:rsid w:val="00334D12"/>
    <w:pPr>
      <w:tabs>
        <w:tab w:val="center" w:pos="4680"/>
        <w:tab w:val="right" w:pos="9360"/>
      </w:tabs>
      <w:spacing w:after="0" w:line="240" w:lineRule="auto"/>
    </w:pPr>
  </w:style>
  <w:style w:type="character" w:customStyle="1" w:styleId="FooterChar">
    <w:name w:val="Footer Char"/>
    <w:basedOn w:val="DefaultParagraphFont"/>
    <w:link w:val="Footer"/>
    <w:rsid w:val="00334D12"/>
  </w:style>
  <w:style w:type="character" w:styleId="Hyperlink">
    <w:name w:val="Hyperlink"/>
    <w:basedOn w:val="DefaultParagraphFont"/>
    <w:uiPriority w:val="99"/>
    <w:semiHidden/>
    <w:unhideWhenUsed/>
    <w:rsid w:val="007F1261"/>
    <w:rPr>
      <w:color w:val="0000FF"/>
      <w:u w:val="single"/>
    </w:rPr>
  </w:style>
  <w:style w:type="paragraph" w:styleId="ListParagraph">
    <w:name w:val="List Paragraph"/>
    <w:basedOn w:val="Normal"/>
    <w:uiPriority w:val="34"/>
    <w:qFormat/>
    <w:rsid w:val="00485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1625/tex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JenniferJCampbell</dc:creator>
  <cp:lastModifiedBy>SYSTEM</cp:lastModifiedBy>
  <cp:revision>2</cp:revision>
  <dcterms:created xsi:type="dcterms:W3CDTF">2018-10-17T18:02:00Z</dcterms:created>
  <dcterms:modified xsi:type="dcterms:W3CDTF">2018-10-17T18:02:00Z</dcterms:modified>
</cp:coreProperties>
</file>