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BD11B7F" w14:textId="77777777" w:rsidR="00262EB8" w:rsidRDefault="00262EB8">
      <w:bookmarkStart w:id="0" w:name="_GoBack"/>
      <w:bookmarkEnd w:id="0"/>
    </w:p>
    <w:p w14:paraId="4237E044" w14:textId="77777777" w:rsidR="00602809" w:rsidRDefault="00602809"/>
    <w:p w14:paraId="0018AC7C" w14:textId="77777777" w:rsidR="00262EB8" w:rsidRDefault="00090A7C">
      <w:r>
        <w:rPr>
          <w:b/>
          <w:sz w:val="24"/>
          <w:szCs w:val="24"/>
        </w:rPr>
        <w:t>B. Collections of Information Employing Statistical Methods</w:t>
      </w:r>
    </w:p>
    <w:p w14:paraId="4D9DC040" w14:textId="77777777" w:rsidR="00262EB8" w:rsidRDefault="00262EB8"/>
    <w:p w14:paraId="55FF8E52" w14:textId="4DE62804" w:rsidR="00BB33C3" w:rsidRDefault="00BB33C3">
      <w:pPr>
        <w:rPr>
          <w:sz w:val="24"/>
          <w:szCs w:val="24"/>
        </w:rPr>
      </w:pPr>
    </w:p>
    <w:p w14:paraId="119A0902" w14:textId="7B113F8E" w:rsidR="00B111D1" w:rsidRDefault="00B111D1" w:rsidP="008149A1">
      <w:pPr>
        <w:pStyle w:val="ListParagraph"/>
        <w:numPr>
          <w:ilvl w:val="0"/>
          <w:numId w:val="7"/>
        </w:numPr>
        <w:ind w:left="0" w:firstLine="0"/>
        <w:rPr>
          <w:rFonts w:ascii="Times New Roman" w:hAnsi="Times New Roman" w:cs="Times New Roman"/>
          <w:b/>
          <w:sz w:val="24"/>
          <w:szCs w:val="24"/>
        </w:rPr>
      </w:pPr>
      <w:r w:rsidRPr="00B111D1">
        <w:rPr>
          <w:rFonts w:ascii="Times New Roman" w:hAnsi="Times New Roman" w:cs="Times New Roman"/>
          <w:b/>
          <w:sz w:val="24"/>
          <w:szCs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466B3379" w14:textId="77777777" w:rsidR="00AE2B94" w:rsidRDefault="00AE2B94" w:rsidP="00AE2B94">
      <w:pPr>
        <w:rPr>
          <w:b/>
          <w:sz w:val="24"/>
          <w:szCs w:val="24"/>
        </w:rPr>
      </w:pPr>
    </w:p>
    <w:tbl>
      <w:tblPr>
        <w:tblStyle w:val="TableGrid"/>
        <w:tblW w:w="0" w:type="auto"/>
        <w:tblLook w:val="04A0" w:firstRow="1" w:lastRow="0" w:firstColumn="1" w:lastColumn="0" w:noHBand="0" w:noVBand="1"/>
      </w:tblPr>
      <w:tblGrid>
        <w:gridCol w:w="2952"/>
        <w:gridCol w:w="2952"/>
        <w:gridCol w:w="2952"/>
      </w:tblGrid>
      <w:tr w:rsidR="00AE2B94" w14:paraId="55102B9F" w14:textId="77777777" w:rsidTr="00AE2B94">
        <w:tc>
          <w:tcPr>
            <w:tcW w:w="2952" w:type="dxa"/>
          </w:tcPr>
          <w:p w14:paraId="29179FDD" w14:textId="68665E5B" w:rsidR="00AE2B94" w:rsidRDefault="00AE2B94" w:rsidP="00AE2B94">
            <w:pPr>
              <w:rPr>
                <w:b/>
                <w:sz w:val="24"/>
                <w:szCs w:val="24"/>
              </w:rPr>
            </w:pPr>
            <w:r>
              <w:rPr>
                <w:b/>
                <w:sz w:val="24"/>
                <w:szCs w:val="24"/>
              </w:rPr>
              <w:t>Organization</w:t>
            </w:r>
          </w:p>
        </w:tc>
        <w:tc>
          <w:tcPr>
            <w:tcW w:w="2952" w:type="dxa"/>
          </w:tcPr>
          <w:p w14:paraId="0A5CB954" w14:textId="36DE4CEA" w:rsidR="00AE2B94" w:rsidRDefault="00AE2B94" w:rsidP="00AE2B94">
            <w:pPr>
              <w:rPr>
                <w:b/>
                <w:sz w:val="24"/>
                <w:szCs w:val="24"/>
              </w:rPr>
            </w:pPr>
            <w:r>
              <w:rPr>
                <w:b/>
                <w:sz w:val="24"/>
                <w:szCs w:val="24"/>
              </w:rPr>
              <w:t>Membership / Recipients</w:t>
            </w:r>
          </w:p>
        </w:tc>
        <w:tc>
          <w:tcPr>
            <w:tcW w:w="2952" w:type="dxa"/>
          </w:tcPr>
          <w:p w14:paraId="223E8F67" w14:textId="14CA6BE1" w:rsidR="00AE2B94" w:rsidRDefault="00AE2B94" w:rsidP="00AE2B94">
            <w:pPr>
              <w:rPr>
                <w:b/>
                <w:sz w:val="24"/>
                <w:szCs w:val="24"/>
              </w:rPr>
            </w:pPr>
            <w:r>
              <w:rPr>
                <w:b/>
                <w:sz w:val="24"/>
                <w:szCs w:val="24"/>
              </w:rPr>
              <w:t>Estimated Response Rate</w:t>
            </w:r>
          </w:p>
        </w:tc>
      </w:tr>
      <w:tr w:rsidR="00AE2B94" w14:paraId="3A08C43B" w14:textId="2E4376A9" w:rsidTr="00AE2B94">
        <w:tc>
          <w:tcPr>
            <w:tcW w:w="2952" w:type="dxa"/>
          </w:tcPr>
          <w:p w14:paraId="38F37776" w14:textId="5A3C3F97" w:rsidR="00AE2B94" w:rsidRPr="00AE2B94" w:rsidRDefault="00AE2B94" w:rsidP="00AE2B94">
            <w:pPr>
              <w:rPr>
                <w:sz w:val="24"/>
                <w:szCs w:val="24"/>
              </w:rPr>
            </w:pPr>
            <w:r w:rsidRPr="00AE2B94">
              <w:rPr>
                <w:sz w:val="24"/>
                <w:szCs w:val="24"/>
              </w:rPr>
              <w:t>State Broadband Leaders Network</w:t>
            </w:r>
          </w:p>
        </w:tc>
        <w:tc>
          <w:tcPr>
            <w:tcW w:w="2952" w:type="dxa"/>
          </w:tcPr>
          <w:p w14:paraId="6F3AB398" w14:textId="7C327E93" w:rsidR="00AE2B94" w:rsidRPr="00A448A6" w:rsidRDefault="00A448A6" w:rsidP="00AE2B94">
            <w:pPr>
              <w:rPr>
                <w:sz w:val="24"/>
                <w:szCs w:val="24"/>
              </w:rPr>
            </w:pPr>
            <w:r w:rsidRPr="00A448A6">
              <w:rPr>
                <w:sz w:val="24"/>
                <w:szCs w:val="24"/>
              </w:rPr>
              <w:t>40</w:t>
            </w:r>
          </w:p>
        </w:tc>
        <w:tc>
          <w:tcPr>
            <w:tcW w:w="2952" w:type="dxa"/>
          </w:tcPr>
          <w:p w14:paraId="6D2C07DC" w14:textId="382ED94B" w:rsidR="00AE2B94" w:rsidRPr="00A448A6" w:rsidRDefault="00A448A6" w:rsidP="00AE2B94">
            <w:pPr>
              <w:rPr>
                <w:sz w:val="24"/>
                <w:szCs w:val="24"/>
              </w:rPr>
            </w:pPr>
            <w:r w:rsidRPr="00A448A6">
              <w:rPr>
                <w:sz w:val="24"/>
                <w:szCs w:val="24"/>
              </w:rPr>
              <w:t>75%</w:t>
            </w:r>
          </w:p>
        </w:tc>
      </w:tr>
      <w:tr w:rsidR="00AE2B94" w14:paraId="204E108A" w14:textId="77777777" w:rsidTr="00AE2B94">
        <w:tc>
          <w:tcPr>
            <w:tcW w:w="2952" w:type="dxa"/>
          </w:tcPr>
          <w:p w14:paraId="0878D57B" w14:textId="6DDD4337" w:rsidR="00AE2B94" w:rsidRPr="00AE2B94" w:rsidRDefault="00AE2B94" w:rsidP="00AE2B94">
            <w:pPr>
              <w:rPr>
                <w:sz w:val="24"/>
                <w:szCs w:val="24"/>
              </w:rPr>
            </w:pPr>
            <w:r>
              <w:rPr>
                <w:sz w:val="24"/>
                <w:szCs w:val="24"/>
              </w:rPr>
              <w:t>FCC Intergovernmental Advisory Committee</w:t>
            </w:r>
          </w:p>
        </w:tc>
        <w:tc>
          <w:tcPr>
            <w:tcW w:w="2952" w:type="dxa"/>
          </w:tcPr>
          <w:p w14:paraId="1EA28902" w14:textId="5C6880F3" w:rsidR="00AE2B94" w:rsidRPr="00AE2B94" w:rsidRDefault="00AE2B94" w:rsidP="00AE2B94">
            <w:pPr>
              <w:rPr>
                <w:sz w:val="24"/>
                <w:szCs w:val="24"/>
              </w:rPr>
            </w:pPr>
            <w:r>
              <w:rPr>
                <w:sz w:val="24"/>
                <w:szCs w:val="24"/>
              </w:rPr>
              <w:t>30</w:t>
            </w:r>
          </w:p>
        </w:tc>
        <w:tc>
          <w:tcPr>
            <w:tcW w:w="2952" w:type="dxa"/>
          </w:tcPr>
          <w:p w14:paraId="5C6EC37A" w14:textId="3DD7A404" w:rsidR="00AE2B94" w:rsidRPr="00AE2B94" w:rsidRDefault="00602809" w:rsidP="00602809">
            <w:pPr>
              <w:rPr>
                <w:sz w:val="24"/>
                <w:szCs w:val="24"/>
              </w:rPr>
            </w:pPr>
            <w:r>
              <w:rPr>
                <w:sz w:val="24"/>
                <w:szCs w:val="24"/>
              </w:rPr>
              <w:t>10 – 33</w:t>
            </w:r>
            <w:r w:rsidR="00AA4312">
              <w:rPr>
                <w:sz w:val="24"/>
                <w:szCs w:val="24"/>
              </w:rPr>
              <w:t>%</w:t>
            </w:r>
          </w:p>
        </w:tc>
      </w:tr>
      <w:tr w:rsidR="00AE2B94" w14:paraId="3A5D722D" w14:textId="4D36744A" w:rsidTr="00AE2B94">
        <w:tc>
          <w:tcPr>
            <w:tcW w:w="2952" w:type="dxa"/>
          </w:tcPr>
          <w:p w14:paraId="7D5CE891" w14:textId="54605E11" w:rsidR="00AE2B94" w:rsidRPr="00AE2B94" w:rsidRDefault="00AE2B94" w:rsidP="00AE2B94">
            <w:pPr>
              <w:rPr>
                <w:sz w:val="24"/>
                <w:szCs w:val="24"/>
              </w:rPr>
            </w:pPr>
            <w:r w:rsidRPr="00AE2B94">
              <w:rPr>
                <w:sz w:val="24"/>
                <w:szCs w:val="24"/>
              </w:rPr>
              <w:t>National League of Cities</w:t>
            </w:r>
          </w:p>
        </w:tc>
        <w:tc>
          <w:tcPr>
            <w:tcW w:w="2952" w:type="dxa"/>
          </w:tcPr>
          <w:p w14:paraId="7052FA69" w14:textId="34994AAA" w:rsidR="00AE2B94" w:rsidRPr="00AE2B94" w:rsidRDefault="00AE2B94" w:rsidP="00AE2B94">
            <w:pPr>
              <w:rPr>
                <w:sz w:val="24"/>
                <w:szCs w:val="24"/>
              </w:rPr>
            </w:pPr>
            <w:r w:rsidRPr="00AE2B94">
              <w:rPr>
                <w:sz w:val="24"/>
                <w:szCs w:val="24"/>
              </w:rPr>
              <w:t>1900</w:t>
            </w:r>
          </w:p>
        </w:tc>
        <w:tc>
          <w:tcPr>
            <w:tcW w:w="2952" w:type="dxa"/>
          </w:tcPr>
          <w:p w14:paraId="3D180DFB" w14:textId="724587F7" w:rsidR="00AE2B94" w:rsidRPr="00AE2B94" w:rsidRDefault="00AE2B94" w:rsidP="00AE2B94">
            <w:pPr>
              <w:rPr>
                <w:sz w:val="24"/>
                <w:szCs w:val="24"/>
              </w:rPr>
            </w:pPr>
            <w:r w:rsidRPr="00AE2B94">
              <w:rPr>
                <w:sz w:val="24"/>
                <w:szCs w:val="24"/>
              </w:rPr>
              <w:t>20 – 30%</w:t>
            </w:r>
          </w:p>
        </w:tc>
      </w:tr>
      <w:tr w:rsidR="00AE2B94" w14:paraId="26C228FE" w14:textId="5EDD1A84" w:rsidTr="00AE2B94">
        <w:tc>
          <w:tcPr>
            <w:tcW w:w="2952" w:type="dxa"/>
          </w:tcPr>
          <w:p w14:paraId="2DF1EEB5" w14:textId="50C52DA4" w:rsidR="00AE2B94" w:rsidRPr="00AE2B94" w:rsidRDefault="00AE2B94" w:rsidP="00AE2B94">
            <w:pPr>
              <w:rPr>
                <w:sz w:val="24"/>
                <w:szCs w:val="24"/>
              </w:rPr>
            </w:pPr>
            <w:r w:rsidRPr="00AE2B94">
              <w:rPr>
                <w:sz w:val="24"/>
                <w:szCs w:val="24"/>
              </w:rPr>
              <w:t>National Association of Regional Councils</w:t>
            </w:r>
          </w:p>
        </w:tc>
        <w:tc>
          <w:tcPr>
            <w:tcW w:w="2952" w:type="dxa"/>
          </w:tcPr>
          <w:p w14:paraId="355F5EBC" w14:textId="1DAF4252" w:rsidR="00AE2B94" w:rsidRPr="002053C1" w:rsidRDefault="002053C1" w:rsidP="00AE2B94">
            <w:pPr>
              <w:rPr>
                <w:sz w:val="24"/>
                <w:szCs w:val="24"/>
              </w:rPr>
            </w:pPr>
            <w:r w:rsidRPr="002053C1">
              <w:rPr>
                <w:sz w:val="24"/>
                <w:szCs w:val="24"/>
              </w:rPr>
              <w:t>180</w:t>
            </w:r>
          </w:p>
        </w:tc>
        <w:tc>
          <w:tcPr>
            <w:tcW w:w="2952" w:type="dxa"/>
          </w:tcPr>
          <w:p w14:paraId="634F2CF7" w14:textId="5D8D83F9" w:rsidR="00AE2B94" w:rsidRPr="002053C1" w:rsidRDefault="002053C1" w:rsidP="0000673A">
            <w:pPr>
              <w:rPr>
                <w:sz w:val="24"/>
                <w:szCs w:val="24"/>
              </w:rPr>
            </w:pPr>
            <w:r w:rsidRPr="002053C1">
              <w:rPr>
                <w:sz w:val="24"/>
                <w:szCs w:val="24"/>
              </w:rPr>
              <w:t xml:space="preserve">10 – </w:t>
            </w:r>
            <w:r w:rsidR="0000673A">
              <w:rPr>
                <w:sz w:val="24"/>
                <w:szCs w:val="24"/>
              </w:rPr>
              <w:t>33</w:t>
            </w:r>
            <w:r w:rsidRPr="002053C1">
              <w:rPr>
                <w:sz w:val="24"/>
                <w:szCs w:val="24"/>
              </w:rPr>
              <w:t>%</w:t>
            </w:r>
          </w:p>
        </w:tc>
      </w:tr>
      <w:tr w:rsidR="00AE2B94" w14:paraId="44C747C5" w14:textId="6F7CF8F6" w:rsidTr="00AE2B94">
        <w:tc>
          <w:tcPr>
            <w:tcW w:w="2952" w:type="dxa"/>
          </w:tcPr>
          <w:p w14:paraId="01AB51D3" w14:textId="6918BB8B" w:rsidR="00AE2B94" w:rsidRPr="000E29AA" w:rsidRDefault="00AE2B94" w:rsidP="00AE2B94">
            <w:pPr>
              <w:rPr>
                <w:sz w:val="24"/>
                <w:szCs w:val="24"/>
              </w:rPr>
            </w:pPr>
            <w:r w:rsidRPr="000E29AA">
              <w:rPr>
                <w:sz w:val="24"/>
                <w:szCs w:val="24"/>
              </w:rPr>
              <w:t xml:space="preserve">State Broadband </w:t>
            </w:r>
            <w:r w:rsidR="000E29AA" w:rsidRPr="000E29AA">
              <w:rPr>
                <w:sz w:val="24"/>
                <w:szCs w:val="24"/>
              </w:rPr>
              <w:t>POCs</w:t>
            </w:r>
          </w:p>
        </w:tc>
        <w:tc>
          <w:tcPr>
            <w:tcW w:w="2952" w:type="dxa"/>
          </w:tcPr>
          <w:p w14:paraId="246EABF3" w14:textId="77B52EE5" w:rsidR="00AE2B94" w:rsidRPr="000E29AA" w:rsidRDefault="00AE2B94" w:rsidP="00AE2B94">
            <w:pPr>
              <w:rPr>
                <w:sz w:val="24"/>
                <w:szCs w:val="24"/>
              </w:rPr>
            </w:pPr>
            <w:r w:rsidRPr="000E29AA">
              <w:rPr>
                <w:sz w:val="24"/>
                <w:szCs w:val="24"/>
              </w:rPr>
              <w:t>65</w:t>
            </w:r>
          </w:p>
        </w:tc>
        <w:tc>
          <w:tcPr>
            <w:tcW w:w="2952" w:type="dxa"/>
          </w:tcPr>
          <w:p w14:paraId="2867F186" w14:textId="21476EB8" w:rsidR="00AE2B94" w:rsidRPr="000E29AA" w:rsidRDefault="000E29AA" w:rsidP="0000673A">
            <w:pPr>
              <w:rPr>
                <w:sz w:val="24"/>
                <w:szCs w:val="24"/>
              </w:rPr>
            </w:pPr>
            <w:r w:rsidRPr="000E29AA">
              <w:rPr>
                <w:sz w:val="24"/>
                <w:szCs w:val="24"/>
              </w:rPr>
              <w:t xml:space="preserve">10 – </w:t>
            </w:r>
            <w:r w:rsidR="0000673A">
              <w:rPr>
                <w:sz w:val="24"/>
                <w:szCs w:val="24"/>
              </w:rPr>
              <w:t>33</w:t>
            </w:r>
            <w:r w:rsidRPr="000E29AA">
              <w:rPr>
                <w:sz w:val="24"/>
                <w:szCs w:val="24"/>
              </w:rPr>
              <w:t>%</w:t>
            </w:r>
          </w:p>
        </w:tc>
      </w:tr>
      <w:tr w:rsidR="00AE2B94" w14:paraId="17DE3D9D" w14:textId="36A97AC5" w:rsidTr="00AE2B94">
        <w:tc>
          <w:tcPr>
            <w:tcW w:w="2952" w:type="dxa"/>
          </w:tcPr>
          <w:p w14:paraId="2C192DC7" w14:textId="18FE2687" w:rsidR="00AE2B94" w:rsidRPr="000E29AA" w:rsidRDefault="00AE2B94" w:rsidP="00AE2B94">
            <w:pPr>
              <w:rPr>
                <w:sz w:val="24"/>
                <w:szCs w:val="24"/>
              </w:rPr>
            </w:pPr>
            <w:r w:rsidRPr="000E29AA">
              <w:rPr>
                <w:sz w:val="24"/>
                <w:szCs w:val="24"/>
              </w:rPr>
              <w:t>State GIS</w:t>
            </w:r>
            <w:r w:rsidR="000E29AA" w:rsidRPr="000E29AA">
              <w:rPr>
                <w:sz w:val="24"/>
                <w:szCs w:val="24"/>
              </w:rPr>
              <w:t xml:space="preserve"> POCs</w:t>
            </w:r>
          </w:p>
        </w:tc>
        <w:tc>
          <w:tcPr>
            <w:tcW w:w="2952" w:type="dxa"/>
          </w:tcPr>
          <w:p w14:paraId="5CFE03A2" w14:textId="74DFADAB" w:rsidR="00AE2B94" w:rsidRPr="000E29AA" w:rsidRDefault="000E29AA" w:rsidP="00AE2B94">
            <w:pPr>
              <w:rPr>
                <w:sz w:val="24"/>
                <w:szCs w:val="24"/>
              </w:rPr>
            </w:pPr>
            <w:r w:rsidRPr="000E29AA">
              <w:rPr>
                <w:sz w:val="24"/>
                <w:szCs w:val="24"/>
              </w:rPr>
              <w:t>105</w:t>
            </w:r>
          </w:p>
        </w:tc>
        <w:tc>
          <w:tcPr>
            <w:tcW w:w="2952" w:type="dxa"/>
          </w:tcPr>
          <w:p w14:paraId="1ED7B049" w14:textId="66312413" w:rsidR="00AE2B94" w:rsidRPr="000E29AA" w:rsidRDefault="000E29AA" w:rsidP="0000673A">
            <w:pPr>
              <w:rPr>
                <w:sz w:val="24"/>
                <w:szCs w:val="24"/>
              </w:rPr>
            </w:pPr>
            <w:r w:rsidRPr="000E29AA">
              <w:rPr>
                <w:sz w:val="24"/>
                <w:szCs w:val="24"/>
              </w:rPr>
              <w:t xml:space="preserve">10 – </w:t>
            </w:r>
            <w:r w:rsidR="0000673A">
              <w:rPr>
                <w:sz w:val="24"/>
                <w:szCs w:val="24"/>
              </w:rPr>
              <w:t>33</w:t>
            </w:r>
            <w:r w:rsidRPr="000E29AA">
              <w:rPr>
                <w:sz w:val="24"/>
                <w:szCs w:val="24"/>
              </w:rPr>
              <w:t>%</w:t>
            </w:r>
          </w:p>
        </w:tc>
      </w:tr>
      <w:tr w:rsidR="00AE2B94" w14:paraId="20765A14" w14:textId="53929664" w:rsidTr="00AE2B94">
        <w:tc>
          <w:tcPr>
            <w:tcW w:w="2952" w:type="dxa"/>
          </w:tcPr>
          <w:p w14:paraId="43EE68C2" w14:textId="441661B9" w:rsidR="00AE2B94" w:rsidRPr="000E29AA" w:rsidRDefault="000E29AA" w:rsidP="00AE2B94">
            <w:pPr>
              <w:rPr>
                <w:sz w:val="24"/>
                <w:szCs w:val="24"/>
              </w:rPr>
            </w:pPr>
            <w:r w:rsidRPr="000E29AA">
              <w:rPr>
                <w:sz w:val="24"/>
                <w:szCs w:val="24"/>
              </w:rPr>
              <w:t>Municipal Leagues</w:t>
            </w:r>
          </w:p>
        </w:tc>
        <w:tc>
          <w:tcPr>
            <w:tcW w:w="2952" w:type="dxa"/>
          </w:tcPr>
          <w:p w14:paraId="2C35A136" w14:textId="29AFBF90" w:rsidR="00AE2B94" w:rsidRPr="000E29AA" w:rsidRDefault="000E29AA" w:rsidP="00AE2B94">
            <w:pPr>
              <w:rPr>
                <w:sz w:val="24"/>
                <w:szCs w:val="24"/>
              </w:rPr>
            </w:pPr>
            <w:r w:rsidRPr="000E29AA">
              <w:rPr>
                <w:sz w:val="24"/>
                <w:szCs w:val="24"/>
              </w:rPr>
              <w:t>49</w:t>
            </w:r>
          </w:p>
        </w:tc>
        <w:tc>
          <w:tcPr>
            <w:tcW w:w="2952" w:type="dxa"/>
          </w:tcPr>
          <w:p w14:paraId="39A06B2C" w14:textId="170E6D16" w:rsidR="00AE2B94" w:rsidRPr="000E29AA" w:rsidRDefault="000E29AA" w:rsidP="0000673A">
            <w:pPr>
              <w:rPr>
                <w:sz w:val="24"/>
                <w:szCs w:val="24"/>
              </w:rPr>
            </w:pPr>
            <w:r w:rsidRPr="000E29AA">
              <w:rPr>
                <w:sz w:val="24"/>
                <w:szCs w:val="24"/>
              </w:rPr>
              <w:t xml:space="preserve">10 – </w:t>
            </w:r>
            <w:r w:rsidR="0000673A">
              <w:rPr>
                <w:sz w:val="24"/>
                <w:szCs w:val="24"/>
              </w:rPr>
              <w:t>33</w:t>
            </w:r>
            <w:r w:rsidRPr="000E29AA">
              <w:rPr>
                <w:sz w:val="24"/>
                <w:szCs w:val="24"/>
              </w:rPr>
              <w:t>%</w:t>
            </w:r>
          </w:p>
        </w:tc>
      </w:tr>
      <w:tr w:rsidR="00AA4312" w14:paraId="64C7E5E4" w14:textId="77777777" w:rsidTr="00AE2B94">
        <w:tc>
          <w:tcPr>
            <w:tcW w:w="2952" w:type="dxa"/>
          </w:tcPr>
          <w:p w14:paraId="2FDEE52B" w14:textId="63CB37D7" w:rsidR="00AA4312" w:rsidRPr="00AA4312" w:rsidRDefault="00AA4312" w:rsidP="00AE2B94">
            <w:pPr>
              <w:rPr>
                <w:b/>
                <w:sz w:val="24"/>
                <w:szCs w:val="24"/>
              </w:rPr>
            </w:pPr>
            <w:r w:rsidRPr="00AA4312">
              <w:rPr>
                <w:b/>
                <w:sz w:val="24"/>
                <w:szCs w:val="24"/>
              </w:rPr>
              <w:t>Total / Average</w:t>
            </w:r>
          </w:p>
        </w:tc>
        <w:tc>
          <w:tcPr>
            <w:tcW w:w="2952" w:type="dxa"/>
          </w:tcPr>
          <w:p w14:paraId="150A6FE0" w14:textId="168FEDF8" w:rsidR="00AA4312" w:rsidRPr="0024246D" w:rsidRDefault="00AA4312" w:rsidP="00AE2B94">
            <w:pPr>
              <w:rPr>
                <w:b/>
                <w:sz w:val="24"/>
                <w:szCs w:val="24"/>
              </w:rPr>
            </w:pPr>
            <w:r w:rsidRPr="0024246D">
              <w:rPr>
                <w:b/>
                <w:sz w:val="24"/>
                <w:szCs w:val="24"/>
              </w:rPr>
              <w:t>2,369</w:t>
            </w:r>
          </w:p>
        </w:tc>
        <w:tc>
          <w:tcPr>
            <w:tcW w:w="2952" w:type="dxa"/>
          </w:tcPr>
          <w:p w14:paraId="4C72A244" w14:textId="31BA93EC" w:rsidR="00AA4312" w:rsidRPr="0024246D" w:rsidRDefault="0000673A" w:rsidP="0000673A">
            <w:pPr>
              <w:rPr>
                <w:b/>
                <w:sz w:val="24"/>
                <w:szCs w:val="24"/>
              </w:rPr>
            </w:pPr>
            <w:r w:rsidRPr="0024246D">
              <w:rPr>
                <w:b/>
                <w:sz w:val="24"/>
                <w:szCs w:val="24"/>
              </w:rPr>
              <w:t>38</w:t>
            </w:r>
            <w:r w:rsidR="00AA4312" w:rsidRPr="0024246D">
              <w:rPr>
                <w:b/>
                <w:sz w:val="24"/>
                <w:szCs w:val="24"/>
              </w:rPr>
              <w:t>.</w:t>
            </w:r>
            <w:r w:rsidRPr="0024246D">
              <w:rPr>
                <w:b/>
                <w:sz w:val="24"/>
                <w:szCs w:val="24"/>
              </w:rPr>
              <w:t>5</w:t>
            </w:r>
            <w:r w:rsidR="00AA4312" w:rsidRPr="0024246D">
              <w:rPr>
                <w:b/>
                <w:sz w:val="24"/>
                <w:szCs w:val="24"/>
              </w:rPr>
              <w:t>7%</w:t>
            </w:r>
          </w:p>
        </w:tc>
      </w:tr>
    </w:tbl>
    <w:p w14:paraId="552E8AB7" w14:textId="77777777" w:rsidR="00AE2B94" w:rsidRPr="00AE2B94" w:rsidRDefault="00AE2B94" w:rsidP="00AE2B94">
      <w:pPr>
        <w:rPr>
          <w:b/>
          <w:sz w:val="24"/>
          <w:szCs w:val="24"/>
        </w:rPr>
      </w:pPr>
    </w:p>
    <w:p w14:paraId="1F44E786" w14:textId="77777777" w:rsidR="0000673A" w:rsidRDefault="008149A1" w:rsidP="003C061E">
      <w:pPr>
        <w:rPr>
          <w:sz w:val="24"/>
          <w:szCs w:val="24"/>
        </w:rPr>
      </w:pPr>
      <w:r>
        <w:rPr>
          <w:sz w:val="24"/>
          <w:szCs w:val="24"/>
        </w:rPr>
        <w:t xml:space="preserve">GSA developed a list of </w:t>
      </w:r>
      <w:r w:rsidR="00841F27">
        <w:rPr>
          <w:sz w:val="24"/>
          <w:szCs w:val="24"/>
        </w:rPr>
        <w:t>contact organization</w:t>
      </w:r>
      <w:r w:rsidR="0000673A">
        <w:rPr>
          <w:sz w:val="24"/>
          <w:szCs w:val="24"/>
        </w:rPr>
        <w:t>s</w:t>
      </w:r>
      <w:r w:rsidR="00A705C5">
        <w:rPr>
          <w:sz w:val="24"/>
          <w:szCs w:val="24"/>
        </w:rPr>
        <w:t xml:space="preserve"> </w:t>
      </w:r>
      <w:r>
        <w:rPr>
          <w:sz w:val="24"/>
          <w:szCs w:val="24"/>
        </w:rPr>
        <w:t xml:space="preserve">as </w:t>
      </w:r>
      <w:r w:rsidR="00841F27">
        <w:rPr>
          <w:sz w:val="24"/>
          <w:szCs w:val="24"/>
        </w:rPr>
        <w:t>noted in the table above</w:t>
      </w:r>
      <w:r>
        <w:rPr>
          <w:sz w:val="24"/>
          <w:szCs w:val="24"/>
        </w:rPr>
        <w:t xml:space="preserve">. </w:t>
      </w:r>
      <w:r w:rsidR="003C061E">
        <w:rPr>
          <w:sz w:val="24"/>
          <w:szCs w:val="24"/>
        </w:rPr>
        <w:t>GSA</w:t>
      </w:r>
      <w:r w:rsidR="00841F27">
        <w:rPr>
          <w:sz w:val="24"/>
          <w:szCs w:val="24"/>
        </w:rPr>
        <w:t xml:space="preserve"> contacted the organizations and obtained membership numbers</w:t>
      </w:r>
      <w:r w:rsidR="0000673A" w:rsidRPr="0000673A">
        <w:rPr>
          <w:sz w:val="24"/>
          <w:szCs w:val="24"/>
        </w:rPr>
        <w:t xml:space="preserve"> </w:t>
      </w:r>
      <w:r w:rsidR="0000673A">
        <w:rPr>
          <w:sz w:val="24"/>
          <w:szCs w:val="24"/>
        </w:rPr>
        <w:t>from each organization</w:t>
      </w:r>
      <w:r w:rsidR="00841F27">
        <w:rPr>
          <w:sz w:val="24"/>
          <w:szCs w:val="24"/>
        </w:rPr>
        <w:t>, which totals</w:t>
      </w:r>
      <w:r w:rsidR="0000673A">
        <w:rPr>
          <w:sz w:val="24"/>
          <w:szCs w:val="24"/>
        </w:rPr>
        <w:t xml:space="preserve"> to</w:t>
      </w:r>
      <w:r w:rsidR="00841F27">
        <w:rPr>
          <w:sz w:val="24"/>
          <w:szCs w:val="24"/>
        </w:rPr>
        <w:t xml:space="preserve"> 2,369</w:t>
      </w:r>
      <w:r w:rsidR="0000673A">
        <w:rPr>
          <w:sz w:val="24"/>
          <w:szCs w:val="24"/>
        </w:rPr>
        <w:t xml:space="preserve"> members</w:t>
      </w:r>
      <w:r w:rsidR="00841F27">
        <w:rPr>
          <w:sz w:val="24"/>
          <w:szCs w:val="24"/>
        </w:rPr>
        <w:t xml:space="preserve">.   </w:t>
      </w:r>
    </w:p>
    <w:p w14:paraId="1C914631" w14:textId="77777777" w:rsidR="0000673A" w:rsidRDefault="0000673A" w:rsidP="003C061E">
      <w:pPr>
        <w:rPr>
          <w:sz w:val="24"/>
          <w:szCs w:val="24"/>
        </w:rPr>
      </w:pPr>
    </w:p>
    <w:p w14:paraId="44CC7359" w14:textId="27ECAD73" w:rsidR="0000673A" w:rsidRDefault="0000673A" w:rsidP="003C061E">
      <w:pPr>
        <w:rPr>
          <w:sz w:val="24"/>
          <w:szCs w:val="24"/>
        </w:rPr>
      </w:pPr>
      <w:r>
        <w:rPr>
          <w:sz w:val="24"/>
          <w:szCs w:val="24"/>
        </w:rPr>
        <w:t xml:space="preserve">This is a new data collection and therefore actual response rates have not been previously recorded.  </w:t>
      </w:r>
      <w:r w:rsidR="00841F27">
        <w:rPr>
          <w:sz w:val="24"/>
          <w:szCs w:val="24"/>
        </w:rPr>
        <w:t>Where the inform</w:t>
      </w:r>
      <w:r>
        <w:rPr>
          <w:sz w:val="24"/>
          <w:szCs w:val="24"/>
        </w:rPr>
        <w:t xml:space="preserve">ation was available, we obtained response rates from prior surveys conducted by these organizations.  GSA also conducted internet research and found that while there was no industry standard average response rate, the estimated response rates for a survey fell between 10 and 33 percent.  </w:t>
      </w:r>
      <w:r w:rsidR="00A6750C">
        <w:rPr>
          <w:sz w:val="24"/>
          <w:szCs w:val="24"/>
        </w:rPr>
        <w:t>W</w:t>
      </w:r>
      <w:r>
        <w:rPr>
          <w:sz w:val="24"/>
          <w:szCs w:val="24"/>
        </w:rPr>
        <w:t>here there were no</w:t>
      </w:r>
      <w:r w:rsidR="00A6750C">
        <w:rPr>
          <w:sz w:val="24"/>
          <w:szCs w:val="24"/>
        </w:rPr>
        <w:t>t</w:t>
      </w:r>
      <w:r>
        <w:rPr>
          <w:sz w:val="24"/>
          <w:szCs w:val="24"/>
        </w:rPr>
        <w:t xml:space="preserve"> concrete or previous response rates</w:t>
      </w:r>
      <w:r w:rsidR="00A6750C">
        <w:rPr>
          <w:sz w:val="24"/>
          <w:szCs w:val="24"/>
        </w:rPr>
        <w:t xml:space="preserve"> for these organizations,</w:t>
      </w:r>
      <w:r>
        <w:rPr>
          <w:sz w:val="24"/>
          <w:szCs w:val="24"/>
        </w:rPr>
        <w:t xml:space="preserve"> we utilized the 10 – 3</w:t>
      </w:r>
      <w:r w:rsidR="00A6750C">
        <w:rPr>
          <w:sz w:val="24"/>
          <w:szCs w:val="24"/>
        </w:rPr>
        <w:t>3</w:t>
      </w:r>
      <w:r>
        <w:rPr>
          <w:sz w:val="24"/>
          <w:szCs w:val="24"/>
        </w:rPr>
        <w:t>% estimate</w:t>
      </w:r>
      <w:r w:rsidR="00711100">
        <w:rPr>
          <w:sz w:val="24"/>
          <w:szCs w:val="24"/>
        </w:rPr>
        <w:t>.  The</w:t>
      </w:r>
      <w:r>
        <w:rPr>
          <w:sz w:val="24"/>
          <w:szCs w:val="24"/>
        </w:rPr>
        <w:t xml:space="preserve"> average total estimated response rate</w:t>
      </w:r>
      <w:r w:rsidR="00711100">
        <w:rPr>
          <w:sz w:val="24"/>
          <w:szCs w:val="24"/>
        </w:rPr>
        <w:t xml:space="preserve"> is 38.57%</w:t>
      </w:r>
      <w:r w:rsidR="00A6750C">
        <w:rPr>
          <w:sz w:val="24"/>
          <w:szCs w:val="24"/>
        </w:rPr>
        <w:t xml:space="preserve"> (when using the high end of response rate ranges)</w:t>
      </w:r>
      <w:r>
        <w:rPr>
          <w:sz w:val="24"/>
          <w:szCs w:val="24"/>
        </w:rPr>
        <w:t xml:space="preserve">. </w:t>
      </w:r>
      <w:r w:rsidR="00711100">
        <w:rPr>
          <w:sz w:val="24"/>
          <w:szCs w:val="24"/>
        </w:rPr>
        <w:t xml:space="preserve"> Our research indicated that responses were higher when the survey was sent by someone the recipient knew; and GSA is partnering with the above mentioned organizations to send the surveys to their membership. </w:t>
      </w:r>
    </w:p>
    <w:p w14:paraId="5FC01223" w14:textId="50BA7ACF" w:rsidR="003C061E" w:rsidRDefault="003C061E" w:rsidP="003C061E">
      <w:pPr>
        <w:rPr>
          <w:sz w:val="24"/>
          <w:szCs w:val="24"/>
        </w:rPr>
      </w:pPr>
      <w:r>
        <w:rPr>
          <w:sz w:val="24"/>
          <w:szCs w:val="24"/>
        </w:rPr>
        <w:t xml:space="preserve"> </w:t>
      </w:r>
    </w:p>
    <w:p w14:paraId="588B3C5A" w14:textId="77777777" w:rsidR="00841F27" w:rsidRDefault="00841F27" w:rsidP="003C061E">
      <w:pPr>
        <w:rPr>
          <w:sz w:val="24"/>
          <w:szCs w:val="24"/>
        </w:rPr>
      </w:pPr>
    </w:p>
    <w:p w14:paraId="1D8065DF" w14:textId="7BFFC047" w:rsidR="00B111D1" w:rsidRPr="003C061E" w:rsidRDefault="00B111D1" w:rsidP="003C061E">
      <w:pPr>
        <w:pStyle w:val="ListParagraph"/>
        <w:numPr>
          <w:ilvl w:val="0"/>
          <w:numId w:val="7"/>
        </w:numPr>
        <w:ind w:left="0" w:firstLine="0"/>
        <w:rPr>
          <w:rFonts w:ascii="Times New Roman" w:hAnsi="Times New Roman" w:cs="Times New Roman"/>
          <w:b/>
          <w:sz w:val="24"/>
          <w:szCs w:val="24"/>
        </w:rPr>
      </w:pPr>
      <w:r w:rsidRPr="003C061E">
        <w:rPr>
          <w:rFonts w:ascii="Times New Roman" w:hAnsi="Times New Roman" w:cs="Times New Roman"/>
          <w:b/>
          <w:sz w:val="24"/>
          <w:szCs w:val="24"/>
        </w:rPr>
        <w:t>Describe the procedures for the collection of information, including:</w:t>
      </w:r>
    </w:p>
    <w:p w14:paraId="69B52FCC" w14:textId="6EE75213" w:rsidR="00B111D1" w:rsidRPr="00B111D1" w:rsidRDefault="00B111D1" w:rsidP="00173B12">
      <w:pPr>
        <w:pStyle w:val="ListParagraph"/>
        <w:numPr>
          <w:ilvl w:val="0"/>
          <w:numId w:val="8"/>
        </w:numPr>
        <w:ind w:left="1080"/>
        <w:rPr>
          <w:rFonts w:ascii="Times New Roman" w:hAnsi="Times New Roman" w:cs="Times New Roman"/>
          <w:sz w:val="24"/>
          <w:szCs w:val="24"/>
        </w:rPr>
      </w:pPr>
      <w:r w:rsidRPr="00B111D1">
        <w:rPr>
          <w:rFonts w:ascii="Times New Roman" w:hAnsi="Times New Roman" w:cs="Times New Roman"/>
          <w:sz w:val="24"/>
          <w:szCs w:val="24"/>
        </w:rPr>
        <w:t>Statistical methodology for stratification and sample selection.</w:t>
      </w:r>
    </w:p>
    <w:p w14:paraId="66F787DD" w14:textId="6811495C" w:rsidR="00B111D1" w:rsidRPr="00B111D1" w:rsidRDefault="00B111D1" w:rsidP="00173B12">
      <w:pPr>
        <w:pStyle w:val="ListParagraph"/>
        <w:numPr>
          <w:ilvl w:val="0"/>
          <w:numId w:val="8"/>
        </w:numPr>
        <w:ind w:left="1080"/>
        <w:rPr>
          <w:rFonts w:ascii="Times New Roman" w:hAnsi="Times New Roman" w:cs="Times New Roman"/>
          <w:sz w:val="24"/>
          <w:szCs w:val="24"/>
        </w:rPr>
      </w:pPr>
      <w:r w:rsidRPr="00B111D1">
        <w:rPr>
          <w:rFonts w:ascii="Times New Roman" w:hAnsi="Times New Roman" w:cs="Times New Roman"/>
          <w:sz w:val="24"/>
          <w:szCs w:val="24"/>
        </w:rPr>
        <w:lastRenderedPageBreak/>
        <w:t>Estimation procedure.</w:t>
      </w:r>
    </w:p>
    <w:p w14:paraId="4124128F" w14:textId="4B3053AA" w:rsidR="00B111D1" w:rsidRPr="00B111D1" w:rsidRDefault="00B111D1" w:rsidP="00173B12">
      <w:pPr>
        <w:pStyle w:val="ListParagraph"/>
        <w:numPr>
          <w:ilvl w:val="0"/>
          <w:numId w:val="8"/>
        </w:numPr>
        <w:ind w:left="1080"/>
        <w:rPr>
          <w:rFonts w:ascii="Times New Roman" w:hAnsi="Times New Roman" w:cs="Times New Roman"/>
          <w:sz w:val="24"/>
          <w:szCs w:val="24"/>
        </w:rPr>
      </w:pPr>
      <w:r w:rsidRPr="00B111D1">
        <w:rPr>
          <w:rFonts w:ascii="Times New Roman" w:hAnsi="Times New Roman" w:cs="Times New Roman"/>
          <w:sz w:val="24"/>
          <w:szCs w:val="24"/>
        </w:rPr>
        <w:t>Degree of accuracy needed for the purpose described in the justification.</w:t>
      </w:r>
    </w:p>
    <w:p w14:paraId="1FC7D164" w14:textId="6D028328" w:rsidR="00B111D1" w:rsidRDefault="00B111D1" w:rsidP="00173B12">
      <w:pPr>
        <w:pStyle w:val="ListParagraph"/>
        <w:numPr>
          <w:ilvl w:val="0"/>
          <w:numId w:val="8"/>
        </w:numPr>
        <w:ind w:left="1080"/>
        <w:rPr>
          <w:rFonts w:ascii="Times New Roman" w:hAnsi="Times New Roman" w:cs="Times New Roman"/>
          <w:sz w:val="24"/>
          <w:szCs w:val="24"/>
        </w:rPr>
      </w:pPr>
      <w:r w:rsidRPr="00B111D1">
        <w:rPr>
          <w:rFonts w:ascii="Times New Roman" w:hAnsi="Times New Roman" w:cs="Times New Roman"/>
          <w:sz w:val="24"/>
          <w:szCs w:val="24"/>
        </w:rPr>
        <w:t>Unusual problems requiring specialized sampling procedures,</w:t>
      </w:r>
    </w:p>
    <w:p w14:paraId="50B0D784" w14:textId="7C24F3CE" w:rsidR="00B111D1" w:rsidRDefault="00B111D1" w:rsidP="00173B12">
      <w:pPr>
        <w:pStyle w:val="ListParagraph"/>
        <w:numPr>
          <w:ilvl w:val="0"/>
          <w:numId w:val="8"/>
        </w:numPr>
        <w:ind w:left="1080"/>
        <w:rPr>
          <w:rFonts w:ascii="Times New Roman" w:hAnsi="Times New Roman" w:cs="Times New Roman"/>
          <w:sz w:val="24"/>
          <w:szCs w:val="24"/>
        </w:rPr>
      </w:pPr>
      <w:r w:rsidRPr="00B111D1">
        <w:rPr>
          <w:rFonts w:ascii="Times New Roman" w:hAnsi="Times New Roman" w:cs="Times New Roman"/>
          <w:sz w:val="24"/>
          <w:szCs w:val="24"/>
        </w:rPr>
        <w:t>Any use of periodic (less frequent than annual) data collection cycles to reduce burden.</w:t>
      </w:r>
    </w:p>
    <w:p w14:paraId="4C19B7E9" w14:textId="0F5627C5" w:rsidR="00C865B3" w:rsidRDefault="00C865B3" w:rsidP="00173B12">
      <w:pPr>
        <w:rPr>
          <w:sz w:val="24"/>
          <w:szCs w:val="24"/>
        </w:rPr>
      </w:pPr>
      <w:r>
        <w:rPr>
          <w:sz w:val="24"/>
          <w:szCs w:val="24"/>
        </w:rPr>
        <w:t xml:space="preserve">The survey and a series of draft emails will be sent to the organizations identified in number 1 above.  Those organizations will send the emails and survey to their memberships.  The survey will be open for 2 weeks, and recipients will be </w:t>
      </w:r>
      <w:r w:rsidR="00A6750C">
        <w:rPr>
          <w:sz w:val="24"/>
          <w:szCs w:val="24"/>
        </w:rPr>
        <w:t xml:space="preserve">sent a reminder email </w:t>
      </w:r>
      <w:r>
        <w:rPr>
          <w:sz w:val="24"/>
          <w:szCs w:val="24"/>
        </w:rPr>
        <w:t>after 1 week</w:t>
      </w:r>
      <w:r w:rsidR="00A6750C">
        <w:rPr>
          <w:sz w:val="24"/>
          <w:szCs w:val="24"/>
        </w:rPr>
        <w:t>,</w:t>
      </w:r>
      <w:r>
        <w:rPr>
          <w:sz w:val="24"/>
          <w:szCs w:val="24"/>
        </w:rPr>
        <w:t xml:space="preserve"> and </w:t>
      </w:r>
      <w:r w:rsidR="00A6750C">
        <w:rPr>
          <w:sz w:val="24"/>
          <w:szCs w:val="24"/>
        </w:rPr>
        <w:t xml:space="preserve">then again </w:t>
      </w:r>
      <w:r>
        <w:rPr>
          <w:sz w:val="24"/>
          <w:szCs w:val="24"/>
        </w:rPr>
        <w:t xml:space="preserve">2 days prior to the survey closing.  </w:t>
      </w:r>
      <w:r w:rsidR="00173B12">
        <w:rPr>
          <w:sz w:val="24"/>
          <w:szCs w:val="24"/>
        </w:rPr>
        <w:t xml:space="preserve">GSA </w:t>
      </w:r>
      <w:r>
        <w:rPr>
          <w:sz w:val="24"/>
          <w:szCs w:val="24"/>
        </w:rPr>
        <w:t xml:space="preserve">has made all questions in the survey mandatory; striving for more complete responses to help with the analysis of </w:t>
      </w:r>
      <w:r w:rsidR="00A6750C">
        <w:rPr>
          <w:sz w:val="24"/>
          <w:szCs w:val="24"/>
        </w:rPr>
        <w:t>the survey</w:t>
      </w:r>
      <w:r w:rsidR="00173B12">
        <w:rPr>
          <w:sz w:val="24"/>
          <w:szCs w:val="24"/>
        </w:rPr>
        <w:t>.</w:t>
      </w:r>
    </w:p>
    <w:p w14:paraId="56987855" w14:textId="77777777" w:rsidR="00C865B3" w:rsidRDefault="00C865B3" w:rsidP="00173B12">
      <w:pPr>
        <w:rPr>
          <w:sz w:val="24"/>
          <w:szCs w:val="24"/>
        </w:rPr>
      </w:pPr>
    </w:p>
    <w:p w14:paraId="4235888A" w14:textId="774067C9" w:rsidR="00C865B3" w:rsidRDefault="00C865B3" w:rsidP="00173B12">
      <w:pPr>
        <w:rPr>
          <w:sz w:val="24"/>
          <w:szCs w:val="24"/>
        </w:rPr>
      </w:pPr>
      <w:r>
        <w:rPr>
          <w:sz w:val="24"/>
          <w:szCs w:val="24"/>
        </w:rPr>
        <w:t xml:space="preserve">The survey was developed in Qualtrics, an online survey application.  Qualtrics has a number of </w:t>
      </w:r>
      <w:r w:rsidR="00EE6EF0">
        <w:rPr>
          <w:sz w:val="24"/>
          <w:szCs w:val="24"/>
        </w:rPr>
        <w:t xml:space="preserve">quality, methodology and </w:t>
      </w:r>
      <w:r>
        <w:rPr>
          <w:sz w:val="24"/>
          <w:szCs w:val="24"/>
        </w:rPr>
        <w:t>analytical</w:t>
      </w:r>
      <w:r w:rsidR="00EE6EF0">
        <w:rPr>
          <w:sz w:val="24"/>
          <w:szCs w:val="24"/>
        </w:rPr>
        <w:t xml:space="preserve"> </w:t>
      </w:r>
      <w:r w:rsidR="00A6750C">
        <w:rPr>
          <w:sz w:val="24"/>
          <w:szCs w:val="24"/>
        </w:rPr>
        <w:t xml:space="preserve">functions </w:t>
      </w:r>
      <w:r w:rsidR="00EE6EF0">
        <w:rPr>
          <w:sz w:val="24"/>
          <w:szCs w:val="24"/>
        </w:rPr>
        <w:t xml:space="preserve">to help us </w:t>
      </w:r>
      <w:r w:rsidR="00D53215">
        <w:rPr>
          <w:sz w:val="24"/>
          <w:szCs w:val="24"/>
        </w:rPr>
        <w:t xml:space="preserve">ensure normalization and </w:t>
      </w:r>
      <w:r w:rsidR="00EE6EF0">
        <w:rPr>
          <w:sz w:val="24"/>
          <w:szCs w:val="24"/>
        </w:rPr>
        <w:t>evaluate the survey results, such as</w:t>
      </w:r>
      <w:r w:rsidR="00D53215">
        <w:rPr>
          <w:sz w:val="24"/>
          <w:szCs w:val="24"/>
        </w:rPr>
        <w:t xml:space="preserve"> regression cards, cluster analysis, and</w:t>
      </w:r>
      <w:r w:rsidR="00EE6EF0">
        <w:rPr>
          <w:sz w:val="24"/>
          <w:szCs w:val="24"/>
        </w:rPr>
        <w:t xml:space="preserve"> “</w:t>
      </w:r>
      <w:hyperlink r:id="rId10" w:history="1">
        <w:r w:rsidR="00EE6EF0" w:rsidRPr="00D53215">
          <w:rPr>
            <w:sz w:val="24"/>
            <w:szCs w:val="24"/>
          </w:rPr>
          <w:t>StatsIQ</w:t>
        </w:r>
      </w:hyperlink>
      <w:r w:rsidR="00EE6EF0">
        <w:rPr>
          <w:sz w:val="24"/>
          <w:szCs w:val="24"/>
        </w:rPr>
        <w:t>.”</w:t>
      </w:r>
      <w:r>
        <w:rPr>
          <w:sz w:val="24"/>
          <w:szCs w:val="24"/>
        </w:rPr>
        <w:t xml:space="preserve"> </w:t>
      </w:r>
      <w:r w:rsidR="00D53215">
        <w:rPr>
          <w:sz w:val="24"/>
          <w:szCs w:val="24"/>
        </w:rPr>
        <w:t xml:space="preserve"> GSA has enabled a </w:t>
      </w:r>
      <w:r w:rsidR="00D53215" w:rsidRPr="00D53215">
        <w:rPr>
          <w:sz w:val="24"/>
          <w:szCs w:val="24"/>
        </w:rPr>
        <w:t>"bot check" which ensures the response is being provided by a person. We have also taken steps to prevent “ballot stuffing” by ensuring a recipient can only take the survey once. We will also look at a report that shows how long the recipient took to complete the survey, location, progress, etc.  These features will help us identify</w:t>
      </w:r>
      <w:r w:rsidR="00D53215">
        <w:rPr>
          <w:sz w:val="24"/>
          <w:szCs w:val="24"/>
        </w:rPr>
        <w:t xml:space="preserve"> and address</w:t>
      </w:r>
      <w:r w:rsidR="00D53215" w:rsidRPr="00D53215">
        <w:rPr>
          <w:sz w:val="24"/>
          <w:szCs w:val="24"/>
        </w:rPr>
        <w:t xml:space="preserve"> outliers, and </w:t>
      </w:r>
      <w:r w:rsidR="00D53215">
        <w:rPr>
          <w:sz w:val="24"/>
          <w:szCs w:val="24"/>
        </w:rPr>
        <w:t>to better analyze the</w:t>
      </w:r>
      <w:r w:rsidR="00D53215" w:rsidRPr="00D53215">
        <w:rPr>
          <w:sz w:val="24"/>
          <w:szCs w:val="24"/>
        </w:rPr>
        <w:t xml:space="preserve"> responses.</w:t>
      </w:r>
    </w:p>
    <w:p w14:paraId="21A7F670" w14:textId="77777777" w:rsidR="00173B12" w:rsidRPr="00173B12" w:rsidRDefault="00173B12" w:rsidP="00173B12">
      <w:pPr>
        <w:rPr>
          <w:sz w:val="24"/>
          <w:szCs w:val="24"/>
        </w:rPr>
      </w:pPr>
    </w:p>
    <w:p w14:paraId="0694347E" w14:textId="48C37EA6" w:rsidR="00B111D1" w:rsidRDefault="00B111D1" w:rsidP="003C061E">
      <w:pPr>
        <w:pStyle w:val="ListParagraph"/>
        <w:numPr>
          <w:ilvl w:val="0"/>
          <w:numId w:val="7"/>
        </w:numPr>
        <w:ind w:left="0" w:firstLine="0"/>
        <w:rPr>
          <w:rFonts w:ascii="Times New Roman" w:hAnsi="Times New Roman" w:cs="Times New Roman"/>
          <w:b/>
          <w:sz w:val="24"/>
          <w:szCs w:val="24"/>
        </w:rPr>
      </w:pPr>
      <w:r w:rsidRPr="003C061E">
        <w:rPr>
          <w:rFonts w:ascii="Times New Roman" w:hAnsi="Times New Roman" w:cs="Times New Roman"/>
          <w:b/>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w:t>
      </w:r>
      <w:r w:rsidRPr="003C061E">
        <w:rPr>
          <w:rFonts w:ascii="Times New Roman" w:eastAsia="Times New Roman" w:hAnsi="Times New Roman" w:cs="Times New Roman"/>
          <w:b/>
          <w:sz w:val="24"/>
          <w:szCs w:val="24"/>
        </w:rPr>
        <w:t>s</w:t>
      </w:r>
      <w:r w:rsidRPr="003C061E">
        <w:rPr>
          <w:rFonts w:ascii="Times New Roman" w:hAnsi="Times New Roman" w:cs="Times New Roman"/>
          <w:b/>
          <w:sz w:val="24"/>
          <w:szCs w:val="24"/>
        </w:rPr>
        <w:t>tudied.</w:t>
      </w:r>
    </w:p>
    <w:p w14:paraId="0EDE7A74" w14:textId="6634E70B" w:rsidR="009C0380" w:rsidRDefault="009C0380" w:rsidP="009C0380">
      <w:pPr>
        <w:rPr>
          <w:sz w:val="24"/>
          <w:szCs w:val="24"/>
        </w:rPr>
      </w:pPr>
      <w:r>
        <w:rPr>
          <w:sz w:val="24"/>
          <w:szCs w:val="24"/>
        </w:rPr>
        <w:t>GSA pl</w:t>
      </w:r>
      <w:r w:rsidR="006028AE">
        <w:rPr>
          <w:sz w:val="24"/>
          <w:szCs w:val="24"/>
        </w:rPr>
        <w:t>ans to maximize response rates in a number of ways.  First, we intend to have the survey come from an organization the recipient is already a member of (receiving the survey from someone they know has been shown to increase response rates).</w:t>
      </w:r>
      <w:r w:rsidR="00681548">
        <w:rPr>
          <w:sz w:val="24"/>
          <w:szCs w:val="24"/>
        </w:rPr>
        <w:t xml:space="preserve"> </w:t>
      </w:r>
      <w:r w:rsidR="006028AE">
        <w:rPr>
          <w:sz w:val="24"/>
          <w:szCs w:val="24"/>
        </w:rPr>
        <w:t>Second</w:t>
      </w:r>
      <w:r w:rsidR="006C5409">
        <w:rPr>
          <w:sz w:val="24"/>
          <w:szCs w:val="24"/>
        </w:rPr>
        <w:t>,</w:t>
      </w:r>
      <w:r w:rsidR="006028AE">
        <w:rPr>
          <w:sz w:val="24"/>
          <w:szCs w:val="24"/>
        </w:rPr>
        <w:t xml:space="preserve"> we have drafted a message to be sent 2-3 days prior </w:t>
      </w:r>
      <w:r w:rsidR="006C5409">
        <w:rPr>
          <w:sz w:val="24"/>
          <w:szCs w:val="24"/>
        </w:rPr>
        <w:t xml:space="preserve">to </w:t>
      </w:r>
      <w:r w:rsidR="006028AE">
        <w:rPr>
          <w:sz w:val="24"/>
          <w:szCs w:val="24"/>
        </w:rPr>
        <w:t xml:space="preserve">the survey, a one week reminder, and a message to be sent 2 days before the survey closes.  Our research has indicated that follow up reminders increase response rates by between 10 and 20 percent.  GSA is also </w:t>
      </w:r>
      <w:r w:rsidR="00A705C5">
        <w:rPr>
          <w:sz w:val="24"/>
          <w:szCs w:val="24"/>
        </w:rPr>
        <w:t xml:space="preserve">utilizing straightforward </w:t>
      </w:r>
      <w:r w:rsidR="00681548">
        <w:rPr>
          <w:sz w:val="24"/>
          <w:szCs w:val="24"/>
        </w:rPr>
        <w:t xml:space="preserve">survey questions </w:t>
      </w:r>
      <w:r w:rsidR="00DF128C">
        <w:rPr>
          <w:sz w:val="24"/>
          <w:szCs w:val="24"/>
        </w:rPr>
        <w:t xml:space="preserve">that keep the time required to complete the survey </w:t>
      </w:r>
      <w:r w:rsidR="00157106">
        <w:rPr>
          <w:sz w:val="24"/>
          <w:szCs w:val="24"/>
        </w:rPr>
        <w:t>less than</w:t>
      </w:r>
      <w:r w:rsidR="00DF128C">
        <w:rPr>
          <w:sz w:val="24"/>
          <w:szCs w:val="24"/>
        </w:rPr>
        <w:t xml:space="preserve"> </w:t>
      </w:r>
      <w:r w:rsidR="000635FD">
        <w:rPr>
          <w:sz w:val="24"/>
          <w:szCs w:val="24"/>
        </w:rPr>
        <w:t>1</w:t>
      </w:r>
      <w:r w:rsidR="00157106">
        <w:rPr>
          <w:sz w:val="24"/>
          <w:szCs w:val="24"/>
        </w:rPr>
        <w:t>0</w:t>
      </w:r>
      <w:r w:rsidR="00DF128C">
        <w:rPr>
          <w:sz w:val="24"/>
          <w:szCs w:val="24"/>
        </w:rPr>
        <w:t xml:space="preserve"> minutes</w:t>
      </w:r>
      <w:r w:rsidR="000635FD">
        <w:rPr>
          <w:sz w:val="24"/>
          <w:szCs w:val="24"/>
        </w:rPr>
        <w:t xml:space="preserve"> in total</w:t>
      </w:r>
      <w:r w:rsidR="00DF128C">
        <w:rPr>
          <w:sz w:val="24"/>
          <w:szCs w:val="24"/>
        </w:rPr>
        <w:t xml:space="preserve">. </w:t>
      </w:r>
      <w:r w:rsidR="00602809">
        <w:rPr>
          <w:sz w:val="24"/>
          <w:szCs w:val="24"/>
        </w:rPr>
        <w:t xml:space="preserve"> Further</w:t>
      </w:r>
      <w:r w:rsidR="006C5409">
        <w:rPr>
          <w:sz w:val="24"/>
          <w:szCs w:val="24"/>
        </w:rPr>
        <w:t>,</w:t>
      </w:r>
      <w:r w:rsidR="00602809">
        <w:rPr>
          <w:sz w:val="24"/>
          <w:szCs w:val="24"/>
        </w:rPr>
        <w:t xml:space="preserve"> we have had the survey reviewed by multiple parties, </w:t>
      </w:r>
      <w:r w:rsidR="001E2438">
        <w:rPr>
          <w:sz w:val="24"/>
          <w:szCs w:val="24"/>
        </w:rPr>
        <w:t xml:space="preserve">as described in further </w:t>
      </w:r>
      <w:r w:rsidR="00602809">
        <w:rPr>
          <w:sz w:val="24"/>
          <w:szCs w:val="24"/>
        </w:rPr>
        <w:t>detail in number 4 below.</w:t>
      </w:r>
    </w:p>
    <w:p w14:paraId="6B9E1C48" w14:textId="77777777" w:rsidR="00320686" w:rsidRDefault="00320686" w:rsidP="009C0380">
      <w:pPr>
        <w:rPr>
          <w:sz w:val="24"/>
          <w:szCs w:val="24"/>
        </w:rPr>
      </w:pPr>
    </w:p>
    <w:p w14:paraId="2BAFE248" w14:textId="1BD16BB3" w:rsidR="00320686" w:rsidRPr="009C0380" w:rsidRDefault="00320686" w:rsidP="009C0380">
      <w:pPr>
        <w:rPr>
          <w:sz w:val="24"/>
          <w:szCs w:val="24"/>
        </w:rPr>
      </w:pPr>
      <w:r>
        <w:rPr>
          <w:sz w:val="24"/>
          <w:szCs w:val="24"/>
        </w:rPr>
        <w:t xml:space="preserve">The goal of the survey is to confirm the information we have previously identified in our discussion with states, local governments, and/or their representative, and to </w:t>
      </w:r>
      <w:r w:rsidR="008C173E">
        <w:rPr>
          <w:sz w:val="24"/>
          <w:szCs w:val="24"/>
        </w:rPr>
        <w:t>help support</w:t>
      </w:r>
      <w:r>
        <w:rPr>
          <w:sz w:val="24"/>
          <w:szCs w:val="24"/>
        </w:rPr>
        <w:t xml:space="preserve"> </w:t>
      </w:r>
      <w:r w:rsidR="008C173E">
        <w:rPr>
          <w:sz w:val="24"/>
          <w:szCs w:val="24"/>
        </w:rPr>
        <w:t>that the feedback received to date is accurate.</w:t>
      </w:r>
      <w:r>
        <w:rPr>
          <w:sz w:val="24"/>
          <w:szCs w:val="24"/>
        </w:rPr>
        <w:t xml:space="preserve">  We assume given the timing of the Act and due date of the report that we will be making recommendations based on a small </w:t>
      </w:r>
      <w:r w:rsidR="001E2438">
        <w:rPr>
          <w:sz w:val="24"/>
          <w:szCs w:val="24"/>
        </w:rPr>
        <w:t xml:space="preserve">percentage </w:t>
      </w:r>
      <w:r>
        <w:rPr>
          <w:sz w:val="24"/>
          <w:szCs w:val="24"/>
        </w:rPr>
        <w:t xml:space="preserve">of the “state and local government” representatives.  We also assume some bias based on overlapping laws and regulations, such as broadband work currently being </w:t>
      </w:r>
      <w:r>
        <w:rPr>
          <w:sz w:val="24"/>
          <w:szCs w:val="24"/>
        </w:rPr>
        <w:lastRenderedPageBreak/>
        <w:t xml:space="preserve">undertaken by the FCC.  </w:t>
      </w:r>
      <w:r w:rsidR="008C173E">
        <w:rPr>
          <w:sz w:val="24"/>
          <w:szCs w:val="24"/>
        </w:rPr>
        <w:t xml:space="preserve">Depending on the nature of the survey responses, detailed descriptions of the relevant assumptions and caveats will be included in the report. </w:t>
      </w:r>
    </w:p>
    <w:p w14:paraId="7E4DECB5" w14:textId="77777777" w:rsidR="009C0380" w:rsidRPr="009C0380" w:rsidRDefault="009C0380" w:rsidP="009C0380">
      <w:pPr>
        <w:rPr>
          <w:b/>
          <w:sz w:val="24"/>
          <w:szCs w:val="24"/>
        </w:rPr>
      </w:pPr>
    </w:p>
    <w:p w14:paraId="33E5A2EC" w14:textId="77777777" w:rsidR="009C0380" w:rsidRDefault="00B111D1" w:rsidP="009C0380">
      <w:pPr>
        <w:pStyle w:val="ListParagraph"/>
        <w:numPr>
          <w:ilvl w:val="0"/>
          <w:numId w:val="7"/>
        </w:numPr>
        <w:ind w:left="0" w:firstLine="0"/>
        <w:rPr>
          <w:rFonts w:ascii="Times New Roman" w:hAnsi="Times New Roman" w:cs="Times New Roman"/>
          <w:b/>
          <w:sz w:val="24"/>
          <w:szCs w:val="24"/>
        </w:rPr>
      </w:pPr>
      <w:r w:rsidRPr="003C061E">
        <w:rPr>
          <w:rFonts w:ascii="Times New Roman" w:hAnsi="Times New Roman" w:cs="Times New Roman"/>
          <w:b/>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14:paraId="2516570E" w14:textId="77777777" w:rsidR="009C0380" w:rsidRDefault="009C0380" w:rsidP="009C0380">
      <w:pPr>
        <w:pStyle w:val="ListParagraph"/>
        <w:ind w:left="0"/>
        <w:rPr>
          <w:rFonts w:ascii="Times New Roman" w:hAnsi="Times New Roman" w:cs="Times New Roman"/>
          <w:b/>
          <w:sz w:val="24"/>
          <w:szCs w:val="24"/>
        </w:rPr>
      </w:pPr>
    </w:p>
    <w:p w14:paraId="361D05C7" w14:textId="6BCDBDD5" w:rsidR="009C0380" w:rsidRPr="0024246D" w:rsidRDefault="009C0380" w:rsidP="009C0380">
      <w:pPr>
        <w:pStyle w:val="ListParagraph"/>
        <w:ind w:left="0"/>
        <w:rPr>
          <w:rFonts w:ascii="Times New Roman" w:hAnsi="Times New Roman" w:cs="Times New Roman"/>
          <w:sz w:val="24"/>
          <w:szCs w:val="24"/>
        </w:rPr>
      </w:pPr>
      <w:r w:rsidRPr="009C0380">
        <w:rPr>
          <w:rFonts w:ascii="Times New Roman" w:hAnsi="Times New Roman" w:cs="Times New Roman"/>
          <w:sz w:val="24"/>
          <w:szCs w:val="24"/>
        </w:rPr>
        <w:t xml:space="preserve">GSA </w:t>
      </w:r>
      <w:r w:rsidR="00805AFC">
        <w:rPr>
          <w:rFonts w:ascii="Times New Roman" w:hAnsi="Times New Roman" w:cs="Times New Roman"/>
          <w:sz w:val="24"/>
          <w:szCs w:val="24"/>
        </w:rPr>
        <w:t>has tested the survey in multiple ways</w:t>
      </w:r>
      <w:r w:rsidRPr="009C0380">
        <w:rPr>
          <w:rFonts w:ascii="Times New Roman" w:hAnsi="Times New Roman" w:cs="Times New Roman"/>
          <w:sz w:val="24"/>
          <w:szCs w:val="24"/>
        </w:rPr>
        <w:t xml:space="preserve">. </w:t>
      </w:r>
      <w:r w:rsidR="0024246D">
        <w:rPr>
          <w:rFonts w:ascii="Times New Roman" w:hAnsi="Times New Roman" w:cs="Times New Roman"/>
          <w:sz w:val="24"/>
          <w:szCs w:val="24"/>
        </w:rPr>
        <w:t xml:space="preserve">The survey was reviewed by GSA’s Office of Customer Experience (OCE) who </w:t>
      </w:r>
      <w:r w:rsidR="006C5409">
        <w:rPr>
          <w:rFonts w:ascii="Times New Roman" w:hAnsi="Times New Roman" w:cs="Times New Roman"/>
          <w:sz w:val="24"/>
          <w:szCs w:val="24"/>
        </w:rPr>
        <w:t xml:space="preserve">focus </w:t>
      </w:r>
      <w:r w:rsidR="0024246D" w:rsidRPr="0024246D">
        <w:rPr>
          <w:rFonts w:ascii="Times New Roman" w:hAnsi="Times New Roman" w:cs="Times New Roman"/>
          <w:sz w:val="24"/>
          <w:szCs w:val="24"/>
        </w:rPr>
        <w:t>on improving customer experience and fostering a customer-first mentality; this office also sets GSA survey standards and best practices.  We incorporated all recommended changes provided by the OCE.</w:t>
      </w:r>
      <w:r w:rsidR="0024246D">
        <w:rPr>
          <w:rFonts w:ascii="Times New Roman" w:hAnsi="Times New Roman" w:cs="Times New Roman"/>
          <w:sz w:val="24"/>
          <w:szCs w:val="24"/>
        </w:rPr>
        <w:t xml:space="preserve">  </w:t>
      </w:r>
      <w:r w:rsidR="00C865B3">
        <w:rPr>
          <w:rFonts w:ascii="Times New Roman" w:hAnsi="Times New Roman" w:cs="Times New Roman"/>
          <w:sz w:val="24"/>
          <w:szCs w:val="24"/>
        </w:rPr>
        <w:t xml:space="preserve">The system the survey was developed in, </w:t>
      </w:r>
      <w:r w:rsidR="00CA4BCC">
        <w:rPr>
          <w:rFonts w:ascii="Times New Roman" w:hAnsi="Times New Roman" w:cs="Times New Roman"/>
          <w:sz w:val="24"/>
          <w:szCs w:val="24"/>
        </w:rPr>
        <w:t>Qualtrics</w:t>
      </w:r>
      <w:r w:rsidR="00C865B3">
        <w:rPr>
          <w:rFonts w:ascii="Times New Roman" w:hAnsi="Times New Roman" w:cs="Times New Roman"/>
          <w:sz w:val="24"/>
          <w:szCs w:val="24"/>
        </w:rPr>
        <w:t>,</w:t>
      </w:r>
      <w:r w:rsidR="0024246D">
        <w:rPr>
          <w:rFonts w:ascii="Times New Roman" w:hAnsi="Times New Roman" w:cs="Times New Roman"/>
          <w:sz w:val="24"/>
          <w:szCs w:val="24"/>
        </w:rPr>
        <w:t xml:space="preserve"> has a number of built in quality and methodology features, including “</w:t>
      </w:r>
      <w:hyperlink r:id="rId11" w:history="1">
        <w:r w:rsidR="0024246D" w:rsidRPr="0024246D">
          <w:rPr>
            <w:rStyle w:val="Hyperlink"/>
            <w:rFonts w:ascii="Times New Roman" w:hAnsi="Times New Roman" w:cs="Times New Roman"/>
            <w:sz w:val="24"/>
            <w:szCs w:val="24"/>
          </w:rPr>
          <w:t>ExpertReview</w:t>
        </w:r>
      </w:hyperlink>
      <w:r w:rsidR="0024246D">
        <w:rPr>
          <w:rFonts w:ascii="Times New Roman" w:hAnsi="Times New Roman" w:cs="Times New Roman"/>
          <w:sz w:val="24"/>
          <w:szCs w:val="24"/>
        </w:rPr>
        <w:t xml:space="preserve">” which evaluates the survey as it is built and provides feedback </w:t>
      </w:r>
      <w:r w:rsidR="00CA4BCC">
        <w:rPr>
          <w:rFonts w:ascii="Times New Roman" w:hAnsi="Times New Roman" w:cs="Times New Roman"/>
          <w:sz w:val="24"/>
          <w:szCs w:val="24"/>
        </w:rPr>
        <w:t>to increase the usability and data quality of the survey.  GSA incorporated the edits recommended by the system and has an ExpertReview rating of “Great.”  GSA also socialized the survey with the federal agencies that are</w:t>
      </w:r>
      <w:r w:rsidR="00010139" w:rsidRPr="00010139">
        <w:rPr>
          <w:rFonts w:ascii="Times New Roman" w:hAnsi="Times New Roman" w:cs="Times New Roman"/>
          <w:sz w:val="24"/>
          <w:szCs w:val="24"/>
        </w:rPr>
        <w:t xml:space="preserve"> </w:t>
      </w:r>
      <w:r w:rsidR="00010139">
        <w:rPr>
          <w:rFonts w:ascii="Times New Roman" w:hAnsi="Times New Roman" w:cs="Times New Roman"/>
          <w:sz w:val="24"/>
          <w:szCs w:val="24"/>
        </w:rPr>
        <w:t>mandated by the Act to</w:t>
      </w:r>
      <w:r w:rsidR="00CA4BCC">
        <w:rPr>
          <w:rFonts w:ascii="Times New Roman" w:hAnsi="Times New Roman" w:cs="Times New Roman"/>
          <w:sz w:val="24"/>
          <w:szCs w:val="24"/>
        </w:rPr>
        <w:t xml:space="preserve"> consult on t</w:t>
      </w:r>
      <w:r w:rsidR="006C5409">
        <w:rPr>
          <w:rFonts w:ascii="Times New Roman" w:hAnsi="Times New Roman" w:cs="Times New Roman"/>
          <w:sz w:val="24"/>
          <w:szCs w:val="24"/>
        </w:rPr>
        <w:t>he study and report to Congress</w:t>
      </w:r>
      <w:r w:rsidR="00CA4BCC">
        <w:rPr>
          <w:rFonts w:ascii="Times New Roman" w:hAnsi="Times New Roman" w:cs="Times New Roman"/>
          <w:sz w:val="24"/>
          <w:szCs w:val="24"/>
        </w:rPr>
        <w:t xml:space="preserve"> (the agencies include: NIST, NTIA, FCC, OMB, and DOI).  GSA incorporated the feedback and edits suggested by the consultation group.  Finally, GSA reviewed the survey with 5 members of the FCC Intergovernmental Advisory Committee (IAC).  The IAC is comprised of 30</w:t>
      </w:r>
      <w:r w:rsidR="00CA4BCC" w:rsidRPr="00CA4BCC">
        <w:rPr>
          <w:rFonts w:ascii="Times New Roman" w:hAnsi="Times New Roman" w:cs="Times New Roman"/>
          <w:sz w:val="24"/>
          <w:szCs w:val="24"/>
        </w:rPr>
        <w:t xml:space="preserve"> state and local government members</w:t>
      </w:r>
      <w:r w:rsidR="00CA4BCC">
        <w:rPr>
          <w:rFonts w:ascii="Times New Roman" w:hAnsi="Times New Roman" w:cs="Times New Roman"/>
          <w:sz w:val="24"/>
          <w:szCs w:val="24"/>
        </w:rPr>
        <w:t>.  The 5 members who reviewed the survey were from 2 states, 2 cities, and 1 tribe, and therefore representative of our survey population.  The IAC members had no recommended edits and noted that they thought the survey was well written</w:t>
      </w:r>
      <w:r w:rsidR="006C5409">
        <w:rPr>
          <w:rFonts w:ascii="Times New Roman" w:hAnsi="Times New Roman" w:cs="Times New Roman"/>
          <w:sz w:val="24"/>
          <w:szCs w:val="24"/>
        </w:rPr>
        <w:t xml:space="preserve"> and </w:t>
      </w:r>
      <w:r w:rsidR="00010139">
        <w:rPr>
          <w:rFonts w:ascii="Times New Roman" w:hAnsi="Times New Roman" w:cs="Times New Roman"/>
          <w:sz w:val="24"/>
          <w:szCs w:val="24"/>
        </w:rPr>
        <w:t>would be easy to complete</w:t>
      </w:r>
      <w:r w:rsidR="006C5409">
        <w:rPr>
          <w:rFonts w:ascii="Times New Roman" w:hAnsi="Times New Roman" w:cs="Times New Roman"/>
          <w:sz w:val="24"/>
          <w:szCs w:val="24"/>
        </w:rPr>
        <w:t>. T</w:t>
      </w:r>
      <w:r w:rsidR="00010139">
        <w:rPr>
          <w:rFonts w:ascii="Times New Roman" w:hAnsi="Times New Roman" w:cs="Times New Roman"/>
          <w:sz w:val="24"/>
          <w:szCs w:val="24"/>
        </w:rPr>
        <w:t xml:space="preserve">hey </w:t>
      </w:r>
      <w:r w:rsidR="006C5409">
        <w:rPr>
          <w:rFonts w:ascii="Times New Roman" w:hAnsi="Times New Roman" w:cs="Times New Roman"/>
          <w:sz w:val="24"/>
          <w:szCs w:val="24"/>
        </w:rPr>
        <w:t xml:space="preserve">also </w:t>
      </w:r>
      <w:r w:rsidR="00010139">
        <w:rPr>
          <w:rFonts w:ascii="Times New Roman" w:hAnsi="Times New Roman" w:cs="Times New Roman"/>
          <w:sz w:val="24"/>
          <w:szCs w:val="24"/>
        </w:rPr>
        <w:t xml:space="preserve">noted </w:t>
      </w:r>
      <w:r w:rsidR="006C5409">
        <w:rPr>
          <w:rFonts w:ascii="Times New Roman" w:hAnsi="Times New Roman" w:cs="Times New Roman"/>
          <w:sz w:val="24"/>
          <w:szCs w:val="24"/>
        </w:rPr>
        <w:t xml:space="preserve">that </w:t>
      </w:r>
      <w:r w:rsidR="00010139">
        <w:rPr>
          <w:rFonts w:ascii="Times New Roman" w:hAnsi="Times New Roman" w:cs="Times New Roman"/>
          <w:sz w:val="24"/>
          <w:szCs w:val="24"/>
        </w:rPr>
        <w:t xml:space="preserve">they thought we </w:t>
      </w:r>
      <w:r w:rsidR="006C5409">
        <w:rPr>
          <w:rFonts w:ascii="Times New Roman" w:hAnsi="Times New Roman" w:cs="Times New Roman"/>
          <w:sz w:val="24"/>
          <w:szCs w:val="24"/>
        </w:rPr>
        <w:t>would have a high response rate</w:t>
      </w:r>
      <w:r w:rsidR="00010139">
        <w:rPr>
          <w:rFonts w:ascii="Times New Roman" w:hAnsi="Times New Roman" w:cs="Times New Roman"/>
          <w:sz w:val="24"/>
          <w:szCs w:val="24"/>
        </w:rPr>
        <w:t xml:space="preserve"> and </w:t>
      </w:r>
      <w:r w:rsidR="006C5409">
        <w:rPr>
          <w:rFonts w:ascii="Times New Roman" w:hAnsi="Times New Roman" w:cs="Times New Roman"/>
          <w:sz w:val="24"/>
          <w:szCs w:val="24"/>
        </w:rPr>
        <w:t xml:space="preserve">that </w:t>
      </w:r>
      <w:r w:rsidR="00010139">
        <w:rPr>
          <w:rFonts w:ascii="Times New Roman" w:hAnsi="Times New Roman" w:cs="Times New Roman"/>
          <w:sz w:val="24"/>
          <w:szCs w:val="24"/>
        </w:rPr>
        <w:t>the data</w:t>
      </w:r>
      <w:r w:rsidR="00CA4BCC">
        <w:rPr>
          <w:rFonts w:ascii="Times New Roman" w:hAnsi="Times New Roman" w:cs="Times New Roman"/>
          <w:sz w:val="24"/>
          <w:szCs w:val="24"/>
        </w:rPr>
        <w:t xml:space="preserve"> would provide good insight for the report.</w:t>
      </w:r>
    </w:p>
    <w:p w14:paraId="2420297F" w14:textId="2B9A9DA4" w:rsidR="009C0380" w:rsidRPr="009C0380" w:rsidRDefault="009C0380" w:rsidP="009C0380">
      <w:pPr>
        <w:rPr>
          <w:b/>
          <w:sz w:val="24"/>
          <w:szCs w:val="24"/>
        </w:rPr>
      </w:pPr>
    </w:p>
    <w:p w14:paraId="16306676" w14:textId="37ECA756" w:rsidR="00B111D1" w:rsidRDefault="00B111D1" w:rsidP="009C0380">
      <w:pPr>
        <w:pStyle w:val="ListParagraph"/>
        <w:numPr>
          <w:ilvl w:val="0"/>
          <w:numId w:val="7"/>
        </w:numPr>
        <w:ind w:left="0" w:firstLine="0"/>
        <w:rPr>
          <w:rFonts w:ascii="Times New Roman" w:hAnsi="Times New Roman" w:cs="Times New Roman"/>
          <w:b/>
          <w:sz w:val="24"/>
          <w:szCs w:val="24"/>
        </w:rPr>
      </w:pPr>
      <w:r w:rsidRPr="003C061E">
        <w:rPr>
          <w:rFonts w:ascii="Times New Roman" w:hAnsi="Times New Roman" w:cs="Times New Roman"/>
          <w:b/>
          <w:sz w:val="24"/>
          <w:szCs w:val="24"/>
        </w:rPr>
        <w:t>Provide the name and telephone number of individuals consulted on statistical aspects of the design and the name of the agency unit, contractors, grantees, or other person(s) who will actually collect or analyze the information for the agency.</w:t>
      </w:r>
    </w:p>
    <w:p w14:paraId="0CDC6DEE" w14:textId="3EF08E2C" w:rsidR="00DF128C" w:rsidRDefault="00DF128C" w:rsidP="00DF128C">
      <w:pPr>
        <w:pStyle w:val="ListParagraph"/>
        <w:ind w:left="0"/>
        <w:rPr>
          <w:rFonts w:ascii="Times New Roman" w:hAnsi="Times New Roman" w:cs="Times New Roman"/>
          <w:b/>
          <w:sz w:val="24"/>
          <w:szCs w:val="24"/>
        </w:rPr>
      </w:pPr>
    </w:p>
    <w:p w14:paraId="2D8AFC70" w14:textId="4EF87F87" w:rsidR="00DF128C" w:rsidRPr="00DF128C" w:rsidRDefault="00DF128C" w:rsidP="00DF128C">
      <w:pPr>
        <w:pStyle w:val="ListParagraph"/>
        <w:ind w:left="0"/>
        <w:rPr>
          <w:rFonts w:ascii="Times New Roman" w:hAnsi="Times New Roman" w:cs="Times New Roman"/>
          <w:sz w:val="24"/>
          <w:szCs w:val="24"/>
        </w:rPr>
      </w:pPr>
      <w:r w:rsidRPr="00DF128C">
        <w:rPr>
          <w:rFonts w:ascii="Times New Roman" w:hAnsi="Times New Roman" w:cs="Times New Roman"/>
          <w:sz w:val="24"/>
          <w:szCs w:val="24"/>
        </w:rPr>
        <w:t>The GSA Qualtrics Team was consulted for the development of this survey</w:t>
      </w:r>
      <w:r w:rsidR="00A62A8C">
        <w:rPr>
          <w:rFonts w:ascii="Times New Roman" w:hAnsi="Times New Roman" w:cs="Times New Roman"/>
          <w:sz w:val="24"/>
          <w:szCs w:val="24"/>
        </w:rPr>
        <w:t xml:space="preserve"> and will work with</w:t>
      </w:r>
      <w:r w:rsidRPr="00DF128C">
        <w:rPr>
          <w:rFonts w:ascii="Times New Roman" w:hAnsi="Times New Roman" w:cs="Times New Roman"/>
          <w:sz w:val="24"/>
          <w:szCs w:val="24"/>
        </w:rPr>
        <w:t xml:space="preserve"> </w:t>
      </w:r>
      <w:r>
        <w:rPr>
          <w:rFonts w:ascii="Times New Roman" w:hAnsi="Times New Roman" w:cs="Times New Roman"/>
          <w:sz w:val="24"/>
          <w:szCs w:val="24"/>
        </w:rPr>
        <w:t xml:space="preserve">Jennie Campbell, the GSA project lead for GSA’s requirements under Section 608(d) of the MOBILE NOW Act, </w:t>
      </w:r>
      <w:r w:rsidR="00A62A8C">
        <w:rPr>
          <w:rFonts w:ascii="Times New Roman" w:hAnsi="Times New Roman" w:cs="Times New Roman"/>
          <w:sz w:val="24"/>
          <w:szCs w:val="24"/>
        </w:rPr>
        <w:t>to run post survey analytics using built in functionality within Qualtric</w:t>
      </w:r>
      <w:r w:rsidR="006C5409">
        <w:rPr>
          <w:rFonts w:ascii="Times New Roman" w:hAnsi="Times New Roman" w:cs="Times New Roman"/>
          <w:sz w:val="24"/>
          <w:szCs w:val="24"/>
        </w:rPr>
        <w:t>s</w:t>
      </w:r>
      <w:r w:rsidR="001E2438">
        <w:rPr>
          <w:rFonts w:ascii="Times New Roman" w:hAnsi="Times New Roman" w:cs="Times New Roman"/>
          <w:sz w:val="24"/>
          <w:szCs w:val="24"/>
        </w:rPr>
        <w:t>,</w:t>
      </w:r>
      <w:r w:rsidR="006C5409">
        <w:rPr>
          <w:rFonts w:ascii="Times New Roman" w:hAnsi="Times New Roman" w:cs="Times New Roman"/>
          <w:sz w:val="24"/>
          <w:szCs w:val="24"/>
        </w:rPr>
        <w:t xml:space="preserve"> and if necessary through Tableau</w:t>
      </w:r>
      <w:r w:rsidR="00A62A8C">
        <w:rPr>
          <w:rFonts w:ascii="Times New Roman" w:hAnsi="Times New Roman" w:cs="Times New Roman"/>
          <w:sz w:val="24"/>
          <w:szCs w:val="24"/>
        </w:rPr>
        <w:t>.  Jennie Campbell and her team, including c</w:t>
      </w:r>
      <w:r>
        <w:rPr>
          <w:rFonts w:ascii="Times New Roman" w:hAnsi="Times New Roman" w:cs="Times New Roman"/>
          <w:sz w:val="24"/>
          <w:szCs w:val="24"/>
        </w:rPr>
        <w:t>ontractor</w:t>
      </w:r>
      <w:r w:rsidR="00A62A8C">
        <w:rPr>
          <w:rFonts w:ascii="Times New Roman" w:hAnsi="Times New Roman" w:cs="Times New Roman"/>
          <w:sz w:val="24"/>
          <w:szCs w:val="24"/>
        </w:rPr>
        <w:t xml:space="preserve"> support, will</w:t>
      </w:r>
      <w:r>
        <w:rPr>
          <w:rFonts w:ascii="Times New Roman" w:hAnsi="Times New Roman" w:cs="Times New Roman"/>
          <w:sz w:val="24"/>
          <w:szCs w:val="24"/>
        </w:rPr>
        <w:t xml:space="preserve"> review and summariz</w:t>
      </w:r>
      <w:r w:rsidR="00A62A8C">
        <w:rPr>
          <w:rFonts w:ascii="Times New Roman" w:hAnsi="Times New Roman" w:cs="Times New Roman"/>
          <w:sz w:val="24"/>
          <w:szCs w:val="24"/>
        </w:rPr>
        <w:t>e the survey responses</w:t>
      </w:r>
      <w:r>
        <w:rPr>
          <w:rFonts w:ascii="Times New Roman" w:hAnsi="Times New Roman" w:cs="Times New Roman"/>
          <w:sz w:val="24"/>
          <w:szCs w:val="24"/>
        </w:rPr>
        <w:t xml:space="preserve"> for</w:t>
      </w:r>
      <w:r w:rsidR="00A62A8C">
        <w:rPr>
          <w:rFonts w:ascii="Times New Roman" w:hAnsi="Times New Roman" w:cs="Times New Roman"/>
          <w:sz w:val="24"/>
          <w:szCs w:val="24"/>
        </w:rPr>
        <w:t xml:space="preserve"> inclusion in</w:t>
      </w:r>
      <w:r>
        <w:rPr>
          <w:rFonts w:ascii="Times New Roman" w:hAnsi="Times New Roman" w:cs="Times New Roman"/>
          <w:sz w:val="24"/>
          <w:szCs w:val="24"/>
        </w:rPr>
        <w:t xml:space="preserve"> the Congressional report. </w:t>
      </w:r>
    </w:p>
    <w:p w14:paraId="1FD2D7E4" w14:textId="77777777" w:rsidR="00BB33C3" w:rsidRDefault="00BB33C3"/>
    <w:p w14:paraId="711741F4" w14:textId="77777777" w:rsidR="00262EB8" w:rsidRDefault="00262EB8"/>
    <w:sectPr w:rsidR="00262EB8">
      <w:headerReference w:type="default" r:id="rId12"/>
      <w:footerReference w:type="even" r:id="rId13"/>
      <w:footerReference w:type="default" r:id="rId14"/>
      <w:headerReference w:type="first" r:id="rId15"/>
      <w:footerReference w:type="first" r:id="rId16"/>
      <w:pgSz w:w="12240" w:h="15840"/>
      <w:pgMar w:top="1440" w:right="1800" w:bottom="1008"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2B1CC" w14:textId="77777777" w:rsidR="00E23F40" w:rsidRDefault="00E23F40">
      <w:r>
        <w:separator/>
      </w:r>
    </w:p>
  </w:endnote>
  <w:endnote w:type="continuationSeparator" w:id="0">
    <w:p w14:paraId="771499A3" w14:textId="77777777" w:rsidR="00E23F40" w:rsidRDefault="00E23F40">
      <w:r>
        <w:continuationSeparator/>
      </w:r>
    </w:p>
  </w:endnote>
  <w:endnote w:type="continuationNotice" w:id="1">
    <w:p w14:paraId="5F60E77F" w14:textId="77777777" w:rsidR="00E23F40" w:rsidRDefault="00E23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BDF4F" w14:textId="4A077615" w:rsidR="00C13D17" w:rsidRPr="008C173E" w:rsidRDefault="00926AAC" w:rsidP="008C173E">
    <w:pPr>
      <w:pStyle w:val="Footer"/>
      <w:jc w:val="center"/>
    </w:pPr>
    <w:r>
      <w:rPr>
        <w:sz w:val="24"/>
      </w:rPr>
      <w:fldChar w:fldCharType="begin" w:fldLock="1"/>
    </w:r>
    <w:r w:rsidRPr="003D79A0">
      <w:rPr>
        <w:sz w:val="24"/>
      </w:rPr>
      <w:instrText xml:space="preserve"> DOCPROPERTY bjFooterEvenPageDocProperty \* MERGEFORMAT </w:instrText>
    </w:r>
    <w:r>
      <w:rPr>
        <w:sz w:val="24"/>
      </w:rPr>
      <w:fldChar w:fldCharType="separate"/>
    </w:r>
    <w:r w:rsidR="008C173E" w:rsidRPr="008C173E">
      <w:rPr>
        <w:sz w:val="24"/>
      </w:rPr>
      <w:t>Authorized Use Only</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E7313" w14:textId="13F376A3" w:rsidR="00262EB8" w:rsidRDefault="00090A7C">
    <w:pPr>
      <w:tabs>
        <w:tab w:val="center" w:pos="4320"/>
        <w:tab w:val="right" w:pos="8640"/>
      </w:tabs>
      <w:spacing w:after="720"/>
      <w:jc w:val="right"/>
    </w:pPr>
    <w:r>
      <w:fldChar w:fldCharType="begin"/>
    </w:r>
    <w:r>
      <w:instrText>PAGE</w:instrText>
    </w:r>
    <w:r>
      <w:fldChar w:fldCharType="separate"/>
    </w:r>
    <w:r w:rsidR="00CD31D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77E0F" w14:textId="73283F70" w:rsidR="008C173E" w:rsidRDefault="00926AAC" w:rsidP="00A6750C">
    <w:pPr>
      <w:jc w:val="center"/>
    </w:pPr>
    <w:r>
      <w:rPr>
        <w:sz w:val="24"/>
      </w:rPr>
      <w:fldChar w:fldCharType="begin" w:fldLock="1"/>
    </w:r>
    <w:r w:rsidRPr="00A6750C">
      <w:rPr>
        <w:sz w:val="24"/>
      </w:rPr>
      <w:instrText xml:space="preserve"> DOCPROPERTY bjFooterFirstPageDocProperty \* MERGEFORMAT </w:instrText>
    </w:r>
    <w:r>
      <w:rPr>
        <w:sz w:val="24"/>
      </w:rPr>
      <w:fldChar w:fldCharType="separate"/>
    </w:r>
    <w:r w:rsidR="008C173E" w:rsidRPr="008C173E">
      <w:rPr>
        <w:sz w:val="24"/>
      </w:rPr>
      <w:t>Authorized Use Only</w:t>
    </w:r>
    <w:r>
      <w:rPr>
        <w:sz w:val="24"/>
      </w:rPr>
      <w:fldChar w:fldCharType="end"/>
    </w:r>
  </w:p>
  <w:p w14:paraId="29C17BE8" w14:textId="69BA9163" w:rsidR="00262EB8" w:rsidRDefault="00090A7C">
    <w:pPr>
      <w:jc w:val="right"/>
    </w:pPr>
    <w:r>
      <w:fldChar w:fldCharType="begin"/>
    </w:r>
    <w:r>
      <w:instrText>PAGE</w:instrText>
    </w:r>
    <w:r>
      <w:fldChar w:fldCharType="separate"/>
    </w:r>
    <w:r w:rsidR="00CD31D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309B2" w14:textId="77777777" w:rsidR="00E23F40" w:rsidRDefault="00E23F40">
      <w:r>
        <w:separator/>
      </w:r>
    </w:p>
  </w:footnote>
  <w:footnote w:type="continuationSeparator" w:id="0">
    <w:p w14:paraId="05E18738" w14:textId="77777777" w:rsidR="00E23F40" w:rsidRDefault="00E23F40">
      <w:r>
        <w:continuationSeparator/>
      </w:r>
    </w:p>
  </w:footnote>
  <w:footnote w:type="continuationNotice" w:id="1">
    <w:p w14:paraId="6D33EA7B" w14:textId="77777777" w:rsidR="00E23F40" w:rsidRDefault="00E23F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25D36" w14:textId="77777777" w:rsidR="00EF7FE1" w:rsidRPr="00D2014E" w:rsidRDefault="00EF7FE1" w:rsidP="00EF7FE1">
    <w:pPr>
      <w:tabs>
        <w:tab w:val="center" w:pos="4320"/>
        <w:tab w:val="right" w:pos="8640"/>
      </w:tabs>
      <w:jc w:val="center"/>
    </w:pPr>
    <w:r w:rsidRPr="00D2014E">
      <w:rPr>
        <w:b/>
        <w:sz w:val="24"/>
        <w:szCs w:val="24"/>
      </w:rPr>
      <w:t xml:space="preserve">SUPPORTING STATEMENT </w:t>
    </w:r>
    <w:r w:rsidRPr="00D2014E">
      <w:rPr>
        <w:b/>
        <w:sz w:val="24"/>
        <w:szCs w:val="24"/>
      </w:rPr>
      <w:br/>
      <w:t>FOR PAPERWORK REDUCTION ACT SUBMISSION</w:t>
    </w:r>
  </w:p>
  <w:p w14:paraId="528ECDF0" w14:textId="73BA7548" w:rsidR="00262EB8" w:rsidRDefault="00EF7FE1" w:rsidP="00EF7FE1">
    <w:pPr>
      <w:tabs>
        <w:tab w:val="center" w:pos="4320"/>
        <w:tab w:val="right" w:pos="8640"/>
      </w:tabs>
      <w:jc w:val="center"/>
    </w:pPr>
    <w:r w:rsidRPr="00D2014E">
      <w:rPr>
        <w:b/>
        <w:sz w:val="24"/>
        <w:szCs w:val="24"/>
      </w:rPr>
      <w:t xml:space="preserve">3090-XXXX, </w:t>
    </w:r>
    <w:r w:rsidR="00D2014E" w:rsidRPr="00D2014E">
      <w:rPr>
        <w:b/>
        <w:sz w:val="24"/>
        <w:szCs w:val="24"/>
      </w:rPr>
      <w:t>Mobile Now Act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19DE7" w14:textId="77777777" w:rsidR="00262EB8" w:rsidRDefault="00090A7C">
    <w:pPr>
      <w:tabs>
        <w:tab w:val="center" w:pos="4320"/>
        <w:tab w:val="right" w:pos="8640"/>
      </w:tabs>
      <w:jc w:val="center"/>
    </w:pPr>
    <w:r>
      <w:rPr>
        <w:b/>
        <w:sz w:val="24"/>
        <w:szCs w:val="24"/>
      </w:rPr>
      <w:t xml:space="preserve">SUPPORTING STATEMENT </w:t>
    </w:r>
    <w:r>
      <w:rPr>
        <w:b/>
        <w:sz w:val="24"/>
        <w:szCs w:val="24"/>
      </w:rPr>
      <w:br/>
      <w:t>FOR PAPERWORK REDUCTION ACT SUBMISSION</w:t>
    </w:r>
  </w:p>
  <w:p w14:paraId="067373A6" w14:textId="4AC422B4" w:rsidR="00262EB8" w:rsidRDefault="00090A7C">
    <w:pPr>
      <w:widowControl w:val="0"/>
      <w:jc w:val="center"/>
    </w:pPr>
    <w:r w:rsidRPr="00D7137B">
      <w:rPr>
        <w:b/>
        <w:sz w:val="24"/>
        <w:szCs w:val="24"/>
      </w:rPr>
      <w:t>3090-</w:t>
    </w:r>
    <w:r w:rsidR="00AF34D3" w:rsidRPr="00D7137B">
      <w:rPr>
        <w:b/>
        <w:sz w:val="24"/>
        <w:szCs w:val="24"/>
      </w:rPr>
      <w:t>XXXX</w:t>
    </w:r>
    <w:r w:rsidRPr="00D7137B">
      <w:rPr>
        <w:b/>
        <w:sz w:val="24"/>
        <w:szCs w:val="24"/>
      </w:rPr>
      <w:t xml:space="preserve">, </w:t>
    </w:r>
    <w:r w:rsidR="00D2014E" w:rsidRPr="00D7137B">
      <w:rPr>
        <w:b/>
        <w:sz w:val="24"/>
        <w:szCs w:val="24"/>
      </w:rPr>
      <w:t>Mobile</w:t>
    </w:r>
    <w:r w:rsidR="00D2014E">
      <w:rPr>
        <w:b/>
        <w:sz w:val="24"/>
        <w:szCs w:val="24"/>
      </w:rPr>
      <w:t xml:space="preserve"> Now Act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52C8"/>
    <w:multiLevelType w:val="multilevel"/>
    <w:tmpl w:val="056C49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AA419A0"/>
    <w:multiLevelType w:val="hybridMultilevel"/>
    <w:tmpl w:val="1C041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946C41"/>
    <w:multiLevelType w:val="multilevel"/>
    <w:tmpl w:val="8A9878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52E3437"/>
    <w:multiLevelType w:val="hybridMultilevel"/>
    <w:tmpl w:val="726AE2A2"/>
    <w:lvl w:ilvl="0" w:tplc="E80230F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5B227F"/>
    <w:multiLevelType w:val="multilevel"/>
    <w:tmpl w:val="3BB296C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4E0D1DC3"/>
    <w:multiLevelType w:val="multilevel"/>
    <w:tmpl w:val="DD72ED8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4E9B5EB0"/>
    <w:multiLevelType w:val="hybridMultilevel"/>
    <w:tmpl w:val="A49A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FE5EED"/>
    <w:multiLevelType w:val="multilevel"/>
    <w:tmpl w:val="CB4EEC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4"/>
  </w:num>
  <w:num w:numId="3">
    <w:abstractNumId w:val="2"/>
  </w:num>
  <w:num w:numId="4">
    <w:abstractNumId w:val="5"/>
  </w:num>
  <w:num w:numId="5">
    <w:abstractNumId w:val="0"/>
  </w:num>
  <w:num w:numId="6">
    <w:abstractNumId w:val="6"/>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chel Sorrells">
    <w15:presenceInfo w15:providerId="None" w15:userId="Rachel Sorrells"/>
  </w15:person>
  <w15:person w15:author="Rachel Sorrells [2]">
    <w15:presenceInfo w15:providerId="AD" w15:userId="S-1-5-21-953392452-500475491-1018750222-21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EB8"/>
    <w:rsid w:val="0000673A"/>
    <w:rsid w:val="00010139"/>
    <w:rsid w:val="00024AB3"/>
    <w:rsid w:val="000635FD"/>
    <w:rsid w:val="00090A7C"/>
    <w:rsid w:val="000E29AA"/>
    <w:rsid w:val="00125727"/>
    <w:rsid w:val="00157106"/>
    <w:rsid w:val="00173B12"/>
    <w:rsid w:val="001872ED"/>
    <w:rsid w:val="001E2438"/>
    <w:rsid w:val="002053C1"/>
    <w:rsid w:val="00205653"/>
    <w:rsid w:val="002068C2"/>
    <w:rsid w:val="00241497"/>
    <w:rsid w:val="0024246D"/>
    <w:rsid w:val="00247035"/>
    <w:rsid w:val="00262EB8"/>
    <w:rsid w:val="0029797F"/>
    <w:rsid w:val="002C5032"/>
    <w:rsid w:val="002F3BA4"/>
    <w:rsid w:val="00320686"/>
    <w:rsid w:val="00363B2E"/>
    <w:rsid w:val="003C061E"/>
    <w:rsid w:val="003C7BEC"/>
    <w:rsid w:val="003D79A0"/>
    <w:rsid w:val="004135B7"/>
    <w:rsid w:val="00430DBB"/>
    <w:rsid w:val="00442D6E"/>
    <w:rsid w:val="0045229B"/>
    <w:rsid w:val="00465DDF"/>
    <w:rsid w:val="00494942"/>
    <w:rsid w:val="00495CE5"/>
    <w:rsid w:val="004E228A"/>
    <w:rsid w:val="00504CE9"/>
    <w:rsid w:val="005122F1"/>
    <w:rsid w:val="00542827"/>
    <w:rsid w:val="005615EA"/>
    <w:rsid w:val="005617F3"/>
    <w:rsid w:val="005713A7"/>
    <w:rsid w:val="00571EC2"/>
    <w:rsid w:val="005D12B5"/>
    <w:rsid w:val="005D7307"/>
    <w:rsid w:val="00602809"/>
    <w:rsid w:val="006028AE"/>
    <w:rsid w:val="0061211E"/>
    <w:rsid w:val="00665F88"/>
    <w:rsid w:val="00681548"/>
    <w:rsid w:val="006C5409"/>
    <w:rsid w:val="006C7F46"/>
    <w:rsid w:val="006F32AC"/>
    <w:rsid w:val="007057C5"/>
    <w:rsid w:val="00711100"/>
    <w:rsid w:val="00724C05"/>
    <w:rsid w:val="007774C2"/>
    <w:rsid w:val="00784F7F"/>
    <w:rsid w:val="007A6469"/>
    <w:rsid w:val="00805AFC"/>
    <w:rsid w:val="008149A1"/>
    <w:rsid w:val="0083221B"/>
    <w:rsid w:val="00841F27"/>
    <w:rsid w:val="00855EDE"/>
    <w:rsid w:val="008763D2"/>
    <w:rsid w:val="00882BCF"/>
    <w:rsid w:val="008C173E"/>
    <w:rsid w:val="008E0BF1"/>
    <w:rsid w:val="00926AAC"/>
    <w:rsid w:val="009601A7"/>
    <w:rsid w:val="00991833"/>
    <w:rsid w:val="009A790B"/>
    <w:rsid w:val="009B1875"/>
    <w:rsid w:val="009C0380"/>
    <w:rsid w:val="009F4F55"/>
    <w:rsid w:val="00A17CAE"/>
    <w:rsid w:val="00A419DE"/>
    <w:rsid w:val="00A448A6"/>
    <w:rsid w:val="00A51CDB"/>
    <w:rsid w:val="00A54C1F"/>
    <w:rsid w:val="00A5614D"/>
    <w:rsid w:val="00A62A8C"/>
    <w:rsid w:val="00A6750C"/>
    <w:rsid w:val="00A705C5"/>
    <w:rsid w:val="00A733A9"/>
    <w:rsid w:val="00A86768"/>
    <w:rsid w:val="00AA4312"/>
    <w:rsid w:val="00AC0BD2"/>
    <w:rsid w:val="00AD19B8"/>
    <w:rsid w:val="00AE2B94"/>
    <w:rsid w:val="00AF34D3"/>
    <w:rsid w:val="00B111D1"/>
    <w:rsid w:val="00B40789"/>
    <w:rsid w:val="00B9728B"/>
    <w:rsid w:val="00BA6222"/>
    <w:rsid w:val="00BB33C3"/>
    <w:rsid w:val="00BD3444"/>
    <w:rsid w:val="00C13B8C"/>
    <w:rsid w:val="00C13D17"/>
    <w:rsid w:val="00C50601"/>
    <w:rsid w:val="00C66C9A"/>
    <w:rsid w:val="00C80FB8"/>
    <w:rsid w:val="00C865B3"/>
    <w:rsid w:val="00C87FB5"/>
    <w:rsid w:val="00CA4BCC"/>
    <w:rsid w:val="00CA7458"/>
    <w:rsid w:val="00CD31D9"/>
    <w:rsid w:val="00CE1273"/>
    <w:rsid w:val="00D13C58"/>
    <w:rsid w:val="00D171DC"/>
    <w:rsid w:val="00D2014E"/>
    <w:rsid w:val="00D45222"/>
    <w:rsid w:val="00D53215"/>
    <w:rsid w:val="00D65C8B"/>
    <w:rsid w:val="00D70524"/>
    <w:rsid w:val="00D7137B"/>
    <w:rsid w:val="00D95552"/>
    <w:rsid w:val="00DE67E5"/>
    <w:rsid w:val="00DF128C"/>
    <w:rsid w:val="00E064B1"/>
    <w:rsid w:val="00E23F40"/>
    <w:rsid w:val="00E40214"/>
    <w:rsid w:val="00E64B3B"/>
    <w:rsid w:val="00ED0270"/>
    <w:rsid w:val="00EE56B1"/>
    <w:rsid w:val="00EE6EF0"/>
    <w:rsid w:val="00EF7FE1"/>
    <w:rsid w:val="00F03679"/>
    <w:rsid w:val="00F065CB"/>
    <w:rsid w:val="00F307C8"/>
    <w:rsid w:val="00F6224E"/>
    <w:rsid w:val="00F84B0B"/>
    <w:rsid w:val="00F94D2A"/>
    <w:rsid w:val="00F96193"/>
    <w:rsid w:val="00FF0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71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paragraph" w:styleId="Header">
    <w:name w:val="header"/>
    <w:basedOn w:val="Normal"/>
    <w:link w:val="HeaderChar"/>
    <w:uiPriority w:val="99"/>
    <w:unhideWhenUsed/>
    <w:rsid w:val="00784F7F"/>
    <w:pPr>
      <w:tabs>
        <w:tab w:val="center" w:pos="4680"/>
        <w:tab w:val="right" w:pos="9360"/>
      </w:tabs>
    </w:pPr>
  </w:style>
  <w:style w:type="character" w:customStyle="1" w:styleId="HeaderChar">
    <w:name w:val="Header Char"/>
    <w:basedOn w:val="DefaultParagraphFont"/>
    <w:link w:val="Header"/>
    <w:uiPriority w:val="99"/>
    <w:rsid w:val="00784F7F"/>
  </w:style>
  <w:style w:type="paragraph" w:styleId="Footer">
    <w:name w:val="footer"/>
    <w:basedOn w:val="Normal"/>
    <w:link w:val="FooterChar"/>
    <w:uiPriority w:val="99"/>
    <w:unhideWhenUsed/>
    <w:rsid w:val="00784F7F"/>
    <w:pPr>
      <w:tabs>
        <w:tab w:val="center" w:pos="4680"/>
        <w:tab w:val="right" w:pos="9360"/>
      </w:tabs>
    </w:pPr>
  </w:style>
  <w:style w:type="character" w:customStyle="1" w:styleId="FooterChar">
    <w:name w:val="Footer Char"/>
    <w:basedOn w:val="DefaultParagraphFont"/>
    <w:link w:val="Footer"/>
    <w:uiPriority w:val="99"/>
    <w:rsid w:val="00784F7F"/>
  </w:style>
  <w:style w:type="paragraph" w:styleId="BalloonText">
    <w:name w:val="Balloon Text"/>
    <w:basedOn w:val="Normal"/>
    <w:link w:val="BalloonTextChar"/>
    <w:uiPriority w:val="99"/>
    <w:semiHidden/>
    <w:unhideWhenUsed/>
    <w:rsid w:val="00AC0BD2"/>
    <w:rPr>
      <w:rFonts w:ascii="Tahoma" w:hAnsi="Tahoma" w:cs="Tahoma"/>
      <w:sz w:val="16"/>
      <w:szCs w:val="16"/>
    </w:rPr>
  </w:style>
  <w:style w:type="character" w:customStyle="1" w:styleId="BalloonTextChar">
    <w:name w:val="Balloon Text Char"/>
    <w:basedOn w:val="DefaultParagraphFont"/>
    <w:link w:val="BalloonText"/>
    <w:uiPriority w:val="99"/>
    <w:semiHidden/>
    <w:rsid w:val="00AC0BD2"/>
    <w:rPr>
      <w:rFonts w:ascii="Tahoma" w:hAnsi="Tahoma" w:cs="Tahoma"/>
      <w:sz w:val="16"/>
      <w:szCs w:val="16"/>
    </w:rPr>
  </w:style>
  <w:style w:type="paragraph" w:styleId="ListParagraph">
    <w:name w:val="List Paragraph"/>
    <w:basedOn w:val="Normal"/>
    <w:uiPriority w:val="34"/>
    <w:qFormat/>
    <w:rsid w:val="00D13C58"/>
    <w:pPr>
      <w:spacing w:after="160" w:line="259" w:lineRule="auto"/>
      <w:ind w:left="720"/>
      <w:contextualSpacing/>
    </w:pPr>
    <w:rPr>
      <w:rFonts w:asciiTheme="minorHAnsi" w:eastAsiaTheme="minorHAnsi" w:hAnsiTheme="minorHAnsi" w:cstheme="minorBidi"/>
      <w:color w:val="auto"/>
      <w:sz w:val="22"/>
      <w:szCs w:val="22"/>
    </w:rPr>
  </w:style>
  <w:style w:type="character" w:styleId="CommentReference">
    <w:name w:val="annotation reference"/>
    <w:basedOn w:val="DefaultParagraphFont"/>
    <w:uiPriority w:val="99"/>
    <w:semiHidden/>
    <w:unhideWhenUsed/>
    <w:rsid w:val="00E064B1"/>
    <w:rPr>
      <w:sz w:val="16"/>
      <w:szCs w:val="16"/>
    </w:rPr>
  </w:style>
  <w:style w:type="paragraph" w:styleId="CommentText">
    <w:name w:val="annotation text"/>
    <w:basedOn w:val="Normal"/>
    <w:link w:val="CommentTextChar"/>
    <w:uiPriority w:val="99"/>
    <w:semiHidden/>
    <w:unhideWhenUsed/>
    <w:rsid w:val="00E064B1"/>
  </w:style>
  <w:style w:type="character" w:customStyle="1" w:styleId="CommentTextChar">
    <w:name w:val="Comment Text Char"/>
    <w:basedOn w:val="DefaultParagraphFont"/>
    <w:link w:val="CommentText"/>
    <w:uiPriority w:val="99"/>
    <w:semiHidden/>
    <w:rsid w:val="00E064B1"/>
  </w:style>
  <w:style w:type="paragraph" w:styleId="CommentSubject">
    <w:name w:val="annotation subject"/>
    <w:basedOn w:val="CommentText"/>
    <w:next w:val="CommentText"/>
    <w:link w:val="CommentSubjectChar"/>
    <w:uiPriority w:val="99"/>
    <w:semiHidden/>
    <w:unhideWhenUsed/>
    <w:rsid w:val="00E064B1"/>
    <w:rPr>
      <w:b/>
      <w:bCs/>
    </w:rPr>
  </w:style>
  <w:style w:type="character" w:customStyle="1" w:styleId="CommentSubjectChar">
    <w:name w:val="Comment Subject Char"/>
    <w:basedOn w:val="CommentTextChar"/>
    <w:link w:val="CommentSubject"/>
    <w:uiPriority w:val="99"/>
    <w:semiHidden/>
    <w:rsid w:val="00E064B1"/>
    <w:rPr>
      <w:b/>
      <w:bCs/>
    </w:rPr>
  </w:style>
  <w:style w:type="character" w:styleId="Hyperlink">
    <w:name w:val="Hyperlink"/>
    <w:basedOn w:val="DefaultParagraphFont"/>
    <w:uiPriority w:val="99"/>
    <w:unhideWhenUsed/>
    <w:rsid w:val="00F03679"/>
    <w:rPr>
      <w:color w:val="0000FF"/>
      <w:u w:val="single"/>
    </w:rPr>
  </w:style>
  <w:style w:type="character" w:styleId="FollowedHyperlink">
    <w:name w:val="FollowedHyperlink"/>
    <w:basedOn w:val="DefaultParagraphFont"/>
    <w:uiPriority w:val="99"/>
    <w:semiHidden/>
    <w:unhideWhenUsed/>
    <w:rsid w:val="00363B2E"/>
    <w:rPr>
      <w:color w:val="800080" w:themeColor="followedHyperlink"/>
      <w:u w:val="single"/>
    </w:rPr>
  </w:style>
  <w:style w:type="paragraph" w:styleId="Revision">
    <w:name w:val="Revision"/>
    <w:hidden/>
    <w:uiPriority w:val="99"/>
    <w:semiHidden/>
    <w:rsid w:val="00A705C5"/>
  </w:style>
  <w:style w:type="paragraph" w:styleId="BodyText">
    <w:name w:val="Body Text"/>
    <w:basedOn w:val="Normal"/>
    <w:link w:val="BodyTextChar"/>
    <w:semiHidden/>
    <w:unhideWhenUsed/>
    <w:rsid w:val="00F94D2A"/>
    <w:rPr>
      <w:color w:val="auto"/>
      <w:sz w:val="24"/>
    </w:rPr>
  </w:style>
  <w:style w:type="character" w:customStyle="1" w:styleId="BodyTextChar">
    <w:name w:val="Body Text Char"/>
    <w:basedOn w:val="DefaultParagraphFont"/>
    <w:link w:val="BodyText"/>
    <w:semiHidden/>
    <w:rsid w:val="00F94D2A"/>
    <w:rPr>
      <w:color w:val="auto"/>
      <w:sz w:val="24"/>
    </w:rPr>
  </w:style>
  <w:style w:type="table" w:styleId="TableGrid">
    <w:name w:val="Table Grid"/>
    <w:basedOn w:val="TableNormal"/>
    <w:uiPriority w:val="59"/>
    <w:rsid w:val="00AE2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paragraph" w:styleId="Header">
    <w:name w:val="header"/>
    <w:basedOn w:val="Normal"/>
    <w:link w:val="HeaderChar"/>
    <w:uiPriority w:val="99"/>
    <w:unhideWhenUsed/>
    <w:rsid w:val="00784F7F"/>
    <w:pPr>
      <w:tabs>
        <w:tab w:val="center" w:pos="4680"/>
        <w:tab w:val="right" w:pos="9360"/>
      </w:tabs>
    </w:pPr>
  </w:style>
  <w:style w:type="character" w:customStyle="1" w:styleId="HeaderChar">
    <w:name w:val="Header Char"/>
    <w:basedOn w:val="DefaultParagraphFont"/>
    <w:link w:val="Header"/>
    <w:uiPriority w:val="99"/>
    <w:rsid w:val="00784F7F"/>
  </w:style>
  <w:style w:type="paragraph" w:styleId="Footer">
    <w:name w:val="footer"/>
    <w:basedOn w:val="Normal"/>
    <w:link w:val="FooterChar"/>
    <w:uiPriority w:val="99"/>
    <w:unhideWhenUsed/>
    <w:rsid w:val="00784F7F"/>
    <w:pPr>
      <w:tabs>
        <w:tab w:val="center" w:pos="4680"/>
        <w:tab w:val="right" w:pos="9360"/>
      </w:tabs>
    </w:pPr>
  </w:style>
  <w:style w:type="character" w:customStyle="1" w:styleId="FooterChar">
    <w:name w:val="Footer Char"/>
    <w:basedOn w:val="DefaultParagraphFont"/>
    <w:link w:val="Footer"/>
    <w:uiPriority w:val="99"/>
    <w:rsid w:val="00784F7F"/>
  </w:style>
  <w:style w:type="paragraph" w:styleId="BalloonText">
    <w:name w:val="Balloon Text"/>
    <w:basedOn w:val="Normal"/>
    <w:link w:val="BalloonTextChar"/>
    <w:uiPriority w:val="99"/>
    <w:semiHidden/>
    <w:unhideWhenUsed/>
    <w:rsid w:val="00AC0BD2"/>
    <w:rPr>
      <w:rFonts w:ascii="Tahoma" w:hAnsi="Tahoma" w:cs="Tahoma"/>
      <w:sz w:val="16"/>
      <w:szCs w:val="16"/>
    </w:rPr>
  </w:style>
  <w:style w:type="character" w:customStyle="1" w:styleId="BalloonTextChar">
    <w:name w:val="Balloon Text Char"/>
    <w:basedOn w:val="DefaultParagraphFont"/>
    <w:link w:val="BalloonText"/>
    <w:uiPriority w:val="99"/>
    <w:semiHidden/>
    <w:rsid w:val="00AC0BD2"/>
    <w:rPr>
      <w:rFonts w:ascii="Tahoma" w:hAnsi="Tahoma" w:cs="Tahoma"/>
      <w:sz w:val="16"/>
      <w:szCs w:val="16"/>
    </w:rPr>
  </w:style>
  <w:style w:type="paragraph" w:styleId="ListParagraph">
    <w:name w:val="List Paragraph"/>
    <w:basedOn w:val="Normal"/>
    <w:uiPriority w:val="34"/>
    <w:qFormat/>
    <w:rsid w:val="00D13C58"/>
    <w:pPr>
      <w:spacing w:after="160" w:line="259" w:lineRule="auto"/>
      <w:ind w:left="720"/>
      <w:contextualSpacing/>
    </w:pPr>
    <w:rPr>
      <w:rFonts w:asciiTheme="minorHAnsi" w:eastAsiaTheme="minorHAnsi" w:hAnsiTheme="minorHAnsi" w:cstheme="minorBidi"/>
      <w:color w:val="auto"/>
      <w:sz w:val="22"/>
      <w:szCs w:val="22"/>
    </w:rPr>
  </w:style>
  <w:style w:type="character" w:styleId="CommentReference">
    <w:name w:val="annotation reference"/>
    <w:basedOn w:val="DefaultParagraphFont"/>
    <w:uiPriority w:val="99"/>
    <w:semiHidden/>
    <w:unhideWhenUsed/>
    <w:rsid w:val="00E064B1"/>
    <w:rPr>
      <w:sz w:val="16"/>
      <w:szCs w:val="16"/>
    </w:rPr>
  </w:style>
  <w:style w:type="paragraph" w:styleId="CommentText">
    <w:name w:val="annotation text"/>
    <w:basedOn w:val="Normal"/>
    <w:link w:val="CommentTextChar"/>
    <w:uiPriority w:val="99"/>
    <w:semiHidden/>
    <w:unhideWhenUsed/>
    <w:rsid w:val="00E064B1"/>
  </w:style>
  <w:style w:type="character" w:customStyle="1" w:styleId="CommentTextChar">
    <w:name w:val="Comment Text Char"/>
    <w:basedOn w:val="DefaultParagraphFont"/>
    <w:link w:val="CommentText"/>
    <w:uiPriority w:val="99"/>
    <w:semiHidden/>
    <w:rsid w:val="00E064B1"/>
  </w:style>
  <w:style w:type="paragraph" w:styleId="CommentSubject">
    <w:name w:val="annotation subject"/>
    <w:basedOn w:val="CommentText"/>
    <w:next w:val="CommentText"/>
    <w:link w:val="CommentSubjectChar"/>
    <w:uiPriority w:val="99"/>
    <w:semiHidden/>
    <w:unhideWhenUsed/>
    <w:rsid w:val="00E064B1"/>
    <w:rPr>
      <w:b/>
      <w:bCs/>
    </w:rPr>
  </w:style>
  <w:style w:type="character" w:customStyle="1" w:styleId="CommentSubjectChar">
    <w:name w:val="Comment Subject Char"/>
    <w:basedOn w:val="CommentTextChar"/>
    <w:link w:val="CommentSubject"/>
    <w:uiPriority w:val="99"/>
    <w:semiHidden/>
    <w:rsid w:val="00E064B1"/>
    <w:rPr>
      <w:b/>
      <w:bCs/>
    </w:rPr>
  </w:style>
  <w:style w:type="character" w:styleId="Hyperlink">
    <w:name w:val="Hyperlink"/>
    <w:basedOn w:val="DefaultParagraphFont"/>
    <w:uiPriority w:val="99"/>
    <w:unhideWhenUsed/>
    <w:rsid w:val="00F03679"/>
    <w:rPr>
      <w:color w:val="0000FF"/>
      <w:u w:val="single"/>
    </w:rPr>
  </w:style>
  <w:style w:type="character" w:styleId="FollowedHyperlink">
    <w:name w:val="FollowedHyperlink"/>
    <w:basedOn w:val="DefaultParagraphFont"/>
    <w:uiPriority w:val="99"/>
    <w:semiHidden/>
    <w:unhideWhenUsed/>
    <w:rsid w:val="00363B2E"/>
    <w:rPr>
      <w:color w:val="800080" w:themeColor="followedHyperlink"/>
      <w:u w:val="single"/>
    </w:rPr>
  </w:style>
  <w:style w:type="paragraph" w:styleId="Revision">
    <w:name w:val="Revision"/>
    <w:hidden/>
    <w:uiPriority w:val="99"/>
    <w:semiHidden/>
    <w:rsid w:val="00A705C5"/>
  </w:style>
  <w:style w:type="paragraph" w:styleId="BodyText">
    <w:name w:val="Body Text"/>
    <w:basedOn w:val="Normal"/>
    <w:link w:val="BodyTextChar"/>
    <w:semiHidden/>
    <w:unhideWhenUsed/>
    <w:rsid w:val="00F94D2A"/>
    <w:rPr>
      <w:color w:val="auto"/>
      <w:sz w:val="24"/>
    </w:rPr>
  </w:style>
  <w:style w:type="character" w:customStyle="1" w:styleId="BodyTextChar">
    <w:name w:val="Body Text Char"/>
    <w:basedOn w:val="DefaultParagraphFont"/>
    <w:link w:val="BodyText"/>
    <w:semiHidden/>
    <w:rsid w:val="00F94D2A"/>
    <w:rPr>
      <w:color w:val="auto"/>
      <w:sz w:val="24"/>
    </w:rPr>
  </w:style>
  <w:style w:type="table" w:styleId="TableGrid">
    <w:name w:val="Table Grid"/>
    <w:basedOn w:val="TableNormal"/>
    <w:uiPriority w:val="59"/>
    <w:rsid w:val="00AE2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845366617">
      <w:bodyDiv w:val="1"/>
      <w:marLeft w:val="0"/>
      <w:marRight w:val="0"/>
      <w:marTop w:val="0"/>
      <w:marBottom w:val="0"/>
      <w:divBdr>
        <w:top w:val="none" w:sz="0" w:space="0" w:color="auto"/>
        <w:left w:val="none" w:sz="0" w:space="0" w:color="auto"/>
        <w:bottom w:val="none" w:sz="0" w:space="0" w:color="auto"/>
        <w:right w:val="none" w:sz="0" w:space="0" w:color="auto"/>
      </w:divBdr>
    </w:div>
    <w:div w:id="1291669264">
      <w:bodyDiv w:val="1"/>
      <w:marLeft w:val="0"/>
      <w:marRight w:val="0"/>
      <w:marTop w:val="0"/>
      <w:marBottom w:val="0"/>
      <w:divBdr>
        <w:top w:val="none" w:sz="0" w:space="0" w:color="auto"/>
        <w:left w:val="none" w:sz="0" w:space="0" w:color="auto"/>
        <w:bottom w:val="none" w:sz="0" w:space="0" w:color="auto"/>
        <w:right w:val="none" w:sz="0" w:space="0" w:color="auto"/>
      </w:divBdr>
    </w:div>
    <w:div w:id="1497652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altrics.com/support/survey-platform/survey-module/survey-checker/quality-iq-functionality/"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s://www.qualtrics.com/support/stats-iq/getting-started-with-stats-iq/overview-stats-iq/"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c8d5760e-638a-47e8-9e2e-1226c2cb268d" origin="userSelected">
  <element uid="8935ac63-702f-4c65-b397-2d3f3e0964be" value=""/>
</sisl>
</file>

<file path=customXml/item2.xml><?xml version="1.0" encoding="utf-8"?>
<sisl xmlns:xsi="http://www.w3.org/2001/XMLSchema-instance" xmlns:xsd="http://www.w3.org/2001/XMLSchema" xmlns="http://www.boldonjames.com/2008/01/sie/internal/label" sislVersion="0" policy="c8d5760e-638a-47e8-9e2e-1226c2cb268d" origin="userSelected">
  <element uid="8935ac63-702f-4c65-b397-2d3f3e0964be" value=""/>
</sisl>
</file>

<file path=customXml/itemProps1.xml><?xml version="1.0" encoding="utf-8"?>
<ds:datastoreItem xmlns:ds="http://schemas.openxmlformats.org/officeDocument/2006/customXml" ds:itemID="{D238733F-9D6B-4FE5-AEDE-3C171806FC8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671AAA1-07F7-4A91-9C33-0F6F4FBFFFB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MatthewMcFarland</dc:creator>
  <cp:keywords>[AUOa:/b:/c:/d:/e:/f:/g:/h:/i:/j:/k:/l:/m:/n:/o:/p:/q:/r:/s:/t:/u:/v:/w:]</cp:keywords>
  <cp:lastModifiedBy>SYSTEM</cp:lastModifiedBy>
  <cp:revision>2</cp:revision>
  <cp:lastPrinted>2015-11-12T14:55:00Z</cp:lastPrinted>
  <dcterms:created xsi:type="dcterms:W3CDTF">2018-11-28T15:06:00Z</dcterms:created>
  <dcterms:modified xsi:type="dcterms:W3CDTF">2018-11-28T15:06:00Z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7de58c2c-dfd9-48fc-8150-7dffa62727bd</vt:lpwstr>
  </property>
  <property fmtid="{D5CDD505-2E9C-101B-9397-08002B2CF9AE}" pid="3" name="bjSaver">
    <vt:lpwstr>Gso6Z0B5piLnak2VlwrYQTBv6NLQbXpK</vt:lpwstr>
  </property>
  <property fmtid="{D5CDD505-2E9C-101B-9397-08002B2CF9AE}" pid="4"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5" name="bjDocumentLabelXML-0">
    <vt:lpwstr>ames.com/2008/01/sie/internal/label"&gt;&lt;element uid="8935ac63-702f-4c65-b397-2d3f3e0964be" value="" /&gt;&lt;/sisl&gt;</vt:lpwstr>
  </property>
  <property fmtid="{D5CDD505-2E9C-101B-9397-08002B2CF9AE}" pid="6" name="bjDocumentSecurityLabel">
    <vt:lpwstr>AUTHORIZED USE ONLY</vt:lpwstr>
  </property>
  <property fmtid="{D5CDD505-2E9C-101B-9397-08002B2CF9AE}" pid="7" name="bjFooterBothDocProperty">
    <vt:lpwstr>Authorized Use Only</vt:lpwstr>
  </property>
  <property fmtid="{D5CDD505-2E9C-101B-9397-08002B2CF9AE}" pid="8" name="bjFooterFirstPageDocProperty">
    <vt:lpwstr>Authorized Use Only</vt:lpwstr>
  </property>
  <property fmtid="{D5CDD505-2E9C-101B-9397-08002B2CF9AE}" pid="9" name="bjFooterEvenPageDocProperty">
    <vt:lpwstr>Authorized Use Only</vt:lpwstr>
  </property>
</Properties>
</file>