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1B260" w14:textId="77777777" w:rsidR="00D62AEC" w:rsidRPr="0006738B" w:rsidRDefault="00D62AEC" w:rsidP="00942462">
      <w:pPr>
        <w:jc w:val="center"/>
        <w:rPr>
          <w:sz w:val="22"/>
          <w:szCs w:val="22"/>
        </w:rPr>
      </w:pPr>
      <w:bookmarkStart w:id="0" w:name="_GoBack"/>
      <w:bookmarkEnd w:id="0"/>
    </w:p>
    <w:p w14:paraId="5D84CA77" w14:textId="77777777" w:rsidR="00D62AEC" w:rsidRPr="0006738B" w:rsidRDefault="00D62AEC" w:rsidP="00942462">
      <w:pPr>
        <w:jc w:val="center"/>
        <w:rPr>
          <w:b/>
          <w:sz w:val="22"/>
          <w:szCs w:val="22"/>
        </w:rPr>
      </w:pPr>
      <w:r w:rsidRPr="0006738B">
        <w:rPr>
          <w:b/>
          <w:sz w:val="22"/>
          <w:szCs w:val="22"/>
        </w:rPr>
        <w:t>SUPPORTING STATEMENT</w:t>
      </w:r>
    </w:p>
    <w:p w14:paraId="4A581CE8" w14:textId="77777777" w:rsidR="008B746B" w:rsidRPr="0006738B" w:rsidRDefault="008B746B" w:rsidP="0097024B">
      <w:pPr>
        <w:tabs>
          <w:tab w:val="left" w:pos="7455"/>
        </w:tabs>
        <w:ind w:left="288" w:hanging="288"/>
        <w:rPr>
          <w:sz w:val="22"/>
          <w:szCs w:val="22"/>
        </w:rPr>
      </w:pPr>
    </w:p>
    <w:p w14:paraId="3159DCC7" w14:textId="77777777" w:rsidR="00D62AEC" w:rsidRPr="0006738B" w:rsidRDefault="007E2F01" w:rsidP="0097024B">
      <w:pPr>
        <w:tabs>
          <w:tab w:val="left" w:pos="7455"/>
        </w:tabs>
        <w:ind w:left="288" w:hanging="288"/>
        <w:rPr>
          <w:b/>
          <w:sz w:val="22"/>
          <w:szCs w:val="22"/>
        </w:rPr>
      </w:pPr>
      <w:r w:rsidRPr="0006738B">
        <w:rPr>
          <w:b/>
          <w:sz w:val="22"/>
          <w:szCs w:val="22"/>
        </w:rPr>
        <w:t>A.</w:t>
      </w:r>
      <w:r w:rsidRPr="0006738B">
        <w:rPr>
          <w:b/>
          <w:sz w:val="22"/>
          <w:szCs w:val="22"/>
        </w:rPr>
        <w:tab/>
      </w:r>
      <w:r w:rsidR="00D62AEC" w:rsidRPr="0006738B">
        <w:rPr>
          <w:b/>
          <w:sz w:val="22"/>
          <w:szCs w:val="22"/>
        </w:rPr>
        <w:t>Justification:</w:t>
      </w:r>
      <w:r w:rsidR="009E4DAC" w:rsidRPr="0006738B">
        <w:rPr>
          <w:b/>
          <w:sz w:val="22"/>
          <w:szCs w:val="22"/>
        </w:rPr>
        <w:tab/>
      </w:r>
    </w:p>
    <w:p w14:paraId="5F7798BB" w14:textId="77777777" w:rsidR="00D62AEC" w:rsidRPr="0006738B" w:rsidRDefault="00D62AEC" w:rsidP="0097024B">
      <w:pPr>
        <w:ind w:left="288" w:hanging="288"/>
        <w:rPr>
          <w:sz w:val="22"/>
          <w:szCs w:val="22"/>
        </w:rPr>
      </w:pPr>
    </w:p>
    <w:p w14:paraId="0A2B20FE" w14:textId="27CD411C" w:rsidR="00D62AEC" w:rsidRPr="0006738B" w:rsidRDefault="0006476D" w:rsidP="00800733">
      <w:pPr>
        <w:ind w:left="360" w:hanging="360"/>
        <w:rPr>
          <w:sz w:val="22"/>
          <w:szCs w:val="22"/>
        </w:rPr>
      </w:pPr>
      <w:r w:rsidRPr="0006738B">
        <w:rPr>
          <w:sz w:val="22"/>
          <w:szCs w:val="22"/>
        </w:rPr>
        <w:t>1.</w:t>
      </w:r>
      <w:r w:rsidRPr="0006738B">
        <w:rPr>
          <w:sz w:val="22"/>
          <w:szCs w:val="22"/>
        </w:rPr>
        <w:tab/>
      </w:r>
      <w:r w:rsidR="00D62AEC" w:rsidRPr="0006738B">
        <w:rPr>
          <w:sz w:val="22"/>
          <w:szCs w:val="22"/>
        </w:rPr>
        <w:t xml:space="preserve">The rules and regulations contained in 47 CFR Part 1 Subpart J provide complaint and </w:t>
      </w:r>
      <w:r w:rsidRPr="0006738B">
        <w:rPr>
          <w:sz w:val="22"/>
          <w:szCs w:val="22"/>
        </w:rPr>
        <w:t xml:space="preserve">enforcement </w:t>
      </w:r>
      <w:r w:rsidR="00D62AEC" w:rsidRPr="0006738B">
        <w:rPr>
          <w:sz w:val="22"/>
          <w:szCs w:val="22"/>
        </w:rPr>
        <w:t xml:space="preserve">procedures to ensure that telecommunications carriers and cable </w:t>
      </w:r>
      <w:r w:rsidR="005D1A1B">
        <w:rPr>
          <w:sz w:val="22"/>
          <w:szCs w:val="22"/>
        </w:rPr>
        <w:t xml:space="preserve">television </w:t>
      </w:r>
      <w:r w:rsidR="00D62AEC" w:rsidRPr="0006738B">
        <w:rPr>
          <w:sz w:val="22"/>
          <w:szCs w:val="22"/>
        </w:rPr>
        <w:t>system operators have nondiscriminatory access to utility poles, ducts, conduits, and rights-of-way on rates, terms and condition</w:t>
      </w:r>
      <w:r w:rsidR="00665DB3" w:rsidRPr="0006738B">
        <w:rPr>
          <w:sz w:val="22"/>
          <w:szCs w:val="22"/>
        </w:rPr>
        <w:t>s that are just and reasonable.  They also provide complaint and enforcement procedures for incumbent local exchange carriers (</w:t>
      </w:r>
      <w:r w:rsidR="00EA4C99" w:rsidRPr="0006738B">
        <w:rPr>
          <w:sz w:val="22"/>
          <w:szCs w:val="22"/>
        </w:rPr>
        <w:t xml:space="preserve">incumbent </w:t>
      </w:r>
      <w:r w:rsidR="00676036" w:rsidRPr="0006738B">
        <w:rPr>
          <w:sz w:val="22"/>
          <w:szCs w:val="22"/>
        </w:rPr>
        <w:t xml:space="preserve">LECs, </w:t>
      </w:r>
      <w:r w:rsidR="00665DB3" w:rsidRPr="0006738B">
        <w:rPr>
          <w:sz w:val="22"/>
          <w:szCs w:val="22"/>
        </w:rPr>
        <w:t>as defined in 47 U.S.C. 251(h)) to ensure that the</w:t>
      </w:r>
      <w:r w:rsidR="005D1A1B">
        <w:rPr>
          <w:sz w:val="22"/>
          <w:szCs w:val="22"/>
        </w:rPr>
        <w:t xml:space="preserve"> </w:t>
      </w:r>
      <w:r w:rsidR="00665DB3" w:rsidRPr="0006738B">
        <w:rPr>
          <w:sz w:val="22"/>
          <w:szCs w:val="22"/>
        </w:rPr>
        <w:t>rates, terms, and conditions of their pole attachments are just and reasonable.</w:t>
      </w:r>
      <w:r w:rsidR="00D62AEC" w:rsidRPr="0006738B">
        <w:rPr>
          <w:sz w:val="22"/>
          <w:szCs w:val="22"/>
        </w:rPr>
        <w:t xml:space="preserve"> </w:t>
      </w:r>
    </w:p>
    <w:p w14:paraId="339D68B2" w14:textId="77777777" w:rsidR="0006476D" w:rsidRPr="0006738B" w:rsidRDefault="0006476D" w:rsidP="0097024B">
      <w:pPr>
        <w:pStyle w:val="ListParagraph"/>
        <w:ind w:left="288" w:hanging="288"/>
        <w:rPr>
          <w:sz w:val="22"/>
          <w:szCs w:val="22"/>
        </w:rPr>
      </w:pPr>
    </w:p>
    <w:p w14:paraId="38C645E3" w14:textId="77777777" w:rsidR="00DF5E42" w:rsidRPr="0006738B" w:rsidRDefault="00DF5E42" w:rsidP="00A40178">
      <w:pPr>
        <w:pStyle w:val="ListParagraph"/>
        <w:ind w:left="288"/>
        <w:rPr>
          <w:b/>
          <w:sz w:val="22"/>
          <w:szCs w:val="22"/>
        </w:rPr>
      </w:pPr>
      <w:r w:rsidRPr="0006738B">
        <w:rPr>
          <w:b/>
          <w:sz w:val="22"/>
          <w:szCs w:val="22"/>
        </w:rPr>
        <w:t>Existing Information Collection Requirements:</w:t>
      </w:r>
    </w:p>
    <w:p w14:paraId="2973EB69" w14:textId="77777777" w:rsidR="00DF5E42" w:rsidRPr="0006738B" w:rsidRDefault="00DF5E42" w:rsidP="0097024B">
      <w:pPr>
        <w:pStyle w:val="ListParagraph"/>
        <w:ind w:left="288" w:hanging="288"/>
        <w:rPr>
          <w:b/>
          <w:sz w:val="22"/>
          <w:szCs w:val="22"/>
        </w:rPr>
      </w:pPr>
    </w:p>
    <w:p w14:paraId="5F1ADBBB" w14:textId="37200BF7" w:rsidR="00D62AEC" w:rsidRPr="0006738B" w:rsidRDefault="005D1A1B" w:rsidP="008B746B">
      <w:pPr>
        <w:ind w:left="360"/>
        <w:rPr>
          <w:sz w:val="22"/>
          <w:szCs w:val="22"/>
        </w:rPr>
      </w:pPr>
      <w:r>
        <w:rPr>
          <w:sz w:val="22"/>
          <w:szCs w:val="22"/>
        </w:rPr>
        <w:t xml:space="preserve">Existing </w:t>
      </w:r>
      <w:r w:rsidR="00313DE1" w:rsidRPr="0006738B">
        <w:rPr>
          <w:sz w:val="22"/>
          <w:szCs w:val="22"/>
        </w:rPr>
        <w:t>OMB Collection No. 3060-0392</w:t>
      </w:r>
      <w:r>
        <w:rPr>
          <w:sz w:val="22"/>
          <w:szCs w:val="22"/>
        </w:rPr>
        <w:t xml:space="preserve"> trac</w:t>
      </w:r>
      <w:r w:rsidR="00313DE1" w:rsidRPr="0006738B">
        <w:rPr>
          <w:sz w:val="22"/>
          <w:szCs w:val="22"/>
        </w:rPr>
        <w:t>k</w:t>
      </w:r>
      <w:r w:rsidR="0035543B">
        <w:rPr>
          <w:sz w:val="22"/>
          <w:szCs w:val="22"/>
        </w:rPr>
        <w:t>s</w:t>
      </w:r>
      <w:r w:rsidR="00313DE1" w:rsidRPr="0006738B">
        <w:rPr>
          <w:sz w:val="22"/>
          <w:szCs w:val="22"/>
        </w:rPr>
        <w:t xml:space="preserve"> the paperwork burden</w:t>
      </w:r>
      <w:r w:rsidR="00EA4C99" w:rsidRPr="0006738B">
        <w:rPr>
          <w:sz w:val="22"/>
          <w:szCs w:val="22"/>
        </w:rPr>
        <w:t>s</w:t>
      </w:r>
      <w:r w:rsidR="00313DE1" w:rsidRPr="0006738B">
        <w:rPr>
          <w:sz w:val="22"/>
          <w:szCs w:val="22"/>
        </w:rPr>
        <w:t xml:space="preserve"> associated with </w:t>
      </w:r>
      <w:r>
        <w:rPr>
          <w:sz w:val="22"/>
          <w:szCs w:val="22"/>
        </w:rPr>
        <w:t>a number of the pole attachment complaint rules, specifically 47 CFR §§ 1.1403, 1.1404, 1.1406, 1.1414, 1.1417 and 1.1424.</w:t>
      </w:r>
      <w:r w:rsidRPr="0006738B">
        <w:rPr>
          <w:rStyle w:val="FootnoteReference"/>
          <w:sz w:val="22"/>
          <w:szCs w:val="22"/>
        </w:rPr>
        <w:footnoteReference w:id="1"/>
      </w:r>
      <w:r w:rsidRPr="0006738B">
        <w:rPr>
          <w:sz w:val="22"/>
          <w:szCs w:val="22"/>
        </w:rPr>
        <w:t xml:space="preserve"> </w:t>
      </w:r>
      <w:r>
        <w:rPr>
          <w:sz w:val="22"/>
          <w:szCs w:val="22"/>
        </w:rPr>
        <w:t xml:space="preserve">  The paperwork burdens for this collection were recently renewed in May 2018, with an expiration date of May 31, 2021.</w:t>
      </w:r>
      <w:r w:rsidR="00FB5ED4" w:rsidRPr="0006738B">
        <w:rPr>
          <w:rStyle w:val="FootnoteReference"/>
          <w:sz w:val="22"/>
          <w:szCs w:val="22"/>
        </w:rPr>
        <w:footnoteReference w:id="2"/>
      </w:r>
      <w:r w:rsidR="0068045D">
        <w:rPr>
          <w:sz w:val="22"/>
          <w:szCs w:val="22"/>
        </w:rPr>
        <w:t xml:space="preserve">  This submission is amending only the paperwork burdens associated with </w:t>
      </w:r>
      <w:r w:rsidR="00EF7CAE">
        <w:rPr>
          <w:sz w:val="22"/>
          <w:szCs w:val="22"/>
        </w:rPr>
        <w:t xml:space="preserve">revised </w:t>
      </w:r>
      <w:r w:rsidR="0068045D">
        <w:rPr>
          <w:sz w:val="22"/>
          <w:szCs w:val="22"/>
        </w:rPr>
        <w:t>47 CFR § 1.141</w:t>
      </w:r>
      <w:r w:rsidR="00EF7CAE">
        <w:rPr>
          <w:sz w:val="22"/>
          <w:szCs w:val="22"/>
        </w:rPr>
        <w:t>3</w:t>
      </w:r>
      <w:r w:rsidR="00313DE1" w:rsidRPr="0006738B">
        <w:rPr>
          <w:sz w:val="22"/>
          <w:szCs w:val="22"/>
        </w:rPr>
        <w:t xml:space="preserve">, which </w:t>
      </w:r>
      <w:r w:rsidR="0068045D">
        <w:rPr>
          <w:sz w:val="22"/>
          <w:szCs w:val="22"/>
        </w:rPr>
        <w:t>sets forth requirements for pole attachment complaints brought by incumbent LECs</w:t>
      </w:r>
      <w:r w:rsidR="006202DB" w:rsidRPr="0006738B">
        <w:rPr>
          <w:sz w:val="22"/>
          <w:szCs w:val="22"/>
        </w:rPr>
        <w:t>.</w:t>
      </w:r>
      <w:r w:rsidR="0068045D">
        <w:rPr>
          <w:rStyle w:val="FootnoteReference"/>
          <w:sz w:val="22"/>
          <w:szCs w:val="22"/>
        </w:rPr>
        <w:footnoteReference w:id="3"/>
      </w:r>
      <w:r w:rsidR="00D62AEC" w:rsidRPr="0006738B">
        <w:rPr>
          <w:sz w:val="22"/>
          <w:szCs w:val="22"/>
        </w:rPr>
        <w:t xml:space="preserve">  </w:t>
      </w:r>
      <w:r w:rsidR="0068045D">
        <w:rPr>
          <w:sz w:val="22"/>
          <w:szCs w:val="22"/>
        </w:rPr>
        <w:t>All other paperwork burdens associated with Collection No. 3060-0392 will remain the same.</w:t>
      </w:r>
    </w:p>
    <w:p w14:paraId="246C84CE" w14:textId="77777777" w:rsidR="00D62AEC" w:rsidRPr="0006738B" w:rsidRDefault="00D62AEC" w:rsidP="0097024B">
      <w:pPr>
        <w:ind w:left="288" w:hanging="288"/>
        <w:rPr>
          <w:sz w:val="22"/>
          <w:szCs w:val="22"/>
        </w:rPr>
      </w:pPr>
    </w:p>
    <w:p w14:paraId="722F8D94" w14:textId="77777777" w:rsidR="00DF5E42" w:rsidRPr="0006738B" w:rsidRDefault="00750E0F" w:rsidP="00A40178">
      <w:pPr>
        <w:ind w:left="288"/>
        <w:rPr>
          <w:b/>
          <w:sz w:val="22"/>
          <w:szCs w:val="22"/>
        </w:rPr>
      </w:pPr>
      <w:r w:rsidRPr="0006738B">
        <w:rPr>
          <w:b/>
          <w:sz w:val="22"/>
          <w:szCs w:val="22"/>
        </w:rPr>
        <w:t xml:space="preserve">Modified </w:t>
      </w:r>
      <w:r w:rsidR="00DF5E42" w:rsidRPr="0006738B">
        <w:rPr>
          <w:b/>
          <w:sz w:val="22"/>
          <w:szCs w:val="22"/>
        </w:rPr>
        <w:t xml:space="preserve">Information Requirements: </w:t>
      </w:r>
    </w:p>
    <w:p w14:paraId="25575031" w14:textId="77777777" w:rsidR="009C7D59" w:rsidRPr="0006738B" w:rsidRDefault="009C7D59" w:rsidP="008B5E01">
      <w:pPr>
        <w:rPr>
          <w:color w:val="020100"/>
          <w:sz w:val="22"/>
          <w:szCs w:val="22"/>
        </w:rPr>
      </w:pPr>
    </w:p>
    <w:p w14:paraId="21AC3128" w14:textId="6E5B8216" w:rsidR="00F3456B" w:rsidRPr="0006738B" w:rsidRDefault="00EA4C99" w:rsidP="00F3456B">
      <w:pPr>
        <w:ind w:left="288"/>
        <w:rPr>
          <w:color w:val="020100"/>
          <w:spacing w:val="29"/>
          <w:position w:val="11"/>
          <w:sz w:val="22"/>
          <w:szCs w:val="22"/>
        </w:rPr>
      </w:pPr>
      <w:r w:rsidRPr="0006738B">
        <w:rPr>
          <w:sz w:val="22"/>
          <w:szCs w:val="22"/>
        </w:rPr>
        <w:t xml:space="preserve">In </w:t>
      </w:r>
      <w:r w:rsidR="00F3456B" w:rsidRPr="0006738B">
        <w:rPr>
          <w:color w:val="020100"/>
          <w:sz w:val="22"/>
          <w:szCs w:val="22"/>
        </w:rPr>
        <w:t xml:space="preserve">the </w:t>
      </w:r>
      <w:r w:rsidR="00FB5ED4">
        <w:rPr>
          <w:color w:val="020100"/>
          <w:sz w:val="22"/>
          <w:szCs w:val="22"/>
        </w:rPr>
        <w:t xml:space="preserve">2018 Pole Attachment Order, the </w:t>
      </w:r>
      <w:r w:rsidR="00F3456B" w:rsidRPr="0006738B">
        <w:rPr>
          <w:color w:val="020100"/>
          <w:sz w:val="22"/>
          <w:szCs w:val="22"/>
        </w:rPr>
        <w:t>Commission, among other things,</w:t>
      </w:r>
      <w:r w:rsidRPr="0006738B">
        <w:rPr>
          <w:color w:val="020100"/>
          <w:sz w:val="22"/>
          <w:szCs w:val="22"/>
        </w:rPr>
        <w:t xml:space="preserve"> </w:t>
      </w:r>
      <w:r w:rsidR="0006738B" w:rsidRPr="0006738B">
        <w:rPr>
          <w:color w:val="020100"/>
          <w:sz w:val="22"/>
          <w:szCs w:val="22"/>
        </w:rPr>
        <w:t>revised section 1.14</w:t>
      </w:r>
      <w:r w:rsidR="00FD58FD">
        <w:rPr>
          <w:color w:val="020100"/>
          <w:sz w:val="22"/>
          <w:szCs w:val="22"/>
        </w:rPr>
        <w:t>1</w:t>
      </w:r>
      <w:r w:rsidR="00EF7CAE">
        <w:rPr>
          <w:color w:val="020100"/>
          <w:sz w:val="22"/>
          <w:szCs w:val="22"/>
        </w:rPr>
        <w:t>3</w:t>
      </w:r>
      <w:r w:rsidR="0068045D">
        <w:rPr>
          <w:color w:val="020100"/>
          <w:sz w:val="22"/>
          <w:szCs w:val="22"/>
        </w:rPr>
        <w:t xml:space="preserve"> </w:t>
      </w:r>
      <w:r w:rsidR="00FD58FD">
        <w:rPr>
          <w:sz w:val="22"/>
          <w:szCs w:val="22"/>
        </w:rPr>
        <w:t xml:space="preserve">of its rules </w:t>
      </w:r>
      <w:r w:rsidR="0006738B" w:rsidRPr="0006738B">
        <w:rPr>
          <w:color w:val="020100"/>
          <w:sz w:val="22"/>
          <w:szCs w:val="22"/>
        </w:rPr>
        <w:t xml:space="preserve">to </w:t>
      </w:r>
      <w:r w:rsidRPr="0006738B">
        <w:rPr>
          <w:sz w:val="22"/>
          <w:szCs w:val="22"/>
        </w:rPr>
        <w:t xml:space="preserve">establish a presumption that an incumbent LEC is similarly situated to an attacher that is a telecommunications carrier or a cable television system providing telecommunications services for purposes of obtaining comparable pole attachment rates, terms, or conditions.  </w:t>
      </w:r>
      <w:r w:rsidR="0006738B">
        <w:rPr>
          <w:rFonts w:eastAsia="Calibri"/>
          <w:sz w:val="22"/>
          <w:szCs w:val="22"/>
        </w:rPr>
        <w:t>The Commission also established</w:t>
      </w:r>
      <w:r w:rsidR="0006738B" w:rsidRPr="0006738B">
        <w:rPr>
          <w:rFonts w:eastAsia="Calibri"/>
          <w:sz w:val="22"/>
          <w:szCs w:val="22"/>
        </w:rPr>
        <w:t xml:space="preserve"> a presumption that </w:t>
      </w:r>
      <w:r w:rsidR="00A87FAB">
        <w:rPr>
          <w:rFonts w:eastAsia="Calibri"/>
          <w:sz w:val="22"/>
          <w:szCs w:val="22"/>
        </w:rPr>
        <w:t xml:space="preserve">an </w:t>
      </w:r>
      <w:r w:rsidR="0006738B" w:rsidRPr="0006738B">
        <w:rPr>
          <w:rFonts w:eastAsia="Calibri"/>
          <w:sz w:val="22"/>
          <w:szCs w:val="22"/>
        </w:rPr>
        <w:t xml:space="preserve">incumbent </w:t>
      </w:r>
      <w:r w:rsidR="0006738B">
        <w:rPr>
          <w:rFonts w:eastAsia="Calibri"/>
          <w:sz w:val="22"/>
          <w:szCs w:val="22"/>
        </w:rPr>
        <w:t xml:space="preserve">LEC </w:t>
      </w:r>
      <w:r w:rsidR="0006738B" w:rsidRPr="0006738B">
        <w:rPr>
          <w:rFonts w:eastAsia="Calibri"/>
          <w:sz w:val="22"/>
          <w:szCs w:val="22"/>
        </w:rPr>
        <w:t xml:space="preserve">may be charged no higher than the </w:t>
      </w:r>
      <w:r w:rsidR="00D00B28">
        <w:rPr>
          <w:rFonts w:eastAsia="Calibri"/>
          <w:sz w:val="22"/>
          <w:szCs w:val="22"/>
        </w:rPr>
        <w:t xml:space="preserve">Commission-defined pole attachment </w:t>
      </w:r>
      <w:r w:rsidR="0006738B" w:rsidRPr="0006738B">
        <w:rPr>
          <w:rFonts w:eastAsia="Calibri"/>
          <w:sz w:val="22"/>
          <w:szCs w:val="22"/>
        </w:rPr>
        <w:t xml:space="preserve">rate </w:t>
      </w:r>
      <w:r w:rsidR="00D00B28">
        <w:rPr>
          <w:rFonts w:eastAsia="Calibri"/>
          <w:sz w:val="22"/>
          <w:szCs w:val="22"/>
        </w:rPr>
        <w:t xml:space="preserve">for telecommunications carriers, as </w:t>
      </w:r>
      <w:r w:rsidR="0006738B" w:rsidRPr="0006738B">
        <w:rPr>
          <w:rFonts w:eastAsia="Calibri"/>
          <w:sz w:val="22"/>
          <w:szCs w:val="22"/>
        </w:rPr>
        <w:t xml:space="preserve">determined in accordance with </w:t>
      </w:r>
      <w:r w:rsidR="00FB5ED4">
        <w:rPr>
          <w:rFonts w:eastAsia="Calibri"/>
          <w:sz w:val="22"/>
          <w:szCs w:val="22"/>
        </w:rPr>
        <w:t xml:space="preserve">47 CFR § </w:t>
      </w:r>
      <w:r w:rsidR="0006738B" w:rsidRPr="0006738B">
        <w:rPr>
          <w:rFonts w:eastAsia="Calibri"/>
          <w:sz w:val="22"/>
          <w:szCs w:val="22"/>
        </w:rPr>
        <w:t xml:space="preserve">1.1406(e)(2). </w:t>
      </w:r>
      <w:r w:rsidR="00D00B28">
        <w:rPr>
          <w:rFonts w:eastAsia="Calibri"/>
          <w:sz w:val="22"/>
          <w:szCs w:val="22"/>
        </w:rPr>
        <w:t xml:space="preserve"> </w:t>
      </w:r>
      <w:r w:rsidRPr="0006738B">
        <w:rPr>
          <w:sz w:val="22"/>
          <w:szCs w:val="22"/>
        </w:rPr>
        <w:t>To rebut the</w:t>
      </w:r>
      <w:r w:rsidR="00D00B28">
        <w:rPr>
          <w:sz w:val="22"/>
          <w:szCs w:val="22"/>
        </w:rPr>
        <w:t>se</w:t>
      </w:r>
      <w:r w:rsidRPr="0006738B">
        <w:rPr>
          <w:sz w:val="22"/>
          <w:szCs w:val="22"/>
        </w:rPr>
        <w:t xml:space="preserve"> presumption</w:t>
      </w:r>
      <w:r w:rsidR="00D00B28">
        <w:rPr>
          <w:sz w:val="22"/>
          <w:szCs w:val="22"/>
        </w:rPr>
        <w:t>s</w:t>
      </w:r>
      <w:r w:rsidRPr="0006738B">
        <w:rPr>
          <w:sz w:val="22"/>
          <w:szCs w:val="22"/>
        </w:rPr>
        <w:t xml:space="preserve">, the utility must demonstrate by clear and convincing evidence that the incumbent LEC receives benefits under its pole attachment agreement with a utility that materially advantages the incumbent LEC over other telecommunications carriers or cable television systems providing telecommunications services on the same poles.  Such a presumption applies only to pole attachment agreements entered into or renewed after the effective date of the Order.  </w:t>
      </w:r>
    </w:p>
    <w:p w14:paraId="65E69EB3" w14:textId="77777777" w:rsidR="00026B78" w:rsidRPr="0006738B" w:rsidRDefault="00026B78" w:rsidP="008B5E01">
      <w:pPr>
        <w:rPr>
          <w:sz w:val="22"/>
          <w:szCs w:val="22"/>
        </w:rPr>
      </w:pPr>
    </w:p>
    <w:p w14:paraId="5B632AB1" w14:textId="087AFD09" w:rsidR="009412ED" w:rsidRPr="0006738B" w:rsidRDefault="00FB5ED4" w:rsidP="00FB5ED4">
      <w:pPr>
        <w:ind w:left="288"/>
        <w:rPr>
          <w:sz w:val="22"/>
          <w:szCs w:val="22"/>
        </w:rPr>
      </w:pPr>
      <w:r>
        <w:rPr>
          <w:sz w:val="22"/>
          <w:szCs w:val="22"/>
        </w:rPr>
        <w:t>In this submission, the Commission is reporting a change in the paperwork burdens as a result of its amendment to 47 CFR § 141</w:t>
      </w:r>
      <w:r w:rsidR="00EF7CAE">
        <w:rPr>
          <w:sz w:val="22"/>
          <w:szCs w:val="22"/>
        </w:rPr>
        <w:t>3</w:t>
      </w:r>
      <w:r>
        <w:rPr>
          <w:sz w:val="22"/>
          <w:szCs w:val="22"/>
        </w:rPr>
        <w:t xml:space="preserve"> (as stated above, all other paperwork burdens associated with Collection No. 3060-0392 will remain the same).  As a result, t</w:t>
      </w:r>
      <w:r w:rsidR="009412ED" w:rsidRPr="0006738B">
        <w:rPr>
          <w:sz w:val="22"/>
          <w:szCs w:val="22"/>
        </w:rPr>
        <w:t xml:space="preserve">he Commission is requesting OMB approval for a revision to </w:t>
      </w:r>
      <w:r w:rsidR="00313DE1" w:rsidRPr="0006738B">
        <w:rPr>
          <w:sz w:val="22"/>
          <w:szCs w:val="22"/>
        </w:rPr>
        <w:t>the</w:t>
      </w:r>
      <w:r w:rsidR="009412ED" w:rsidRPr="0006738B">
        <w:rPr>
          <w:sz w:val="22"/>
          <w:szCs w:val="22"/>
        </w:rPr>
        <w:t xml:space="preserve"> information collection in </w:t>
      </w:r>
      <w:r w:rsidR="00313DE1" w:rsidRPr="0006738B">
        <w:rPr>
          <w:sz w:val="22"/>
          <w:szCs w:val="22"/>
        </w:rPr>
        <w:t>3060-0392, such approval to expire on May 31, 2021</w:t>
      </w:r>
      <w:r w:rsidR="0006738B" w:rsidRPr="0006738B">
        <w:rPr>
          <w:sz w:val="22"/>
          <w:szCs w:val="22"/>
        </w:rPr>
        <w:t xml:space="preserve"> </w:t>
      </w:r>
      <w:r w:rsidR="00313DE1" w:rsidRPr="0006738B">
        <w:rPr>
          <w:sz w:val="22"/>
          <w:szCs w:val="22"/>
        </w:rPr>
        <w:t xml:space="preserve">when the rest of the paperwork burdens associated with </w:t>
      </w:r>
      <w:r w:rsidR="00B2416C">
        <w:rPr>
          <w:sz w:val="22"/>
          <w:szCs w:val="22"/>
        </w:rPr>
        <w:t>C</w:t>
      </w:r>
      <w:r w:rsidR="00313DE1" w:rsidRPr="0006738B">
        <w:rPr>
          <w:sz w:val="22"/>
          <w:szCs w:val="22"/>
        </w:rPr>
        <w:t>ollection No. 3060-0392 expire</w:t>
      </w:r>
      <w:r w:rsidR="009412ED" w:rsidRPr="0006738B">
        <w:rPr>
          <w:sz w:val="22"/>
          <w:szCs w:val="22"/>
        </w:rPr>
        <w:t>.</w:t>
      </w:r>
    </w:p>
    <w:p w14:paraId="0669B733" w14:textId="77777777" w:rsidR="009412ED" w:rsidRPr="0006738B" w:rsidRDefault="009412ED" w:rsidP="00A40178">
      <w:pPr>
        <w:ind w:left="288"/>
        <w:rPr>
          <w:sz w:val="22"/>
          <w:szCs w:val="22"/>
        </w:rPr>
      </w:pPr>
    </w:p>
    <w:p w14:paraId="20A5CC69" w14:textId="44146230" w:rsidR="009412ED" w:rsidRPr="0006738B" w:rsidRDefault="009412ED" w:rsidP="00495153">
      <w:pPr>
        <w:ind w:left="288"/>
        <w:rPr>
          <w:color w:val="000000"/>
          <w:sz w:val="22"/>
          <w:szCs w:val="22"/>
        </w:rPr>
      </w:pPr>
      <w:r w:rsidRPr="0006738B">
        <w:rPr>
          <w:color w:val="000000"/>
          <w:sz w:val="22"/>
          <w:szCs w:val="22"/>
        </w:rPr>
        <w:lastRenderedPageBreak/>
        <w:t xml:space="preserve">This </w:t>
      </w:r>
      <w:r w:rsidR="00FB5ED4">
        <w:rPr>
          <w:color w:val="000000"/>
          <w:sz w:val="22"/>
          <w:szCs w:val="22"/>
        </w:rPr>
        <w:t xml:space="preserve">revision to an existing </w:t>
      </w:r>
      <w:r w:rsidRPr="0006738B">
        <w:rPr>
          <w:color w:val="000000"/>
          <w:sz w:val="22"/>
          <w:szCs w:val="22"/>
        </w:rPr>
        <w:t>information collection does not affect individuals or households; thus, there are no impacts under the Privacy Act.</w:t>
      </w:r>
    </w:p>
    <w:p w14:paraId="139FAA6B" w14:textId="77777777" w:rsidR="009412ED" w:rsidRPr="0006738B" w:rsidRDefault="009412ED" w:rsidP="009412ED">
      <w:pPr>
        <w:ind w:left="360"/>
        <w:rPr>
          <w:sz w:val="22"/>
          <w:szCs w:val="22"/>
        </w:rPr>
      </w:pPr>
    </w:p>
    <w:p w14:paraId="6F598F47" w14:textId="77777777" w:rsidR="009412ED" w:rsidRPr="0006738B" w:rsidRDefault="009412ED" w:rsidP="00495153">
      <w:pPr>
        <w:ind w:left="288"/>
        <w:rPr>
          <w:sz w:val="22"/>
          <w:szCs w:val="22"/>
        </w:rPr>
      </w:pPr>
      <w:r w:rsidRPr="0006738B">
        <w:rPr>
          <w:sz w:val="22"/>
          <w:szCs w:val="22"/>
        </w:rPr>
        <w:t xml:space="preserve">Statutory authority for this collection of information is contained in </w:t>
      </w:r>
      <w:r w:rsidR="0006738B" w:rsidRPr="0006738B">
        <w:rPr>
          <w:sz w:val="22"/>
          <w:szCs w:val="22"/>
        </w:rPr>
        <w:t>s</w:t>
      </w:r>
      <w:r w:rsidRPr="0006738B">
        <w:rPr>
          <w:sz w:val="22"/>
          <w:szCs w:val="22"/>
        </w:rPr>
        <w:t>ection</w:t>
      </w:r>
      <w:r w:rsidR="00EA4C99" w:rsidRPr="0006738B">
        <w:rPr>
          <w:sz w:val="22"/>
          <w:szCs w:val="22"/>
        </w:rPr>
        <w:t xml:space="preserve"> </w:t>
      </w:r>
      <w:r w:rsidRPr="0006738B">
        <w:rPr>
          <w:sz w:val="22"/>
          <w:szCs w:val="22"/>
        </w:rPr>
        <w:t xml:space="preserve">224 of the Communications Act of 1934, as amended.  </w:t>
      </w:r>
    </w:p>
    <w:p w14:paraId="59DA90C6" w14:textId="77777777" w:rsidR="009412ED" w:rsidRPr="0006738B" w:rsidRDefault="009412ED" w:rsidP="00A40178">
      <w:pPr>
        <w:ind w:left="288"/>
        <w:rPr>
          <w:sz w:val="22"/>
          <w:szCs w:val="22"/>
        </w:rPr>
      </w:pPr>
    </w:p>
    <w:p w14:paraId="30F0F10B" w14:textId="23BEA5D3" w:rsidR="00D62AEC" w:rsidRPr="0006738B" w:rsidRDefault="00D62AEC" w:rsidP="00800733">
      <w:pPr>
        <w:ind w:left="360" w:hanging="360"/>
        <w:rPr>
          <w:sz w:val="22"/>
          <w:szCs w:val="22"/>
        </w:rPr>
      </w:pPr>
      <w:r w:rsidRPr="0006738B">
        <w:rPr>
          <w:sz w:val="22"/>
          <w:szCs w:val="22"/>
        </w:rPr>
        <w:t xml:space="preserve">2.  </w:t>
      </w:r>
      <w:r w:rsidR="00E66220" w:rsidRPr="0006738B">
        <w:rPr>
          <w:sz w:val="22"/>
          <w:szCs w:val="22"/>
        </w:rPr>
        <w:t xml:space="preserve"> </w:t>
      </w:r>
      <w:r w:rsidRPr="0006738B">
        <w:rPr>
          <w:sz w:val="22"/>
          <w:szCs w:val="22"/>
        </w:rPr>
        <w:t>Th</w:t>
      </w:r>
      <w:r w:rsidR="00FB5ED4">
        <w:rPr>
          <w:sz w:val="22"/>
          <w:szCs w:val="22"/>
        </w:rPr>
        <w:t>e</w:t>
      </w:r>
      <w:r w:rsidRPr="0006738B">
        <w:rPr>
          <w:sz w:val="22"/>
          <w:szCs w:val="22"/>
        </w:rPr>
        <w:t xml:space="preserve"> information </w:t>
      </w:r>
      <w:r w:rsidR="00FB5ED4">
        <w:rPr>
          <w:sz w:val="22"/>
          <w:szCs w:val="22"/>
        </w:rPr>
        <w:t>required as a result of the revision to 47 CFR § 1.141</w:t>
      </w:r>
      <w:r w:rsidR="00EF7CAE">
        <w:rPr>
          <w:sz w:val="22"/>
          <w:szCs w:val="22"/>
        </w:rPr>
        <w:t>3</w:t>
      </w:r>
      <w:r w:rsidR="00FB5ED4">
        <w:rPr>
          <w:sz w:val="22"/>
          <w:szCs w:val="22"/>
        </w:rPr>
        <w:t xml:space="preserve"> </w:t>
      </w:r>
      <w:r w:rsidRPr="0006738B">
        <w:rPr>
          <w:sz w:val="22"/>
          <w:szCs w:val="22"/>
        </w:rPr>
        <w:t xml:space="preserve">will be used by </w:t>
      </w:r>
      <w:r w:rsidR="00C7023F">
        <w:rPr>
          <w:sz w:val="22"/>
          <w:szCs w:val="22"/>
        </w:rPr>
        <w:t xml:space="preserve">the </w:t>
      </w:r>
      <w:r w:rsidR="00EA4C99" w:rsidRPr="0006738B">
        <w:rPr>
          <w:sz w:val="22"/>
          <w:szCs w:val="22"/>
        </w:rPr>
        <w:t>Commission t</w:t>
      </w:r>
      <w:r w:rsidRPr="0006738B">
        <w:rPr>
          <w:sz w:val="22"/>
          <w:szCs w:val="22"/>
        </w:rPr>
        <w:t xml:space="preserve">o hear and resolve </w:t>
      </w:r>
      <w:r w:rsidR="0006738B" w:rsidRPr="0006738B">
        <w:rPr>
          <w:sz w:val="22"/>
          <w:szCs w:val="22"/>
        </w:rPr>
        <w:t xml:space="preserve">pole attachment </w:t>
      </w:r>
      <w:r w:rsidRPr="0006738B">
        <w:rPr>
          <w:sz w:val="22"/>
          <w:szCs w:val="22"/>
        </w:rPr>
        <w:t xml:space="preserve">complaints </w:t>
      </w:r>
      <w:r w:rsidR="00EA4C99" w:rsidRPr="0006738B">
        <w:rPr>
          <w:sz w:val="22"/>
          <w:szCs w:val="22"/>
        </w:rPr>
        <w:t>brought by incumbent LECs against utility pole owners.  The i</w:t>
      </w:r>
      <w:r w:rsidRPr="0006738B">
        <w:rPr>
          <w:sz w:val="22"/>
          <w:szCs w:val="22"/>
        </w:rPr>
        <w:t xml:space="preserve">nformation </w:t>
      </w:r>
      <w:r w:rsidR="00EA4C99" w:rsidRPr="0006738B">
        <w:rPr>
          <w:sz w:val="22"/>
          <w:szCs w:val="22"/>
        </w:rPr>
        <w:t xml:space="preserve">collected will be </w:t>
      </w:r>
      <w:r w:rsidRPr="0006738B">
        <w:rPr>
          <w:sz w:val="22"/>
          <w:szCs w:val="22"/>
        </w:rPr>
        <w:t xml:space="preserve">used to determine the merits of the </w:t>
      </w:r>
      <w:r w:rsidR="00EA4C99" w:rsidRPr="0006738B">
        <w:rPr>
          <w:sz w:val="22"/>
          <w:szCs w:val="22"/>
        </w:rPr>
        <w:t xml:space="preserve">complaints regarding just and reasonable rates, terms, and conditions for </w:t>
      </w:r>
      <w:r w:rsidR="0006738B" w:rsidRPr="0006738B">
        <w:rPr>
          <w:sz w:val="22"/>
          <w:szCs w:val="22"/>
        </w:rPr>
        <w:t xml:space="preserve">incumbent LEC </w:t>
      </w:r>
      <w:r w:rsidR="00EA4C99" w:rsidRPr="0006738B">
        <w:rPr>
          <w:sz w:val="22"/>
          <w:szCs w:val="22"/>
        </w:rPr>
        <w:t>pole attachments.</w:t>
      </w:r>
    </w:p>
    <w:p w14:paraId="265C092A" w14:textId="77777777" w:rsidR="00D62AEC" w:rsidRPr="0006738B" w:rsidRDefault="00D62AEC" w:rsidP="00800733">
      <w:pPr>
        <w:ind w:left="360" w:hanging="360"/>
        <w:rPr>
          <w:sz w:val="22"/>
          <w:szCs w:val="22"/>
        </w:rPr>
      </w:pPr>
    </w:p>
    <w:p w14:paraId="33D865C1" w14:textId="77777777" w:rsidR="001D6017" w:rsidRPr="0006738B" w:rsidRDefault="00D62AEC" w:rsidP="001D6017">
      <w:pPr>
        <w:ind w:left="360" w:hanging="360"/>
        <w:rPr>
          <w:sz w:val="22"/>
          <w:szCs w:val="22"/>
        </w:rPr>
      </w:pPr>
      <w:r w:rsidRPr="0006738B">
        <w:rPr>
          <w:sz w:val="22"/>
          <w:szCs w:val="22"/>
        </w:rPr>
        <w:t xml:space="preserve">3. </w:t>
      </w:r>
      <w:r w:rsidR="001D6017" w:rsidRPr="0006738B">
        <w:rPr>
          <w:sz w:val="22"/>
          <w:szCs w:val="22"/>
        </w:rPr>
        <w:t xml:space="preserve">  Complainants and respondents </w:t>
      </w:r>
      <w:r w:rsidR="00EA4C99" w:rsidRPr="0006738B">
        <w:rPr>
          <w:sz w:val="22"/>
          <w:szCs w:val="22"/>
        </w:rPr>
        <w:t xml:space="preserve">involved in </w:t>
      </w:r>
      <w:r w:rsidR="001D6017" w:rsidRPr="0006738B">
        <w:rPr>
          <w:sz w:val="22"/>
          <w:szCs w:val="22"/>
        </w:rPr>
        <w:t xml:space="preserve">pole attachment complaints and subsequent pleadings are required to file each document electronically through the </w:t>
      </w:r>
      <w:r w:rsidR="00EA4C99" w:rsidRPr="0006738B">
        <w:rPr>
          <w:sz w:val="22"/>
          <w:szCs w:val="22"/>
        </w:rPr>
        <w:t>Commission’s online electronic filing system</w:t>
      </w:r>
      <w:r w:rsidR="0073787E" w:rsidRPr="0006738B">
        <w:rPr>
          <w:sz w:val="22"/>
          <w:szCs w:val="22"/>
        </w:rPr>
        <w:t xml:space="preserve"> (ECFS)</w:t>
      </w:r>
      <w:r w:rsidR="00EA4C99" w:rsidRPr="0006738B">
        <w:rPr>
          <w:sz w:val="22"/>
          <w:szCs w:val="22"/>
        </w:rPr>
        <w:t xml:space="preserve">, </w:t>
      </w:r>
      <w:r w:rsidR="00F3456B" w:rsidRPr="0006738B">
        <w:rPr>
          <w:sz w:val="22"/>
          <w:szCs w:val="22"/>
        </w:rPr>
        <w:t>unless a filing is confidential in which case the materials are to be hand-delivered</w:t>
      </w:r>
      <w:r w:rsidR="00EA4C99" w:rsidRPr="0006738B">
        <w:rPr>
          <w:sz w:val="22"/>
          <w:szCs w:val="22"/>
        </w:rPr>
        <w:t xml:space="preserve"> to the Commission</w:t>
      </w:r>
      <w:r w:rsidR="00F3456B" w:rsidRPr="0006738B">
        <w:rPr>
          <w:sz w:val="22"/>
          <w:szCs w:val="22"/>
        </w:rPr>
        <w:t>.  All standard, non-confidential</w:t>
      </w:r>
      <w:r w:rsidR="001D6017" w:rsidRPr="0006738B">
        <w:rPr>
          <w:sz w:val="22"/>
          <w:szCs w:val="22"/>
        </w:rPr>
        <w:t xml:space="preserve"> filings should be submitted through ECFS</w:t>
      </w:r>
      <w:r w:rsidR="0006738B" w:rsidRPr="0006738B">
        <w:rPr>
          <w:sz w:val="22"/>
          <w:szCs w:val="22"/>
        </w:rPr>
        <w:t>,</w:t>
      </w:r>
      <w:r w:rsidR="001D6017" w:rsidRPr="0006738B">
        <w:rPr>
          <w:sz w:val="22"/>
          <w:szCs w:val="22"/>
        </w:rPr>
        <w:t xml:space="preserve"> which can be accessed at </w:t>
      </w:r>
      <w:hyperlink r:id="rId9" w:history="1">
        <w:r w:rsidR="001D6017" w:rsidRPr="0006738B">
          <w:rPr>
            <w:rStyle w:val="Hyperlink"/>
            <w:sz w:val="22"/>
            <w:szCs w:val="22"/>
          </w:rPr>
          <w:t>http://apps.fcc.gov/ecfs/</w:t>
        </w:r>
      </w:hyperlink>
      <w:r w:rsidR="001D6017" w:rsidRPr="0006738B">
        <w:rPr>
          <w:sz w:val="22"/>
          <w:szCs w:val="22"/>
        </w:rPr>
        <w:t xml:space="preserve">.  </w:t>
      </w:r>
    </w:p>
    <w:p w14:paraId="0FC45A42" w14:textId="77777777" w:rsidR="00D62AEC" w:rsidRPr="0006738B" w:rsidRDefault="00D62AEC" w:rsidP="00800733">
      <w:pPr>
        <w:ind w:left="360" w:hanging="360"/>
        <w:rPr>
          <w:sz w:val="22"/>
          <w:szCs w:val="22"/>
        </w:rPr>
      </w:pPr>
    </w:p>
    <w:p w14:paraId="7AC751D7" w14:textId="4053ADE1" w:rsidR="00D62AEC" w:rsidRPr="0006738B" w:rsidRDefault="00D62AEC" w:rsidP="00800733">
      <w:pPr>
        <w:tabs>
          <w:tab w:val="left" w:pos="360"/>
        </w:tabs>
        <w:ind w:left="360" w:hanging="360"/>
        <w:rPr>
          <w:sz w:val="22"/>
          <w:szCs w:val="22"/>
        </w:rPr>
      </w:pPr>
      <w:r w:rsidRPr="0006738B">
        <w:rPr>
          <w:sz w:val="22"/>
          <w:szCs w:val="22"/>
        </w:rPr>
        <w:t xml:space="preserve">4.  </w:t>
      </w:r>
      <w:r w:rsidR="00766281" w:rsidRPr="0006738B">
        <w:rPr>
          <w:sz w:val="22"/>
          <w:szCs w:val="22"/>
        </w:rPr>
        <w:tab/>
      </w:r>
      <w:r w:rsidRPr="0006738B">
        <w:rPr>
          <w:sz w:val="22"/>
          <w:szCs w:val="22"/>
        </w:rPr>
        <w:t xml:space="preserve">The information </w:t>
      </w:r>
      <w:r w:rsidR="00FB5ED4">
        <w:rPr>
          <w:sz w:val="22"/>
          <w:szCs w:val="22"/>
        </w:rPr>
        <w:t xml:space="preserve">requested in this revision </w:t>
      </w:r>
      <w:r w:rsidRPr="0006738B">
        <w:rPr>
          <w:sz w:val="22"/>
          <w:szCs w:val="22"/>
        </w:rPr>
        <w:t>is not available elsewhere.  It was created specifically to meet the requirements in Section 224</w:t>
      </w:r>
      <w:r w:rsidR="00D00B28">
        <w:rPr>
          <w:sz w:val="22"/>
          <w:szCs w:val="22"/>
        </w:rPr>
        <w:t xml:space="preserve"> to ensure just and reasonable rates, terms, and conditions for utility pole attachments</w:t>
      </w:r>
      <w:r w:rsidRPr="0006738B">
        <w:rPr>
          <w:sz w:val="22"/>
          <w:szCs w:val="22"/>
        </w:rPr>
        <w:t>.  The information requested is either in the sole possession of the entity from whom it is requested or the entity that is in the best position to have the most updated information.</w:t>
      </w:r>
    </w:p>
    <w:p w14:paraId="4B9BAA54" w14:textId="77777777" w:rsidR="00D62AEC" w:rsidRPr="0006738B" w:rsidRDefault="00D62AEC" w:rsidP="00800733">
      <w:pPr>
        <w:tabs>
          <w:tab w:val="left" w:pos="360"/>
        </w:tabs>
        <w:ind w:left="360" w:hanging="360"/>
        <w:rPr>
          <w:sz w:val="22"/>
          <w:szCs w:val="22"/>
        </w:rPr>
      </w:pPr>
    </w:p>
    <w:p w14:paraId="2DE230DC" w14:textId="6BE31BFA" w:rsidR="00D62AEC" w:rsidRPr="0006738B" w:rsidRDefault="00D62AEC" w:rsidP="00800733">
      <w:pPr>
        <w:tabs>
          <w:tab w:val="left" w:pos="360"/>
        </w:tabs>
        <w:ind w:left="360" w:hanging="360"/>
        <w:rPr>
          <w:sz w:val="22"/>
          <w:szCs w:val="22"/>
        </w:rPr>
      </w:pPr>
      <w:r w:rsidRPr="0006738B">
        <w:rPr>
          <w:sz w:val="22"/>
          <w:szCs w:val="22"/>
        </w:rPr>
        <w:t xml:space="preserve">5.  </w:t>
      </w:r>
      <w:r w:rsidR="00766281" w:rsidRPr="0006738B">
        <w:rPr>
          <w:sz w:val="22"/>
          <w:szCs w:val="22"/>
        </w:rPr>
        <w:tab/>
      </w:r>
      <w:r w:rsidRPr="0006738B">
        <w:rPr>
          <w:sz w:val="22"/>
          <w:szCs w:val="22"/>
        </w:rPr>
        <w:t xml:space="preserve">This </w:t>
      </w:r>
      <w:r w:rsidR="00FB5ED4">
        <w:rPr>
          <w:sz w:val="22"/>
          <w:szCs w:val="22"/>
        </w:rPr>
        <w:t xml:space="preserve">revision </w:t>
      </w:r>
      <w:r w:rsidRPr="0006738B">
        <w:rPr>
          <w:sz w:val="22"/>
          <w:szCs w:val="22"/>
        </w:rPr>
        <w:t xml:space="preserve">may have an impact on small </w:t>
      </w:r>
      <w:r w:rsidR="00D00B28">
        <w:rPr>
          <w:sz w:val="22"/>
          <w:szCs w:val="22"/>
        </w:rPr>
        <w:t>utilities</w:t>
      </w:r>
      <w:r w:rsidRPr="0006738B">
        <w:rPr>
          <w:sz w:val="22"/>
          <w:szCs w:val="22"/>
        </w:rPr>
        <w:t xml:space="preserve">.  In compliance with the </w:t>
      </w:r>
      <w:r w:rsidR="0073787E" w:rsidRPr="0006738B">
        <w:rPr>
          <w:sz w:val="22"/>
          <w:szCs w:val="22"/>
        </w:rPr>
        <w:t xml:space="preserve">Paperwork Reduction Act of 1995, the Commission </w:t>
      </w:r>
      <w:r w:rsidRPr="0006738B">
        <w:rPr>
          <w:sz w:val="22"/>
          <w:szCs w:val="22"/>
        </w:rPr>
        <w:t xml:space="preserve">is making </w:t>
      </w:r>
      <w:r w:rsidR="0073787E" w:rsidRPr="0006738B">
        <w:rPr>
          <w:sz w:val="22"/>
          <w:szCs w:val="22"/>
        </w:rPr>
        <w:t xml:space="preserve">every </w:t>
      </w:r>
      <w:r w:rsidRPr="0006738B">
        <w:rPr>
          <w:sz w:val="22"/>
          <w:szCs w:val="22"/>
        </w:rPr>
        <w:t xml:space="preserve">effort to minimize the burden on all </w:t>
      </w:r>
      <w:r w:rsidR="00FD1622">
        <w:rPr>
          <w:sz w:val="22"/>
          <w:szCs w:val="22"/>
        </w:rPr>
        <w:t xml:space="preserve">utility </w:t>
      </w:r>
      <w:r w:rsidRPr="0006738B">
        <w:rPr>
          <w:sz w:val="22"/>
          <w:szCs w:val="22"/>
        </w:rPr>
        <w:t>re</w:t>
      </w:r>
      <w:r w:rsidR="0073787E" w:rsidRPr="0006738B">
        <w:rPr>
          <w:sz w:val="22"/>
          <w:szCs w:val="22"/>
        </w:rPr>
        <w:t>spondents, regardless of size.</w:t>
      </w:r>
    </w:p>
    <w:p w14:paraId="59792151" w14:textId="77777777" w:rsidR="0073787E" w:rsidRPr="0006738B" w:rsidRDefault="0073787E" w:rsidP="00800733">
      <w:pPr>
        <w:tabs>
          <w:tab w:val="left" w:pos="360"/>
        </w:tabs>
        <w:ind w:left="360" w:hanging="360"/>
        <w:rPr>
          <w:sz w:val="22"/>
          <w:szCs w:val="22"/>
        </w:rPr>
      </w:pPr>
    </w:p>
    <w:p w14:paraId="16FFFF83" w14:textId="7DEE6B95" w:rsidR="00D62AEC" w:rsidRPr="0006738B" w:rsidRDefault="00D62AEC" w:rsidP="00800733">
      <w:pPr>
        <w:tabs>
          <w:tab w:val="left" w:pos="360"/>
        </w:tabs>
        <w:ind w:left="360" w:hanging="360"/>
        <w:rPr>
          <w:sz w:val="22"/>
          <w:szCs w:val="22"/>
        </w:rPr>
      </w:pPr>
      <w:r w:rsidRPr="0006738B">
        <w:rPr>
          <w:sz w:val="22"/>
          <w:szCs w:val="22"/>
        </w:rPr>
        <w:t xml:space="preserve">6.   No specific interval </w:t>
      </w:r>
      <w:r w:rsidR="00FD1622">
        <w:rPr>
          <w:sz w:val="22"/>
          <w:szCs w:val="22"/>
        </w:rPr>
        <w:t xml:space="preserve">is set </w:t>
      </w:r>
      <w:r w:rsidRPr="0006738B">
        <w:rPr>
          <w:sz w:val="22"/>
          <w:szCs w:val="22"/>
        </w:rPr>
        <w:t xml:space="preserve">for the filing of </w:t>
      </w:r>
      <w:r w:rsidR="00FD1622">
        <w:rPr>
          <w:sz w:val="22"/>
          <w:szCs w:val="22"/>
        </w:rPr>
        <w:t xml:space="preserve">pole attachment </w:t>
      </w:r>
      <w:r w:rsidR="00D00B28">
        <w:rPr>
          <w:sz w:val="22"/>
          <w:szCs w:val="22"/>
        </w:rPr>
        <w:t>complaints</w:t>
      </w:r>
      <w:r w:rsidRPr="0006738B">
        <w:rPr>
          <w:sz w:val="22"/>
          <w:szCs w:val="22"/>
        </w:rPr>
        <w:t xml:space="preserve"> </w:t>
      </w:r>
      <w:r w:rsidR="00FD1622">
        <w:rPr>
          <w:sz w:val="22"/>
          <w:szCs w:val="22"/>
        </w:rPr>
        <w:t>by incumbent LEC</w:t>
      </w:r>
      <w:r w:rsidRPr="0006738B">
        <w:rPr>
          <w:sz w:val="22"/>
          <w:szCs w:val="22"/>
        </w:rPr>
        <w:t>s</w:t>
      </w:r>
      <w:r w:rsidR="00FB5ED4">
        <w:rPr>
          <w:sz w:val="22"/>
          <w:szCs w:val="22"/>
        </w:rPr>
        <w:t xml:space="preserve"> pursuant to recently-amended 47 CFR § 1.141</w:t>
      </w:r>
      <w:r w:rsidR="00EF7CAE">
        <w:rPr>
          <w:sz w:val="22"/>
          <w:szCs w:val="22"/>
        </w:rPr>
        <w:t>3</w:t>
      </w:r>
      <w:r w:rsidRPr="0006738B">
        <w:rPr>
          <w:sz w:val="22"/>
          <w:szCs w:val="22"/>
        </w:rPr>
        <w:t xml:space="preserve">.  If </w:t>
      </w:r>
      <w:r w:rsidR="00D00B28">
        <w:rPr>
          <w:sz w:val="22"/>
          <w:szCs w:val="22"/>
        </w:rPr>
        <w:t xml:space="preserve">complaints </w:t>
      </w:r>
      <w:r w:rsidRPr="0006738B">
        <w:rPr>
          <w:sz w:val="22"/>
          <w:szCs w:val="22"/>
        </w:rPr>
        <w:t>were ordered to be made at specific intervals, the</w:t>
      </w:r>
      <w:r w:rsidR="00D00B28">
        <w:rPr>
          <w:sz w:val="22"/>
          <w:szCs w:val="22"/>
        </w:rPr>
        <w:t>n the</w:t>
      </w:r>
      <w:r w:rsidRPr="0006738B">
        <w:rPr>
          <w:sz w:val="22"/>
          <w:szCs w:val="22"/>
        </w:rPr>
        <w:t xml:space="preserve"> C</w:t>
      </w:r>
      <w:r w:rsidR="0073787E" w:rsidRPr="0006738B">
        <w:rPr>
          <w:sz w:val="22"/>
          <w:szCs w:val="22"/>
        </w:rPr>
        <w:t>ommission</w:t>
      </w:r>
      <w:r w:rsidRPr="0006738B">
        <w:rPr>
          <w:sz w:val="22"/>
          <w:szCs w:val="22"/>
        </w:rPr>
        <w:t xml:space="preserve"> would not become aware of unjust or unreasonable rates, terms </w:t>
      </w:r>
      <w:r w:rsidR="00F3456B" w:rsidRPr="0006738B">
        <w:rPr>
          <w:sz w:val="22"/>
          <w:szCs w:val="22"/>
        </w:rPr>
        <w:t xml:space="preserve">of access, </w:t>
      </w:r>
      <w:r w:rsidRPr="0006738B">
        <w:rPr>
          <w:sz w:val="22"/>
          <w:szCs w:val="22"/>
        </w:rPr>
        <w:t xml:space="preserve">and conditions </w:t>
      </w:r>
      <w:r w:rsidR="0073787E" w:rsidRPr="0006738B">
        <w:rPr>
          <w:sz w:val="22"/>
          <w:szCs w:val="22"/>
        </w:rPr>
        <w:t xml:space="preserve">for </w:t>
      </w:r>
      <w:r w:rsidR="00FD1622">
        <w:rPr>
          <w:sz w:val="22"/>
          <w:szCs w:val="22"/>
        </w:rPr>
        <w:t xml:space="preserve">incumbent LEC </w:t>
      </w:r>
      <w:r w:rsidR="0073787E" w:rsidRPr="0006738B">
        <w:rPr>
          <w:sz w:val="22"/>
          <w:szCs w:val="22"/>
        </w:rPr>
        <w:t xml:space="preserve">pole attachments </w:t>
      </w:r>
      <w:r w:rsidRPr="0006738B">
        <w:rPr>
          <w:sz w:val="22"/>
          <w:szCs w:val="22"/>
        </w:rPr>
        <w:t>in a timely manner.  The result would be an inability to minimize any adverse effects.  Moreover, if th</w:t>
      </w:r>
      <w:r w:rsidR="00D00B28">
        <w:rPr>
          <w:sz w:val="22"/>
          <w:szCs w:val="22"/>
        </w:rPr>
        <w:t xml:space="preserve">is </w:t>
      </w:r>
      <w:r w:rsidRPr="0006738B">
        <w:rPr>
          <w:sz w:val="22"/>
          <w:szCs w:val="22"/>
        </w:rPr>
        <w:t>collection of information w</w:t>
      </w:r>
      <w:r w:rsidR="00D00B28">
        <w:rPr>
          <w:sz w:val="22"/>
          <w:szCs w:val="22"/>
        </w:rPr>
        <w:t>as</w:t>
      </w:r>
      <w:r w:rsidRPr="0006738B">
        <w:rPr>
          <w:sz w:val="22"/>
          <w:szCs w:val="22"/>
        </w:rPr>
        <w:t xml:space="preserve"> not conducted, the</w:t>
      </w:r>
      <w:r w:rsidR="00D00B28">
        <w:rPr>
          <w:sz w:val="22"/>
          <w:szCs w:val="22"/>
        </w:rPr>
        <w:t>n the</w:t>
      </w:r>
      <w:r w:rsidRPr="0006738B">
        <w:rPr>
          <w:sz w:val="22"/>
          <w:szCs w:val="22"/>
        </w:rPr>
        <w:t xml:space="preserve"> Commission would not be able to adequately comply with the Congressional mandate that the Commission ensure that the rates, terms</w:t>
      </w:r>
      <w:r w:rsidR="00F3456B" w:rsidRPr="0006738B">
        <w:rPr>
          <w:sz w:val="22"/>
          <w:szCs w:val="22"/>
        </w:rPr>
        <w:t xml:space="preserve"> of access,</w:t>
      </w:r>
      <w:r w:rsidRPr="0006738B">
        <w:rPr>
          <w:sz w:val="22"/>
          <w:szCs w:val="22"/>
        </w:rPr>
        <w:t xml:space="preserve"> and conditions under which </w:t>
      </w:r>
      <w:r w:rsidR="00FD1622">
        <w:rPr>
          <w:sz w:val="22"/>
          <w:szCs w:val="22"/>
        </w:rPr>
        <w:t xml:space="preserve">telecommunications attachers </w:t>
      </w:r>
      <w:r w:rsidRPr="0006738B">
        <w:rPr>
          <w:sz w:val="22"/>
          <w:szCs w:val="22"/>
        </w:rPr>
        <w:t xml:space="preserve">attach their </w:t>
      </w:r>
      <w:r w:rsidR="00D00B28">
        <w:rPr>
          <w:sz w:val="22"/>
          <w:szCs w:val="22"/>
        </w:rPr>
        <w:t>equipment</w:t>
      </w:r>
      <w:r w:rsidRPr="0006738B">
        <w:rPr>
          <w:sz w:val="22"/>
          <w:szCs w:val="22"/>
        </w:rPr>
        <w:t xml:space="preserve"> to utility poles are just and reasonable.</w:t>
      </w:r>
    </w:p>
    <w:p w14:paraId="75FA0B52" w14:textId="77777777" w:rsidR="00D62AEC" w:rsidRPr="0006738B" w:rsidRDefault="00D62AEC" w:rsidP="00800733">
      <w:pPr>
        <w:tabs>
          <w:tab w:val="left" w:pos="360"/>
        </w:tabs>
        <w:ind w:left="360" w:hanging="360"/>
        <w:rPr>
          <w:sz w:val="22"/>
          <w:szCs w:val="22"/>
        </w:rPr>
      </w:pPr>
    </w:p>
    <w:p w14:paraId="1491349D" w14:textId="33ED49F0" w:rsidR="00D62AEC" w:rsidRPr="0006738B" w:rsidRDefault="00D62AEC" w:rsidP="00E66220">
      <w:pPr>
        <w:tabs>
          <w:tab w:val="left" w:pos="360"/>
        </w:tabs>
        <w:ind w:left="360" w:hanging="360"/>
        <w:rPr>
          <w:sz w:val="22"/>
          <w:szCs w:val="22"/>
        </w:rPr>
      </w:pPr>
      <w:r w:rsidRPr="0006738B">
        <w:rPr>
          <w:sz w:val="22"/>
          <w:szCs w:val="22"/>
        </w:rPr>
        <w:t xml:space="preserve">7.  </w:t>
      </w:r>
      <w:r w:rsidR="00766281" w:rsidRPr="0006738B">
        <w:rPr>
          <w:sz w:val="22"/>
          <w:szCs w:val="22"/>
        </w:rPr>
        <w:tab/>
      </w:r>
      <w:r w:rsidR="00D00B28" w:rsidRPr="00B75803">
        <w:rPr>
          <w:sz w:val="22"/>
          <w:szCs w:val="22"/>
        </w:rPr>
        <w:t xml:space="preserve">No special circumstances will apply to this </w:t>
      </w:r>
      <w:r w:rsidR="00FB5ED4">
        <w:rPr>
          <w:sz w:val="22"/>
          <w:szCs w:val="22"/>
        </w:rPr>
        <w:t xml:space="preserve">revision to the existing </w:t>
      </w:r>
      <w:r w:rsidR="00D00B28" w:rsidRPr="00B75803">
        <w:rPr>
          <w:sz w:val="22"/>
          <w:szCs w:val="22"/>
        </w:rPr>
        <w:t>information collection</w:t>
      </w:r>
      <w:r w:rsidR="007C6CB8" w:rsidRPr="0006738B">
        <w:rPr>
          <w:sz w:val="22"/>
          <w:szCs w:val="22"/>
        </w:rPr>
        <w:t>.</w:t>
      </w:r>
    </w:p>
    <w:p w14:paraId="219C2D33" w14:textId="77777777" w:rsidR="00D62AEC" w:rsidRPr="0006738B" w:rsidRDefault="00D62AEC" w:rsidP="00800733">
      <w:pPr>
        <w:ind w:left="360" w:hanging="360"/>
        <w:rPr>
          <w:sz w:val="22"/>
          <w:szCs w:val="22"/>
        </w:rPr>
      </w:pPr>
    </w:p>
    <w:p w14:paraId="7F7EBFE9" w14:textId="34CA440B" w:rsidR="00D62AEC" w:rsidRPr="0006738B" w:rsidRDefault="00D62AEC" w:rsidP="00800733">
      <w:pPr>
        <w:ind w:left="360" w:hanging="360"/>
        <w:rPr>
          <w:sz w:val="22"/>
          <w:szCs w:val="22"/>
        </w:rPr>
      </w:pPr>
      <w:r w:rsidRPr="0006738B">
        <w:rPr>
          <w:sz w:val="22"/>
          <w:szCs w:val="22"/>
        </w:rPr>
        <w:t xml:space="preserve">8.  </w:t>
      </w:r>
      <w:r w:rsidR="00766281" w:rsidRPr="0006738B">
        <w:rPr>
          <w:sz w:val="22"/>
          <w:szCs w:val="22"/>
        </w:rPr>
        <w:tab/>
      </w:r>
      <w:r w:rsidR="00324E46" w:rsidRPr="0006738B">
        <w:rPr>
          <w:sz w:val="22"/>
          <w:szCs w:val="22"/>
        </w:rPr>
        <w:t xml:space="preserve">The Commission published a notice in the </w:t>
      </w:r>
      <w:r w:rsidR="00324E46" w:rsidRPr="0006738B">
        <w:rPr>
          <w:i/>
          <w:sz w:val="22"/>
          <w:szCs w:val="22"/>
        </w:rPr>
        <w:t>Federal Register</w:t>
      </w:r>
      <w:r w:rsidR="00324E46" w:rsidRPr="0006738B">
        <w:rPr>
          <w:sz w:val="22"/>
          <w:szCs w:val="22"/>
        </w:rPr>
        <w:t xml:space="preserve"> initiating a 60-day comment period on </w:t>
      </w:r>
      <w:r w:rsidR="00324E46" w:rsidRPr="00EF7CAE">
        <w:rPr>
          <w:sz w:val="22"/>
          <w:szCs w:val="22"/>
        </w:rPr>
        <w:t>this revised collection on</w:t>
      </w:r>
      <w:r w:rsidR="0073787E" w:rsidRPr="00EF7CAE">
        <w:rPr>
          <w:sz w:val="22"/>
          <w:szCs w:val="22"/>
        </w:rPr>
        <w:t xml:space="preserve"> September </w:t>
      </w:r>
      <w:r w:rsidR="00EF7CAE" w:rsidRPr="00EF7CAE">
        <w:rPr>
          <w:sz w:val="22"/>
          <w:szCs w:val="22"/>
        </w:rPr>
        <w:t>24</w:t>
      </w:r>
      <w:r w:rsidR="00495153" w:rsidRPr="00EF7CAE">
        <w:rPr>
          <w:sz w:val="22"/>
          <w:szCs w:val="22"/>
        </w:rPr>
        <w:t xml:space="preserve">, 2018 </w:t>
      </w:r>
      <w:r w:rsidR="00324E46" w:rsidRPr="00EF7CAE">
        <w:rPr>
          <w:sz w:val="22"/>
          <w:szCs w:val="22"/>
        </w:rPr>
        <w:t>(</w:t>
      </w:r>
      <w:r w:rsidR="00EF7CAE" w:rsidRPr="00EF7CAE">
        <w:rPr>
          <w:sz w:val="22"/>
          <w:szCs w:val="22"/>
        </w:rPr>
        <w:t>83</w:t>
      </w:r>
      <w:r w:rsidR="00495153" w:rsidRPr="00EF7CAE">
        <w:rPr>
          <w:sz w:val="22"/>
          <w:szCs w:val="22"/>
        </w:rPr>
        <w:t xml:space="preserve"> </w:t>
      </w:r>
      <w:r w:rsidR="00324E46" w:rsidRPr="00EF7CAE">
        <w:rPr>
          <w:sz w:val="22"/>
          <w:szCs w:val="22"/>
        </w:rPr>
        <w:t xml:space="preserve">Fed. Reg. </w:t>
      </w:r>
      <w:r w:rsidR="00EF7CAE" w:rsidRPr="00EF7CAE">
        <w:rPr>
          <w:sz w:val="22"/>
          <w:szCs w:val="22"/>
        </w:rPr>
        <w:t>48313</w:t>
      </w:r>
      <w:r w:rsidR="00324E46" w:rsidRPr="00EF7CAE">
        <w:rPr>
          <w:sz w:val="22"/>
          <w:szCs w:val="22"/>
        </w:rPr>
        <w:t>).   No comments were received.</w:t>
      </w:r>
      <w:r w:rsidR="00324E46" w:rsidRPr="0006738B">
        <w:rPr>
          <w:sz w:val="22"/>
          <w:szCs w:val="22"/>
        </w:rPr>
        <w:t xml:space="preserve">  </w:t>
      </w:r>
      <w:r w:rsidRPr="0006738B">
        <w:rPr>
          <w:sz w:val="22"/>
          <w:szCs w:val="22"/>
        </w:rPr>
        <w:t xml:space="preserve">A copy of the notice is included in the submission to OMB. </w:t>
      </w:r>
    </w:p>
    <w:p w14:paraId="3C954B4D" w14:textId="77777777" w:rsidR="00D62AEC" w:rsidRPr="0006738B" w:rsidRDefault="00D62AEC" w:rsidP="00800733">
      <w:pPr>
        <w:ind w:left="360" w:hanging="360"/>
        <w:rPr>
          <w:sz w:val="22"/>
          <w:szCs w:val="22"/>
        </w:rPr>
      </w:pPr>
    </w:p>
    <w:p w14:paraId="467693FA" w14:textId="1DF9698E" w:rsidR="00D62AEC" w:rsidRPr="0006738B" w:rsidRDefault="00D62AEC" w:rsidP="00800733">
      <w:pPr>
        <w:ind w:left="360" w:hanging="360"/>
        <w:rPr>
          <w:sz w:val="22"/>
          <w:szCs w:val="22"/>
        </w:rPr>
      </w:pPr>
      <w:r w:rsidRPr="0006738B">
        <w:rPr>
          <w:sz w:val="22"/>
          <w:szCs w:val="22"/>
        </w:rPr>
        <w:t xml:space="preserve">9.  </w:t>
      </w:r>
      <w:r w:rsidR="0097024B" w:rsidRPr="0006738B">
        <w:rPr>
          <w:sz w:val="22"/>
          <w:szCs w:val="22"/>
        </w:rPr>
        <w:tab/>
      </w:r>
      <w:r w:rsidRPr="0006738B">
        <w:rPr>
          <w:sz w:val="22"/>
          <w:szCs w:val="22"/>
        </w:rPr>
        <w:t>No gifts or payments will be given to respondent</w:t>
      </w:r>
      <w:r w:rsidR="00324E46" w:rsidRPr="0006738B">
        <w:rPr>
          <w:sz w:val="22"/>
          <w:szCs w:val="22"/>
        </w:rPr>
        <w:t>s</w:t>
      </w:r>
      <w:r w:rsidRPr="0006738B">
        <w:rPr>
          <w:sz w:val="22"/>
          <w:szCs w:val="22"/>
        </w:rPr>
        <w:t xml:space="preserve"> for this </w:t>
      </w:r>
      <w:r w:rsidR="00FB5ED4">
        <w:rPr>
          <w:sz w:val="22"/>
          <w:szCs w:val="22"/>
        </w:rPr>
        <w:t>revision</w:t>
      </w:r>
      <w:r w:rsidRPr="0006738B">
        <w:rPr>
          <w:sz w:val="22"/>
          <w:szCs w:val="22"/>
        </w:rPr>
        <w:t>.</w:t>
      </w:r>
    </w:p>
    <w:p w14:paraId="4E17B0D7" w14:textId="77777777" w:rsidR="00D62AEC" w:rsidRPr="0006738B" w:rsidRDefault="00D62AEC" w:rsidP="00800733">
      <w:pPr>
        <w:ind w:left="360" w:hanging="360"/>
        <w:rPr>
          <w:sz w:val="22"/>
          <w:szCs w:val="22"/>
        </w:rPr>
      </w:pPr>
    </w:p>
    <w:p w14:paraId="7DE80BD5" w14:textId="77777777" w:rsidR="00D62AEC" w:rsidRPr="0006738B" w:rsidRDefault="0097024B" w:rsidP="00800733">
      <w:pPr>
        <w:ind w:left="360" w:hanging="360"/>
        <w:rPr>
          <w:sz w:val="22"/>
          <w:szCs w:val="22"/>
        </w:rPr>
      </w:pPr>
      <w:r w:rsidRPr="0006738B">
        <w:rPr>
          <w:sz w:val="22"/>
          <w:szCs w:val="22"/>
        </w:rPr>
        <w:t xml:space="preserve">10. </w:t>
      </w:r>
      <w:r w:rsidR="00D62AEC" w:rsidRPr="0006738B">
        <w:rPr>
          <w:sz w:val="22"/>
          <w:szCs w:val="22"/>
        </w:rPr>
        <w:t>There is no need for confidentiality.</w:t>
      </w:r>
    </w:p>
    <w:p w14:paraId="4A1AE184" w14:textId="77777777" w:rsidR="008B746B" w:rsidRPr="0006738B" w:rsidRDefault="008B746B" w:rsidP="008B746B">
      <w:pPr>
        <w:rPr>
          <w:sz w:val="22"/>
          <w:szCs w:val="22"/>
        </w:rPr>
      </w:pPr>
    </w:p>
    <w:p w14:paraId="044A579A" w14:textId="6723CA5F" w:rsidR="00D62AEC" w:rsidRPr="0006738B" w:rsidRDefault="00800733" w:rsidP="008B746B">
      <w:pPr>
        <w:ind w:left="360" w:hanging="360"/>
        <w:rPr>
          <w:sz w:val="22"/>
          <w:szCs w:val="22"/>
        </w:rPr>
      </w:pPr>
      <w:r w:rsidRPr="0006738B">
        <w:rPr>
          <w:sz w:val="22"/>
          <w:szCs w:val="22"/>
        </w:rPr>
        <w:t>11.</w:t>
      </w:r>
      <w:r w:rsidRPr="0006738B">
        <w:rPr>
          <w:sz w:val="22"/>
          <w:szCs w:val="22"/>
        </w:rPr>
        <w:tab/>
      </w:r>
      <w:r w:rsidR="00D62AEC" w:rsidRPr="0006738B">
        <w:rPr>
          <w:sz w:val="22"/>
          <w:szCs w:val="22"/>
        </w:rPr>
        <w:t xml:space="preserve">This </w:t>
      </w:r>
      <w:r w:rsidR="00FB5ED4">
        <w:rPr>
          <w:sz w:val="22"/>
          <w:szCs w:val="22"/>
        </w:rPr>
        <w:t xml:space="preserve">revision </w:t>
      </w:r>
      <w:r w:rsidR="00D62AEC" w:rsidRPr="0006738B">
        <w:rPr>
          <w:sz w:val="22"/>
          <w:szCs w:val="22"/>
        </w:rPr>
        <w:t>does not address any private matters of a sensitive nature</w:t>
      </w:r>
      <w:r w:rsidR="00FD1622">
        <w:rPr>
          <w:sz w:val="22"/>
          <w:szCs w:val="22"/>
        </w:rPr>
        <w:t>,</w:t>
      </w:r>
      <w:r w:rsidR="00D62AEC" w:rsidRPr="0006738B">
        <w:rPr>
          <w:sz w:val="22"/>
          <w:szCs w:val="22"/>
        </w:rPr>
        <w:t xml:space="preserve"> nor are there any privacy impacts.</w:t>
      </w:r>
    </w:p>
    <w:p w14:paraId="330F6FD6" w14:textId="77777777" w:rsidR="00D62AEC" w:rsidRPr="0006738B" w:rsidRDefault="00D62AEC" w:rsidP="008B746B">
      <w:pPr>
        <w:ind w:left="360" w:hanging="360"/>
        <w:rPr>
          <w:sz w:val="22"/>
          <w:szCs w:val="22"/>
        </w:rPr>
      </w:pPr>
    </w:p>
    <w:p w14:paraId="583A89C8" w14:textId="32D7F887" w:rsidR="006C5A4B" w:rsidRDefault="00800733" w:rsidP="006C5A4B">
      <w:pPr>
        <w:suppressAutoHyphens/>
        <w:ind w:left="360" w:hanging="360"/>
        <w:rPr>
          <w:sz w:val="22"/>
          <w:szCs w:val="22"/>
        </w:rPr>
      </w:pPr>
      <w:r w:rsidRPr="000E7333">
        <w:rPr>
          <w:sz w:val="22"/>
          <w:szCs w:val="22"/>
        </w:rPr>
        <w:t>12.</w:t>
      </w:r>
      <w:r w:rsidRPr="000E7333">
        <w:rPr>
          <w:sz w:val="22"/>
          <w:szCs w:val="22"/>
        </w:rPr>
        <w:tab/>
      </w:r>
      <w:r w:rsidR="000C30B5" w:rsidRPr="000E7333">
        <w:rPr>
          <w:sz w:val="22"/>
          <w:szCs w:val="22"/>
        </w:rPr>
        <w:t xml:space="preserve">Under the previous version of </w:t>
      </w:r>
      <w:r w:rsidR="006C5A4B">
        <w:rPr>
          <w:sz w:val="22"/>
          <w:szCs w:val="22"/>
        </w:rPr>
        <w:t>47 CFR § 1</w:t>
      </w:r>
      <w:r w:rsidR="000C30B5" w:rsidRPr="000E7333">
        <w:rPr>
          <w:sz w:val="22"/>
          <w:szCs w:val="22"/>
        </w:rPr>
        <w:t>.141</w:t>
      </w:r>
      <w:r w:rsidR="00EF7CAE">
        <w:rPr>
          <w:sz w:val="22"/>
          <w:szCs w:val="22"/>
        </w:rPr>
        <w:t>3</w:t>
      </w:r>
      <w:r w:rsidR="000C30B5" w:rsidRPr="000E7333">
        <w:rPr>
          <w:sz w:val="22"/>
          <w:szCs w:val="22"/>
        </w:rPr>
        <w:t xml:space="preserve">, the presumption was </w:t>
      </w:r>
      <w:r w:rsidR="00A8654F" w:rsidRPr="000E7333">
        <w:rPr>
          <w:sz w:val="22"/>
          <w:szCs w:val="22"/>
        </w:rPr>
        <w:t xml:space="preserve">that incumbent LECs were not similarly-situated to other telecommunications attachers and thus not entitled to comparable rates, terms, and conditions for their attachments.  The burden rested on incumbent LECs to </w:t>
      </w:r>
      <w:r w:rsidR="000E7333">
        <w:rPr>
          <w:sz w:val="22"/>
          <w:szCs w:val="22"/>
        </w:rPr>
        <w:t xml:space="preserve">rebut the presumption by </w:t>
      </w:r>
      <w:r w:rsidR="00A8654F" w:rsidRPr="000E7333">
        <w:rPr>
          <w:sz w:val="22"/>
          <w:szCs w:val="22"/>
        </w:rPr>
        <w:t>demonstrat</w:t>
      </w:r>
      <w:r w:rsidR="000E7333">
        <w:rPr>
          <w:sz w:val="22"/>
          <w:szCs w:val="22"/>
        </w:rPr>
        <w:t>ing</w:t>
      </w:r>
      <w:r w:rsidR="00A8654F" w:rsidRPr="000E7333">
        <w:rPr>
          <w:sz w:val="22"/>
          <w:szCs w:val="22"/>
        </w:rPr>
        <w:t xml:space="preserve"> </w:t>
      </w:r>
      <w:r w:rsidR="000E7333" w:rsidRPr="000E7333">
        <w:rPr>
          <w:sz w:val="22"/>
          <w:szCs w:val="22"/>
        </w:rPr>
        <w:t xml:space="preserve">that there were similarly situated </w:t>
      </w:r>
      <w:r w:rsidR="000E7333">
        <w:rPr>
          <w:sz w:val="22"/>
          <w:szCs w:val="22"/>
        </w:rPr>
        <w:t xml:space="preserve">to other telecommunications carriers </w:t>
      </w:r>
      <w:r w:rsidR="000E7333">
        <w:rPr>
          <w:sz w:val="22"/>
          <w:szCs w:val="22"/>
        </w:rPr>
        <w:lastRenderedPageBreak/>
        <w:t xml:space="preserve">on a pole </w:t>
      </w:r>
      <w:r w:rsidR="000E7333" w:rsidRPr="000E7333">
        <w:rPr>
          <w:sz w:val="22"/>
          <w:szCs w:val="22"/>
        </w:rPr>
        <w:t xml:space="preserve">by reference to any relevant evidence, including </w:t>
      </w:r>
      <w:r w:rsidR="000E7333">
        <w:rPr>
          <w:sz w:val="22"/>
          <w:szCs w:val="22"/>
        </w:rPr>
        <w:t xml:space="preserve">their </w:t>
      </w:r>
      <w:r w:rsidR="000E7333" w:rsidRPr="000E7333">
        <w:rPr>
          <w:sz w:val="22"/>
          <w:szCs w:val="22"/>
        </w:rPr>
        <w:t>pole attachment agreements</w:t>
      </w:r>
      <w:r w:rsidR="000E7333">
        <w:rPr>
          <w:sz w:val="22"/>
          <w:szCs w:val="22"/>
        </w:rPr>
        <w:t>.</w:t>
      </w:r>
      <w:r w:rsidR="006C5A4B">
        <w:rPr>
          <w:sz w:val="22"/>
          <w:szCs w:val="22"/>
        </w:rPr>
        <w:t xml:space="preserve">  </w:t>
      </w:r>
      <w:r w:rsidR="000E7333">
        <w:rPr>
          <w:sz w:val="22"/>
          <w:szCs w:val="22"/>
        </w:rPr>
        <w:t xml:space="preserve">In the </w:t>
      </w:r>
      <w:r w:rsidR="004D4C07">
        <w:rPr>
          <w:sz w:val="22"/>
          <w:szCs w:val="22"/>
        </w:rPr>
        <w:t xml:space="preserve">2018 Pole Attachment </w:t>
      </w:r>
      <w:r w:rsidR="000E7333">
        <w:rPr>
          <w:sz w:val="22"/>
          <w:szCs w:val="22"/>
        </w:rPr>
        <w:t>Order, the Commission reversed the presumption and now</w:t>
      </w:r>
      <w:r w:rsidR="00FD1622">
        <w:rPr>
          <w:sz w:val="22"/>
          <w:szCs w:val="22"/>
        </w:rPr>
        <w:t xml:space="preserve"> puts the burden on </w:t>
      </w:r>
      <w:r w:rsidR="000E7333">
        <w:rPr>
          <w:sz w:val="22"/>
          <w:szCs w:val="22"/>
        </w:rPr>
        <w:t xml:space="preserve">utilities to rebut the presumption that incumbent LECs are similarly situated to other telecommunications </w:t>
      </w:r>
      <w:r w:rsidR="00FD1622">
        <w:rPr>
          <w:sz w:val="22"/>
          <w:szCs w:val="22"/>
        </w:rPr>
        <w:t xml:space="preserve">attachers </w:t>
      </w:r>
      <w:r w:rsidR="000E7333">
        <w:rPr>
          <w:sz w:val="22"/>
          <w:szCs w:val="22"/>
        </w:rPr>
        <w:t>on a pole.  T</w:t>
      </w:r>
      <w:r w:rsidR="000E7333" w:rsidRPr="0006738B">
        <w:rPr>
          <w:sz w:val="22"/>
          <w:szCs w:val="22"/>
        </w:rPr>
        <w:t xml:space="preserve">he </w:t>
      </w:r>
      <w:r w:rsidR="000E7333">
        <w:rPr>
          <w:sz w:val="22"/>
          <w:szCs w:val="22"/>
        </w:rPr>
        <w:t xml:space="preserve">burden is now on the </w:t>
      </w:r>
      <w:r w:rsidR="000E7333" w:rsidRPr="0006738B">
        <w:rPr>
          <w:sz w:val="22"/>
          <w:szCs w:val="22"/>
        </w:rPr>
        <w:t xml:space="preserve">utility </w:t>
      </w:r>
      <w:r w:rsidR="000E7333">
        <w:rPr>
          <w:sz w:val="22"/>
          <w:szCs w:val="22"/>
        </w:rPr>
        <w:t xml:space="preserve">to </w:t>
      </w:r>
      <w:r w:rsidR="000E7333" w:rsidRPr="0006738B">
        <w:rPr>
          <w:sz w:val="22"/>
          <w:szCs w:val="22"/>
        </w:rPr>
        <w:t xml:space="preserve">demonstrate by clear and convincing evidence that the incumbent LEC receives benefits under its pole attachment agreement with a utility that materially advantages the incumbent LEC over other telecommunications </w:t>
      </w:r>
      <w:r w:rsidR="00FD1622">
        <w:rPr>
          <w:sz w:val="22"/>
          <w:szCs w:val="22"/>
        </w:rPr>
        <w:t xml:space="preserve">attachers </w:t>
      </w:r>
      <w:r w:rsidR="000E7333" w:rsidRPr="0006738B">
        <w:rPr>
          <w:sz w:val="22"/>
          <w:szCs w:val="22"/>
        </w:rPr>
        <w:t>on the same poles.</w:t>
      </w:r>
    </w:p>
    <w:p w14:paraId="09CC4B1D" w14:textId="77777777" w:rsidR="006C5A4B" w:rsidRDefault="006C5A4B" w:rsidP="006C5A4B">
      <w:pPr>
        <w:suppressAutoHyphens/>
        <w:ind w:left="360" w:hanging="360"/>
        <w:rPr>
          <w:sz w:val="22"/>
          <w:szCs w:val="22"/>
        </w:rPr>
      </w:pPr>
    </w:p>
    <w:p w14:paraId="724223C1" w14:textId="1BA8B954" w:rsidR="00D62AEC" w:rsidRPr="000E7333" w:rsidRDefault="006C5A4B" w:rsidP="006C5A4B">
      <w:pPr>
        <w:suppressAutoHyphens/>
        <w:ind w:left="360"/>
        <w:rPr>
          <w:spacing w:val="-3"/>
          <w:sz w:val="22"/>
          <w:szCs w:val="22"/>
        </w:rPr>
      </w:pPr>
      <w:r>
        <w:rPr>
          <w:sz w:val="22"/>
          <w:szCs w:val="22"/>
        </w:rPr>
        <w:t>The base e</w:t>
      </w:r>
      <w:r w:rsidR="00D62AEC" w:rsidRPr="000E7333">
        <w:rPr>
          <w:sz w:val="22"/>
          <w:szCs w:val="22"/>
        </w:rPr>
        <w:t xml:space="preserve">stimates </w:t>
      </w:r>
      <w:r w:rsidR="00F0614A">
        <w:rPr>
          <w:sz w:val="22"/>
          <w:szCs w:val="22"/>
        </w:rPr>
        <w:t>will not change for the hourly and cost burdens on incumbent LECs for bringing pole attachment complaints against utilities, as set forth in the 2</w:t>
      </w:r>
      <w:r>
        <w:rPr>
          <w:sz w:val="22"/>
          <w:szCs w:val="22"/>
        </w:rPr>
        <w:t xml:space="preserve">018 renewal of OMB Collection No. </w:t>
      </w:r>
      <w:r w:rsidR="00F0614A">
        <w:rPr>
          <w:sz w:val="22"/>
          <w:szCs w:val="22"/>
        </w:rPr>
        <w:t xml:space="preserve">3060-0392.  However, based on changes adopted in the 2018 Pole Attachment Order, now there is an incremental paperwork burden on utilities should they elect to challenge the presumption that incumbent LECs are entitled to rates, terms, and conditions of similarly-situated telecommunications attachers.  Those incremental </w:t>
      </w:r>
      <w:r>
        <w:rPr>
          <w:sz w:val="22"/>
          <w:szCs w:val="22"/>
        </w:rPr>
        <w:t>h</w:t>
      </w:r>
      <w:r w:rsidR="00D62AEC" w:rsidRPr="000E7333">
        <w:rPr>
          <w:sz w:val="22"/>
          <w:szCs w:val="22"/>
        </w:rPr>
        <w:t>our</w:t>
      </w:r>
      <w:r w:rsidR="000C30B5" w:rsidRPr="000E7333">
        <w:rPr>
          <w:sz w:val="22"/>
          <w:szCs w:val="22"/>
        </w:rPr>
        <w:t>ly and cost</w:t>
      </w:r>
      <w:r w:rsidR="00D62AEC" w:rsidRPr="000E7333">
        <w:rPr>
          <w:sz w:val="22"/>
          <w:szCs w:val="22"/>
        </w:rPr>
        <w:t xml:space="preserve"> burden</w:t>
      </w:r>
      <w:r w:rsidR="000C30B5" w:rsidRPr="000E7333">
        <w:rPr>
          <w:sz w:val="22"/>
          <w:szCs w:val="22"/>
        </w:rPr>
        <w:t>s</w:t>
      </w:r>
      <w:r w:rsidR="00D62AEC" w:rsidRPr="000E7333">
        <w:rPr>
          <w:sz w:val="22"/>
          <w:szCs w:val="22"/>
        </w:rPr>
        <w:t xml:space="preserve"> </w:t>
      </w:r>
      <w:r w:rsidR="000E7333">
        <w:rPr>
          <w:sz w:val="22"/>
          <w:szCs w:val="22"/>
        </w:rPr>
        <w:t xml:space="preserve">for utilities </w:t>
      </w:r>
      <w:r w:rsidR="00D62AEC" w:rsidRPr="000E7333">
        <w:rPr>
          <w:sz w:val="22"/>
          <w:szCs w:val="22"/>
        </w:rPr>
        <w:t>are as follows</w:t>
      </w:r>
      <w:r w:rsidR="00F0614A">
        <w:rPr>
          <w:sz w:val="22"/>
          <w:szCs w:val="22"/>
        </w:rPr>
        <w:t xml:space="preserve"> and are estimated</w:t>
      </w:r>
      <w:r w:rsidR="00D62AEC" w:rsidRPr="000E7333">
        <w:rPr>
          <w:sz w:val="22"/>
          <w:szCs w:val="22"/>
        </w:rPr>
        <w:t xml:space="preserve"> </w:t>
      </w:r>
      <w:r w:rsidR="00D62AEC" w:rsidRPr="000E7333">
        <w:rPr>
          <w:spacing w:val="-3"/>
          <w:sz w:val="22"/>
          <w:szCs w:val="22"/>
        </w:rPr>
        <w:t>based on C</w:t>
      </w:r>
      <w:r w:rsidR="000C30B5" w:rsidRPr="000E7333">
        <w:rPr>
          <w:spacing w:val="-3"/>
          <w:sz w:val="22"/>
          <w:szCs w:val="22"/>
        </w:rPr>
        <w:t>ommission</w:t>
      </w:r>
      <w:r w:rsidR="00D62AEC" w:rsidRPr="000E7333">
        <w:rPr>
          <w:spacing w:val="-3"/>
          <w:sz w:val="22"/>
          <w:szCs w:val="22"/>
        </w:rPr>
        <w:t xml:space="preserve"> staff's knowledge and familiarity with the availability of the data required.</w:t>
      </w:r>
    </w:p>
    <w:p w14:paraId="6E629A19" w14:textId="77777777" w:rsidR="00D62AEC" w:rsidRPr="0006738B" w:rsidRDefault="00D62AEC" w:rsidP="00B837FD">
      <w:pPr>
        <w:ind w:left="360" w:hanging="360"/>
        <w:rPr>
          <w:sz w:val="22"/>
          <w:szCs w:val="22"/>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957"/>
        <w:gridCol w:w="2471"/>
      </w:tblGrid>
      <w:tr w:rsidR="00D62AEC" w:rsidRPr="0006738B" w14:paraId="58302A54" w14:textId="77777777" w:rsidTr="002B3450">
        <w:tc>
          <w:tcPr>
            <w:tcW w:w="4788" w:type="dxa"/>
          </w:tcPr>
          <w:p w14:paraId="57BE9C01" w14:textId="77777777" w:rsidR="00D62AEC" w:rsidRPr="0006738B" w:rsidRDefault="00D62AEC" w:rsidP="00442522">
            <w:pPr>
              <w:rPr>
                <w:b/>
                <w:sz w:val="22"/>
                <w:szCs w:val="22"/>
              </w:rPr>
            </w:pPr>
            <w:r w:rsidRPr="0006738B">
              <w:rPr>
                <w:b/>
                <w:sz w:val="22"/>
                <w:szCs w:val="22"/>
              </w:rPr>
              <w:t>Estimates</w:t>
            </w:r>
          </w:p>
        </w:tc>
        <w:tc>
          <w:tcPr>
            <w:tcW w:w="1957" w:type="dxa"/>
          </w:tcPr>
          <w:p w14:paraId="4673B3FF" w14:textId="77777777" w:rsidR="00D62AEC" w:rsidRPr="0006738B" w:rsidRDefault="00D62AEC" w:rsidP="00442522">
            <w:pPr>
              <w:rPr>
                <w:b/>
                <w:sz w:val="22"/>
                <w:szCs w:val="22"/>
              </w:rPr>
            </w:pPr>
            <w:r w:rsidRPr="0006738B">
              <w:rPr>
                <w:b/>
                <w:sz w:val="22"/>
                <w:szCs w:val="22"/>
              </w:rPr>
              <w:t xml:space="preserve">Calculation </w:t>
            </w:r>
          </w:p>
        </w:tc>
        <w:tc>
          <w:tcPr>
            <w:tcW w:w="2471" w:type="dxa"/>
          </w:tcPr>
          <w:p w14:paraId="5FCD0B1C" w14:textId="77777777" w:rsidR="00D62AEC" w:rsidRPr="0006738B" w:rsidRDefault="00D62AEC" w:rsidP="00442522">
            <w:pPr>
              <w:rPr>
                <w:b/>
                <w:sz w:val="22"/>
                <w:szCs w:val="22"/>
              </w:rPr>
            </w:pPr>
            <w:r w:rsidRPr="0006738B">
              <w:rPr>
                <w:b/>
                <w:sz w:val="22"/>
                <w:szCs w:val="22"/>
              </w:rPr>
              <w:t>Burden Hours</w:t>
            </w:r>
          </w:p>
        </w:tc>
      </w:tr>
      <w:tr w:rsidR="003B387D" w:rsidRPr="00F52E43" w14:paraId="7ECA2C81" w14:textId="77777777" w:rsidTr="002B3450">
        <w:tc>
          <w:tcPr>
            <w:tcW w:w="4788" w:type="dxa"/>
          </w:tcPr>
          <w:p w14:paraId="4AD4CDB4" w14:textId="40767E15" w:rsidR="003B387D" w:rsidRPr="00F52E43" w:rsidRDefault="003B387D" w:rsidP="00D6201F">
            <w:pPr>
              <w:rPr>
                <w:sz w:val="22"/>
                <w:szCs w:val="22"/>
              </w:rPr>
            </w:pPr>
            <w:r w:rsidRPr="00F52E43">
              <w:rPr>
                <w:sz w:val="22"/>
                <w:szCs w:val="22"/>
              </w:rPr>
              <w:t xml:space="preserve">Section </w:t>
            </w:r>
            <w:r w:rsidR="000C30B5" w:rsidRPr="00F52E43">
              <w:rPr>
                <w:sz w:val="22"/>
                <w:szCs w:val="22"/>
              </w:rPr>
              <w:t>1.1</w:t>
            </w:r>
            <w:r w:rsidRPr="00F52E43">
              <w:rPr>
                <w:sz w:val="22"/>
                <w:szCs w:val="22"/>
              </w:rPr>
              <w:t>4</w:t>
            </w:r>
            <w:r w:rsidR="000C30B5" w:rsidRPr="00F52E43">
              <w:rPr>
                <w:sz w:val="22"/>
                <w:szCs w:val="22"/>
              </w:rPr>
              <w:t>1</w:t>
            </w:r>
            <w:r w:rsidR="00EF7CAE">
              <w:rPr>
                <w:sz w:val="22"/>
                <w:szCs w:val="22"/>
              </w:rPr>
              <w:t>3</w:t>
            </w:r>
            <w:r w:rsidRPr="00F52E43">
              <w:rPr>
                <w:sz w:val="22"/>
                <w:szCs w:val="22"/>
              </w:rPr>
              <w:t xml:space="preserve"> - The Commission </w:t>
            </w:r>
            <w:r w:rsidR="00F0614A">
              <w:rPr>
                <w:sz w:val="22"/>
                <w:szCs w:val="22"/>
              </w:rPr>
              <w:t xml:space="preserve">continues to </w:t>
            </w:r>
            <w:r w:rsidRPr="00F52E43">
              <w:rPr>
                <w:sz w:val="22"/>
                <w:szCs w:val="22"/>
              </w:rPr>
              <w:t>estimate that 2</w:t>
            </w:r>
            <w:r w:rsidR="00F0614A">
              <w:rPr>
                <w:sz w:val="22"/>
                <w:szCs w:val="22"/>
              </w:rPr>
              <w:t>3</w:t>
            </w:r>
            <w:r w:rsidRPr="00F52E43">
              <w:rPr>
                <w:sz w:val="22"/>
                <w:szCs w:val="22"/>
              </w:rPr>
              <w:t xml:space="preserve"> </w:t>
            </w:r>
            <w:r w:rsidR="000E7333" w:rsidRPr="00F52E43">
              <w:rPr>
                <w:sz w:val="22"/>
                <w:szCs w:val="22"/>
              </w:rPr>
              <w:t xml:space="preserve">pole attachment </w:t>
            </w:r>
            <w:r w:rsidRPr="00F52E43">
              <w:rPr>
                <w:sz w:val="22"/>
                <w:szCs w:val="22"/>
              </w:rPr>
              <w:t>complaint cases will be filed annually</w:t>
            </w:r>
            <w:r w:rsidR="000E7333" w:rsidRPr="00F52E43">
              <w:rPr>
                <w:sz w:val="22"/>
                <w:szCs w:val="22"/>
              </w:rPr>
              <w:t xml:space="preserve"> by incumbent LECs</w:t>
            </w:r>
            <w:r w:rsidR="00FD1622">
              <w:rPr>
                <w:sz w:val="22"/>
                <w:szCs w:val="22"/>
              </w:rPr>
              <w:t xml:space="preserve"> against utility pole owners</w:t>
            </w:r>
            <w:r w:rsidRPr="00F52E43">
              <w:rPr>
                <w:sz w:val="22"/>
                <w:szCs w:val="22"/>
              </w:rPr>
              <w:t xml:space="preserve">.  </w:t>
            </w:r>
            <w:r w:rsidR="00F52E43" w:rsidRPr="00F52E43">
              <w:rPr>
                <w:sz w:val="22"/>
                <w:szCs w:val="22"/>
              </w:rPr>
              <w:t xml:space="preserve">We estimate that in 16 of those cases, the utilities will attempt to rebut the new presumption that incumbent LECs are similarly situated to other telecommunications </w:t>
            </w:r>
            <w:r w:rsidR="00FD1622">
              <w:rPr>
                <w:sz w:val="22"/>
                <w:szCs w:val="22"/>
              </w:rPr>
              <w:t xml:space="preserve">attachers </w:t>
            </w:r>
            <w:r w:rsidR="00F52E43" w:rsidRPr="00F52E43">
              <w:rPr>
                <w:sz w:val="22"/>
                <w:szCs w:val="22"/>
              </w:rPr>
              <w:t xml:space="preserve">on the pole.  In each of those 16 cases, we estimate that the hourly burden for providing clear and convincing evidence that the incumbent LEC receives benefits under its pole attachment agreement that materially advantages the incumbent LEC over its telecommunications competitors </w:t>
            </w:r>
            <w:r w:rsidRPr="00F52E43">
              <w:rPr>
                <w:sz w:val="22"/>
                <w:szCs w:val="22"/>
              </w:rPr>
              <w:t>is 10</w:t>
            </w:r>
            <w:r w:rsidR="00F52E43" w:rsidRPr="00F52E43">
              <w:rPr>
                <w:sz w:val="22"/>
                <w:szCs w:val="22"/>
              </w:rPr>
              <w:t xml:space="preserve"> hours</w:t>
            </w:r>
            <w:r w:rsidRPr="00F52E43">
              <w:rPr>
                <w:sz w:val="22"/>
                <w:szCs w:val="22"/>
              </w:rPr>
              <w:t xml:space="preserve">.  </w:t>
            </w:r>
            <w:r w:rsidR="00F52E43" w:rsidRPr="00F52E43">
              <w:rPr>
                <w:sz w:val="22"/>
                <w:szCs w:val="22"/>
              </w:rPr>
              <w:t xml:space="preserve">We </w:t>
            </w:r>
            <w:r w:rsidRPr="00F52E43">
              <w:rPr>
                <w:sz w:val="22"/>
                <w:szCs w:val="22"/>
              </w:rPr>
              <w:t xml:space="preserve">estimate that 75% of </w:t>
            </w:r>
            <w:r w:rsidR="00F52E43" w:rsidRPr="00F52E43">
              <w:rPr>
                <w:sz w:val="22"/>
                <w:szCs w:val="22"/>
              </w:rPr>
              <w:t xml:space="preserve">utilities that attempt to rebut the presumption </w:t>
            </w:r>
            <w:r w:rsidRPr="00F52E43">
              <w:rPr>
                <w:sz w:val="22"/>
                <w:szCs w:val="22"/>
              </w:rPr>
              <w:t xml:space="preserve">will use the services of outside counsel.  Parties that use outside legal counsel are estimated to undergo an average burden of 4 </w:t>
            </w:r>
            <w:r w:rsidR="00F52E43" w:rsidRPr="00F52E43">
              <w:rPr>
                <w:sz w:val="22"/>
                <w:szCs w:val="22"/>
              </w:rPr>
              <w:t xml:space="preserve">additional </w:t>
            </w:r>
            <w:r w:rsidRPr="00F52E43">
              <w:rPr>
                <w:sz w:val="22"/>
                <w:szCs w:val="22"/>
              </w:rPr>
              <w:t xml:space="preserve">hours to coordinate information with outside legal counsel.    </w:t>
            </w:r>
          </w:p>
          <w:p w14:paraId="60E44F86" w14:textId="77777777" w:rsidR="003B387D" w:rsidRPr="00F52E43" w:rsidRDefault="003B387D" w:rsidP="00D6201F">
            <w:pPr>
              <w:rPr>
                <w:sz w:val="22"/>
                <w:szCs w:val="22"/>
              </w:rPr>
            </w:pPr>
          </w:p>
        </w:tc>
        <w:tc>
          <w:tcPr>
            <w:tcW w:w="1957" w:type="dxa"/>
          </w:tcPr>
          <w:p w14:paraId="31CBBF6B" w14:textId="77777777" w:rsidR="003B387D" w:rsidRPr="00F52E43" w:rsidRDefault="00F52E43" w:rsidP="00D6201F">
            <w:pPr>
              <w:rPr>
                <w:sz w:val="22"/>
                <w:szCs w:val="22"/>
              </w:rPr>
            </w:pPr>
            <w:r w:rsidRPr="00F52E43">
              <w:rPr>
                <w:sz w:val="22"/>
                <w:szCs w:val="22"/>
              </w:rPr>
              <w:t>1</w:t>
            </w:r>
            <w:r>
              <w:rPr>
                <w:sz w:val="22"/>
                <w:szCs w:val="22"/>
              </w:rPr>
              <w:t>6</w:t>
            </w:r>
            <w:r w:rsidR="003B387D" w:rsidRPr="00F52E43">
              <w:rPr>
                <w:sz w:val="22"/>
                <w:szCs w:val="22"/>
              </w:rPr>
              <w:t xml:space="preserve"> cases x </w:t>
            </w:r>
            <w:r w:rsidRPr="00F52E43">
              <w:rPr>
                <w:sz w:val="22"/>
                <w:szCs w:val="22"/>
              </w:rPr>
              <w:t>10</w:t>
            </w:r>
            <w:r w:rsidR="003B387D" w:rsidRPr="00F52E43">
              <w:rPr>
                <w:sz w:val="22"/>
                <w:szCs w:val="22"/>
              </w:rPr>
              <w:t xml:space="preserve"> hours</w:t>
            </w:r>
          </w:p>
          <w:p w14:paraId="707B2962" w14:textId="77777777" w:rsidR="003B387D" w:rsidRPr="00F52E43" w:rsidRDefault="003B387D" w:rsidP="00D6201F">
            <w:pPr>
              <w:rPr>
                <w:sz w:val="22"/>
                <w:szCs w:val="22"/>
              </w:rPr>
            </w:pPr>
          </w:p>
          <w:p w14:paraId="3FEF99AD" w14:textId="77777777" w:rsidR="003B387D" w:rsidRPr="00F52E43" w:rsidRDefault="00F52E43" w:rsidP="00D6201F">
            <w:pPr>
              <w:rPr>
                <w:sz w:val="22"/>
                <w:szCs w:val="22"/>
              </w:rPr>
            </w:pPr>
            <w:r>
              <w:rPr>
                <w:sz w:val="22"/>
                <w:szCs w:val="22"/>
              </w:rPr>
              <w:t>12</w:t>
            </w:r>
            <w:r w:rsidR="003B387D" w:rsidRPr="00F52E43">
              <w:rPr>
                <w:sz w:val="22"/>
                <w:szCs w:val="22"/>
              </w:rPr>
              <w:t xml:space="preserve"> cases x </w:t>
            </w:r>
            <w:r>
              <w:rPr>
                <w:sz w:val="22"/>
                <w:szCs w:val="22"/>
              </w:rPr>
              <w:t>4</w:t>
            </w:r>
            <w:r w:rsidR="003B387D" w:rsidRPr="00F52E43">
              <w:rPr>
                <w:sz w:val="22"/>
                <w:szCs w:val="22"/>
              </w:rPr>
              <w:t xml:space="preserve"> hours </w:t>
            </w:r>
          </w:p>
          <w:p w14:paraId="65E74C19" w14:textId="77777777" w:rsidR="003B387D" w:rsidRPr="00F52E43" w:rsidRDefault="003B387D" w:rsidP="00D6201F">
            <w:pPr>
              <w:rPr>
                <w:sz w:val="22"/>
                <w:szCs w:val="22"/>
              </w:rPr>
            </w:pPr>
          </w:p>
          <w:p w14:paraId="755F5B82" w14:textId="77777777" w:rsidR="003B387D" w:rsidRPr="00F52E43" w:rsidRDefault="003B387D" w:rsidP="00D6201F">
            <w:pPr>
              <w:rPr>
                <w:sz w:val="22"/>
                <w:szCs w:val="22"/>
              </w:rPr>
            </w:pPr>
          </w:p>
        </w:tc>
        <w:tc>
          <w:tcPr>
            <w:tcW w:w="2471" w:type="dxa"/>
          </w:tcPr>
          <w:p w14:paraId="664670CD" w14:textId="77777777" w:rsidR="003B387D" w:rsidRPr="00F52E43" w:rsidRDefault="00F52E43" w:rsidP="00D6201F">
            <w:pPr>
              <w:rPr>
                <w:sz w:val="22"/>
                <w:szCs w:val="22"/>
              </w:rPr>
            </w:pPr>
            <w:r>
              <w:rPr>
                <w:sz w:val="22"/>
                <w:szCs w:val="22"/>
              </w:rPr>
              <w:t>160</w:t>
            </w:r>
            <w:r w:rsidR="003B387D" w:rsidRPr="00F52E43">
              <w:rPr>
                <w:sz w:val="22"/>
                <w:szCs w:val="22"/>
              </w:rPr>
              <w:t xml:space="preserve"> hours</w:t>
            </w:r>
          </w:p>
          <w:p w14:paraId="37625BF0" w14:textId="77777777" w:rsidR="003B387D" w:rsidRPr="00F52E43" w:rsidRDefault="003B387D" w:rsidP="00D6201F">
            <w:pPr>
              <w:rPr>
                <w:sz w:val="22"/>
                <w:szCs w:val="22"/>
              </w:rPr>
            </w:pPr>
          </w:p>
          <w:p w14:paraId="536DDC81" w14:textId="77777777" w:rsidR="003B387D" w:rsidRPr="00F52E43" w:rsidRDefault="00F52E43" w:rsidP="00D6201F">
            <w:pPr>
              <w:rPr>
                <w:sz w:val="22"/>
                <w:szCs w:val="22"/>
              </w:rPr>
            </w:pPr>
            <w:r>
              <w:rPr>
                <w:sz w:val="22"/>
                <w:szCs w:val="22"/>
              </w:rPr>
              <w:t>48</w:t>
            </w:r>
            <w:r w:rsidR="003B387D" w:rsidRPr="00F52E43">
              <w:rPr>
                <w:sz w:val="22"/>
                <w:szCs w:val="22"/>
              </w:rPr>
              <w:t xml:space="preserve"> hours</w:t>
            </w:r>
          </w:p>
          <w:p w14:paraId="38B1244B" w14:textId="77777777" w:rsidR="003B387D" w:rsidRPr="00F52E43" w:rsidRDefault="003B387D" w:rsidP="00D6201F">
            <w:pPr>
              <w:rPr>
                <w:sz w:val="22"/>
                <w:szCs w:val="22"/>
              </w:rPr>
            </w:pPr>
          </w:p>
        </w:tc>
      </w:tr>
      <w:tr w:rsidR="003B387D" w:rsidRPr="0006738B" w14:paraId="64ADBB8F" w14:textId="77777777" w:rsidTr="002B3450">
        <w:tc>
          <w:tcPr>
            <w:tcW w:w="4788" w:type="dxa"/>
          </w:tcPr>
          <w:p w14:paraId="2D1A5A35" w14:textId="77777777" w:rsidR="003B387D" w:rsidRPr="0006738B" w:rsidRDefault="003B387D" w:rsidP="003B387D">
            <w:pPr>
              <w:rPr>
                <w:sz w:val="22"/>
                <w:szCs w:val="22"/>
              </w:rPr>
            </w:pPr>
            <w:r w:rsidRPr="0006738B">
              <w:rPr>
                <w:b/>
                <w:sz w:val="22"/>
                <w:szCs w:val="22"/>
              </w:rPr>
              <w:t xml:space="preserve">Cumulative Totals </w:t>
            </w:r>
          </w:p>
        </w:tc>
        <w:tc>
          <w:tcPr>
            <w:tcW w:w="1957" w:type="dxa"/>
          </w:tcPr>
          <w:p w14:paraId="67037B25" w14:textId="6F8AEE2C" w:rsidR="003B387D" w:rsidRPr="0006738B" w:rsidRDefault="002B3450" w:rsidP="003B387D">
            <w:pPr>
              <w:rPr>
                <w:sz w:val="22"/>
                <w:szCs w:val="22"/>
              </w:rPr>
            </w:pPr>
            <w:r>
              <w:rPr>
                <w:b/>
                <w:sz w:val="22"/>
                <w:szCs w:val="22"/>
              </w:rPr>
              <w:t>1,775</w:t>
            </w:r>
            <w:r w:rsidR="00020A7F">
              <w:rPr>
                <w:b/>
                <w:sz w:val="22"/>
                <w:szCs w:val="22"/>
              </w:rPr>
              <w:t xml:space="preserve"> </w:t>
            </w:r>
            <w:r w:rsidR="003B387D" w:rsidRPr="0006738B">
              <w:rPr>
                <w:b/>
                <w:sz w:val="22"/>
                <w:szCs w:val="22"/>
              </w:rPr>
              <w:t>respondents</w:t>
            </w:r>
          </w:p>
        </w:tc>
        <w:tc>
          <w:tcPr>
            <w:tcW w:w="2471" w:type="dxa"/>
          </w:tcPr>
          <w:p w14:paraId="0B9816C2" w14:textId="36D0CDCA" w:rsidR="003B387D" w:rsidRPr="0006738B" w:rsidRDefault="005F79EE" w:rsidP="003B387D">
            <w:pPr>
              <w:rPr>
                <w:sz w:val="22"/>
                <w:szCs w:val="22"/>
              </w:rPr>
            </w:pPr>
            <w:r>
              <w:rPr>
                <w:b/>
                <w:sz w:val="22"/>
                <w:szCs w:val="22"/>
              </w:rPr>
              <w:t>3,149 hours</w:t>
            </w:r>
            <w:r>
              <w:rPr>
                <w:rStyle w:val="FootnoteReference"/>
                <w:b/>
                <w:sz w:val="22"/>
                <w:szCs w:val="22"/>
              </w:rPr>
              <w:footnoteReference w:id="4"/>
            </w:r>
          </w:p>
        </w:tc>
      </w:tr>
    </w:tbl>
    <w:p w14:paraId="642C37B2" w14:textId="6C8730BA" w:rsidR="00D62AEC" w:rsidRPr="0006738B" w:rsidRDefault="00D62AEC" w:rsidP="00800733">
      <w:pPr>
        <w:ind w:left="360"/>
        <w:rPr>
          <w:sz w:val="22"/>
          <w:szCs w:val="22"/>
        </w:rPr>
      </w:pPr>
      <w:r w:rsidRPr="0006738B">
        <w:rPr>
          <w:sz w:val="22"/>
          <w:szCs w:val="22"/>
        </w:rPr>
        <w:t xml:space="preserve">The Commission estimates that it </w:t>
      </w:r>
      <w:r w:rsidR="00F52E43">
        <w:rPr>
          <w:sz w:val="22"/>
          <w:szCs w:val="22"/>
        </w:rPr>
        <w:t xml:space="preserve">will </w:t>
      </w:r>
      <w:r w:rsidRPr="0006738B">
        <w:rPr>
          <w:sz w:val="22"/>
          <w:szCs w:val="22"/>
        </w:rPr>
        <w:t xml:space="preserve">require approximately </w:t>
      </w:r>
      <w:r w:rsidR="00F52E43">
        <w:rPr>
          <w:sz w:val="22"/>
          <w:szCs w:val="22"/>
        </w:rPr>
        <w:t>208</w:t>
      </w:r>
      <w:r w:rsidRPr="0006738B">
        <w:rPr>
          <w:sz w:val="22"/>
          <w:szCs w:val="22"/>
        </w:rPr>
        <w:t xml:space="preserve"> </w:t>
      </w:r>
      <w:r w:rsidR="00B31F73">
        <w:rPr>
          <w:sz w:val="22"/>
          <w:szCs w:val="22"/>
        </w:rPr>
        <w:t xml:space="preserve">total </w:t>
      </w:r>
      <w:r w:rsidRPr="0006738B">
        <w:rPr>
          <w:sz w:val="22"/>
          <w:szCs w:val="22"/>
        </w:rPr>
        <w:t xml:space="preserve">hours </w:t>
      </w:r>
      <w:r w:rsidR="00B31F73">
        <w:rPr>
          <w:sz w:val="22"/>
          <w:szCs w:val="22"/>
        </w:rPr>
        <w:t xml:space="preserve">annually for utilities </w:t>
      </w:r>
      <w:r w:rsidRPr="0006738B">
        <w:rPr>
          <w:sz w:val="22"/>
          <w:szCs w:val="22"/>
        </w:rPr>
        <w:t xml:space="preserve">to </w:t>
      </w:r>
      <w:r w:rsidR="00F52E43">
        <w:rPr>
          <w:sz w:val="22"/>
          <w:szCs w:val="22"/>
        </w:rPr>
        <w:t xml:space="preserve">file the necessary paperwork required to attempt to rebut the presumption in pole attachment complaint cases that incumbent LECs are similarly situated to other telecommunications </w:t>
      </w:r>
      <w:r w:rsidR="00FD1622">
        <w:rPr>
          <w:sz w:val="22"/>
          <w:szCs w:val="22"/>
        </w:rPr>
        <w:t>attachers</w:t>
      </w:r>
      <w:r w:rsidR="00F52E43">
        <w:rPr>
          <w:sz w:val="22"/>
          <w:szCs w:val="22"/>
        </w:rPr>
        <w:t xml:space="preserve"> on a utility pole</w:t>
      </w:r>
      <w:r w:rsidR="00DC6BBB">
        <w:rPr>
          <w:sz w:val="22"/>
          <w:szCs w:val="22"/>
        </w:rPr>
        <w:t>.</w:t>
      </w:r>
    </w:p>
    <w:p w14:paraId="0F6198BC" w14:textId="77777777" w:rsidR="00D62AEC" w:rsidRPr="0006738B" w:rsidRDefault="00D62AEC" w:rsidP="00800733">
      <w:pPr>
        <w:ind w:left="360" w:hanging="360"/>
        <w:rPr>
          <w:sz w:val="22"/>
          <w:szCs w:val="22"/>
        </w:rPr>
      </w:pPr>
    </w:p>
    <w:p w14:paraId="2E2D1B72" w14:textId="608A45E6" w:rsidR="00D62AEC" w:rsidRDefault="00B31F73" w:rsidP="00800733">
      <w:pPr>
        <w:ind w:left="360"/>
        <w:rPr>
          <w:sz w:val="22"/>
          <w:szCs w:val="22"/>
        </w:rPr>
      </w:pPr>
      <w:r>
        <w:rPr>
          <w:sz w:val="22"/>
          <w:szCs w:val="22"/>
        </w:rPr>
        <w:t>W</w:t>
      </w:r>
      <w:r w:rsidR="00D62AEC" w:rsidRPr="0006738B">
        <w:rPr>
          <w:sz w:val="22"/>
          <w:szCs w:val="22"/>
        </w:rPr>
        <w:t>e assume that in-house attorneys and legal assistants will be used in approximate equal measures in under</w:t>
      </w:r>
      <w:r w:rsidR="00F52E43">
        <w:rPr>
          <w:sz w:val="22"/>
          <w:szCs w:val="22"/>
        </w:rPr>
        <w:t>taking this</w:t>
      </w:r>
      <w:r w:rsidR="00D62AEC" w:rsidRPr="0006738B">
        <w:rPr>
          <w:sz w:val="22"/>
          <w:szCs w:val="22"/>
        </w:rPr>
        <w:t xml:space="preserve"> information collection.  These employees are estimated to be paid in a range of $150 to $200 per hour, for an average wage of $175 per hour.  </w:t>
      </w:r>
    </w:p>
    <w:p w14:paraId="1F99C486" w14:textId="69151A5A" w:rsidR="005F79EE" w:rsidRDefault="005F79EE" w:rsidP="00800733">
      <w:pPr>
        <w:ind w:left="360"/>
        <w:rPr>
          <w:sz w:val="22"/>
          <w:szCs w:val="22"/>
        </w:rPr>
      </w:pPr>
    </w:p>
    <w:p w14:paraId="17FDA9FB" w14:textId="6A660E79" w:rsidR="00D62AEC" w:rsidRDefault="00D62AEC" w:rsidP="00800733">
      <w:pPr>
        <w:ind w:left="360" w:hanging="360"/>
        <w:rPr>
          <w:sz w:val="22"/>
          <w:szCs w:val="22"/>
        </w:rPr>
      </w:pPr>
      <w:r w:rsidRPr="00CB7480">
        <w:rPr>
          <w:sz w:val="22"/>
          <w:szCs w:val="22"/>
        </w:rPr>
        <w:tab/>
      </w:r>
      <w:r w:rsidR="00CB7480" w:rsidRPr="00CB7480">
        <w:rPr>
          <w:sz w:val="22"/>
          <w:szCs w:val="22"/>
        </w:rPr>
        <w:t xml:space="preserve">208 </w:t>
      </w:r>
      <w:r w:rsidRPr="00CB7480">
        <w:rPr>
          <w:sz w:val="22"/>
          <w:szCs w:val="22"/>
        </w:rPr>
        <w:t>hours x $175/hour = $</w:t>
      </w:r>
      <w:r w:rsidR="00DC6BBB">
        <w:rPr>
          <w:sz w:val="22"/>
          <w:szCs w:val="22"/>
        </w:rPr>
        <w:t>36,400</w:t>
      </w:r>
      <w:r w:rsidR="00CB7480" w:rsidRPr="00CB7480">
        <w:rPr>
          <w:sz w:val="22"/>
          <w:szCs w:val="22"/>
        </w:rPr>
        <w:t xml:space="preserve"> annual </w:t>
      </w:r>
      <w:r w:rsidR="00DC6BBB">
        <w:rPr>
          <w:sz w:val="22"/>
          <w:szCs w:val="22"/>
        </w:rPr>
        <w:t xml:space="preserve">in-house </w:t>
      </w:r>
      <w:r w:rsidR="00CB7480" w:rsidRPr="00CB7480">
        <w:rPr>
          <w:sz w:val="22"/>
          <w:szCs w:val="22"/>
        </w:rPr>
        <w:t>cost burden</w:t>
      </w:r>
      <w:r w:rsidR="00DC6BBB">
        <w:rPr>
          <w:sz w:val="22"/>
          <w:szCs w:val="22"/>
        </w:rPr>
        <w:t xml:space="preserve"> to utilities</w:t>
      </w:r>
      <w:r w:rsidR="00FD1622">
        <w:rPr>
          <w:sz w:val="22"/>
          <w:szCs w:val="22"/>
        </w:rPr>
        <w:t>.</w:t>
      </w:r>
    </w:p>
    <w:p w14:paraId="68462D71" w14:textId="674A410F" w:rsidR="00D07583" w:rsidRDefault="00D07583" w:rsidP="00800733">
      <w:pPr>
        <w:ind w:left="360" w:hanging="360"/>
        <w:rPr>
          <w:sz w:val="22"/>
          <w:szCs w:val="22"/>
        </w:rPr>
      </w:pPr>
    </w:p>
    <w:p w14:paraId="4AC5D7C4" w14:textId="1F21CFA1" w:rsidR="00D07583" w:rsidRPr="00222EE9" w:rsidRDefault="00763053" w:rsidP="00D07583">
      <w:pPr>
        <w:ind w:left="360"/>
        <w:rPr>
          <w:sz w:val="22"/>
          <w:szCs w:val="22"/>
        </w:rPr>
      </w:pPr>
      <w:r>
        <w:rPr>
          <w:sz w:val="22"/>
          <w:szCs w:val="22"/>
        </w:rPr>
        <w:t xml:space="preserve">In the most recent renewal for this collection, we estimated that the total annual paperwork burden hours for these pole attachment complaint rules would be 2,941 hours.  </w:t>
      </w:r>
      <w:r w:rsidR="00D07583" w:rsidRPr="00222EE9">
        <w:rPr>
          <w:sz w:val="22"/>
          <w:szCs w:val="22"/>
        </w:rPr>
        <w:t xml:space="preserve">We </w:t>
      </w:r>
      <w:r>
        <w:rPr>
          <w:sz w:val="22"/>
          <w:szCs w:val="22"/>
        </w:rPr>
        <w:t xml:space="preserve">also estimated </w:t>
      </w:r>
      <w:r w:rsidR="00D07583" w:rsidRPr="00222EE9">
        <w:rPr>
          <w:sz w:val="22"/>
          <w:szCs w:val="22"/>
        </w:rPr>
        <w:t>that in-house attorneys and legal assistants w</w:t>
      </w:r>
      <w:r>
        <w:rPr>
          <w:sz w:val="22"/>
          <w:szCs w:val="22"/>
        </w:rPr>
        <w:t>ould</w:t>
      </w:r>
      <w:r w:rsidR="00D07583" w:rsidRPr="00222EE9">
        <w:rPr>
          <w:sz w:val="22"/>
          <w:szCs w:val="22"/>
        </w:rPr>
        <w:t xml:space="preserve"> be used in approximate equal measures in under</w:t>
      </w:r>
      <w:r>
        <w:rPr>
          <w:sz w:val="22"/>
          <w:szCs w:val="22"/>
        </w:rPr>
        <w:t>taking</w:t>
      </w:r>
      <w:r w:rsidR="00D07583" w:rsidRPr="00222EE9">
        <w:rPr>
          <w:sz w:val="22"/>
          <w:szCs w:val="22"/>
        </w:rPr>
        <w:t xml:space="preserve"> the various information collection requirements.  </w:t>
      </w:r>
      <w:r>
        <w:rPr>
          <w:sz w:val="22"/>
          <w:szCs w:val="22"/>
        </w:rPr>
        <w:t>As stated above, t</w:t>
      </w:r>
      <w:r w:rsidR="00D07583" w:rsidRPr="00222EE9">
        <w:rPr>
          <w:sz w:val="22"/>
          <w:szCs w:val="22"/>
        </w:rPr>
        <w:t xml:space="preserve">hese employees are estimated to be paid in a range of $150 to $200 per hour, for an average wage of $175 per hour.  </w:t>
      </w:r>
    </w:p>
    <w:p w14:paraId="22F35120" w14:textId="77777777" w:rsidR="00D07583" w:rsidRPr="00222EE9" w:rsidRDefault="00D07583" w:rsidP="00D07583">
      <w:pPr>
        <w:ind w:left="360" w:hanging="360"/>
        <w:rPr>
          <w:sz w:val="22"/>
          <w:szCs w:val="22"/>
        </w:rPr>
      </w:pPr>
    </w:p>
    <w:p w14:paraId="6B7BEC2C" w14:textId="186315C2" w:rsidR="00D07583" w:rsidRPr="00222EE9" w:rsidRDefault="00D07583" w:rsidP="00D07583">
      <w:pPr>
        <w:ind w:left="360" w:hanging="360"/>
        <w:rPr>
          <w:sz w:val="22"/>
          <w:szCs w:val="22"/>
        </w:rPr>
      </w:pPr>
      <w:r w:rsidRPr="00222EE9">
        <w:rPr>
          <w:sz w:val="22"/>
          <w:szCs w:val="22"/>
        </w:rPr>
        <w:tab/>
        <w:t>2,941 hours x $175/hour = $514,675</w:t>
      </w:r>
      <w:r w:rsidR="00763053">
        <w:rPr>
          <w:sz w:val="22"/>
          <w:szCs w:val="22"/>
        </w:rPr>
        <w:t xml:space="preserve"> in annual costs to comply with the already-approved burdens set forth in Collection No. 3060-0392.</w:t>
      </w:r>
    </w:p>
    <w:p w14:paraId="0C2052FE" w14:textId="77777777" w:rsidR="00D07583" w:rsidRPr="00222EE9" w:rsidRDefault="00D07583" w:rsidP="00D07583">
      <w:pPr>
        <w:ind w:left="360" w:hanging="360"/>
        <w:rPr>
          <w:sz w:val="22"/>
          <w:szCs w:val="22"/>
        </w:rPr>
      </w:pPr>
    </w:p>
    <w:p w14:paraId="4F1C8941" w14:textId="6F23100E" w:rsidR="00D07583" w:rsidRDefault="00D07583" w:rsidP="00D07583">
      <w:pPr>
        <w:ind w:left="360"/>
        <w:rPr>
          <w:sz w:val="22"/>
          <w:szCs w:val="22"/>
        </w:rPr>
      </w:pPr>
      <w:r w:rsidRPr="00222EE9">
        <w:rPr>
          <w:b/>
          <w:sz w:val="22"/>
          <w:szCs w:val="22"/>
        </w:rPr>
        <w:t>Total Annualized “In-House” Cost to Respondents:</w:t>
      </w:r>
      <w:r w:rsidRPr="00222EE9">
        <w:rPr>
          <w:sz w:val="22"/>
          <w:szCs w:val="22"/>
        </w:rPr>
        <w:t xml:space="preserve">  </w:t>
      </w:r>
      <w:r w:rsidRPr="00222EE9">
        <w:rPr>
          <w:b/>
          <w:sz w:val="22"/>
          <w:szCs w:val="22"/>
        </w:rPr>
        <w:t>$36,400 + $514,675 = $551,075</w:t>
      </w:r>
      <w:r>
        <w:rPr>
          <w:b/>
          <w:sz w:val="22"/>
          <w:szCs w:val="22"/>
        </w:rPr>
        <w:t xml:space="preserve"> </w:t>
      </w:r>
    </w:p>
    <w:p w14:paraId="796EBC66" w14:textId="77777777" w:rsidR="00D62AEC" w:rsidRPr="0006738B" w:rsidRDefault="00D62AEC" w:rsidP="00800733">
      <w:pPr>
        <w:ind w:left="360" w:hanging="360"/>
        <w:rPr>
          <w:sz w:val="22"/>
          <w:szCs w:val="22"/>
        </w:rPr>
      </w:pPr>
    </w:p>
    <w:p w14:paraId="283E9A6E" w14:textId="77777777" w:rsidR="00D62AEC" w:rsidRPr="0006738B" w:rsidRDefault="00D62AEC" w:rsidP="00800733">
      <w:pPr>
        <w:ind w:left="360" w:hanging="360"/>
        <w:rPr>
          <w:sz w:val="22"/>
          <w:szCs w:val="22"/>
        </w:rPr>
      </w:pPr>
      <w:r w:rsidRPr="0006738B">
        <w:rPr>
          <w:sz w:val="22"/>
          <w:szCs w:val="22"/>
        </w:rPr>
        <w:t xml:space="preserve">13.  </w:t>
      </w:r>
      <w:r w:rsidR="004203D8">
        <w:rPr>
          <w:sz w:val="22"/>
          <w:szCs w:val="22"/>
        </w:rPr>
        <w:t xml:space="preserve">Additional </w:t>
      </w:r>
      <w:r w:rsidRPr="0006738B">
        <w:rPr>
          <w:sz w:val="22"/>
          <w:szCs w:val="22"/>
        </w:rPr>
        <w:t xml:space="preserve">Annual Cost Burden to Respondents:  </w:t>
      </w:r>
    </w:p>
    <w:p w14:paraId="04B72DBB" w14:textId="77777777" w:rsidR="00D62AEC" w:rsidRPr="0006738B" w:rsidRDefault="00D62AEC" w:rsidP="00B837FD">
      <w:pPr>
        <w:ind w:left="360" w:hanging="360"/>
        <w:rPr>
          <w:sz w:val="22"/>
          <w:szCs w:val="22"/>
        </w:rPr>
      </w:pPr>
    </w:p>
    <w:p w14:paraId="02620227" w14:textId="2D52355C" w:rsidR="00D62AEC" w:rsidRDefault="00D62AEC" w:rsidP="00DC6BBB">
      <w:pPr>
        <w:ind w:left="360"/>
        <w:rPr>
          <w:sz w:val="22"/>
          <w:szCs w:val="22"/>
        </w:rPr>
      </w:pPr>
      <w:r w:rsidRPr="0006738B">
        <w:rPr>
          <w:sz w:val="22"/>
          <w:szCs w:val="22"/>
        </w:rPr>
        <w:t xml:space="preserve">We estimate that </w:t>
      </w:r>
      <w:r w:rsidR="004203D8">
        <w:rPr>
          <w:sz w:val="22"/>
          <w:szCs w:val="22"/>
        </w:rPr>
        <w:t xml:space="preserve">utilities in incumbent LEC </w:t>
      </w:r>
      <w:r w:rsidRPr="0006738B">
        <w:rPr>
          <w:sz w:val="22"/>
          <w:szCs w:val="22"/>
        </w:rPr>
        <w:t>complaint proce</w:t>
      </w:r>
      <w:r w:rsidR="004203D8">
        <w:rPr>
          <w:sz w:val="22"/>
          <w:szCs w:val="22"/>
        </w:rPr>
        <w:t>e</w:t>
      </w:r>
      <w:r w:rsidRPr="0006738B">
        <w:rPr>
          <w:sz w:val="22"/>
          <w:szCs w:val="22"/>
        </w:rPr>
        <w:t>d</w:t>
      </w:r>
      <w:r w:rsidR="004203D8">
        <w:rPr>
          <w:sz w:val="22"/>
          <w:szCs w:val="22"/>
        </w:rPr>
        <w:t>ings</w:t>
      </w:r>
      <w:r w:rsidRPr="0006738B">
        <w:rPr>
          <w:sz w:val="22"/>
          <w:szCs w:val="22"/>
        </w:rPr>
        <w:t xml:space="preserve"> will use outside legal counsel paid at a rate of $300 per hour to perform approximately </w:t>
      </w:r>
      <w:r w:rsidR="00DC6BBB">
        <w:rPr>
          <w:sz w:val="22"/>
          <w:szCs w:val="22"/>
        </w:rPr>
        <w:t>10</w:t>
      </w:r>
      <w:r w:rsidRPr="0006738B">
        <w:rPr>
          <w:sz w:val="22"/>
          <w:szCs w:val="22"/>
        </w:rPr>
        <w:t xml:space="preserve"> additional hours of the legal work in</w:t>
      </w:r>
      <w:r w:rsidR="00DC6BBB">
        <w:rPr>
          <w:sz w:val="22"/>
          <w:szCs w:val="22"/>
        </w:rPr>
        <w:t xml:space="preserve"> each of the estimated 12 </w:t>
      </w:r>
      <w:r w:rsidRPr="0006738B">
        <w:rPr>
          <w:sz w:val="22"/>
          <w:szCs w:val="22"/>
        </w:rPr>
        <w:t>complaint proce</w:t>
      </w:r>
      <w:r w:rsidR="004203D8">
        <w:rPr>
          <w:sz w:val="22"/>
          <w:szCs w:val="22"/>
        </w:rPr>
        <w:t>e</w:t>
      </w:r>
      <w:r w:rsidRPr="0006738B">
        <w:rPr>
          <w:sz w:val="22"/>
          <w:szCs w:val="22"/>
        </w:rPr>
        <w:t>d</w:t>
      </w:r>
      <w:r w:rsidR="004203D8">
        <w:rPr>
          <w:sz w:val="22"/>
          <w:szCs w:val="22"/>
        </w:rPr>
        <w:t>ings</w:t>
      </w:r>
      <w:r w:rsidR="00DC6BBB">
        <w:rPr>
          <w:sz w:val="22"/>
          <w:szCs w:val="22"/>
        </w:rPr>
        <w:t xml:space="preserve"> where utilities use outside counsel</w:t>
      </w:r>
      <w:r w:rsidRPr="0006738B">
        <w:rPr>
          <w:sz w:val="22"/>
          <w:szCs w:val="22"/>
        </w:rPr>
        <w:t xml:space="preserve">.  </w:t>
      </w:r>
      <w:r w:rsidR="00DC6BBB">
        <w:rPr>
          <w:sz w:val="22"/>
          <w:szCs w:val="22"/>
        </w:rPr>
        <w:t xml:space="preserve">12 complaint cases times 10 hours per case = 120 hours annually.  120 hours times $300 per hour </w:t>
      </w:r>
      <w:r w:rsidRPr="004203D8">
        <w:rPr>
          <w:sz w:val="22"/>
          <w:szCs w:val="22"/>
        </w:rPr>
        <w:t>= $</w:t>
      </w:r>
      <w:r w:rsidR="00DC6BBB">
        <w:rPr>
          <w:sz w:val="22"/>
          <w:szCs w:val="22"/>
        </w:rPr>
        <w:t>36,000</w:t>
      </w:r>
      <w:r w:rsidR="00F14891" w:rsidRPr="004203D8">
        <w:rPr>
          <w:sz w:val="22"/>
          <w:szCs w:val="22"/>
        </w:rPr>
        <w:t xml:space="preserve"> </w:t>
      </w:r>
      <w:r w:rsidR="00DC6BBB">
        <w:rPr>
          <w:sz w:val="22"/>
          <w:szCs w:val="22"/>
        </w:rPr>
        <w:t>t</w:t>
      </w:r>
      <w:r w:rsidR="00F14891" w:rsidRPr="004203D8">
        <w:rPr>
          <w:sz w:val="22"/>
          <w:szCs w:val="22"/>
        </w:rPr>
        <w:t xml:space="preserve">otal </w:t>
      </w:r>
      <w:r w:rsidR="00DC6BBB">
        <w:rPr>
          <w:sz w:val="22"/>
          <w:szCs w:val="22"/>
        </w:rPr>
        <w:t>a</w:t>
      </w:r>
      <w:r w:rsidR="00F14891" w:rsidRPr="004203D8">
        <w:rPr>
          <w:sz w:val="22"/>
          <w:szCs w:val="22"/>
        </w:rPr>
        <w:t xml:space="preserve">nnual </w:t>
      </w:r>
      <w:r w:rsidR="00DC6BBB">
        <w:rPr>
          <w:sz w:val="22"/>
          <w:szCs w:val="22"/>
        </w:rPr>
        <w:t>outside c</w:t>
      </w:r>
      <w:r w:rsidR="00F14891" w:rsidRPr="004203D8">
        <w:rPr>
          <w:sz w:val="22"/>
          <w:szCs w:val="22"/>
        </w:rPr>
        <w:t xml:space="preserve">osts </w:t>
      </w:r>
      <w:r w:rsidR="004203D8">
        <w:rPr>
          <w:sz w:val="22"/>
          <w:szCs w:val="22"/>
        </w:rPr>
        <w:t xml:space="preserve">to </w:t>
      </w:r>
      <w:r w:rsidR="00DC6BBB">
        <w:rPr>
          <w:sz w:val="22"/>
          <w:szCs w:val="22"/>
        </w:rPr>
        <w:t>u</w:t>
      </w:r>
      <w:r w:rsidR="004203D8">
        <w:rPr>
          <w:sz w:val="22"/>
          <w:szCs w:val="22"/>
        </w:rPr>
        <w:t>tilities</w:t>
      </w:r>
      <w:r w:rsidR="00DC6BBB">
        <w:rPr>
          <w:sz w:val="22"/>
          <w:szCs w:val="22"/>
        </w:rPr>
        <w:t>.</w:t>
      </w:r>
    </w:p>
    <w:p w14:paraId="45D5D50E" w14:textId="375B4145" w:rsidR="00D07583" w:rsidRDefault="00D07583" w:rsidP="00DC6BBB">
      <w:pPr>
        <w:ind w:left="360"/>
        <w:rPr>
          <w:sz w:val="22"/>
          <w:szCs w:val="22"/>
        </w:rPr>
      </w:pPr>
    </w:p>
    <w:p w14:paraId="4A56B34E" w14:textId="142D0A4C" w:rsidR="00D07583" w:rsidRPr="00801F74" w:rsidRDefault="00801F74" w:rsidP="00D07583">
      <w:pPr>
        <w:ind w:left="360"/>
        <w:rPr>
          <w:sz w:val="22"/>
          <w:szCs w:val="22"/>
        </w:rPr>
      </w:pPr>
      <w:r>
        <w:rPr>
          <w:sz w:val="22"/>
          <w:szCs w:val="22"/>
        </w:rPr>
        <w:t>In the most recent renewal for this collection, we estimated that respondents would</w:t>
      </w:r>
      <w:r w:rsidR="00D07583" w:rsidRPr="00801F74">
        <w:rPr>
          <w:sz w:val="22"/>
          <w:szCs w:val="22"/>
        </w:rPr>
        <w:t xml:space="preserve"> use outside legal counsel paid at a rate of $300 per hour to perform approximately 1,500 additional hours of the legal work in these various complaint and enforcement procedures.  </w:t>
      </w:r>
    </w:p>
    <w:p w14:paraId="7B299FB5" w14:textId="77777777" w:rsidR="00D07583" w:rsidRPr="00B31F73" w:rsidRDefault="00D07583" w:rsidP="00D07583">
      <w:pPr>
        <w:ind w:left="360" w:hanging="360"/>
        <w:rPr>
          <w:sz w:val="22"/>
          <w:szCs w:val="22"/>
          <w:highlight w:val="yellow"/>
        </w:rPr>
      </w:pPr>
    </w:p>
    <w:p w14:paraId="595CFBB3" w14:textId="77777777" w:rsidR="00F2335B" w:rsidRPr="00801F74" w:rsidRDefault="00D07583" w:rsidP="00D07583">
      <w:pPr>
        <w:ind w:left="360" w:hanging="360"/>
        <w:rPr>
          <w:sz w:val="22"/>
          <w:szCs w:val="22"/>
        </w:rPr>
      </w:pPr>
      <w:r w:rsidRPr="00801F74">
        <w:rPr>
          <w:sz w:val="22"/>
          <w:szCs w:val="22"/>
        </w:rPr>
        <w:tab/>
        <w:t xml:space="preserve">1,500 hours x $300/hour= $450,000 </w:t>
      </w:r>
    </w:p>
    <w:p w14:paraId="70A362FD" w14:textId="77777777" w:rsidR="00F2335B" w:rsidRPr="00801F74" w:rsidRDefault="00F2335B" w:rsidP="00D07583">
      <w:pPr>
        <w:ind w:left="360" w:hanging="360"/>
        <w:rPr>
          <w:b/>
          <w:sz w:val="22"/>
          <w:szCs w:val="22"/>
        </w:rPr>
      </w:pPr>
    </w:p>
    <w:p w14:paraId="393E9AA9" w14:textId="2CA7C69E" w:rsidR="00F2335B" w:rsidRDefault="00D07583" w:rsidP="00B31F73">
      <w:pPr>
        <w:ind w:left="360"/>
        <w:rPr>
          <w:sz w:val="22"/>
          <w:szCs w:val="22"/>
        </w:rPr>
      </w:pPr>
      <w:r w:rsidRPr="00801F74">
        <w:rPr>
          <w:b/>
          <w:sz w:val="22"/>
          <w:szCs w:val="22"/>
        </w:rPr>
        <w:t>Total Annual Cost</w:t>
      </w:r>
      <w:r w:rsidR="00C66426">
        <w:rPr>
          <w:b/>
          <w:sz w:val="22"/>
          <w:szCs w:val="22"/>
        </w:rPr>
        <w:t xml:space="preserve"> Burden to Respondent</w:t>
      </w:r>
      <w:r w:rsidRPr="00801F74">
        <w:rPr>
          <w:b/>
          <w:sz w:val="22"/>
          <w:szCs w:val="22"/>
        </w:rPr>
        <w:t>s</w:t>
      </w:r>
      <w:r w:rsidR="00F2335B" w:rsidRPr="00801F74">
        <w:rPr>
          <w:sz w:val="22"/>
          <w:szCs w:val="22"/>
        </w:rPr>
        <w:t xml:space="preserve">: </w:t>
      </w:r>
      <w:r w:rsidR="00F2335B" w:rsidRPr="00801F74">
        <w:rPr>
          <w:b/>
          <w:sz w:val="22"/>
          <w:szCs w:val="22"/>
        </w:rPr>
        <w:t>$36,000 + $450,000 =</w:t>
      </w:r>
      <w:r w:rsidR="00F2335B" w:rsidRPr="00801F74">
        <w:rPr>
          <w:sz w:val="22"/>
          <w:szCs w:val="22"/>
        </w:rPr>
        <w:t xml:space="preserve"> </w:t>
      </w:r>
      <w:r w:rsidR="00F2335B" w:rsidRPr="00801F74">
        <w:rPr>
          <w:b/>
          <w:sz w:val="22"/>
          <w:szCs w:val="22"/>
        </w:rPr>
        <w:t>$486,000</w:t>
      </w:r>
    </w:p>
    <w:p w14:paraId="04F953E2" w14:textId="28BA9DC6" w:rsidR="00D62AEC" w:rsidRPr="0006738B" w:rsidRDefault="00D62AEC" w:rsidP="008B5E01">
      <w:pPr>
        <w:rPr>
          <w:sz w:val="22"/>
          <w:szCs w:val="22"/>
        </w:rPr>
      </w:pPr>
    </w:p>
    <w:p w14:paraId="6C13C40B" w14:textId="4E19281D" w:rsidR="00D62AEC" w:rsidRDefault="00D62AEC" w:rsidP="00DC6BBB">
      <w:pPr>
        <w:ind w:left="360" w:hanging="360"/>
        <w:rPr>
          <w:sz w:val="22"/>
          <w:szCs w:val="22"/>
        </w:rPr>
      </w:pPr>
      <w:r w:rsidRPr="00222EE9">
        <w:rPr>
          <w:sz w:val="22"/>
          <w:szCs w:val="22"/>
        </w:rPr>
        <w:t xml:space="preserve">14.  </w:t>
      </w:r>
      <w:r w:rsidR="00DC6BBB" w:rsidRPr="00222EE9">
        <w:rPr>
          <w:sz w:val="22"/>
          <w:szCs w:val="22"/>
        </w:rPr>
        <w:t>There are no annualized costs to the federal government as a result of this r</w:t>
      </w:r>
      <w:r w:rsidR="002B3450" w:rsidRPr="00222EE9">
        <w:rPr>
          <w:sz w:val="22"/>
          <w:szCs w:val="22"/>
        </w:rPr>
        <w:t>evision</w:t>
      </w:r>
      <w:r w:rsidR="00DC6BBB" w:rsidRPr="00222EE9">
        <w:rPr>
          <w:sz w:val="22"/>
          <w:szCs w:val="22"/>
        </w:rPr>
        <w:t>.</w:t>
      </w:r>
      <w:r w:rsidR="00C66426">
        <w:rPr>
          <w:sz w:val="22"/>
          <w:szCs w:val="22"/>
        </w:rPr>
        <w:t xml:space="preserve">  However, in the recent renewal for this collection, we estimated $168,075 in total annual costs to the federal government for the burdens associated with this collection.</w:t>
      </w:r>
    </w:p>
    <w:p w14:paraId="4D54BAA5" w14:textId="77777777" w:rsidR="00FD1622" w:rsidRPr="0006738B" w:rsidRDefault="00FD1622" w:rsidP="00DC6BBB">
      <w:pPr>
        <w:ind w:left="360" w:hanging="360"/>
        <w:rPr>
          <w:sz w:val="22"/>
          <w:szCs w:val="22"/>
        </w:rPr>
      </w:pPr>
    </w:p>
    <w:p w14:paraId="25FC7772" w14:textId="58DDC702" w:rsidR="00074427" w:rsidRDefault="00D62AEC" w:rsidP="00A70D0B">
      <w:pPr>
        <w:suppressAutoHyphens/>
        <w:ind w:left="360" w:hanging="360"/>
        <w:rPr>
          <w:sz w:val="22"/>
          <w:szCs w:val="22"/>
        </w:rPr>
      </w:pPr>
      <w:r w:rsidRPr="00222EE9">
        <w:rPr>
          <w:spacing w:val="-3"/>
          <w:sz w:val="22"/>
          <w:szCs w:val="22"/>
        </w:rPr>
        <w:t xml:space="preserve">15.  </w:t>
      </w:r>
      <w:r w:rsidR="00DC6BBB" w:rsidRPr="00222EE9">
        <w:rPr>
          <w:sz w:val="22"/>
          <w:szCs w:val="22"/>
        </w:rPr>
        <w:t xml:space="preserve">The Commission is reporting </w:t>
      </w:r>
      <w:r w:rsidR="00074427" w:rsidRPr="00222EE9">
        <w:rPr>
          <w:sz w:val="22"/>
          <w:szCs w:val="22"/>
        </w:rPr>
        <w:t xml:space="preserve">a program change </w:t>
      </w:r>
      <w:r w:rsidR="00DC6BBB" w:rsidRPr="00222EE9">
        <w:rPr>
          <w:sz w:val="22"/>
          <w:szCs w:val="22"/>
        </w:rPr>
        <w:t xml:space="preserve">in the number of annual responses and annual burden hours </w:t>
      </w:r>
      <w:r w:rsidR="009231DE" w:rsidRPr="00222EE9">
        <w:rPr>
          <w:sz w:val="22"/>
          <w:szCs w:val="22"/>
        </w:rPr>
        <w:t>associated with section 1.141</w:t>
      </w:r>
      <w:r w:rsidR="00EF7CAE">
        <w:rPr>
          <w:sz w:val="22"/>
          <w:szCs w:val="22"/>
        </w:rPr>
        <w:t>3</w:t>
      </w:r>
      <w:r w:rsidR="009231DE" w:rsidRPr="00222EE9">
        <w:rPr>
          <w:sz w:val="22"/>
          <w:szCs w:val="22"/>
        </w:rPr>
        <w:t xml:space="preserve"> as </w:t>
      </w:r>
      <w:r w:rsidR="00DC6BBB" w:rsidRPr="00222EE9">
        <w:rPr>
          <w:sz w:val="22"/>
          <w:szCs w:val="22"/>
        </w:rPr>
        <w:t>previously reported to OMB as part of this collection.  Th</w:t>
      </w:r>
      <w:r w:rsidR="00074427" w:rsidRPr="00222EE9">
        <w:rPr>
          <w:sz w:val="22"/>
          <w:szCs w:val="22"/>
        </w:rPr>
        <w:t xml:space="preserve">ese </w:t>
      </w:r>
      <w:r w:rsidR="00A70D0B" w:rsidRPr="00222EE9">
        <w:rPr>
          <w:sz w:val="22"/>
          <w:szCs w:val="22"/>
        </w:rPr>
        <w:t xml:space="preserve">program </w:t>
      </w:r>
      <w:r w:rsidR="00074427" w:rsidRPr="00222EE9">
        <w:rPr>
          <w:sz w:val="22"/>
          <w:szCs w:val="22"/>
        </w:rPr>
        <w:t>changes</w:t>
      </w:r>
      <w:r w:rsidR="00DC6BBB" w:rsidRPr="00222EE9">
        <w:rPr>
          <w:sz w:val="22"/>
          <w:szCs w:val="22"/>
        </w:rPr>
        <w:t xml:space="preserve"> </w:t>
      </w:r>
      <w:r w:rsidR="00A70D0B" w:rsidRPr="00222EE9">
        <w:rPr>
          <w:sz w:val="22"/>
          <w:szCs w:val="22"/>
        </w:rPr>
        <w:t xml:space="preserve">are reflected in the supporting statement which </w:t>
      </w:r>
      <w:r w:rsidR="00DC6BBB" w:rsidRPr="00222EE9">
        <w:rPr>
          <w:sz w:val="22"/>
          <w:szCs w:val="22"/>
        </w:rPr>
        <w:t xml:space="preserve">result from </w:t>
      </w:r>
      <w:r w:rsidR="009231DE" w:rsidRPr="00222EE9">
        <w:rPr>
          <w:sz w:val="22"/>
          <w:szCs w:val="22"/>
        </w:rPr>
        <w:t xml:space="preserve">the Commission’s change from a burden on incumbent LECs to a burden on utility pole owners </w:t>
      </w:r>
      <w:r w:rsidR="00FD1622" w:rsidRPr="00222EE9">
        <w:rPr>
          <w:sz w:val="22"/>
          <w:szCs w:val="22"/>
        </w:rPr>
        <w:t xml:space="preserve">to </w:t>
      </w:r>
      <w:r w:rsidR="009231DE" w:rsidRPr="00222EE9">
        <w:rPr>
          <w:sz w:val="22"/>
          <w:szCs w:val="22"/>
        </w:rPr>
        <w:t>challeng</w:t>
      </w:r>
      <w:r w:rsidR="00FD1622" w:rsidRPr="00222EE9">
        <w:rPr>
          <w:sz w:val="22"/>
          <w:szCs w:val="22"/>
        </w:rPr>
        <w:t>e</w:t>
      </w:r>
      <w:r w:rsidR="009231DE" w:rsidRPr="00222EE9">
        <w:rPr>
          <w:sz w:val="22"/>
          <w:szCs w:val="22"/>
        </w:rPr>
        <w:t xml:space="preserve"> a presumption favoring incumbent LECs in complaint proceedings</w:t>
      </w:r>
      <w:r w:rsidR="00DC6BBB" w:rsidRPr="00222EE9">
        <w:rPr>
          <w:sz w:val="22"/>
          <w:szCs w:val="22"/>
        </w:rPr>
        <w:t xml:space="preserve">.  </w:t>
      </w:r>
    </w:p>
    <w:p w14:paraId="766F07A4" w14:textId="77777777" w:rsidR="00A70D0B" w:rsidRDefault="00A70D0B" w:rsidP="00A70D0B">
      <w:pPr>
        <w:suppressAutoHyphens/>
        <w:ind w:left="360" w:hanging="360"/>
        <w:rPr>
          <w:sz w:val="22"/>
          <w:szCs w:val="22"/>
        </w:rPr>
      </w:pPr>
    </w:p>
    <w:p w14:paraId="468922C9" w14:textId="17A26882" w:rsidR="003C4238" w:rsidRPr="0006738B" w:rsidRDefault="00074427" w:rsidP="00DC6BBB">
      <w:pPr>
        <w:suppressAutoHyphens/>
        <w:ind w:left="360" w:hanging="360"/>
        <w:rPr>
          <w:spacing w:val="-3"/>
          <w:sz w:val="22"/>
          <w:szCs w:val="22"/>
        </w:rPr>
      </w:pPr>
      <w:r>
        <w:rPr>
          <w:sz w:val="22"/>
          <w:szCs w:val="22"/>
        </w:rPr>
        <w:tab/>
      </w:r>
      <w:r w:rsidR="006F576E">
        <w:rPr>
          <w:sz w:val="22"/>
          <w:szCs w:val="22"/>
        </w:rPr>
        <w:t>Otherwise, t</w:t>
      </w:r>
      <w:r>
        <w:rPr>
          <w:sz w:val="22"/>
          <w:szCs w:val="22"/>
        </w:rPr>
        <w:t xml:space="preserve">here are no adjustments to this </w:t>
      </w:r>
      <w:r w:rsidR="00AB17CB">
        <w:rPr>
          <w:sz w:val="22"/>
          <w:szCs w:val="22"/>
        </w:rPr>
        <w:t xml:space="preserve">information </w:t>
      </w:r>
      <w:r>
        <w:rPr>
          <w:sz w:val="22"/>
          <w:szCs w:val="22"/>
        </w:rPr>
        <w:t xml:space="preserve">collection. </w:t>
      </w:r>
      <w:r w:rsidR="00DC6BBB" w:rsidRPr="00B75803">
        <w:rPr>
          <w:sz w:val="22"/>
          <w:szCs w:val="22"/>
        </w:rPr>
        <w:t xml:space="preserve"> </w:t>
      </w:r>
    </w:p>
    <w:p w14:paraId="16084081" w14:textId="77777777" w:rsidR="00D62AEC" w:rsidRPr="0006738B" w:rsidRDefault="00750E0F" w:rsidP="00481518">
      <w:pPr>
        <w:suppressAutoHyphens/>
        <w:ind w:left="360" w:hanging="360"/>
        <w:rPr>
          <w:spacing w:val="-3"/>
          <w:sz w:val="22"/>
          <w:szCs w:val="22"/>
        </w:rPr>
      </w:pPr>
      <w:r w:rsidRPr="0006738B">
        <w:rPr>
          <w:spacing w:val="-3"/>
          <w:sz w:val="22"/>
          <w:szCs w:val="22"/>
        </w:rPr>
        <w:t xml:space="preserve"> </w:t>
      </w:r>
    </w:p>
    <w:p w14:paraId="559F5347" w14:textId="77777777" w:rsidR="00D62AEC" w:rsidRPr="0006738B" w:rsidRDefault="00D62AEC" w:rsidP="00481518">
      <w:pPr>
        <w:suppressAutoHyphens/>
        <w:ind w:left="360" w:hanging="360"/>
        <w:rPr>
          <w:spacing w:val="-3"/>
          <w:sz w:val="22"/>
          <w:szCs w:val="22"/>
        </w:rPr>
      </w:pPr>
      <w:r w:rsidRPr="0006738B">
        <w:rPr>
          <w:spacing w:val="-3"/>
          <w:sz w:val="22"/>
          <w:szCs w:val="22"/>
        </w:rPr>
        <w:t xml:space="preserve">16.  The Commission </w:t>
      </w:r>
      <w:r w:rsidR="009231DE">
        <w:rPr>
          <w:spacing w:val="-3"/>
          <w:sz w:val="22"/>
          <w:szCs w:val="22"/>
        </w:rPr>
        <w:t>does not intend to publish any information at this time</w:t>
      </w:r>
      <w:r w:rsidRPr="0006738B">
        <w:rPr>
          <w:spacing w:val="-3"/>
          <w:sz w:val="22"/>
          <w:szCs w:val="22"/>
        </w:rPr>
        <w:t>.</w:t>
      </w:r>
    </w:p>
    <w:p w14:paraId="5C4AB065" w14:textId="77777777" w:rsidR="00D62AEC" w:rsidRPr="0006738B" w:rsidRDefault="00D62AEC" w:rsidP="00481518">
      <w:pPr>
        <w:suppressAutoHyphens/>
        <w:ind w:left="360" w:hanging="360"/>
        <w:rPr>
          <w:spacing w:val="-3"/>
          <w:sz w:val="22"/>
          <w:szCs w:val="22"/>
        </w:rPr>
      </w:pPr>
    </w:p>
    <w:p w14:paraId="385DF838" w14:textId="6C3C3093" w:rsidR="00D62AEC" w:rsidRPr="0006738B" w:rsidRDefault="00D62AEC" w:rsidP="00481518">
      <w:pPr>
        <w:suppressAutoHyphens/>
        <w:ind w:left="360" w:hanging="360"/>
        <w:rPr>
          <w:spacing w:val="-3"/>
          <w:sz w:val="22"/>
          <w:szCs w:val="22"/>
        </w:rPr>
      </w:pPr>
      <w:r w:rsidRPr="0006738B">
        <w:rPr>
          <w:spacing w:val="-3"/>
          <w:sz w:val="22"/>
          <w:szCs w:val="22"/>
        </w:rPr>
        <w:t xml:space="preserve">17.  </w:t>
      </w:r>
      <w:r w:rsidR="009231DE" w:rsidRPr="00B75803">
        <w:rPr>
          <w:sz w:val="22"/>
          <w:szCs w:val="22"/>
        </w:rPr>
        <w:t>The Commission does not intend to seek approval to</w:t>
      </w:r>
      <w:r w:rsidR="00A5791D">
        <w:rPr>
          <w:sz w:val="22"/>
          <w:szCs w:val="22"/>
        </w:rPr>
        <w:t xml:space="preserve"> not</w:t>
      </w:r>
      <w:r w:rsidR="009231DE" w:rsidRPr="00B75803">
        <w:rPr>
          <w:sz w:val="22"/>
          <w:szCs w:val="22"/>
        </w:rPr>
        <w:t xml:space="preserve"> display the </w:t>
      </w:r>
      <w:r w:rsidR="00FD1622">
        <w:rPr>
          <w:sz w:val="22"/>
          <w:szCs w:val="22"/>
        </w:rPr>
        <w:t>e</w:t>
      </w:r>
      <w:r w:rsidR="009231DE" w:rsidRPr="00B75803">
        <w:rPr>
          <w:sz w:val="22"/>
          <w:szCs w:val="22"/>
        </w:rPr>
        <w:t>xpiration date for OMB approval of th</w:t>
      </w:r>
      <w:r w:rsidR="009231DE">
        <w:rPr>
          <w:sz w:val="22"/>
          <w:szCs w:val="22"/>
        </w:rPr>
        <w:t>is</w:t>
      </w:r>
      <w:r w:rsidR="002B3450">
        <w:rPr>
          <w:sz w:val="22"/>
          <w:szCs w:val="22"/>
        </w:rPr>
        <w:t xml:space="preserve"> revision to an existing</w:t>
      </w:r>
      <w:r w:rsidR="009231DE" w:rsidRPr="00B75803">
        <w:rPr>
          <w:sz w:val="22"/>
          <w:szCs w:val="22"/>
        </w:rPr>
        <w:t xml:space="preserve"> information collection.  The Commission publishes a list of OMB-approved information collections displaying the OMB control number, OMB expiration date, and title of each collection in 47 CFR § 0.408</w:t>
      </w:r>
      <w:r w:rsidRPr="0006738B">
        <w:rPr>
          <w:spacing w:val="-3"/>
          <w:sz w:val="22"/>
          <w:szCs w:val="22"/>
        </w:rPr>
        <w:t>.</w:t>
      </w:r>
    </w:p>
    <w:p w14:paraId="08085AE8" w14:textId="77777777" w:rsidR="00D62AEC" w:rsidRPr="0006738B" w:rsidRDefault="00D62AEC" w:rsidP="00B837FD">
      <w:pPr>
        <w:suppressAutoHyphens/>
        <w:ind w:left="360" w:hanging="360"/>
        <w:jc w:val="both"/>
        <w:rPr>
          <w:spacing w:val="-3"/>
          <w:sz w:val="22"/>
          <w:szCs w:val="22"/>
        </w:rPr>
      </w:pPr>
    </w:p>
    <w:p w14:paraId="43943299" w14:textId="77777777" w:rsidR="00D62AEC" w:rsidRPr="0006738B" w:rsidRDefault="00D62AEC" w:rsidP="00B837FD">
      <w:pPr>
        <w:suppressAutoHyphens/>
        <w:ind w:left="360" w:hanging="360"/>
        <w:jc w:val="both"/>
        <w:rPr>
          <w:spacing w:val="-3"/>
          <w:sz w:val="22"/>
          <w:szCs w:val="22"/>
        </w:rPr>
      </w:pPr>
      <w:r w:rsidRPr="0006738B">
        <w:rPr>
          <w:spacing w:val="-3"/>
          <w:sz w:val="22"/>
          <w:szCs w:val="22"/>
        </w:rPr>
        <w:t>18.  There are no exceptions to the Certification Statement</w:t>
      </w:r>
      <w:r w:rsidR="000F6F81" w:rsidRPr="0006738B">
        <w:rPr>
          <w:spacing w:val="-3"/>
          <w:sz w:val="22"/>
          <w:szCs w:val="22"/>
        </w:rPr>
        <w:t>.</w:t>
      </w:r>
      <w:r w:rsidRPr="0006738B">
        <w:rPr>
          <w:spacing w:val="-3"/>
          <w:sz w:val="22"/>
          <w:szCs w:val="22"/>
        </w:rPr>
        <w:t xml:space="preserve"> </w:t>
      </w:r>
    </w:p>
    <w:p w14:paraId="2765F9E4" w14:textId="77777777" w:rsidR="00F14891" w:rsidRPr="0006738B" w:rsidRDefault="00F14891" w:rsidP="00B837FD">
      <w:pPr>
        <w:suppressAutoHyphens/>
        <w:ind w:left="360" w:hanging="360"/>
        <w:jc w:val="both"/>
        <w:rPr>
          <w:spacing w:val="-3"/>
          <w:sz w:val="22"/>
          <w:szCs w:val="22"/>
        </w:rPr>
      </w:pPr>
    </w:p>
    <w:p w14:paraId="0E305F4C" w14:textId="77777777" w:rsidR="00D62AEC" w:rsidRPr="0006738B" w:rsidRDefault="00D62AEC" w:rsidP="008B746B">
      <w:pPr>
        <w:suppressAutoHyphens/>
        <w:jc w:val="both"/>
        <w:rPr>
          <w:b/>
          <w:spacing w:val="-3"/>
          <w:sz w:val="22"/>
          <w:szCs w:val="22"/>
          <w:u w:val="single"/>
        </w:rPr>
      </w:pPr>
      <w:r w:rsidRPr="0006738B">
        <w:rPr>
          <w:b/>
          <w:spacing w:val="-3"/>
          <w:sz w:val="22"/>
          <w:szCs w:val="22"/>
          <w:u w:val="single"/>
        </w:rPr>
        <w:t>B.  Collections of Information Employing Statistical Methods:</w:t>
      </w:r>
    </w:p>
    <w:p w14:paraId="70C49450" w14:textId="77777777" w:rsidR="00D62AEC" w:rsidRPr="0006738B" w:rsidRDefault="00D62AEC" w:rsidP="00442522">
      <w:pPr>
        <w:suppressAutoHyphens/>
        <w:jc w:val="both"/>
        <w:rPr>
          <w:spacing w:val="-3"/>
          <w:sz w:val="22"/>
          <w:szCs w:val="22"/>
        </w:rPr>
      </w:pPr>
    </w:p>
    <w:p w14:paraId="3F2FECA4" w14:textId="49CA2B22" w:rsidR="00D62AEC" w:rsidRPr="00EF7CAE" w:rsidRDefault="001C7394" w:rsidP="00EF7CAE">
      <w:pPr>
        <w:suppressAutoHyphens/>
        <w:jc w:val="both"/>
        <w:rPr>
          <w:spacing w:val="-3"/>
          <w:sz w:val="22"/>
          <w:szCs w:val="22"/>
        </w:rPr>
      </w:pPr>
      <w:r w:rsidRPr="0006738B">
        <w:rPr>
          <w:spacing w:val="-3"/>
          <w:sz w:val="22"/>
          <w:szCs w:val="22"/>
        </w:rPr>
        <w:t xml:space="preserve">This information collection does not employ any </w:t>
      </w:r>
      <w:r w:rsidR="00D62AEC" w:rsidRPr="0006738B">
        <w:rPr>
          <w:spacing w:val="-3"/>
          <w:sz w:val="22"/>
          <w:szCs w:val="22"/>
        </w:rPr>
        <w:t>statistical methods.</w:t>
      </w:r>
    </w:p>
    <w:sectPr w:rsidR="00D62AEC" w:rsidRPr="00EF7CAE" w:rsidSect="003B387D">
      <w:headerReference w:type="default" r:id="rId10"/>
      <w:footerReference w:type="even" r:id="rId11"/>
      <w:footerReference w:type="default" r:id="rId12"/>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2C644" w14:textId="77777777" w:rsidR="00E55BA5" w:rsidRDefault="00E55BA5">
      <w:r>
        <w:separator/>
      </w:r>
    </w:p>
  </w:endnote>
  <w:endnote w:type="continuationSeparator" w:id="0">
    <w:p w14:paraId="3BA9C490" w14:textId="77777777" w:rsidR="00E55BA5" w:rsidRDefault="00E5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5D90" w14:textId="77777777" w:rsidR="00677C7A" w:rsidRDefault="00677C7A" w:rsidP="00C02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6B2F5D" w14:textId="77777777" w:rsidR="00677C7A" w:rsidRDefault="00677C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8A0DD" w14:textId="77777777" w:rsidR="00677C7A" w:rsidRPr="0042550B" w:rsidRDefault="00677C7A" w:rsidP="00C0264D">
    <w:pPr>
      <w:pStyle w:val="Footer"/>
      <w:framePr w:wrap="around" w:vAnchor="text" w:hAnchor="margin" w:xAlign="center" w:y="1"/>
      <w:rPr>
        <w:rStyle w:val="PageNumber"/>
        <w:sz w:val="20"/>
      </w:rPr>
    </w:pPr>
    <w:r w:rsidRPr="0042550B">
      <w:rPr>
        <w:rStyle w:val="PageNumber"/>
        <w:sz w:val="20"/>
      </w:rPr>
      <w:fldChar w:fldCharType="begin"/>
    </w:r>
    <w:r w:rsidRPr="0042550B">
      <w:rPr>
        <w:rStyle w:val="PageNumber"/>
        <w:sz w:val="20"/>
      </w:rPr>
      <w:instrText xml:space="preserve">PAGE  </w:instrText>
    </w:r>
    <w:r w:rsidRPr="0042550B">
      <w:rPr>
        <w:rStyle w:val="PageNumber"/>
        <w:sz w:val="20"/>
      </w:rPr>
      <w:fldChar w:fldCharType="separate"/>
    </w:r>
    <w:r w:rsidR="00E24A1D">
      <w:rPr>
        <w:rStyle w:val="PageNumber"/>
        <w:noProof/>
        <w:sz w:val="20"/>
      </w:rPr>
      <w:t>1</w:t>
    </w:r>
    <w:r w:rsidRPr="0042550B">
      <w:rPr>
        <w:rStyle w:val="PageNumber"/>
        <w:sz w:val="20"/>
      </w:rPr>
      <w:fldChar w:fldCharType="end"/>
    </w:r>
  </w:p>
  <w:p w14:paraId="0F803247" w14:textId="77777777" w:rsidR="00677C7A" w:rsidRDefault="00677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53F65" w14:textId="77777777" w:rsidR="00E55BA5" w:rsidRDefault="00E55BA5">
      <w:r>
        <w:separator/>
      </w:r>
    </w:p>
  </w:footnote>
  <w:footnote w:type="continuationSeparator" w:id="0">
    <w:p w14:paraId="4DF06AD8" w14:textId="77777777" w:rsidR="00E55BA5" w:rsidRDefault="00E55BA5">
      <w:r>
        <w:continuationSeparator/>
      </w:r>
    </w:p>
  </w:footnote>
  <w:footnote w:id="1">
    <w:p w14:paraId="189276A5" w14:textId="3B0CAD17" w:rsidR="005D1A1B" w:rsidRPr="0068045D" w:rsidRDefault="005D1A1B" w:rsidP="0068045D">
      <w:pPr>
        <w:pStyle w:val="FootnoteText"/>
        <w:rPr>
          <w:i/>
        </w:rPr>
      </w:pPr>
      <w:r w:rsidRPr="0068045D">
        <w:rPr>
          <w:rStyle w:val="FootnoteReference"/>
        </w:rPr>
        <w:footnoteRef/>
      </w:r>
      <w:r w:rsidRPr="0068045D">
        <w:t xml:space="preserve"> The Commission recently renumbered sections 1.1414, 1.1417, and 1.1424 of its rules to </w:t>
      </w:r>
      <w:r w:rsidR="0068045D" w:rsidRPr="0068045D">
        <w:t xml:space="preserve">1.1405, </w:t>
      </w:r>
      <w:r w:rsidRPr="0068045D">
        <w:t>1.141</w:t>
      </w:r>
      <w:r w:rsidR="0068045D" w:rsidRPr="0068045D">
        <w:t>0, and 1.141</w:t>
      </w:r>
      <w:r w:rsidR="00EF7CAE">
        <w:t>3</w:t>
      </w:r>
      <w:r w:rsidR="0068045D" w:rsidRPr="0068045D">
        <w:t>, respectively</w:t>
      </w:r>
      <w:r w:rsidRPr="0068045D">
        <w:t xml:space="preserve">.  </w:t>
      </w:r>
      <w:r w:rsidRPr="0068045D">
        <w:rPr>
          <w:i/>
        </w:rPr>
        <w:t>See Amendment of Procedural Rules Governing Formal Complaint Proceedings Delegated to the Enforcement Bureau</w:t>
      </w:r>
      <w:r w:rsidRPr="0068045D">
        <w:t>, EB Docket No. 17-245, Report and Order, FCC 18-96, Appx. A (July 18, 2018).</w:t>
      </w:r>
    </w:p>
  </w:footnote>
  <w:footnote w:id="2">
    <w:p w14:paraId="57D60926" w14:textId="77777777" w:rsidR="00FB5ED4" w:rsidRPr="0068045D" w:rsidRDefault="00FB5ED4" w:rsidP="00FB5ED4">
      <w:pPr>
        <w:pStyle w:val="FootnoteText"/>
      </w:pPr>
      <w:r w:rsidRPr="0068045D">
        <w:rPr>
          <w:rStyle w:val="FootnoteReference"/>
        </w:rPr>
        <w:footnoteRef/>
      </w:r>
      <w:r w:rsidRPr="0068045D">
        <w:t xml:space="preserve"> </w:t>
      </w:r>
      <w:r w:rsidRPr="0068045D">
        <w:rPr>
          <w:i/>
        </w:rPr>
        <w:t xml:space="preserve">See </w:t>
      </w:r>
      <w:r w:rsidRPr="0068045D">
        <w:t xml:space="preserve">FCC, </w:t>
      </w:r>
      <w:r w:rsidRPr="0068045D">
        <w:rPr>
          <w:i/>
          <w:color w:val="020100"/>
        </w:rPr>
        <w:t>Accelerating Wireline Broadband Deployment by Removing Barriers to Infrastructure Investmen</w:t>
      </w:r>
      <w:r w:rsidRPr="0068045D">
        <w:rPr>
          <w:i/>
          <w:color w:val="020100"/>
          <w:spacing w:val="-2"/>
        </w:rPr>
        <w:t>t</w:t>
      </w:r>
      <w:r w:rsidRPr="0068045D">
        <w:rPr>
          <w:color w:val="020100"/>
          <w:spacing w:val="-2"/>
        </w:rPr>
        <w:t>, 83 Fed. Reg. 21722 (May 10, 2018).</w:t>
      </w:r>
    </w:p>
  </w:footnote>
  <w:footnote w:id="3">
    <w:p w14:paraId="66095249" w14:textId="08F5FF68" w:rsidR="0068045D" w:rsidRPr="0068045D" w:rsidRDefault="0068045D">
      <w:pPr>
        <w:pStyle w:val="FootnoteText"/>
      </w:pPr>
      <w:r w:rsidRPr="0068045D">
        <w:rPr>
          <w:rStyle w:val="FootnoteReference"/>
        </w:rPr>
        <w:footnoteRef/>
      </w:r>
      <w:r w:rsidRPr="0068045D">
        <w:t xml:space="preserve"> </w:t>
      </w:r>
      <w:r w:rsidRPr="0068045D">
        <w:rPr>
          <w:i/>
        </w:rPr>
        <w:t>Accelerating Wireline Broadband Deployment by Removing Barriers to Infrastructure Investment</w:t>
      </w:r>
      <w:r w:rsidRPr="0068045D">
        <w:t>, WC Docket No. 17-84, WT Docket No. 17-70, Third Report and Order and Declaratory Ru</w:t>
      </w:r>
      <w:r>
        <w:t>ling, FCC 18-111 (2018) (</w:t>
      </w:r>
      <w:r w:rsidR="00FB5ED4">
        <w:t xml:space="preserve">2018 Pole Attachment </w:t>
      </w:r>
      <w:r>
        <w:t>Order).</w:t>
      </w:r>
    </w:p>
  </w:footnote>
  <w:footnote w:id="4">
    <w:p w14:paraId="276047A7" w14:textId="2F2BE338" w:rsidR="005F79EE" w:rsidRPr="00222EE9" w:rsidRDefault="005F79EE">
      <w:pPr>
        <w:pStyle w:val="FootnoteText"/>
      </w:pPr>
      <w:r w:rsidRPr="00222EE9">
        <w:rPr>
          <w:rStyle w:val="FootnoteReference"/>
        </w:rPr>
        <w:footnoteRef/>
      </w:r>
      <w:r w:rsidRPr="00222EE9">
        <w:t xml:space="preserve"> The cumulative total burdens hours have increased with this revision and are as follow</w:t>
      </w:r>
      <w:r w:rsidR="00AB17CB" w:rsidRPr="00222EE9">
        <w:t>s</w:t>
      </w:r>
      <w:r w:rsidRPr="00222EE9">
        <w:t>:  2,941 hours (currently approved) + 208 incremental burden hours = 3,149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45447" w14:textId="77777777" w:rsidR="00750E0F" w:rsidRPr="00626311" w:rsidRDefault="00750E0F" w:rsidP="00750E0F">
    <w:pPr>
      <w:pStyle w:val="Header"/>
      <w:rPr>
        <w:b/>
        <w:shd w:val="clear" w:color="auto" w:fill="FFFF99"/>
      </w:rPr>
    </w:pPr>
    <w:r w:rsidRPr="007E45BE">
      <w:rPr>
        <w:b/>
      </w:rPr>
      <w:t>47 C.F.R. 1 Subpart J – Pole Attachment Complaint Procedures</w:t>
    </w:r>
    <w:r w:rsidRPr="008B5E01">
      <w:t xml:space="preserve">   </w:t>
    </w:r>
    <w:r w:rsidRPr="008B5E01">
      <w:tab/>
    </w:r>
    <w:r w:rsidRPr="008B5E01">
      <w:rPr>
        <w:b/>
      </w:rPr>
      <w:t>3060-0392</w:t>
    </w:r>
  </w:p>
  <w:p w14:paraId="191211BF" w14:textId="6BE7A477" w:rsidR="00677C7A" w:rsidRPr="007E45BE" w:rsidRDefault="00750E0F">
    <w:pPr>
      <w:pStyle w:val="Header"/>
      <w:rPr>
        <w:b/>
      </w:rPr>
    </w:pPr>
    <w:r>
      <w:rPr>
        <w:b/>
      </w:rPr>
      <w:tab/>
    </w:r>
    <w:r>
      <w:rPr>
        <w:b/>
      </w:rPr>
      <w:tab/>
    </w:r>
    <w:r w:rsidR="00501034">
      <w:rPr>
        <w:b/>
      </w:rPr>
      <w:t>Decem</w:t>
    </w:r>
    <w:r w:rsidR="00EF7CAE">
      <w:rPr>
        <w:b/>
      </w:rPr>
      <w:t xml:space="preserve">ber </w:t>
    </w:r>
    <w:r w:rsidR="00665681">
      <w:rPr>
        <w:b/>
      </w:rPr>
      <w:t>201</w:t>
    </w:r>
    <w:r w:rsidR="002444DE">
      <w:rPr>
        <w:b/>
      </w:rPr>
      <w:t>8</w:t>
    </w:r>
    <w:r>
      <w:rPr>
        <w:b/>
      </w:rPr>
      <w:t xml:space="preserve"> </w:t>
    </w:r>
    <w:r w:rsidR="00677C7A" w:rsidRPr="007E45BE">
      <w:rPr>
        <w:b/>
      </w:rPr>
      <w:tab/>
    </w:r>
    <w:r w:rsidR="00677C7A" w:rsidRPr="007E45BE">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6D8"/>
    <w:multiLevelType w:val="hybridMultilevel"/>
    <w:tmpl w:val="2C40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47C2E"/>
    <w:multiLevelType w:val="hybridMultilevel"/>
    <w:tmpl w:val="0E96F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F307FA"/>
    <w:multiLevelType w:val="hybridMultilevel"/>
    <w:tmpl w:val="9B3E2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C129C"/>
    <w:multiLevelType w:val="hybridMultilevel"/>
    <w:tmpl w:val="4524F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DE3F68"/>
    <w:multiLevelType w:val="hybridMultilevel"/>
    <w:tmpl w:val="1F4E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257ECC"/>
    <w:multiLevelType w:val="hybridMultilevel"/>
    <w:tmpl w:val="3E14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7176E8"/>
    <w:multiLevelType w:val="hybridMultilevel"/>
    <w:tmpl w:val="6CDE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22"/>
    <w:rsid w:val="000025EF"/>
    <w:rsid w:val="00020A7F"/>
    <w:rsid w:val="00026B78"/>
    <w:rsid w:val="000312F8"/>
    <w:rsid w:val="00036191"/>
    <w:rsid w:val="00063C41"/>
    <w:rsid w:val="0006476D"/>
    <w:rsid w:val="0006738B"/>
    <w:rsid w:val="000701B6"/>
    <w:rsid w:val="000708C2"/>
    <w:rsid w:val="00074427"/>
    <w:rsid w:val="000933BF"/>
    <w:rsid w:val="00094175"/>
    <w:rsid w:val="00094BDB"/>
    <w:rsid w:val="000B4931"/>
    <w:rsid w:val="000C02D0"/>
    <w:rsid w:val="000C1345"/>
    <w:rsid w:val="000C30B5"/>
    <w:rsid w:val="000D3DC1"/>
    <w:rsid w:val="000D5B3E"/>
    <w:rsid w:val="000E658F"/>
    <w:rsid w:val="000E7333"/>
    <w:rsid w:val="000F6F81"/>
    <w:rsid w:val="00101419"/>
    <w:rsid w:val="001342D5"/>
    <w:rsid w:val="00145E4A"/>
    <w:rsid w:val="00151FE1"/>
    <w:rsid w:val="00154737"/>
    <w:rsid w:val="00154792"/>
    <w:rsid w:val="00160E99"/>
    <w:rsid w:val="001626A0"/>
    <w:rsid w:val="00172A41"/>
    <w:rsid w:val="00184182"/>
    <w:rsid w:val="00185BFE"/>
    <w:rsid w:val="001A0C7B"/>
    <w:rsid w:val="001B35B4"/>
    <w:rsid w:val="001B5466"/>
    <w:rsid w:val="001B6957"/>
    <w:rsid w:val="001C5D79"/>
    <w:rsid w:val="001C7394"/>
    <w:rsid w:val="001D2744"/>
    <w:rsid w:val="001D6017"/>
    <w:rsid w:val="001E51C4"/>
    <w:rsid w:val="001E71CA"/>
    <w:rsid w:val="00201FE7"/>
    <w:rsid w:val="002170E8"/>
    <w:rsid w:val="002228FB"/>
    <w:rsid w:val="00222EE9"/>
    <w:rsid w:val="0022677D"/>
    <w:rsid w:val="0023438C"/>
    <w:rsid w:val="00241FB8"/>
    <w:rsid w:val="002444DE"/>
    <w:rsid w:val="0025670E"/>
    <w:rsid w:val="00264E9C"/>
    <w:rsid w:val="00286490"/>
    <w:rsid w:val="002869D2"/>
    <w:rsid w:val="00290F51"/>
    <w:rsid w:val="002B3450"/>
    <w:rsid w:val="002C13D3"/>
    <w:rsid w:val="002C655C"/>
    <w:rsid w:val="002F2B3F"/>
    <w:rsid w:val="002F3766"/>
    <w:rsid w:val="002F6AED"/>
    <w:rsid w:val="00313DE1"/>
    <w:rsid w:val="003179FC"/>
    <w:rsid w:val="00324E46"/>
    <w:rsid w:val="00330427"/>
    <w:rsid w:val="0033579E"/>
    <w:rsid w:val="00351E9E"/>
    <w:rsid w:val="0035543B"/>
    <w:rsid w:val="0036444A"/>
    <w:rsid w:val="00367354"/>
    <w:rsid w:val="003A1B23"/>
    <w:rsid w:val="003A656C"/>
    <w:rsid w:val="003B387D"/>
    <w:rsid w:val="003C4238"/>
    <w:rsid w:val="003C6E17"/>
    <w:rsid w:val="003E24EA"/>
    <w:rsid w:val="004203D8"/>
    <w:rsid w:val="00420951"/>
    <w:rsid w:val="0042550B"/>
    <w:rsid w:val="004343FE"/>
    <w:rsid w:val="00442522"/>
    <w:rsid w:val="004521E7"/>
    <w:rsid w:val="00453FBC"/>
    <w:rsid w:val="00465A6A"/>
    <w:rsid w:val="004672A4"/>
    <w:rsid w:val="004728F7"/>
    <w:rsid w:val="00481518"/>
    <w:rsid w:val="00485728"/>
    <w:rsid w:val="00495153"/>
    <w:rsid w:val="004A00B0"/>
    <w:rsid w:val="004A651E"/>
    <w:rsid w:val="004D4C07"/>
    <w:rsid w:val="004E1E88"/>
    <w:rsid w:val="004F0065"/>
    <w:rsid w:val="004F4E0A"/>
    <w:rsid w:val="004F4EC1"/>
    <w:rsid w:val="004F5BFA"/>
    <w:rsid w:val="004F67CE"/>
    <w:rsid w:val="00501034"/>
    <w:rsid w:val="0051246E"/>
    <w:rsid w:val="00535DBE"/>
    <w:rsid w:val="005360C1"/>
    <w:rsid w:val="005412A8"/>
    <w:rsid w:val="005538D9"/>
    <w:rsid w:val="005703E4"/>
    <w:rsid w:val="00576091"/>
    <w:rsid w:val="0059524D"/>
    <w:rsid w:val="00597AD8"/>
    <w:rsid w:val="005A7528"/>
    <w:rsid w:val="005C080C"/>
    <w:rsid w:val="005C6520"/>
    <w:rsid w:val="005D1A1B"/>
    <w:rsid w:val="005F09E6"/>
    <w:rsid w:val="005F201B"/>
    <w:rsid w:val="005F79EE"/>
    <w:rsid w:val="00604E11"/>
    <w:rsid w:val="006067FB"/>
    <w:rsid w:val="00607B9C"/>
    <w:rsid w:val="006202DB"/>
    <w:rsid w:val="00626311"/>
    <w:rsid w:val="00633DBB"/>
    <w:rsid w:val="006423B3"/>
    <w:rsid w:val="00656A44"/>
    <w:rsid w:val="00665681"/>
    <w:rsid w:val="00665DB3"/>
    <w:rsid w:val="00676036"/>
    <w:rsid w:val="00677C7A"/>
    <w:rsid w:val="00677CF9"/>
    <w:rsid w:val="0068045D"/>
    <w:rsid w:val="00693F87"/>
    <w:rsid w:val="006A5203"/>
    <w:rsid w:val="006B021C"/>
    <w:rsid w:val="006C5A4B"/>
    <w:rsid w:val="006C62E5"/>
    <w:rsid w:val="006F0C02"/>
    <w:rsid w:val="006F576E"/>
    <w:rsid w:val="00700813"/>
    <w:rsid w:val="00701A97"/>
    <w:rsid w:val="00705518"/>
    <w:rsid w:val="0070739A"/>
    <w:rsid w:val="0071448F"/>
    <w:rsid w:val="0073787E"/>
    <w:rsid w:val="00746273"/>
    <w:rsid w:val="00750E0F"/>
    <w:rsid w:val="007557BC"/>
    <w:rsid w:val="007627B2"/>
    <w:rsid w:val="007627CA"/>
    <w:rsid w:val="00763053"/>
    <w:rsid w:val="007632ED"/>
    <w:rsid w:val="00766281"/>
    <w:rsid w:val="007740A4"/>
    <w:rsid w:val="0078405C"/>
    <w:rsid w:val="00784B70"/>
    <w:rsid w:val="0079129F"/>
    <w:rsid w:val="00793D99"/>
    <w:rsid w:val="007A28BC"/>
    <w:rsid w:val="007C6CB8"/>
    <w:rsid w:val="007D018B"/>
    <w:rsid w:val="007D5893"/>
    <w:rsid w:val="007D6CF4"/>
    <w:rsid w:val="007E0D94"/>
    <w:rsid w:val="007E2F01"/>
    <w:rsid w:val="007E45BE"/>
    <w:rsid w:val="007E7D71"/>
    <w:rsid w:val="007F50CD"/>
    <w:rsid w:val="00800733"/>
    <w:rsid w:val="00801F74"/>
    <w:rsid w:val="0082468C"/>
    <w:rsid w:val="00830FD0"/>
    <w:rsid w:val="00856341"/>
    <w:rsid w:val="00870470"/>
    <w:rsid w:val="0087687D"/>
    <w:rsid w:val="008779AE"/>
    <w:rsid w:val="00880C55"/>
    <w:rsid w:val="00885F2C"/>
    <w:rsid w:val="00893C33"/>
    <w:rsid w:val="008A1F64"/>
    <w:rsid w:val="008A5FC7"/>
    <w:rsid w:val="008B5E01"/>
    <w:rsid w:val="008B62AC"/>
    <w:rsid w:val="008B746B"/>
    <w:rsid w:val="008E78D8"/>
    <w:rsid w:val="00902335"/>
    <w:rsid w:val="00917829"/>
    <w:rsid w:val="009231DE"/>
    <w:rsid w:val="00937CB4"/>
    <w:rsid w:val="009412ED"/>
    <w:rsid w:val="00942462"/>
    <w:rsid w:val="00944238"/>
    <w:rsid w:val="0094626E"/>
    <w:rsid w:val="0097024B"/>
    <w:rsid w:val="00973ABB"/>
    <w:rsid w:val="00982AC5"/>
    <w:rsid w:val="00983A14"/>
    <w:rsid w:val="009909E4"/>
    <w:rsid w:val="00995619"/>
    <w:rsid w:val="00996951"/>
    <w:rsid w:val="009A7052"/>
    <w:rsid w:val="009B346F"/>
    <w:rsid w:val="009B72DB"/>
    <w:rsid w:val="009C506D"/>
    <w:rsid w:val="009C7D59"/>
    <w:rsid w:val="009E25ED"/>
    <w:rsid w:val="009E4DAC"/>
    <w:rsid w:val="00A03215"/>
    <w:rsid w:val="00A0413E"/>
    <w:rsid w:val="00A11F5F"/>
    <w:rsid w:val="00A128E5"/>
    <w:rsid w:val="00A1572F"/>
    <w:rsid w:val="00A40178"/>
    <w:rsid w:val="00A420FB"/>
    <w:rsid w:val="00A5392C"/>
    <w:rsid w:val="00A542DF"/>
    <w:rsid w:val="00A55A19"/>
    <w:rsid w:val="00A5791D"/>
    <w:rsid w:val="00A70D0B"/>
    <w:rsid w:val="00A754AC"/>
    <w:rsid w:val="00A83C15"/>
    <w:rsid w:val="00A8483E"/>
    <w:rsid w:val="00A8654F"/>
    <w:rsid w:val="00A87FAB"/>
    <w:rsid w:val="00AA15BD"/>
    <w:rsid w:val="00AB17CB"/>
    <w:rsid w:val="00AD2F8F"/>
    <w:rsid w:val="00AD59F9"/>
    <w:rsid w:val="00AE60B9"/>
    <w:rsid w:val="00AF1131"/>
    <w:rsid w:val="00AF158C"/>
    <w:rsid w:val="00AF2B31"/>
    <w:rsid w:val="00AF4ECB"/>
    <w:rsid w:val="00B11B2E"/>
    <w:rsid w:val="00B14F23"/>
    <w:rsid w:val="00B14FAD"/>
    <w:rsid w:val="00B2416C"/>
    <w:rsid w:val="00B31F73"/>
    <w:rsid w:val="00B3301E"/>
    <w:rsid w:val="00B33DC9"/>
    <w:rsid w:val="00B40A61"/>
    <w:rsid w:val="00B56CA5"/>
    <w:rsid w:val="00B74514"/>
    <w:rsid w:val="00B76675"/>
    <w:rsid w:val="00B82277"/>
    <w:rsid w:val="00B837FD"/>
    <w:rsid w:val="00B90CAC"/>
    <w:rsid w:val="00B937C4"/>
    <w:rsid w:val="00B93C79"/>
    <w:rsid w:val="00B94098"/>
    <w:rsid w:val="00B95EDE"/>
    <w:rsid w:val="00BA5BA5"/>
    <w:rsid w:val="00BB3FCD"/>
    <w:rsid w:val="00BD3DC5"/>
    <w:rsid w:val="00BD6D9D"/>
    <w:rsid w:val="00BE7A86"/>
    <w:rsid w:val="00C0264D"/>
    <w:rsid w:val="00C041C4"/>
    <w:rsid w:val="00C076DA"/>
    <w:rsid w:val="00C11A5C"/>
    <w:rsid w:val="00C66426"/>
    <w:rsid w:val="00C7023F"/>
    <w:rsid w:val="00C74DF8"/>
    <w:rsid w:val="00C93F2C"/>
    <w:rsid w:val="00CA3CE8"/>
    <w:rsid w:val="00CA6ED7"/>
    <w:rsid w:val="00CB7480"/>
    <w:rsid w:val="00CB7952"/>
    <w:rsid w:val="00CE7C59"/>
    <w:rsid w:val="00CF1E8F"/>
    <w:rsid w:val="00CF5F17"/>
    <w:rsid w:val="00D00B28"/>
    <w:rsid w:val="00D047D6"/>
    <w:rsid w:val="00D0531D"/>
    <w:rsid w:val="00D07583"/>
    <w:rsid w:val="00D253E0"/>
    <w:rsid w:val="00D27F5E"/>
    <w:rsid w:val="00D55B1E"/>
    <w:rsid w:val="00D61B43"/>
    <w:rsid w:val="00D62AEC"/>
    <w:rsid w:val="00D66522"/>
    <w:rsid w:val="00D70561"/>
    <w:rsid w:val="00D71E11"/>
    <w:rsid w:val="00D936EB"/>
    <w:rsid w:val="00DA2465"/>
    <w:rsid w:val="00DA41CB"/>
    <w:rsid w:val="00DA7586"/>
    <w:rsid w:val="00DB13D5"/>
    <w:rsid w:val="00DC3BC7"/>
    <w:rsid w:val="00DC624A"/>
    <w:rsid w:val="00DC6BBB"/>
    <w:rsid w:val="00DD4D59"/>
    <w:rsid w:val="00DD58F4"/>
    <w:rsid w:val="00DF5709"/>
    <w:rsid w:val="00DF5E42"/>
    <w:rsid w:val="00E110CC"/>
    <w:rsid w:val="00E15E25"/>
    <w:rsid w:val="00E24A1D"/>
    <w:rsid w:val="00E263E1"/>
    <w:rsid w:val="00E37220"/>
    <w:rsid w:val="00E43C0A"/>
    <w:rsid w:val="00E530C1"/>
    <w:rsid w:val="00E55BA5"/>
    <w:rsid w:val="00E62816"/>
    <w:rsid w:val="00E66220"/>
    <w:rsid w:val="00E67EA5"/>
    <w:rsid w:val="00E71D66"/>
    <w:rsid w:val="00E740C5"/>
    <w:rsid w:val="00E81990"/>
    <w:rsid w:val="00E96D7F"/>
    <w:rsid w:val="00EA14D8"/>
    <w:rsid w:val="00EA4C99"/>
    <w:rsid w:val="00EB7361"/>
    <w:rsid w:val="00EC0F15"/>
    <w:rsid w:val="00EC64DE"/>
    <w:rsid w:val="00EE3B1A"/>
    <w:rsid w:val="00EE553B"/>
    <w:rsid w:val="00EF7CAE"/>
    <w:rsid w:val="00F0614A"/>
    <w:rsid w:val="00F14681"/>
    <w:rsid w:val="00F14891"/>
    <w:rsid w:val="00F2335B"/>
    <w:rsid w:val="00F27022"/>
    <w:rsid w:val="00F32945"/>
    <w:rsid w:val="00F3456B"/>
    <w:rsid w:val="00F355B2"/>
    <w:rsid w:val="00F47827"/>
    <w:rsid w:val="00F52E43"/>
    <w:rsid w:val="00F55535"/>
    <w:rsid w:val="00F91A97"/>
    <w:rsid w:val="00F92957"/>
    <w:rsid w:val="00FA0C29"/>
    <w:rsid w:val="00FA7AF8"/>
    <w:rsid w:val="00FB3B7D"/>
    <w:rsid w:val="00FB5ED4"/>
    <w:rsid w:val="00FD1572"/>
    <w:rsid w:val="00FD1622"/>
    <w:rsid w:val="00FD3EA3"/>
    <w:rsid w:val="00FD58FD"/>
    <w:rsid w:val="00FE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45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F1E8F"/>
    <w:rPr>
      <w:rFonts w:ascii="Tahoma" w:hAnsi="Tahoma" w:cs="Tahoma"/>
      <w:sz w:val="16"/>
      <w:szCs w:val="16"/>
    </w:rPr>
  </w:style>
  <w:style w:type="character" w:customStyle="1" w:styleId="BalloonTextChar">
    <w:name w:val="Balloon Text Char"/>
    <w:link w:val="BalloonText"/>
    <w:semiHidden/>
    <w:locked/>
    <w:rsid w:val="00241FB8"/>
    <w:rPr>
      <w:rFonts w:cs="Times New Roman"/>
      <w:sz w:val="2"/>
    </w:rPr>
  </w:style>
  <w:style w:type="paragraph" w:styleId="Header">
    <w:name w:val="header"/>
    <w:basedOn w:val="Normal"/>
    <w:link w:val="HeaderChar"/>
    <w:rsid w:val="004F67CE"/>
    <w:pPr>
      <w:tabs>
        <w:tab w:val="center" w:pos="4320"/>
        <w:tab w:val="right" w:pos="8640"/>
      </w:tabs>
    </w:pPr>
  </w:style>
  <w:style w:type="character" w:customStyle="1" w:styleId="HeaderChar">
    <w:name w:val="Header Char"/>
    <w:link w:val="Header"/>
    <w:semiHidden/>
    <w:locked/>
    <w:rsid w:val="00101419"/>
    <w:rPr>
      <w:rFonts w:cs="Times New Roman"/>
      <w:sz w:val="20"/>
      <w:szCs w:val="20"/>
    </w:rPr>
  </w:style>
  <w:style w:type="paragraph" w:styleId="Footer">
    <w:name w:val="footer"/>
    <w:basedOn w:val="Normal"/>
    <w:link w:val="FooterChar"/>
    <w:rsid w:val="004F67CE"/>
    <w:pPr>
      <w:tabs>
        <w:tab w:val="center" w:pos="4320"/>
        <w:tab w:val="right" w:pos="8640"/>
      </w:tabs>
    </w:pPr>
  </w:style>
  <w:style w:type="character" w:customStyle="1" w:styleId="FooterChar">
    <w:name w:val="Footer Char"/>
    <w:link w:val="Footer"/>
    <w:semiHidden/>
    <w:locked/>
    <w:rsid w:val="00101419"/>
    <w:rPr>
      <w:rFonts w:cs="Times New Roman"/>
      <w:sz w:val="20"/>
      <w:szCs w:val="20"/>
    </w:rPr>
  </w:style>
  <w:style w:type="character" w:styleId="PageNumber">
    <w:name w:val="page number"/>
    <w:rsid w:val="005C080C"/>
    <w:rPr>
      <w:rFonts w:cs="Times New Roman"/>
    </w:rPr>
  </w:style>
  <w:style w:type="paragraph" w:styleId="FootnoteText">
    <w:name w:val="footnote text"/>
    <w:aliases w:val="Footnote Text Char Char,Footnote Text Char2 Char Char,Footnote Text Char3 Char1 Char Char,Footnote Text Char2 Char1 Char1 Char Char,Footnote Text Char3 Char1 Char Char Char Char,Footnote Text Char2,f,fn,ALTS FOOTNOTE,ALTS FOOTNOTE Char1"/>
    <w:basedOn w:val="Normal"/>
    <w:link w:val="FootnoteTextChar"/>
    <w:rsid w:val="00E62816"/>
    <w:rPr>
      <w:sz w:val="20"/>
    </w:rPr>
  </w:style>
  <w:style w:type="character" w:styleId="FootnoteReference">
    <w:name w:val="footnote reference"/>
    <w:aliases w:val="Appel note de bas de p,Style 12,(NECG) Footnote Reference,Style 124,o,fr,Style 3,Style 13,FR,Style 6,Style 17,Footnote Reference/,Style 7,Footnote Reference1,Style 4,Style 34,Style 9,Style 20,callout,-E Funotenzeichen,A"/>
    <w:rsid w:val="00E62816"/>
    <w:rPr>
      <w:vertAlign w:val="superscript"/>
    </w:rPr>
  </w:style>
  <w:style w:type="paragraph" w:styleId="ListParagraph">
    <w:name w:val="List Paragraph"/>
    <w:basedOn w:val="Normal"/>
    <w:uiPriority w:val="34"/>
    <w:qFormat/>
    <w:rsid w:val="0006476D"/>
    <w:pPr>
      <w:ind w:left="720"/>
      <w:contextualSpacing/>
    </w:pPr>
  </w:style>
  <w:style w:type="character" w:customStyle="1" w:styleId="FootnoteTextChar">
    <w:name w:val="Footnote Text Char"/>
    <w:aliases w:val="Footnote Text Char Char Char,Footnote Text Char2 Char Char Char,Footnote Text Char3 Char1 Char Char Char,Footnote Text Char2 Char1 Char1 Char Char Char,Footnote Text Char3 Char1 Char Char Char Char Char,Footnote Text Char2 Char,f Char"/>
    <w:basedOn w:val="DefaultParagraphFont"/>
    <w:link w:val="FootnoteText"/>
    <w:rsid w:val="0006476D"/>
  </w:style>
  <w:style w:type="character" w:styleId="Hyperlink">
    <w:name w:val="Hyperlink"/>
    <w:basedOn w:val="DefaultParagraphFont"/>
    <w:uiPriority w:val="99"/>
    <w:unhideWhenUsed/>
    <w:rsid w:val="001D6017"/>
    <w:rPr>
      <w:rFonts w:ascii="Times New Roman" w:hAnsi="Times New Roman" w:cs="Times New Roman" w:hint="default"/>
      <w:color w:val="000000"/>
      <w:u w:val="single"/>
    </w:rPr>
  </w:style>
  <w:style w:type="character" w:styleId="CommentReference">
    <w:name w:val="annotation reference"/>
    <w:basedOn w:val="DefaultParagraphFont"/>
    <w:rsid w:val="008A1F64"/>
    <w:rPr>
      <w:sz w:val="16"/>
      <w:szCs w:val="16"/>
    </w:rPr>
  </w:style>
  <w:style w:type="paragraph" w:styleId="CommentText">
    <w:name w:val="annotation text"/>
    <w:basedOn w:val="Normal"/>
    <w:link w:val="CommentTextChar"/>
    <w:rsid w:val="008A1F64"/>
    <w:rPr>
      <w:sz w:val="20"/>
    </w:rPr>
  </w:style>
  <w:style w:type="character" w:customStyle="1" w:styleId="CommentTextChar">
    <w:name w:val="Comment Text Char"/>
    <w:basedOn w:val="DefaultParagraphFont"/>
    <w:link w:val="CommentText"/>
    <w:rsid w:val="008A1F64"/>
  </w:style>
  <w:style w:type="paragraph" w:styleId="CommentSubject">
    <w:name w:val="annotation subject"/>
    <w:basedOn w:val="CommentText"/>
    <w:next w:val="CommentText"/>
    <w:link w:val="CommentSubjectChar"/>
    <w:rsid w:val="008A1F64"/>
    <w:rPr>
      <w:b/>
      <w:bCs/>
    </w:rPr>
  </w:style>
  <w:style w:type="character" w:customStyle="1" w:styleId="CommentSubjectChar">
    <w:name w:val="Comment Subject Char"/>
    <w:basedOn w:val="CommentTextChar"/>
    <w:link w:val="CommentSubject"/>
    <w:rsid w:val="008A1F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F1E8F"/>
    <w:rPr>
      <w:rFonts w:ascii="Tahoma" w:hAnsi="Tahoma" w:cs="Tahoma"/>
      <w:sz w:val="16"/>
      <w:szCs w:val="16"/>
    </w:rPr>
  </w:style>
  <w:style w:type="character" w:customStyle="1" w:styleId="BalloonTextChar">
    <w:name w:val="Balloon Text Char"/>
    <w:link w:val="BalloonText"/>
    <w:semiHidden/>
    <w:locked/>
    <w:rsid w:val="00241FB8"/>
    <w:rPr>
      <w:rFonts w:cs="Times New Roman"/>
      <w:sz w:val="2"/>
    </w:rPr>
  </w:style>
  <w:style w:type="paragraph" w:styleId="Header">
    <w:name w:val="header"/>
    <w:basedOn w:val="Normal"/>
    <w:link w:val="HeaderChar"/>
    <w:rsid w:val="004F67CE"/>
    <w:pPr>
      <w:tabs>
        <w:tab w:val="center" w:pos="4320"/>
        <w:tab w:val="right" w:pos="8640"/>
      </w:tabs>
    </w:pPr>
  </w:style>
  <w:style w:type="character" w:customStyle="1" w:styleId="HeaderChar">
    <w:name w:val="Header Char"/>
    <w:link w:val="Header"/>
    <w:semiHidden/>
    <w:locked/>
    <w:rsid w:val="00101419"/>
    <w:rPr>
      <w:rFonts w:cs="Times New Roman"/>
      <w:sz w:val="20"/>
      <w:szCs w:val="20"/>
    </w:rPr>
  </w:style>
  <w:style w:type="paragraph" w:styleId="Footer">
    <w:name w:val="footer"/>
    <w:basedOn w:val="Normal"/>
    <w:link w:val="FooterChar"/>
    <w:rsid w:val="004F67CE"/>
    <w:pPr>
      <w:tabs>
        <w:tab w:val="center" w:pos="4320"/>
        <w:tab w:val="right" w:pos="8640"/>
      </w:tabs>
    </w:pPr>
  </w:style>
  <w:style w:type="character" w:customStyle="1" w:styleId="FooterChar">
    <w:name w:val="Footer Char"/>
    <w:link w:val="Footer"/>
    <w:semiHidden/>
    <w:locked/>
    <w:rsid w:val="00101419"/>
    <w:rPr>
      <w:rFonts w:cs="Times New Roman"/>
      <w:sz w:val="20"/>
      <w:szCs w:val="20"/>
    </w:rPr>
  </w:style>
  <w:style w:type="character" w:styleId="PageNumber">
    <w:name w:val="page number"/>
    <w:rsid w:val="005C080C"/>
    <w:rPr>
      <w:rFonts w:cs="Times New Roman"/>
    </w:rPr>
  </w:style>
  <w:style w:type="paragraph" w:styleId="FootnoteText">
    <w:name w:val="footnote text"/>
    <w:aliases w:val="Footnote Text Char Char,Footnote Text Char2 Char Char,Footnote Text Char3 Char1 Char Char,Footnote Text Char2 Char1 Char1 Char Char,Footnote Text Char3 Char1 Char Char Char Char,Footnote Text Char2,f,fn,ALTS FOOTNOTE,ALTS FOOTNOTE Char1"/>
    <w:basedOn w:val="Normal"/>
    <w:link w:val="FootnoteTextChar"/>
    <w:rsid w:val="00E62816"/>
    <w:rPr>
      <w:sz w:val="20"/>
    </w:rPr>
  </w:style>
  <w:style w:type="character" w:styleId="FootnoteReference">
    <w:name w:val="footnote reference"/>
    <w:aliases w:val="Appel note de bas de p,Style 12,(NECG) Footnote Reference,Style 124,o,fr,Style 3,Style 13,FR,Style 6,Style 17,Footnote Reference/,Style 7,Footnote Reference1,Style 4,Style 34,Style 9,Style 20,callout,-E Funotenzeichen,A"/>
    <w:rsid w:val="00E62816"/>
    <w:rPr>
      <w:vertAlign w:val="superscript"/>
    </w:rPr>
  </w:style>
  <w:style w:type="paragraph" w:styleId="ListParagraph">
    <w:name w:val="List Paragraph"/>
    <w:basedOn w:val="Normal"/>
    <w:uiPriority w:val="34"/>
    <w:qFormat/>
    <w:rsid w:val="0006476D"/>
    <w:pPr>
      <w:ind w:left="720"/>
      <w:contextualSpacing/>
    </w:pPr>
  </w:style>
  <w:style w:type="character" w:customStyle="1" w:styleId="FootnoteTextChar">
    <w:name w:val="Footnote Text Char"/>
    <w:aliases w:val="Footnote Text Char Char Char,Footnote Text Char2 Char Char Char,Footnote Text Char3 Char1 Char Char Char,Footnote Text Char2 Char1 Char1 Char Char Char,Footnote Text Char3 Char1 Char Char Char Char Char,Footnote Text Char2 Char,f Char"/>
    <w:basedOn w:val="DefaultParagraphFont"/>
    <w:link w:val="FootnoteText"/>
    <w:rsid w:val="0006476D"/>
  </w:style>
  <w:style w:type="character" w:styleId="Hyperlink">
    <w:name w:val="Hyperlink"/>
    <w:basedOn w:val="DefaultParagraphFont"/>
    <w:uiPriority w:val="99"/>
    <w:unhideWhenUsed/>
    <w:rsid w:val="001D6017"/>
    <w:rPr>
      <w:rFonts w:ascii="Times New Roman" w:hAnsi="Times New Roman" w:cs="Times New Roman" w:hint="default"/>
      <w:color w:val="000000"/>
      <w:u w:val="single"/>
    </w:rPr>
  </w:style>
  <w:style w:type="character" w:styleId="CommentReference">
    <w:name w:val="annotation reference"/>
    <w:basedOn w:val="DefaultParagraphFont"/>
    <w:rsid w:val="008A1F64"/>
    <w:rPr>
      <w:sz w:val="16"/>
      <w:szCs w:val="16"/>
    </w:rPr>
  </w:style>
  <w:style w:type="paragraph" w:styleId="CommentText">
    <w:name w:val="annotation text"/>
    <w:basedOn w:val="Normal"/>
    <w:link w:val="CommentTextChar"/>
    <w:rsid w:val="008A1F64"/>
    <w:rPr>
      <w:sz w:val="20"/>
    </w:rPr>
  </w:style>
  <w:style w:type="character" w:customStyle="1" w:styleId="CommentTextChar">
    <w:name w:val="Comment Text Char"/>
    <w:basedOn w:val="DefaultParagraphFont"/>
    <w:link w:val="CommentText"/>
    <w:rsid w:val="008A1F64"/>
  </w:style>
  <w:style w:type="paragraph" w:styleId="CommentSubject">
    <w:name w:val="annotation subject"/>
    <w:basedOn w:val="CommentText"/>
    <w:next w:val="CommentText"/>
    <w:link w:val="CommentSubjectChar"/>
    <w:rsid w:val="008A1F64"/>
    <w:rPr>
      <w:b/>
      <w:bCs/>
    </w:rPr>
  </w:style>
  <w:style w:type="character" w:customStyle="1" w:styleId="CommentSubjectChar">
    <w:name w:val="Comment Subject Char"/>
    <w:basedOn w:val="CommentTextChar"/>
    <w:link w:val="CommentSubject"/>
    <w:rsid w:val="008A1F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7849">
      <w:bodyDiv w:val="1"/>
      <w:marLeft w:val="0"/>
      <w:marRight w:val="0"/>
      <w:marTop w:val="0"/>
      <w:marBottom w:val="0"/>
      <w:divBdr>
        <w:top w:val="none" w:sz="0" w:space="0" w:color="auto"/>
        <w:left w:val="none" w:sz="0" w:space="0" w:color="auto"/>
        <w:bottom w:val="none" w:sz="0" w:space="0" w:color="auto"/>
        <w:right w:val="none" w:sz="0" w:space="0" w:color="auto"/>
      </w:divBdr>
    </w:div>
    <w:div w:id="4980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pps.fcc.gov/ecf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0C2E-7C66-4F17-96E4-D7EFA362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2012-09-06T18:58:00Z</cp:lastPrinted>
  <dcterms:created xsi:type="dcterms:W3CDTF">2018-12-04T19:43:00Z</dcterms:created>
  <dcterms:modified xsi:type="dcterms:W3CDTF">2018-12-04T19:43:00Z</dcterms:modified>
</cp:coreProperties>
</file>