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4DA37" w14:textId="77777777" w:rsidR="009B0FDB" w:rsidRPr="0077509A" w:rsidRDefault="009B0FDB" w:rsidP="009B0FDB">
      <w:pPr>
        <w:jc w:val="center"/>
        <w:rPr>
          <w:b/>
          <w:bCs/>
        </w:rPr>
      </w:pPr>
      <w:bookmarkStart w:id="0" w:name="_GoBack"/>
      <w:bookmarkEnd w:id="0"/>
      <w:r w:rsidRPr="0077509A">
        <w:rPr>
          <w:b/>
          <w:bCs/>
        </w:rPr>
        <w:t>Supporting Statement</w:t>
      </w:r>
      <w:r>
        <w:rPr>
          <w:b/>
          <w:bCs/>
        </w:rPr>
        <w:t xml:space="preserve"> for Paperwork Reduction Act Submission</w:t>
      </w:r>
    </w:p>
    <w:p w14:paraId="5E5447B8" w14:textId="77777777" w:rsidR="009B0FDB" w:rsidRPr="0077509A" w:rsidRDefault="009B0FDB" w:rsidP="009B0FDB">
      <w:pPr>
        <w:jc w:val="center"/>
        <w:rPr>
          <w:b/>
        </w:rPr>
      </w:pPr>
      <w:r w:rsidRPr="0077509A">
        <w:rPr>
          <w:b/>
        </w:rPr>
        <w:t>American Housing Survey</w:t>
      </w:r>
    </w:p>
    <w:p w14:paraId="62505295" w14:textId="77777777" w:rsidR="009B0FDB" w:rsidRDefault="009B0FDB" w:rsidP="009B0FDB">
      <w:pPr>
        <w:jc w:val="center"/>
        <w:rPr>
          <w:b/>
        </w:rPr>
      </w:pPr>
      <w:r w:rsidRPr="0077509A">
        <w:rPr>
          <w:b/>
        </w:rPr>
        <w:t xml:space="preserve">OMB Number </w:t>
      </w:r>
      <w:r w:rsidRPr="00E704A5">
        <w:rPr>
          <w:b/>
        </w:rPr>
        <w:t>2528-0017</w:t>
      </w:r>
    </w:p>
    <w:p w14:paraId="3E7CF7D2" w14:textId="77777777" w:rsidR="009B0FDB" w:rsidRPr="0077509A" w:rsidRDefault="009B0FDB" w:rsidP="009B0FDB">
      <w:pPr>
        <w:jc w:val="center"/>
        <w:rPr>
          <w:b/>
        </w:rPr>
      </w:pPr>
    </w:p>
    <w:p w14:paraId="5B3BF706" w14:textId="77777777" w:rsidR="009B0FDB" w:rsidRPr="007115B8" w:rsidRDefault="009B0FDB" w:rsidP="009B0FDB">
      <w:pPr>
        <w:rPr>
          <w:b/>
          <w:bCs/>
        </w:rPr>
      </w:pPr>
    </w:p>
    <w:p w14:paraId="268082D0" w14:textId="77777777" w:rsidR="009B0FDB" w:rsidRPr="00840DA1" w:rsidRDefault="009B0FDB" w:rsidP="009B0FDB">
      <w:pPr>
        <w:ind w:left="333"/>
        <w:rPr>
          <w:b/>
        </w:rPr>
      </w:pPr>
      <w:r w:rsidRPr="00840DA1">
        <w:rPr>
          <w:b/>
          <w:bCs/>
        </w:rPr>
        <w:t xml:space="preserve">B.  </w:t>
      </w:r>
      <w:r w:rsidRPr="00840DA1">
        <w:rPr>
          <w:b/>
          <w:bCs/>
          <w:u w:val="single"/>
        </w:rPr>
        <w:t>Collection of Information Employing Statistical Methods</w:t>
      </w:r>
    </w:p>
    <w:p w14:paraId="2B27330A" w14:textId="77777777" w:rsidR="009B0FDB" w:rsidRPr="00840DA1" w:rsidRDefault="009B0FDB" w:rsidP="009B0FDB">
      <w:pPr>
        <w:pStyle w:val="Level1"/>
        <w:tabs>
          <w:tab w:val="left" w:pos="432"/>
          <w:tab w:val="left" w:pos="720"/>
          <w:tab w:val="left" w:pos="864"/>
          <w:tab w:val="left" w:pos="1022"/>
          <w:tab w:val="left" w:pos="1296"/>
          <w:tab w:val="left" w:pos="1728"/>
          <w:tab w:val="left" w:pos="2160"/>
        </w:tabs>
        <w:ind w:left="333"/>
        <w:rPr>
          <w:rFonts w:ascii="Times New Roman" w:hAnsi="Times New Roman"/>
          <w:b/>
          <w:bCs/>
        </w:rPr>
      </w:pPr>
    </w:p>
    <w:p w14:paraId="19DDD96E" w14:textId="77777777" w:rsidR="009B0FDB" w:rsidRPr="00840DA1" w:rsidRDefault="009B0FDB" w:rsidP="009B0FDB">
      <w:pPr>
        <w:pStyle w:val="Level1"/>
        <w:tabs>
          <w:tab w:val="left" w:pos="432"/>
          <w:tab w:val="left" w:pos="720"/>
          <w:tab w:val="left" w:pos="864"/>
          <w:tab w:val="left" w:pos="1022"/>
          <w:tab w:val="left" w:pos="1296"/>
          <w:tab w:val="left" w:pos="1728"/>
          <w:tab w:val="left" w:pos="2160"/>
        </w:tabs>
        <w:ind w:left="333"/>
        <w:rPr>
          <w:rFonts w:ascii="Times New Roman" w:hAnsi="Times New Roman"/>
          <w:b/>
          <w:bCs/>
        </w:rPr>
      </w:pPr>
      <w:r w:rsidRPr="00840DA1">
        <w:rPr>
          <w:rFonts w:ascii="Times New Roman" w:hAnsi="Times New Roman"/>
          <w:b/>
          <w:bCs/>
        </w:rPr>
        <w:tab/>
      </w:r>
      <w:r w:rsidRPr="00840DA1">
        <w:rPr>
          <w:rFonts w:ascii="Times New Roman" w:hAnsi="Times New Roman"/>
          <w:b/>
          <w:bCs/>
        </w:rPr>
        <w:tab/>
        <w:t>1.</w:t>
      </w:r>
      <w:r w:rsidRPr="00840DA1">
        <w:rPr>
          <w:rFonts w:ascii="Times New Roman" w:hAnsi="Times New Roman"/>
          <w:b/>
          <w:bCs/>
        </w:rPr>
        <w:tab/>
        <w:t>Universe and Respondent Selection</w:t>
      </w:r>
    </w:p>
    <w:p w14:paraId="6EEB1FC8" w14:textId="77777777" w:rsidR="009B0FDB" w:rsidRPr="00840DA1" w:rsidRDefault="009B0FDB" w:rsidP="009B0FDB">
      <w:pPr>
        <w:pStyle w:val="NormalWeb"/>
        <w:ind w:left="720"/>
      </w:pPr>
      <w:r w:rsidRPr="00840DA1">
        <w:t>The 2019 AH</w:t>
      </w:r>
      <w:r>
        <w:t>S sample will consist of 117,537</w:t>
      </w:r>
      <w:r w:rsidRPr="00840DA1">
        <w:t xml:space="preserve"> sample housing </w:t>
      </w:r>
      <w:r>
        <w:t>units. </w:t>
      </w:r>
      <w:r w:rsidRPr="00840DA1">
        <w:t xml:space="preserve">The table below describes the different parts of the sample. </w:t>
      </w:r>
    </w:p>
    <w:tbl>
      <w:tblPr>
        <w:tblStyle w:val="TableGrid"/>
        <w:tblW w:w="8636" w:type="dxa"/>
        <w:tblInd w:w="715" w:type="dxa"/>
        <w:tblLook w:val="04A0" w:firstRow="1" w:lastRow="0" w:firstColumn="1" w:lastColumn="0" w:noHBand="0" w:noVBand="1"/>
      </w:tblPr>
      <w:tblGrid>
        <w:gridCol w:w="6206"/>
        <w:gridCol w:w="2430"/>
      </w:tblGrid>
      <w:tr w:rsidR="009B0FDB" w:rsidRPr="00A20FF7" w14:paraId="385D0BAB" w14:textId="77777777" w:rsidTr="00C86C0B">
        <w:tc>
          <w:tcPr>
            <w:tcW w:w="6206" w:type="dxa"/>
          </w:tcPr>
          <w:p w14:paraId="4D2F3F28" w14:textId="77777777" w:rsidR="009B0FDB" w:rsidRPr="00A20FF7" w:rsidRDefault="009B0FDB" w:rsidP="00C86C0B">
            <w:pPr>
              <w:rPr>
                <w:b/>
                <w:sz w:val="20"/>
                <w:szCs w:val="20"/>
              </w:rPr>
            </w:pPr>
            <w:r w:rsidRPr="00A20FF7">
              <w:rPr>
                <w:b/>
                <w:sz w:val="20"/>
                <w:szCs w:val="20"/>
              </w:rPr>
              <w:t>Sample Part Description</w:t>
            </w:r>
          </w:p>
        </w:tc>
        <w:tc>
          <w:tcPr>
            <w:tcW w:w="2430" w:type="dxa"/>
          </w:tcPr>
          <w:p w14:paraId="2896B2FB" w14:textId="77777777" w:rsidR="009B0FDB" w:rsidRPr="00A20FF7" w:rsidRDefault="009B0FDB" w:rsidP="00C86C0B">
            <w:pPr>
              <w:jc w:val="right"/>
              <w:rPr>
                <w:b/>
                <w:sz w:val="20"/>
                <w:szCs w:val="20"/>
              </w:rPr>
            </w:pPr>
            <w:r w:rsidRPr="00A20FF7">
              <w:rPr>
                <w:b/>
                <w:sz w:val="20"/>
                <w:szCs w:val="20"/>
              </w:rPr>
              <w:t>Sample Size (number of housing units</w:t>
            </w:r>
          </w:p>
        </w:tc>
      </w:tr>
      <w:tr w:rsidR="009B0FDB" w:rsidRPr="00A20FF7" w14:paraId="05C846EF" w14:textId="77777777" w:rsidTr="00C86C0B">
        <w:tc>
          <w:tcPr>
            <w:tcW w:w="6206" w:type="dxa"/>
          </w:tcPr>
          <w:p w14:paraId="649579B5" w14:textId="77777777" w:rsidR="009B0FDB" w:rsidRPr="00A20FF7" w:rsidRDefault="009B0FDB" w:rsidP="00C86C0B">
            <w:pPr>
              <w:rPr>
                <w:sz w:val="20"/>
                <w:szCs w:val="20"/>
              </w:rPr>
            </w:pPr>
            <w:r w:rsidRPr="00A20FF7">
              <w:rPr>
                <w:sz w:val="20"/>
                <w:szCs w:val="20"/>
              </w:rPr>
              <w:t xml:space="preserve">National cases representative of the U.S. </w:t>
            </w:r>
          </w:p>
        </w:tc>
        <w:tc>
          <w:tcPr>
            <w:tcW w:w="2430" w:type="dxa"/>
          </w:tcPr>
          <w:p w14:paraId="556B05BF" w14:textId="77777777" w:rsidR="009B0FDB" w:rsidRPr="00A20FF7" w:rsidRDefault="009B0FDB" w:rsidP="00C86C0B">
            <w:pPr>
              <w:jc w:val="right"/>
              <w:rPr>
                <w:sz w:val="20"/>
                <w:szCs w:val="20"/>
              </w:rPr>
            </w:pPr>
            <w:r>
              <w:rPr>
                <w:sz w:val="20"/>
                <w:szCs w:val="20"/>
              </w:rPr>
              <w:t>34,906</w:t>
            </w:r>
          </w:p>
        </w:tc>
      </w:tr>
      <w:tr w:rsidR="009B0FDB" w:rsidRPr="00A20FF7" w14:paraId="41C435E3" w14:textId="77777777" w:rsidTr="00C86C0B">
        <w:tc>
          <w:tcPr>
            <w:tcW w:w="6206" w:type="dxa"/>
          </w:tcPr>
          <w:p w14:paraId="6F55EA6E" w14:textId="77777777" w:rsidR="009B0FDB" w:rsidRPr="00A20FF7" w:rsidRDefault="009B0FDB" w:rsidP="00C86C0B">
            <w:pPr>
              <w:rPr>
                <w:sz w:val="20"/>
                <w:szCs w:val="20"/>
              </w:rPr>
            </w:pPr>
            <w:r w:rsidRPr="00A20FF7">
              <w:rPr>
                <w:sz w:val="20"/>
                <w:szCs w:val="20"/>
              </w:rPr>
              <w:t>Top 15 metro oversample that include approximately 3,000 units each. Some metros will have a bit less than 3,000 housing units while some will have a bit more than 3,000 housing units</w:t>
            </w:r>
          </w:p>
        </w:tc>
        <w:tc>
          <w:tcPr>
            <w:tcW w:w="2430" w:type="dxa"/>
          </w:tcPr>
          <w:p w14:paraId="4E0F7339" w14:textId="77777777" w:rsidR="009B0FDB" w:rsidRPr="00A20FF7" w:rsidRDefault="009B0FDB" w:rsidP="00C86C0B">
            <w:pPr>
              <w:jc w:val="right"/>
              <w:rPr>
                <w:sz w:val="20"/>
                <w:szCs w:val="20"/>
              </w:rPr>
            </w:pPr>
            <w:r>
              <w:rPr>
                <w:sz w:val="20"/>
                <w:szCs w:val="20"/>
              </w:rPr>
              <w:t>46,154</w:t>
            </w:r>
          </w:p>
        </w:tc>
      </w:tr>
      <w:tr w:rsidR="009B0FDB" w:rsidRPr="00A20FF7" w14:paraId="1C8EB152" w14:textId="77777777" w:rsidTr="00C86C0B">
        <w:trPr>
          <w:trHeight w:val="530"/>
        </w:trPr>
        <w:tc>
          <w:tcPr>
            <w:tcW w:w="6206" w:type="dxa"/>
          </w:tcPr>
          <w:p w14:paraId="1F5419B0" w14:textId="77777777" w:rsidR="009B0FDB" w:rsidRPr="00A20FF7" w:rsidRDefault="009B0FDB" w:rsidP="00C86C0B">
            <w:pPr>
              <w:rPr>
                <w:sz w:val="20"/>
                <w:szCs w:val="20"/>
              </w:rPr>
            </w:pPr>
            <w:r w:rsidRPr="00A20FF7">
              <w:rPr>
                <w:sz w:val="20"/>
                <w:szCs w:val="20"/>
              </w:rPr>
              <w:t xml:space="preserve">Subsidized-renter oversample </w:t>
            </w:r>
          </w:p>
        </w:tc>
        <w:tc>
          <w:tcPr>
            <w:tcW w:w="2430" w:type="dxa"/>
          </w:tcPr>
          <w:p w14:paraId="786A2EB4" w14:textId="77777777" w:rsidR="009B0FDB" w:rsidRPr="00A20FF7" w:rsidRDefault="009B0FDB" w:rsidP="00C86C0B">
            <w:pPr>
              <w:jc w:val="right"/>
              <w:rPr>
                <w:sz w:val="20"/>
                <w:szCs w:val="20"/>
              </w:rPr>
            </w:pPr>
            <w:r>
              <w:rPr>
                <w:sz w:val="20"/>
                <w:szCs w:val="20"/>
              </w:rPr>
              <w:t>5,185</w:t>
            </w:r>
          </w:p>
        </w:tc>
      </w:tr>
      <w:tr w:rsidR="009B0FDB" w:rsidRPr="00A20FF7" w14:paraId="60D57203" w14:textId="77777777" w:rsidTr="00C86C0B">
        <w:tc>
          <w:tcPr>
            <w:tcW w:w="6206" w:type="dxa"/>
          </w:tcPr>
          <w:p w14:paraId="29354911" w14:textId="77777777" w:rsidR="009B0FDB" w:rsidRPr="00A20FF7" w:rsidRDefault="009B0FDB" w:rsidP="00C86C0B">
            <w:pPr>
              <w:rPr>
                <w:sz w:val="20"/>
                <w:szCs w:val="20"/>
              </w:rPr>
            </w:pPr>
            <w:r w:rsidRPr="00A20FF7">
              <w:rPr>
                <w:sz w:val="20"/>
                <w:szCs w:val="20"/>
              </w:rPr>
              <w:t>10 Metropolitan areas that include approximately 3,000 units each. Most metropolitan areas have slightly more than 3,000 housing units due to the accumulation of the new growth of housing since 2015</w:t>
            </w:r>
          </w:p>
        </w:tc>
        <w:tc>
          <w:tcPr>
            <w:tcW w:w="2430" w:type="dxa"/>
          </w:tcPr>
          <w:p w14:paraId="7C40E671" w14:textId="77777777" w:rsidR="009B0FDB" w:rsidRPr="00A20FF7" w:rsidRDefault="009B0FDB" w:rsidP="00C86C0B">
            <w:pPr>
              <w:jc w:val="right"/>
              <w:rPr>
                <w:sz w:val="20"/>
                <w:szCs w:val="20"/>
              </w:rPr>
            </w:pPr>
            <w:r>
              <w:rPr>
                <w:sz w:val="20"/>
                <w:szCs w:val="20"/>
              </w:rPr>
              <w:t>31,292</w:t>
            </w:r>
          </w:p>
        </w:tc>
      </w:tr>
      <w:tr w:rsidR="009B0FDB" w:rsidRPr="00A20FF7" w14:paraId="4C55E158" w14:textId="77777777" w:rsidTr="00C86C0B">
        <w:trPr>
          <w:trHeight w:val="260"/>
        </w:trPr>
        <w:tc>
          <w:tcPr>
            <w:tcW w:w="6206" w:type="dxa"/>
            <w:shd w:val="clear" w:color="auto" w:fill="auto"/>
          </w:tcPr>
          <w:p w14:paraId="7783CBC2" w14:textId="77777777" w:rsidR="009B0FDB" w:rsidRPr="00A20FF7" w:rsidRDefault="009B0FDB" w:rsidP="00C86C0B">
            <w:pPr>
              <w:rPr>
                <w:sz w:val="20"/>
                <w:szCs w:val="20"/>
              </w:rPr>
            </w:pPr>
            <w:r w:rsidRPr="00A20FF7">
              <w:rPr>
                <w:sz w:val="20"/>
                <w:szCs w:val="20"/>
              </w:rPr>
              <w:t>TOTAL</w:t>
            </w:r>
          </w:p>
        </w:tc>
        <w:tc>
          <w:tcPr>
            <w:tcW w:w="2430" w:type="dxa"/>
            <w:shd w:val="clear" w:color="auto" w:fill="auto"/>
          </w:tcPr>
          <w:p w14:paraId="162CB62F" w14:textId="77777777" w:rsidR="009B0FDB" w:rsidRPr="00A20FF7" w:rsidRDefault="009B0FDB" w:rsidP="00C86C0B">
            <w:pPr>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117,537</w:t>
            </w:r>
            <w:r>
              <w:rPr>
                <w:sz w:val="20"/>
                <w:szCs w:val="20"/>
              </w:rPr>
              <w:fldChar w:fldCharType="end"/>
            </w:r>
          </w:p>
        </w:tc>
      </w:tr>
    </w:tbl>
    <w:p w14:paraId="15B2D69F" w14:textId="77777777" w:rsidR="009B0FDB" w:rsidRDefault="009B0FDB" w:rsidP="009B0FDB">
      <w:pPr>
        <w:pStyle w:val="Level1"/>
        <w:tabs>
          <w:tab w:val="left" w:pos="1053"/>
        </w:tabs>
        <w:autoSpaceDE/>
        <w:autoSpaceDN/>
        <w:adjustRightInd/>
        <w:ind w:left="1746"/>
        <w:rPr>
          <w:rFonts w:ascii="Times New Roman" w:hAnsi="Times New Roman"/>
          <w:b/>
          <w:color w:val="FF0000"/>
          <w:sz w:val="20"/>
          <w:szCs w:val="20"/>
        </w:rPr>
      </w:pPr>
    </w:p>
    <w:p w14:paraId="58E77B9C" w14:textId="77777777" w:rsidR="009B0FDB" w:rsidRPr="00A20FF7" w:rsidRDefault="009B0FDB" w:rsidP="009B0FDB">
      <w:pPr>
        <w:pStyle w:val="Level1"/>
        <w:tabs>
          <w:tab w:val="left" w:pos="1053"/>
        </w:tabs>
        <w:autoSpaceDE/>
        <w:autoSpaceDN/>
        <w:adjustRightInd/>
        <w:ind w:left="1746"/>
        <w:rPr>
          <w:rFonts w:ascii="Times New Roman" w:hAnsi="Times New Roman"/>
          <w:b/>
          <w:color w:val="FF0000"/>
          <w:sz w:val="20"/>
          <w:szCs w:val="20"/>
        </w:rPr>
      </w:pPr>
    </w:p>
    <w:p w14:paraId="437DF773" w14:textId="77777777" w:rsidR="009B0FDB" w:rsidRDefault="009B0FDB" w:rsidP="009B0FDB">
      <w:pPr>
        <w:pStyle w:val="Level1"/>
        <w:tabs>
          <w:tab w:val="left" w:pos="1053"/>
        </w:tabs>
        <w:autoSpaceDE/>
        <w:autoSpaceDN/>
        <w:adjustRightInd/>
        <w:rPr>
          <w:rFonts w:ascii="Times New Roman" w:hAnsi="Times New Roman"/>
        </w:rPr>
      </w:pPr>
      <w:r w:rsidRPr="007115B8">
        <w:rPr>
          <w:rFonts w:ascii="Times New Roman" w:hAnsi="Times New Roman"/>
        </w:rPr>
        <w:t xml:space="preserve">Please refer to the attached </w:t>
      </w:r>
      <w:r>
        <w:rPr>
          <w:rFonts w:ascii="Times New Roman" w:hAnsi="Times New Roman"/>
        </w:rPr>
        <w:t>2019</w:t>
      </w:r>
      <w:r w:rsidRPr="007115B8">
        <w:rPr>
          <w:rFonts w:ascii="Times New Roman" w:hAnsi="Times New Roman"/>
        </w:rPr>
        <w:t xml:space="preserve"> AHS Sample Design and W</w:t>
      </w:r>
      <w:r>
        <w:rPr>
          <w:rFonts w:ascii="Times New Roman" w:hAnsi="Times New Roman"/>
        </w:rPr>
        <w:t xml:space="preserve">eighting document for      </w:t>
      </w:r>
      <w:r w:rsidRPr="007115B8">
        <w:rPr>
          <w:rFonts w:ascii="Times New Roman" w:hAnsi="Times New Roman"/>
        </w:rPr>
        <w:t>detailed statistical methodology.</w:t>
      </w:r>
    </w:p>
    <w:p w14:paraId="528AD736" w14:textId="77777777" w:rsidR="009B0FDB" w:rsidRDefault="009B0FDB" w:rsidP="009B0FDB">
      <w:pPr>
        <w:pStyle w:val="Level1"/>
        <w:tabs>
          <w:tab w:val="left" w:pos="1053"/>
        </w:tabs>
        <w:autoSpaceDE/>
        <w:autoSpaceDN/>
        <w:adjustRightInd/>
        <w:rPr>
          <w:rFonts w:ascii="Times New Roman" w:hAnsi="Times New Roman"/>
        </w:rPr>
      </w:pPr>
    </w:p>
    <w:p w14:paraId="336F03B1" w14:textId="77777777" w:rsidR="009B0FDB" w:rsidRDefault="009B0FDB" w:rsidP="009B0FDB">
      <w:pPr>
        <w:pStyle w:val="Level1"/>
        <w:tabs>
          <w:tab w:val="left" w:pos="1053"/>
        </w:tabs>
        <w:autoSpaceDE/>
        <w:autoSpaceDN/>
        <w:adjustRightInd/>
        <w:rPr>
          <w:rFonts w:ascii="Times New Roman" w:hAnsi="Times New Roman"/>
        </w:rPr>
      </w:pPr>
      <w:r w:rsidRPr="00AA762D">
        <w:rPr>
          <w:rFonts w:ascii="Times New Roman" w:hAnsi="Times New Roman"/>
        </w:rPr>
        <w:t xml:space="preserve">The </w:t>
      </w:r>
      <w:r>
        <w:rPr>
          <w:rFonts w:ascii="Times New Roman" w:hAnsi="Times New Roman"/>
        </w:rPr>
        <w:t>Housing Insecurity Research Module follow-on</w:t>
      </w:r>
      <w:r w:rsidRPr="00AA762D">
        <w:rPr>
          <w:rFonts w:ascii="Times New Roman" w:hAnsi="Times New Roman"/>
        </w:rPr>
        <w:t xml:space="preserve"> will draw upon the 11</w:t>
      </w:r>
      <w:r>
        <w:rPr>
          <w:rFonts w:ascii="Times New Roman" w:hAnsi="Times New Roman"/>
        </w:rPr>
        <w:t>7</w:t>
      </w:r>
      <w:r w:rsidRPr="00AA762D">
        <w:rPr>
          <w:rFonts w:ascii="Times New Roman" w:hAnsi="Times New Roman"/>
        </w:rPr>
        <w:t>,</w:t>
      </w:r>
      <w:r>
        <w:rPr>
          <w:rFonts w:ascii="Times New Roman" w:hAnsi="Times New Roman"/>
        </w:rPr>
        <w:t>537</w:t>
      </w:r>
      <w:r w:rsidRPr="00AA762D">
        <w:rPr>
          <w:rFonts w:ascii="Times New Roman" w:hAnsi="Times New Roman"/>
        </w:rPr>
        <w:t xml:space="preserve"> sample housing units expected for the AHS regular production sample. The target sample size for the </w:t>
      </w:r>
      <w:r>
        <w:rPr>
          <w:rFonts w:ascii="Times New Roman" w:hAnsi="Times New Roman"/>
        </w:rPr>
        <w:t>Housing Insecurity Research Module follow-on</w:t>
      </w:r>
      <w:r w:rsidRPr="00AA762D">
        <w:rPr>
          <w:rFonts w:ascii="Times New Roman" w:hAnsi="Times New Roman"/>
        </w:rPr>
        <w:t xml:space="preserve"> is 4,000 housing units. Sample size and eligibility criteria were designed to capture low-income households more likely to experience policy-relevant housing problems, account for differences in tenure distribution by income, account for variation in population size and tenure across Census divisions, and produce statistically-supported options for developing a housing insecurity index.  The table below details the sample size targets.</w:t>
      </w:r>
    </w:p>
    <w:p w14:paraId="44ED654F" w14:textId="77777777" w:rsidR="009B0FDB" w:rsidRDefault="009B0FDB" w:rsidP="009B0FDB">
      <w:r>
        <w:br w:type="page"/>
      </w:r>
    </w:p>
    <w:p w14:paraId="62545087" w14:textId="77777777" w:rsidR="009B0FDB" w:rsidRDefault="009B0FDB" w:rsidP="009B0FDB">
      <w:pPr>
        <w:pStyle w:val="Level1"/>
        <w:tabs>
          <w:tab w:val="left" w:pos="1053"/>
        </w:tabs>
        <w:autoSpaceDE/>
        <w:autoSpaceDN/>
        <w:adjustRightInd/>
        <w:rPr>
          <w:rFonts w:ascii="Times New Roman" w:hAnsi="Times New Roman"/>
        </w:rPr>
      </w:pPr>
    </w:p>
    <w:p w14:paraId="57A23A29" w14:textId="77777777" w:rsidR="009B0FDB" w:rsidRDefault="009B0FDB" w:rsidP="009B0FDB">
      <w:pPr>
        <w:pStyle w:val="Level1"/>
        <w:tabs>
          <w:tab w:val="left" w:pos="1053"/>
        </w:tabs>
        <w:autoSpaceDE/>
        <w:autoSpaceDN/>
        <w:adjustRightInd/>
        <w:rPr>
          <w:rFonts w:ascii="Times New Roman" w:hAnsi="Times New Roman"/>
        </w:rPr>
      </w:pPr>
    </w:p>
    <w:tbl>
      <w:tblPr>
        <w:tblW w:w="8640" w:type="dxa"/>
        <w:tblInd w:w="710" w:type="dxa"/>
        <w:tblLook w:val="04A0" w:firstRow="1" w:lastRow="0" w:firstColumn="1" w:lastColumn="0" w:noHBand="0" w:noVBand="1"/>
      </w:tblPr>
      <w:tblGrid>
        <w:gridCol w:w="929"/>
        <w:gridCol w:w="1591"/>
        <w:gridCol w:w="1080"/>
        <w:gridCol w:w="810"/>
        <w:gridCol w:w="810"/>
        <w:gridCol w:w="990"/>
        <w:gridCol w:w="900"/>
        <w:gridCol w:w="1530"/>
      </w:tblGrid>
      <w:tr w:rsidR="009B0FDB" w:rsidRPr="00E33212" w14:paraId="569C4BA9" w14:textId="77777777" w:rsidTr="00C86C0B">
        <w:trPr>
          <w:trHeight w:val="300"/>
        </w:trPr>
        <w:tc>
          <w:tcPr>
            <w:tcW w:w="929" w:type="dxa"/>
            <w:tcBorders>
              <w:top w:val="single" w:sz="8" w:space="0" w:color="auto"/>
              <w:left w:val="single" w:sz="8" w:space="0" w:color="auto"/>
              <w:bottom w:val="nil"/>
              <w:right w:val="nil"/>
            </w:tcBorders>
            <w:shd w:val="clear" w:color="auto" w:fill="auto"/>
            <w:noWrap/>
            <w:vAlign w:val="bottom"/>
            <w:hideMark/>
          </w:tcPr>
          <w:p w14:paraId="059E1F0C"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single" w:sz="8" w:space="0" w:color="auto"/>
              <w:left w:val="single" w:sz="4" w:space="0" w:color="auto"/>
              <w:bottom w:val="nil"/>
              <w:right w:val="nil"/>
            </w:tcBorders>
            <w:shd w:val="clear" w:color="auto" w:fill="auto"/>
            <w:noWrap/>
            <w:vAlign w:val="bottom"/>
            <w:hideMark/>
          </w:tcPr>
          <w:p w14:paraId="1E19D545" w14:textId="77777777" w:rsidR="009B0FDB" w:rsidRPr="00E33212" w:rsidRDefault="009B0FDB" w:rsidP="00C86C0B">
            <w:pPr>
              <w:jc w:val="center"/>
              <w:rPr>
                <w:b/>
                <w:bCs/>
                <w:color w:val="000000"/>
                <w:sz w:val="20"/>
                <w:szCs w:val="20"/>
              </w:rPr>
            </w:pPr>
            <w:r w:rsidRPr="00E33212">
              <w:rPr>
                <w:b/>
                <w:bCs/>
                <w:color w:val="000000"/>
                <w:sz w:val="20"/>
                <w:szCs w:val="20"/>
              </w:rPr>
              <w:t>Tenure</w:t>
            </w:r>
          </w:p>
        </w:tc>
        <w:tc>
          <w:tcPr>
            <w:tcW w:w="2700" w:type="dxa"/>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60177D99" w14:textId="77777777" w:rsidR="009B0FDB" w:rsidRPr="00E33212" w:rsidRDefault="009B0FDB" w:rsidP="00C86C0B">
            <w:pPr>
              <w:jc w:val="center"/>
              <w:rPr>
                <w:bCs/>
                <w:color w:val="000000"/>
                <w:sz w:val="20"/>
                <w:szCs w:val="20"/>
              </w:rPr>
            </w:pPr>
            <w:r w:rsidRPr="00E33212">
              <w:rPr>
                <w:bCs/>
                <w:color w:val="000000"/>
                <w:sz w:val="20"/>
                <w:szCs w:val="20"/>
              </w:rPr>
              <w:t>Renter</w:t>
            </w:r>
          </w:p>
        </w:tc>
        <w:tc>
          <w:tcPr>
            <w:tcW w:w="342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003A4601" w14:textId="77777777" w:rsidR="009B0FDB" w:rsidRPr="00E33212" w:rsidRDefault="009B0FDB" w:rsidP="00C86C0B">
            <w:pPr>
              <w:jc w:val="center"/>
              <w:rPr>
                <w:bCs/>
                <w:color w:val="000000"/>
                <w:sz w:val="20"/>
                <w:szCs w:val="20"/>
              </w:rPr>
            </w:pPr>
            <w:r w:rsidRPr="00E33212">
              <w:rPr>
                <w:bCs/>
                <w:color w:val="000000"/>
                <w:sz w:val="20"/>
                <w:szCs w:val="20"/>
              </w:rPr>
              <w:t>Owner</w:t>
            </w:r>
          </w:p>
        </w:tc>
      </w:tr>
      <w:tr w:rsidR="009B0FDB" w:rsidRPr="00E33212" w14:paraId="5283C10B" w14:textId="77777777" w:rsidTr="00C86C0B">
        <w:trPr>
          <w:trHeight w:val="315"/>
        </w:trPr>
        <w:tc>
          <w:tcPr>
            <w:tcW w:w="929" w:type="dxa"/>
            <w:tcBorders>
              <w:top w:val="nil"/>
              <w:left w:val="single" w:sz="8" w:space="0" w:color="auto"/>
              <w:bottom w:val="nil"/>
              <w:right w:val="nil"/>
            </w:tcBorders>
            <w:shd w:val="clear" w:color="auto" w:fill="auto"/>
            <w:noWrap/>
            <w:vAlign w:val="bottom"/>
            <w:hideMark/>
          </w:tcPr>
          <w:p w14:paraId="450F6E2F"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single" w:sz="4" w:space="0" w:color="auto"/>
              <w:left w:val="single" w:sz="4" w:space="0" w:color="auto"/>
              <w:bottom w:val="nil"/>
              <w:right w:val="nil"/>
            </w:tcBorders>
            <w:shd w:val="clear" w:color="auto" w:fill="auto"/>
            <w:noWrap/>
            <w:vAlign w:val="bottom"/>
            <w:hideMark/>
          </w:tcPr>
          <w:p w14:paraId="7C02D67D" w14:textId="77777777" w:rsidR="009B0FDB" w:rsidRPr="00E33212" w:rsidRDefault="009B0FDB" w:rsidP="00C86C0B">
            <w:pPr>
              <w:jc w:val="center"/>
              <w:rPr>
                <w:b/>
                <w:bCs/>
                <w:color w:val="000000"/>
                <w:sz w:val="20"/>
                <w:szCs w:val="20"/>
              </w:rPr>
            </w:pPr>
            <w:r w:rsidRPr="00E33212">
              <w:rPr>
                <w:b/>
                <w:bCs/>
                <w:color w:val="000000"/>
                <w:sz w:val="20"/>
                <w:szCs w:val="20"/>
              </w:rPr>
              <w:t>Poverty Threshold</w:t>
            </w:r>
          </w:p>
        </w:tc>
        <w:tc>
          <w:tcPr>
            <w:tcW w:w="1080" w:type="dxa"/>
            <w:tcBorders>
              <w:top w:val="nil"/>
              <w:left w:val="single" w:sz="8" w:space="0" w:color="auto"/>
              <w:bottom w:val="single" w:sz="8" w:space="0" w:color="auto"/>
              <w:right w:val="single" w:sz="4" w:space="0" w:color="auto"/>
            </w:tcBorders>
            <w:shd w:val="clear" w:color="auto" w:fill="auto"/>
            <w:noWrap/>
            <w:vAlign w:val="bottom"/>
            <w:hideMark/>
          </w:tcPr>
          <w:p w14:paraId="13EB7C50" w14:textId="77777777" w:rsidR="009B0FDB" w:rsidRPr="00E33212" w:rsidRDefault="009B0FDB" w:rsidP="00C86C0B">
            <w:pPr>
              <w:jc w:val="center"/>
              <w:rPr>
                <w:color w:val="000000"/>
                <w:sz w:val="20"/>
                <w:szCs w:val="20"/>
              </w:rPr>
            </w:pPr>
            <w:r w:rsidRPr="00E33212">
              <w:rPr>
                <w:color w:val="000000"/>
                <w:sz w:val="20"/>
                <w:szCs w:val="20"/>
              </w:rPr>
              <w:t>0-2x</w:t>
            </w:r>
          </w:p>
        </w:tc>
        <w:tc>
          <w:tcPr>
            <w:tcW w:w="810" w:type="dxa"/>
            <w:tcBorders>
              <w:top w:val="nil"/>
              <w:left w:val="nil"/>
              <w:bottom w:val="single" w:sz="8" w:space="0" w:color="auto"/>
              <w:right w:val="single" w:sz="4" w:space="0" w:color="auto"/>
            </w:tcBorders>
            <w:shd w:val="clear" w:color="auto" w:fill="auto"/>
            <w:noWrap/>
            <w:vAlign w:val="bottom"/>
            <w:hideMark/>
          </w:tcPr>
          <w:p w14:paraId="4C0CC920" w14:textId="77777777" w:rsidR="009B0FDB" w:rsidRPr="00E33212" w:rsidRDefault="009B0FDB" w:rsidP="00C86C0B">
            <w:pPr>
              <w:jc w:val="center"/>
              <w:rPr>
                <w:color w:val="000000"/>
                <w:sz w:val="20"/>
                <w:szCs w:val="20"/>
              </w:rPr>
            </w:pPr>
            <w:r w:rsidRPr="00E33212">
              <w:rPr>
                <w:color w:val="000000"/>
                <w:sz w:val="20"/>
                <w:szCs w:val="20"/>
              </w:rPr>
              <w:t>2-3x</w:t>
            </w:r>
          </w:p>
        </w:tc>
        <w:tc>
          <w:tcPr>
            <w:tcW w:w="810" w:type="dxa"/>
            <w:tcBorders>
              <w:top w:val="nil"/>
              <w:left w:val="nil"/>
              <w:bottom w:val="single" w:sz="8" w:space="0" w:color="auto"/>
              <w:right w:val="single" w:sz="4" w:space="0" w:color="auto"/>
            </w:tcBorders>
            <w:shd w:val="clear" w:color="auto" w:fill="auto"/>
            <w:noWrap/>
            <w:vAlign w:val="bottom"/>
            <w:hideMark/>
          </w:tcPr>
          <w:p w14:paraId="218CB615" w14:textId="77777777" w:rsidR="009B0FDB" w:rsidRPr="00E33212" w:rsidRDefault="009B0FDB" w:rsidP="00C86C0B">
            <w:pPr>
              <w:jc w:val="center"/>
              <w:rPr>
                <w:color w:val="000000"/>
                <w:sz w:val="20"/>
                <w:szCs w:val="20"/>
              </w:rPr>
            </w:pPr>
            <w:r w:rsidRPr="00E33212">
              <w:rPr>
                <w:color w:val="000000"/>
                <w:sz w:val="20"/>
                <w:szCs w:val="20"/>
              </w:rPr>
              <w:t>Total</w:t>
            </w:r>
          </w:p>
        </w:tc>
        <w:tc>
          <w:tcPr>
            <w:tcW w:w="990" w:type="dxa"/>
            <w:tcBorders>
              <w:top w:val="nil"/>
              <w:left w:val="nil"/>
              <w:bottom w:val="nil"/>
              <w:right w:val="single" w:sz="4" w:space="0" w:color="auto"/>
            </w:tcBorders>
            <w:shd w:val="clear" w:color="auto" w:fill="auto"/>
            <w:noWrap/>
            <w:vAlign w:val="bottom"/>
            <w:hideMark/>
          </w:tcPr>
          <w:p w14:paraId="2E31F4DC" w14:textId="77777777" w:rsidR="009B0FDB" w:rsidRPr="00E33212" w:rsidRDefault="009B0FDB" w:rsidP="00C86C0B">
            <w:pPr>
              <w:jc w:val="center"/>
              <w:rPr>
                <w:color w:val="000000"/>
                <w:sz w:val="20"/>
                <w:szCs w:val="20"/>
              </w:rPr>
            </w:pPr>
            <w:r w:rsidRPr="00E33212">
              <w:rPr>
                <w:color w:val="000000"/>
                <w:sz w:val="20"/>
                <w:szCs w:val="20"/>
              </w:rPr>
              <w:t>0-2x</w:t>
            </w:r>
          </w:p>
        </w:tc>
        <w:tc>
          <w:tcPr>
            <w:tcW w:w="900" w:type="dxa"/>
            <w:tcBorders>
              <w:top w:val="nil"/>
              <w:left w:val="nil"/>
              <w:bottom w:val="nil"/>
              <w:right w:val="single" w:sz="4" w:space="0" w:color="auto"/>
            </w:tcBorders>
            <w:shd w:val="clear" w:color="auto" w:fill="auto"/>
            <w:noWrap/>
            <w:vAlign w:val="bottom"/>
            <w:hideMark/>
          </w:tcPr>
          <w:p w14:paraId="4D8B5C5C" w14:textId="77777777" w:rsidR="009B0FDB" w:rsidRPr="00E33212" w:rsidRDefault="009B0FDB" w:rsidP="00C86C0B">
            <w:pPr>
              <w:jc w:val="center"/>
              <w:rPr>
                <w:color w:val="000000"/>
                <w:sz w:val="20"/>
                <w:szCs w:val="20"/>
              </w:rPr>
            </w:pPr>
            <w:r w:rsidRPr="00E33212">
              <w:rPr>
                <w:color w:val="000000"/>
                <w:sz w:val="20"/>
                <w:szCs w:val="20"/>
              </w:rPr>
              <w:t>2-3x</w:t>
            </w:r>
          </w:p>
        </w:tc>
        <w:tc>
          <w:tcPr>
            <w:tcW w:w="1530" w:type="dxa"/>
            <w:tcBorders>
              <w:top w:val="nil"/>
              <w:left w:val="nil"/>
              <w:bottom w:val="nil"/>
              <w:right w:val="single" w:sz="8" w:space="0" w:color="auto"/>
            </w:tcBorders>
            <w:shd w:val="clear" w:color="auto" w:fill="auto"/>
            <w:noWrap/>
            <w:vAlign w:val="bottom"/>
            <w:hideMark/>
          </w:tcPr>
          <w:p w14:paraId="7663175A" w14:textId="77777777" w:rsidR="009B0FDB" w:rsidRPr="00E33212" w:rsidRDefault="009B0FDB" w:rsidP="00C86C0B">
            <w:pPr>
              <w:jc w:val="center"/>
              <w:rPr>
                <w:color w:val="000000"/>
                <w:sz w:val="20"/>
                <w:szCs w:val="20"/>
              </w:rPr>
            </w:pPr>
            <w:r w:rsidRPr="00E33212">
              <w:rPr>
                <w:color w:val="000000"/>
                <w:sz w:val="20"/>
                <w:szCs w:val="20"/>
              </w:rPr>
              <w:t>Total</w:t>
            </w:r>
          </w:p>
        </w:tc>
      </w:tr>
      <w:tr w:rsidR="009B0FDB" w:rsidRPr="00E33212" w14:paraId="21EC7E94" w14:textId="77777777" w:rsidTr="00C86C0B">
        <w:trPr>
          <w:trHeight w:val="300"/>
        </w:trPr>
        <w:tc>
          <w:tcPr>
            <w:tcW w:w="929" w:type="dxa"/>
            <w:tcBorders>
              <w:top w:val="single" w:sz="8" w:space="0" w:color="auto"/>
              <w:left w:val="single" w:sz="8" w:space="0" w:color="auto"/>
              <w:bottom w:val="nil"/>
              <w:right w:val="nil"/>
            </w:tcBorders>
            <w:shd w:val="clear" w:color="auto" w:fill="auto"/>
            <w:noWrap/>
            <w:vAlign w:val="bottom"/>
            <w:hideMark/>
          </w:tcPr>
          <w:p w14:paraId="2391ABD3" w14:textId="77777777" w:rsidR="009B0FDB" w:rsidRPr="00E33212" w:rsidRDefault="009B0FDB" w:rsidP="00C86C0B">
            <w:pPr>
              <w:jc w:val="center"/>
              <w:rPr>
                <w:b/>
                <w:bCs/>
                <w:color w:val="000000"/>
                <w:sz w:val="20"/>
                <w:szCs w:val="20"/>
              </w:rPr>
            </w:pPr>
            <w:r w:rsidRPr="00E33212">
              <w:rPr>
                <w:b/>
                <w:bCs/>
                <w:color w:val="000000"/>
                <w:sz w:val="20"/>
                <w:szCs w:val="20"/>
              </w:rPr>
              <w:t>Census Division</w:t>
            </w:r>
          </w:p>
        </w:tc>
        <w:tc>
          <w:tcPr>
            <w:tcW w:w="1591"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2679758D" w14:textId="77777777" w:rsidR="009B0FDB" w:rsidRPr="00E33212" w:rsidRDefault="009B0FDB" w:rsidP="00C86C0B">
            <w:pPr>
              <w:jc w:val="center"/>
              <w:rPr>
                <w:color w:val="000000"/>
                <w:sz w:val="20"/>
                <w:szCs w:val="20"/>
              </w:rPr>
            </w:pPr>
            <w:r w:rsidRPr="00E33212">
              <w:rPr>
                <w:color w:val="000000"/>
                <w:sz w:val="20"/>
                <w:szCs w:val="20"/>
              </w:rPr>
              <w:t>1</w:t>
            </w:r>
          </w:p>
        </w:tc>
        <w:tc>
          <w:tcPr>
            <w:tcW w:w="1080" w:type="dxa"/>
            <w:tcBorders>
              <w:top w:val="nil"/>
              <w:left w:val="nil"/>
              <w:bottom w:val="single" w:sz="4" w:space="0" w:color="auto"/>
              <w:right w:val="nil"/>
            </w:tcBorders>
            <w:shd w:val="clear" w:color="auto" w:fill="auto"/>
            <w:noWrap/>
            <w:vAlign w:val="bottom"/>
            <w:hideMark/>
          </w:tcPr>
          <w:p w14:paraId="1C9F6908" w14:textId="77777777" w:rsidR="009B0FDB" w:rsidRPr="00E33212" w:rsidRDefault="009B0FDB" w:rsidP="00C86C0B">
            <w:pPr>
              <w:jc w:val="center"/>
              <w:rPr>
                <w:color w:val="000000"/>
                <w:sz w:val="20"/>
                <w:szCs w:val="20"/>
              </w:rPr>
            </w:pPr>
            <w:r w:rsidRPr="00E33212">
              <w:rPr>
                <w:color w:val="000000"/>
                <w:sz w:val="20"/>
                <w:szCs w:val="20"/>
              </w:rPr>
              <w:t>74</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A8D2456" w14:textId="77777777" w:rsidR="009B0FDB" w:rsidRPr="00E33212" w:rsidRDefault="009B0FDB" w:rsidP="00C86C0B">
            <w:pPr>
              <w:jc w:val="center"/>
              <w:rPr>
                <w:color w:val="000000"/>
                <w:sz w:val="20"/>
                <w:szCs w:val="20"/>
              </w:rPr>
            </w:pPr>
            <w:r w:rsidRPr="00E33212">
              <w:rPr>
                <w:color w:val="000000"/>
                <w:sz w:val="20"/>
                <w:szCs w:val="20"/>
              </w:rPr>
              <w:t>13</w:t>
            </w:r>
          </w:p>
        </w:tc>
        <w:tc>
          <w:tcPr>
            <w:tcW w:w="810" w:type="dxa"/>
            <w:tcBorders>
              <w:top w:val="nil"/>
              <w:left w:val="nil"/>
              <w:bottom w:val="single" w:sz="4" w:space="0" w:color="auto"/>
              <w:right w:val="single" w:sz="4" w:space="0" w:color="auto"/>
            </w:tcBorders>
            <w:shd w:val="clear" w:color="auto" w:fill="auto"/>
            <w:noWrap/>
            <w:vAlign w:val="bottom"/>
            <w:hideMark/>
          </w:tcPr>
          <w:p w14:paraId="03B7B536" w14:textId="77777777" w:rsidR="009B0FDB" w:rsidRPr="00E33212" w:rsidRDefault="009B0FDB" w:rsidP="00C86C0B">
            <w:pPr>
              <w:jc w:val="center"/>
              <w:rPr>
                <w:color w:val="000000"/>
                <w:sz w:val="20"/>
                <w:szCs w:val="20"/>
              </w:rPr>
            </w:pPr>
            <w:r w:rsidRPr="00E33212">
              <w:rPr>
                <w:color w:val="000000"/>
                <w:sz w:val="20"/>
                <w:szCs w:val="20"/>
              </w:rPr>
              <w:t>87</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14:paraId="39AF9469" w14:textId="77777777" w:rsidR="009B0FDB" w:rsidRPr="00E33212" w:rsidRDefault="009B0FDB" w:rsidP="00C86C0B">
            <w:pPr>
              <w:jc w:val="center"/>
              <w:rPr>
                <w:color w:val="000000"/>
                <w:sz w:val="20"/>
                <w:szCs w:val="20"/>
              </w:rPr>
            </w:pPr>
            <w:r w:rsidRPr="00E33212">
              <w:rPr>
                <w:color w:val="000000"/>
                <w:sz w:val="20"/>
                <w:szCs w:val="20"/>
              </w:rPr>
              <w:t>54</w:t>
            </w:r>
          </w:p>
        </w:tc>
        <w:tc>
          <w:tcPr>
            <w:tcW w:w="900" w:type="dxa"/>
            <w:tcBorders>
              <w:top w:val="single" w:sz="8" w:space="0" w:color="auto"/>
              <w:left w:val="nil"/>
              <w:bottom w:val="single" w:sz="4" w:space="0" w:color="auto"/>
              <w:right w:val="single" w:sz="4" w:space="0" w:color="auto"/>
            </w:tcBorders>
            <w:shd w:val="clear" w:color="auto" w:fill="auto"/>
            <w:noWrap/>
            <w:vAlign w:val="bottom"/>
            <w:hideMark/>
          </w:tcPr>
          <w:p w14:paraId="1FDD580A" w14:textId="77777777" w:rsidR="009B0FDB" w:rsidRPr="00E33212" w:rsidRDefault="009B0FDB" w:rsidP="00C86C0B">
            <w:pPr>
              <w:jc w:val="center"/>
              <w:rPr>
                <w:color w:val="000000"/>
                <w:sz w:val="20"/>
                <w:szCs w:val="20"/>
              </w:rPr>
            </w:pPr>
            <w:r w:rsidRPr="00E33212">
              <w:rPr>
                <w:color w:val="000000"/>
                <w:sz w:val="20"/>
                <w:szCs w:val="20"/>
              </w:rPr>
              <w:t>20</w:t>
            </w:r>
          </w:p>
        </w:tc>
        <w:tc>
          <w:tcPr>
            <w:tcW w:w="1530" w:type="dxa"/>
            <w:tcBorders>
              <w:top w:val="single" w:sz="8" w:space="0" w:color="auto"/>
              <w:left w:val="nil"/>
              <w:bottom w:val="single" w:sz="4" w:space="0" w:color="auto"/>
              <w:right w:val="single" w:sz="8" w:space="0" w:color="auto"/>
            </w:tcBorders>
            <w:shd w:val="clear" w:color="auto" w:fill="auto"/>
            <w:noWrap/>
            <w:vAlign w:val="bottom"/>
            <w:hideMark/>
          </w:tcPr>
          <w:p w14:paraId="09872D96" w14:textId="77777777" w:rsidR="009B0FDB" w:rsidRPr="00E33212" w:rsidRDefault="009B0FDB" w:rsidP="00C86C0B">
            <w:pPr>
              <w:jc w:val="center"/>
              <w:rPr>
                <w:color w:val="000000"/>
                <w:sz w:val="20"/>
                <w:szCs w:val="20"/>
              </w:rPr>
            </w:pPr>
            <w:r w:rsidRPr="00E33212">
              <w:rPr>
                <w:color w:val="000000"/>
                <w:sz w:val="20"/>
                <w:szCs w:val="20"/>
              </w:rPr>
              <w:t>74</w:t>
            </w:r>
          </w:p>
        </w:tc>
      </w:tr>
      <w:tr w:rsidR="009B0FDB" w:rsidRPr="00E33212" w14:paraId="3F6535BF" w14:textId="77777777" w:rsidTr="00C86C0B">
        <w:trPr>
          <w:trHeight w:val="300"/>
        </w:trPr>
        <w:tc>
          <w:tcPr>
            <w:tcW w:w="929" w:type="dxa"/>
            <w:tcBorders>
              <w:top w:val="nil"/>
              <w:left w:val="single" w:sz="8" w:space="0" w:color="auto"/>
              <w:bottom w:val="nil"/>
              <w:right w:val="nil"/>
            </w:tcBorders>
            <w:shd w:val="clear" w:color="auto" w:fill="auto"/>
            <w:noWrap/>
            <w:vAlign w:val="bottom"/>
            <w:hideMark/>
          </w:tcPr>
          <w:p w14:paraId="08C0B841"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nil"/>
              <w:left w:val="single" w:sz="4" w:space="0" w:color="auto"/>
              <w:bottom w:val="single" w:sz="4" w:space="0" w:color="auto"/>
              <w:right w:val="single" w:sz="8" w:space="0" w:color="auto"/>
            </w:tcBorders>
            <w:shd w:val="clear" w:color="auto" w:fill="auto"/>
            <w:noWrap/>
            <w:vAlign w:val="bottom"/>
            <w:hideMark/>
          </w:tcPr>
          <w:p w14:paraId="646949D6" w14:textId="77777777" w:rsidR="009B0FDB" w:rsidRPr="00E33212" w:rsidRDefault="009B0FDB" w:rsidP="00C86C0B">
            <w:pPr>
              <w:jc w:val="center"/>
              <w:rPr>
                <w:color w:val="000000"/>
                <w:sz w:val="20"/>
                <w:szCs w:val="20"/>
              </w:rPr>
            </w:pPr>
            <w:r w:rsidRPr="00E33212">
              <w:rPr>
                <w:color w:val="000000"/>
                <w:sz w:val="20"/>
                <w:szCs w:val="20"/>
              </w:rPr>
              <w:t>2</w:t>
            </w:r>
          </w:p>
        </w:tc>
        <w:tc>
          <w:tcPr>
            <w:tcW w:w="1080" w:type="dxa"/>
            <w:tcBorders>
              <w:top w:val="nil"/>
              <w:left w:val="nil"/>
              <w:bottom w:val="single" w:sz="4" w:space="0" w:color="auto"/>
              <w:right w:val="nil"/>
            </w:tcBorders>
            <w:shd w:val="clear" w:color="auto" w:fill="auto"/>
            <w:noWrap/>
            <w:vAlign w:val="bottom"/>
            <w:hideMark/>
          </w:tcPr>
          <w:p w14:paraId="364287BC" w14:textId="77777777" w:rsidR="009B0FDB" w:rsidRPr="00E33212" w:rsidRDefault="009B0FDB" w:rsidP="00C86C0B">
            <w:pPr>
              <w:jc w:val="center"/>
              <w:rPr>
                <w:color w:val="000000"/>
                <w:sz w:val="20"/>
                <w:szCs w:val="20"/>
              </w:rPr>
            </w:pPr>
            <w:r w:rsidRPr="00E33212">
              <w:rPr>
                <w:color w:val="000000"/>
                <w:sz w:val="20"/>
                <w:szCs w:val="20"/>
              </w:rPr>
              <w:t>177</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15E0DD7" w14:textId="77777777" w:rsidR="009B0FDB" w:rsidRPr="00E33212" w:rsidRDefault="009B0FDB" w:rsidP="00C86C0B">
            <w:pPr>
              <w:jc w:val="center"/>
              <w:rPr>
                <w:color w:val="000000"/>
                <w:sz w:val="20"/>
                <w:szCs w:val="20"/>
              </w:rPr>
            </w:pPr>
            <w:r w:rsidRPr="00E33212">
              <w:rPr>
                <w:color w:val="000000"/>
                <w:sz w:val="20"/>
                <w:szCs w:val="20"/>
              </w:rPr>
              <w:t>30</w:t>
            </w:r>
          </w:p>
        </w:tc>
        <w:tc>
          <w:tcPr>
            <w:tcW w:w="810" w:type="dxa"/>
            <w:tcBorders>
              <w:top w:val="nil"/>
              <w:left w:val="nil"/>
              <w:bottom w:val="single" w:sz="4" w:space="0" w:color="auto"/>
              <w:right w:val="single" w:sz="4" w:space="0" w:color="auto"/>
            </w:tcBorders>
            <w:shd w:val="clear" w:color="auto" w:fill="auto"/>
            <w:noWrap/>
            <w:vAlign w:val="bottom"/>
            <w:hideMark/>
          </w:tcPr>
          <w:p w14:paraId="0045C315" w14:textId="77777777" w:rsidR="009B0FDB" w:rsidRPr="00E33212" w:rsidRDefault="009B0FDB" w:rsidP="00C86C0B">
            <w:pPr>
              <w:jc w:val="center"/>
              <w:rPr>
                <w:color w:val="000000"/>
                <w:sz w:val="20"/>
                <w:szCs w:val="20"/>
              </w:rPr>
            </w:pPr>
            <w:r w:rsidRPr="00E33212">
              <w:rPr>
                <w:color w:val="000000"/>
                <w:sz w:val="20"/>
                <w:szCs w:val="20"/>
              </w:rPr>
              <w:t>207</w:t>
            </w:r>
          </w:p>
        </w:tc>
        <w:tc>
          <w:tcPr>
            <w:tcW w:w="990" w:type="dxa"/>
            <w:tcBorders>
              <w:top w:val="nil"/>
              <w:left w:val="nil"/>
              <w:bottom w:val="single" w:sz="4" w:space="0" w:color="auto"/>
              <w:right w:val="single" w:sz="4" w:space="0" w:color="auto"/>
            </w:tcBorders>
            <w:shd w:val="clear" w:color="auto" w:fill="auto"/>
            <w:noWrap/>
            <w:vAlign w:val="bottom"/>
            <w:hideMark/>
          </w:tcPr>
          <w:p w14:paraId="0F59A52B" w14:textId="77777777" w:rsidR="009B0FDB" w:rsidRPr="00E33212" w:rsidRDefault="009B0FDB" w:rsidP="00C86C0B">
            <w:pPr>
              <w:jc w:val="center"/>
              <w:rPr>
                <w:color w:val="000000"/>
                <w:sz w:val="20"/>
                <w:szCs w:val="20"/>
              </w:rPr>
            </w:pPr>
            <w:r w:rsidRPr="00E33212">
              <w:rPr>
                <w:color w:val="000000"/>
                <w:sz w:val="20"/>
                <w:szCs w:val="20"/>
              </w:rPr>
              <w:t>133</w:t>
            </w:r>
          </w:p>
        </w:tc>
        <w:tc>
          <w:tcPr>
            <w:tcW w:w="900" w:type="dxa"/>
            <w:tcBorders>
              <w:top w:val="nil"/>
              <w:left w:val="nil"/>
              <w:bottom w:val="single" w:sz="4" w:space="0" w:color="auto"/>
              <w:right w:val="single" w:sz="4" w:space="0" w:color="auto"/>
            </w:tcBorders>
            <w:shd w:val="clear" w:color="auto" w:fill="auto"/>
            <w:noWrap/>
            <w:vAlign w:val="bottom"/>
            <w:hideMark/>
          </w:tcPr>
          <w:p w14:paraId="7D22205C" w14:textId="77777777" w:rsidR="009B0FDB" w:rsidRPr="00E33212" w:rsidRDefault="009B0FDB" w:rsidP="00C86C0B">
            <w:pPr>
              <w:jc w:val="center"/>
              <w:rPr>
                <w:color w:val="000000"/>
                <w:sz w:val="20"/>
                <w:szCs w:val="20"/>
              </w:rPr>
            </w:pPr>
            <w:r w:rsidRPr="00E33212">
              <w:rPr>
                <w:color w:val="000000"/>
                <w:sz w:val="20"/>
                <w:szCs w:val="20"/>
              </w:rPr>
              <w:t>48</w:t>
            </w:r>
          </w:p>
        </w:tc>
        <w:tc>
          <w:tcPr>
            <w:tcW w:w="1530" w:type="dxa"/>
            <w:tcBorders>
              <w:top w:val="nil"/>
              <w:left w:val="nil"/>
              <w:bottom w:val="single" w:sz="4" w:space="0" w:color="auto"/>
              <w:right w:val="single" w:sz="8" w:space="0" w:color="auto"/>
            </w:tcBorders>
            <w:shd w:val="clear" w:color="auto" w:fill="auto"/>
            <w:noWrap/>
            <w:vAlign w:val="bottom"/>
            <w:hideMark/>
          </w:tcPr>
          <w:p w14:paraId="21406B68" w14:textId="77777777" w:rsidR="009B0FDB" w:rsidRPr="00E33212" w:rsidRDefault="009B0FDB" w:rsidP="00C86C0B">
            <w:pPr>
              <w:jc w:val="center"/>
              <w:rPr>
                <w:color w:val="000000"/>
                <w:sz w:val="20"/>
                <w:szCs w:val="20"/>
              </w:rPr>
            </w:pPr>
            <w:r w:rsidRPr="00E33212">
              <w:rPr>
                <w:color w:val="000000"/>
                <w:sz w:val="20"/>
                <w:szCs w:val="20"/>
              </w:rPr>
              <w:t>181</w:t>
            </w:r>
          </w:p>
        </w:tc>
      </w:tr>
      <w:tr w:rsidR="009B0FDB" w:rsidRPr="00E33212" w14:paraId="074BF27B" w14:textId="77777777" w:rsidTr="00C86C0B">
        <w:trPr>
          <w:trHeight w:val="300"/>
        </w:trPr>
        <w:tc>
          <w:tcPr>
            <w:tcW w:w="929" w:type="dxa"/>
            <w:tcBorders>
              <w:top w:val="nil"/>
              <w:left w:val="single" w:sz="8" w:space="0" w:color="auto"/>
              <w:bottom w:val="nil"/>
              <w:right w:val="nil"/>
            </w:tcBorders>
            <w:shd w:val="clear" w:color="auto" w:fill="auto"/>
            <w:noWrap/>
            <w:vAlign w:val="bottom"/>
            <w:hideMark/>
          </w:tcPr>
          <w:p w14:paraId="28CBA65F"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nil"/>
              <w:left w:val="single" w:sz="4" w:space="0" w:color="auto"/>
              <w:bottom w:val="single" w:sz="4" w:space="0" w:color="auto"/>
              <w:right w:val="single" w:sz="8" w:space="0" w:color="auto"/>
            </w:tcBorders>
            <w:shd w:val="clear" w:color="auto" w:fill="auto"/>
            <w:noWrap/>
            <w:vAlign w:val="bottom"/>
            <w:hideMark/>
          </w:tcPr>
          <w:p w14:paraId="27BA5704" w14:textId="77777777" w:rsidR="009B0FDB" w:rsidRPr="00E33212" w:rsidRDefault="009B0FDB" w:rsidP="00C86C0B">
            <w:pPr>
              <w:jc w:val="center"/>
              <w:rPr>
                <w:color w:val="000000"/>
                <w:sz w:val="20"/>
                <w:szCs w:val="20"/>
              </w:rPr>
            </w:pPr>
            <w:r w:rsidRPr="00E33212">
              <w:rPr>
                <w:color w:val="000000"/>
                <w:sz w:val="20"/>
                <w:szCs w:val="20"/>
              </w:rPr>
              <w:t>3</w:t>
            </w:r>
          </w:p>
        </w:tc>
        <w:tc>
          <w:tcPr>
            <w:tcW w:w="1080" w:type="dxa"/>
            <w:tcBorders>
              <w:top w:val="nil"/>
              <w:left w:val="nil"/>
              <w:bottom w:val="single" w:sz="4" w:space="0" w:color="auto"/>
              <w:right w:val="nil"/>
            </w:tcBorders>
            <w:shd w:val="clear" w:color="auto" w:fill="auto"/>
            <w:noWrap/>
            <w:vAlign w:val="bottom"/>
            <w:hideMark/>
          </w:tcPr>
          <w:p w14:paraId="32A8F963" w14:textId="77777777" w:rsidR="009B0FDB" w:rsidRPr="00E33212" w:rsidRDefault="009B0FDB" w:rsidP="00C86C0B">
            <w:pPr>
              <w:jc w:val="center"/>
              <w:rPr>
                <w:color w:val="000000"/>
                <w:sz w:val="20"/>
                <w:szCs w:val="20"/>
              </w:rPr>
            </w:pPr>
            <w:r w:rsidRPr="00E33212">
              <w:rPr>
                <w:color w:val="000000"/>
                <w:sz w:val="20"/>
                <w:szCs w:val="20"/>
              </w:rPr>
              <w:t>315</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7742901" w14:textId="77777777" w:rsidR="009B0FDB" w:rsidRPr="00E33212" w:rsidRDefault="009B0FDB" w:rsidP="00C86C0B">
            <w:pPr>
              <w:jc w:val="center"/>
              <w:rPr>
                <w:color w:val="000000"/>
                <w:sz w:val="20"/>
                <w:szCs w:val="20"/>
              </w:rPr>
            </w:pPr>
            <w:r w:rsidRPr="00E33212">
              <w:rPr>
                <w:color w:val="000000"/>
                <w:sz w:val="20"/>
                <w:szCs w:val="20"/>
              </w:rPr>
              <w:t>54</w:t>
            </w:r>
          </w:p>
        </w:tc>
        <w:tc>
          <w:tcPr>
            <w:tcW w:w="810" w:type="dxa"/>
            <w:tcBorders>
              <w:top w:val="nil"/>
              <w:left w:val="nil"/>
              <w:bottom w:val="single" w:sz="4" w:space="0" w:color="auto"/>
              <w:right w:val="single" w:sz="4" w:space="0" w:color="auto"/>
            </w:tcBorders>
            <w:shd w:val="clear" w:color="auto" w:fill="auto"/>
            <w:noWrap/>
            <w:vAlign w:val="bottom"/>
            <w:hideMark/>
          </w:tcPr>
          <w:p w14:paraId="5E55BD44" w14:textId="77777777" w:rsidR="009B0FDB" w:rsidRPr="00E33212" w:rsidRDefault="009B0FDB" w:rsidP="00C86C0B">
            <w:pPr>
              <w:jc w:val="center"/>
              <w:rPr>
                <w:color w:val="000000"/>
                <w:sz w:val="20"/>
                <w:szCs w:val="20"/>
              </w:rPr>
            </w:pPr>
            <w:r w:rsidRPr="00E33212">
              <w:rPr>
                <w:color w:val="000000"/>
                <w:sz w:val="20"/>
                <w:szCs w:val="20"/>
              </w:rPr>
              <w:t>369</w:t>
            </w:r>
          </w:p>
        </w:tc>
        <w:tc>
          <w:tcPr>
            <w:tcW w:w="990" w:type="dxa"/>
            <w:tcBorders>
              <w:top w:val="nil"/>
              <w:left w:val="nil"/>
              <w:bottom w:val="single" w:sz="4" w:space="0" w:color="auto"/>
              <w:right w:val="single" w:sz="4" w:space="0" w:color="auto"/>
            </w:tcBorders>
            <w:shd w:val="clear" w:color="auto" w:fill="auto"/>
            <w:noWrap/>
            <w:vAlign w:val="bottom"/>
            <w:hideMark/>
          </w:tcPr>
          <w:p w14:paraId="1A4AB27F" w14:textId="77777777" w:rsidR="009B0FDB" w:rsidRPr="00E33212" w:rsidRDefault="009B0FDB" w:rsidP="00C86C0B">
            <w:pPr>
              <w:jc w:val="center"/>
              <w:rPr>
                <w:color w:val="000000"/>
                <w:sz w:val="20"/>
                <w:szCs w:val="20"/>
              </w:rPr>
            </w:pPr>
            <w:r w:rsidRPr="00E33212">
              <w:rPr>
                <w:color w:val="000000"/>
                <w:sz w:val="20"/>
                <w:szCs w:val="20"/>
              </w:rPr>
              <w:t>255</w:t>
            </w:r>
          </w:p>
        </w:tc>
        <w:tc>
          <w:tcPr>
            <w:tcW w:w="900" w:type="dxa"/>
            <w:tcBorders>
              <w:top w:val="nil"/>
              <w:left w:val="nil"/>
              <w:bottom w:val="single" w:sz="4" w:space="0" w:color="auto"/>
              <w:right w:val="single" w:sz="4" w:space="0" w:color="auto"/>
            </w:tcBorders>
            <w:shd w:val="clear" w:color="auto" w:fill="auto"/>
            <w:noWrap/>
            <w:vAlign w:val="bottom"/>
            <w:hideMark/>
          </w:tcPr>
          <w:p w14:paraId="3EAE6EFB" w14:textId="77777777" w:rsidR="009B0FDB" w:rsidRPr="00E33212" w:rsidRDefault="009B0FDB" w:rsidP="00C86C0B">
            <w:pPr>
              <w:jc w:val="center"/>
              <w:rPr>
                <w:color w:val="000000"/>
                <w:sz w:val="20"/>
                <w:szCs w:val="20"/>
              </w:rPr>
            </w:pPr>
            <w:r w:rsidRPr="00E33212">
              <w:rPr>
                <w:color w:val="000000"/>
                <w:sz w:val="20"/>
                <w:szCs w:val="20"/>
              </w:rPr>
              <w:t>92</w:t>
            </w:r>
          </w:p>
        </w:tc>
        <w:tc>
          <w:tcPr>
            <w:tcW w:w="1530" w:type="dxa"/>
            <w:tcBorders>
              <w:top w:val="nil"/>
              <w:left w:val="nil"/>
              <w:bottom w:val="single" w:sz="4" w:space="0" w:color="auto"/>
              <w:right w:val="single" w:sz="8" w:space="0" w:color="auto"/>
            </w:tcBorders>
            <w:shd w:val="clear" w:color="auto" w:fill="auto"/>
            <w:noWrap/>
            <w:vAlign w:val="bottom"/>
            <w:hideMark/>
          </w:tcPr>
          <w:p w14:paraId="44E4598B" w14:textId="77777777" w:rsidR="009B0FDB" w:rsidRPr="00E33212" w:rsidRDefault="009B0FDB" w:rsidP="00C86C0B">
            <w:pPr>
              <w:jc w:val="center"/>
              <w:rPr>
                <w:color w:val="000000"/>
                <w:sz w:val="20"/>
                <w:szCs w:val="20"/>
              </w:rPr>
            </w:pPr>
            <w:r w:rsidRPr="00E33212">
              <w:rPr>
                <w:color w:val="000000"/>
                <w:sz w:val="20"/>
                <w:szCs w:val="20"/>
              </w:rPr>
              <w:t>347</w:t>
            </w:r>
          </w:p>
        </w:tc>
      </w:tr>
      <w:tr w:rsidR="009B0FDB" w:rsidRPr="00E33212" w14:paraId="76393202" w14:textId="77777777" w:rsidTr="00C86C0B">
        <w:trPr>
          <w:trHeight w:val="300"/>
        </w:trPr>
        <w:tc>
          <w:tcPr>
            <w:tcW w:w="929" w:type="dxa"/>
            <w:tcBorders>
              <w:top w:val="nil"/>
              <w:left w:val="single" w:sz="8" w:space="0" w:color="auto"/>
              <w:bottom w:val="nil"/>
              <w:right w:val="nil"/>
            </w:tcBorders>
            <w:shd w:val="clear" w:color="auto" w:fill="auto"/>
            <w:noWrap/>
            <w:vAlign w:val="bottom"/>
            <w:hideMark/>
          </w:tcPr>
          <w:p w14:paraId="07A20904"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nil"/>
              <w:left w:val="single" w:sz="4" w:space="0" w:color="auto"/>
              <w:bottom w:val="single" w:sz="4" w:space="0" w:color="auto"/>
              <w:right w:val="single" w:sz="8" w:space="0" w:color="auto"/>
            </w:tcBorders>
            <w:shd w:val="clear" w:color="auto" w:fill="auto"/>
            <w:noWrap/>
            <w:vAlign w:val="bottom"/>
            <w:hideMark/>
          </w:tcPr>
          <w:p w14:paraId="6E4097FF" w14:textId="77777777" w:rsidR="009B0FDB" w:rsidRPr="00E33212" w:rsidRDefault="009B0FDB" w:rsidP="00C86C0B">
            <w:pPr>
              <w:jc w:val="center"/>
              <w:rPr>
                <w:color w:val="000000"/>
                <w:sz w:val="20"/>
                <w:szCs w:val="20"/>
              </w:rPr>
            </w:pPr>
            <w:r w:rsidRPr="00E33212">
              <w:rPr>
                <w:color w:val="000000"/>
                <w:sz w:val="20"/>
                <w:szCs w:val="20"/>
              </w:rPr>
              <w:t>4</w:t>
            </w:r>
          </w:p>
        </w:tc>
        <w:tc>
          <w:tcPr>
            <w:tcW w:w="1080" w:type="dxa"/>
            <w:tcBorders>
              <w:top w:val="nil"/>
              <w:left w:val="nil"/>
              <w:bottom w:val="single" w:sz="4" w:space="0" w:color="auto"/>
              <w:right w:val="nil"/>
            </w:tcBorders>
            <w:shd w:val="clear" w:color="auto" w:fill="auto"/>
            <w:noWrap/>
            <w:vAlign w:val="bottom"/>
            <w:hideMark/>
          </w:tcPr>
          <w:p w14:paraId="3F13FEA8" w14:textId="77777777" w:rsidR="009B0FDB" w:rsidRPr="00E33212" w:rsidRDefault="009B0FDB" w:rsidP="00C86C0B">
            <w:pPr>
              <w:jc w:val="center"/>
              <w:rPr>
                <w:color w:val="000000"/>
                <w:sz w:val="20"/>
                <w:szCs w:val="20"/>
              </w:rPr>
            </w:pPr>
            <w:r w:rsidRPr="00E33212">
              <w:rPr>
                <w:color w:val="000000"/>
                <w:sz w:val="20"/>
                <w:szCs w:val="20"/>
              </w:rPr>
              <w:t>98</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D1D57F5" w14:textId="77777777" w:rsidR="009B0FDB" w:rsidRPr="00E33212" w:rsidRDefault="009B0FDB" w:rsidP="00C86C0B">
            <w:pPr>
              <w:jc w:val="center"/>
              <w:rPr>
                <w:color w:val="000000"/>
                <w:sz w:val="20"/>
                <w:szCs w:val="20"/>
              </w:rPr>
            </w:pPr>
            <w:r w:rsidRPr="00E33212">
              <w:rPr>
                <w:color w:val="000000"/>
                <w:sz w:val="20"/>
                <w:szCs w:val="20"/>
              </w:rPr>
              <w:t>17</w:t>
            </w:r>
          </w:p>
        </w:tc>
        <w:tc>
          <w:tcPr>
            <w:tcW w:w="810" w:type="dxa"/>
            <w:tcBorders>
              <w:top w:val="nil"/>
              <w:left w:val="nil"/>
              <w:bottom w:val="single" w:sz="4" w:space="0" w:color="auto"/>
              <w:right w:val="single" w:sz="4" w:space="0" w:color="auto"/>
            </w:tcBorders>
            <w:shd w:val="clear" w:color="auto" w:fill="auto"/>
            <w:noWrap/>
            <w:vAlign w:val="bottom"/>
            <w:hideMark/>
          </w:tcPr>
          <w:p w14:paraId="69C4458B" w14:textId="77777777" w:rsidR="009B0FDB" w:rsidRPr="00E33212" w:rsidRDefault="009B0FDB" w:rsidP="00C86C0B">
            <w:pPr>
              <w:jc w:val="center"/>
              <w:rPr>
                <w:color w:val="000000"/>
                <w:sz w:val="20"/>
                <w:szCs w:val="20"/>
              </w:rPr>
            </w:pPr>
            <w:r w:rsidRPr="00E33212">
              <w:rPr>
                <w:color w:val="000000"/>
                <w:sz w:val="20"/>
                <w:szCs w:val="20"/>
              </w:rPr>
              <w:t>115</w:t>
            </w:r>
          </w:p>
        </w:tc>
        <w:tc>
          <w:tcPr>
            <w:tcW w:w="990" w:type="dxa"/>
            <w:tcBorders>
              <w:top w:val="nil"/>
              <w:left w:val="nil"/>
              <w:bottom w:val="single" w:sz="4" w:space="0" w:color="auto"/>
              <w:right w:val="single" w:sz="4" w:space="0" w:color="auto"/>
            </w:tcBorders>
            <w:shd w:val="clear" w:color="auto" w:fill="auto"/>
            <w:noWrap/>
            <w:vAlign w:val="bottom"/>
            <w:hideMark/>
          </w:tcPr>
          <w:p w14:paraId="29ACC2EF" w14:textId="77777777" w:rsidR="009B0FDB" w:rsidRPr="00E33212" w:rsidRDefault="009B0FDB" w:rsidP="00C86C0B">
            <w:pPr>
              <w:jc w:val="center"/>
              <w:rPr>
                <w:color w:val="000000"/>
                <w:sz w:val="20"/>
                <w:szCs w:val="20"/>
              </w:rPr>
            </w:pPr>
            <w:r w:rsidRPr="00E33212">
              <w:rPr>
                <w:color w:val="000000"/>
                <w:sz w:val="20"/>
                <w:szCs w:val="20"/>
              </w:rPr>
              <w:t>74</w:t>
            </w:r>
          </w:p>
        </w:tc>
        <w:tc>
          <w:tcPr>
            <w:tcW w:w="900" w:type="dxa"/>
            <w:tcBorders>
              <w:top w:val="nil"/>
              <w:left w:val="nil"/>
              <w:bottom w:val="single" w:sz="4" w:space="0" w:color="auto"/>
              <w:right w:val="single" w:sz="4" w:space="0" w:color="auto"/>
            </w:tcBorders>
            <w:shd w:val="clear" w:color="auto" w:fill="auto"/>
            <w:noWrap/>
            <w:vAlign w:val="bottom"/>
            <w:hideMark/>
          </w:tcPr>
          <w:p w14:paraId="63BF11B4" w14:textId="77777777" w:rsidR="009B0FDB" w:rsidRPr="00E33212" w:rsidRDefault="009B0FDB" w:rsidP="00C86C0B">
            <w:pPr>
              <w:jc w:val="center"/>
              <w:rPr>
                <w:color w:val="000000"/>
                <w:sz w:val="20"/>
                <w:szCs w:val="20"/>
              </w:rPr>
            </w:pPr>
            <w:r w:rsidRPr="00E33212">
              <w:rPr>
                <w:color w:val="000000"/>
                <w:sz w:val="20"/>
                <w:szCs w:val="20"/>
              </w:rPr>
              <w:t>27</w:t>
            </w:r>
          </w:p>
        </w:tc>
        <w:tc>
          <w:tcPr>
            <w:tcW w:w="1530" w:type="dxa"/>
            <w:tcBorders>
              <w:top w:val="nil"/>
              <w:left w:val="nil"/>
              <w:bottom w:val="single" w:sz="4" w:space="0" w:color="auto"/>
              <w:right w:val="single" w:sz="8" w:space="0" w:color="auto"/>
            </w:tcBorders>
            <w:shd w:val="clear" w:color="auto" w:fill="auto"/>
            <w:noWrap/>
            <w:vAlign w:val="bottom"/>
            <w:hideMark/>
          </w:tcPr>
          <w:p w14:paraId="34172026" w14:textId="77777777" w:rsidR="009B0FDB" w:rsidRPr="00E33212" w:rsidRDefault="009B0FDB" w:rsidP="00C86C0B">
            <w:pPr>
              <w:jc w:val="center"/>
              <w:rPr>
                <w:color w:val="000000"/>
                <w:sz w:val="20"/>
                <w:szCs w:val="20"/>
              </w:rPr>
            </w:pPr>
            <w:r w:rsidRPr="00E33212">
              <w:rPr>
                <w:color w:val="000000"/>
                <w:sz w:val="20"/>
                <w:szCs w:val="20"/>
              </w:rPr>
              <w:t>101</w:t>
            </w:r>
          </w:p>
        </w:tc>
      </w:tr>
      <w:tr w:rsidR="009B0FDB" w:rsidRPr="00E33212" w14:paraId="65D42D93" w14:textId="77777777" w:rsidTr="00C86C0B">
        <w:trPr>
          <w:trHeight w:val="300"/>
        </w:trPr>
        <w:tc>
          <w:tcPr>
            <w:tcW w:w="929" w:type="dxa"/>
            <w:tcBorders>
              <w:top w:val="nil"/>
              <w:left w:val="single" w:sz="8" w:space="0" w:color="auto"/>
              <w:bottom w:val="nil"/>
              <w:right w:val="nil"/>
            </w:tcBorders>
            <w:shd w:val="clear" w:color="auto" w:fill="auto"/>
            <w:noWrap/>
            <w:vAlign w:val="bottom"/>
            <w:hideMark/>
          </w:tcPr>
          <w:p w14:paraId="0B407FA0"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nil"/>
              <w:left w:val="single" w:sz="4" w:space="0" w:color="auto"/>
              <w:bottom w:val="single" w:sz="4" w:space="0" w:color="auto"/>
              <w:right w:val="single" w:sz="8" w:space="0" w:color="auto"/>
            </w:tcBorders>
            <w:shd w:val="clear" w:color="auto" w:fill="auto"/>
            <w:noWrap/>
            <w:vAlign w:val="bottom"/>
            <w:hideMark/>
          </w:tcPr>
          <w:p w14:paraId="446CCB35" w14:textId="77777777" w:rsidR="009B0FDB" w:rsidRPr="00E33212" w:rsidRDefault="009B0FDB" w:rsidP="00C86C0B">
            <w:pPr>
              <w:jc w:val="center"/>
              <w:rPr>
                <w:color w:val="000000"/>
                <w:sz w:val="20"/>
                <w:szCs w:val="20"/>
              </w:rPr>
            </w:pPr>
            <w:r w:rsidRPr="00E33212">
              <w:rPr>
                <w:color w:val="000000"/>
                <w:sz w:val="20"/>
                <w:szCs w:val="20"/>
              </w:rPr>
              <w:t>5</w:t>
            </w:r>
          </w:p>
        </w:tc>
        <w:tc>
          <w:tcPr>
            <w:tcW w:w="1080" w:type="dxa"/>
            <w:tcBorders>
              <w:top w:val="nil"/>
              <w:left w:val="nil"/>
              <w:bottom w:val="single" w:sz="4" w:space="0" w:color="auto"/>
              <w:right w:val="nil"/>
            </w:tcBorders>
            <w:shd w:val="clear" w:color="auto" w:fill="auto"/>
            <w:noWrap/>
            <w:vAlign w:val="bottom"/>
            <w:hideMark/>
          </w:tcPr>
          <w:p w14:paraId="1CBC7EEE" w14:textId="77777777" w:rsidR="009B0FDB" w:rsidRPr="00E33212" w:rsidRDefault="009B0FDB" w:rsidP="00C86C0B">
            <w:pPr>
              <w:jc w:val="center"/>
              <w:rPr>
                <w:color w:val="000000"/>
                <w:sz w:val="20"/>
                <w:szCs w:val="20"/>
              </w:rPr>
            </w:pPr>
            <w:r w:rsidRPr="00E33212">
              <w:rPr>
                <w:color w:val="000000"/>
                <w:sz w:val="20"/>
                <w:szCs w:val="20"/>
              </w:rPr>
              <w:t>330</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65E3FAA" w14:textId="77777777" w:rsidR="009B0FDB" w:rsidRPr="00E33212" w:rsidRDefault="009B0FDB" w:rsidP="00C86C0B">
            <w:pPr>
              <w:jc w:val="center"/>
              <w:rPr>
                <w:color w:val="000000"/>
                <w:sz w:val="20"/>
                <w:szCs w:val="20"/>
              </w:rPr>
            </w:pPr>
            <w:r w:rsidRPr="00E33212">
              <w:rPr>
                <w:color w:val="000000"/>
                <w:sz w:val="20"/>
                <w:szCs w:val="20"/>
              </w:rPr>
              <w:t>56</w:t>
            </w:r>
          </w:p>
        </w:tc>
        <w:tc>
          <w:tcPr>
            <w:tcW w:w="810" w:type="dxa"/>
            <w:tcBorders>
              <w:top w:val="nil"/>
              <w:left w:val="nil"/>
              <w:bottom w:val="single" w:sz="4" w:space="0" w:color="auto"/>
              <w:right w:val="single" w:sz="4" w:space="0" w:color="auto"/>
            </w:tcBorders>
            <w:shd w:val="clear" w:color="auto" w:fill="auto"/>
            <w:noWrap/>
            <w:vAlign w:val="bottom"/>
            <w:hideMark/>
          </w:tcPr>
          <w:p w14:paraId="68BD1002" w14:textId="77777777" w:rsidR="009B0FDB" w:rsidRPr="00E33212" w:rsidRDefault="009B0FDB" w:rsidP="00C86C0B">
            <w:pPr>
              <w:jc w:val="center"/>
              <w:rPr>
                <w:color w:val="000000"/>
                <w:sz w:val="20"/>
                <w:szCs w:val="20"/>
              </w:rPr>
            </w:pPr>
            <w:r w:rsidRPr="00E33212">
              <w:rPr>
                <w:color w:val="000000"/>
                <w:sz w:val="20"/>
                <w:szCs w:val="20"/>
              </w:rPr>
              <w:t>386</w:t>
            </w:r>
          </w:p>
        </w:tc>
        <w:tc>
          <w:tcPr>
            <w:tcW w:w="990" w:type="dxa"/>
            <w:tcBorders>
              <w:top w:val="nil"/>
              <w:left w:val="nil"/>
              <w:bottom w:val="single" w:sz="4" w:space="0" w:color="auto"/>
              <w:right w:val="single" w:sz="4" w:space="0" w:color="auto"/>
            </w:tcBorders>
            <w:shd w:val="clear" w:color="auto" w:fill="auto"/>
            <w:noWrap/>
            <w:vAlign w:val="bottom"/>
            <w:hideMark/>
          </w:tcPr>
          <w:p w14:paraId="381BFFDC" w14:textId="77777777" w:rsidR="009B0FDB" w:rsidRPr="00E33212" w:rsidRDefault="009B0FDB" w:rsidP="00C86C0B">
            <w:pPr>
              <w:jc w:val="center"/>
              <w:rPr>
                <w:color w:val="000000"/>
                <w:sz w:val="20"/>
                <w:szCs w:val="20"/>
              </w:rPr>
            </w:pPr>
            <w:r w:rsidRPr="00E33212">
              <w:rPr>
                <w:color w:val="000000"/>
                <w:sz w:val="20"/>
                <w:szCs w:val="20"/>
              </w:rPr>
              <w:t>236</w:t>
            </w:r>
          </w:p>
        </w:tc>
        <w:tc>
          <w:tcPr>
            <w:tcW w:w="900" w:type="dxa"/>
            <w:tcBorders>
              <w:top w:val="nil"/>
              <w:left w:val="nil"/>
              <w:bottom w:val="single" w:sz="4" w:space="0" w:color="auto"/>
              <w:right w:val="single" w:sz="4" w:space="0" w:color="auto"/>
            </w:tcBorders>
            <w:shd w:val="clear" w:color="auto" w:fill="auto"/>
            <w:noWrap/>
            <w:vAlign w:val="bottom"/>
            <w:hideMark/>
          </w:tcPr>
          <w:p w14:paraId="25335A50" w14:textId="77777777" w:rsidR="009B0FDB" w:rsidRPr="00E33212" w:rsidRDefault="009B0FDB" w:rsidP="00C86C0B">
            <w:pPr>
              <w:jc w:val="center"/>
              <w:rPr>
                <w:color w:val="000000"/>
                <w:sz w:val="20"/>
                <w:szCs w:val="20"/>
              </w:rPr>
            </w:pPr>
            <w:r w:rsidRPr="00E33212">
              <w:rPr>
                <w:color w:val="000000"/>
                <w:sz w:val="20"/>
                <w:szCs w:val="20"/>
              </w:rPr>
              <w:t>85</w:t>
            </w:r>
          </w:p>
        </w:tc>
        <w:tc>
          <w:tcPr>
            <w:tcW w:w="1530" w:type="dxa"/>
            <w:tcBorders>
              <w:top w:val="nil"/>
              <w:left w:val="nil"/>
              <w:bottom w:val="single" w:sz="4" w:space="0" w:color="auto"/>
              <w:right w:val="single" w:sz="8" w:space="0" w:color="auto"/>
            </w:tcBorders>
            <w:shd w:val="clear" w:color="auto" w:fill="auto"/>
            <w:noWrap/>
            <w:vAlign w:val="bottom"/>
            <w:hideMark/>
          </w:tcPr>
          <w:p w14:paraId="3E1C7C2A" w14:textId="77777777" w:rsidR="009B0FDB" w:rsidRPr="00E33212" w:rsidRDefault="009B0FDB" w:rsidP="00C86C0B">
            <w:pPr>
              <w:jc w:val="center"/>
              <w:rPr>
                <w:color w:val="000000"/>
                <w:sz w:val="20"/>
                <w:szCs w:val="20"/>
              </w:rPr>
            </w:pPr>
            <w:r w:rsidRPr="00E33212">
              <w:rPr>
                <w:color w:val="000000"/>
                <w:sz w:val="20"/>
                <w:szCs w:val="20"/>
              </w:rPr>
              <w:t>321</w:t>
            </w:r>
          </w:p>
        </w:tc>
      </w:tr>
      <w:tr w:rsidR="009B0FDB" w:rsidRPr="00E33212" w14:paraId="51A5EBD1" w14:textId="77777777" w:rsidTr="00C86C0B">
        <w:trPr>
          <w:trHeight w:val="300"/>
        </w:trPr>
        <w:tc>
          <w:tcPr>
            <w:tcW w:w="929" w:type="dxa"/>
            <w:tcBorders>
              <w:top w:val="nil"/>
              <w:left w:val="single" w:sz="8" w:space="0" w:color="auto"/>
              <w:bottom w:val="nil"/>
              <w:right w:val="nil"/>
            </w:tcBorders>
            <w:shd w:val="clear" w:color="auto" w:fill="auto"/>
            <w:noWrap/>
            <w:vAlign w:val="bottom"/>
            <w:hideMark/>
          </w:tcPr>
          <w:p w14:paraId="17E543D6"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nil"/>
              <w:left w:val="single" w:sz="4" w:space="0" w:color="auto"/>
              <w:bottom w:val="single" w:sz="4" w:space="0" w:color="auto"/>
              <w:right w:val="single" w:sz="8" w:space="0" w:color="auto"/>
            </w:tcBorders>
            <w:shd w:val="clear" w:color="auto" w:fill="auto"/>
            <w:noWrap/>
            <w:vAlign w:val="bottom"/>
            <w:hideMark/>
          </w:tcPr>
          <w:p w14:paraId="51681DA4" w14:textId="77777777" w:rsidR="009B0FDB" w:rsidRPr="00E33212" w:rsidRDefault="009B0FDB" w:rsidP="00C86C0B">
            <w:pPr>
              <w:jc w:val="center"/>
              <w:rPr>
                <w:color w:val="000000"/>
                <w:sz w:val="20"/>
                <w:szCs w:val="20"/>
              </w:rPr>
            </w:pPr>
            <w:r w:rsidRPr="00E33212">
              <w:rPr>
                <w:color w:val="000000"/>
                <w:sz w:val="20"/>
                <w:szCs w:val="20"/>
              </w:rPr>
              <w:t>6</w:t>
            </w:r>
          </w:p>
        </w:tc>
        <w:tc>
          <w:tcPr>
            <w:tcW w:w="1080" w:type="dxa"/>
            <w:tcBorders>
              <w:top w:val="nil"/>
              <w:left w:val="nil"/>
              <w:bottom w:val="single" w:sz="4" w:space="0" w:color="auto"/>
              <w:right w:val="nil"/>
            </w:tcBorders>
            <w:shd w:val="clear" w:color="auto" w:fill="auto"/>
            <w:noWrap/>
            <w:vAlign w:val="bottom"/>
            <w:hideMark/>
          </w:tcPr>
          <w:p w14:paraId="2245FF8F" w14:textId="77777777" w:rsidR="009B0FDB" w:rsidRPr="00E33212" w:rsidRDefault="009B0FDB" w:rsidP="00C86C0B">
            <w:pPr>
              <w:jc w:val="center"/>
              <w:rPr>
                <w:color w:val="000000"/>
                <w:sz w:val="20"/>
                <w:szCs w:val="20"/>
              </w:rPr>
            </w:pPr>
            <w:r w:rsidRPr="00E33212">
              <w:rPr>
                <w:color w:val="000000"/>
                <w:sz w:val="20"/>
                <w:szCs w:val="20"/>
              </w:rPr>
              <w:t>123</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269E8C3" w14:textId="77777777" w:rsidR="009B0FDB" w:rsidRPr="00E33212" w:rsidRDefault="009B0FDB" w:rsidP="00C86C0B">
            <w:pPr>
              <w:jc w:val="center"/>
              <w:rPr>
                <w:color w:val="000000"/>
                <w:sz w:val="20"/>
                <w:szCs w:val="20"/>
              </w:rPr>
            </w:pPr>
            <w:r w:rsidRPr="00E33212">
              <w:rPr>
                <w:color w:val="000000"/>
                <w:sz w:val="20"/>
                <w:szCs w:val="20"/>
              </w:rPr>
              <w:t>21</w:t>
            </w:r>
          </w:p>
        </w:tc>
        <w:tc>
          <w:tcPr>
            <w:tcW w:w="810" w:type="dxa"/>
            <w:tcBorders>
              <w:top w:val="nil"/>
              <w:left w:val="nil"/>
              <w:bottom w:val="single" w:sz="4" w:space="0" w:color="auto"/>
              <w:right w:val="single" w:sz="4" w:space="0" w:color="auto"/>
            </w:tcBorders>
            <w:shd w:val="clear" w:color="auto" w:fill="auto"/>
            <w:noWrap/>
            <w:vAlign w:val="bottom"/>
            <w:hideMark/>
          </w:tcPr>
          <w:p w14:paraId="64137C8B" w14:textId="77777777" w:rsidR="009B0FDB" w:rsidRPr="00E33212" w:rsidRDefault="009B0FDB" w:rsidP="00C86C0B">
            <w:pPr>
              <w:jc w:val="center"/>
              <w:rPr>
                <w:color w:val="000000"/>
                <w:sz w:val="20"/>
                <w:szCs w:val="20"/>
              </w:rPr>
            </w:pPr>
            <w:r w:rsidRPr="00E33212">
              <w:rPr>
                <w:color w:val="000000"/>
                <w:sz w:val="20"/>
                <w:szCs w:val="20"/>
              </w:rPr>
              <w:t>144</w:t>
            </w:r>
          </w:p>
        </w:tc>
        <w:tc>
          <w:tcPr>
            <w:tcW w:w="990" w:type="dxa"/>
            <w:tcBorders>
              <w:top w:val="nil"/>
              <w:left w:val="nil"/>
              <w:bottom w:val="single" w:sz="4" w:space="0" w:color="auto"/>
              <w:right w:val="single" w:sz="4" w:space="0" w:color="auto"/>
            </w:tcBorders>
            <w:shd w:val="clear" w:color="auto" w:fill="auto"/>
            <w:noWrap/>
            <w:vAlign w:val="bottom"/>
            <w:hideMark/>
          </w:tcPr>
          <w:p w14:paraId="5A9DDC80" w14:textId="77777777" w:rsidR="009B0FDB" w:rsidRPr="00E33212" w:rsidRDefault="009B0FDB" w:rsidP="00C86C0B">
            <w:pPr>
              <w:jc w:val="center"/>
              <w:rPr>
                <w:color w:val="000000"/>
                <w:sz w:val="20"/>
                <w:szCs w:val="20"/>
              </w:rPr>
            </w:pPr>
            <w:r w:rsidRPr="00E33212">
              <w:rPr>
                <w:color w:val="000000"/>
                <w:sz w:val="20"/>
                <w:szCs w:val="20"/>
              </w:rPr>
              <w:t>79</w:t>
            </w:r>
          </w:p>
        </w:tc>
        <w:tc>
          <w:tcPr>
            <w:tcW w:w="900" w:type="dxa"/>
            <w:tcBorders>
              <w:top w:val="nil"/>
              <w:left w:val="nil"/>
              <w:bottom w:val="single" w:sz="4" w:space="0" w:color="auto"/>
              <w:right w:val="single" w:sz="4" w:space="0" w:color="auto"/>
            </w:tcBorders>
            <w:shd w:val="clear" w:color="auto" w:fill="auto"/>
            <w:noWrap/>
            <w:vAlign w:val="bottom"/>
            <w:hideMark/>
          </w:tcPr>
          <w:p w14:paraId="75210BF0" w14:textId="77777777" w:rsidR="009B0FDB" w:rsidRPr="00E33212" w:rsidRDefault="009B0FDB" w:rsidP="00C86C0B">
            <w:pPr>
              <w:jc w:val="center"/>
              <w:rPr>
                <w:color w:val="000000"/>
                <w:sz w:val="20"/>
                <w:szCs w:val="20"/>
              </w:rPr>
            </w:pPr>
            <w:r w:rsidRPr="00E33212">
              <w:rPr>
                <w:color w:val="000000"/>
                <w:sz w:val="20"/>
                <w:szCs w:val="20"/>
              </w:rPr>
              <w:t>29</w:t>
            </w:r>
          </w:p>
        </w:tc>
        <w:tc>
          <w:tcPr>
            <w:tcW w:w="1530" w:type="dxa"/>
            <w:tcBorders>
              <w:top w:val="nil"/>
              <w:left w:val="nil"/>
              <w:bottom w:val="single" w:sz="4" w:space="0" w:color="auto"/>
              <w:right w:val="single" w:sz="8" w:space="0" w:color="auto"/>
            </w:tcBorders>
            <w:shd w:val="clear" w:color="auto" w:fill="auto"/>
            <w:noWrap/>
            <w:vAlign w:val="bottom"/>
            <w:hideMark/>
          </w:tcPr>
          <w:p w14:paraId="0FD3F68B" w14:textId="77777777" w:rsidR="009B0FDB" w:rsidRPr="00E33212" w:rsidRDefault="009B0FDB" w:rsidP="00C86C0B">
            <w:pPr>
              <w:jc w:val="center"/>
              <w:rPr>
                <w:color w:val="000000"/>
                <w:sz w:val="20"/>
                <w:szCs w:val="20"/>
              </w:rPr>
            </w:pPr>
            <w:r w:rsidRPr="00E33212">
              <w:rPr>
                <w:color w:val="000000"/>
                <w:sz w:val="20"/>
                <w:szCs w:val="20"/>
              </w:rPr>
              <w:t>108</w:t>
            </w:r>
          </w:p>
        </w:tc>
      </w:tr>
      <w:tr w:rsidR="009B0FDB" w:rsidRPr="00E33212" w14:paraId="57E34A27" w14:textId="77777777" w:rsidTr="00C86C0B">
        <w:trPr>
          <w:trHeight w:val="300"/>
        </w:trPr>
        <w:tc>
          <w:tcPr>
            <w:tcW w:w="929" w:type="dxa"/>
            <w:tcBorders>
              <w:top w:val="nil"/>
              <w:left w:val="single" w:sz="8" w:space="0" w:color="auto"/>
              <w:bottom w:val="nil"/>
              <w:right w:val="nil"/>
            </w:tcBorders>
            <w:shd w:val="clear" w:color="auto" w:fill="auto"/>
            <w:noWrap/>
            <w:vAlign w:val="bottom"/>
            <w:hideMark/>
          </w:tcPr>
          <w:p w14:paraId="6554890A"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nil"/>
              <w:left w:val="single" w:sz="4" w:space="0" w:color="auto"/>
              <w:bottom w:val="single" w:sz="4" w:space="0" w:color="auto"/>
              <w:right w:val="single" w:sz="8" w:space="0" w:color="auto"/>
            </w:tcBorders>
            <w:shd w:val="clear" w:color="auto" w:fill="auto"/>
            <w:noWrap/>
            <w:vAlign w:val="bottom"/>
            <w:hideMark/>
          </w:tcPr>
          <w:p w14:paraId="771A35D9" w14:textId="77777777" w:rsidR="009B0FDB" w:rsidRPr="00E33212" w:rsidRDefault="009B0FDB" w:rsidP="00C86C0B">
            <w:pPr>
              <w:jc w:val="center"/>
              <w:rPr>
                <w:color w:val="000000"/>
                <w:sz w:val="20"/>
                <w:szCs w:val="20"/>
              </w:rPr>
            </w:pPr>
            <w:r w:rsidRPr="00E33212">
              <w:rPr>
                <w:color w:val="000000"/>
                <w:sz w:val="20"/>
                <w:szCs w:val="20"/>
              </w:rPr>
              <w:t>7</w:t>
            </w:r>
          </w:p>
        </w:tc>
        <w:tc>
          <w:tcPr>
            <w:tcW w:w="1080" w:type="dxa"/>
            <w:tcBorders>
              <w:top w:val="nil"/>
              <w:left w:val="nil"/>
              <w:bottom w:val="single" w:sz="4" w:space="0" w:color="auto"/>
              <w:right w:val="nil"/>
            </w:tcBorders>
            <w:shd w:val="clear" w:color="auto" w:fill="auto"/>
            <w:noWrap/>
            <w:vAlign w:val="bottom"/>
            <w:hideMark/>
          </w:tcPr>
          <w:p w14:paraId="4390B148" w14:textId="77777777" w:rsidR="009B0FDB" w:rsidRPr="00E33212" w:rsidRDefault="009B0FDB" w:rsidP="00C86C0B">
            <w:pPr>
              <w:jc w:val="center"/>
              <w:rPr>
                <w:color w:val="000000"/>
                <w:sz w:val="20"/>
                <w:szCs w:val="20"/>
              </w:rPr>
            </w:pPr>
            <w:r w:rsidRPr="00E33212">
              <w:rPr>
                <w:color w:val="000000"/>
                <w:sz w:val="20"/>
                <w:szCs w:val="20"/>
              </w:rPr>
              <w:t>236</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20EDDCEB" w14:textId="77777777" w:rsidR="009B0FDB" w:rsidRPr="00E33212" w:rsidRDefault="009B0FDB" w:rsidP="00C86C0B">
            <w:pPr>
              <w:jc w:val="center"/>
              <w:rPr>
                <w:color w:val="000000"/>
                <w:sz w:val="20"/>
                <w:szCs w:val="20"/>
              </w:rPr>
            </w:pPr>
            <w:r w:rsidRPr="00E33212">
              <w:rPr>
                <w:color w:val="000000"/>
                <w:sz w:val="20"/>
                <w:szCs w:val="20"/>
              </w:rPr>
              <w:t>41</w:t>
            </w:r>
          </w:p>
        </w:tc>
        <w:tc>
          <w:tcPr>
            <w:tcW w:w="810" w:type="dxa"/>
            <w:tcBorders>
              <w:top w:val="nil"/>
              <w:left w:val="nil"/>
              <w:bottom w:val="single" w:sz="4" w:space="0" w:color="auto"/>
              <w:right w:val="single" w:sz="4" w:space="0" w:color="auto"/>
            </w:tcBorders>
            <w:shd w:val="clear" w:color="auto" w:fill="auto"/>
            <w:noWrap/>
            <w:vAlign w:val="bottom"/>
            <w:hideMark/>
          </w:tcPr>
          <w:p w14:paraId="6040DAF7" w14:textId="77777777" w:rsidR="009B0FDB" w:rsidRPr="00E33212" w:rsidRDefault="009B0FDB" w:rsidP="00C86C0B">
            <w:pPr>
              <w:jc w:val="center"/>
              <w:rPr>
                <w:color w:val="000000"/>
                <w:sz w:val="20"/>
                <w:szCs w:val="20"/>
              </w:rPr>
            </w:pPr>
            <w:r w:rsidRPr="00E33212">
              <w:rPr>
                <w:color w:val="000000"/>
                <w:sz w:val="20"/>
                <w:szCs w:val="20"/>
              </w:rPr>
              <w:t>277</w:t>
            </w:r>
          </w:p>
        </w:tc>
        <w:tc>
          <w:tcPr>
            <w:tcW w:w="990" w:type="dxa"/>
            <w:tcBorders>
              <w:top w:val="nil"/>
              <w:left w:val="nil"/>
              <w:bottom w:val="single" w:sz="4" w:space="0" w:color="auto"/>
              <w:right w:val="single" w:sz="4" w:space="0" w:color="auto"/>
            </w:tcBorders>
            <w:shd w:val="clear" w:color="auto" w:fill="auto"/>
            <w:noWrap/>
            <w:vAlign w:val="bottom"/>
            <w:hideMark/>
          </w:tcPr>
          <w:p w14:paraId="331D2D64" w14:textId="77777777" w:rsidR="009B0FDB" w:rsidRPr="00E33212" w:rsidRDefault="009B0FDB" w:rsidP="00C86C0B">
            <w:pPr>
              <w:jc w:val="center"/>
              <w:rPr>
                <w:color w:val="000000"/>
                <w:sz w:val="20"/>
                <w:szCs w:val="20"/>
              </w:rPr>
            </w:pPr>
            <w:r w:rsidRPr="00E33212">
              <w:rPr>
                <w:color w:val="000000"/>
                <w:sz w:val="20"/>
                <w:szCs w:val="20"/>
              </w:rPr>
              <w:t>159</w:t>
            </w:r>
          </w:p>
        </w:tc>
        <w:tc>
          <w:tcPr>
            <w:tcW w:w="900" w:type="dxa"/>
            <w:tcBorders>
              <w:top w:val="nil"/>
              <w:left w:val="nil"/>
              <w:bottom w:val="single" w:sz="4" w:space="0" w:color="auto"/>
              <w:right w:val="single" w:sz="4" w:space="0" w:color="auto"/>
            </w:tcBorders>
            <w:shd w:val="clear" w:color="auto" w:fill="auto"/>
            <w:noWrap/>
            <w:vAlign w:val="bottom"/>
            <w:hideMark/>
          </w:tcPr>
          <w:p w14:paraId="0163323E" w14:textId="77777777" w:rsidR="009B0FDB" w:rsidRPr="00E33212" w:rsidRDefault="009B0FDB" w:rsidP="00C86C0B">
            <w:pPr>
              <w:jc w:val="center"/>
              <w:rPr>
                <w:color w:val="000000"/>
                <w:sz w:val="20"/>
                <w:szCs w:val="20"/>
              </w:rPr>
            </w:pPr>
            <w:r w:rsidRPr="00E33212">
              <w:rPr>
                <w:color w:val="000000"/>
                <w:sz w:val="20"/>
                <w:szCs w:val="20"/>
              </w:rPr>
              <w:t>57</w:t>
            </w:r>
          </w:p>
        </w:tc>
        <w:tc>
          <w:tcPr>
            <w:tcW w:w="1530" w:type="dxa"/>
            <w:tcBorders>
              <w:top w:val="nil"/>
              <w:left w:val="nil"/>
              <w:bottom w:val="single" w:sz="4" w:space="0" w:color="auto"/>
              <w:right w:val="single" w:sz="8" w:space="0" w:color="auto"/>
            </w:tcBorders>
            <w:shd w:val="clear" w:color="auto" w:fill="auto"/>
            <w:noWrap/>
            <w:vAlign w:val="bottom"/>
            <w:hideMark/>
          </w:tcPr>
          <w:p w14:paraId="558B30FD" w14:textId="77777777" w:rsidR="009B0FDB" w:rsidRPr="00E33212" w:rsidRDefault="009B0FDB" w:rsidP="00C86C0B">
            <w:pPr>
              <w:jc w:val="center"/>
              <w:rPr>
                <w:color w:val="000000"/>
                <w:sz w:val="20"/>
                <w:szCs w:val="20"/>
              </w:rPr>
            </w:pPr>
            <w:r w:rsidRPr="00E33212">
              <w:rPr>
                <w:color w:val="000000"/>
                <w:sz w:val="20"/>
                <w:szCs w:val="20"/>
              </w:rPr>
              <w:t>216</w:t>
            </w:r>
          </w:p>
        </w:tc>
      </w:tr>
      <w:tr w:rsidR="009B0FDB" w:rsidRPr="00E33212" w14:paraId="3FE69A03" w14:textId="77777777" w:rsidTr="00C86C0B">
        <w:trPr>
          <w:trHeight w:val="300"/>
        </w:trPr>
        <w:tc>
          <w:tcPr>
            <w:tcW w:w="929" w:type="dxa"/>
            <w:tcBorders>
              <w:top w:val="nil"/>
              <w:left w:val="single" w:sz="8" w:space="0" w:color="auto"/>
              <w:bottom w:val="nil"/>
              <w:right w:val="nil"/>
            </w:tcBorders>
            <w:shd w:val="clear" w:color="auto" w:fill="auto"/>
            <w:noWrap/>
            <w:vAlign w:val="bottom"/>
            <w:hideMark/>
          </w:tcPr>
          <w:p w14:paraId="45A0A338"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nil"/>
              <w:left w:val="single" w:sz="4" w:space="0" w:color="auto"/>
              <w:bottom w:val="single" w:sz="4" w:space="0" w:color="auto"/>
              <w:right w:val="single" w:sz="8" w:space="0" w:color="auto"/>
            </w:tcBorders>
            <w:shd w:val="clear" w:color="auto" w:fill="auto"/>
            <w:noWrap/>
            <w:vAlign w:val="bottom"/>
            <w:hideMark/>
          </w:tcPr>
          <w:p w14:paraId="3EA26825" w14:textId="77777777" w:rsidR="009B0FDB" w:rsidRPr="00E33212" w:rsidRDefault="009B0FDB" w:rsidP="00C86C0B">
            <w:pPr>
              <w:jc w:val="center"/>
              <w:rPr>
                <w:color w:val="000000"/>
                <w:sz w:val="20"/>
                <w:szCs w:val="20"/>
              </w:rPr>
            </w:pPr>
            <w:r w:rsidRPr="00E33212">
              <w:rPr>
                <w:color w:val="000000"/>
                <w:sz w:val="20"/>
                <w:szCs w:val="20"/>
              </w:rPr>
              <w:t>8</w:t>
            </w:r>
          </w:p>
        </w:tc>
        <w:tc>
          <w:tcPr>
            <w:tcW w:w="1080" w:type="dxa"/>
            <w:tcBorders>
              <w:top w:val="nil"/>
              <w:left w:val="nil"/>
              <w:bottom w:val="single" w:sz="4" w:space="0" w:color="auto"/>
              <w:right w:val="nil"/>
            </w:tcBorders>
            <w:shd w:val="clear" w:color="auto" w:fill="auto"/>
            <w:noWrap/>
            <w:vAlign w:val="bottom"/>
            <w:hideMark/>
          </w:tcPr>
          <w:p w14:paraId="7782343F" w14:textId="77777777" w:rsidR="009B0FDB" w:rsidRPr="00E33212" w:rsidRDefault="009B0FDB" w:rsidP="00C86C0B">
            <w:pPr>
              <w:jc w:val="center"/>
              <w:rPr>
                <w:color w:val="000000"/>
                <w:sz w:val="20"/>
                <w:szCs w:val="20"/>
              </w:rPr>
            </w:pPr>
            <w:r w:rsidRPr="00E33212">
              <w:rPr>
                <w:color w:val="000000"/>
                <w:sz w:val="20"/>
                <w:szCs w:val="20"/>
              </w:rPr>
              <w:t>140</w:t>
            </w:r>
          </w:p>
        </w:tc>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91B48CD" w14:textId="77777777" w:rsidR="009B0FDB" w:rsidRPr="00E33212" w:rsidRDefault="009B0FDB" w:rsidP="00C86C0B">
            <w:pPr>
              <w:jc w:val="center"/>
              <w:rPr>
                <w:color w:val="000000"/>
                <w:sz w:val="20"/>
                <w:szCs w:val="20"/>
              </w:rPr>
            </w:pPr>
            <w:r w:rsidRPr="00E33212">
              <w:rPr>
                <w:color w:val="000000"/>
                <w:sz w:val="20"/>
                <w:szCs w:val="20"/>
              </w:rPr>
              <w:t>24</w:t>
            </w:r>
          </w:p>
        </w:tc>
        <w:tc>
          <w:tcPr>
            <w:tcW w:w="810" w:type="dxa"/>
            <w:tcBorders>
              <w:top w:val="nil"/>
              <w:left w:val="nil"/>
              <w:bottom w:val="single" w:sz="4" w:space="0" w:color="auto"/>
              <w:right w:val="single" w:sz="4" w:space="0" w:color="auto"/>
            </w:tcBorders>
            <w:shd w:val="clear" w:color="auto" w:fill="auto"/>
            <w:noWrap/>
            <w:vAlign w:val="bottom"/>
            <w:hideMark/>
          </w:tcPr>
          <w:p w14:paraId="06C4BA51" w14:textId="77777777" w:rsidR="009B0FDB" w:rsidRPr="00E33212" w:rsidRDefault="009B0FDB" w:rsidP="00C86C0B">
            <w:pPr>
              <w:jc w:val="center"/>
              <w:rPr>
                <w:color w:val="000000"/>
                <w:sz w:val="20"/>
                <w:szCs w:val="20"/>
              </w:rPr>
            </w:pPr>
            <w:r w:rsidRPr="00E33212">
              <w:rPr>
                <w:color w:val="000000"/>
                <w:sz w:val="20"/>
                <w:szCs w:val="20"/>
              </w:rPr>
              <w:t>164</w:t>
            </w:r>
          </w:p>
        </w:tc>
        <w:tc>
          <w:tcPr>
            <w:tcW w:w="990" w:type="dxa"/>
            <w:tcBorders>
              <w:top w:val="nil"/>
              <w:left w:val="nil"/>
              <w:bottom w:val="single" w:sz="4" w:space="0" w:color="auto"/>
              <w:right w:val="single" w:sz="4" w:space="0" w:color="auto"/>
            </w:tcBorders>
            <w:shd w:val="clear" w:color="auto" w:fill="auto"/>
            <w:noWrap/>
            <w:vAlign w:val="bottom"/>
            <w:hideMark/>
          </w:tcPr>
          <w:p w14:paraId="442C60BC" w14:textId="77777777" w:rsidR="009B0FDB" w:rsidRPr="00E33212" w:rsidRDefault="009B0FDB" w:rsidP="00C86C0B">
            <w:pPr>
              <w:jc w:val="center"/>
              <w:rPr>
                <w:color w:val="000000"/>
                <w:sz w:val="20"/>
                <w:szCs w:val="20"/>
              </w:rPr>
            </w:pPr>
            <w:r w:rsidRPr="00E33212">
              <w:rPr>
                <w:color w:val="000000"/>
                <w:sz w:val="20"/>
                <w:szCs w:val="20"/>
              </w:rPr>
              <w:t>107</w:t>
            </w:r>
          </w:p>
        </w:tc>
        <w:tc>
          <w:tcPr>
            <w:tcW w:w="900" w:type="dxa"/>
            <w:tcBorders>
              <w:top w:val="nil"/>
              <w:left w:val="nil"/>
              <w:bottom w:val="single" w:sz="4" w:space="0" w:color="auto"/>
              <w:right w:val="single" w:sz="4" w:space="0" w:color="auto"/>
            </w:tcBorders>
            <w:shd w:val="clear" w:color="auto" w:fill="auto"/>
            <w:noWrap/>
            <w:vAlign w:val="bottom"/>
            <w:hideMark/>
          </w:tcPr>
          <w:p w14:paraId="7587E5AF" w14:textId="77777777" w:rsidR="009B0FDB" w:rsidRPr="00E33212" w:rsidRDefault="009B0FDB" w:rsidP="00C86C0B">
            <w:pPr>
              <w:jc w:val="center"/>
              <w:rPr>
                <w:color w:val="000000"/>
                <w:sz w:val="20"/>
                <w:szCs w:val="20"/>
              </w:rPr>
            </w:pPr>
            <w:r w:rsidRPr="00E33212">
              <w:rPr>
                <w:color w:val="000000"/>
                <w:sz w:val="20"/>
                <w:szCs w:val="20"/>
              </w:rPr>
              <w:t>39</w:t>
            </w:r>
          </w:p>
        </w:tc>
        <w:tc>
          <w:tcPr>
            <w:tcW w:w="1530" w:type="dxa"/>
            <w:tcBorders>
              <w:top w:val="nil"/>
              <w:left w:val="nil"/>
              <w:bottom w:val="single" w:sz="4" w:space="0" w:color="auto"/>
              <w:right w:val="single" w:sz="8" w:space="0" w:color="auto"/>
            </w:tcBorders>
            <w:shd w:val="clear" w:color="auto" w:fill="auto"/>
            <w:noWrap/>
            <w:vAlign w:val="bottom"/>
            <w:hideMark/>
          </w:tcPr>
          <w:p w14:paraId="79835F29" w14:textId="77777777" w:rsidR="009B0FDB" w:rsidRPr="00E33212" w:rsidRDefault="009B0FDB" w:rsidP="00C86C0B">
            <w:pPr>
              <w:jc w:val="center"/>
              <w:rPr>
                <w:color w:val="000000"/>
                <w:sz w:val="20"/>
                <w:szCs w:val="20"/>
              </w:rPr>
            </w:pPr>
            <w:r w:rsidRPr="00E33212">
              <w:rPr>
                <w:color w:val="000000"/>
                <w:sz w:val="20"/>
                <w:szCs w:val="20"/>
              </w:rPr>
              <w:t>146</w:t>
            </w:r>
          </w:p>
        </w:tc>
      </w:tr>
      <w:tr w:rsidR="009B0FDB" w:rsidRPr="00E33212" w14:paraId="7555DD2C" w14:textId="77777777" w:rsidTr="00C86C0B">
        <w:trPr>
          <w:trHeight w:val="315"/>
        </w:trPr>
        <w:tc>
          <w:tcPr>
            <w:tcW w:w="929" w:type="dxa"/>
            <w:tcBorders>
              <w:top w:val="nil"/>
              <w:left w:val="single" w:sz="8" w:space="0" w:color="auto"/>
              <w:bottom w:val="single" w:sz="8" w:space="0" w:color="auto"/>
              <w:right w:val="nil"/>
            </w:tcBorders>
            <w:shd w:val="clear" w:color="auto" w:fill="auto"/>
            <w:noWrap/>
            <w:vAlign w:val="bottom"/>
            <w:hideMark/>
          </w:tcPr>
          <w:p w14:paraId="0CAF3125"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nil"/>
              <w:left w:val="single" w:sz="4" w:space="0" w:color="auto"/>
              <w:bottom w:val="single" w:sz="8" w:space="0" w:color="auto"/>
              <w:right w:val="single" w:sz="8" w:space="0" w:color="auto"/>
            </w:tcBorders>
            <w:shd w:val="clear" w:color="auto" w:fill="auto"/>
            <w:noWrap/>
            <w:vAlign w:val="bottom"/>
            <w:hideMark/>
          </w:tcPr>
          <w:p w14:paraId="37FD19EE" w14:textId="77777777" w:rsidR="009B0FDB" w:rsidRPr="00E33212" w:rsidRDefault="009B0FDB" w:rsidP="00C86C0B">
            <w:pPr>
              <w:jc w:val="center"/>
              <w:rPr>
                <w:color w:val="000000"/>
                <w:sz w:val="20"/>
                <w:szCs w:val="20"/>
              </w:rPr>
            </w:pPr>
            <w:r w:rsidRPr="00E33212">
              <w:rPr>
                <w:color w:val="000000"/>
                <w:sz w:val="20"/>
                <w:szCs w:val="20"/>
              </w:rPr>
              <w:t>9</w:t>
            </w:r>
          </w:p>
        </w:tc>
        <w:tc>
          <w:tcPr>
            <w:tcW w:w="1080" w:type="dxa"/>
            <w:tcBorders>
              <w:top w:val="nil"/>
              <w:left w:val="nil"/>
              <w:bottom w:val="single" w:sz="4" w:space="0" w:color="auto"/>
              <w:right w:val="nil"/>
            </w:tcBorders>
            <w:shd w:val="clear" w:color="auto" w:fill="auto"/>
            <w:noWrap/>
            <w:vAlign w:val="bottom"/>
            <w:hideMark/>
          </w:tcPr>
          <w:p w14:paraId="03D88FDD" w14:textId="77777777" w:rsidR="009B0FDB" w:rsidRPr="00E33212" w:rsidRDefault="009B0FDB" w:rsidP="00C86C0B">
            <w:pPr>
              <w:jc w:val="center"/>
              <w:rPr>
                <w:color w:val="000000"/>
                <w:sz w:val="20"/>
                <w:szCs w:val="20"/>
              </w:rPr>
            </w:pPr>
            <w:r w:rsidRPr="00E33212">
              <w:rPr>
                <w:color w:val="000000"/>
                <w:sz w:val="20"/>
                <w:szCs w:val="20"/>
              </w:rPr>
              <w:t>385</w:t>
            </w:r>
          </w:p>
        </w:tc>
        <w:tc>
          <w:tcPr>
            <w:tcW w:w="810" w:type="dxa"/>
            <w:tcBorders>
              <w:top w:val="nil"/>
              <w:left w:val="single" w:sz="4" w:space="0" w:color="auto"/>
              <w:bottom w:val="single" w:sz="8" w:space="0" w:color="auto"/>
              <w:right w:val="single" w:sz="4" w:space="0" w:color="auto"/>
            </w:tcBorders>
            <w:shd w:val="clear" w:color="auto" w:fill="auto"/>
            <w:noWrap/>
            <w:vAlign w:val="bottom"/>
            <w:hideMark/>
          </w:tcPr>
          <w:p w14:paraId="2613C0F1" w14:textId="77777777" w:rsidR="009B0FDB" w:rsidRPr="00E33212" w:rsidRDefault="009B0FDB" w:rsidP="00C86C0B">
            <w:pPr>
              <w:jc w:val="center"/>
              <w:rPr>
                <w:color w:val="000000"/>
                <w:sz w:val="20"/>
                <w:szCs w:val="20"/>
              </w:rPr>
            </w:pPr>
            <w:r w:rsidRPr="00E33212">
              <w:rPr>
                <w:color w:val="000000"/>
                <w:sz w:val="20"/>
                <w:szCs w:val="20"/>
              </w:rPr>
              <w:t>66</w:t>
            </w:r>
          </w:p>
        </w:tc>
        <w:tc>
          <w:tcPr>
            <w:tcW w:w="810" w:type="dxa"/>
            <w:tcBorders>
              <w:top w:val="nil"/>
              <w:left w:val="nil"/>
              <w:bottom w:val="single" w:sz="8" w:space="0" w:color="auto"/>
              <w:right w:val="single" w:sz="4" w:space="0" w:color="auto"/>
            </w:tcBorders>
            <w:shd w:val="clear" w:color="auto" w:fill="auto"/>
            <w:noWrap/>
            <w:vAlign w:val="bottom"/>
            <w:hideMark/>
          </w:tcPr>
          <w:p w14:paraId="5EDDA51B" w14:textId="77777777" w:rsidR="009B0FDB" w:rsidRPr="00E33212" w:rsidRDefault="009B0FDB" w:rsidP="00C86C0B">
            <w:pPr>
              <w:jc w:val="center"/>
              <w:rPr>
                <w:color w:val="000000"/>
                <w:sz w:val="20"/>
                <w:szCs w:val="20"/>
              </w:rPr>
            </w:pPr>
            <w:r w:rsidRPr="00E33212">
              <w:rPr>
                <w:color w:val="000000"/>
                <w:sz w:val="20"/>
                <w:szCs w:val="20"/>
              </w:rPr>
              <w:t>451</w:t>
            </w:r>
          </w:p>
        </w:tc>
        <w:tc>
          <w:tcPr>
            <w:tcW w:w="990" w:type="dxa"/>
            <w:tcBorders>
              <w:top w:val="nil"/>
              <w:left w:val="nil"/>
              <w:bottom w:val="single" w:sz="8" w:space="0" w:color="auto"/>
              <w:right w:val="single" w:sz="4" w:space="0" w:color="auto"/>
            </w:tcBorders>
            <w:shd w:val="clear" w:color="auto" w:fill="auto"/>
            <w:noWrap/>
            <w:vAlign w:val="bottom"/>
            <w:hideMark/>
          </w:tcPr>
          <w:p w14:paraId="7813E88D" w14:textId="77777777" w:rsidR="009B0FDB" w:rsidRPr="00E33212" w:rsidRDefault="009B0FDB" w:rsidP="00C86C0B">
            <w:pPr>
              <w:jc w:val="center"/>
              <w:rPr>
                <w:color w:val="000000"/>
                <w:sz w:val="20"/>
                <w:szCs w:val="20"/>
              </w:rPr>
            </w:pPr>
            <w:r w:rsidRPr="00E33212">
              <w:rPr>
                <w:color w:val="000000"/>
                <w:sz w:val="20"/>
                <w:szCs w:val="20"/>
              </w:rPr>
              <w:t>225</w:t>
            </w:r>
          </w:p>
        </w:tc>
        <w:tc>
          <w:tcPr>
            <w:tcW w:w="900" w:type="dxa"/>
            <w:tcBorders>
              <w:top w:val="nil"/>
              <w:left w:val="nil"/>
              <w:bottom w:val="single" w:sz="8" w:space="0" w:color="auto"/>
              <w:right w:val="single" w:sz="4" w:space="0" w:color="auto"/>
            </w:tcBorders>
            <w:shd w:val="clear" w:color="auto" w:fill="auto"/>
            <w:noWrap/>
            <w:vAlign w:val="bottom"/>
            <w:hideMark/>
          </w:tcPr>
          <w:p w14:paraId="2ECD7112" w14:textId="77777777" w:rsidR="009B0FDB" w:rsidRPr="00E33212" w:rsidRDefault="009B0FDB" w:rsidP="00C86C0B">
            <w:pPr>
              <w:jc w:val="center"/>
              <w:rPr>
                <w:color w:val="000000"/>
                <w:sz w:val="20"/>
                <w:szCs w:val="20"/>
              </w:rPr>
            </w:pPr>
            <w:r w:rsidRPr="00E33212">
              <w:rPr>
                <w:color w:val="000000"/>
                <w:sz w:val="20"/>
                <w:szCs w:val="20"/>
              </w:rPr>
              <w:t>81</w:t>
            </w:r>
          </w:p>
        </w:tc>
        <w:tc>
          <w:tcPr>
            <w:tcW w:w="1530" w:type="dxa"/>
            <w:tcBorders>
              <w:top w:val="nil"/>
              <w:left w:val="nil"/>
              <w:bottom w:val="single" w:sz="8" w:space="0" w:color="auto"/>
              <w:right w:val="single" w:sz="8" w:space="0" w:color="auto"/>
            </w:tcBorders>
            <w:shd w:val="clear" w:color="auto" w:fill="auto"/>
            <w:noWrap/>
            <w:vAlign w:val="bottom"/>
            <w:hideMark/>
          </w:tcPr>
          <w:p w14:paraId="1A777F28" w14:textId="77777777" w:rsidR="009B0FDB" w:rsidRPr="00E33212" w:rsidRDefault="009B0FDB" w:rsidP="00C86C0B">
            <w:pPr>
              <w:jc w:val="center"/>
              <w:rPr>
                <w:color w:val="000000"/>
                <w:sz w:val="20"/>
                <w:szCs w:val="20"/>
              </w:rPr>
            </w:pPr>
            <w:r w:rsidRPr="00E33212">
              <w:rPr>
                <w:color w:val="000000"/>
                <w:sz w:val="20"/>
                <w:szCs w:val="20"/>
              </w:rPr>
              <w:t>306</w:t>
            </w:r>
          </w:p>
        </w:tc>
      </w:tr>
      <w:tr w:rsidR="009B0FDB" w:rsidRPr="00E33212" w14:paraId="54D1038C" w14:textId="77777777" w:rsidTr="00C86C0B">
        <w:trPr>
          <w:trHeight w:val="300"/>
        </w:trPr>
        <w:tc>
          <w:tcPr>
            <w:tcW w:w="929" w:type="dxa"/>
            <w:tcBorders>
              <w:top w:val="nil"/>
              <w:left w:val="single" w:sz="8" w:space="0" w:color="auto"/>
              <w:bottom w:val="nil"/>
              <w:right w:val="single" w:sz="4" w:space="0" w:color="auto"/>
            </w:tcBorders>
            <w:shd w:val="clear" w:color="auto" w:fill="auto"/>
            <w:noWrap/>
            <w:vAlign w:val="bottom"/>
            <w:hideMark/>
          </w:tcPr>
          <w:p w14:paraId="7A12D14C"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nil"/>
              <w:left w:val="nil"/>
              <w:bottom w:val="single" w:sz="4" w:space="0" w:color="auto"/>
              <w:right w:val="single" w:sz="8" w:space="0" w:color="auto"/>
            </w:tcBorders>
            <w:shd w:val="clear" w:color="auto" w:fill="auto"/>
            <w:noWrap/>
            <w:vAlign w:val="bottom"/>
            <w:hideMark/>
          </w:tcPr>
          <w:p w14:paraId="3EF45B9A" w14:textId="77777777" w:rsidR="009B0FDB" w:rsidRPr="00E33212" w:rsidRDefault="009B0FDB" w:rsidP="00C86C0B">
            <w:pPr>
              <w:jc w:val="right"/>
              <w:rPr>
                <w:color w:val="000000"/>
                <w:sz w:val="20"/>
                <w:szCs w:val="20"/>
              </w:rPr>
            </w:pPr>
            <w:r w:rsidRPr="00E33212">
              <w:rPr>
                <w:color w:val="000000"/>
                <w:sz w:val="20"/>
                <w:szCs w:val="20"/>
              </w:rPr>
              <w:t>Poverty x Tenure n=</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14:paraId="3F6AFAB0" w14:textId="77777777" w:rsidR="009B0FDB" w:rsidRPr="00E33212" w:rsidRDefault="009B0FDB" w:rsidP="00C86C0B">
            <w:pPr>
              <w:jc w:val="center"/>
              <w:rPr>
                <w:color w:val="000000"/>
                <w:sz w:val="20"/>
                <w:szCs w:val="20"/>
              </w:rPr>
            </w:pPr>
            <w:r w:rsidRPr="00E33212">
              <w:rPr>
                <w:color w:val="000000"/>
                <w:sz w:val="20"/>
                <w:szCs w:val="20"/>
              </w:rPr>
              <w:t>1,878</w:t>
            </w:r>
          </w:p>
        </w:tc>
        <w:tc>
          <w:tcPr>
            <w:tcW w:w="810" w:type="dxa"/>
            <w:tcBorders>
              <w:top w:val="nil"/>
              <w:left w:val="nil"/>
              <w:bottom w:val="single" w:sz="4" w:space="0" w:color="auto"/>
              <w:right w:val="single" w:sz="4" w:space="0" w:color="auto"/>
            </w:tcBorders>
            <w:shd w:val="clear" w:color="auto" w:fill="auto"/>
            <w:noWrap/>
            <w:vAlign w:val="bottom"/>
            <w:hideMark/>
          </w:tcPr>
          <w:p w14:paraId="06200051" w14:textId="77777777" w:rsidR="009B0FDB" w:rsidRPr="00E33212" w:rsidRDefault="009B0FDB" w:rsidP="00C86C0B">
            <w:pPr>
              <w:jc w:val="center"/>
              <w:rPr>
                <w:color w:val="000000"/>
                <w:sz w:val="20"/>
                <w:szCs w:val="20"/>
              </w:rPr>
            </w:pPr>
            <w:r w:rsidRPr="00E33212">
              <w:rPr>
                <w:color w:val="000000"/>
                <w:sz w:val="20"/>
                <w:szCs w:val="20"/>
              </w:rPr>
              <w:t>322</w:t>
            </w:r>
          </w:p>
        </w:tc>
        <w:tc>
          <w:tcPr>
            <w:tcW w:w="810" w:type="dxa"/>
            <w:tcBorders>
              <w:top w:val="nil"/>
              <w:left w:val="nil"/>
              <w:bottom w:val="nil"/>
              <w:right w:val="single" w:sz="4" w:space="0" w:color="auto"/>
            </w:tcBorders>
            <w:shd w:val="clear" w:color="auto" w:fill="auto"/>
            <w:noWrap/>
            <w:vAlign w:val="bottom"/>
            <w:hideMark/>
          </w:tcPr>
          <w:p w14:paraId="14B8D6C1" w14:textId="77777777" w:rsidR="009B0FDB" w:rsidRPr="00E33212" w:rsidRDefault="009B0FDB" w:rsidP="00C86C0B">
            <w:pPr>
              <w:rPr>
                <w:color w:val="000000"/>
                <w:sz w:val="20"/>
                <w:szCs w:val="20"/>
              </w:rPr>
            </w:pPr>
            <w:r w:rsidRPr="00E33212">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12136DDA" w14:textId="77777777" w:rsidR="009B0FDB" w:rsidRPr="00E33212" w:rsidRDefault="009B0FDB" w:rsidP="00C86C0B">
            <w:pPr>
              <w:jc w:val="center"/>
              <w:rPr>
                <w:color w:val="000000"/>
                <w:sz w:val="20"/>
                <w:szCs w:val="20"/>
              </w:rPr>
            </w:pPr>
            <w:r w:rsidRPr="00E33212">
              <w:rPr>
                <w:color w:val="000000"/>
                <w:sz w:val="20"/>
                <w:szCs w:val="20"/>
              </w:rPr>
              <w:t>1,322</w:t>
            </w:r>
          </w:p>
        </w:tc>
        <w:tc>
          <w:tcPr>
            <w:tcW w:w="900" w:type="dxa"/>
            <w:tcBorders>
              <w:top w:val="nil"/>
              <w:left w:val="nil"/>
              <w:bottom w:val="single" w:sz="4" w:space="0" w:color="auto"/>
              <w:right w:val="nil"/>
            </w:tcBorders>
            <w:shd w:val="clear" w:color="auto" w:fill="auto"/>
            <w:noWrap/>
            <w:vAlign w:val="bottom"/>
            <w:hideMark/>
          </w:tcPr>
          <w:p w14:paraId="0E69FF78" w14:textId="77777777" w:rsidR="009B0FDB" w:rsidRPr="00E33212" w:rsidRDefault="009B0FDB" w:rsidP="00C86C0B">
            <w:pPr>
              <w:jc w:val="center"/>
              <w:rPr>
                <w:color w:val="000000"/>
                <w:sz w:val="20"/>
                <w:szCs w:val="20"/>
              </w:rPr>
            </w:pPr>
            <w:r w:rsidRPr="00E33212">
              <w:rPr>
                <w:color w:val="000000"/>
                <w:sz w:val="20"/>
                <w:szCs w:val="20"/>
              </w:rPr>
              <w:t>478</w:t>
            </w:r>
          </w:p>
        </w:tc>
        <w:tc>
          <w:tcPr>
            <w:tcW w:w="1530" w:type="dxa"/>
            <w:tcBorders>
              <w:top w:val="nil"/>
              <w:left w:val="single" w:sz="4" w:space="0" w:color="auto"/>
              <w:bottom w:val="nil"/>
              <w:right w:val="single" w:sz="8" w:space="0" w:color="auto"/>
            </w:tcBorders>
            <w:shd w:val="clear" w:color="auto" w:fill="auto"/>
            <w:noWrap/>
            <w:vAlign w:val="bottom"/>
            <w:hideMark/>
          </w:tcPr>
          <w:p w14:paraId="137A45B6" w14:textId="77777777" w:rsidR="009B0FDB" w:rsidRPr="00E33212" w:rsidRDefault="009B0FDB" w:rsidP="00C86C0B">
            <w:pPr>
              <w:rPr>
                <w:color w:val="000000"/>
                <w:sz w:val="20"/>
                <w:szCs w:val="20"/>
              </w:rPr>
            </w:pPr>
            <w:r w:rsidRPr="00E33212">
              <w:rPr>
                <w:color w:val="000000"/>
                <w:sz w:val="20"/>
                <w:szCs w:val="20"/>
              </w:rPr>
              <w:t> </w:t>
            </w:r>
          </w:p>
        </w:tc>
      </w:tr>
      <w:tr w:rsidR="009B0FDB" w:rsidRPr="00E33212" w14:paraId="52A41B19" w14:textId="77777777" w:rsidTr="00C86C0B">
        <w:trPr>
          <w:trHeight w:val="300"/>
        </w:trPr>
        <w:tc>
          <w:tcPr>
            <w:tcW w:w="929" w:type="dxa"/>
            <w:tcBorders>
              <w:top w:val="nil"/>
              <w:left w:val="single" w:sz="8" w:space="0" w:color="auto"/>
              <w:bottom w:val="nil"/>
              <w:right w:val="single" w:sz="4" w:space="0" w:color="auto"/>
            </w:tcBorders>
            <w:shd w:val="clear" w:color="auto" w:fill="auto"/>
            <w:noWrap/>
            <w:vAlign w:val="bottom"/>
            <w:hideMark/>
          </w:tcPr>
          <w:p w14:paraId="7182070B"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nil"/>
              <w:left w:val="nil"/>
              <w:bottom w:val="single" w:sz="4" w:space="0" w:color="auto"/>
              <w:right w:val="single" w:sz="8" w:space="0" w:color="auto"/>
            </w:tcBorders>
            <w:shd w:val="clear" w:color="auto" w:fill="auto"/>
            <w:noWrap/>
            <w:vAlign w:val="bottom"/>
            <w:hideMark/>
          </w:tcPr>
          <w:p w14:paraId="2455347F" w14:textId="77777777" w:rsidR="009B0FDB" w:rsidRPr="00E33212" w:rsidRDefault="009B0FDB" w:rsidP="00C86C0B">
            <w:pPr>
              <w:jc w:val="right"/>
              <w:rPr>
                <w:color w:val="000000"/>
                <w:sz w:val="20"/>
                <w:szCs w:val="20"/>
              </w:rPr>
            </w:pPr>
            <w:r w:rsidRPr="00E33212">
              <w:rPr>
                <w:color w:val="000000"/>
                <w:sz w:val="20"/>
                <w:szCs w:val="20"/>
              </w:rPr>
              <w:t>Poverty x Tenure %=</w:t>
            </w:r>
          </w:p>
        </w:tc>
        <w:tc>
          <w:tcPr>
            <w:tcW w:w="1080" w:type="dxa"/>
            <w:tcBorders>
              <w:top w:val="nil"/>
              <w:left w:val="nil"/>
              <w:bottom w:val="single" w:sz="4" w:space="0" w:color="auto"/>
              <w:right w:val="single" w:sz="4" w:space="0" w:color="auto"/>
            </w:tcBorders>
            <w:shd w:val="clear" w:color="auto" w:fill="auto"/>
            <w:noWrap/>
            <w:vAlign w:val="bottom"/>
            <w:hideMark/>
          </w:tcPr>
          <w:p w14:paraId="73CBBD95" w14:textId="77777777" w:rsidR="009B0FDB" w:rsidRPr="00E33212" w:rsidRDefault="009B0FDB" w:rsidP="00C86C0B">
            <w:pPr>
              <w:jc w:val="right"/>
              <w:rPr>
                <w:color w:val="000000"/>
                <w:sz w:val="20"/>
                <w:szCs w:val="20"/>
              </w:rPr>
            </w:pPr>
            <w:r w:rsidRPr="00E33212">
              <w:rPr>
                <w:color w:val="000000"/>
                <w:sz w:val="20"/>
                <w:szCs w:val="20"/>
              </w:rPr>
              <w:t>85%</w:t>
            </w:r>
          </w:p>
        </w:tc>
        <w:tc>
          <w:tcPr>
            <w:tcW w:w="810" w:type="dxa"/>
            <w:tcBorders>
              <w:top w:val="nil"/>
              <w:left w:val="nil"/>
              <w:bottom w:val="single" w:sz="4" w:space="0" w:color="auto"/>
              <w:right w:val="single" w:sz="4" w:space="0" w:color="auto"/>
            </w:tcBorders>
            <w:shd w:val="clear" w:color="auto" w:fill="auto"/>
            <w:noWrap/>
            <w:vAlign w:val="bottom"/>
            <w:hideMark/>
          </w:tcPr>
          <w:p w14:paraId="6A34E7F9" w14:textId="77777777" w:rsidR="009B0FDB" w:rsidRPr="00E33212" w:rsidRDefault="009B0FDB" w:rsidP="00C86C0B">
            <w:pPr>
              <w:jc w:val="right"/>
              <w:rPr>
                <w:color w:val="000000"/>
                <w:sz w:val="20"/>
                <w:szCs w:val="20"/>
              </w:rPr>
            </w:pPr>
            <w:r w:rsidRPr="00E33212">
              <w:rPr>
                <w:color w:val="000000"/>
                <w:sz w:val="20"/>
                <w:szCs w:val="20"/>
              </w:rPr>
              <w:t>15%</w:t>
            </w:r>
          </w:p>
        </w:tc>
        <w:tc>
          <w:tcPr>
            <w:tcW w:w="810" w:type="dxa"/>
            <w:tcBorders>
              <w:top w:val="nil"/>
              <w:left w:val="nil"/>
              <w:bottom w:val="single" w:sz="4" w:space="0" w:color="auto"/>
              <w:right w:val="single" w:sz="4" w:space="0" w:color="auto"/>
            </w:tcBorders>
            <w:shd w:val="clear" w:color="auto" w:fill="auto"/>
            <w:noWrap/>
            <w:vAlign w:val="bottom"/>
            <w:hideMark/>
          </w:tcPr>
          <w:p w14:paraId="0AB43C90" w14:textId="77777777" w:rsidR="009B0FDB" w:rsidRPr="00E33212" w:rsidRDefault="009B0FDB" w:rsidP="00C86C0B">
            <w:pPr>
              <w:jc w:val="right"/>
              <w:rPr>
                <w:color w:val="000000"/>
                <w:sz w:val="20"/>
                <w:szCs w:val="20"/>
              </w:rPr>
            </w:pPr>
            <w:r w:rsidRPr="00E33212">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3F841284" w14:textId="77777777" w:rsidR="009B0FDB" w:rsidRPr="00E33212" w:rsidRDefault="009B0FDB" w:rsidP="00C86C0B">
            <w:pPr>
              <w:jc w:val="right"/>
              <w:rPr>
                <w:color w:val="000000"/>
                <w:sz w:val="20"/>
                <w:szCs w:val="20"/>
              </w:rPr>
            </w:pPr>
            <w:r w:rsidRPr="00E33212">
              <w:rPr>
                <w:color w:val="000000"/>
                <w:sz w:val="20"/>
                <w:szCs w:val="20"/>
              </w:rPr>
              <w:t>73%</w:t>
            </w:r>
          </w:p>
        </w:tc>
        <w:tc>
          <w:tcPr>
            <w:tcW w:w="900" w:type="dxa"/>
            <w:tcBorders>
              <w:top w:val="nil"/>
              <w:left w:val="nil"/>
              <w:bottom w:val="single" w:sz="4" w:space="0" w:color="auto"/>
              <w:right w:val="nil"/>
            </w:tcBorders>
            <w:shd w:val="clear" w:color="auto" w:fill="auto"/>
            <w:noWrap/>
            <w:vAlign w:val="bottom"/>
            <w:hideMark/>
          </w:tcPr>
          <w:p w14:paraId="48C72041" w14:textId="77777777" w:rsidR="009B0FDB" w:rsidRPr="00E33212" w:rsidRDefault="009B0FDB" w:rsidP="00C86C0B">
            <w:pPr>
              <w:jc w:val="right"/>
              <w:rPr>
                <w:color w:val="000000"/>
                <w:sz w:val="20"/>
                <w:szCs w:val="20"/>
              </w:rPr>
            </w:pPr>
            <w:r w:rsidRPr="00E33212">
              <w:rPr>
                <w:color w:val="000000"/>
                <w:sz w:val="20"/>
                <w:szCs w:val="20"/>
              </w:rPr>
              <w:t>27%</w:t>
            </w:r>
          </w:p>
        </w:tc>
        <w:tc>
          <w:tcPr>
            <w:tcW w:w="1530" w:type="dxa"/>
            <w:tcBorders>
              <w:top w:val="nil"/>
              <w:left w:val="single" w:sz="4" w:space="0" w:color="auto"/>
              <w:bottom w:val="single" w:sz="4" w:space="0" w:color="auto"/>
              <w:right w:val="single" w:sz="8" w:space="0" w:color="auto"/>
            </w:tcBorders>
            <w:shd w:val="clear" w:color="auto" w:fill="auto"/>
            <w:noWrap/>
            <w:vAlign w:val="bottom"/>
            <w:hideMark/>
          </w:tcPr>
          <w:p w14:paraId="1A2D3056" w14:textId="77777777" w:rsidR="009B0FDB" w:rsidRPr="00E33212" w:rsidRDefault="009B0FDB" w:rsidP="00C86C0B">
            <w:pPr>
              <w:rPr>
                <w:color w:val="000000"/>
                <w:sz w:val="20"/>
                <w:szCs w:val="20"/>
              </w:rPr>
            </w:pPr>
            <w:r w:rsidRPr="00E33212">
              <w:rPr>
                <w:color w:val="000000"/>
                <w:sz w:val="20"/>
                <w:szCs w:val="20"/>
              </w:rPr>
              <w:t> </w:t>
            </w:r>
          </w:p>
        </w:tc>
      </w:tr>
      <w:tr w:rsidR="009B0FDB" w:rsidRPr="00E33212" w14:paraId="2945B1C5" w14:textId="77777777" w:rsidTr="00C86C0B">
        <w:trPr>
          <w:trHeight w:val="300"/>
        </w:trPr>
        <w:tc>
          <w:tcPr>
            <w:tcW w:w="929" w:type="dxa"/>
            <w:tcBorders>
              <w:top w:val="nil"/>
              <w:left w:val="single" w:sz="8" w:space="0" w:color="auto"/>
              <w:bottom w:val="nil"/>
              <w:right w:val="single" w:sz="4" w:space="0" w:color="auto"/>
            </w:tcBorders>
            <w:shd w:val="clear" w:color="auto" w:fill="auto"/>
            <w:noWrap/>
            <w:vAlign w:val="bottom"/>
            <w:hideMark/>
          </w:tcPr>
          <w:p w14:paraId="7CB06F56"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nil"/>
              <w:left w:val="nil"/>
              <w:bottom w:val="single" w:sz="4" w:space="0" w:color="auto"/>
              <w:right w:val="single" w:sz="8" w:space="0" w:color="auto"/>
            </w:tcBorders>
            <w:shd w:val="clear" w:color="auto" w:fill="auto"/>
            <w:noWrap/>
            <w:vAlign w:val="bottom"/>
            <w:hideMark/>
          </w:tcPr>
          <w:p w14:paraId="17AC2D9B" w14:textId="77777777" w:rsidR="009B0FDB" w:rsidRPr="00E33212" w:rsidRDefault="009B0FDB" w:rsidP="00C86C0B">
            <w:pPr>
              <w:jc w:val="right"/>
              <w:rPr>
                <w:color w:val="000000"/>
                <w:sz w:val="20"/>
                <w:szCs w:val="20"/>
              </w:rPr>
            </w:pPr>
            <w:r w:rsidRPr="00E33212">
              <w:rPr>
                <w:color w:val="000000"/>
                <w:sz w:val="20"/>
                <w:szCs w:val="20"/>
              </w:rPr>
              <w:t>Tenure n=</w:t>
            </w:r>
          </w:p>
        </w:tc>
        <w:tc>
          <w:tcPr>
            <w:tcW w:w="1080" w:type="dxa"/>
            <w:tcBorders>
              <w:top w:val="nil"/>
              <w:left w:val="nil"/>
              <w:bottom w:val="single" w:sz="4" w:space="0" w:color="auto"/>
              <w:right w:val="nil"/>
            </w:tcBorders>
            <w:shd w:val="clear" w:color="auto" w:fill="auto"/>
            <w:noWrap/>
            <w:vAlign w:val="bottom"/>
            <w:hideMark/>
          </w:tcPr>
          <w:p w14:paraId="435E546C" w14:textId="77777777" w:rsidR="009B0FDB" w:rsidRPr="00E33212" w:rsidRDefault="009B0FDB" w:rsidP="00C86C0B">
            <w:pPr>
              <w:jc w:val="right"/>
              <w:rPr>
                <w:color w:val="000000"/>
                <w:sz w:val="20"/>
                <w:szCs w:val="20"/>
              </w:rPr>
            </w:pPr>
            <w:r w:rsidRPr="00E33212">
              <w:rPr>
                <w:color w:val="000000"/>
                <w:sz w:val="20"/>
                <w:szCs w:val="20"/>
              </w:rPr>
              <w:t> </w:t>
            </w:r>
          </w:p>
        </w:tc>
        <w:tc>
          <w:tcPr>
            <w:tcW w:w="810" w:type="dxa"/>
            <w:tcBorders>
              <w:top w:val="nil"/>
              <w:left w:val="nil"/>
              <w:bottom w:val="single" w:sz="4" w:space="0" w:color="auto"/>
              <w:right w:val="nil"/>
            </w:tcBorders>
            <w:shd w:val="clear" w:color="auto" w:fill="auto"/>
            <w:noWrap/>
            <w:vAlign w:val="bottom"/>
            <w:hideMark/>
          </w:tcPr>
          <w:p w14:paraId="14D98728" w14:textId="77777777" w:rsidR="009B0FDB" w:rsidRPr="00E33212" w:rsidRDefault="009B0FDB" w:rsidP="00C86C0B">
            <w:pPr>
              <w:jc w:val="right"/>
              <w:rPr>
                <w:color w:val="000000"/>
                <w:sz w:val="20"/>
                <w:szCs w:val="20"/>
              </w:rPr>
            </w:pPr>
            <w:r w:rsidRPr="00E33212">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7822CDCA" w14:textId="77777777" w:rsidR="009B0FDB" w:rsidRPr="00E33212" w:rsidRDefault="009B0FDB" w:rsidP="00C86C0B">
            <w:pPr>
              <w:jc w:val="right"/>
              <w:rPr>
                <w:color w:val="000000"/>
                <w:sz w:val="20"/>
                <w:szCs w:val="20"/>
              </w:rPr>
            </w:pPr>
            <w:r w:rsidRPr="00E33212">
              <w:rPr>
                <w:color w:val="000000"/>
                <w:sz w:val="20"/>
                <w:szCs w:val="20"/>
              </w:rPr>
              <w:t>2,200</w:t>
            </w:r>
          </w:p>
        </w:tc>
        <w:tc>
          <w:tcPr>
            <w:tcW w:w="990" w:type="dxa"/>
            <w:tcBorders>
              <w:top w:val="nil"/>
              <w:left w:val="nil"/>
              <w:bottom w:val="single" w:sz="4" w:space="0" w:color="auto"/>
              <w:right w:val="nil"/>
            </w:tcBorders>
            <w:shd w:val="clear" w:color="auto" w:fill="auto"/>
            <w:noWrap/>
            <w:vAlign w:val="bottom"/>
            <w:hideMark/>
          </w:tcPr>
          <w:p w14:paraId="6A3DAA6D" w14:textId="77777777" w:rsidR="009B0FDB" w:rsidRPr="00E33212" w:rsidRDefault="009B0FDB" w:rsidP="00C86C0B">
            <w:pPr>
              <w:rPr>
                <w:color w:val="000000"/>
                <w:sz w:val="20"/>
                <w:szCs w:val="20"/>
              </w:rPr>
            </w:pPr>
            <w:r w:rsidRPr="00E33212">
              <w:rPr>
                <w:color w:val="000000"/>
                <w:sz w:val="20"/>
                <w:szCs w:val="20"/>
              </w:rPr>
              <w:t> </w:t>
            </w:r>
          </w:p>
        </w:tc>
        <w:tc>
          <w:tcPr>
            <w:tcW w:w="900" w:type="dxa"/>
            <w:tcBorders>
              <w:top w:val="nil"/>
              <w:left w:val="nil"/>
              <w:bottom w:val="single" w:sz="4" w:space="0" w:color="auto"/>
              <w:right w:val="nil"/>
            </w:tcBorders>
            <w:shd w:val="clear" w:color="auto" w:fill="auto"/>
            <w:noWrap/>
            <w:vAlign w:val="bottom"/>
            <w:hideMark/>
          </w:tcPr>
          <w:p w14:paraId="5AC0151A" w14:textId="77777777" w:rsidR="009B0FDB" w:rsidRPr="00E33212" w:rsidRDefault="009B0FDB" w:rsidP="00C86C0B">
            <w:pPr>
              <w:jc w:val="right"/>
              <w:rPr>
                <w:color w:val="000000"/>
                <w:sz w:val="20"/>
                <w:szCs w:val="20"/>
              </w:rPr>
            </w:pPr>
            <w:r w:rsidRPr="00E33212">
              <w:rPr>
                <w:color w:val="000000"/>
                <w:sz w:val="20"/>
                <w:szCs w:val="20"/>
              </w:rPr>
              <w:t> </w:t>
            </w:r>
          </w:p>
        </w:tc>
        <w:tc>
          <w:tcPr>
            <w:tcW w:w="1530" w:type="dxa"/>
            <w:tcBorders>
              <w:top w:val="nil"/>
              <w:left w:val="nil"/>
              <w:bottom w:val="single" w:sz="4" w:space="0" w:color="auto"/>
              <w:right w:val="single" w:sz="8" w:space="0" w:color="auto"/>
            </w:tcBorders>
            <w:shd w:val="clear" w:color="auto" w:fill="auto"/>
            <w:noWrap/>
            <w:vAlign w:val="bottom"/>
            <w:hideMark/>
          </w:tcPr>
          <w:p w14:paraId="15F669CE" w14:textId="77777777" w:rsidR="009B0FDB" w:rsidRPr="00E33212" w:rsidRDefault="009B0FDB" w:rsidP="00C86C0B">
            <w:pPr>
              <w:jc w:val="right"/>
              <w:rPr>
                <w:color w:val="000000"/>
                <w:sz w:val="20"/>
                <w:szCs w:val="20"/>
              </w:rPr>
            </w:pPr>
            <w:r w:rsidRPr="00E33212">
              <w:rPr>
                <w:color w:val="000000"/>
                <w:sz w:val="20"/>
                <w:szCs w:val="20"/>
              </w:rPr>
              <w:t>1,800</w:t>
            </w:r>
          </w:p>
        </w:tc>
      </w:tr>
      <w:tr w:rsidR="009B0FDB" w:rsidRPr="00E33212" w14:paraId="113DAA74" w14:textId="77777777" w:rsidTr="00C86C0B">
        <w:trPr>
          <w:trHeight w:val="300"/>
        </w:trPr>
        <w:tc>
          <w:tcPr>
            <w:tcW w:w="929" w:type="dxa"/>
            <w:tcBorders>
              <w:top w:val="nil"/>
              <w:left w:val="single" w:sz="8" w:space="0" w:color="auto"/>
              <w:bottom w:val="nil"/>
              <w:right w:val="single" w:sz="4" w:space="0" w:color="auto"/>
            </w:tcBorders>
            <w:shd w:val="clear" w:color="auto" w:fill="auto"/>
            <w:noWrap/>
            <w:vAlign w:val="bottom"/>
            <w:hideMark/>
          </w:tcPr>
          <w:p w14:paraId="71C1934D"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nil"/>
              <w:left w:val="nil"/>
              <w:bottom w:val="single" w:sz="4" w:space="0" w:color="auto"/>
              <w:right w:val="single" w:sz="8" w:space="0" w:color="auto"/>
            </w:tcBorders>
            <w:shd w:val="clear" w:color="auto" w:fill="auto"/>
            <w:noWrap/>
            <w:vAlign w:val="bottom"/>
            <w:hideMark/>
          </w:tcPr>
          <w:p w14:paraId="2A3CEEC7" w14:textId="77777777" w:rsidR="009B0FDB" w:rsidRPr="00E33212" w:rsidRDefault="009B0FDB" w:rsidP="00C86C0B">
            <w:pPr>
              <w:jc w:val="right"/>
              <w:rPr>
                <w:color w:val="000000"/>
                <w:sz w:val="20"/>
                <w:szCs w:val="20"/>
              </w:rPr>
            </w:pPr>
            <w:r w:rsidRPr="00E33212">
              <w:rPr>
                <w:color w:val="000000"/>
                <w:sz w:val="20"/>
                <w:szCs w:val="20"/>
              </w:rPr>
              <w:t>Tenure %=</w:t>
            </w:r>
          </w:p>
        </w:tc>
        <w:tc>
          <w:tcPr>
            <w:tcW w:w="1080" w:type="dxa"/>
            <w:tcBorders>
              <w:top w:val="nil"/>
              <w:left w:val="nil"/>
              <w:bottom w:val="single" w:sz="4" w:space="0" w:color="auto"/>
              <w:right w:val="nil"/>
            </w:tcBorders>
            <w:shd w:val="clear" w:color="auto" w:fill="auto"/>
            <w:noWrap/>
            <w:vAlign w:val="bottom"/>
            <w:hideMark/>
          </w:tcPr>
          <w:p w14:paraId="7EA1213B" w14:textId="77777777" w:rsidR="009B0FDB" w:rsidRPr="00E33212" w:rsidRDefault="009B0FDB" w:rsidP="00C86C0B">
            <w:pPr>
              <w:jc w:val="right"/>
              <w:rPr>
                <w:color w:val="000000"/>
                <w:sz w:val="20"/>
                <w:szCs w:val="20"/>
              </w:rPr>
            </w:pPr>
            <w:r w:rsidRPr="00E33212">
              <w:rPr>
                <w:color w:val="000000"/>
                <w:sz w:val="20"/>
                <w:szCs w:val="20"/>
              </w:rPr>
              <w:t> </w:t>
            </w:r>
          </w:p>
        </w:tc>
        <w:tc>
          <w:tcPr>
            <w:tcW w:w="810" w:type="dxa"/>
            <w:tcBorders>
              <w:top w:val="nil"/>
              <w:left w:val="nil"/>
              <w:bottom w:val="single" w:sz="4" w:space="0" w:color="auto"/>
              <w:right w:val="nil"/>
            </w:tcBorders>
            <w:shd w:val="clear" w:color="auto" w:fill="auto"/>
            <w:noWrap/>
            <w:vAlign w:val="bottom"/>
            <w:hideMark/>
          </w:tcPr>
          <w:p w14:paraId="0684C594" w14:textId="77777777" w:rsidR="009B0FDB" w:rsidRPr="00E33212" w:rsidRDefault="009B0FDB" w:rsidP="00C86C0B">
            <w:pPr>
              <w:jc w:val="right"/>
              <w:rPr>
                <w:color w:val="000000"/>
                <w:sz w:val="20"/>
                <w:szCs w:val="20"/>
              </w:rPr>
            </w:pPr>
            <w:r w:rsidRPr="00E33212">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2E9C7D08" w14:textId="77777777" w:rsidR="009B0FDB" w:rsidRPr="00E33212" w:rsidRDefault="009B0FDB" w:rsidP="00C86C0B">
            <w:pPr>
              <w:jc w:val="right"/>
              <w:rPr>
                <w:color w:val="000000"/>
                <w:sz w:val="20"/>
                <w:szCs w:val="20"/>
              </w:rPr>
            </w:pPr>
            <w:r w:rsidRPr="00E33212">
              <w:rPr>
                <w:color w:val="000000"/>
                <w:sz w:val="20"/>
                <w:szCs w:val="20"/>
              </w:rPr>
              <w:t>55%</w:t>
            </w:r>
          </w:p>
        </w:tc>
        <w:tc>
          <w:tcPr>
            <w:tcW w:w="990" w:type="dxa"/>
            <w:tcBorders>
              <w:top w:val="nil"/>
              <w:left w:val="nil"/>
              <w:bottom w:val="single" w:sz="4" w:space="0" w:color="auto"/>
              <w:right w:val="nil"/>
            </w:tcBorders>
            <w:shd w:val="clear" w:color="auto" w:fill="auto"/>
            <w:noWrap/>
            <w:vAlign w:val="bottom"/>
            <w:hideMark/>
          </w:tcPr>
          <w:p w14:paraId="44757393" w14:textId="77777777" w:rsidR="009B0FDB" w:rsidRPr="00E33212" w:rsidRDefault="009B0FDB" w:rsidP="00C86C0B">
            <w:pPr>
              <w:jc w:val="right"/>
              <w:rPr>
                <w:color w:val="000000"/>
                <w:sz w:val="20"/>
                <w:szCs w:val="20"/>
              </w:rPr>
            </w:pPr>
            <w:r w:rsidRPr="00E33212">
              <w:rPr>
                <w:color w:val="000000"/>
                <w:sz w:val="20"/>
                <w:szCs w:val="20"/>
              </w:rPr>
              <w:t> </w:t>
            </w:r>
          </w:p>
        </w:tc>
        <w:tc>
          <w:tcPr>
            <w:tcW w:w="900" w:type="dxa"/>
            <w:tcBorders>
              <w:top w:val="nil"/>
              <w:left w:val="nil"/>
              <w:bottom w:val="single" w:sz="4" w:space="0" w:color="auto"/>
              <w:right w:val="nil"/>
            </w:tcBorders>
            <w:shd w:val="clear" w:color="auto" w:fill="auto"/>
            <w:noWrap/>
            <w:vAlign w:val="bottom"/>
            <w:hideMark/>
          </w:tcPr>
          <w:p w14:paraId="68DF95CF" w14:textId="77777777" w:rsidR="009B0FDB" w:rsidRPr="00E33212" w:rsidRDefault="009B0FDB" w:rsidP="00C86C0B">
            <w:pPr>
              <w:jc w:val="right"/>
              <w:rPr>
                <w:color w:val="000000"/>
                <w:sz w:val="20"/>
                <w:szCs w:val="20"/>
              </w:rPr>
            </w:pPr>
            <w:r w:rsidRPr="00E33212">
              <w:rPr>
                <w:color w:val="000000"/>
                <w:sz w:val="20"/>
                <w:szCs w:val="20"/>
              </w:rPr>
              <w:t> </w:t>
            </w:r>
          </w:p>
        </w:tc>
        <w:tc>
          <w:tcPr>
            <w:tcW w:w="1530" w:type="dxa"/>
            <w:tcBorders>
              <w:top w:val="nil"/>
              <w:left w:val="nil"/>
              <w:bottom w:val="single" w:sz="4" w:space="0" w:color="auto"/>
              <w:right w:val="single" w:sz="8" w:space="0" w:color="auto"/>
            </w:tcBorders>
            <w:shd w:val="clear" w:color="auto" w:fill="auto"/>
            <w:noWrap/>
            <w:vAlign w:val="bottom"/>
            <w:hideMark/>
          </w:tcPr>
          <w:p w14:paraId="64830402" w14:textId="77777777" w:rsidR="009B0FDB" w:rsidRPr="00E33212" w:rsidRDefault="009B0FDB" w:rsidP="00C86C0B">
            <w:pPr>
              <w:jc w:val="right"/>
              <w:rPr>
                <w:color w:val="000000"/>
                <w:sz w:val="20"/>
                <w:szCs w:val="20"/>
              </w:rPr>
            </w:pPr>
            <w:r w:rsidRPr="00E33212">
              <w:rPr>
                <w:color w:val="000000"/>
                <w:sz w:val="20"/>
                <w:szCs w:val="20"/>
              </w:rPr>
              <w:t>45%</w:t>
            </w:r>
          </w:p>
        </w:tc>
      </w:tr>
      <w:tr w:rsidR="009B0FDB" w:rsidRPr="00E33212" w14:paraId="38F93A57" w14:textId="77777777" w:rsidTr="00C86C0B">
        <w:trPr>
          <w:trHeight w:val="315"/>
        </w:trPr>
        <w:tc>
          <w:tcPr>
            <w:tcW w:w="929" w:type="dxa"/>
            <w:tcBorders>
              <w:top w:val="nil"/>
              <w:left w:val="single" w:sz="8" w:space="0" w:color="auto"/>
              <w:bottom w:val="single" w:sz="8" w:space="0" w:color="auto"/>
              <w:right w:val="single" w:sz="4" w:space="0" w:color="auto"/>
            </w:tcBorders>
            <w:shd w:val="clear" w:color="auto" w:fill="auto"/>
            <w:noWrap/>
            <w:vAlign w:val="bottom"/>
            <w:hideMark/>
          </w:tcPr>
          <w:p w14:paraId="05C0E2EF" w14:textId="77777777" w:rsidR="009B0FDB" w:rsidRPr="00E33212" w:rsidRDefault="009B0FDB" w:rsidP="00C86C0B">
            <w:pPr>
              <w:rPr>
                <w:color w:val="000000"/>
                <w:sz w:val="20"/>
                <w:szCs w:val="20"/>
              </w:rPr>
            </w:pPr>
            <w:r w:rsidRPr="00E33212">
              <w:rPr>
                <w:color w:val="000000"/>
                <w:sz w:val="20"/>
                <w:szCs w:val="20"/>
              </w:rPr>
              <w:t> </w:t>
            </w:r>
          </w:p>
        </w:tc>
        <w:tc>
          <w:tcPr>
            <w:tcW w:w="1591" w:type="dxa"/>
            <w:tcBorders>
              <w:top w:val="nil"/>
              <w:left w:val="nil"/>
              <w:bottom w:val="single" w:sz="8" w:space="0" w:color="auto"/>
              <w:right w:val="single" w:sz="8" w:space="0" w:color="auto"/>
            </w:tcBorders>
            <w:shd w:val="clear" w:color="auto" w:fill="auto"/>
            <w:noWrap/>
            <w:vAlign w:val="bottom"/>
            <w:hideMark/>
          </w:tcPr>
          <w:p w14:paraId="53CEA68B" w14:textId="77777777" w:rsidR="009B0FDB" w:rsidRPr="00E33212" w:rsidRDefault="009B0FDB" w:rsidP="00C86C0B">
            <w:pPr>
              <w:jc w:val="right"/>
              <w:rPr>
                <w:color w:val="000000"/>
                <w:sz w:val="20"/>
                <w:szCs w:val="20"/>
              </w:rPr>
            </w:pPr>
            <w:r w:rsidRPr="00E33212">
              <w:rPr>
                <w:color w:val="000000"/>
                <w:sz w:val="20"/>
                <w:szCs w:val="20"/>
              </w:rPr>
              <w:t>Total n=</w:t>
            </w:r>
          </w:p>
        </w:tc>
        <w:tc>
          <w:tcPr>
            <w:tcW w:w="1080" w:type="dxa"/>
            <w:tcBorders>
              <w:top w:val="nil"/>
              <w:left w:val="nil"/>
              <w:bottom w:val="single" w:sz="8" w:space="0" w:color="auto"/>
              <w:right w:val="nil"/>
            </w:tcBorders>
            <w:shd w:val="clear" w:color="auto" w:fill="auto"/>
            <w:noWrap/>
            <w:vAlign w:val="bottom"/>
            <w:hideMark/>
          </w:tcPr>
          <w:p w14:paraId="39D7F36B" w14:textId="77777777" w:rsidR="009B0FDB" w:rsidRPr="00E33212" w:rsidRDefault="009B0FDB" w:rsidP="00C86C0B">
            <w:pPr>
              <w:jc w:val="right"/>
              <w:rPr>
                <w:color w:val="000000"/>
                <w:sz w:val="20"/>
                <w:szCs w:val="20"/>
              </w:rPr>
            </w:pPr>
            <w:r w:rsidRPr="00E33212">
              <w:rPr>
                <w:color w:val="000000"/>
                <w:sz w:val="20"/>
                <w:szCs w:val="20"/>
              </w:rPr>
              <w:t> </w:t>
            </w:r>
          </w:p>
        </w:tc>
        <w:tc>
          <w:tcPr>
            <w:tcW w:w="810" w:type="dxa"/>
            <w:tcBorders>
              <w:top w:val="nil"/>
              <w:left w:val="nil"/>
              <w:bottom w:val="single" w:sz="8" w:space="0" w:color="auto"/>
              <w:right w:val="nil"/>
            </w:tcBorders>
            <w:shd w:val="clear" w:color="auto" w:fill="auto"/>
            <w:noWrap/>
            <w:vAlign w:val="bottom"/>
            <w:hideMark/>
          </w:tcPr>
          <w:p w14:paraId="2CA2304E" w14:textId="77777777" w:rsidR="009B0FDB" w:rsidRPr="00E33212" w:rsidRDefault="009B0FDB" w:rsidP="00C86C0B">
            <w:pPr>
              <w:jc w:val="right"/>
              <w:rPr>
                <w:color w:val="000000"/>
                <w:sz w:val="20"/>
                <w:szCs w:val="20"/>
              </w:rPr>
            </w:pPr>
            <w:r w:rsidRPr="00E33212">
              <w:rPr>
                <w:color w:val="000000"/>
                <w:sz w:val="20"/>
                <w:szCs w:val="20"/>
              </w:rPr>
              <w:t> </w:t>
            </w:r>
          </w:p>
        </w:tc>
        <w:tc>
          <w:tcPr>
            <w:tcW w:w="810" w:type="dxa"/>
            <w:tcBorders>
              <w:top w:val="nil"/>
              <w:left w:val="nil"/>
              <w:bottom w:val="single" w:sz="8" w:space="0" w:color="auto"/>
              <w:right w:val="nil"/>
            </w:tcBorders>
            <w:shd w:val="clear" w:color="auto" w:fill="auto"/>
            <w:noWrap/>
            <w:vAlign w:val="bottom"/>
            <w:hideMark/>
          </w:tcPr>
          <w:p w14:paraId="6523F168" w14:textId="77777777" w:rsidR="009B0FDB" w:rsidRPr="00E33212" w:rsidRDefault="009B0FDB" w:rsidP="00C86C0B">
            <w:pPr>
              <w:jc w:val="right"/>
              <w:rPr>
                <w:color w:val="000000"/>
                <w:sz w:val="20"/>
                <w:szCs w:val="20"/>
              </w:rPr>
            </w:pPr>
            <w:r w:rsidRPr="00E33212">
              <w:rPr>
                <w:color w:val="000000"/>
                <w:sz w:val="20"/>
                <w:szCs w:val="20"/>
              </w:rPr>
              <w:t> </w:t>
            </w:r>
          </w:p>
        </w:tc>
        <w:tc>
          <w:tcPr>
            <w:tcW w:w="990" w:type="dxa"/>
            <w:tcBorders>
              <w:top w:val="nil"/>
              <w:left w:val="nil"/>
              <w:bottom w:val="single" w:sz="8" w:space="0" w:color="auto"/>
              <w:right w:val="nil"/>
            </w:tcBorders>
            <w:shd w:val="clear" w:color="auto" w:fill="auto"/>
            <w:noWrap/>
            <w:vAlign w:val="bottom"/>
            <w:hideMark/>
          </w:tcPr>
          <w:p w14:paraId="2EF11127" w14:textId="77777777" w:rsidR="009B0FDB" w:rsidRPr="00E33212" w:rsidRDefault="009B0FDB" w:rsidP="00C86C0B">
            <w:pPr>
              <w:jc w:val="right"/>
              <w:rPr>
                <w:color w:val="000000"/>
                <w:sz w:val="20"/>
                <w:szCs w:val="20"/>
              </w:rPr>
            </w:pPr>
            <w:r w:rsidRPr="00E33212">
              <w:rPr>
                <w:color w:val="000000"/>
                <w:sz w:val="20"/>
                <w:szCs w:val="20"/>
              </w:rPr>
              <w:t> </w:t>
            </w:r>
          </w:p>
        </w:tc>
        <w:tc>
          <w:tcPr>
            <w:tcW w:w="900" w:type="dxa"/>
            <w:tcBorders>
              <w:top w:val="nil"/>
              <w:left w:val="nil"/>
              <w:bottom w:val="single" w:sz="8" w:space="0" w:color="auto"/>
              <w:right w:val="nil"/>
            </w:tcBorders>
            <w:shd w:val="clear" w:color="auto" w:fill="auto"/>
            <w:noWrap/>
            <w:vAlign w:val="bottom"/>
            <w:hideMark/>
          </w:tcPr>
          <w:p w14:paraId="712BCDFF" w14:textId="77777777" w:rsidR="009B0FDB" w:rsidRPr="00E33212" w:rsidRDefault="009B0FDB" w:rsidP="00C86C0B">
            <w:pPr>
              <w:jc w:val="right"/>
              <w:rPr>
                <w:color w:val="000000"/>
                <w:sz w:val="20"/>
                <w:szCs w:val="20"/>
              </w:rPr>
            </w:pPr>
            <w:r w:rsidRPr="00E33212">
              <w:rPr>
                <w:color w:val="000000"/>
                <w:sz w:val="20"/>
                <w:szCs w:val="20"/>
              </w:rPr>
              <w:t> </w:t>
            </w:r>
          </w:p>
        </w:tc>
        <w:tc>
          <w:tcPr>
            <w:tcW w:w="1530" w:type="dxa"/>
            <w:tcBorders>
              <w:top w:val="nil"/>
              <w:left w:val="nil"/>
              <w:bottom w:val="single" w:sz="8" w:space="0" w:color="auto"/>
              <w:right w:val="single" w:sz="8" w:space="0" w:color="auto"/>
            </w:tcBorders>
            <w:shd w:val="clear" w:color="auto" w:fill="auto"/>
            <w:noWrap/>
            <w:vAlign w:val="bottom"/>
            <w:hideMark/>
          </w:tcPr>
          <w:p w14:paraId="388A9EC2" w14:textId="77777777" w:rsidR="009B0FDB" w:rsidRPr="00E33212" w:rsidRDefault="009B0FDB" w:rsidP="00C86C0B">
            <w:pPr>
              <w:jc w:val="right"/>
              <w:rPr>
                <w:color w:val="000000"/>
                <w:sz w:val="20"/>
                <w:szCs w:val="20"/>
              </w:rPr>
            </w:pPr>
            <w:r w:rsidRPr="00E33212">
              <w:rPr>
                <w:color w:val="000000"/>
                <w:sz w:val="20"/>
                <w:szCs w:val="20"/>
              </w:rPr>
              <w:t>4,000</w:t>
            </w:r>
          </w:p>
        </w:tc>
      </w:tr>
    </w:tbl>
    <w:p w14:paraId="4C3FE87B" w14:textId="77777777" w:rsidR="009B0FDB" w:rsidRDefault="009B0FDB" w:rsidP="009B0FDB">
      <w:pPr>
        <w:pStyle w:val="Level1"/>
        <w:tabs>
          <w:tab w:val="left" w:pos="1053"/>
        </w:tabs>
        <w:autoSpaceDE/>
        <w:autoSpaceDN/>
        <w:adjustRightInd/>
        <w:rPr>
          <w:rFonts w:ascii="Times New Roman" w:hAnsi="Times New Roman"/>
        </w:rPr>
      </w:pPr>
    </w:p>
    <w:p w14:paraId="4AC69E75" w14:textId="77777777" w:rsidR="009B0FDB" w:rsidRPr="007115B8" w:rsidRDefault="009B0FDB" w:rsidP="009B0FDB">
      <w:pPr>
        <w:pStyle w:val="Level1"/>
        <w:tabs>
          <w:tab w:val="left" w:pos="1053"/>
        </w:tabs>
        <w:autoSpaceDE/>
        <w:autoSpaceDN/>
        <w:adjustRightInd/>
        <w:rPr>
          <w:rFonts w:ascii="Times New Roman" w:hAnsi="Times New Roman"/>
        </w:rPr>
      </w:pPr>
      <w:r w:rsidRPr="00AA762D">
        <w:rPr>
          <w:rFonts w:ascii="Times New Roman" w:hAnsi="Times New Roman"/>
        </w:rPr>
        <w:t>These sample targets are adjusted to account for Census Division sample sizes, and desired poverty and tenure splits. We expect that our sample targets by poverty level will be met. If during AHS regular data collection, we find some cases especially hard to recruit for this follow-on survey (for instance, owners with household incomes 0-2X the poverty rate in the Northeast), we will adjust the 0-2X and 2-3X split to recruit our target number of renters and owners in our sample by division (these targets are in the “Total” column).</w:t>
      </w:r>
    </w:p>
    <w:p w14:paraId="40B9DE4C" w14:textId="77777777" w:rsidR="009B0FDB" w:rsidRDefault="009B0FDB" w:rsidP="009B0FDB">
      <w:pPr>
        <w:pStyle w:val="Level1"/>
        <w:tabs>
          <w:tab w:val="left" w:pos="432"/>
          <w:tab w:val="left" w:pos="720"/>
          <w:tab w:val="left" w:pos="864"/>
          <w:tab w:val="left" w:pos="1022"/>
          <w:tab w:val="left" w:pos="1296"/>
          <w:tab w:val="left" w:pos="1728"/>
          <w:tab w:val="left" w:pos="2160"/>
        </w:tabs>
        <w:ind w:left="333"/>
        <w:rPr>
          <w:rFonts w:ascii="Times New Roman" w:hAnsi="Times New Roman"/>
          <w:b/>
          <w:bCs/>
        </w:rPr>
      </w:pPr>
    </w:p>
    <w:p w14:paraId="3591E3C0" w14:textId="77777777" w:rsidR="009B0FDB" w:rsidRDefault="009B0FDB" w:rsidP="009B0FDB">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2.</w:t>
      </w:r>
      <w:r>
        <w:rPr>
          <w:rFonts w:ascii="Times New Roman" w:hAnsi="Times New Roman"/>
          <w:b/>
          <w:bCs/>
        </w:rPr>
        <w:tab/>
        <w:t>Procedures for Collecting Information</w:t>
      </w:r>
    </w:p>
    <w:p w14:paraId="38DB03EF" w14:textId="77777777" w:rsidR="009B0FDB" w:rsidRDefault="009B0FDB" w:rsidP="009B0FDB">
      <w:pPr>
        <w:pStyle w:val="Level1"/>
        <w:tabs>
          <w:tab w:val="left" w:pos="432"/>
          <w:tab w:val="left" w:pos="720"/>
          <w:tab w:val="left" w:pos="864"/>
          <w:tab w:val="left" w:pos="1022"/>
          <w:tab w:val="left" w:pos="1296"/>
          <w:tab w:val="left" w:pos="1728"/>
          <w:tab w:val="left" w:pos="2160"/>
        </w:tabs>
        <w:ind w:left="0"/>
        <w:rPr>
          <w:rFonts w:ascii="Times New Roman" w:hAnsi="Times New Roman"/>
        </w:rPr>
      </w:pPr>
    </w:p>
    <w:p w14:paraId="4532B0BB" w14:textId="77777777" w:rsidR="009B0FDB" w:rsidRDefault="009B0FDB" w:rsidP="009B0FDB">
      <w:pPr>
        <w:ind w:left="720"/>
        <w:rPr>
          <w:rFonts w:eastAsiaTheme="minorHAnsi"/>
          <w:color w:val="000000"/>
        </w:rPr>
      </w:pPr>
      <w:r>
        <w:rPr>
          <w:rFonts w:eastAsiaTheme="minorHAnsi"/>
          <w:color w:val="000000"/>
        </w:rPr>
        <w:t xml:space="preserve">We expect that a majority of regular AHS interviews will be conducted through personal visit.  However, we will conduct a phone match to retrieve phone numbers that match the sample addresses and attempt to collect the data by telephone interview, when possible. </w:t>
      </w:r>
    </w:p>
    <w:p w14:paraId="44B2C5A8" w14:textId="77777777" w:rsidR="009B0FDB" w:rsidRDefault="009B0FDB" w:rsidP="009B0FDB">
      <w:pPr>
        <w:ind w:left="720"/>
      </w:pPr>
    </w:p>
    <w:p w14:paraId="1955A210" w14:textId="77777777" w:rsidR="009B0FDB" w:rsidRDefault="009B0FDB" w:rsidP="009B0FDB">
      <w:pPr>
        <w:ind w:left="720"/>
      </w:pPr>
      <w:r>
        <w:t xml:space="preserve">The Housing Insecurity Research Module follow-on data will be collected via telephone.   Up to four telephone numbers will be collected during the regular AHS interview, which will be used to attempt to contact potential follow-on survey respondents.  </w:t>
      </w:r>
    </w:p>
    <w:p w14:paraId="05370619" w14:textId="77777777" w:rsidR="009B0FDB" w:rsidRDefault="009B0FDB" w:rsidP="009B0FDB">
      <w:pPr>
        <w:ind w:left="720"/>
      </w:pPr>
    </w:p>
    <w:p w14:paraId="2AF1AF18" w14:textId="77777777" w:rsidR="009B0FDB" w:rsidRPr="00EE32AF" w:rsidRDefault="009B0FDB" w:rsidP="009B0FDB">
      <w:pPr>
        <w:ind w:left="720"/>
      </w:pPr>
      <w:r>
        <w:t>The Housing Insecurity Research Module questionnaire will consist of four sections, a screener, plus three topical sections on affordability, stable occupancy, and decent and safe.</w:t>
      </w:r>
    </w:p>
    <w:p w14:paraId="14D70689" w14:textId="77777777" w:rsidR="009B0FDB" w:rsidRDefault="009B0FDB" w:rsidP="009B0FDB">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p>
    <w:p w14:paraId="18226EF1" w14:textId="77777777" w:rsidR="009B0FDB" w:rsidRDefault="009B0FDB" w:rsidP="009B0FDB">
      <w:pPr>
        <w:pStyle w:val="Level1"/>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lastRenderedPageBreak/>
        <w:tab/>
      </w:r>
      <w:r>
        <w:rPr>
          <w:rFonts w:ascii="Times New Roman" w:hAnsi="Times New Roman"/>
          <w:b/>
          <w:bCs/>
        </w:rPr>
        <w:tab/>
        <w:t>3.</w:t>
      </w:r>
      <w:r>
        <w:rPr>
          <w:rFonts w:ascii="Times New Roman" w:hAnsi="Times New Roman"/>
          <w:b/>
          <w:bCs/>
        </w:rPr>
        <w:tab/>
        <w:t>Methods to Maximize Response</w:t>
      </w:r>
    </w:p>
    <w:p w14:paraId="7C06DDBA" w14:textId="77777777" w:rsidR="009B0FDB" w:rsidRDefault="009B0FDB" w:rsidP="009B0FDB">
      <w:pPr>
        <w:pStyle w:val="Level1"/>
        <w:tabs>
          <w:tab w:val="left" w:pos="432"/>
          <w:tab w:val="left" w:pos="720"/>
          <w:tab w:val="left" w:pos="864"/>
          <w:tab w:val="left" w:pos="1022"/>
          <w:tab w:val="left" w:pos="1296"/>
          <w:tab w:val="left" w:pos="1728"/>
          <w:tab w:val="left" w:pos="2160"/>
        </w:tabs>
        <w:ind w:left="0"/>
        <w:rPr>
          <w:rFonts w:ascii="Times New Roman" w:hAnsi="Times New Roman"/>
        </w:rPr>
      </w:pPr>
    </w:p>
    <w:p w14:paraId="2E752208" w14:textId="77777777" w:rsidR="009B0FDB" w:rsidRDefault="009B0FDB" w:rsidP="009B0FDB">
      <w:pPr>
        <w:pStyle w:val="Level1"/>
        <w:numPr>
          <w:ilvl w:val="12"/>
          <w:numId w:val="0"/>
        </w:numPr>
        <w:tabs>
          <w:tab w:val="left" w:pos="1053"/>
        </w:tabs>
        <w:autoSpaceDE/>
        <w:autoSpaceDN/>
        <w:adjustRightInd/>
        <w:ind w:left="720"/>
        <w:rPr>
          <w:rFonts w:ascii="Times New Roman" w:hAnsi="Times New Roman"/>
        </w:rPr>
      </w:pPr>
      <w:r w:rsidRPr="001A79C0">
        <w:rPr>
          <w:rFonts w:ascii="Times New Roman" w:hAnsi="Times New Roman"/>
        </w:rPr>
        <w:t xml:space="preserve">Based on the </w:t>
      </w:r>
      <w:r>
        <w:rPr>
          <w:rFonts w:ascii="Times New Roman" w:hAnsi="Times New Roman"/>
        </w:rPr>
        <w:t>80.1</w:t>
      </w:r>
      <w:r w:rsidRPr="001A79C0">
        <w:rPr>
          <w:rFonts w:ascii="Times New Roman" w:hAnsi="Times New Roman"/>
        </w:rPr>
        <w:t xml:space="preserve"> percent weighted response rate of the 201</w:t>
      </w:r>
      <w:r>
        <w:rPr>
          <w:rFonts w:ascii="Times New Roman" w:hAnsi="Times New Roman"/>
        </w:rPr>
        <w:t>7</w:t>
      </w:r>
      <w:r w:rsidRPr="001A79C0">
        <w:rPr>
          <w:rFonts w:ascii="Times New Roman" w:hAnsi="Times New Roman"/>
        </w:rPr>
        <w:t xml:space="preserve"> AHS (</w:t>
      </w:r>
      <w:r>
        <w:rPr>
          <w:rFonts w:ascii="Times New Roman" w:hAnsi="Times New Roman"/>
        </w:rPr>
        <w:t>80.3</w:t>
      </w:r>
      <w:r w:rsidRPr="001A79C0">
        <w:rPr>
          <w:rFonts w:ascii="Times New Roman" w:hAnsi="Times New Roman"/>
        </w:rPr>
        <w:t xml:space="preserve"> percent unweighted),</w:t>
      </w:r>
      <w:r w:rsidRPr="001A79C0">
        <w:rPr>
          <w:rFonts w:ascii="Times New Roman" w:hAnsi="Times New Roman"/>
          <w:b/>
          <w:color w:val="FF0000"/>
        </w:rPr>
        <w:t xml:space="preserve"> </w:t>
      </w:r>
      <w:r w:rsidRPr="001A79C0">
        <w:rPr>
          <w:rFonts w:ascii="Times New Roman" w:hAnsi="Times New Roman"/>
        </w:rPr>
        <w:t>the Census Bureau</w:t>
      </w:r>
      <w:r>
        <w:rPr>
          <w:rFonts w:ascii="Times New Roman" w:hAnsi="Times New Roman"/>
        </w:rPr>
        <w:t xml:space="preserve"> expects the 2019 AHS response rate to be 80 percent.  If an occupant is reluctant to participate, the FR informs the regional office staff, who sends a follow-up letter explaining the survey in detail and urging the occupant's cooperation. A Census Bureau FR or his/her supervisor will contact the occupant again.</w:t>
      </w:r>
    </w:p>
    <w:p w14:paraId="5EA75150" w14:textId="77777777" w:rsidR="009B0FDB" w:rsidRDefault="009B0FDB" w:rsidP="009B0FDB">
      <w:pPr>
        <w:pStyle w:val="Level1"/>
        <w:numPr>
          <w:ilvl w:val="12"/>
          <w:numId w:val="0"/>
        </w:numPr>
        <w:tabs>
          <w:tab w:val="left" w:pos="1053"/>
        </w:tabs>
        <w:autoSpaceDE/>
        <w:autoSpaceDN/>
        <w:adjustRightInd/>
        <w:ind w:left="720"/>
        <w:rPr>
          <w:rFonts w:ascii="Times New Roman" w:hAnsi="Times New Roman"/>
        </w:rPr>
      </w:pPr>
    </w:p>
    <w:p w14:paraId="53E7640B" w14:textId="77777777" w:rsidR="009B0FDB" w:rsidRPr="00AA762D" w:rsidRDefault="009B0FDB" w:rsidP="009B0FDB">
      <w:pPr>
        <w:pStyle w:val="Level1"/>
        <w:numPr>
          <w:ilvl w:val="12"/>
          <w:numId w:val="0"/>
        </w:numPr>
        <w:tabs>
          <w:tab w:val="left" w:pos="1053"/>
        </w:tabs>
        <w:ind w:left="720"/>
        <w:rPr>
          <w:rFonts w:ascii="Times New Roman" w:hAnsi="Times New Roman"/>
        </w:rPr>
      </w:pPr>
      <w:r>
        <w:rPr>
          <w:rFonts w:ascii="Times New Roman" w:hAnsi="Times New Roman"/>
        </w:rPr>
        <w:t>Census</w:t>
      </w:r>
      <w:r w:rsidRPr="00AA762D">
        <w:rPr>
          <w:rFonts w:ascii="Times New Roman" w:hAnsi="Times New Roman"/>
        </w:rPr>
        <w:t xml:space="preserve"> will begin contacting potential </w:t>
      </w:r>
      <w:r>
        <w:rPr>
          <w:rFonts w:ascii="Times New Roman" w:hAnsi="Times New Roman"/>
        </w:rPr>
        <w:t>Housing Insecurity Research Module follow-on</w:t>
      </w:r>
      <w:r w:rsidRPr="00AA762D">
        <w:rPr>
          <w:rFonts w:ascii="Times New Roman" w:hAnsi="Times New Roman"/>
        </w:rPr>
        <w:t xml:space="preserve"> respondents within two to three weeks after completion of the regular AHS interview to increase the likelihood that the respondent who opted-in is still in the household and the telephone numbers provided are still valid. The Housing Insecurity </w:t>
      </w:r>
      <w:r>
        <w:rPr>
          <w:rFonts w:ascii="Times New Roman" w:hAnsi="Times New Roman"/>
        </w:rPr>
        <w:t xml:space="preserve">Research Module </w:t>
      </w:r>
      <w:r w:rsidRPr="00AA762D">
        <w:rPr>
          <w:rFonts w:ascii="Times New Roman" w:hAnsi="Times New Roman"/>
        </w:rPr>
        <w:t xml:space="preserve">follow-on survey will also utilize a $40 gift card incentive to help reach response targets. </w:t>
      </w:r>
    </w:p>
    <w:p w14:paraId="6EF5EF1B" w14:textId="77777777" w:rsidR="009B0FDB" w:rsidRPr="00AA762D" w:rsidRDefault="009B0FDB" w:rsidP="009B0FDB">
      <w:pPr>
        <w:pStyle w:val="Level1"/>
        <w:numPr>
          <w:ilvl w:val="12"/>
          <w:numId w:val="0"/>
        </w:numPr>
        <w:tabs>
          <w:tab w:val="left" w:pos="1053"/>
        </w:tabs>
        <w:ind w:left="720"/>
        <w:rPr>
          <w:rFonts w:ascii="Times New Roman" w:hAnsi="Times New Roman"/>
        </w:rPr>
      </w:pPr>
      <w:r w:rsidRPr="00AA762D">
        <w:rPr>
          <w:rFonts w:ascii="Times New Roman" w:hAnsi="Times New Roman"/>
        </w:rPr>
        <w:tab/>
      </w:r>
    </w:p>
    <w:p w14:paraId="6BE2DB56" w14:textId="77777777" w:rsidR="009B0FDB" w:rsidRDefault="009B0FDB" w:rsidP="009B0FDB">
      <w:pPr>
        <w:pStyle w:val="Level1"/>
        <w:numPr>
          <w:ilvl w:val="12"/>
          <w:numId w:val="0"/>
        </w:numPr>
        <w:tabs>
          <w:tab w:val="left" w:pos="1053"/>
        </w:tabs>
        <w:autoSpaceDE/>
        <w:autoSpaceDN/>
        <w:adjustRightInd/>
        <w:ind w:left="720"/>
        <w:rPr>
          <w:rFonts w:ascii="Times New Roman" w:hAnsi="Times New Roman"/>
        </w:rPr>
      </w:pPr>
      <w:r w:rsidRPr="00AA762D">
        <w:rPr>
          <w:rFonts w:ascii="Times New Roman" w:hAnsi="Times New Roman"/>
        </w:rPr>
        <w:t>Several research findings informed the decision to set the gift card amount at $40. In research on the Consumer Expenditure Survey, Goldenberg et al. (2009) found that $40 incentives were effective at increasing response rates and reducing field costs by reducing the number of contacts required to complete interviews. In research on the Survey of Income and Program Participation (SIPP), Creighton et al. (2007) found that $20 incentive worked with the lowest-income groups, but $40 incentives were more effective with groups with higher incomes. Our sample targets renters and owners with household incomes under 300% of the poverty level, with a majority under 200% of the poverty level. As our sample includes a range of lower incomes, the $40 incentive is an effective incentive level for our sample. Other research has found that there may be diminishing returns in the effectiveness of incentives at higher levels. Croft et al. (2007) found that $40 had the same effect on response rates as $70.  Horrigan and Herz (2004) in research on the BLS American Time Use Survey, found that respondents reported that $20 was too low of an incentive and $50 was too high.</w:t>
      </w:r>
    </w:p>
    <w:p w14:paraId="79056E3F" w14:textId="77777777" w:rsidR="009B0FDB" w:rsidRPr="0065587D" w:rsidRDefault="009B0FDB" w:rsidP="009B0FDB">
      <w:pPr>
        <w:pStyle w:val="Level1"/>
        <w:numPr>
          <w:ilvl w:val="12"/>
          <w:numId w:val="0"/>
        </w:numPr>
        <w:tabs>
          <w:tab w:val="left" w:pos="1053"/>
        </w:tabs>
        <w:autoSpaceDE/>
        <w:autoSpaceDN/>
        <w:adjustRightInd/>
        <w:ind w:left="720"/>
        <w:rPr>
          <w:rFonts w:ascii="Times New Roman" w:hAnsi="Times New Roman"/>
        </w:rPr>
      </w:pPr>
    </w:p>
    <w:p w14:paraId="60635867" w14:textId="77777777" w:rsidR="009B0FDB" w:rsidRDefault="009B0FDB" w:rsidP="009B0FDB">
      <w:pPr>
        <w:pStyle w:val="Level1"/>
        <w:keepNext/>
        <w:keepLines/>
        <w:tabs>
          <w:tab w:val="left" w:pos="432"/>
          <w:tab w:val="left" w:pos="720"/>
          <w:tab w:val="left" w:pos="864"/>
          <w:tab w:val="left" w:pos="1022"/>
          <w:tab w:val="left" w:pos="1296"/>
          <w:tab w:val="left" w:pos="1728"/>
          <w:tab w:val="left" w:pos="2160"/>
        </w:tabs>
        <w:ind w:left="0"/>
        <w:rPr>
          <w:rFonts w:ascii="Times New Roman" w:hAnsi="Times New Roman"/>
          <w:b/>
          <w:bCs/>
        </w:rPr>
      </w:pPr>
      <w:r>
        <w:rPr>
          <w:rFonts w:ascii="Times New Roman" w:hAnsi="Times New Roman"/>
          <w:b/>
          <w:bCs/>
        </w:rPr>
        <w:tab/>
      </w:r>
      <w:r>
        <w:rPr>
          <w:rFonts w:ascii="Times New Roman" w:hAnsi="Times New Roman"/>
          <w:b/>
          <w:bCs/>
        </w:rPr>
        <w:tab/>
        <w:t>4.</w:t>
      </w:r>
      <w:r>
        <w:rPr>
          <w:rFonts w:ascii="Times New Roman" w:hAnsi="Times New Roman"/>
          <w:b/>
          <w:bCs/>
        </w:rPr>
        <w:tab/>
        <w:t>Testing Procedures</w:t>
      </w:r>
    </w:p>
    <w:p w14:paraId="5E434873" w14:textId="77777777" w:rsidR="009B0FDB" w:rsidRDefault="009B0FDB" w:rsidP="009B0FDB">
      <w:pPr>
        <w:keepNext/>
        <w:keepLines/>
        <w:numPr>
          <w:ilvl w:val="12"/>
          <w:numId w:val="0"/>
        </w:numPr>
        <w:tabs>
          <w:tab w:val="left" w:pos="432"/>
          <w:tab w:val="left" w:pos="720"/>
          <w:tab w:val="left" w:pos="1296"/>
          <w:tab w:val="left" w:pos="1728"/>
          <w:tab w:val="left" w:pos="2160"/>
        </w:tabs>
      </w:pPr>
    </w:p>
    <w:p w14:paraId="563F463B" w14:textId="77777777" w:rsidR="009B0FDB" w:rsidRDefault="009B0FDB" w:rsidP="009B0FDB">
      <w:pPr>
        <w:pStyle w:val="BodyTextIndent3"/>
        <w:keepNext/>
        <w:keepLines/>
        <w:tabs>
          <w:tab w:val="left" w:pos="432"/>
          <w:tab w:val="left" w:pos="864"/>
          <w:tab w:val="left" w:pos="1296"/>
          <w:tab w:val="left" w:pos="1728"/>
          <w:tab w:val="left" w:pos="2160"/>
        </w:tabs>
        <w:ind w:left="720"/>
      </w:pPr>
      <w:r>
        <w:t>The Census Bureau conducted a test of the interview forms and procedures in September 1983 and again in 1994 and 1995.  Based on the results of the tests, HUD made modifications and changes.</w:t>
      </w:r>
    </w:p>
    <w:p w14:paraId="54763932" w14:textId="77777777" w:rsidR="009B0FDB" w:rsidRDefault="009B0FDB" w:rsidP="009B0FDB">
      <w:pPr>
        <w:pStyle w:val="BodyTextIndent3"/>
        <w:tabs>
          <w:tab w:val="left" w:pos="432"/>
          <w:tab w:val="left" w:pos="864"/>
          <w:tab w:val="left" w:pos="1296"/>
          <w:tab w:val="left" w:pos="1728"/>
          <w:tab w:val="left" w:pos="2160"/>
        </w:tabs>
        <w:ind w:left="720"/>
      </w:pPr>
    </w:p>
    <w:p w14:paraId="567D255B" w14:textId="77777777" w:rsidR="009B0FDB" w:rsidRDefault="009B0FDB" w:rsidP="009B0FDB">
      <w:pPr>
        <w:pStyle w:val="BodyTextIndent3"/>
        <w:tabs>
          <w:tab w:val="left" w:pos="432"/>
          <w:tab w:val="left" w:pos="864"/>
          <w:tab w:val="left" w:pos="1296"/>
          <w:tab w:val="left" w:pos="1728"/>
          <w:tab w:val="left" w:pos="2160"/>
        </w:tabs>
        <w:ind w:left="720"/>
      </w:pPr>
      <w:r>
        <w:t>In 2004, HUD and the Census Bureau conducted a major review of the survey questions for neighborhood quality, income, utility costs, and renter subsidies, making changes to each to improve the quality of this information.  In October 2004, we tested these changes in a live hothouse test held in Pittsburgh, Pennsylvania.</w:t>
      </w:r>
    </w:p>
    <w:p w14:paraId="1A0EE702" w14:textId="77777777" w:rsidR="009B0FDB" w:rsidRDefault="009B0FDB" w:rsidP="009B0FDB">
      <w:pPr>
        <w:pStyle w:val="BodyTextIndent3"/>
        <w:tabs>
          <w:tab w:val="left" w:pos="432"/>
          <w:tab w:val="left" w:pos="864"/>
          <w:tab w:val="left" w:pos="1296"/>
          <w:tab w:val="left" w:pos="1728"/>
          <w:tab w:val="left" w:pos="2160"/>
        </w:tabs>
        <w:ind w:left="720"/>
      </w:pPr>
    </w:p>
    <w:p w14:paraId="48C0EE20" w14:textId="77777777" w:rsidR="009B0FDB" w:rsidRDefault="009B0FDB" w:rsidP="009B0FDB">
      <w:pPr>
        <w:pStyle w:val="BodyTextIndent3"/>
        <w:tabs>
          <w:tab w:val="left" w:pos="432"/>
          <w:tab w:val="left" w:pos="864"/>
          <w:tab w:val="left" w:pos="1296"/>
          <w:tab w:val="left" w:pos="1728"/>
          <w:tab w:val="left" w:pos="2160"/>
        </w:tabs>
        <w:ind w:left="720"/>
      </w:pPr>
      <w:r>
        <w:t>In 2010, questions in the updated Mortgage module were cognitively tested by the Center for Survey Measurement (CSM) at the Census Bureau.  We determined that more work needed to be done on the module, so we reverted to the 2009 AHS version and flow of questions where the 2011 version fell short.</w:t>
      </w:r>
    </w:p>
    <w:p w14:paraId="2C7C1685" w14:textId="77777777" w:rsidR="009B0FDB" w:rsidRDefault="009B0FDB" w:rsidP="009B0FDB">
      <w:pPr>
        <w:pStyle w:val="BodyTextIndent3"/>
        <w:tabs>
          <w:tab w:val="left" w:pos="432"/>
          <w:tab w:val="left" w:pos="864"/>
          <w:tab w:val="left" w:pos="1296"/>
          <w:tab w:val="left" w:pos="1728"/>
          <w:tab w:val="left" w:pos="2160"/>
        </w:tabs>
        <w:ind w:left="720"/>
      </w:pPr>
    </w:p>
    <w:p w14:paraId="2F78BE70" w14:textId="77777777" w:rsidR="009B0FDB" w:rsidRDefault="009B0FDB" w:rsidP="009B0FDB">
      <w:pPr>
        <w:pStyle w:val="BodyTextIndent3"/>
        <w:tabs>
          <w:tab w:val="left" w:pos="432"/>
          <w:tab w:val="left" w:pos="864"/>
          <w:tab w:val="left" w:pos="1296"/>
          <w:tab w:val="left" w:pos="1728"/>
          <w:tab w:val="left" w:pos="2160"/>
        </w:tabs>
        <w:ind w:left="720"/>
      </w:pPr>
      <w:r>
        <w:t>In 2014, HUD and the Census Bureau conducted an exhaustive review of the core questionnaire content.  We revised questions, changed the order, and eliminated some questions based on nonresponse rates and respondent burden.  Because of these changes, questions in some of the core modules, e.g., Breakdown, Neighborhood Quality, Equipment, Home Improvement, Recent Movers, Income, and Mortgage, needed to be tested</w:t>
      </w:r>
      <w:r w:rsidRPr="005B1189">
        <w:t xml:space="preserve"> </w:t>
      </w:r>
      <w:r>
        <w:t xml:space="preserve">for implementation in the 2017 questionnaire. </w:t>
      </w:r>
    </w:p>
    <w:p w14:paraId="462EAB86" w14:textId="77777777" w:rsidR="009B0FDB" w:rsidRDefault="009B0FDB" w:rsidP="009B0FDB">
      <w:pPr>
        <w:pStyle w:val="BodyTextIndent3"/>
        <w:tabs>
          <w:tab w:val="left" w:pos="432"/>
          <w:tab w:val="left" w:pos="864"/>
          <w:tab w:val="left" w:pos="1296"/>
          <w:tab w:val="left" w:pos="1728"/>
          <w:tab w:val="left" w:pos="2160"/>
        </w:tabs>
        <w:ind w:left="720"/>
      </w:pPr>
    </w:p>
    <w:p w14:paraId="07770F8C" w14:textId="77777777" w:rsidR="009B0FDB" w:rsidRDefault="009B0FDB" w:rsidP="009B0FDB">
      <w:pPr>
        <w:pStyle w:val="BodyTextIndent3"/>
        <w:tabs>
          <w:tab w:val="left" w:pos="432"/>
          <w:tab w:val="left" w:pos="864"/>
          <w:tab w:val="left" w:pos="1296"/>
          <w:tab w:val="left" w:pos="1728"/>
          <w:tab w:val="left" w:pos="2160"/>
        </w:tabs>
        <w:ind w:left="720"/>
      </w:pPr>
      <w:r>
        <w:t>In 2018, along with minor revisions to the core content, questions in the new supplemental modules, Post-Secondary Education and Home Accessibility, were cognitively reviewed and tested by CSM.  The Census Bureau and HUD reviewed and discussed all of CSM’s recommendations.</w:t>
      </w:r>
    </w:p>
    <w:p w14:paraId="7D9C157E" w14:textId="77777777" w:rsidR="009B0FDB" w:rsidRDefault="009B0FDB" w:rsidP="009B0FDB">
      <w:pPr>
        <w:pStyle w:val="BodyTextIndent3"/>
        <w:tabs>
          <w:tab w:val="left" w:pos="432"/>
          <w:tab w:val="left" w:pos="864"/>
          <w:tab w:val="left" w:pos="1296"/>
          <w:tab w:val="left" w:pos="1728"/>
          <w:tab w:val="left" w:pos="2160"/>
        </w:tabs>
        <w:ind w:left="720"/>
      </w:pPr>
    </w:p>
    <w:p w14:paraId="67F18658" w14:textId="77777777" w:rsidR="009B0FDB" w:rsidRDefault="009B0FDB" w:rsidP="009B0FDB">
      <w:pPr>
        <w:pStyle w:val="BodyTextIndent3"/>
        <w:tabs>
          <w:tab w:val="left" w:pos="432"/>
          <w:tab w:val="left" w:pos="864"/>
          <w:tab w:val="left" w:pos="1296"/>
          <w:tab w:val="left" w:pos="1728"/>
          <w:tab w:val="left" w:pos="2160"/>
        </w:tabs>
        <w:ind w:left="720"/>
      </w:pPr>
      <w:r w:rsidRPr="00AA762D">
        <w:t xml:space="preserve">In 2018, the Center for Behavioral Science Methods (CBSM) at the Census Bureau cognitively reviewed and tested the Housing Insecurity </w:t>
      </w:r>
      <w:r>
        <w:t>Research Module</w:t>
      </w:r>
      <w:r w:rsidRPr="00AA762D">
        <w:t xml:space="preserve"> questions to look for problems with proposed questions and to measure these new concepts.  The Census Bureau and HUD reviewed and discussed all of CBSM’s recommendations.</w:t>
      </w:r>
    </w:p>
    <w:p w14:paraId="37BBDCAC" w14:textId="77777777" w:rsidR="009B0FDB" w:rsidRDefault="009B0FDB" w:rsidP="009B0FDB">
      <w:pPr>
        <w:pStyle w:val="Level1"/>
        <w:keepNext/>
        <w:tabs>
          <w:tab w:val="left" w:pos="432"/>
          <w:tab w:val="left" w:pos="720"/>
          <w:tab w:val="left" w:pos="864"/>
          <w:tab w:val="left" w:pos="1022"/>
          <w:tab w:val="left" w:pos="1296"/>
          <w:tab w:val="left" w:pos="1728"/>
          <w:tab w:val="left" w:pos="2160"/>
        </w:tabs>
        <w:spacing w:before="240"/>
        <w:ind w:left="0"/>
        <w:rPr>
          <w:rFonts w:ascii="Times New Roman" w:hAnsi="Times New Roman"/>
          <w:b/>
          <w:bCs/>
        </w:rPr>
      </w:pPr>
      <w:r>
        <w:t xml:space="preserve"> </w:t>
      </w:r>
      <w:r>
        <w:rPr>
          <w:rFonts w:ascii="Times New Roman" w:hAnsi="Times New Roman"/>
          <w:b/>
          <w:bCs/>
        </w:rPr>
        <w:tab/>
      </w:r>
      <w:r>
        <w:rPr>
          <w:rFonts w:ascii="Times New Roman" w:hAnsi="Times New Roman"/>
          <w:b/>
          <w:bCs/>
        </w:rPr>
        <w:tab/>
        <w:t>5.</w:t>
      </w:r>
      <w:r>
        <w:rPr>
          <w:rFonts w:ascii="Times New Roman" w:hAnsi="Times New Roman"/>
          <w:b/>
          <w:bCs/>
        </w:rPr>
        <w:tab/>
        <w:t>Contacts for Statistical Aspects and Data Collection</w:t>
      </w:r>
    </w:p>
    <w:p w14:paraId="3D0D923E" w14:textId="77777777" w:rsidR="009B0FDB" w:rsidRDefault="009B0FDB" w:rsidP="009B0FDB">
      <w:pPr>
        <w:pStyle w:val="BodyTextIndent3"/>
        <w:tabs>
          <w:tab w:val="left" w:pos="432"/>
          <w:tab w:val="left" w:pos="720"/>
          <w:tab w:val="left" w:pos="1080"/>
          <w:tab w:val="left" w:pos="1296"/>
          <w:tab w:val="left" w:pos="1728"/>
          <w:tab w:val="left" w:pos="2160"/>
        </w:tabs>
        <w:spacing w:before="240"/>
        <w:ind w:left="720"/>
      </w:pPr>
      <w:r>
        <w:t>HUD consulted the following individuals on the statistical data collection and analysis operation:</w:t>
      </w:r>
    </w:p>
    <w:p w14:paraId="4CB0339B" w14:textId="77777777" w:rsidR="009B0FDB" w:rsidRDefault="009B0FDB" w:rsidP="009B0FDB">
      <w:pPr>
        <w:pStyle w:val="BodyTextIndent3"/>
        <w:tabs>
          <w:tab w:val="left" w:pos="432"/>
          <w:tab w:val="left" w:pos="720"/>
          <w:tab w:val="left" w:pos="1080"/>
          <w:tab w:val="left" w:pos="1296"/>
          <w:tab w:val="left" w:pos="1728"/>
          <w:tab w:val="left" w:pos="2160"/>
        </w:tabs>
        <w:ind w:left="720"/>
      </w:pPr>
    </w:p>
    <w:p w14:paraId="1EB8AE68" w14:textId="77777777" w:rsidR="009B0FDB" w:rsidRDefault="009B0FDB" w:rsidP="009B0FDB">
      <w:pPr>
        <w:pStyle w:val="BodyTextIndent3"/>
        <w:tabs>
          <w:tab w:val="left" w:pos="432"/>
          <w:tab w:val="left" w:pos="720"/>
          <w:tab w:val="left" w:pos="1080"/>
          <w:tab w:val="left" w:pos="1296"/>
          <w:tab w:val="left" w:pos="1728"/>
          <w:tab w:val="left" w:pos="2160"/>
        </w:tabs>
        <w:ind w:left="720"/>
      </w:pPr>
      <w:r>
        <w:t>Tamara Cole</w:t>
      </w:r>
    </w:p>
    <w:p w14:paraId="2E07913E" w14:textId="77777777" w:rsidR="009B0FDB" w:rsidRDefault="009B0FDB" w:rsidP="009B0FDB">
      <w:pPr>
        <w:pStyle w:val="BodyTextIndent3"/>
        <w:tabs>
          <w:tab w:val="left" w:pos="432"/>
          <w:tab w:val="left" w:pos="720"/>
          <w:tab w:val="left" w:pos="1080"/>
          <w:tab w:val="left" w:pos="1296"/>
          <w:tab w:val="left" w:pos="1728"/>
          <w:tab w:val="left" w:pos="2160"/>
        </w:tabs>
        <w:ind w:left="720"/>
      </w:pPr>
      <w:r>
        <w:t>Associate Directorate for Demographic Programs</w:t>
      </w:r>
    </w:p>
    <w:p w14:paraId="735BB99B" w14:textId="77777777" w:rsidR="009B0FDB" w:rsidRDefault="009B0FDB" w:rsidP="009B0FDB">
      <w:pPr>
        <w:pStyle w:val="BodyTextIndent3"/>
        <w:tabs>
          <w:tab w:val="left" w:pos="432"/>
          <w:tab w:val="left" w:pos="720"/>
          <w:tab w:val="left" w:pos="1080"/>
          <w:tab w:val="left" w:pos="1296"/>
          <w:tab w:val="left" w:pos="1728"/>
          <w:tab w:val="left" w:pos="2160"/>
        </w:tabs>
        <w:ind w:left="720"/>
      </w:pPr>
      <w:r>
        <w:t>U.S. Census Bureau</w:t>
      </w:r>
    </w:p>
    <w:p w14:paraId="20EC7775" w14:textId="77777777" w:rsidR="009B0FDB" w:rsidRDefault="009B0FDB" w:rsidP="009B0FDB">
      <w:pPr>
        <w:pStyle w:val="BodyTextIndent3"/>
        <w:tabs>
          <w:tab w:val="left" w:pos="432"/>
          <w:tab w:val="left" w:pos="720"/>
          <w:tab w:val="left" w:pos="1080"/>
          <w:tab w:val="left" w:pos="1296"/>
          <w:tab w:val="left" w:pos="1728"/>
          <w:tab w:val="left" w:pos="2160"/>
        </w:tabs>
        <w:ind w:left="720"/>
      </w:pPr>
      <w:r>
        <w:t>(301) 763-4665</w:t>
      </w:r>
    </w:p>
    <w:p w14:paraId="2AAF78A1" w14:textId="77777777" w:rsidR="009B0FDB" w:rsidRDefault="009B0FDB" w:rsidP="009B0FDB">
      <w:pPr>
        <w:pStyle w:val="BodyTextIndent3"/>
        <w:tabs>
          <w:tab w:val="left" w:pos="432"/>
          <w:tab w:val="left" w:pos="720"/>
          <w:tab w:val="left" w:pos="1080"/>
          <w:tab w:val="left" w:pos="1296"/>
          <w:tab w:val="left" w:pos="1728"/>
          <w:tab w:val="left" w:pos="2160"/>
        </w:tabs>
        <w:ind w:left="720"/>
      </w:pPr>
      <w:r>
        <w:t>Statistical Design, Analysis, and Collection</w:t>
      </w:r>
    </w:p>
    <w:p w14:paraId="28B38A03" w14:textId="77777777" w:rsidR="009B0FDB" w:rsidRDefault="009B0FDB" w:rsidP="009B0FDB">
      <w:pPr>
        <w:pStyle w:val="BodyTextIndent3"/>
        <w:tabs>
          <w:tab w:val="left" w:pos="432"/>
          <w:tab w:val="left" w:pos="720"/>
          <w:tab w:val="left" w:pos="1080"/>
          <w:tab w:val="left" w:pos="1296"/>
          <w:tab w:val="left" w:pos="1728"/>
          <w:tab w:val="left" w:pos="2160"/>
        </w:tabs>
        <w:ind w:left="720"/>
      </w:pPr>
    </w:p>
    <w:p w14:paraId="0AC2608C" w14:textId="77777777" w:rsidR="009B0FDB" w:rsidRDefault="009B0FDB" w:rsidP="009B0FDB">
      <w:pPr>
        <w:pStyle w:val="BodyTextIndent3"/>
        <w:tabs>
          <w:tab w:val="left" w:pos="432"/>
          <w:tab w:val="left" w:pos="720"/>
          <w:tab w:val="left" w:pos="1080"/>
          <w:tab w:val="left" w:pos="1296"/>
          <w:tab w:val="left" w:pos="1728"/>
          <w:tab w:val="left" w:pos="2160"/>
        </w:tabs>
        <w:ind w:left="720"/>
      </w:pPr>
      <w:r>
        <w:t>Stephen Ash</w:t>
      </w:r>
    </w:p>
    <w:p w14:paraId="5DFE8AF6" w14:textId="77777777" w:rsidR="009B0FDB" w:rsidRDefault="009B0FDB" w:rsidP="009B0FDB">
      <w:pPr>
        <w:pStyle w:val="BodyTextIndent3"/>
        <w:tabs>
          <w:tab w:val="left" w:pos="432"/>
          <w:tab w:val="left" w:pos="720"/>
          <w:tab w:val="left" w:pos="1080"/>
          <w:tab w:val="left" w:pos="1296"/>
          <w:tab w:val="left" w:pos="1728"/>
          <w:tab w:val="left" w:pos="2160"/>
        </w:tabs>
        <w:ind w:left="720"/>
      </w:pPr>
      <w:r>
        <w:t>Demographic Statistical Methods Division</w:t>
      </w:r>
    </w:p>
    <w:p w14:paraId="0925F0BD" w14:textId="77777777" w:rsidR="009B0FDB" w:rsidRDefault="009B0FDB" w:rsidP="009B0FDB">
      <w:pPr>
        <w:pStyle w:val="BodyTextIndent3"/>
        <w:tabs>
          <w:tab w:val="left" w:pos="432"/>
          <w:tab w:val="left" w:pos="720"/>
          <w:tab w:val="left" w:pos="1080"/>
          <w:tab w:val="left" w:pos="1296"/>
          <w:tab w:val="left" w:pos="1728"/>
          <w:tab w:val="left" w:pos="2160"/>
        </w:tabs>
        <w:ind w:left="720"/>
      </w:pPr>
      <w:r>
        <w:t>U.S. Census Bureau</w:t>
      </w:r>
    </w:p>
    <w:p w14:paraId="0F912F52" w14:textId="77777777" w:rsidR="009B0FDB" w:rsidRDefault="009B0FDB" w:rsidP="009B0FDB">
      <w:pPr>
        <w:pStyle w:val="BodyTextIndent3"/>
        <w:tabs>
          <w:tab w:val="left" w:pos="432"/>
          <w:tab w:val="left" w:pos="720"/>
          <w:tab w:val="left" w:pos="1080"/>
          <w:tab w:val="left" w:pos="1296"/>
          <w:tab w:val="left" w:pos="1728"/>
          <w:tab w:val="left" w:pos="2160"/>
        </w:tabs>
        <w:ind w:left="720"/>
      </w:pPr>
      <w:r>
        <w:t>(301) 763-4294</w:t>
      </w:r>
    </w:p>
    <w:p w14:paraId="4FD11A28" w14:textId="77777777" w:rsidR="009B0FDB" w:rsidRDefault="009B0FDB" w:rsidP="009B0FDB">
      <w:pPr>
        <w:pStyle w:val="BodyTextIndent3"/>
        <w:tabs>
          <w:tab w:val="left" w:pos="432"/>
          <w:tab w:val="left" w:pos="720"/>
          <w:tab w:val="left" w:pos="1080"/>
          <w:tab w:val="left" w:pos="1296"/>
          <w:tab w:val="left" w:pos="1728"/>
          <w:tab w:val="left" w:pos="2160"/>
        </w:tabs>
        <w:ind w:left="720"/>
      </w:pPr>
      <w:r>
        <w:t>Statistical Design</w:t>
      </w:r>
    </w:p>
    <w:p w14:paraId="23E5414E" w14:textId="77777777" w:rsidR="009B0FDB" w:rsidRDefault="009B0FDB" w:rsidP="009B0FDB">
      <w:pPr>
        <w:pStyle w:val="BodyTextIndent3"/>
        <w:tabs>
          <w:tab w:val="left" w:pos="432"/>
          <w:tab w:val="left" w:pos="720"/>
          <w:tab w:val="left" w:pos="1080"/>
          <w:tab w:val="left" w:pos="1296"/>
          <w:tab w:val="left" w:pos="1728"/>
          <w:tab w:val="left" w:pos="2160"/>
        </w:tabs>
      </w:pPr>
    </w:p>
    <w:p w14:paraId="2D071FD5" w14:textId="77777777" w:rsidR="009B0FDB" w:rsidRDefault="009B0FDB" w:rsidP="009B0FDB">
      <w:pPr>
        <w:numPr>
          <w:ilvl w:val="12"/>
          <w:numId w:val="0"/>
        </w:numPr>
        <w:ind w:left="720"/>
        <w:rPr>
          <w:b/>
          <w:bCs/>
          <w:color w:val="FF0000"/>
        </w:rPr>
      </w:pPr>
      <w:r>
        <w:t>Attachments</w:t>
      </w:r>
    </w:p>
    <w:p w14:paraId="7A9F5A9C" w14:textId="77777777" w:rsidR="004629D9" w:rsidRDefault="004629D9"/>
    <w:sectPr w:rsidR="004629D9" w:rsidSect="009B0FDB">
      <w:headerReference w:type="even" r:id="rId7"/>
      <w:headerReference w:type="default" r:id="rId8"/>
      <w:pgSz w:w="12240" w:h="15840"/>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B1E9D" w14:textId="77777777" w:rsidR="00DB0248" w:rsidRDefault="006E014B">
      <w:r>
        <w:separator/>
      </w:r>
    </w:p>
  </w:endnote>
  <w:endnote w:type="continuationSeparator" w:id="0">
    <w:p w14:paraId="2DC819CB" w14:textId="77777777" w:rsidR="00DB0248" w:rsidRDefault="006E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7AA91" w14:textId="77777777" w:rsidR="00DB0248" w:rsidRDefault="006E014B">
      <w:r>
        <w:separator/>
      </w:r>
    </w:p>
  </w:footnote>
  <w:footnote w:type="continuationSeparator" w:id="0">
    <w:p w14:paraId="36123160" w14:textId="77777777" w:rsidR="00DB0248" w:rsidRDefault="006E0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C739B" w14:textId="77777777" w:rsidR="009B72D8" w:rsidRDefault="00E72E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7BF346" w14:textId="77777777" w:rsidR="009B72D8" w:rsidRDefault="006F4EC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CBC72" w14:textId="77777777" w:rsidR="009B72D8" w:rsidRDefault="00E72E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4EC7">
      <w:rPr>
        <w:rStyle w:val="PageNumber"/>
        <w:noProof/>
      </w:rPr>
      <w:t>2</w:t>
    </w:r>
    <w:r>
      <w:rPr>
        <w:rStyle w:val="PageNumber"/>
      </w:rPr>
      <w:fldChar w:fldCharType="end"/>
    </w:r>
  </w:p>
  <w:p w14:paraId="3E665E65" w14:textId="77777777" w:rsidR="009B72D8" w:rsidRDefault="006F4EC7">
    <w:pPr>
      <w:framePr w:wrap="notBeside" w:hAnchor="text" w:xAlign="right"/>
      <w:ind w:right="360"/>
    </w:pPr>
  </w:p>
  <w:p w14:paraId="784021A1" w14:textId="77777777" w:rsidR="009B72D8" w:rsidRDefault="006F4EC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FDB"/>
    <w:rsid w:val="0025433B"/>
    <w:rsid w:val="004629D9"/>
    <w:rsid w:val="006E014B"/>
    <w:rsid w:val="006F4EC7"/>
    <w:rsid w:val="009B0FDB"/>
    <w:rsid w:val="00C12419"/>
    <w:rsid w:val="00DB0248"/>
    <w:rsid w:val="00E65716"/>
    <w:rsid w:val="00E7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9B0FDB"/>
    <w:pPr>
      <w:autoSpaceDE w:val="0"/>
      <w:autoSpaceDN w:val="0"/>
      <w:adjustRightInd w:val="0"/>
      <w:spacing w:after="0" w:line="240" w:lineRule="auto"/>
      <w:ind w:left="720"/>
    </w:pPr>
    <w:rPr>
      <w:rFonts w:ascii="Courier" w:eastAsia="Times New Roman" w:hAnsi="Courier" w:cs="Times New Roman"/>
      <w:sz w:val="24"/>
      <w:szCs w:val="24"/>
    </w:rPr>
  </w:style>
  <w:style w:type="paragraph" w:styleId="BodyTextIndent3">
    <w:name w:val="Body Text Indent 3"/>
    <w:basedOn w:val="Normal"/>
    <w:link w:val="BodyTextIndent3Char"/>
    <w:semiHidden/>
    <w:rsid w:val="009B0FDB"/>
    <w:pPr>
      <w:numPr>
        <w:ilvl w:val="12"/>
      </w:numPr>
      <w:ind w:left="1080"/>
    </w:pPr>
  </w:style>
  <w:style w:type="character" w:customStyle="1" w:styleId="BodyTextIndent3Char">
    <w:name w:val="Body Text Indent 3 Char"/>
    <w:basedOn w:val="DefaultParagraphFont"/>
    <w:link w:val="BodyTextIndent3"/>
    <w:semiHidden/>
    <w:rsid w:val="009B0FDB"/>
    <w:rPr>
      <w:rFonts w:ascii="Times New Roman" w:eastAsia="Times New Roman" w:hAnsi="Times New Roman" w:cs="Times New Roman"/>
      <w:sz w:val="24"/>
      <w:szCs w:val="24"/>
    </w:rPr>
  </w:style>
  <w:style w:type="paragraph" w:styleId="Header">
    <w:name w:val="header"/>
    <w:basedOn w:val="Normal"/>
    <w:link w:val="HeaderChar"/>
    <w:semiHidden/>
    <w:rsid w:val="009B0FDB"/>
    <w:pPr>
      <w:tabs>
        <w:tab w:val="center" w:pos="4320"/>
        <w:tab w:val="right" w:pos="8640"/>
      </w:tabs>
    </w:pPr>
  </w:style>
  <w:style w:type="character" w:customStyle="1" w:styleId="HeaderChar">
    <w:name w:val="Header Char"/>
    <w:basedOn w:val="DefaultParagraphFont"/>
    <w:link w:val="Header"/>
    <w:semiHidden/>
    <w:rsid w:val="009B0FDB"/>
    <w:rPr>
      <w:rFonts w:ascii="Times New Roman" w:eastAsia="Times New Roman" w:hAnsi="Times New Roman" w:cs="Times New Roman"/>
      <w:sz w:val="24"/>
      <w:szCs w:val="24"/>
    </w:rPr>
  </w:style>
  <w:style w:type="character" w:styleId="PageNumber">
    <w:name w:val="page number"/>
    <w:basedOn w:val="DefaultParagraphFont"/>
    <w:semiHidden/>
    <w:rsid w:val="009B0FDB"/>
  </w:style>
  <w:style w:type="character" w:styleId="CommentReference">
    <w:name w:val="annotation reference"/>
    <w:basedOn w:val="DefaultParagraphFont"/>
    <w:uiPriority w:val="99"/>
    <w:semiHidden/>
    <w:unhideWhenUsed/>
    <w:rsid w:val="009B0FDB"/>
    <w:rPr>
      <w:sz w:val="16"/>
      <w:szCs w:val="16"/>
    </w:rPr>
  </w:style>
  <w:style w:type="paragraph" w:styleId="CommentText">
    <w:name w:val="annotation text"/>
    <w:basedOn w:val="Normal"/>
    <w:link w:val="CommentTextChar"/>
    <w:uiPriority w:val="99"/>
    <w:unhideWhenUsed/>
    <w:rsid w:val="009B0FDB"/>
    <w:rPr>
      <w:sz w:val="20"/>
      <w:szCs w:val="20"/>
    </w:rPr>
  </w:style>
  <w:style w:type="character" w:customStyle="1" w:styleId="CommentTextChar">
    <w:name w:val="Comment Text Char"/>
    <w:basedOn w:val="DefaultParagraphFont"/>
    <w:link w:val="CommentText"/>
    <w:uiPriority w:val="99"/>
    <w:rsid w:val="009B0FDB"/>
    <w:rPr>
      <w:rFonts w:ascii="Times New Roman" w:eastAsia="Times New Roman" w:hAnsi="Times New Roman" w:cs="Times New Roman"/>
      <w:sz w:val="20"/>
      <w:szCs w:val="20"/>
    </w:rPr>
  </w:style>
  <w:style w:type="table" w:styleId="TableGrid">
    <w:name w:val="Table Grid"/>
    <w:basedOn w:val="TableNormal"/>
    <w:uiPriority w:val="59"/>
    <w:rsid w:val="009B0FD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B0FDB"/>
    <w:pPr>
      <w:spacing w:before="100" w:beforeAutospacing="1" w:after="100" w:afterAutospacing="1"/>
    </w:pPr>
  </w:style>
  <w:style w:type="paragraph" w:styleId="BalloonText">
    <w:name w:val="Balloon Text"/>
    <w:basedOn w:val="Normal"/>
    <w:link w:val="BalloonTextChar"/>
    <w:uiPriority w:val="99"/>
    <w:semiHidden/>
    <w:unhideWhenUsed/>
    <w:rsid w:val="009B0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FD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0FDB"/>
    <w:rPr>
      <w:b/>
      <w:bCs/>
    </w:rPr>
  </w:style>
  <w:style w:type="character" w:customStyle="1" w:styleId="CommentSubjectChar">
    <w:name w:val="Comment Subject Char"/>
    <w:basedOn w:val="CommentTextChar"/>
    <w:link w:val="CommentSubject"/>
    <w:uiPriority w:val="99"/>
    <w:semiHidden/>
    <w:rsid w:val="009B0FD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9B0FDB"/>
    <w:pPr>
      <w:autoSpaceDE w:val="0"/>
      <w:autoSpaceDN w:val="0"/>
      <w:adjustRightInd w:val="0"/>
      <w:spacing w:after="0" w:line="240" w:lineRule="auto"/>
      <w:ind w:left="720"/>
    </w:pPr>
    <w:rPr>
      <w:rFonts w:ascii="Courier" w:eastAsia="Times New Roman" w:hAnsi="Courier" w:cs="Times New Roman"/>
      <w:sz w:val="24"/>
      <w:szCs w:val="24"/>
    </w:rPr>
  </w:style>
  <w:style w:type="paragraph" w:styleId="BodyTextIndent3">
    <w:name w:val="Body Text Indent 3"/>
    <w:basedOn w:val="Normal"/>
    <w:link w:val="BodyTextIndent3Char"/>
    <w:semiHidden/>
    <w:rsid w:val="009B0FDB"/>
    <w:pPr>
      <w:numPr>
        <w:ilvl w:val="12"/>
      </w:numPr>
      <w:ind w:left="1080"/>
    </w:pPr>
  </w:style>
  <w:style w:type="character" w:customStyle="1" w:styleId="BodyTextIndent3Char">
    <w:name w:val="Body Text Indent 3 Char"/>
    <w:basedOn w:val="DefaultParagraphFont"/>
    <w:link w:val="BodyTextIndent3"/>
    <w:semiHidden/>
    <w:rsid w:val="009B0FDB"/>
    <w:rPr>
      <w:rFonts w:ascii="Times New Roman" w:eastAsia="Times New Roman" w:hAnsi="Times New Roman" w:cs="Times New Roman"/>
      <w:sz w:val="24"/>
      <w:szCs w:val="24"/>
    </w:rPr>
  </w:style>
  <w:style w:type="paragraph" w:styleId="Header">
    <w:name w:val="header"/>
    <w:basedOn w:val="Normal"/>
    <w:link w:val="HeaderChar"/>
    <w:semiHidden/>
    <w:rsid w:val="009B0FDB"/>
    <w:pPr>
      <w:tabs>
        <w:tab w:val="center" w:pos="4320"/>
        <w:tab w:val="right" w:pos="8640"/>
      </w:tabs>
    </w:pPr>
  </w:style>
  <w:style w:type="character" w:customStyle="1" w:styleId="HeaderChar">
    <w:name w:val="Header Char"/>
    <w:basedOn w:val="DefaultParagraphFont"/>
    <w:link w:val="Header"/>
    <w:semiHidden/>
    <w:rsid w:val="009B0FDB"/>
    <w:rPr>
      <w:rFonts w:ascii="Times New Roman" w:eastAsia="Times New Roman" w:hAnsi="Times New Roman" w:cs="Times New Roman"/>
      <w:sz w:val="24"/>
      <w:szCs w:val="24"/>
    </w:rPr>
  </w:style>
  <w:style w:type="character" w:styleId="PageNumber">
    <w:name w:val="page number"/>
    <w:basedOn w:val="DefaultParagraphFont"/>
    <w:semiHidden/>
    <w:rsid w:val="009B0FDB"/>
  </w:style>
  <w:style w:type="character" w:styleId="CommentReference">
    <w:name w:val="annotation reference"/>
    <w:basedOn w:val="DefaultParagraphFont"/>
    <w:uiPriority w:val="99"/>
    <w:semiHidden/>
    <w:unhideWhenUsed/>
    <w:rsid w:val="009B0FDB"/>
    <w:rPr>
      <w:sz w:val="16"/>
      <w:szCs w:val="16"/>
    </w:rPr>
  </w:style>
  <w:style w:type="paragraph" w:styleId="CommentText">
    <w:name w:val="annotation text"/>
    <w:basedOn w:val="Normal"/>
    <w:link w:val="CommentTextChar"/>
    <w:uiPriority w:val="99"/>
    <w:unhideWhenUsed/>
    <w:rsid w:val="009B0FDB"/>
    <w:rPr>
      <w:sz w:val="20"/>
      <w:szCs w:val="20"/>
    </w:rPr>
  </w:style>
  <w:style w:type="character" w:customStyle="1" w:styleId="CommentTextChar">
    <w:name w:val="Comment Text Char"/>
    <w:basedOn w:val="DefaultParagraphFont"/>
    <w:link w:val="CommentText"/>
    <w:uiPriority w:val="99"/>
    <w:rsid w:val="009B0FDB"/>
    <w:rPr>
      <w:rFonts w:ascii="Times New Roman" w:eastAsia="Times New Roman" w:hAnsi="Times New Roman" w:cs="Times New Roman"/>
      <w:sz w:val="20"/>
      <w:szCs w:val="20"/>
    </w:rPr>
  </w:style>
  <w:style w:type="table" w:styleId="TableGrid">
    <w:name w:val="Table Grid"/>
    <w:basedOn w:val="TableNormal"/>
    <w:uiPriority w:val="59"/>
    <w:rsid w:val="009B0FD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B0FDB"/>
    <w:pPr>
      <w:spacing w:before="100" w:beforeAutospacing="1" w:after="100" w:afterAutospacing="1"/>
    </w:pPr>
  </w:style>
  <w:style w:type="paragraph" w:styleId="BalloonText">
    <w:name w:val="Balloon Text"/>
    <w:basedOn w:val="Normal"/>
    <w:link w:val="BalloonTextChar"/>
    <w:uiPriority w:val="99"/>
    <w:semiHidden/>
    <w:unhideWhenUsed/>
    <w:rsid w:val="009B0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FD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0FDB"/>
    <w:rPr>
      <w:b/>
      <w:bCs/>
    </w:rPr>
  </w:style>
  <w:style w:type="character" w:customStyle="1" w:styleId="CommentSubjectChar">
    <w:name w:val="Comment Subject Char"/>
    <w:basedOn w:val="CommentTextChar"/>
    <w:link w:val="CommentSubject"/>
    <w:uiPriority w:val="99"/>
    <w:semiHidden/>
    <w:rsid w:val="009B0FD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George R</dc:creator>
  <cp:keywords/>
  <dc:description/>
  <cp:lastModifiedBy>SYSTEM</cp:lastModifiedBy>
  <cp:revision>2</cp:revision>
  <dcterms:created xsi:type="dcterms:W3CDTF">2019-03-08T20:07:00Z</dcterms:created>
  <dcterms:modified xsi:type="dcterms:W3CDTF">2019-03-08T20:07:00Z</dcterms:modified>
</cp:coreProperties>
</file>