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5C47C" w14:textId="77777777" w:rsidR="009E118C" w:rsidRPr="00F23D8C" w:rsidRDefault="009E118C" w:rsidP="00FA2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bookmarkStart w:id="0" w:name="_GoBack"/>
      <w:bookmarkEnd w:id="0"/>
      <w:r w:rsidRPr="00F23D8C">
        <w:rPr>
          <w:rFonts w:ascii="Helvetica" w:hAnsi="Helvetica"/>
          <w:b/>
          <w:color w:val="000000"/>
          <w:sz w:val="28"/>
        </w:rPr>
        <w:t>Supporting Statement for Paperwork Reduction Act Submissions</w:t>
      </w:r>
    </w:p>
    <w:p w14:paraId="52BF8CC8" w14:textId="77777777" w:rsidR="009E118C" w:rsidRPr="00F23D8C" w:rsidRDefault="0050120C" w:rsidP="00FA2F70">
      <w:pPr>
        <w:pStyle w:val="Heading1"/>
        <w:spacing w:before="0"/>
        <w:jc w:val="center"/>
        <w:rPr>
          <w:color w:val="000000"/>
        </w:rPr>
      </w:pPr>
      <w:r w:rsidRPr="00F23D8C">
        <w:rPr>
          <w:color w:val="000000"/>
        </w:rPr>
        <w:t>Title</w:t>
      </w:r>
    </w:p>
    <w:p w14:paraId="1988B64A" w14:textId="77777777" w:rsidR="009E118C" w:rsidRPr="00F23D8C" w:rsidRDefault="0050120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sidRPr="00F23D8C">
        <w:rPr>
          <w:rFonts w:ascii="Helvetica" w:hAnsi="Helvetica"/>
          <w:b/>
          <w:color w:val="000000"/>
          <w:sz w:val="24"/>
        </w:rPr>
        <w:t>OMB Control Number 2502-</w:t>
      </w:r>
      <w:r w:rsidR="00F74690" w:rsidRPr="00F23D8C">
        <w:rPr>
          <w:rFonts w:ascii="Helvetica" w:hAnsi="Helvetica"/>
          <w:b/>
          <w:color w:val="000000"/>
          <w:sz w:val="24"/>
        </w:rPr>
        <w:t>0118</w:t>
      </w:r>
    </w:p>
    <w:p w14:paraId="2CC6025C" w14:textId="77777777" w:rsidR="009E118C" w:rsidRPr="00F23D8C"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r w:rsidRPr="00F23D8C">
        <w:rPr>
          <w:rFonts w:ascii="Helvetica" w:hAnsi="Helvetica"/>
          <w:b/>
          <w:color w:val="000000"/>
          <w:sz w:val="24"/>
        </w:rPr>
        <w:t>(</w:t>
      </w:r>
      <w:r w:rsidR="00F74690" w:rsidRPr="00F23D8C">
        <w:rPr>
          <w:rFonts w:ascii="Helvetica" w:hAnsi="Helvetica"/>
          <w:b/>
          <w:color w:val="000000"/>
          <w:sz w:val="24"/>
        </w:rPr>
        <w:t>HUD-2530</w:t>
      </w:r>
      <w:r w:rsidRPr="00F23D8C">
        <w:rPr>
          <w:rFonts w:ascii="Helvetica" w:hAnsi="Helvetica"/>
          <w:b/>
          <w:color w:val="000000"/>
          <w:sz w:val="24"/>
        </w:rPr>
        <w:t>)</w:t>
      </w:r>
    </w:p>
    <w:p w14:paraId="43555638" w14:textId="77777777" w:rsidR="009E118C" w:rsidRPr="00F23D8C"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14:paraId="3BD9712B" w14:textId="77777777" w:rsidR="009E118C" w:rsidRPr="00F23D8C" w:rsidRDefault="009E118C"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r w:rsidRPr="00F23D8C">
        <w:rPr>
          <w:rFonts w:ascii="Helvetica" w:hAnsi="Helvetica"/>
          <w:b/>
          <w:color w:val="000000"/>
          <w:sz w:val="24"/>
        </w:rPr>
        <w:t xml:space="preserve">A. </w:t>
      </w:r>
      <w:r w:rsidRPr="00F23D8C">
        <w:rPr>
          <w:rFonts w:ascii="Helvetica" w:hAnsi="Helvetica"/>
          <w:b/>
          <w:color w:val="000000"/>
          <w:sz w:val="24"/>
        </w:rPr>
        <w:tab/>
        <w:t>Justification</w:t>
      </w:r>
    </w:p>
    <w:p w14:paraId="1FD75BC2" w14:textId="77777777" w:rsidR="00FA2F70" w:rsidRPr="00F23D8C" w:rsidRDefault="00FA2F70" w:rsidP="00FA2F7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bl>
      <w:tblPr>
        <w:tblW w:w="0" w:type="auto"/>
        <w:tblInd w:w="108" w:type="dxa"/>
        <w:tblLook w:val="04A0" w:firstRow="1" w:lastRow="0" w:firstColumn="1" w:lastColumn="0" w:noHBand="0" w:noVBand="1"/>
      </w:tblPr>
      <w:tblGrid>
        <w:gridCol w:w="9252"/>
      </w:tblGrid>
      <w:tr w:rsidR="00FA2F70" w:rsidRPr="00F23D8C" w14:paraId="34DDEED4" w14:textId="77777777" w:rsidTr="00F74690">
        <w:tc>
          <w:tcPr>
            <w:tcW w:w="9252" w:type="dxa"/>
            <w:shd w:val="clear" w:color="auto" w:fill="auto"/>
          </w:tcPr>
          <w:p w14:paraId="23E7F2DA" w14:textId="77777777" w:rsidR="00FA2F70" w:rsidRPr="00F23D8C" w:rsidRDefault="00FA2F70" w:rsidP="00DD3D89">
            <w:pPr>
              <w:rPr>
                <w:rFonts w:ascii="Times New Roman" w:hAnsi="Times New Roman"/>
                <w:b/>
                <w:color w:val="000000"/>
                <w:sz w:val="24"/>
                <w:szCs w:val="24"/>
              </w:rPr>
            </w:pPr>
            <w:r w:rsidRPr="00F23D8C">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sidRPr="00F23D8C">
              <w:rPr>
                <w:rFonts w:ascii="Times New Roman" w:hAnsi="Times New Roman"/>
                <w:b/>
                <w:color w:val="000000"/>
                <w:sz w:val="24"/>
                <w:szCs w:val="24"/>
              </w:rPr>
              <w:t xml:space="preserve"> Include a statement regarding the changes for this submission. </w:t>
            </w:r>
          </w:p>
          <w:p w14:paraId="145C52B7" w14:textId="77777777" w:rsidR="00DD3D89" w:rsidRPr="00F23D8C" w:rsidRDefault="00DD3D89" w:rsidP="00DD3D89">
            <w:pPr>
              <w:rPr>
                <w:rFonts w:ascii="Courier" w:hAnsi="Courier"/>
                <w:color w:val="000000"/>
                <w:sz w:val="24"/>
              </w:rPr>
            </w:pPr>
          </w:p>
        </w:tc>
      </w:tr>
      <w:tr w:rsidR="00FA2F70" w:rsidRPr="00F23D8C" w14:paraId="64999290" w14:textId="77777777" w:rsidTr="00F74690">
        <w:tc>
          <w:tcPr>
            <w:tcW w:w="9252" w:type="dxa"/>
            <w:shd w:val="clear" w:color="auto" w:fill="auto"/>
          </w:tcPr>
          <w:p w14:paraId="41200545" w14:textId="77777777" w:rsidR="00674109" w:rsidRPr="00F23D8C" w:rsidRDefault="00674109" w:rsidP="00674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Times New Roman" w:hAnsi="Times New Roman"/>
                <w:sz w:val="24"/>
              </w:rPr>
            </w:pPr>
            <w:r w:rsidRPr="00F23D8C">
              <w:rPr>
                <w:rFonts w:ascii="Times New Roman" w:hAnsi="Times New Roman"/>
                <w:sz w:val="24"/>
              </w:rPr>
              <w:t>The regulations governing the Previous Participation Certification (HUD-2530) review and clearance procedures are set forth at 24 CFR 200.210 - 200.222, 24 CFR 200.300, and 24 CFR 200.400 – 200.430.  The collection is authorized by 12 U.S.C 1702-1715z; 42 U.S.C. 3535(d). Copies of these authorities are attached.  The HUD-2530 form is used to protect HUD’s Multifamily Housing and Healthcare programs by comprehensively assessing industry participants’ risk.  It is the Department’s policy that participants in its housing programs honor their legal, financial, and contractual obligations.  Accordingly, uniform standards are established for approvals, disapprovals, or withholding actions on principals in projects, based upon their past performances as well as other relevant information.  Respondents such as owners, management agents, master tenants, general contractors, and nursing home operators are subject to review.  The information on this form needs to be collected by the Department to evaluate participants’ previous performance and compliance with contracts, regulations, and directives.  Changes to this submission include incorporation of the new 24 CFR part 200, subpart H regulations published in October 2016.</w:t>
            </w:r>
          </w:p>
          <w:p w14:paraId="04770222" w14:textId="77777777" w:rsidR="00FA2F70" w:rsidRPr="00F23D8C"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c>
      </w:tr>
      <w:tr w:rsidR="00FA2F70" w:rsidRPr="00F23D8C" w14:paraId="0A0B6242" w14:textId="77777777" w:rsidTr="00F74690">
        <w:tc>
          <w:tcPr>
            <w:tcW w:w="9252" w:type="dxa"/>
            <w:shd w:val="clear" w:color="auto" w:fill="auto"/>
          </w:tcPr>
          <w:p w14:paraId="729891B3" w14:textId="77777777" w:rsidR="00FA2F70" w:rsidRPr="00F23D8C" w:rsidRDefault="00FA2F70" w:rsidP="001B4FB5">
            <w:pPr>
              <w:rPr>
                <w:rFonts w:ascii="Times New Roman" w:hAnsi="Times New Roman"/>
                <w:b/>
                <w:color w:val="000000"/>
                <w:sz w:val="24"/>
                <w:szCs w:val="24"/>
              </w:rPr>
            </w:pPr>
            <w:r w:rsidRPr="00F23D8C">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14:paraId="621A75BD" w14:textId="77777777" w:rsidR="00FA2F70" w:rsidRPr="00F23D8C" w:rsidRDefault="00FA2F70"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p w14:paraId="2C23BB4A" w14:textId="77777777" w:rsidR="00674109" w:rsidRPr="00F23D8C" w:rsidRDefault="00674109" w:rsidP="00674109">
            <w:pPr>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 xml:space="preserve">HUD multifamily housing and healthcare projects usually involve millions of federal government dollars that has been obligated in subsidized mortgages, rents, grants, construction contracts, and loans.  The information collected is used by HUD multifamily and healthcare staff to evaluate the risk of current/prospective participants in multifamily and healthcare projects to protect departmental interests and safeguard taxpayer dollars. Based on the information provided by participants, each participant’s previous participation is evaluated based on their performance in current projects (REAC scores, MOR rating) and reviewing any non-compliance issues by checking for flags in Active Partners Performance System (APPS).  Only applicants who meet departmental risk criteria are approved for participation in projects.  </w:t>
            </w:r>
          </w:p>
          <w:p w14:paraId="71D4C160" w14:textId="77777777" w:rsidR="00674109" w:rsidRPr="00F23D8C" w:rsidRDefault="00674109" w:rsidP="001B4FB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p>
        </w:tc>
      </w:tr>
      <w:tr w:rsidR="00FA2F70" w:rsidRPr="00F23D8C" w14:paraId="354D0A20" w14:textId="77777777" w:rsidTr="00F74690">
        <w:tc>
          <w:tcPr>
            <w:tcW w:w="9252" w:type="dxa"/>
            <w:shd w:val="clear" w:color="auto" w:fill="auto"/>
          </w:tcPr>
          <w:p w14:paraId="71C5447B" w14:textId="77777777" w:rsidR="00FA2F70" w:rsidRPr="00F23D8C" w:rsidRDefault="00FA2F70" w:rsidP="001B4FB5">
            <w:pPr>
              <w:rPr>
                <w:rFonts w:ascii="Times New Roman" w:hAnsi="Times New Roman"/>
                <w:b/>
                <w:color w:val="000000"/>
                <w:sz w:val="24"/>
                <w:szCs w:val="24"/>
              </w:rPr>
            </w:pPr>
            <w:r w:rsidRPr="00F23D8C">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7E11FF7" w14:textId="77777777" w:rsidR="00FA2F70" w:rsidRPr="00F23D8C" w:rsidRDefault="00FA2F70" w:rsidP="001B4FB5">
            <w:pPr>
              <w:rPr>
                <w:rFonts w:ascii="Times New Roman" w:hAnsi="Times New Roman"/>
                <w:b/>
                <w:color w:val="000000"/>
                <w:sz w:val="24"/>
                <w:szCs w:val="24"/>
              </w:rPr>
            </w:pPr>
          </w:p>
          <w:p w14:paraId="5294152E" w14:textId="77777777" w:rsidR="00674109" w:rsidRPr="00F23D8C" w:rsidRDefault="00674109" w:rsidP="00674109">
            <w:pPr>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 xml:space="preserve">The collection of this information is automated through APPS.  This enables </w:t>
            </w:r>
            <w:r w:rsidRPr="00F23D8C">
              <w:rPr>
                <w:rFonts w:ascii="Times New Roman" w:hAnsi="Times New Roman"/>
                <w:sz w:val="24"/>
              </w:rPr>
              <w:lastRenderedPageBreak/>
              <w:t xml:space="preserve">participants to send the information electronically thus saving time and money.  The APPS also lets participants keep their participation information current and updated in the system.  Automation eliminated the need for sending the information in paper format. The moment the applicant sends the HUD form 2530 electronically, HUD staff can review the form and take necessary action thus eliminating delay in processing the applications. The system is also automated to notify applicants of the review results.   Participants also have the option to submit the information in paper.  HUD is currently discussing ways to upgrade the system to new software to improve efficiency.  </w:t>
            </w:r>
          </w:p>
          <w:p w14:paraId="15FD665F" w14:textId="77777777" w:rsidR="00674109" w:rsidRPr="00F23D8C" w:rsidRDefault="00674109" w:rsidP="001B4FB5">
            <w:pPr>
              <w:rPr>
                <w:rFonts w:ascii="Times New Roman" w:hAnsi="Times New Roman"/>
                <w:b/>
                <w:color w:val="000000"/>
                <w:sz w:val="24"/>
                <w:szCs w:val="24"/>
              </w:rPr>
            </w:pPr>
          </w:p>
        </w:tc>
      </w:tr>
      <w:tr w:rsidR="00FA2F70" w:rsidRPr="00F23D8C" w14:paraId="6FD53B11" w14:textId="77777777" w:rsidTr="00F74690">
        <w:tc>
          <w:tcPr>
            <w:tcW w:w="9252" w:type="dxa"/>
            <w:shd w:val="clear" w:color="auto" w:fill="auto"/>
          </w:tcPr>
          <w:p w14:paraId="678A4FA1" w14:textId="77777777" w:rsidR="00FA2F70" w:rsidRPr="00F23D8C" w:rsidRDefault="00FA2F70" w:rsidP="001B4FB5">
            <w:pPr>
              <w:rPr>
                <w:rFonts w:ascii="Times New Roman" w:hAnsi="Times New Roman"/>
                <w:b/>
                <w:color w:val="000000"/>
                <w:sz w:val="24"/>
                <w:szCs w:val="24"/>
              </w:rPr>
            </w:pPr>
            <w:r w:rsidRPr="00F23D8C">
              <w:rPr>
                <w:rFonts w:ascii="Times New Roman" w:hAnsi="Times New Roman"/>
                <w:b/>
                <w:color w:val="000000"/>
                <w:sz w:val="24"/>
                <w:szCs w:val="24"/>
              </w:rPr>
              <w:lastRenderedPageBreak/>
              <w:t xml:space="preserve">4. Describe efforts to identify duplication. Show specifically why any similar information already available cannot be used or modified for use for the purposes described in Item 2 above. </w:t>
            </w:r>
          </w:p>
          <w:p w14:paraId="401DC3CE" w14:textId="77777777" w:rsidR="00FA2F70" w:rsidRPr="00F23D8C" w:rsidRDefault="00FA2F70" w:rsidP="001B4FB5">
            <w:pPr>
              <w:rPr>
                <w:rFonts w:ascii="Times New Roman" w:hAnsi="Times New Roman"/>
                <w:b/>
                <w:color w:val="000000"/>
                <w:sz w:val="24"/>
                <w:szCs w:val="24"/>
              </w:rPr>
            </w:pPr>
          </w:p>
          <w:p w14:paraId="50ED9A64" w14:textId="77777777" w:rsidR="00674109" w:rsidRPr="00F23D8C" w:rsidRDefault="00674109" w:rsidP="00674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Times New Roman" w:hAnsi="Times New Roman"/>
                <w:sz w:val="24"/>
                <w:szCs w:val="24"/>
              </w:rPr>
            </w:pPr>
            <w:r w:rsidRPr="00F23D8C">
              <w:rPr>
                <w:rFonts w:ascii="Times New Roman" w:hAnsi="Times New Roman"/>
                <w:sz w:val="24"/>
              </w:rPr>
              <w:t>No duplication exists.</w:t>
            </w:r>
          </w:p>
          <w:p w14:paraId="4648BF07" w14:textId="77777777" w:rsidR="00674109" w:rsidRPr="00F23D8C" w:rsidRDefault="00674109" w:rsidP="001B4FB5">
            <w:pPr>
              <w:rPr>
                <w:rFonts w:ascii="Times New Roman" w:hAnsi="Times New Roman"/>
                <w:b/>
                <w:color w:val="000000"/>
                <w:sz w:val="24"/>
                <w:szCs w:val="24"/>
              </w:rPr>
            </w:pPr>
          </w:p>
        </w:tc>
      </w:tr>
      <w:tr w:rsidR="00FA2F70" w:rsidRPr="00F23D8C" w14:paraId="448543A8" w14:textId="77777777" w:rsidTr="00F74690">
        <w:tc>
          <w:tcPr>
            <w:tcW w:w="9252" w:type="dxa"/>
            <w:shd w:val="clear" w:color="auto" w:fill="auto"/>
          </w:tcPr>
          <w:p w14:paraId="6247FEF9" w14:textId="77777777" w:rsidR="00FA2F70" w:rsidRPr="00F23D8C" w:rsidRDefault="00FA2F70" w:rsidP="001B4FB5">
            <w:pPr>
              <w:rPr>
                <w:rFonts w:ascii="Times New Roman" w:hAnsi="Times New Roman"/>
                <w:b/>
                <w:color w:val="000000"/>
                <w:sz w:val="24"/>
                <w:szCs w:val="24"/>
              </w:rPr>
            </w:pPr>
            <w:r w:rsidRPr="00F23D8C">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14:paraId="7F0D83C6" w14:textId="77777777" w:rsidR="00FA2F70" w:rsidRPr="00F23D8C" w:rsidRDefault="00FA2F70" w:rsidP="001B4FB5">
            <w:pPr>
              <w:rPr>
                <w:rFonts w:ascii="Times New Roman" w:hAnsi="Times New Roman"/>
                <w:b/>
                <w:color w:val="000000"/>
                <w:sz w:val="24"/>
                <w:szCs w:val="24"/>
              </w:rPr>
            </w:pPr>
          </w:p>
        </w:tc>
      </w:tr>
      <w:tr w:rsidR="00FA2F70" w:rsidRPr="00F23D8C" w14:paraId="29E32077" w14:textId="77777777" w:rsidTr="00F74690">
        <w:tc>
          <w:tcPr>
            <w:tcW w:w="9252" w:type="dxa"/>
            <w:shd w:val="clear" w:color="auto" w:fill="auto"/>
          </w:tcPr>
          <w:p w14:paraId="47816045" w14:textId="77777777" w:rsidR="00674109" w:rsidRPr="00F23D8C" w:rsidRDefault="00674109" w:rsidP="00674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rPr>
                <w:rFonts w:ascii="Times New Roman" w:hAnsi="Times New Roman"/>
                <w:sz w:val="24"/>
                <w:szCs w:val="24"/>
              </w:rPr>
            </w:pPr>
            <w:r w:rsidRPr="00F23D8C">
              <w:rPr>
                <w:rFonts w:ascii="Times New Roman" w:hAnsi="Times New Roman"/>
                <w:sz w:val="24"/>
              </w:rPr>
              <w:t>This collection will not have a significant economic impact on small businesses or entities.</w:t>
            </w:r>
          </w:p>
          <w:p w14:paraId="4957018B" w14:textId="77777777" w:rsidR="00FA2F70" w:rsidRPr="00F23D8C" w:rsidRDefault="00FA2F70" w:rsidP="001B4FB5">
            <w:pPr>
              <w:rPr>
                <w:rFonts w:ascii="Times New Roman" w:hAnsi="Times New Roman"/>
                <w:b/>
                <w:color w:val="000000"/>
                <w:sz w:val="24"/>
                <w:szCs w:val="24"/>
              </w:rPr>
            </w:pPr>
          </w:p>
        </w:tc>
      </w:tr>
    </w:tbl>
    <w:p w14:paraId="09614F73" w14:textId="77777777" w:rsidR="00FA2F70" w:rsidRPr="00F23D8C" w:rsidRDefault="00FA2F70" w:rsidP="00FA2F70">
      <w:pPr>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FA2F70" w:rsidRPr="00F23D8C" w14:paraId="194B82FC" w14:textId="77777777" w:rsidTr="00F74690">
        <w:tc>
          <w:tcPr>
            <w:tcW w:w="9252" w:type="dxa"/>
            <w:shd w:val="clear" w:color="auto" w:fill="auto"/>
          </w:tcPr>
          <w:p w14:paraId="75319690" w14:textId="77777777" w:rsidR="00FA2F70" w:rsidRPr="00F23D8C" w:rsidRDefault="00FA2F70" w:rsidP="001B4FB5">
            <w:pPr>
              <w:rPr>
                <w:rFonts w:ascii="Times New Roman" w:hAnsi="Times New Roman"/>
                <w:b/>
                <w:color w:val="000000"/>
                <w:sz w:val="24"/>
                <w:szCs w:val="24"/>
              </w:rPr>
            </w:pPr>
            <w:r w:rsidRPr="00F23D8C">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14:paraId="0A69FD77" w14:textId="77777777" w:rsidR="00674109" w:rsidRPr="00F23D8C" w:rsidRDefault="00674109" w:rsidP="001B4FB5">
            <w:pPr>
              <w:rPr>
                <w:rFonts w:ascii="Times New Roman" w:hAnsi="Times New Roman"/>
                <w:b/>
                <w:color w:val="000000"/>
                <w:sz w:val="24"/>
                <w:szCs w:val="24"/>
              </w:rPr>
            </w:pPr>
          </w:p>
          <w:p w14:paraId="1F2D681E" w14:textId="77777777" w:rsidR="00674109" w:rsidRPr="00F23D8C" w:rsidRDefault="00674109" w:rsidP="00674109">
            <w:pPr>
              <w:tabs>
                <w:tab w:val="left" w:pos="360"/>
              </w:tabs>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The information collected by the Form HUD-2530 is the minimum needed to achieve program objectives.  The information collected and the frequency with which it is collected is necessary for the Department to manage the risk to the mortgage insurance fund. If the collection is not conducted or the frequency is reduced, it can hamper departmental interest of protecting taxpayer money. Reducing burden may result in not having sufficient information to assess risk.</w:t>
            </w:r>
          </w:p>
          <w:p w14:paraId="2C000EFB" w14:textId="77777777" w:rsidR="00FA2F70" w:rsidRPr="00F23D8C" w:rsidRDefault="00FA2F70" w:rsidP="001B4FB5">
            <w:pPr>
              <w:rPr>
                <w:rFonts w:ascii="Times New Roman" w:hAnsi="Times New Roman"/>
                <w:b/>
                <w:color w:val="000000"/>
                <w:sz w:val="24"/>
                <w:szCs w:val="24"/>
              </w:rPr>
            </w:pPr>
          </w:p>
        </w:tc>
      </w:tr>
      <w:tr w:rsidR="00FA2F70" w:rsidRPr="00F23D8C" w14:paraId="28ED0039" w14:textId="77777777" w:rsidTr="00F74690">
        <w:tc>
          <w:tcPr>
            <w:tcW w:w="9252" w:type="dxa"/>
            <w:shd w:val="clear" w:color="auto" w:fill="auto"/>
          </w:tcPr>
          <w:p w14:paraId="00ECC22F" w14:textId="77777777" w:rsidR="00FA2F70" w:rsidRPr="00F23D8C" w:rsidRDefault="00FA2F70" w:rsidP="001B4FB5">
            <w:pPr>
              <w:rPr>
                <w:rFonts w:ascii="Times New Roman" w:hAnsi="Times New Roman"/>
                <w:b/>
                <w:color w:val="000000"/>
                <w:sz w:val="24"/>
                <w:szCs w:val="24"/>
              </w:rPr>
            </w:pPr>
            <w:r w:rsidRPr="00F23D8C">
              <w:rPr>
                <w:rFonts w:ascii="Times New Roman" w:hAnsi="Times New Roman"/>
                <w:b/>
                <w:color w:val="000000"/>
                <w:sz w:val="24"/>
                <w:szCs w:val="24"/>
              </w:rPr>
              <w:t xml:space="preserve">7. Explain any special circumstances that would cause an information collection to be conducted in a manner: </w:t>
            </w:r>
            <w:r w:rsidR="00695EEE" w:rsidRPr="00F23D8C">
              <w:rPr>
                <w:rFonts w:ascii="Times New Roman" w:hAnsi="Times New Roman"/>
                <w:b/>
                <w:color w:val="000000"/>
                <w:sz w:val="24"/>
                <w:szCs w:val="24"/>
              </w:rPr>
              <w:t xml:space="preserve"> (PLEASE ANSWER EACH BULLET SEPARATELY)</w:t>
            </w:r>
          </w:p>
          <w:p w14:paraId="15E2473D" w14:textId="77777777" w:rsidR="00FA2F70" w:rsidRPr="00F23D8C" w:rsidRDefault="00FA2F70" w:rsidP="001B4FB5">
            <w:pPr>
              <w:rPr>
                <w:rFonts w:ascii="Times New Roman" w:hAnsi="Times New Roman"/>
                <w:b/>
                <w:color w:val="000000"/>
                <w:sz w:val="24"/>
                <w:szCs w:val="24"/>
              </w:rPr>
            </w:pPr>
          </w:p>
          <w:p w14:paraId="24D3B18D"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requiring respondents to report information to the agency more often than quarterly; </w:t>
            </w:r>
            <w:r w:rsidR="00DD3D89" w:rsidRPr="00F23D8C">
              <w:rPr>
                <w:rFonts w:ascii="Times New Roman" w:hAnsi="Times New Roman"/>
                <w:color w:val="000000"/>
                <w:sz w:val="24"/>
                <w:szCs w:val="24"/>
              </w:rPr>
              <w:br/>
            </w:r>
          </w:p>
          <w:p w14:paraId="684F2AA6" w14:textId="77777777" w:rsidR="00674109" w:rsidRPr="00F23D8C" w:rsidRDefault="00674109" w:rsidP="00674109">
            <w:pPr>
              <w:pStyle w:val="ListParagraph"/>
              <w:numPr>
                <w:ilvl w:val="0"/>
                <w:numId w:val="9"/>
              </w:numPr>
              <w:tabs>
                <w:tab w:val="left" w:pos="600"/>
              </w:tabs>
              <w:ind w:right="720"/>
              <w:rPr>
                <w:bCs/>
                <w:sz w:val="24"/>
              </w:rPr>
            </w:pPr>
            <w:r w:rsidRPr="00F23D8C">
              <w:rPr>
                <w:bCs/>
                <w:sz w:val="24"/>
              </w:rPr>
              <w:t xml:space="preserve">Participants can participate in multifamily and healthcare programs at will and there is no open season for participation.  As such, any time industry partners decide to participate, they should submit 2530 for HUD to evaluate risk. Thus, the collection of information in a quarterly basis is not feasible.  </w:t>
            </w:r>
          </w:p>
          <w:p w14:paraId="4024223F" w14:textId="77777777" w:rsidR="00D35DDB" w:rsidRPr="00F23D8C" w:rsidRDefault="00D35DDB" w:rsidP="001B4FB5">
            <w:pPr>
              <w:rPr>
                <w:rFonts w:ascii="Times New Roman" w:hAnsi="Times New Roman"/>
                <w:color w:val="000000"/>
                <w:sz w:val="24"/>
                <w:szCs w:val="24"/>
              </w:rPr>
            </w:pPr>
          </w:p>
          <w:p w14:paraId="45429750"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requiring respondents to prepare a written response to a collection of information in fewer than 30 days after receipt of it; </w:t>
            </w:r>
          </w:p>
          <w:p w14:paraId="26B3BC65" w14:textId="77777777" w:rsidR="00674109" w:rsidRPr="00F23D8C" w:rsidRDefault="00674109" w:rsidP="00674109">
            <w:pPr>
              <w:pStyle w:val="ListParagraph"/>
              <w:numPr>
                <w:ilvl w:val="0"/>
                <w:numId w:val="9"/>
              </w:numPr>
              <w:tabs>
                <w:tab w:val="left" w:pos="600"/>
              </w:tabs>
              <w:ind w:right="720"/>
              <w:rPr>
                <w:bCs/>
                <w:sz w:val="24"/>
              </w:rPr>
            </w:pPr>
            <w:r w:rsidRPr="00F23D8C">
              <w:rPr>
                <w:bCs/>
                <w:sz w:val="24"/>
              </w:rPr>
              <w:t xml:space="preserve">The information collection is mandated by </w:t>
            </w:r>
            <w:r w:rsidRPr="00F23D8C">
              <w:rPr>
                <w:sz w:val="24"/>
              </w:rPr>
              <w:t>24 CFR 200.210 - 200.222 and is authorized by 12 U.S.C 1702-1715z; 42 U.S.C. 3535(d). No other communication is provided to respondents prior to collection.</w:t>
            </w:r>
          </w:p>
          <w:p w14:paraId="584F2A7C" w14:textId="77777777" w:rsidR="00674109" w:rsidRPr="00F23D8C" w:rsidRDefault="00674109" w:rsidP="001B4FB5">
            <w:pPr>
              <w:rPr>
                <w:rFonts w:ascii="Times New Roman" w:hAnsi="Times New Roman"/>
                <w:color w:val="000000"/>
                <w:sz w:val="24"/>
                <w:szCs w:val="24"/>
              </w:rPr>
            </w:pPr>
          </w:p>
          <w:p w14:paraId="701DAEEF" w14:textId="77777777" w:rsidR="00695EEE"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requiring respondents to submit more than an original and two copies of any document; </w:t>
            </w:r>
            <w:r w:rsidR="00DD3D89" w:rsidRPr="00F23D8C">
              <w:rPr>
                <w:rFonts w:ascii="Times New Roman" w:hAnsi="Times New Roman"/>
                <w:color w:val="000000"/>
                <w:sz w:val="24"/>
                <w:szCs w:val="24"/>
              </w:rPr>
              <w:br/>
            </w:r>
          </w:p>
          <w:p w14:paraId="3DCD0980" w14:textId="77777777" w:rsidR="00674109" w:rsidRPr="00F23D8C" w:rsidRDefault="00674109" w:rsidP="00674109">
            <w:pPr>
              <w:pStyle w:val="ListParagraph"/>
              <w:numPr>
                <w:ilvl w:val="0"/>
                <w:numId w:val="9"/>
              </w:numPr>
              <w:tabs>
                <w:tab w:val="left" w:pos="600"/>
              </w:tabs>
              <w:ind w:right="720"/>
              <w:rPr>
                <w:bCs/>
                <w:sz w:val="24"/>
              </w:rPr>
            </w:pPr>
            <w:r w:rsidRPr="00F23D8C">
              <w:rPr>
                <w:bCs/>
                <w:sz w:val="24"/>
              </w:rPr>
              <w:t>Respondents are required to submit one copy of the document, either electronically or in paper.</w:t>
            </w:r>
          </w:p>
          <w:p w14:paraId="7DF244F2" w14:textId="77777777" w:rsidR="00695EEE" w:rsidRPr="00F23D8C" w:rsidRDefault="00695EEE" w:rsidP="001B4FB5">
            <w:pPr>
              <w:rPr>
                <w:rFonts w:ascii="Times New Roman" w:hAnsi="Times New Roman"/>
                <w:color w:val="000000"/>
                <w:sz w:val="24"/>
                <w:szCs w:val="24"/>
              </w:rPr>
            </w:pPr>
          </w:p>
          <w:p w14:paraId="524BE2C3"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requiring respondents to retain records, other than health, medical, government contract, grant-in-aid, or tax records, for more than three years; </w:t>
            </w:r>
            <w:r w:rsidR="00DD3D89" w:rsidRPr="00F23D8C">
              <w:rPr>
                <w:rFonts w:ascii="Times New Roman" w:hAnsi="Times New Roman"/>
                <w:color w:val="000000"/>
                <w:sz w:val="24"/>
                <w:szCs w:val="24"/>
              </w:rPr>
              <w:br/>
            </w:r>
          </w:p>
          <w:p w14:paraId="44472D94" w14:textId="77777777" w:rsidR="00674109" w:rsidRPr="00F23D8C" w:rsidRDefault="00674109" w:rsidP="00674109">
            <w:pPr>
              <w:pStyle w:val="ListParagraph"/>
              <w:numPr>
                <w:ilvl w:val="0"/>
                <w:numId w:val="9"/>
              </w:numPr>
              <w:tabs>
                <w:tab w:val="left" w:pos="600"/>
              </w:tabs>
              <w:ind w:right="720"/>
              <w:rPr>
                <w:bCs/>
                <w:sz w:val="24"/>
              </w:rPr>
            </w:pPr>
            <w:r w:rsidRPr="00F23D8C">
              <w:rPr>
                <w:bCs/>
                <w:sz w:val="24"/>
              </w:rPr>
              <w:t>Respondents should keep the records as long as they participate in the program.</w:t>
            </w:r>
          </w:p>
          <w:p w14:paraId="79AC5F54" w14:textId="77777777" w:rsidR="00D35DDB" w:rsidRPr="00F23D8C" w:rsidRDefault="00D35DDB" w:rsidP="001B4FB5">
            <w:pPr>
              <w:rPr>
                <w:rFonts w:ascii="Times New Roman" w:hAnsi="Times New Roman"/>
                <w:color w:val="000000"/>
                <w:sz w:val="24"/>
                <w:szCs w:val="24"/>
              </w:rPr>
            </w:pPr>
          </w:p>
          <w:p w14:paraId="64D20E2D"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r w:rsidR="00DD3D89" w:rsidRPr="00F23D8C">
              <w:rPr>
                <w:rFonts w:ascii="Times New Roman" w:hAnsi="Times New Roman"/>
                <w:color w:val="000000"/>
                <w:sz w:val="24"/>
                <w:szCs w:val="24"/>
              </w:rPr>
              <w:br/>
            </w:r>
          </w:p>
          <w:p w14:paraId="6976CD81" w14:textId="77777777" w:rsidR="00797F95" w:rsidRPr="00F23D8C" w:rsidRDefault="00797F95" w:rsidP="00797F95">
            <w:pPr>
              <w:pStyle w:val="ListParagraph"/>
              <w:numPr>
                <w:ilvl w:val="0"/>
                <w:numId w:val="9"/>
              </w:numPr>
              <w:tabs>
                <w:tab w:val="left" w:pos="600"/>
              </w:tabs>
              <w:ind w:right="720"/>
              <w:rPr>
                <w:bCs/>
                <w:sz w:val="24"/>
              </w:rPr>
            </w:pPr>
            <w:r w:rsidRPr="00F23D8C">
              <w:rPr>
                <w:bCs/>
                <w:sz w:val="24"/>
              </w:rPr>
              <w:t>This collection of information does not requires any statistical survey.</w:t>
            </w:r>
          </w:p>
          <w:p w14:paraId="0DB6C30E" w14:textId="77777777" w:rsidR="00797F95" w:rsidRPr="00F23D8C" w:rsidRDefault="00797F95" w:rsidP="001B4FB5">
            <w:pPr>
              <w:rPr>
                <w:rFonts w:ascii="Times New Roman" w:hAnsi="Times New Roman"/>
                <w:color w:val="000000"/>
                <w:sz w:val="24"/>
                <w:szCs w:val="24"/>
              </w:rPr>
            </w:pPr>
          </w:p>
          <w:p w14:paraId="3765A6DC"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requiring the use of a statistical data classification that has not been reviewed and approved by OMB; </w:t>
            </w:r>
            <w:r w:rsidR="00DD3D89" w:rsidRPr="00F23D8C">
              <w:rPr>
                <w:rFonts w:ascii="Times New Roman" w:hAnsi="Times New Roman"/>
                <w:color w:val="000000"/>
                <w:sz w:val="24"/>
                <w:szCs w:val="24"/>
              </w:rPr>
              <w:br/>
            </w:r>
          </w:p>
          <w:p w14:paraId="51BF174B" w14:textId="77777777" w:rsidR="00797F95" w:rsidRPr="00F23D8C" w:rsidRDefault="00797F95" w:rsidP="00797F95">
            <w:pPr>
              <w:pStyle w:val="ListParagraph"/>
              <w:numPr>
                <w:ilvl w:val="0"/>
                <w:numId w:val="9"/>
              </w:numPr>
              <w:tabs>
                <w:tab w:val="left" w:pos="600"/>
              </w:tabs>
              <w:ind w:right="720"/>
              <w:rPr>
                <w:bCs/>
                <w:sz w:val="24"/>
              </w:rPr>
            </w:pPr>
            <w:r w:rsidRPr="00F23D8C">
              <w:rPr>
                <w:bCs/>
                <w:sz w:val="24"/>
              </w:rPr>
              <w:t>This collection of information does not require any statistical survey.</w:t>
            </w:r>
          </w:p>
          <w:p w14:paraId="2AED7C21" w14:textId="77777777" w:rsidR="00797F95" w:rsidRPr="00F23D8C" w:rsidRDefault="00797F95" w:rsidP="001B4FB5">
            <w:pPr>
              <w:rPr>
                <w:rFonts w:ascii="Times New Roman" w:hAnsi="Times New Roman"/>
                <w:color w:val="000000"/>
                <w:sz w:val="24"/>
                <w:szCs w:val="24"/>
              </w:rPr>
            </w:pPr>
          </w:p>
          <w:p w14:paraId="73BFB655"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1CC2CB80" w14:textId="77777777" w:rsidR="00F74690" w:rsidRPr="00F23D8C" w:rsidRDefault="00F74690" w:rsidP="001B4FB5">
            <w:pPr>
              <w:rPr>
                <w:rFonts w:ascii="Times New Roman" w:hAnsi="Times New Roman"/>
                <w:sz w:val="24"/>
              </w:rPr>
            </w:pPr>
          </w:p>
          <w:p w14:paraId="7805A146" w14:textId="77777777" w:rsidR="00D35DDB" w:rsidRPr="00F23D8C" w:rsidRDefault="001D706D" w:rsidP="00F74690">
            <w:pPr>
              <w:pStyle w:val="ListParagraph"/>
              <w:numPr>
                <w:ilvl w:val="0"/>
                <w:numId w:val="9"/>
              </w:numPr>
              <w:rPr>
                <w:color w:val="000000"/>
                <w:sz w:val="24"/>
                <w:szCs w:val="24"/>
              </w:rPr>
            </w:pPr>
            <w:r w:rsidRPr="00F23D8C">
              <w:rPr>
                <w:sz w:val="24"/>
              </w:rPr>
              <w:t xml:space="preserve">The collection is authorized by 12 U.S.C 1702-1715z; 42 U.S.C. 3535(d). HUD form 2530 is created to collect information as mandated by 24 CFR Part 200 and requires SSN# to be listed on the form. </w:t>
            </w:r>
            <w:r w:rsidR="00F74690" w:rsidRPr="00F23D8C">
              <w:rPr>
                <w:sz w:val="24"/>
              </w:rPr>
              <w:br/>
            </w:r>
          </w:p>
          <w:p w14:paraId="0B08E7FA" w14:textId="77777777" w:rsidR="00FA2F70" w:rsidRPr="00F23D8C" w:rsidRDefault="00FA2F70" w:rsidP="001B4FB5">
            <w:pPr>
              <w:rPr>
                <w:rFonts w:ascii="Times New Roman" w:hAnsi="Times New Roman"/>
                <w:color w:val="000000"/>
                <w:sz w:val="24"/>
                <w:szCs w:val="24"/>
              </w:rPr>
            </w:pPr>
            <w:r w:rsidRPr="00F23D8C">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r w:rsidR="00F74690" w:rsidRPr="00F23D8C">
              <w:rPr>
                <w:rFonts w:ascii="Times New Roman" w:hAnsi="Times New Roman"/>
                <w:color w:val="000000"/>
                <w:sz w:val="24"/>
                <w:szCs w:val="24"/>
              </w:rPr>
              <w:br/>
            </w:r>
          </w:p>
          <w:p w14:paraId="6FB82ADF" w14:textId="77777777" w:rsidR="00797F95" w:rsidRPr="00F23D8C" w:rsidRDefault="00797F95" w:rsidP="00797F95">
            <w:pPr>
              <w:pStyle w:val="ListParagraph"/>
              <w:numPr>
                <w:ilvl w:val="0"/>
                <w:numId w:val="9"/>
              </w:numPr>
              <w:tabs>
                <w:tab w:val="left" w:pos="600"/>
              </w:tabs>
              <w:ind w:right="720"/>
              <w:rPr>
                <w:bCs/>
                <w:sz w:val="24"/>
              </w:rPr>
            </w:pPr>
            <w:r w:rsidRPr="00F23D8C">
              <w:rPr>
                <w:bCs/>
                <w:sz w:val="24"/>
              </w:rPr>
              <w:t xml:space="preserve">HUD’s use of collected information, sharing and its protection is delineated in the </w:t>
            </w:r>
            <w:r w:rsidRPr="00F23D8C">
              <w:rPr>
                <w:sz w:val="24"/>
                <w:szCs w:val="24"/>
              </w:rPr>
              <w:t>System of Records Notice.</w:t>
            </w:r>
            <w:r w:rsidRPr="00F23D8C">
              <w:rPr>
                <w:bCs/>
                <w:sz w:val="24"/>
              </w:rPr>
              <w:t xml:space="preserve"> </w:t>
            </w:r>
          </w:p>
          <w:p w14:paraId="0751B10A" w14:textId="77777777" w:rsidR="00797F95" w:rsidRPr="00F23D8C" w:rsidRDefault="00797F95" w:rsidP="001B4FB5">
            <w:pPr>
              <w:rPr>
                <w:rFonts w:ascii="Times New Roman" w:hAnsi="Times New Roman"/>
                <w:color w:val="000000"/>
                <w:sz w:val="24"/>
                <w:szCs w:val="24"/>
              </w:rPr>
            </w:pPr>
          </w:p>
          <w:p w14:paraId="64018234" w14:textId="77777777" w:rsidR="00FA2F70" w:rsidRPr="00F23D8C" w:rsidRDefault="00FA2F70" w:rsidP="001B4FB5">
            <w:pPr>
              <w:rPr>
                <w:rFonts w:ascii="Times New Roman" w:hAnsi="Times New Roman"/>
                <w:b/>
                <w:color w:val="000000"/>
                <w:sz w:val="24"/>
                <w:szCs w:val="24"/>
              </w:rPr>
            </w:pPr>
          </w:p>
        </w:tc>
      </w:tr>
      <w:tr w:rsidR="00FA2F70" w:rsidRPr="00F23D8C" w14:paraId="7CE04F4D" w14:textId="77777777" w:rsidTr="00F74690">
        <w:tc>
          <w:tcPr>
            <w:tcW w:w="9252" w:type="dxa"/>
            <w:shd w:val="clear" w:color="auto" w:fill="auto"/>
          </w:tcPr>
          <w:p w14:paraId="272E63CC"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39B761D3" w14:textId="77777777" w:rsidR="00797F95" w:rsidRPr="00F23D8C" w:rsidRDefault="00797F95" w:rsidP="001B4FB5">
            <w:pPr>
              <w:rPr>
                <w:rFonts w:ascii="Times New Roman" w:hAnsi="Times New Roman"/>
                <w:b/>
                <w:color w:val="000000"/>
                <w:sz w:val="24"/>
                <w:szCs w:val="24"/>
              </w:rPr>
            </w:pPr>
          </w:p>
          <w:p w14:paraId="22EEE214" w14:textId="77777777" w:rsidR="00FA2F70" w:rsidRPr="00F23D8C" w:rsidRDefault="00723144" w:rsidP="00F74690">
            <w:pPr>
              <w:rPr>
                <w:rFonts w:ascii="Times New Roman" w:hAnsi="Times New Roman"/>
                <w:sz w:val="24"/>
              </w:rPr>
            </w:pPr>
            <w:r w:rsidRPr="00F23D8C">
              <w:rPr>
                <w:rFonts w:ascii="Times New Roman" w:hAnsi="Times New Roman"/>
                <w:sz w:val="24"/>
              </w:rPr>
              <w:t xml:space="preserve">In accordance with 5CFR 1320.8(d), this information collection soliciting public comments was announced in the Federal Register on </w:t>
            </w:r>
            <w:r w:rsidRPr="00F23D8C">
              <w:rPr>
                <w:rFonts w:ascii="Times New Roman" w:hAnsi="Times New Roman"/>
                <w:b/>
                <w:sz w:val="24"/>
              </w:rPr>
              <w:t>February 27, 2019</w:t>
            </w:r>
            <w:r w:rsidRPr="00F23D8C">
              <w:rPr>
                <w:rFonts w:ascii="Times New Roman" w:hAnsi="Times New Roman"/>
                <w:sz w:val="24"/>
              </w:rPr>
              <w:t xml:space="preserve">, Volume </w:t>
            </w:r>
            <w:r w:rsidRPr="00F23D8C">
              <w:rPr>
                <w:rFonts w:ascii="Times New Roman" w:hAnsi="Times New Roman"/>
                <w:b/>
                <w:sz w:val="24"/>
              </w:rPr>
              <w:t>84</w:t>
            </w:r>
            <w:r w:rsidRPr="00F23D8C">
              <w:rPr>
                <w:rFonts w:ascii="Times New Roman" w:hAnsi="Times New Roman"/>
                <w:sz w:val="24"/>
              </w:rPr>
              <w:t xml:space="preserve">, No. </w:t>
            </w:r>
            <w:r w:rsidRPr="00F23D8C">
              <w:rPr>
                <w:rFonts w:ascii="Times New Roman" w:hAnsi="Times New Roman"/>
                <w:b/>
                <w:sz w:val="24"/>
              </w:rPr>
              <w:t>39</w:t>
            </w:r>
            <w:r w:rsidRPr="00F23D8C">
              <w:rPr>
                <w:rFonts w:ascii="Times New Roman" w:hAnsi="Times New Roman"/>
                <w:sz w:val="24"/>
              </w:rPr>
              <w:t xml:space="preserve">, Page </w:t>
            </w:r>
            <w:r w:rsidRPr="00F23D8C">
              <w:rPr>
                <w:rFonts w:ascii="Times New Roman" w:hAnsi="Times New Roman"/>
                <w:b/>
                <w:sz w:val="24"/>
              </w:rPr>
              <w:t>6436</w:t>
            </w:r>
            <w:r w:rsidRPr="00F23D8C">
              <w:rPr>
                <w:rFonts w:ascii="Times New Roman" w:hAnsi="Times New Roman"/>
                <w:sz w:val="24"/>
              </w:rPr>
              <w:t>.  (0) Comment received.</w:t>
            </w:r>
          </w:p>
          <w:p w14:paraId="30BD3824" w14:textId="77777777" w:rsidR="00260BB1" w:rsidRPr="00F23D8C" w:rsidRDefault="00260BB1" w:rsidP="00F74690">
            <w:pPr>
              <w:rPr>
                <w:rFonts w:ascii="Times New Roman" w:hAnsi="Times New Roman"/>
                <w:b/>
                <w:color w:val="000000"/>
                <w:sz w:val="24"/>
              </w:rPr>
            </w:pPr>
          </w:p>
          <w:p w14:paraId="270B704F" w14:textId="6B2B34ED" w:rsidR="00260BB1" w:rsidRPr="00F23D8C" w:rsidRDefault="00260BB1" w:rsidP="00F74690">
            <w:pPr>
              <w:rPr>
                <w:rFonts w:ascii="Times New Roman" w:hAnsi="Times New Roman"/>
                <w:color w:val="000000"/>
                <w:sz w:val="24"/>
                <w:szCs w:val="24"/>
              </w:rPr>
            </w:pPr>
            <w:r w:rsidRPr="00F23D8C">
              <w:rPr>
                <w:rFonts w:ascii="Times New Roman" w:hAnsi="Times New Roman"/>
                <w:color w:val="000000"/>
                <w:sz w:val="24"/>
              </w:rPr>
              <w:t xml:space="preserve">Two consulting companies and three individuals, who submit 2530 on a regular basis, were contacted </w:t>
            </w:r>
            <w:r w:rsidRPr="00F23D8C">
              <w:rPr>
                <w:rFonts w:ascii="Times New Roman" w:hAnsi="Times New Roman"/>
                <w:color w:val="000000"/>
                <w:sz w:val="24"/>
                <w:szCs w:val="24"/>
              </w:rPr>
              <w:t xml:space="preserve">to obtain their views on the availability of data, frequency of collection, the clarity of instructions and recordkeeping, disclosure, or reporting format (if any), and on the data elements to be recorded, disclosed, or reported and received no concerns or issues with any of the relevant items listed above.  </w:t>
            </w:r>
          </w:p>
        </w:tc>
      </w:tr>
    </w:tbl>
    <w:p w14:paraId="444F3D8D" w14:textId="77777777" w:rsidR="00FA2F70" w:rsidRPr="00F23D8C" w:rsidRDefault="00FA2F70" w:rsidP="00FA2F70">
      <w:pPr>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21340A" w:rsidRPr="00F23D8C" w14:paraId="450D526A" w14:textId="77777777" w:rsidTr="00F74690">
        <w:tc>
          <w:tcPr>
            <w:tcW w:w="9252" w:type="dxa"/>
            <w:shd w:val="clear" w:color="auto" w:fill="auto"/>
          </w:tcPr>
          <w:p w14:paraId="2EF91860"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9. Explain any decision to provide any payment or gift to respondents, other than </w:t>
            </w:r>
            <w:r w:rsidR="00797F95" w:rsidRPr="00F23D8C">
              <w:rPr>
                <w:rFonts w:ascii="Times New Roman" w:hAnsi="Times New Roman"/>
                <w:b/>
                <w:color w:val="000000"/>
                <w:sz w:val="24"/>
                <w:szCs w:val="24"/>
              </w:rPr>
              <w:t>renumeration</w:t>
            </w:r>
            <w:r w:rsidRPr="00F23D8C">
              <w:rPr>
                <w:rFonts w:ascii="Times New Roman" w:hAnsi="Times New Roman"/>
                <w:b/>
                <w:color w:val="000000"/>
                <w:sz w:val="24"/>
                <w:szCs w:val="24"/>
              </w:rPr>
              <w:t xml:space="preserve"> of contractors or grantees. </w:t>
            </w:r>
          </w:p>
          <w:p w14:paraId="2528DFA9" w14:textId="77777777" w:rsidR="00797F95" w:rsidRPr="00F23D8C" w:rsidRDefault="00797F95" w:rsidP="001B4FB5">
            <w:pPr>
              <w:rPr>
                <w:rFonts w:ascii="Times New Roman" w:hAnsi="Times New Roman"/>
                <w:b/>
                <w:color w:val="000000"/>
                <w:sz w:val="24"/>
                <w:szCs w:val="24"/>
              </w:rPr>
            </w:pPr>
          </w:p>
          <w:p w14:paraId="2C19267F" w14:textId="77777777" w:rsidR="00797F95" w:rsidRPr="00F23D8C" w:rsidRDefault="00797F95" w:rsidP="00797F95">
            <w:pPr>
              <w:tabs>
                <w:tab w:val="left" w:pos="360"/>
                <w:tab w:val="left" w:pos="720"/>
              </w:tabs>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There will be no gifts or payments given to respondents.</w:t>
            </w:r>
          </w:p>
          <w:p w14:paraId="5BE69048" w14:textId="77777777" w:rsidR="00797F95" w:rsidRPr="00F23D8C" w:rsidRDefault="00797F95" w:rsidP="001B4FB5">
            <w:pPr>
              <w:rPr>
                <w:rFonts w:ascii="Times New Roman" w:hAnsi="Times New Roman"/>
                <w:b/>
                <w:color w:val="000000"/>
                <w:sz w:val="24"/>
                <w:szCs w:val="24"/>
              </w:rPr>
            </w:pPr>
          </w:p>
          <w:p w14:paraId="3739F233" w14:textId="77777777" w:rsidR="0021340A" w:rsidRPr="00F23D8C" w:rsidRDefault="0021340A" w:rsidP="001B4FB5">
            <w:pPr>
              <w:rPr>
                <w:rFonts w:ascii="Times New Roman" w:hAnsi="Times New Roman"/>
                <w:color w:val="000000"/>
                <w:sz w:val="24"/>
                <w:szCs w:val="24"/>
              </w:rPr>
            </w:pPr>
          </w:p>
        </w:tc>
      </w:tr>
      <w:tr w:rsidR="0021340A" w:rsidRPr="00F23D8C" w14:paraId="1446E851" w14:textId="77777777" w:rsidTr="00F74690">
        <w:tc>
          <w:tcPr>
            <w:tcW w:w="9252" w:type="dxa"/>
            <w:shd w:val="clear" w:color="auto" w:fill="auto"/>
          </w:tcPr>
          <w:p w14:paraId="2B1F75B7"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14:paraId="70F3B2B6" w14:textId="77777777" w:rsidR="00797F95" w:rsidRPr="00F23D8C" w:rsidRDefault="00797F95" w:rsidP="001B4FB5">
            <w:pPr>
              <w:rPr>
                <w:rFonts w:ascii="Times New Roman" w:hAnsi="Times New Roman"/>
                <w:b/>
                <w:color w:val="000000"/>
                <w:sz w:val="24"/>
                <w:szCs w:val="24"/>
              </w:rPr>
            </w:pPr>
          </w:p>
          <w:p w14:paraId="501BEA06" w14:textId="77777777" w:rsidR="00797F95" w:rsidRPr="00F23D8C" w:rsidRDefault="00797F95" w:rsidP="00797F95">
            <w:pPr>
              <w:tabs>
                <w:tab w:val="left" w:pos="360"/>
                <w:tab w:val="left" w:pos="720"/>
              </w:tabs>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 xml:space="preserve">Assurance of confidentiality is provided by respondents under the Privacy Act of 1974.  In addition, </w:t>
            </w:r>
            <w:r w:rsidRPr="00F23D8C">
              <w:rPr>
                <w:rFonts w:ascii="Times New Roman" w:hAnsi="Times New Roman"/>
                <w:bCs/>
                <w:sz w:val="24"/>
              </w:rPr>
              <w:t xml:space="preserve">the </w:t>
            </w:r>
            <w:r w:rsidRPr="00F23D8C">
              <w:rPr>
                <w:rFonts w:ascii="Times New Roman" w:hAnsi="Times New Roman"/>
                <w:sz w:val="24"/>
                <w:szCs w:val="24"/>
              </w:rPr>
              <w:t xml:space="preserve">System of Records Notice provides departmental policy on information protection, sharing and use. </w:t>
            </w:r>
          </w:p>
          <w:p w14:paraId="59EDD666" w14:textId="77777777" w:rsidR="0021340A" w:rsidRPr="00F23D8C" w:rsidRDefault="0021340A" w:rsidP="001B4FB5">
            <w:pPr>
              <w:rPr>
                <w:rFonts w:ascii="Times New Roman" w:hAnsi="Times New Roman"/>
                <w:b/>
                <w:color w:val="000000"/>
                <w:sz w:val="24"/>
                <w:szCs w:val="24"/>
              </w:rPr>
            </w:pPr>
          </w:p>
        </w:tc>
      </w:tr>
    </w:tbl>
    <w:p w14:paraId="7F4B160E" w14:textId="77777777" w:rsidR="00FA2F70" w:rsidRPr="00F23D8C" w:rsidRDefault="00FA2F70" w:rsidP="00FA2F70">
      <w:pPr>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1297"/>
        <w:gridCol w:w="1357"/>
        <w:gridCol w:w="1199"/>
        <w:gridCol w:w="1230"/>
        <w:gridCol w:w="1137"/>
        <w:gridCol w:w="881"/>
        <w:gridCol w:w="1077"/>
        <w:gridCol w:w="1074"/>
      </w:tblGrid>
      <w:tr w:rsidR="0021340A" w:rsidRPr="00F23D8C" w14:paraId="305714B1" w14:textId="77777777" w:rsidTr="00F74690">
        <w:tc>
          <w:tcPr>
            <w:tcW w:w="9252" w:type="dxa"/>
            <w:gridSpan w:val="8"/>
            <w:shd w:val="clear" w:color="auto" w:fill="auto"/>
          </w:tcPr>
          <w:p w14:paraId="7E9A24D9"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00F74690" w:rsidRPr="00F23D8C">
              <w:rPr>
                <w:rFonts w:ascii="Times New Roman" w:hAnsi="Times New Roman"/>
                <w:b/>
                <w:color w:val="000000"/>
                <w:sz w:val="24"/>
                <w:szCs w:val="24"/>
              </w:rPr>
              <w:br/>
            </w:r>
          </w:p>
          <w:p w14:paraId="7A848C25" w14:textId="77777777" w:rsidR="00797F95" w:rsidRPr="00F23D8C" w:rsidRDefault="00797F95" w:rsidP="00797F95">
            <w:pPr>
              <w:tabs>
                <w:tab w:val="left" w:pos="360"/>
                <w:tab w:val="left" w:pos="720"/>
              </w:tabs>
              <w:overflowPunct w:val="0"/>
              <w:autoSpaceDE w:val="0"/>
              <w:autoSpaceDN w:val="0"/>
              <w:adjustRightInd w:val="0"/>
              <w:textAlignment w:val="baseline"/>
              <w:rPr>
                <w:rFonts w:ascii="Times New Roman" w:hAnsi="Times New Roman"/>
                <w:sz w:val="24"/>
              </w:rPr>
            </w:pPr>
            <w:r w:rsidRPr="00F23D8C">
              <w:rPr>
                <w:rFonts w:ascii="Times New Roman" w:hAnsi="Times New Roman"/>
                <w:sz w:val="24"/>
              </w:rPr>
              <w:t>No questions of a sensitive nature are part of the HUD-2530 application procedures.</w:t>
            </w:r>
          </w:p>
          <w:p w14:paraId="4A015643" w14:textId="77777777" w:rsidR="0021340A" w:rsidRPr="00F23D8C" w:rsidRDefault="0021340A" w:rsidP="001B4FB5">
            <w:pPr>
              <w:rPr>
                <w:rFonts w:ascii="Times New Roman" w:hAnsi="Times New Roman"/>
                <w:b/>
                <w:color w:val="000000"/>
                <w:sz w:val="24"/>
                <w:szCs w:val="24"/>
              </w:rPr>
            </w:pPr>
          </w:p>
        </w:tc>
      </w:tr>
      <w:tr w:rsidR="0021340A" w:rsidRPr="00F23D8C" w14:paraId="0307649A" w14:textId="77777777" w:rsidTr="00F74690">
        <w:tc>
          <w:tcPr>
            <w:tcW w:w="9252" w:type="dxa"/>
            <w:gridSpan w:val="8"/>
            <w:shd w:val="clear" w:color="auto" w:fill="auto"/>
          </w:tcPr>
          <w:p w14:paraId="17C1A7AA"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12. Provide estimates of the hour burden of the collection of information. The statement should: </w:t>
            </w:r>
          </w:p>
          <w:p w14:paraId="7B49E4AB" w14:textId="77777777" w:rsidR="0021340A" w:rsidRPr="00F23D8C" w:rsidRDefault="0021340A" w:rsidP="001B4FB5">
            <w:pPr>
              <w:rPr>
                <w:rFonts w:ascii="Times New Roman" w:hAnsi="Times New Roman"/>
                <w:b/>
                <w:color w:val="000000"/>
                <w:sz w:val="24"/>
                <w:szCs w:val="24"/>
              </w:rPr>
            </w:pPr>
          </w:p>
          <w:p w14:paraId="5CD67200" w14:textId="77777777" w:rsidR="0021340A" w:rsidRPr="00F23D8C" w:rsidRDefault="0021340A" w:rsidP="001B4FB5">
            <w:pPr>
              <w:rPr>
                <w:rFonts w:ascii="Times New Roman" w:hAnsi="Times New Roman"/>
                <w:color w:val="000000"/>
                <w:sz w:val="24"/>
                <w:szCs w:val="24"/>
              </w:rPr>
            </w:pPr>
            <w:r w:rsidRPr="00F23D8C">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9E049D6" w14:textId="77777777" w:rsidR="00D35DDB" w:rsidRPr="00F23D8C" w:rsidRDefault="00D35DDB" w:rsidP="001B4FB5">
            <w:pPr>
              <w:rPr>
                <w:rFonts w:ascii="Times New Roman" w:hAnsi="Times New Roman"/>
                <w:color w:val="000000"/>
                <w:sz w:val="24"/>
                <w:szCs w:val="24"/>
              </w:rPr>
            </w:pPr>
          </w:p>
          <w:p w14:paraId="1C7D566F" w14:textId="77777777" w:rsidR="0021340A" w:rsidRPr="00F23D8C" w:rsidRDefault="0021340A" w:rsidP="001B4FB5">
            <w:pPr>
              <w:rPr>
                <w:rFonts w:ascii="Times New Roman" w:hAnsi="Times New Roman"/>
                <w:color w:val="000000"/>
                <w:sz w:val="24"/>
                <w:szCs w:val="24"/>
              </w:rPr>
            </w:pPr>
            <w:r w:rsidRPr="00F23D8C">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14:paraId="0F69A2F0" w14:textId="77777777" w:rsidR="0045385B" w:rsidRPr="00F23D8C" w:rsidRDefault="0045385B" w:rsidP="001B4FB5">
            <w:pPr>
              <w:rPr>
                <w:rFonts w:ascii="Times New Roman" w:hAnsi="Times New Roman"/>
                <w:color w:val="000000"/>
                <w:sz w:val="24"/>
                <w:szCs w:val="24"/>
              </w:rPr>
            </w:pPr>
            <w:r w:rsidRPr="00F23D8C">
              <w:rPr>
                <w:rFonts w:ascii="Times New Roman" w:hAnsi="Times New Roman"/>
                <w:color w:val="000000"/>
                <w:sz w:val="24"/>
                <w:szCs w:val="24"/>
              </w:rPr>
              <w:t>Request for approval contains only one form</w:t>
            </w:r>
          </w:p>
          <w:p w14:paraId="629C9705" w14:textId="77777777" w:rsidR="00D35DDB" w:rsidRPr="00F23D8C" w:rsidRDefault="00D35DDB" w:rsidP="001B4FB5">
            <w:pPr>
              <w:rPr>
                <w:rFonts w:ascii="Times New Roman" w:hAnsi="Times New Roman"/>
                <w:color w:val="000000"/>
                <w:sz w:val="24"/>
                <w:szCs w:val="24"/>
              </w:rPr>
            </w:pPr>
          </w:p>
          <w:p w14:paraId="2C5A7FBF" w14:textId="77777777" w:rsidR="0021340A" w:rsidRPr="00F23D8C" w:rsidRDefault="0021340A" w:rsidP="001B4FB5">
            <w:pPr>
              <w:rPr>
                <w:rFonts w:ascii="Times New Roman" w:hAnsi="Times New Roman"/>
                <w:color w:val="000000"/>
                <w:sz w:val="24"/>
                <w:szCs w:val="24"/>
              </w:rPr>
            </w:pPr>
            <w:r w:rsidRPr="00F23D8C">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26E38F91" w14:textId="77777777" w:rsidR="0021340A" w:rsidRPr="00F23D8C" w:rsidRDefault="0021340A" w:rsidP="001B4FB5">
            <w:pPr>
              <w:rPr>
                <w:rFonts w:ascii="Times New Roman" w:hAnsi="Times New Roman"/>
                <w:b/>
                <w:color w:val="000000"/>
                <w:sz w:val="24"/>
                <w:szCs w:val="24"/>
              </w:rPr>
            </w:pPr>
          </w:p>
        </w:tc>
      </w:tr>
      <w:tr w:rsidR="0021340A" w:rsidRPr="00F23D8C" w14:paraId="3919A678" w14:textId="77777777" w:rsidTr="00F74690">
        <w:tc>
          <w:tcPr>
            <w:tcW w:w="9252" w:type="dxa"/>
            <w:gridSpan w:val="8"/>
            <w:tcBorders>
              <w:bottom w:val="single" w:sz="4" w:space="0" w:color="auto"/>
            </w:tcBorders>
            <w:shd w:val="clear" w:color="auto" w:fill="auto"/>
          </w:tcPr>
          <w:p w14:paraId="4DAB20E4" w14:textId="77777777" w:rsidR="0021340A" w:rsidRPr="00F23D8C" w:rsidRDefault="0021340A" w:rsidP="001B4FB5">
            <w:pPr>
              <w:rPr>
                <w:rFonts w:ascii="Times New Roman" w:hAnsi="Times New Roman"/>
                <w:b/>
                <w:color w:val="000000"/>
                <w:sz w:val="24"/>
                <w:szCs w:val="24"/>
              </w:rPr>
            </w:pPr>
          </w:p>
        </w:tc>
      </w:tr>
      <w:tr w:rsidR="00A6656E" w:rsidRPr="00F23D8C" w14:paraId="04050385" w14:textId="77777777" w:rsidTr="00F74690">
        <w:tblPrEx>
          <w:tblLook w:val="0000" w:firstRow="0" w:lastRow="0" w:firstColumn="0" w:lastColumn="0" w:noHBand="0" w:noVBand="0"/>
        </w:tblPrEx>
        <w:tc>
          <w:tcPr>
            <w:tcW w:w="1297" w:type="dxa"/>
            <w:tcBorders>
              <w:top w:val="single" w:sz="4" w:space="0" w:color="auto"/>
              <w:left w:val="single" w:sz="4" w:space="0" w:color="auto"/>
              <w:bottom w:val="single" w:sz="4" w:space="0" w:color="auto"/>
              <w:right w:val="single" w:sz="4" w:space="0" w:color="auto"/>
            </w:tcBorders>
            <w:vAlign w:val="center"/>
          </w:tcPr>
          <w:p w14:paraId="281419B2" w14:textId="77777777" w:rsidR="00A6656E" w:rsidRPr="00F23D8C" w:rsidRDefault="00A6656E" w:rsidP="00B106EA">
            <w:pPr>
              <w:rPr>
                <w:rFonts w:ascii="Helvetica" w:hAnsi="Helvetica"/>
                <w:b/>
                <w:bCs/>
                <w:color w:val="000000"/>
                <w:sz w:val="18"/>
              </w:rPr>
            </w:pPr>
            <w:r w:rsidRPr="00F23D8C">
              <w:rPr>
                <w:rFonts w:ascii="Helvetica" w:hAnsi="Helvetica"/>
                <w:b/>
                <w:bCs/>
                <w:color w:val="000000"/>
                <w:sz w:val="18"/>
              </w:rPr>
              <w:t>Information Collection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262A7BCF" w14:textId="77777777" w:rsidR="00A6656E" w:rsidRPr="00F23D8C" w:rsidRDefault="00A6656E" w:rsidP="00A6656E">
            <w:pPr>
              <w:ind w:right="-108"/>
              <w:jc w:val="center"/>
              <w:rPr>
                <w:rFonts w:ascii="Helvetica" w:hAnsi="Helvetica"/>
                <w:b/>
                <w:bCs/>
                <w:color w:val="000000"/>
                <w:sz w:val="18"/>
              </w:rPr>
            </w:pPr>
            <w:r w:rsidRPr="00F23D8C">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14:paraId="46DC8C3D" w14:textId="77777777" w:rsidR="00A6656E" w:rsidRPr="00F23D8C" w:rsidRDefault="00A6656E" w:rsidP="00B106EA">
            <w:pPr>
              <w:ind w:left="72" w:right="-108"/>
              <w:jc w:val="center"/>
              <w:rPr>
                <w:rFonts w:ascii="Helvetica" w:hAnsi="Helvetica"/>
                <w:b/>
                <w:bCs/>
                <w:color w:val="000000"/>
                <w:sz w:val="18"/>
              </w:rPr>
            </w:pPr>
            <w:r w:rsidRPr="00F23D8C">
              <w:rPr>
                <w:rFonts w:ascii="Helvetica" w:hAnsi="Helvetica"/>
                <w:b/>
                <w:bCs/>
                <w:color w:val="000000"/>
                <w:sz w:val="18"/>
              </w:rPr>
              <w:t>Frequency of Response</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14:paraId="15FCEA69" w14:textId="77777777" w:rsidR="00A6656E" w:rsidRPr="00F23D8C" w:rsidRDefault="00A6656E" w:rsidP="00B106EA">
            <w:pPr>
              <w:jc w:val="center"/>
              <w:rPr>
                <w:rFonts w:ascii="Helvetica" w:hAnsi="Helvetica"/>
                <w:b/>
                <w:bCs/>
                <w:color w:val="000000"/>
                <w:sz w:val="18"/>
              </w:rPr>
            </w:pPr>
            <w:r w:rsidRPr="00F23D8C">
              <w:rPr>
                <w:rFonts w:ascii="Helvetica" w:hAnsi="Helvetica"/>
                <w:b/>
                <w:bCs/>
                <w:color w:val="000000"/>
                <w:sz w:val="18"/>
              </w:rPr>
              <w:t>Responses Per Year</w:t>
            </w:r>
          </w:p>
        </w:tc>
        <w:tc>
          <w:tcPr>
            <w:tcW w:w="1137" w:type="dxa"/>
            <w:tcBorders>
              <w:top w:val="single" w:sz="4" w:space="0" w:color="auto"/>
              <w:left w:val="single" w:sz="4" w:space="0" w:color="auto"/>
              <w:bottom w:val="single" w:sz="4" w:space="0" w:color="auto"/>
              <w:right w:val="single" w:sz="4" w:space="0" w:color="auto"/>
            </w:tcBorders>
            <w:vAlign w:val="center"/>
          </w:tcPr>
          <w:p w14:paraId="22B9875A" w14:textId="77777777" w:rsidR="00A6656E" w:rsidRPr="00F23D8C" w:rsidRDefault="00695EEE" w:rsidP="00695EEE">
            <w:pPr>
              <w:ind w:right="-108"/>
              <w:jc w:val="center"/>
              <w:rPr>
                <w:rFonts w:ascii="Helvetica" w:hAnsi="Helvetica"/>
                <w:b/>
                <w:bCs/>
                <w:color w:val="000000"/>
                <w:sz w:val="18"/>
              </w:rPr>
            </w:pPr>
            <w:r w:rsidRPr="00F23D8C">
              <w:rPr>
                <w:rFonts w:ascii="Helvetica" w:hAnsi="Helvetica"/>
                <w:b/>
                <w:bCs/>
                <w:color w:val="000000"/>
                <w:sz w:val="18"/>
              </w:rPr>
              <w:t>Average</w:t>
            </w:r>
            <w:r w:rsidRPr="00F23D8C">
              <w:rPr>
                <w:rFonts w:ascii="Helvetica" w:hAnsi="Helvetica"/>
                <w:b/>
                <w:bCs/>
                <w:color w:val="000000"/>
                <w:sz w:val="18"/>
              </w:rPr>
              <w:br/>
            </w:r>
            <w:r w:rsidR="00A6656E" w:rsidRPr="00F23D8C">
              <w:rPr>
                <w:rFonts w:ascii="Helvetica" w:hAnsi="Helvetica"/>
                <w:b/>
                <w:bCs/>
                <w:color w:val="000000"/>
                <w:sz w:val="18"/>
              </w:rPr>
              <w:t>Burden Hours Per Response</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center"/>
          </w:tcPr>
          <w:p w14:paraId="428A4CEE" w14:textId="77777777" w:rsidR="00A6656E" w:rsidRPr="00F23D8C" w:rsidRDefault="00A6656E" w:rsidP="00A6656E">
            <w:pPr>
              <w:ind w:right="-108"/>
              <w:jc w:val="center"/>
              <w:rPr>
                <w:rFonts w:ascii="Helvetica" w:hAnsi="Helvetica"/>
                <w:b/>
                <w:bCs/>
                <w:color w:val="000000"/>
                <w:sz w:val="18"/>
              </w:rPr>
            </w:pPr>
            <w:r w:rsidRPr="00F23D8C">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14:paraId="4EB61A01" w14:textId="77777777" w:rsidR="00A6656E" w:rsidRPr="00F23D8C" w:rsidRDefault="00A6656E" w:rsidP="00B106EA">
            <w:pPr>
              <w:ind w:right="-108"/>
              <w:jc w:val="center"/>
              <w:rPr>
                <w:rFonts w:ascii="Helvetica" w:hAnsi="Helvetica"/>
                <w:b/>
                <w:bCs/>
                <w:color w:val="000000"/>
                <w:sz w:val="18"/>
              </w:rPr>
            </w:pPr>
            <w:r w:rsidRPr="00F23D8C">
              <w:rPr>
                <w:rFonts w:ascii="Helvetica" w:hAnsi="Helvetica"/>
                <w:b/>
                <w:bCs/>
                <w:color w:val="000000"/>
                <w:sz w:val="18"/>
              </w:rPr>
              <w:t>Hourly Cost per Response</w:t>
            </w:r>
          </w:p>
        </w:tc>
        <w:tc>
          <w:tcPr>
            <w:tcW w:w="1074" w:type="dxa"/>
            <w:tcBorders>
              <w:top w:val="single" w:sz="4" w:space="0" w:color="auto"/>
              <w:left w:val="single" w:sz="4" w:space="0" w:color="auto"/>
              <w:bottom w:val="single" w:sz="4" w:space="0" w:color="auto"/>
              <w:right w:val="single" w:sz="4" w:space="0" w:color="auto"/>
            </w:tcBorders>
          </w:tcPr>
          <w:p w14:paraId="3B108682" w14:textId="77777777" w:rsidR="00A6656E" w:rsidRPr="00F23D8C" w:rsidRDefault="00A6656E" w:rsidP="00B106EA">
            <w:pPr>
              <w:ind w:right="-108"/>
              <w:jc w:val="center"/>
              <w:rPr>
                <w:rFonts w:ascii="Helvetica" w:hAnsi="Helvetica"/>
                <w:b/>
                <w:bCs/>
                <w:color w:val="000000"/>
                <w:sz w:val="18"/>
              </w:rPr>
            </w:pPr>
            <w:r w:rsidRPr="00F23D8C">
              <w:rPr>
                <w:rFonts w:ascii="Helvetica" w:hAnsi="Helvetica"/>
                <w:b/>
                <w:bCs/>
                <w:color w:val="000000"/>
                <w:sz w:val="18"/>
              </w:rPr>
              <w:t>Total Annual Cost</w:t>
            </w:r>
          </w:p>
        </w:tc>
      </w:tr>
      <w:tr w:rsidR="00797F95" w:rsidRPr="00F23D8C" w14:paraId="2D04B6D5" w14:textId="77777777" w:rsidTr="00F74690">
        <w:tblPrEx>
          <w:tblLook w:val="0000" w:firstRow="0" w:lastRow="0" w:firstColumn="0" w:lastColumn="0" w:noHBand="0" w:noVBand="0"/>
        </w:tblPrEx>
        <w:tc>
          <w:tcPr>
            <w:tcW w:w="1297" w:type="dxa"/>
            <w:tcBorders>
              <w:top w:val="single" w:sz="4" w:space="0" w:color="auto"/>
              <w:left w:val="single" w:sz="4" w:space="0" w:color="auto"/>
              <w:bottom w:val="single" w:sz="4" w:space="0" w:color="auto"/>
              <w:right w:val="single" w:sz="4" w:space="0" w:color="auto"/>
            </w:tcBorders>
            <w:vAlign w:val="bottom"/>
          </w:tcPr>
          <w:p w14:paraId="4F64B412" w14:textId="77777777" w:rsidR="00797F95" w:rsidRPr="00F23D8C" w:rsidRDefault="00797F95" w:rsidP="00797F95">
            <w:pPr>
              <w:jc w:val="both"/>
              <w:rPr>
                <w:color w:val="000000"/>
                <w:sz w:val="18"/>
                <w:szCs w:val="18"/>
              </w:rPr>
            </w:pPr>
            <w:r w:rsidRPr="00F23D8C">
              <w:rPr>
                <w:color w:val="000000"/>
                <w:sz w:val="18"/>
              </w:rPr>
              <w:t>1. HUD-2530 (Paper)</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bottom"/>
          </w:tcPr>
          <w:p w14:paraId="655CFD90" w14:textId="77777777" w:rsidR="00797F95" w:rsidRPr="00F23D8C" w:rsidRDefault="00797F95" w:rsidP="00797F95">
            <w:pPr>
              <w:jc w:val="center"/>
              <w:rPr>
                <w:color w:val="000000"/>
                <w:sz w:val="18"/>
                <w:szCs w:val="18"/>
              </w:rPr>
            </w:pPr>
            <w:r w:rsidRPr="00F23D8C">
              <w:rPr>
                <w:color w:val="000000"/>
                <w:sz w:val="18"/>
                <w:szCs w:val="18"/>
              </w:rPr>
              <w:t>1500</w:t>
            </w:r>
          </w:p>
        </w:tc>
        <w:tc>
          <w:tcPr>
            <w:tcW w:w="1199" w:type="dxa"/>
            <w:tcBorders>
              <w:top w:val="single" w:sz="4" w:space="0" w:color="auto"/>
              <w:left w:val="single" w:sz="4" w:space="0" w:color="auto"/>
              <w:bottom w:val="single" w:sz="4" w:space="0" w:color="auto"/>
              <w:right w:val="single" w:sz="4" w:space="0" w:color="auto"/>
            </w:tcBorders>
            <w:vAlign w:val="bottom"/>
          </w:tcPr>
          <w:p w14:paraId="3B787426" w14:textId="77777777" w:rsidR="00797F95" w:rsidRPr="00F23D8C" w:rsidRDefault="00797F95" w:rsidP="00797F95">
            <w:pPr>
              <w:jc w:val="center"/>
              <w:rPr>
                <w:color w:val="000000"/>
                <w:sz w:val="18"/>
                <w:szCs w:val="18"/>
              </w:rPr>
            </w:pPr>
            <w:r w:rsidRPr="00F23D8C">
              <w:rPr>
                <w:color w:val="000000"/>
                <w:sz w:val="18"/>
                <w:szCs w:val="18"/>
              </w:rPr>
              <w:t>1</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bottom"/>
          </w:tcPr>
          <w:p w14:paraId="170CB2CB" w14:textId="77777777" w:rsidR="00797F95" w:rsidRPr="00F23D8C" w:rsidRDefault="00797F95" w:rsidP="00797F95">
            <w:pPr>
              <w:jc w:val="center"/>
              <w:rPr>
                <w:color w:val="000000"/>
                <w:sz w:val="18"/>
                <w:szCs w:val="18"/>
              </w:rPr>
            </w:pPr>
            <w:r w:rsidRPr="00F23D8C">
              <w:rPr>
                <w:color w:val="000000"/>
                <w:sz w:val="18"/>
                <w:szCs w:val="18"/>
              </w:rPr>
              <w:t>1500</w:t>
            </w:r>
          </w:p>
        </w:tc>
        <w:tc>
          <w:tcPr>
            <w:tcW w:w="1137" w:type="dxa"/>
            <w:tcBorders>
              <w:top w:val="single" w:sz="4" w:space="0" w:color="auto"/>
              <w:left w:val="single" w:sz="4" w:space="0" w:color="auto"/>
              <w:bottom w:val="single" w:sz="4" w:space="0" w:color="auto"/>
              <w:right w:val="single" w:sz="4" w:space="0" w:color="auto"/>
            </w:tcBorders>
            <w:vAlign w:val="bottom"/>
          </w:tcPr>
          <w:p w14:paraId="5D33D92E" w14:textId="77777777" w:rsidR="00797F95" w:rsidRPr="00F23D8C" w:rsidRDefault="00797F95" w:rsidP="00797F95">
            <w:pPr>
              <w:jc w:val="center"/>
              <w:rPr>
                <w:color w:val="000000"/>
                <w:sz w:val="18"/>
                <w:szCs w:val="18"/>
              </w:rPr>
            </w:pPr>
            <w:r w:rsidRPr="00F23D8C">
              <w:rPr>
                <w:color w:val="000000"/>
                <w:sz w:val="18"/>
                <w:szCs w:val="18"/>
              </w:rPr>
              <w:t>3</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bottom"/>
          </w:tcPr>
          <w:p w14:paraId="291FA5D6" w14:textId="77777777" w:rsidR="00797F95" w:rsidRPr="00F23D8C" w:rsidRDefault="00797F95" w:rsidP="00797F95">
            <w:pPr>
              <w:jc w:val="center"/>
              <w:rPr>
                <w:color w:val="000000"/>
                <w:sz w:val="18"/>
                <w:szCs w:val="18"/>
              </w:rPr>
            </w:pPr>
            <w:r w:rsidRPr="00F23D8C">
              <w:rPr>
                <w:color w:val="000000"/>
                <w:sz w:val="18"/>
                <w:szCs w:val="18"/>
              </w:rPr>
              <w:t>4500</w:t>
            </w:r>
          </w:p>
        </w:tc>
        <w:tc>
          <w:tcPr>
            <w:tcW w:w="1077" w:type="dxa"/>
            <w:tcBorders>
              <w:top w:val="single" w:sz="4" w:space="0" w:color="auto"/>
              <w:left w:val="single" w:sz="4" w:space="0" w:color="auto"/>
              <w:bottom w:val="single" w:sz="4" w:space="0" w:color="auto"/>
              <w:right w:val="single" w:sz="4" w:space="0" w:color="auto"/>
            </w:tcBorders>
            <w:vAlign w:val="bottom"/>
          </w:tcPr>
          <w:p w14:paraId="3E29BA57" w14:textId="77777777" w:rsidR="00797F95" w:rsidRPr="00F23D8C" w:rsidRDefault="00797F95" w:rsidP="00797F95">
            <w:pPr>
              <w:jc w:val="center"/>
              <w:rPr>
                <w:color w:val="000000"/>
                <w:sz w:val="18"/>
                <w:szCs w:val="18"/>
              </w:rPr>
            </w:pPr>
            <w:r w:rsidRPr="00F23D8C">
              <w:rPr>
                <w:color w:val="000000"/>
                <w:sz w:val="18"/>
                <w:szCs w:val="18"/>
              </w:rPr>
              <w:t xml:space="preserve">$25 </w:t>
            </w:r>
            <w:r w:rsidR="0045385B" w:rsidRPr="00F23D8C">
              <w:rPr>
                <w:color w:val="000000"/>
                <w:sz w:val="18"/>
                <w:szCs w:val="18"/>
              </w:rPr>
              <w:t>*</w:t>
            </w:r>
          </w:p>
        </w:tc>
        <w:tc>
          <w:tcPr>
            <w:tcW w:w="1074" w:type="dxa"/>
            <w:tcBorders>
              <w:top w:val="single" w:sz="4" w:space="0" w:color="auto"/>
              <w:left w:val="single" w:sz="4" w:space="0" w:color="auto"/>
              <w:bottom w:val="single" w:sz="4" w:space="0" w:color="auto"/>
              <w:right w:val="single" w:sz="4" w:space="0" w:color="auto"/>
            </w:tcBorders>
            <w:vAlign w:val="bottom"/>
          </w:tcPr>
          <w:p w14:paraId="61DE6CE7" w14:textId="77777777" w:rsidR="00797F95" w:rsidRPr="00F23D8C" w:rsidRDefault="00797F95" w:rsidP="00797F95">
            <w:pPr>
              <w:jc w:val="right"/>
              <w:rPr>
                <w:color w:val="000000"/>
                <w:sz w:val="18"/>
                <w:szCs w:val="18"/>
              </w:rPr>
            </w:pPr>
            <w:r w:rsidRPr="00F23D8C">
              <w:rPr>
                <w:color w:val="000000"/>
                <w:sz w:val="18"/>
                <w:szCs w:val="18"/>
              </w:rPr>
              <w:t xml:space="preserve">$112500 </w:t>
            </w:r>
          </w:p>
        </w:tc>
      </w:tr>
      <w:tr w:rsidR="00797F95" w:rsidRPr="00F23D8C" w14:paraId="6F2F09E4" w14:textId="77777777" w:rsidTr="00F74690">
        <w:tblPrEx>
          <w:tblLook w:val="0000" w:firstRow="0" w:lastRow="0" w:firstColumn="0" w:lastColumn="0" w:noHBand="0" w:noVBand="0"/>
        </w:tblPrEx>
        <w:tc>
          <w:tcPr>
            <w:tcW w:w="1297" w:type="dxa"/>
            <w:tcBorders>
              <w:top w:val="single" w:sz="4" w:space="0" w:color="auto"/>
              <w:left w:val="single" w:sz="4" w:space="0" w:color="auto"/>
              <w:bottom w:val="single" w:sz="4" w:space="0" w:color="auto"/>
              <w:right w:val="single" w:sz="4" w:space="0" w:color="auto"/>
            </w:tcBorders>
            <w:vAlign w:val="bottom"/>
          </w:tcPr>
          <w:p w14:paraId="28E6C5D9" w14:textId="77777777" w:rsidR="00797F95" w:rsidRPr="00F23D8C" w:rsidRDefault="00797F95" w:rsidP="00797F95">
            <w:pPr>
              <w:rPr>
                <w:color w:val="000000"/>
                <w:sz w:val="18"/>
                <w:szCs w:val="18"/>
              </w:rPr>
            </w:pPr>
            <w:r w:rsidRPr="00F23D8C">
              <w:rPr>
                <w:color w:val="000000"/>
                <w:sz w:val="18"/>
                <w:szCs w:val="18"/>
              </w:rPr>
              <w:t>2.    HUD-2530 (Electronic)</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bottom"/>
          </w:tcPr>
          <w:p w14:paraId="3840DFB6" w14:textId="77777777" w:rsidR="00797F95" w:rsidRPr="00F23D8C" w:rsidRDefault="00797F95" w:rsidP="00797F95">
            <w:pPr>
              <w:jc w:val="center"/>
              <w:rPr>
                <w:color w:val="000000"/>
                <w:sz w:val="18"/>
                <w:szCs w:val="18"/>
              </w:rPr>
            </w:pPr>
            <w:r w:rsidRPr="00F23D8C">
              <w:rPr>
                <w:color w:val="000000"/>
                <w:sz w:val="18"/>
                <w:szCs w:val="18"/>
              </w:rPr>
              <w:t>7,500</w:t>
            </w:r>
          </w:p>
        </w:tc>
        <w:tc>
          <w:tcPr>
            <w:tcW w:w="1199" w:type="dxa"/>
            <w:tcBorders>
              <w:top w:val="single" w:sz="4" w:space="0" w:color="auto"/>
              <w:left w:val="single" w:sz="4" w:space="0" w:color="auto"/>
              <w:bottom w:val="single" w:sz="4" w:space="0" w:color="auto"/>
              <w:right w:val="single" w:sz="4" w:space="0" w:color="auto"/>
            </w:tcBorders>
            <w:vAlign w:val="bottom"/>
          </w:tcPr>
          <w:p w14:paraId="2BD326B4" w14:textId="77777777" w:rsidR="00797F95" w:rsidRPr="00F23D8C" w:rsidRDefault="00797F95" w:rsidP="00797F95">
            <w:pPr>
              <w:jc w:val="center"/>
              <w:rPr>
                <w:color w:val="000000"/>
                <w:sz w:val="18"/>
                <w:szCs w:val="18"/>
              </w:rPr>
            </w:pPr>
            <w:r w:rsidRPr="00F23D8C">
              <w:rPr>
                <w:color w:val="000000"/>
                <w:sz w:val="18"/>
                <w:szCs w:val="18"/>
              </w:rPr>
              <w:t>1</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bottom"/>
          </w:tcPr>
          <w:p w14:paraId="5E809C35" w14:textId="77777777" w:rsidR="00797F95" w:rsidRPr="00F23D8C" w:rsidRDefault="00797F95" w:rsidP="00797F95">
            <w:pPr>
              <w:jc w:val="center"/>
              <w:rPr>
                <w:color w:val="000000"/>
                <w:sz w:val="18"/>
                <w:szCs w:val="18"/>
              </w:rPr>
            </w:pPr>
            <w:r w:rsidRPr="00F23D8C">
              <w:rPr>
                <w:color w:val="000000"/>
                <w:sz w:val="18"/>
                <w:szCs w:val="18"/>
              </w:rPr>
              <w:t>7,500</w:t>
            </w:r>
          </w:p>
        </w:tc>
        <w:tc>
          <w:tcPr>
            <w:tcW w:w="1137" w:type="dxa"/>
            <w:tcBorders>
              <w:top w:val="single" w:sz="4" w:space="0" w:color="auto"/>
              <w:left w:val="single" w:sz="4" w:space="0" w:color="auto"/>
              <w:bottom w:val="single" w:sz="4" w:space="0" w:color="auto"/>
              <w:right w:val="single" w:sz="4" w:space="0" w:color="auto"/>
            </w:tcBorders>
            <w:vAlign w:val="bottom"/>
          </w:tcPr>
          <w:p w14:paraId="06F58EC6" w14:textId="77777777" w:rsidR="00797F95" w:rsidRPr="00F23D8C" w:rsidRDefault="00797F95" w:rsidP="00797F95">
            <w:pPr>
              <w:jc w:val="center"/>
              <w:rPr>
                <w:color w:val="000000"/>
                <w:sz w:val="18"/>
                <w:szCs w:val="18"/>
              </w:rPr>
            </w:pPr>
            <w:r w:rsidRPr="00F23D8C">
              <w:rPr>
                <w:color w:val="000000"/>
                <w:sz w:val="18"/>
                <w:szCs w:val="18"/>
              </w:rPr>
              <w:t>1</w:t>
            </w:r>
          </w:p>
        </w:tc>
        <w:tc>
          <w:tcPr>
            <w:tcW w:w="881" w:type="dxa"/>
            <w:tcBorders>
              <w:top w:val="single" w:sz="4" w:space="0" w:color="auto"/>
              <w:left w:val="single" w:sz="4" w:space="0" w:color="auto"/>
              <w:bottom w:val="single" w:sz="4" w:space="0" w:color="auto"/>
              <w:right w:val="single" w:sz="4" w:space="0" w:color="auto"/>
            </w:tcBorders>
            <w:shd w:val="clear" w:color="auto" w:fill="D9D9D9"/>
            <w:vAlign w:val="bottom"/>
          </w:tcPr>
          <w:p w14:paraId="1572FC87" w14:textId="77777777" w:rsidR="00797F95" w:rsidRPr="00F23D8C" w:rsidRDefault="00797F95" w:rsidP="00797F95">
            <w:pPr>
              <w:jc w:val="center"/>
              <w:rPr>
                <w:color w:val="000000"/>
                <w:sz w:val="18"/>
                <w:szCs w:val="18"/>
              </w:rPr>
            </w:pPr>
            <w:r w:rsidRPr="00F23D8C">
              <w:rPr>
                <w:color w:val="000000"/>
                <w:sz w:val="18"/>
                <w:szCs w:val="18"/>
              </w:rPr>
              <w:t>7500</w:t>
            </w:r>
          </w:p>
        </w:tc>
        <w:tc>
          <w:tcPr>
            <w:tcW w:w="1077" w:type="dxa"/>
            <w:tcBorders>
              <w:top w:val="single" w:sz="4" w:space="0" w:color="auto"/>
              <w:left w:val="single" w:sz="4" w:space="0" w:color="auto"/>
              <w:bottom w:val="single" w:sz="4" w:space="0" w:color="auto"/>
              <w:right w:val="single" w:sz="4" w:space="0" w:color="auto"/>
            </w:tcBorders>
            <w:vAlign w:val="bottom"/>
          </w:tcPr>
          <w:p w14:paraId="774E7C2A" w14:textId="77777777" w:rsidR="00797F95" w:rsidRPr="00F23D8C" w:rsidRDefault="00797F95" w:rsidP="00797F95">
            <w:pPr>
              <w:jc w:val="center"/>
              <w:rPr>
                <w:color w:val="000000"/>
                <w:sz w:val="18"/>
                <w:szCs w:val="18"/>
              </w:rPr>
            </w:pPr>
            <w:r w:rsidRPr="00F23D8C">
              <w:rPr>
                <w:color w:val="000000"/>
                <w:sz w:val="18"/>
                <w:szCs w:val="18"/>
              </w:rPr>
              <w:t xml:space="preserve">$25 </w:t>
            </w:r>
          </w:p>
        </w:tc>
        <w:tc>
          <w:tcPr>
            <w:tcW w:w="1074" w:type="dxa"/>
            <w:tcBorders>
              <w:top w:val="single" w:sz="4" w:space="0" w:color="auto"/>
              <w:left w:val="single" w:sz="4" w:space="0" w:color="auto"/>
              <w:bottom w:val="single" w:sz="4" w:space="0" w:color="auto"/>
              <w:right w:val="single" w:sz="4" w:space="0" w:color="auto"/>
            </w:tcBorders>
            <w:vAlign w:val="bottom"/>
          </w:tcPr>
          <w:p w14:paraId="18FE4F25" w14:textId="77777777" w:rsidR="00797F95" w:rsidRPr="00F23D8C" w:rsidRDefault="00797F95" w:rsidP="00797F95">
            <w:pPr>
              <w:jc w:val="right"/>
              <w:rPr>
                <w:color w:val="000000"/>
                <w:sz w:val="18"/>
                <w:szCs w:val="18"/>
              </w:rPr>
            </w:pPr>
            <w:r w:rsidRPr="00F23D8C">
              <w:rPr>
                <w:color w:val="000000"/>
                <w:sz w:val="18"/>
                <w:szCs w:val="18"/>
              </w:rPr>
              <w:t>$187,500</w:t>
            </w:r>
          </w:p>
        </w:tc>
      </w:tr>
      <w:tr w:rsidR="00797F95" w:rsidRPr="00F23D8C" w14:paraId="63FAAEB4" w14:textId="77777777" w:rsidTr="00F74690">
        <w:tblPrEx>
          <w:tblLook w:val="0000" w:firstRow="0" w:lastRow="0" w:firstColumn="0" w:lastColumn="0" w:noHBand="0" w:noVBand="0"/>
        </w:tblPrEx>
        <w:tc>
          <w:tcPr>
            <w:tcW w:w="1297" w:type="dxa"/>
            <w:tcBorders>
              <w:top w:val="single" w:sz="4" w:space="0" w:color="auto"/>
              <w:left w:val="single" w:sz="4" w:space="0" w:color="auto"/>
              <w:bottom w:val="single" w:sz="4" w:space="0" w:color="auto"/>
              <w:right w:val="single" w:sz="4" w:space="0" w:color="auto"/>
            </w:tcBorders>
            <w:vAlign w:val="center"/>
          </w:tcPr>
          <w:p w14:paraId="7A9B6CA8" w14:textId="77777777" w:rsidR="00797F95" w:rsidRPr="00F23D8C" w:rsidRDefault="00797F95" w:rsidP="00797F95">
            <w:pPr>
              <w:rPr>
                <w:rFonts w:ascii="Helvetica" w:hAnsi="Helvetica"/>
                <w:b/>
                <w:bCs/>
                <w:color w:val="000000"/>
                <w:sz w:val="18"/>
              </w:rPr>
            </w:pPr>
            <w:r w:rsidRPr="00F23D8C">
              <w:rPr>
                <w:rFonts w:ascii="Helvetica" w:hAnsi="Helvetica"/>
                <w:b/>
                <w:bCs/>
                <w:color w:val="000000"/>
                <w:sz w:val="18"/>
              </w:rPr>
              <w:t>TOTALS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bottom"/>
          </w:tcPr>
          <w:p w14:paraId="37A45A8C" w14:textId="77777777" w:rsidR="00797F95" w:rsidRPr="00F23D8C" w:rsidRDefault="00797F95" w:rsidP="00797F95">
            <w:pPr>
              <w:jc w:val="center"/>
              <w:rPr>
                <w:b/>
                <w:bCs/>
                <w:color w:val="000000"/>
                <w:sz w:val="18"/>
                <w:szCs w:val="18"/>
              </w:rPr>
            </w:pPr>
            <w:r w:rsidRPr="00F23D8C">
              <w:rPr>
                <w:b/>
                <w:bCs/>
                <w:color w:val="000000"/>
                <w:sz w:val="18"/>
                <w:szCs w:val="18"/>
              </w:rPr>
              <w:t>9,000</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bottom"/>
          </w:tcPr>
          <w:p w14:paraId="37328DE4" w14:textId="77777777" w:rsidR="00797F95" w:rsidRPr="00F23D8C" w:rsidRDefault="00797F95" w:rsidP="00797F95">
            <w:pPr>
              <w:jc w:val="center"/>
              <w:rPr>
                <w:b/>
                <w:bCs/>
                <w:color w:val="000000"/>
                <w:sz w:val="18"/>
                <w:szCs w:val="18"/>
              </w:rPr>
            </w:pPr>
            <w:r w:rsidRPr="00F23D8C">
              <w:rPr>
                <w:b/>
                <w:bCs/>
                <w:color w:val="000000"/>
                <w:sz w:val="18"/>
              </w:rPr>
              <w:t> </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bottom"/>
          </w:tcPr>
          <w:p w14:paraId="297A4649" w14:textId="77777777" w:rsidR="00797F95" w:rsidRPr="00F23D8C" w:rsidRDefault="00797F95" w:rsidP="00797F95">
            <w:pPr>
              <w:jc w:val="center"/>
              <w:rPr>
                <w:b/>
                <w:bCs/>
                <w:color w:val="000000"/>
                <w:sz w:val="18"/>
                <w:szCs w:val="18"/>
              </w:rPr>
            </w:pPr>
            <w:r w:rsidRPr="00F23D8C">
              <w:rPr>
                <w:b/>
                <w:bCs/>
                <w:color w:val="000000"/>
                <w:sz w:val="18"/>
              </w:rPr>
              <w:t>9,000</w:t>
            </w:r>
          </w:p>
        </w:tc>
        <w:tc>
          <w:tcPr>
            <w:tcW w:w="1137" w:type="dxa"/>
            <w:tcBorders>
              <w:top w:val="single" w:sz="4" w:space="0" w:color="auto"/>
              <w:left w:val="single" w:sz="4" w:space="0" w:color="auto"/>
              <w:bottom w:val="single" w:sz="4" w:space="0" w:color="auto"/>
              <w:right w:val="single" w:sz="4" w:space="0" w:color="auto"/>
            </w:tcBorders>
            <w:shd w:val="clear" w:color="auto" w:fill="000000"/>
            <w:vAlign w:val="bottom"/>
          </w:tcPr>
          <w:p w14:paraId="52E72BEB" w14:textId="77777777" w:rsidR="00797F95" w:rsidRPr="00F23D8C" w:rsidRDefault="00797F95" w:rsidP="00797F95">
            <w:pPr>
              <w:jc w:val="center"/>
              <w:rPr>
                <w:b/>
                <w:bCs/>
                <w:color w:val="000000"/>
                <w:sz w:val="18"/>
                <w:szCs w:val="18"/>
              </w:rPr>
            </w:pPr>
          </w:p>
        </w:tc>
        <w:tc>
          <w:tcPr>
            <w:tcW w:w="881" w:type="dxa"/>
            <w:tcBorders>
              <w:top w:val="single" w:sz="4" w:space="0" w:color="auto"/>
              <w:left w:val="single" w:sz="4" w:space="0" w:color="auto"/>
              <w:bottom w:val="single" w:sz="4" w:space="0" w:color="auto"/>
              <w:right w:val="single" w:sz="4" w:space="0" w:color="auto"/>
            </w:tcBorders>
            <w:shd w:val="clear" w:color="auto" w:fill="D9D9D9"/>
            <w:vAlign w:val="bottom"/>
          </w:tcPr>
          <w:p w14:paraId="098CC891" w14:textId="77777777" w:rsidR="00797F95" w:rsidRPr="00F23D8C" w:rsidRDefault="00797F95" w:rsidP="00797F95">
            <w:pPr>
              <w:jc w:val="center"/>
              <w:rPr>
                <w:b/>
                <w:bCs/>
                <w:color w:val="000000"/>
                <w:sz w:val="18"/>
                <w:szCs w:val="18"/>
              </w:rPr>
            </w:pPr>
            <w:r w:rsidRPr="00F23D8C">
              <w:rPr>
                <w:b/>
                <w:bCs/>
                <w:color w:val="000000"/>
                <w:sz w:val="18"/>
                <w:szCs w:val="18"/>
              </w:rPr>
              <w:t>12,000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bottom"/>
          </w:tcPr>
          <w:p w14:paraId="78F70F41" w14:textId="77777777" w:rsidR="00797F95" w:rsidRPr="00F23D8C" w:rsidRDefault="00797F95" w:rsidP="00797F95">
            <w:pPr>
              <w:jc w:val="center"/>
              <w:rPr>
                <w:b/>
                <w:bCs/>
                <w:color w:val="000000"/>
                <w:sz w:val="18"/>
                <w:szCs w:val="18"/>
              </w:rPr>
            </w:pPr>
            <w:r w:rsidRPr="00F23D8C">
              <w:rPr>
                <w:b/>
                <w:bCs/>
                <w:color w:val="000000"/>
                <w:sz w:val="18"/>
              </w:rPr>
              <w:t> </w:t>
            </w:r>
          </w:p>
        </w:tc>
        <w:tc>
          <w:tcPr>
            <w:tcW w:w="1074" w:type="dxa"/>
            <w:tcBorders>
              <w:top w:val="single" w:sz="4" w:space="0" w:color="auto"/>
              <w:left w:val="single" w:sz="4" w:space="0" w:color="auto"/>
              <w:bottom w:val="single" w:sz="4" w:space="0" w:color="auto"/>
              <w:right w:val="single" w:sz="4" w:space="0" w:color="auto"/>
            </w:tcBorders>
            <w:vAlign w:val="bottom"/>
          </w:tcPr>
          <w:p w14:paraId="391133BD" w14:textId="77777777" w:rsidR="00797F95" w:rsidRPr="00F23D8C" w:rsidRDefault="00797F95" w:rsidP="00797F95">
            <w:pPr>
              <w:jc w:val="right"/>
              <w:rPr>
                <w:b/>
                <w:bCs/>
                <w:color w:val="000000"/>
                <w:sz w:val="18"/>
                <w:szCs w:val="18"/>
              </w:rPr>
            </w:pPr>
            <w:r w:rsidRPr="00F23D8C">
              <w:rPr>
                <w:b/>
                <w:bCs/>
                <w:color w:val="000000"/>
                <w:sz w:val="18"/>
              </w:rPr>
              <w:t xml:space="preserve">$300,000 </w:t>
            </w:r>
          </w:p>
        </w:tc>
      </w:tr>
    </w:tbl>
    <w:p w14:paraId="230D0F73" w14:textId="77777777" w:rsidR="0045385B" w:rsidRPr="00F23D8C" w:rsidRDefault="0045385B" w:rsidP="0045385B">
      <w:pPr>
        <w:tabs>
          <w:tab w:val="left" w:pos="720"/>
        </w:tabs>
        <w:overflowPunct w:val="0"/>
        <w:autoSpaceDE w:val="0"/>
        <w:autoSpaceDN w:val="0"/>
        <w:adjustRightInd w:val="0"/>
        <w:ind w:left="1440"/>
        <w:textAlignment w:val="baseline"/>
      </w:pPr>
    </w:p>
    <w:p w14:paraId="4716835F" w14:textId="77777777" w:rsidR="0045385B" w:rsidRPr="00F23D8C" w:rsidRDefault="0045385B" w:rsidP="0045385B">
      <w:pPr>
        <w:numPr>
          <w:ilvl w:val="0"/>
          <w:numId w:val="10"/>
        </w:numPr>
        <w:tabs>
          <w:tab w:val="left" w:pos="720"/>
        </w:tabs>
        <w:overflowPunct w:val="0"/>
        <w:autoSpaceDE w:val="0"/>
        <w:autoSpaceDN w:val="0"/>
        <w:adjustRightInd w:val="0"/>
        <w:textAlignment w:val="baseline"/>
      </w:pPr>
      <w:r w:rsidRPr="00F23D8C">
        <w:t>Number of estimated respondents based on information in HUD systems. Burden hours were estimated from information obtained from respondents who submit 2530.</w:t>
      </w:r>
    </w:p>
    <w:p w14:paraId="45BAB020" w14:textId="77777777" w:rsidR="0045385B" w:rsidRPr="00F23D8C" w:rsidRDefault="0045385B" w:rsidP="0045385B">
      <w:pPr>
        <w:numPr>
          <w:ilvl w:val="0"/>
          <w:numId w:val="10"/>
        </w:numPr>
        <w:tabs>
          <w:tab w:val="left" w:pos="360"/>
        </w:tabs>
        <w:overflowPunct w:val="0"/>
        <w:autoSpaceDE w:val="0"/>
        <w:autoSpaceDN w:val="0"/>
        <w:adjustRightInd w:val="0"/>
        <w:textAlignment w:val="baseline"/>
      </w:pPr>
      <w:r w:rsidRPr="00F23D8C">
        <w:t>Hourly cost is based on average hourly salary obtained by google search for a paralegal. The cost per hour could vary, based on the locality of the project.</w:t>
      </w:r>
    </w:p>
    <w:p w14:paraId="26038296" w14:textId="77777777" w:rsidR="00D35DDB" w:rsidRPr="00F23D8C" w:rsidRDefault="00D35DDB" w:rsidP="0045385B">
      <w:pPr>
        <w:ind w:left="720"/>
        <w:rPr>
          <w:rFonts w:ascii="Times New Roman" w:hAnsi="Times New Roman"/>
          <w:b/>
          <w:color w:val="000000"/>
          <w:sz w:val="24"/>
          <w:szCs w:val="24"/>
        </w:rPr>
      </w:pPr>
    </w:p>
    <w:p w14:paraId="6FB5687D" w14:textId="77777777" w:rsidR="00FA2F70" w:rsidRPr="00F23D8C" w:rsidRDefault="00D35DDB" w:rsidP="00FA2F70">
      <w:pPr>
        <w:rPr>
          <w:rFonts w:ascii="Times New Roman" w:hAnsi="Times New Roman"/>
          <w:b/>
          <w:color w:val="000000"/>
          <w:sz w:val="24"/>
          <w:szCs w:val="24"/>
        </w:rPr>
      </w:pPr>
      <w:r w:rsidRPr="00F23D8C">
        <w:rPr>
          <w:rFonts w:ascii="Times New Roman" w:hAnsi="Times New Roman"/>
          <w:b/>
          <w:color w:val="000000"/>
          <w:sz w:val="24"/>
          <w:szCs w:val="24"/>
        </w:rPr>
        <w:br w:type="page"/>
      </w:r>
    </w:p>
    <w:tbl>
      <w:tblPr>
        <w:tblW w:w="0" w:type="auto"/>
        <w:tblInd w:w="108" w:type="dxa"/>
        <w:tblLook w:val="04A0" w:firstRow="1" w:lastRow="0" w:firstColumn="1" w:lastColumn="0" w:noHBand="0" w:noVBand="1"/>
      </w:tblPr>
      <w:tblGrid>
        <w:gridCol w:w="9360"/>
      </w:tblGrid>
      <w:tr w:rsidR="0021340A" w:rsidRPr="00F23D8C" w14:paraId="5F27A885" w14:textId="77777777" w:rsidTr="00D35DDB">
        <w:tc>
          <w:tcPr>
            <w:tcW w:w="9360" w:type="dxa"/>
            <w:shd w:val="clear" w:color="auto" w:fill="auto"/>
          </w:tcPr>
          <w:p w14:paraId="1D7685DD"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r w:rsidR="00797F95" w:rsidRPr="00F23D8C">
              <w:rPr>
                <w:rFonts w:ascii="Times New Roman" w:hAnsi="Times New Roman"/>
                <w:b/>
                <w:color w:val="000000"/>
                <w:sz w:val="24"/>
                <w:szCs w:val="24"/>
              </w:rPr>
              <w:t>N/A</w:t>
            </w:r>
          </w:p>
          <w:p w14:paraId="66FA2BE6" w14:textId="77777777" w:rsidR="0021340A" w:rsidRPr="00F23D8C" w:rsidRDefault="0021340A" w:rsidP="001B4FB5">
            <w:pPr>
              <w:rPr>
                <w:rFonts w:ascii="Times New Roman" w:hAnsi="Times New Roman"/>
                <w:b/>
                <w:color w:val="000000"/>
                <w:sz w:val="24"/>
                <w:szCs w:val="24"/>
              </w:rPr>
            </w:pPr>
          </w:p>
          <w:p w14:paraId="267314BC" w14:textId="77777777" w:rsidR="0021340A" w:rsidRPr="00F23D8C" w:rsidRDefault="0021340A" w:rsidP="001B4FB5">
            <w:pPr>
              <w:rPr>
                <w:rFonts w:ascii="Times New Roman" w:hAnsi="Times New Roman"/>
                <w:color w:val="000000"/>
                <w:sz w:val="24"/>
                <w:szCs w:val="24"/>
              </w:rPr>
            </w:pPr>
            <w:r w:rsidRPr="00F23D8C">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7EF45A4" w14:textId="77777777" w:rsidR="0021340A" w:rsidRPr="00F23D8C" w:rsidRDefault="0021340A" w:rsidP="001B4FB5">
            <w:pPr>
              <w:rPr>
                <w:rFonts w:ascii="Times New Roman" w:hAnsi="Times New Roman"/>
                <w:color w:val="000000"/>
                <w:sz w:val="24"/>
                <w:szCs w:val="24"/>
              </w:rPr>
            </w:pPr>
          </w:p>
          <w:p w14:paraId="214F7A26" w14:textId="77777777" w:rsidR="0021340A" w:rsidRPr="00F23D8C" w:rsidRDefault="0021340A" w:rsidP="001B4FB5">
            <w:pPr>
              <w:rPr>
                <w:rFonts w:ascii="Times New Roman" w:hAnsi="Times New Roman"/>
                <w:color w:val="000000"/>
                <w:sz w:val="24"/>
                <w:szCs w:val="24"/>
              </w:rPr>
            </w:pPr>
            <w:r w:rsidRPr="00F23D8C">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010DC7EB" w14:textId="77777777" w:rsidR="0021340A" w:rsidRPr="00F23D8C" w:rsidRDefault="0021340A" w:rsidP="001B4FB5">
            <w:pPr>
              <w:rPr>
                <w:rFonts w:ascii="Times New Roman" w:hAnsi="Times New Roman"/>
                <w:color w:val="000000"/>
                <w:sz w:val="24"/>
                <w:szCs w:val="24"/>
              </w:rPr>
            </w:pPr>
          </w:p>
          <w:p w14:paraId="08BB3A1F" w14:textId="77777777" w:rsidR="0021340A" w:rsidRPr="00F23D8C" w:rsidRDefault="0021340A" w:rsidP="001B4FB5">
            <w:pPr>
              <w:rPr>
                <w:rFonts w:ascii="Times New Roman" w:hAnsi="Times New Roman"/>
                <w:color w:val="000000"/>
                <w:sz w:val="24"/>
                <w:szCs w:val="24"/>
              </w:rPr>
            </w:pPr>
            <w:r w:rsidRPr="00F23D8C">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11B17023" w14:textId="77777777" w:rsidR="0021340A" w:rsidRPr="00F23D8C" w:rsidRDefault="0021340A" w:rsidP="001B4FB5">
            <w:pPr>
              <w:rPr>
                <w:rFonts w:ascii="Times New Roman" w:hAnsi="Times New Roman"/>
                <w:b/>
                <w:color w:val="000000"/>
                <w:sz w:val="24"/>
                <w:szCs w:val="24"/>
              </w:rPr>
            </w:pPr>
          </w:p>
        </w:tc>
      </w:tr>
      <w:tr w:rsidR="0021340A" w:rsidRPr="00F23D8C" w14:paraId="2C7E0626" w14:textId="77777777" w:rsidTr="00D35DDB">
        <w:tc>
          <w:tcPr>
            <w:tcW w:w="9360" w:type="dxa"/>
            <w:shd w:val="clear" w:color="auto" w:fill="auto"/>
          </w:tcPr>
          <w:p w14:paraId="0F78E88C" w14:textId="77777777" w:rsidR="0021340A" w:rsidRPr="00F23D8C" w:rsidRDefault="001D706D" w:rsidP="001B4FB5">
            <w:pPr>
              <w:rPr>
                <w:rFonts w:ascii="Times New Roman" w:hAnsi="Times New Roman"/>
                <w:b/>
                <w:color w:val="000000"/>
                <w:sz w:val="24"/>
                <w:szCs w:val="24"/>
              </w:rPr>
            </w:pPr>
            <w:r w:rsidRPr="00F23D8C">
              <w:rPr>
                <w:rFonts w:ascii="Times New Roman" w:hAnsi="Times New Roman"/>
                <w:b/>
                <w:color w:val="000000"/>
                <w:sz w:val="24"/>
                <w:szCs w:val="24"/>
              </w:rPr>
              <w:t>Not applicable.</w:t>
            </w:r>
          </w:p>
        </w:tc>
      </w:tr>
    </w:tbl>
    <w:p w14:paraId="79BE97A0" w14:textId="77777777" w:rsidR="0021340A" w:rsidRPr="00F23D8C" w:rsidRDefault="0021340A" w:rsidP="00FA2F70">
      <w:pPr>
        <w:rPr>
          <w:rFonts w:ascii="Times New Roman" w:hAnsi="Times New Roman"/>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93"/>
        <w:gridCol w:w="1325"/>
        <w:gridCol w:w="1150"/>
        <w:gridCol w:w="1239"/>
        <w:gridCol w:w="1120"/>
        <w:gridCol w:w="867"/>
        <w:gridCol w:w="985"/>
        <w:gridCol w:w="1189"/>
      </w:tblGrid>
      <w:tr w:rsidR="0021340A" w:rsidRPr="00F23D8C" w14:paraId="1D9887C5" w14:textId="77777777" w:rsidTr="00C012D2">
        <w:tc>
          <w:tcPr>
            <w:tcW w:w="9468" w:type="dxa"/>
            <w:gridSpan w:val="8"/>
            <w:tcBorders>
              <w:top w:val="nil"/>
              <w:left w:val="nil"/>
              <w:bottom w:val="nil"/>
              <w:right w:val="nil"/>
            </w:tcBorders>
            <w:shd w:val="clear" w:color="auto" w:fill="auto"/>
          </w:tcPr>
          <w:p w14:paraId="1FCBBB54"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65DE5610" w14:textId="77777777" w:rsidR="0021340A" w:rsidRPr="00F23D8C" w:rsidRDefault="0021340A" w:rsidP="001B4FB5">
            <w:pPr>
              <w:rPr>
                <w:rFonts w:ascii="Times New Roman" w:hAnsi="Times New Roman"/>
                <w:color w:val="000000"/>
                <w:sz w:val="24"/>
                <w:szCs w:val="24"/>
              </w:rPr>
            </w:pPr>
          </w:p>
        </w:tc>
      </w:tr>
      <w:tr w:rsidR="0021340A" w:rsidRPr="00F23D8C" w14:paraId="510E573C" w14:textId="77777777" w:rsidTr="00C012D2">
        <w:tc>
          <w:tcPr>
            <w:tcW w:w="9468" w:type="dxa"/>
            <w:gridSpan w:val="8"/>
            <w:tcBorders>
              <w:top w:val="nil"/>
              <w:left w:val="nil"/>
              <w:bottom w:val="nil"/>
              <w:right w:val="nil"/>
            </w:tcBorders>
            <w:shd w:val="clear" w:color="auto" w:fill="auto"/>
          </w:tcPr>
          <w:p w14:paraId="7F9D4FE1" w14:textId="77777777" w:rsidR="0021340A" w:rsidRPr="00F23D8C" w:rsidRDefault="0021340A" w:rsidP="001B4FB5">
            <w:pPr>
              <w:rPr>
                <w:rFonts w:ascii="Times New Roman" w:hAnsi="Times New Roman"/>
                <w:color w:val="000000"/>
                <w:sz w:val="24"/>
                <w:szCs w:val="24"/>
              </w:rPr>
            </w:pPr>
          </w:p>
        </w:tc>
      </w:tr>
      <w:tr w:rsidR="00A6656E" w:rsidRPr="00F23D8C" w14:paraId="4D8346F8" w14:textId="77777777" w:rsidTr="00C012D2">
        <w:tblPrEx>
          <w:tblBorders>
            <w:insideH w:val="single" w:sz="4" w:space="0" w:color="auto"/>
          </w:tblBorders>
          <w:tblLook w:val="0000" w:firstRow="0" w:lastRow="0" w:firstColumn="0" w:lastColumn="0" w:noHBand="0" w:noVBand="0"/>
        </w:tblPrEx>
        <w:tc>
          <w:tcPr>
            <w:tcW w:w="1593" w:type="dxa"/>
            <w:tcBorders>
              <w:top w:val="single" w:sz="4" w:space="0" w:color="auto"/>
              <w:left w:val="single" w:sz="4" w:space="0" w:color="auto"/>
              <w:bottom w:val="single" w:sz="4" w:space="0" w:color="auto"/>
              <w:right w:val="single" w:sz="4" w:space="0" w:color="auto"/>
            </w:tcBorders>
            <w:vAlign w:val="center"/>
          </w:tcPr>
          <w:p w14:paraId="2E35733D" w14:textId="77777777" w:rsidR="00A6656E" w:rsidRPr="00F23D8C" w:rsidRDefault="00A6656E" w:rsidP="00B106EA">
            <w:pPr>
              <w:rPr>
                <w:rFonts w:cs="Calibri"/>
                <w:b/>
                <w:bCs/>
                <w:color w:val="000000"/>
                <w:sz w:val="16"/>
                <w:szCs w:val="16"/>
              </w:rPr>
            </w:pPr>
            <w:r w:rsidRPr="00F23D8C">
              <w:rPr>
                <w:rFonts w:cs="Calibri"/>
                <w:b/>
                <w:bCs/>
                <w:color w:val="000000"/>
                <w:sz w:val="16"/>
                <w:szCs w:val="16"/>
              </w:rPr>
              <w:t>Information Collection</w:t>
            </w:r>
          </w:p>
        </w:tc>
        <w:tc>
          <w:tcPr>
            <w:tcW w:w="1325" w:type="dxa"/>
            <w:tcBorders>
              <w:top w:val="single" w:sz="4" w:space="0" w:color="auto"/>
              <w:left w:val="single" w:sz="4" w:space="0" w:color="auto"/>
              <w:bottom w:val="single" w:sz="4" w:space="0" w:color="auto"/>
              <w:right w:val="single" w:sz="4" w:space="0" w:color="auto"/>
            </w:tcBorders>
            <w:vAlign w:val="center"/>
          </w:tcPr>
          <w:p w14:paraId="5392A7DA" w14:textId="77777777" w:rsidR="00A6656E" w:rsidRPr="00F23D8C" w:rsidRDefault="00A6656E" w:rsidP="00B106EA">
            <w:pPr>
              <w:ind w:right="-108"/>
              <w:jc w:val="center"/>
              <w:rPr>
                <w:rFonts w:cs="Calibri"/>
                <w:b/>
                <w:bCs/>
                <w:color w:val="000000"/>
                <w:sz w:val="16"/>
                <w:szCs w:val="16"/>
              </w:rPr>
            </w:pPr>
            <w:r w:rsidRPr="00F23D8C">
              <w:rPr>
                <w:rFonts w:cs="Calibri"/>
                <w:b/>
                <w:bCs/>
                <w:color w:val="000000"/>
                <w:sz w:val="16"/>
                <w:szCs w:val="16"/>
              </w:rPr>
              <w:t>Number of Respondents</w:t>
            </w:r>
          </w:p>
        </w:tc>
        <w:tc>
          <w:tcPr>
            <w:tcW w:w="1150" w:type="dxa"/>
            <w:tcBorders>
              <w:top w:val="single" w:sz="4" w:space="0" w:color="auto"/>
              <w:left w:val="single" w:sz="4" w:space="0" w:color="auto"/>
              <w:bottom w:val="single" w:sz="4" w:space="0" w:color="auto"/>
              <w:right w:val="single" w:sz="4" w:space="0" w:color="auto"/>
            </w:tcBorders>
            <w:vAlign w:val="center"/>
          </w:tcPr>
          <w:p w14:paraId="3C3E34FB" w14:textId="77777777" w:rsidR="00A6656E" w:rsidRPr="00F23D8C" w:rsidRDefault="00A6656E" w:rsidP="00B106EA">
            <w:pPr>
              <w:ind w:left="72" w:right="-108"/>
              <w:jc w:val="center"/>
              <w:rPr>
                <w:rFonts w:cs="Calibri"/>
                <w:b/>
                <w:bCs/>
                <w:color w:val="000000"/>
                <w:sz w:val="16"/>
                <w:szCs w:val="16"/>
              </w:rPr>
            </w:pPr>
            <w:r w:rsidRPr="00F23D8C">
              <w:rPr>
                <w:rFonts w:cs="Calibri"/>
                <w:b/>
                <w:bCs/>
                <w:color w:val="000000"/>
                <w:sz w:val="16"/>
                <w:szCs w:val="16"/>
              </w:rPr>
              <w:t>Frequency of Response</w:t>
            </w:r>
          </w:p>
        </w:tc>
        <w:tc>
          <w:tcPr>
            <w:tcW w:w="1239" w:type="dxa"/>
            <w:tcBorders>
              <w:top w:val="single" w:sz="4" w:space="0" w:color="auto"/>
              <w:left w:val="single" w:sz="4" w:space="0" w:color="auto"/>
              <w:bottom w:val="single" w:sz="4" w:space="0" w:color="auto"/>
              <w:right w:val="single" w:sz="4" w:space="0" w:color="auto"/>
            </w:tcBorders>
            <w:vAlign w:val="center"/>
          </w:tcPr>
          <w:p w14:paraId="39835268" w14:textId="77777777" w:rsidR="00A6656E" w:rsidRPr="00F23D8C" w:rsidRDefault="00A6656E" w:rsidP="00B106EA">
            <w:pPr>
              <w:jc w:val="center"/>
              <w:rPr>
                <w:rFonts w:cs="Calibri"/>
                <w:b/>
                <w:bCs/>
                <w:color w:val="000000"/>
                <w:sz w:val="16"/>
                <w:szCs w:val="16"/>
              </w:rPr>
            </w:pPr>
            <w:r w:rsidRPr="00F23D8C">
              <w:rPr>
                <w:rFonts w:cs="Calibri"/>
                <w:b/>
                <w:bCs/>
                <w:color w:val="000000"/>
                <w:sz w:val="16"/>
                <w:szCs w:val="16"/>
              </w:rPr>
              <w:t>Responses Per Year</w:t>
            </w:r>
          </w:p>
        </w:tc>
        <w:tc>
          <w:tcPr>
            <w:tcW w:w="1120" w:type="dxa"/>
            <w:tcBorders>
              <w:top w:val="single" w:sz="4" w:space="0" w:color="auto"/>
              <w:left w:val="single" w:sz="4" w:space="0" w:color="auto"/>
              <w:bottom w:val="single" w:sz="4" w:space="0" w:color="auto"/>
              <w:right w:val="single" w:sz="4" w:space="0" w:color="auto"/>
            </w:tcBorders>
            <w:vAlign w:val="center"/>
          </w:tcPr>
          <w:p w14:paraId="7DFD35B8" w14:textId="77777777" w:rsidR="00A6656E" w:rsidRPr="00F23D8C" w:rsidRDefault="00A6656E" w:rsidP="00B106EA">
            <w:pPr>
              <w:ind w:right="-108"/>
              <w:jc w:val="center"/>
              <w:rPr>
                <w:rFonts w:cs="Calibri"/>
                <w:b/>
                <w:bCs/>
                <w:color w:val="000000"/>
                <w:sz w:val="16"/>
                <w:szCs w:val="16"/>
              </w:rPr>
            </w:pPr>
            <w:r w:rsidRPr="00F23D8C">
              <w:rPr>
                <w:rFonts w:cs="Calibri"/>
                <w:b/>
                <w:bCs/>
                <w:color w:val="000000"/>
                <w:sz w:val="16"/>
                <w:szCs w:val="16"/>
              </w:rPr>
              <w:t>Burden Hours Per Response</w:t>
            </w:r>
          </w:p>
        </w:tc>
        <w:tc>
          <w:tcPr>
            <w:tcW w:w="867" w:type="dxa"/>
            <w:tcBorders>
              <w:top w:val="single" w:sz="4" w:space="0" w:color="auto"/>
              <w:left w:val="single" w:sz="4" w:space="0" w:color="auto"/>
              <w:bottom w:val="single" w:sz="4" w:space="0" w:color="auto"/>
              <w:right w:val="single" w:sz="4" w:space="0" w:color="auto"/>
            </w:tcBorders>
            <w:vAlign w:val="center"/>
          </w:tcPr>
          <w:p w14:paraId="7602E128" w14:textId="77777777" w:rsidR="00A6656E" w:rsidRPr="00F23D8C" w:rsidRDefault="00A6656E" w:rsidP="00B106EA">
            <w:pPr>
              <w:ind w:right="-108"/>
              <w:jc w:val="center"/>
              <w:rPr>
                <w:rFonts w:cs="Calibri"/>
                <w:b/>
                <w:bCs/>
                <w:color w:val="000000"/>
                <w:sz w:val="16"/>
                <w:szCs w:val="16"/>
              </w:rPr>
            </w:pPr>
            <w:r w:rsidRPr="00F23D8C">
              <w:rPr>
                <w:rFonts w:cs="Calibri"/>
                <w:b/>
                <w:bCs/>
                <w:color w:val="000000"/>
                <w:sz w:val="16"/>
                <w:szCs w:val="16"/>
              </w:rPr>
              <w:t>Annual Burden Hours</w:t>
            </w:r>
          </w:p>
        </w:tc>
        <w:tc>
          <w:tcPr>
            <w:tcW w:w="985" w:type="dxa"/>
            <w:tcBorders>
              <w:top w:val="single" w:sz="4" w:space="0" w:color="auto"/>
              <w:left w:val="single" w:sz="4" w:space="0" w:color="auto"/>
              <w:bottom w:val="single" w:sz="4" w:space="0" w:color="auto"/>
              <w:right w:val="single" w:sz="4" w:space="0" w:color="auto"/>
            </w:tcBorders>
            <w:vAlign w:val="center"/>
          </w:tcPr>
          <w:p w14:paraId="6784AB8C" w14:textId="77777777" w:rsidR="00A6656E" w:rsidRPr="00F23D8C" w:rsidRDefault="00A6656E" w:rsidP="00B106EA">
            <w:pPr>
              <w:ind w:right="-108"/>
              <w:jc w:val="center"/>
              <w:rPr>
                <w:rFonts w:cs="Calibri"/>
                <w:b/>
                <w:bCs/>
                <w:color w:val="000000"/>
                <w:sz w:val="16"/>
                <w:szCs w:val="16"/>
              </w:rPr>
            </w:pPr>
            <w:r w:rsidRPr="00F23D8C">
              <w:rPr>
                <w:rFonts w:cs="Calibri"/>
                <w:b/>
                <w:bCs/>
                <w:color w:val="000000"/>
                <w:sz w:val="16"/>
                <w:szCs w:val="16"/>
              </w:rPr>
              <w:t>Hourly Cost per Response</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14:paraId="67B608FA" w14:textId="77777777" w:rsidR="00A6656E" w:rsidRPr="00F23D8C" w:rsidRDefault="00A6656E" w:rsidP="00B106EA">
            <w:pPr>
              <w:ind w:right="-108"/>
              <w:jc w:val="center"/>
              <w:rPr>
                <w:rFonts w:cs="Calibri"/>
                <w:b/>
                <w:bCs/>
                <w:color w:val="000000"/>
                <w:sz w:val="16"/>
                <w:szCs w:val="16"/>
              </w:rPr>
            </w:pPr>
            <w:r w:rsidRPr="00F23D8C">
              <w:rPr>
                <w:rFonts w:cs="Calibri"/>
                <w:b/>
                <w:bCs/>
                <w:color w:val="000000"/>
                <w:sz w:val="16"/>
                <w:szCs w:val="16"/>
              </w:rPr>
              <w:t>Total Annual Cost</w:t>
            </w:r>
          </w:p>
        </w:tc>
      </w:tr>
      <w:tr w:rsidR="00A6656E" w:rsidRPr="00F23D8C" w14:paraId="6C69D40E" w14:textId="77777777" w:rsidTr="00C012D2">
        <w:tblPrEx>
          <w:tblBorders>
            <w:insideH w:val="single" w:sz="4" w:space="0" w:color="auto"/>
          </w:tblBorders>
          <w:tblLook w:val="0000" w:firstRow="0" w:lastRow="0" w:firstColumn="0" w:lastColumn="0" w:noHBand="0" w:noVBand="0"/>
        </w:tblPrEx>
        <w:tc>
          <w:tcPr>
            <w:tcW w:w="1593" w:type="dxa"/>
            <w:tcBorders>
              <w:top w:val="single" w:sz="4" w:space="0" w:color="auto"/>
              <w:left w:val="single" w:sz="4" w:space="0" w:color="auto"/>
              <w:bottom w:val="single" w:sz="4" w:space="0" w:color="auto"/>
              <w:right w:val="single" w:sz="4" w:space="0" w:color="auto"/>
            </w:tcBorders>
            <w:vAlign w:val="center"/>
          </w:tcPr>
          <w:p w14:paraId="4046845E" w14:textId="77777777" w:rsidR="00A6656E" w:rsidRPr="00F23D8C" w:rsidRDefault="0045385B" w:rsidP="00B106EA">
            <w:pPr>
              <w:rPr>
                <w:rFonts w:cs="Calibri"/>
                <w:bCs/>
                <w:color w:val="000000"/>
                <w:sz w:val="16"/>
                <w:szCs w:val="16"/>
              </w:rPr>
            </w:pPr>
            <w:r w:rsidRPr="00F23D8C">
              <w:rPr>
                <w:rFonts w:cs="Calibri"/>
                <w:sz w:val="16"/>
                <w:szCs w:val="16"/>
              </w:rPr>
              <w:t>HUD-2530</w:t>
            </w:r>
            <w:r w:rsidR="004C389E" w:rsidRPr="00F23D8C">
              <w:rPr>
                <w:rFonts w:cs="Calibri"/>
                <w:sz w:val="16"/>
                <w:szCs w:val="16"/>
              </w:rPr>
              <w:t xml:space="preserve"> (Paper)</w:t>
            </w:r>
          </w:p>
        </w:tc>
        <w:tc>
          <w:tcPr>
            <w:tcW w:w="1325" w:type="dxa"/>
            <w:tcBorders>
              <w:top w:val="single" w:sz="4" w:space="0" w:color="auto"/>
              <w:left w:val="single" w:sz="4" w:space="0" w:color="auto"/>
              <w:bottom w:val="single" w:sz="4" w:space="0" w:color="auto"/>
              <w:right w:val="single" w:sz="4" w:space="0" w:color="auto"/>
            </w:tcBorders>
            <w:vAlign w:val="center"/>
          </w:tcPr>
          <w:p w14:paraId="6C50CFAE" w14:textId="77777777" w:rsidR="00A6656E" w:rsidRPr="00F23D8C" w:rsidRDefault="00D76DCA" w:rsidP="00B106EA">
            <w:pPr>
              <w:jc w:val="center"/>
              <w:rPr>
                <w:rFonts w:cs="Calibri"/>
                <w:bCs/>
                <w:color w:val="000000"/>
                <w:sz w:val="16"/>
                <w:szCs w:val="16"/>
              </w:rPr>
            </w:pPr>
            <w:r w:rsidRPr="00F23D8C">
              <w:rPr>
                <w:rFonts w:cs="Calibri"/>
                <w:sz w:val="16"/>
                <w:szCs w:val="16"/>
              </w:rPr>
              <w:t>1,5</w:t>
            </w:r>
            <w:r w:rsidR="0045385B" w:rsidRPr="00F23D8C">
              <w:rPr>
                <w:rFonts w:cs="Calibri"/>
                <w:sz w:val="16"/>
                <w:szCs w:val="16"/>
              </w:rPr>
              <w:t>00</w:t>
            </w:r>
          </w:p>
        </w:tc>
        <w:tc>
          <w:tcPr>
            <w:tcW w:w="1150" w:type="dxa"/>
            <w:tcBorders>
              <w:top w:val="single" w:sz="4" w:space="0" w:color="auto"/>
              <w:left w:val="single" w:sz="4" w:space="0" w:color="auto"/>
              <w:bottom w:val="single" w:sz="4" w:space="0" w:color="auto"/>
              <w:right w:val="single" w:sz="4" w:space="0" w:color="auto"/>
            </w:tcBorders>
            <w:vAlign w:val="center"/>
          </w:tcPr>
          <w:p w14:paraId="733C35A0" w14:textId="77777777" w:rsidR="00A6656E" w:rsidRPr="00F23D8C" w:rsidRDefault="0045385B" w:rsidP="00B106EA">
            <w:pPr>
              <w:jc w:val="center"/>
              <w:rPr>
                <w:rFonts w:cs="Calibri"/>
                <w:bCs/>
                <w:color w:val="000000"/>
                <w:sz w:val="16"/>
                <w:szCs w:val="16"/>
              </w:rPr>
            </w:pPr>
            <w:r w:rsidRPr="00F23D8C">
              <w:rPr>
                <w:rFonts w:cs="Calibri"/>
                <w:bCs/>
                <w:color w:val="000000"/>
                <w:sz w:val="16"/>
                <w:szCs w:val="16"/>
              </w:rPr>
              <w:t>1</w:t>
            </w:r>
          </w:p>
        </w:tc>
        <w:tc>
          <w:tcPr>
            <w:tcW w:w="1239" w:type="dxa"/>
            <w:tcBorders>
              <w:top w:val="single" w:sz="4" w:space="0" w:color="auto"/>
              <w:left w:val="single" w:sz="4" w:space="0" w:color="auto"/>
              <w:bottom w:val="single" w:sz="4" w:space="0" w:color="auto"/>
              <w:right w:val="single" w:sz="4" w:space="0" w:color="auto"/>
            </w:tcBorders>
            <w:vAlign w:val="center"/>
          </w:tcPr>
          <w:p w14:paraId="67E23F39" w14:textId="77777777" w:rsidR="00A6656E" w:rsidRPr="00F23D8C" w:rsidRDefault="00D76DCA" w:rsidP="00B106EA">
            <w:pPr>
              <w:jc w:val="center"/>
              <w:rPr>
                <w:rFonts w:cs="Calibri"/>
                <w:bCs/>
                <w:color w:val="000000"/>
                <w:sz w:val="16"/>
                <w:szCs w:val="16"/>
              </w:rPr>
            </w:pPr>
            <w:r w:rsidRPr="00F23D8C">
              <w:rPr>
                <w:rFonts w:cs="Calibri"/>
                <w:sz w:val="16"/>
                <w:szCs w:val="16"/>
              </w:rPr>
              <w:t>1500</w:t>
            </w:r>
          </w:p>
        </w:tc>
        <w:tc>
          <w:tcPr>
            <w:tcW w:w="1120" w:type="dxa"/>
            <w:tcBorders>
              <w:top w:val="single" w:sz="4" w:space="0" w:color="auto"/>
              <w:left w:val="single" w:sz="4" w:space="0" w:color="auto"/>
              <w:bottom w:val="single" w:sz="4" w:space="0" w:color="auto"/>
              <w:right w:val="single" w:sz="4" w:space="0" w:color="auto"/>
            </w:tcBorders>
            <w:vAlign w:val="center"/>
          </w:tcPr>
          <w:p w14:paraId="6DA05089" w14:textId="77777777" w:rsidR="00A6656E" w:rsidRPr="00F23D8C" w:rsidRDefault="0045385B" w:rsidP="00B106EA">
            <w:pPr>
              <w:jc w:val="center"/>
              <w:rPr>
                <w:rFonts w:cs="Calibri"/>
                <w:bCs/>
                <w:color w:val="000000"/>
                <w:sz w:val="16"/>
                <w:szCs w:val="16"/>
              </w:rPr>
            </w:pPr>
            <w:r w:rsidRPr="00F23D8C">
              <w:rPr>
                <w:rFonts w:cs="Calibri"/>
                <w:sz w:val="16"/>
                <w:szCs w:val="16"/>
              </w:rPr>
              <w:t>1.5</w:t>
            </w:r>
          </w:p>
        </w:tc>
        <w:tc>
          <w:tcPr>
            <w:tcW w:w="867" w:type="dxa"/>
            <w:tcBorders>
              <w:top w:val="single" w:sz="4" w:space="0" w:color="auto"/>
              <w:left w:val="single" w:sz="4" w:space="0" w:color="auto"/>
              <w:bottom w:val="single" w:sz="4" w:space="0" w:color="auto"/>
              <w:right w:val="single" w:sz="4" w:space="0" w:color="auto"/>
            </w:tcBorders>
            <w:vAlign w:val="center"/>
          </w:tcPr>
          <w:p w14:paraId="3A3E8803" w14:textId="77777777" w:rsidR="00A6656E" w:rsidRPr="00F23D8C" w:rsidRDefault="00D76DCA" w:rsidP="00B106EA">
            <w:pPr>
              <w:jc w:val="center"/>
              <w:rPr>
                <w:rFonts w:cs="Calibri"/>
                <w:bCs/>
                <w:color w:val="000000"/>
                <w:sz w:val="16"/>
                <w:szCs w:val="16"/>
              </w:rPr>
            </w:pPr>
            <w:r w:rsidRPr="00F23D8C">
              <w:rPr>
                <w:rFonts w:cs="Calibri"/>
                <w:bCs/>
                <w:color w:val="000000"/>
                <w:sz w:val="16"/>
                <w:szCs w:val="16"/>
              </w:rPr>
              <w:t>2,250</w:t>
            </w:r>
          </w:p>
        </w:tc>
        <w:tc>
          <w:tcPr>
            <w:tcW w:w="985" w:type="dxa"/>
            <w:tcBorders>
              <w:top w:val="single" w:sz="4" w:space="0" w:color="auto"/>
              <w:left w:val="single" w:sz="4" w:space="0" w:color="auto"/>
              <w:bottom w:val="single" w:sz="4" w:space="0" w:color="auto"/>
              <w:right w:val="single" w:sz="4" w:space="0" w:color="auto"/>
            </w:tcBorders>
            <w:vAlign w:val="center"/>
          </w:tcPr>
          <w:p w14:paraId="0BF4B8D4" w14:textId="77777777" w:rsidR="00A6656E" w:rsidRPr="00F23D8C" w:rsidRDefault="0045385B" w:rsidP="00B106EA">
            <w:pPr>
              <w:jc w:val="right"/>
              <w:rPr>
                <w:rFonts w:cs="Calibri"/>
                <w:bCs/>
                <w:color w:val="000000"/>
                <w:sz w:val="16"/>
                <w:szCs w:val="16"/>
              </w:rPr>
            </w:pPr>
            <w:r w:rsidRPr="00F23D8C">
              <w:rPr>
                <w:rFonts w:cs="Calibri"/>
                <w:bCs/>
                <w:color w:val="000000"/>
                <w:sz w:val="16"/>
                <w:szCs w:val="16"/>
              </w:rPr>
              <w:t>$31.00</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14:paraId="46635968" w14:textId="77777777" w:rsidR="00A6656E" w:rsidRPr="00F23D8C" w:rsidRDefault="0045385B" w:rsidP="00B106EA">
            <w:pPr>
              <w:jc w:val="right"/>
              <w:rPr>
                <w:rFonts w:cs="Calibri"/>
                <w:bCs/>
                <w:color w:val="000000"/>
                <w:sz w:val="16"/>
                <w:szCs w:val="16"/>
              </w:rPr>
            </w:pPr>
            <w:r w:rsidRPr="00F23D8C">
              <w:rPr>
                <w:rFonts w:cs="Calibri"/>
                <w:sz w:val="16"/>
                <w:szCs w:val="16"/>
              </w:rPr>
              <w:t>$</w:t>
            </w:r>
            <w:r w:rsidR="00D76DCA" w:rsidRPr="00F23D8C">
              <w:rPr>
                <w:rFonts w:cs="Calibri"/>
                <w:sz w:val="16"/>
                <w:szCs w:val="16"/>
              </w:rPr>
              <w:t>69,750</w:t>
            </w:r>
          </w:p>
        </w:tc>
      </w:tr>
      <w:tr w:rsidR="00D76DCA" w:rsidRPr="00F23D8C" w14:paraId="16754840" w14:textId="77777777" w:rsidTr="00C012D2">
        <w:tblPrEx>
          <w:tblBorders>
            <w:insideH w:val="single" w:sz="4" w:space="0" w:color="auto"/>
          </w:tblBorders>
          <w:tblLook w:val="0000" w:firstRow="0" w:lastRow="0" w:firstColumn="0" w:lastColumn="0" w:noHBand="0" w:noVBand="0"/>
        </w:tblPrEx>
        <w:tc>
          <w:tcPr>
            <w:tcW w:w="1593" w:type="dxa"/>
            <w:tcBorders>
              <w:top w:val="single" w:sz="4" w:space="0" w:color="auto"/>
              <w:left w:val="single" w:sz="4" w:space="0" w:color="auto"/>
              <w:bottom w:val="single" w:sz="4" w:space="0" w:color="auto"/>
              <w:right w:val="single" w:sz="4" w:space="0" w:color="auto"/>
            </w:tcBorders>
            <w:vAlign w:val="center"/>
          </w:tcPr>
          <w:p w14:paraId="32F8FECB" w14:textId="77777777" w:rsidR="00D76DCA" w:rsidRPr="00F23D8C" w:rsidRDefault="00D76DCA" w:rsidP="00D76DCA">
            <w:pPr>
              <w:rPr>
                <w:rFonts w:cs="Calibri"/>
                <w:sz w:val="16"/>
                <w:szCs w:val="16"/>
              </w:rPr>
            </w:pPr>
            <w:r w:rsidRPr="00F23D8C">
              <w:rPr>
                <w:rFonts w:cs="Calibri"/>
                <w:sz w:val="16"/>
                <w:szCs w:val="16"/>
              </w:rPr>
              <w:t>HUD-2530 (Electronic)</w:t>
            </w:r>
          </w:p>
        </w:tc>
        <w:tc>
          <w:tcPr>
            <w:tcW w:w="1325" w:type="dxa"/>
            <w:tcBorders>
              <w:top w:val="single" w:sz="4" w:space="0" w:color="auto"/>
              <w:left w:val="single" w:sz="4" w:space="0" w:color="auto"/>
              <w:bottom w:val="single" w:sz="4" w:space="0" w:color="auto"/>
              <w:right w:val="single" w:sz="4" w:space="0" w:color="auto"/>
            </w:tcBorders>
            <w:vAlign w:val="center"/>
          </w:tcPr>
          <w:p w14:paraId="15538631" w14:textId="77777777" w:rsidR="00D76DCA" w:rsidRPr="00F23D8C" w:rsidRDefault="00D76DCA" w:rsidP="00D76DCA">
            <w:pPr>
              <w:jc w:val="center"/>
              <w:rPr>
                <w:rFonts w:cs="Calibri"/>
                <w:sz w:val="16"/>
                <w:szCs w:val="16"/>
              </w:rPr>
            </w:pPr>
            <w:r w:rsidRPr="00F23D8C">
              <w:rPr>
                <w:rFonts w:cs="Calibri"/>
                <w:sz w:val="16"/>
                <w:szCs w:val="16"/>
              </w:rPr>
              <w:t>7,500</w:t>
            </w:r>
          </w:p>
        </w:tc>
        <w:tc>
          <w:tcPr>
            <w:tcW w:w="1150" w:type="dxa"/>
            <w:tcBorders>
              <w:top w:val="single" w:sz="4" w:space="0" w:color="auto"/>
              <w:left w:val="single" w:sz="4" w:space="0" w:color="auto"/>
              <w:bottom w:val="single" w:sz="4" w:space="0" w:color="auto"/>
              <w:right w:val="single" w:sz="4" w:space="0" w:color="auto"/>
            </w:tcBorders>
            <w:vAlign w:val="center"/>
          </w:tcPr>
          <w:p w14:paraId="404FD47A" w14:textId="77777777" w:rsidR="00D76DCA" w:rsidRPr="00F23D8C" w:rsidRDefault="00D76DCA" w:rsidP="00D76DCA">
            <w:pPr>
              <w:jc w:val="center"/>
              <w:rPr>
                <w:rFonts w:cs="Calibri"/>
                <w:bCs/>
                <w:color w:val="000000"/>
                <w:sz w:val="16"/>
                <w:szCs w:val="16"/>
              </w:rPr>
            </w:pPr>
            <w:r w:rsidRPr="00F23D8C">
              <w:rPr>
                <w:rFonts w:cs="Calibri"/>
                <w:bCs/>
                <w:color w:val="000000"/>
                <w:sz w:val="16"/>
                <w:szCs w:val="16"/>
              </w:rPr>
              <w:t>1</w:t>
            </w:r>
          </w:p>
        </w:tc>
        <w:tc>
          <w:tcPr>
            <w:tcW w:w="1239" w:type="dxa"/>
            <w:tcBorders>
              <w:top w:val="single" w:sz="4" w:space="0" w:color="auto"/>
              <w:left w:val="single" w:sz="4" w:space="0" w:color="auto"/>
              <w:bottom w:val="single" w:sz="4" w:space="0" w:color="auto"/>
              <w:right w:val="single" w:sz="4" w:space="0" w:color="auto"/>
            </w:tcBorders>
            <w:vAlign w:val="center"/>
          </w:tcPr>
          <w:p w14:paraId="51971B85" w14:textId="77777777" w:rsidR="00D76DCA" w:rsidRPr="00F23D8C" w:rsidRDefault="00D76DCA" w:rsidP="00D76DCA">
            <w:pPr>
              <w:jc w:val="center"/>
              <w:rPr>
                <w:rFonts w:cs="Calibri"/>
                <w:sz w:val="16"/>
                <w:szCs w:val="16"/>
              </w:rPr>
            </w:pPr>
            <w:r w:rsidRPr="00F23D8C">
              <w:rPr>
                <w:rFonts w:cs="Calibri"/>
                <w:sz w:val="16"/>
                <w:szCs w:val="16"/>
              </w:rPr>
              <w:t>7,500</w:t>
            </w:r>
          </w:p>
        </w:tc>
        <w:tc>
          <w:tcPr>
            <w:tcW w:w="1120" w:type="dxa"/>
            <w:tcBorders>
              <w:top w:val="single" w:sz="4" w:space="0" w:color="auto"/>
              <w:left w:val="single" w:sz="4" w:space="0" w:color="auto"/>
              <w:bottom w:val="single" w:sz="4" w:space="0" w:color="auto"/>
              <w:right w:val="single" w:sz="4" w:space="0" w:color="auto"/>
            </w:tcBorders>
            <w:vAlign w:val="center"/>
          </w:tcPr>
          <w:p w14:paraId="2D0796EF" w14:textId="77777777" w:rsidR="00D76DCA" w:rsidRPr="00F23D8C" w:rsidRDefault="00D76DCA" w:rsidP="00D76DCA">
            <w:pPr>
              <w:jc w:val="center"/>
              <w:rPr>
                <w:rFonts w:cs="Calibri"/>
                <w:sz w:val="16"/>
                <w:szCs w:val="16"/>
              </w:rPr>
            </w:pPr>
            <w:r w:rsidRPr="00F23D8C">
              <w:rPr>
                <w:rFonts w:cs="Calibri"/>
                <w:sz w:val="16"/>
                <w:szCs w:val="16"/>
              </w:rPr>
              <w:t>0.45</w:t>
            </w:r>
          </w:p>
        </w:tc>
        <w:tc>
          <w:tcPr>
            <w:tcW w:w="867" w:type="dxa"/>
            <w:tcBorders>
              <w:top w:val="single" w:sz="4" w:space="0" w:color="auto"/>
              <w:left w:val="single" w:sz="4" w:space="0" w:color="auto"/>
              <w:bottom w:val="single" w:sz="4" w:space="0" w:color="auto"/>
              <w:right w:val="single" w:sz="4" w:space="0" w:color="auto"/>
            </w:tcBorders>
            <w:vAlign w:val="center"/>
          </w:tcPr>
          <w:p w14:paraId="17360B98" w14:textId="77777777" w:rsidR="00D76DCA" w:rsidRPr="00F23D8C" w:rsidRDefault="00D76DCA" w:rsidP="00D76DCA">
            <w:pPr>
              <w:jc w:val="center"/>
              <w:rPr>
                <w:rFonts w:cs="Calibri"/>
                <w:sz w:val="16"/>
                <w:szCs w:val="16"/>
              </w:rPr>
            </w:pPr>
            <w:r w:rsidRPr="00F23D8C">
              <w:rPr>
                <w:rFonts w:cs="Calibri"/>
                <w:sz w:val="16"/>
                <w:szCs w:val="16"/>
              </w:rPr>
              <w:t>3,375</w:t>
            </w:r>
          </w:p>
        </w:tc>
        <w:tc>
          <w:tcPr>
            <w:tcW w:w="985" w:type="dxa"/>
            <w:tcBorders>
              <w:top w:val="single" w:sz="4" w:space="0" w:color="auto"/>
              <w:left w:val="single" w:sz="4" w:space="0" w:color="auto"/>
              <w:bottom w:val="single" w:sz="4" w:space="0" w:color="auto"/>
              <w:right w:val="single" w:sz="4" w:space="0" w:color="auto"/>
            </w:tcBorders>
            <w:vAlign w:val="center"/>
          </w:tcPr>
          <w:p w14:paraId="0F67859D" w14:textId="77777777" w:rsidR="00D76DCA" w:rsidRPr="00F23D8C" w:rsidRDefault="00D76DCA" w:rsidP="00D76DCA">
            <w:pPr>
              <w:jc w:val="right"/>
              <w:rPr>
                <w:rFonts w:cs="Calibri"/>
                <w:bCs/>
                <w:color w:val="000000"/>
                <w:sz w:val="16"/>
                <w:szCs w:val="16"/>
              </w:rPr>
            </w:pPr>
            <w:r w:rsidRPr="00F23D8C">
              <w:rPr>
                <w:rFonts w:cs="Calibri"/>
                <w:bCs/>
                <w:color w:val="000000"/>
                <w:sz w:val="16"/>
                <w:szCs w:val="16"/>
              </w:rPr>
              <w:t>$31.00</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14:paraId="117D7EC7" w14:textId="77777777" w:rsidR="00D76DCA" w:rsidRPr="00F23D8C" w:rsidRDefault="00D76DCA" w:rsidP="00D76DCA">
            <w:pPr>
              <w:jc w:val="right"/>
              <w:rPr>
                <w:rFonts w:cs="Calibri"/>
                <w:sz w:val="16"/>
                <w:szCs w:val="16"/>
              </w:rPr>
            </w:pPr>
            <w:r w:rsidRPr="00F23D8C">
              <w:rPr>
                <w:rFonts w:cs="Calibri"/>
                <w:sz w:val="16"/>
                <w:szCs w:val="16"/>
              </w:rPr>
              <w:t>$104,625</w:t>
            </w:r>
          </w:p>
        </w:tc>
      </w:tr>
      <w:tr w:rsidR="00D76DCA" w:rsidRPr="00F23D8C" w14:paraId="757C703D" w14:textId="77777777" w:rsidTr="00C012D2">
        <w:tblPrEx>
          <w:tblBorders>
            <w:insideH w:val="single" w:sz="4" w:space="0" w:color="auto"/>
          </w:tblBorders>
          <w:tblLook w:val="0000" w:firstRow="0" w:lastRow="0" w:firstColumn="0" w:lastColumn="0" w:noHBand="0" w:noVBand="0"/>
        </w:tblPrEx>
        <w:tc>
          <w:tcPr>
            <w:tcW w:w="1593" w:type="dxa"/>
            <w:tcBorders>
              <w:top w:val="single" w:sz="4" w:space="0" w:color="auto"/>
              <w:left w:val="single" w:sz="4" w:space="0" w:color="auto"/>
              <w:bottom w:val="single" w:sz="4" w:space="0" w:color="auto"/>
              <w:right w:val="single" w:sz="4" w:space="0" w:color="auto"/>
            </w:tcBorders>
            <w:vAlign w:val="center"/>
          </w:tcPr>
          <w:p w14:paraId="2C617C51" w14:textId="77777777" w:rsidR="00D76DCA" w:rsidRPr="00F23D8C" w:rsidRDefault="00D76DCA" w:rsidP="00D76DCA">
            <w:pPr>
              <w:rPr>
                <w:rFonts w:cs="Calibri"/>
                <w:sz w:val="16"/>
                <w:szCs w:val="16"/>
              </w:rPr>
            </w:pPr>
            <w:r w:rsidRPr="00F23D8C">
              <w:rPr>
                <w:rFonts w:cs="Calibri"/>
                <w:sz w:val="16"/>
                <w:szCs w:val="16"/>
              </w:rPr>
              <w:t>Review of    other documentation</w:t>
            </w:r>
          </w:p>
        </w:tc>
        <w:tc>
          <w:tcPr>
            <w:tcW w:w="1325" w:type="dxa"/>
            <w:tcBorders>
              <w:top w:val="single" w:sz="4" w:space="0" w:color="auto"/>
              <w:left w:val="single" w:sz="4" w:space="0" w:color="auto"/>
              <w:bottom w:val="single" w:sz="4" w:space="0" w:color="auto"/>
              <w:right w:val="single" w:sz="4" w:space="0" w:color="auto"/>
            </w:tcBorders>
            <w:vAlign w:val="center"/>
          </w:tcPr>
          <w:p w14:paraId="32EB0AB1" w14:textId="77777777" w:rsidR="00D76DCA" w:rsidRPr="00F23D8C" w:rsidRDefault="00D76DCA" w:rsidP="00D76DCA">
            <w:pPr>
              <w:jc w:val="center"/>
              <w:rPr>
                <w:rFonts w:cs="Calibri"/>
                <w:sz w:val="16"/>
                <w:szCs w:val="16"/>
              </w:rPr>
            </w:pPr>
            <w:r w:rsidRPr="00F23D8C">
              <w:rPr>
                <w:rFonts w:cs="Calibri"/>
                <w:sz w:val="16"/>
                <w:szCs w:val="16"/>
              </w:rPr>
              <w:t>1500</w:t>
            </w:r>
          </w:p>
        </w:tc>
        <w:tc>
          <w:tcPr>
            <w:tcW w:w="1150" w:type="dxa"/>
            <w:tcBorders>
              <w:top w:val="single" w:sz="4" w:space="0" w:color="auto"/>
              <w:left w:val="single" w:sz="4" w:space="0" w:color="auto"/>
              <w:bottom w:val="single" w:sz="4" w:space="0" w:color="auto"/>
              <w:right w:val="single" w:sz="4" w:space="0" w:color="auto"/>
            </w:tcBorders>
            <w:vAlign w:val="center"/>
          </w:tcPr>
          <w:p w14:paraId="7E05E4EA" w14:textId="77777777" w:rsidR="00D76DCA" w:rsidRPr="00F23D8C" w:rsidRDefault="00D76DCA" w:rsidP="00D76DCA">
            <w:pPr>
              <w:jc w:val="center"/>
              <w:rPr>
                <w:rFonts w:cs="Calibri"/>
                <w:bCs/>
                <w:color w:val="000000"/>
                <w:sz w:val="16"/>
                <w:szCs w:val="16"/>
              </w:rPr>
            </w:pPr>
            <w:r w:rsidRPr="00F23D8C">
              <w:rPr>
                <w:rFonts w:cs="Calibri"/>
                <w:bCs/>
                <w:color w:val="000000"/>
                <w:sz w:val="16"/>
                <w:szCs w:val="16"/>
              </w:rPr>
              <w:t>1</w:t>
            </w:r>
          </w:p>
        </w:tc>
        <w:tc>
          <w:tcPr>
            <w:tcW w:w="1239" w:type="dxa"/>
            <w:tcBorders>
              <w:top w:val="single" w:sz="4" w:space="0" w:color="auto"/>
              <w:left w:val="single" w:sz="4" w:space="0" w:color="auto"/>
              <w:bottom w:val="single" w:sz="4" w:space="0" w:color="auto"/>
              <w:right w:val="single" w:sz="4" w:space="0" w:color="auto"/>
            </w:tcBorders>
            <w:vAlign w:val="center"/>
          </w:tcPr>
          <w:p w14:paraId="432BE330" w14:textId="77777777" w:rsidR="00D76DCA" w:rsidRPr="00F23D8C" w:rsidRDefault="00D76DCA" w:rsidP="00D76DCA">
            <w:pPr>
              <w:jc w:val="center"/>
              <w:rPr>
                <w:rFonts w:cs="Calibri"/>
                <w:sz w:val="16"/>
                <w:szCs w:val="16"/>
              </w:rPr>
            </w:pPr>
            <w:r w:rsidRPr="00F23D8C">
              <w:rPr>
                <w:rFonts w:cs="Calibri"/>
                <w:sz w:val="16"/>
                <w:szCs w:val="16"/>
              </w:rPr>
              <w:t>1500</w:t>
            </w:r>
          </w:p>
        </w:tc>
        <w:tc>
          <w:tcPr>
            <w:tcW w:w="1120" w:type="dxa"/>
            <w:tcBorders>
              <w:top w:val="single" w:sz="4" w:space="0" w:color="auto"/>
              <w:left w:val="single" w:sz="4" w:space="0" w:color="auto"/>
              <w:bottom w:val="single" w:sz="4" w:space="0" w:color="auto"/>
              <w:right w:val="single" w:sz="4" w:space="0" w:color="auto"/>
            </w:tcBorders>
            <w:vAlign w:val="center"/>
          </w:tcPr>
          <w:p w14:paraId="05B77DC9" w14:textId="77777777" w:rsidR="00D76DCA" w:rsidRPr="00F23D8C" w:rsidRDefault="00D76DCA" w:rsidP="00D76DCA">
            <w:pPr>
              <w:jc w:val="center"/>
              <w:rPr>
                <w:rFonts w:cs="Calibri"/>
                <w:sz w:val="16"/>
                <w:szCs w:val="16"/>
              </w:rPr>
            </w:pPr>
            <w:r w:rsidRPr="00F23D8C">
              <w:rPr>
                <w:rFonts w:cs="Calibri"/>
                <w:sz w:val="16"/>
                <w:szCs w:val="16"/>
              </w:rPr>
              <w:t>1</w:t>
            </w:r>
          </w:p>
        </w:tc>
        <w:tc>
          <w:tcPr>
            <w:tcW w:w="867" w:type="dxa"/>
            <w:tcBorders>
              <w:top w:val="single" w:sz="4" w:space="0" w:color="auto"/>
              <w:left w:val="single" w:sz="4" w:space="0" w:color="auto"/>
              <w:bottom w:val="single" w:sz="4" w:space="0" w:color="auto"/>
              <w:right w:val="single" w:sz="4" w:space="0" w:color="auto"/>
            </w:tcBorders>
            <w:vAlign w:val="center"/>
          </w:tcPr>
          <w:p w14:paraId="6B613739" w14:textId="77777777" w:rsidR="00D76DCA" w:rsidRPr="00F23D8C" w:rsidRDefault="00D76DCA" w:rsidP="00D76DCA">
            <w:pPr>
              <w:jc w:val="center"/>
              <w:rPr>
                <w:rFonts w:cs="Calibri"/>
                <w:bCs/>
                <w:color w:val="000000"/>
                <w:sz w:val="16"/>
                <w:szCs w:val="16"/>
              </w:rPr>
            </w:pPr>
            <w:r w:rsidRPr="00F23D8C">
              <w:rPr>
                <w:rFonts w:cs="Calibri"/>
                <w:sz w:val="16"/>
                <w:szCs w:val="16"/>
              </w:rPr>
              <w:t>1,500</w:t>
            </w:r>
          </w:p>
        </w:tc>
        <w:tc>
          <w:tcPr>
            <w:tcW w:w="985" w:type="dxa"/>
            <w:tcBorders>
              <w:top w:val="single" w:sz="4" w:space="0" w:color="auto"/>
              <w:left w:val="single" w:sz="4" w:space="0" w:color="auto"/>
              <w:bottom w:val="single" w:sz="4" w:space="0" w:color="auto"/>
              <w:right w:val="single" w:sz="4" w:space="0" w:color="auto"/>
            </w:tcBorders>
            <w:vAlign w:val="center"/>
          </w:tcPr>
          <w:p w14:paraId="0B90702F" w14:textId="77777777" w:rsidR="00D76DCA" w:rsidRPr="00F23D8C" w:rsidRDefault="00D76DCA" w:rsidP="00D76DCA">
            <w:pPr>
              <w:jc w:val="right"/>
              <w:rPr>
                <w:rFonts w:cs="Calibri"/>
                <w:bCs/>
                <w:color w:val="000000"/>
                <w:sz w:val="16"/>
                <w:szCs w:val="16"/>
              </w:rPr>
            </w:pPr>
            <w:r w:rsidRPr="00F23D8C">
              <w:rPr>
                <w:rFonts w:cs="Calibri"/>
                <w:bCs/>
                <w:color w:val="000000"/>
                <w:sz w:val="16"/>
                <w:szCs w:val="16"/>
              </w:rPr>
              <w:t>$31.00</w:t>
            </w:r>
          </w:p>
        </w:tc>
        <w:tc>
          <w:tcPr>
            <w:tcW w:w="1052" w:type="dxa"/>
            <w:tcBorders>
              <w:top w:val="single" w:sz="4" w:space="0" w:color="auto"/>
              <w:left w:val="single" w:sz="4" w:space="0" w:color="auto"/>
              <w:bottom w:val="single" w:sz="4" w:space="0" w:color="auto"/>
              <w:right w:val="single" w:sz="4" w:space="0" w:color="auto"/>
            </w:tcBorders>
            <w:shd w:val="clear" w:color="auto" w:fill="D9D9D9"/>
          </w:tcPr>
          <w:p w14:paraId="3F2C72E5" w14:textId="77777777" w:rsidR="00D76DCA" w:rsidRPr="00F23D8C" w:rsidRDefault="00D76DCA" w:rsidP="00D76DCA">
            <w:pPr>
              <w:jc w:val="right"/>
              <w:rPr>
                <w:rFonts w:cs="Calibri"/>
                <w:sz w:val="16"/>
                <w:szCs w:val="16"/>
              </w:rPr>
            </w:pPr>
          </w:p>
          <w:p w14:paraId="2740A165" w14:textId="77777777" w:rsidR="00D76DCA" w:rsidRPr="00F23D8C" w:rsidRDefault="00D76DCA" w:rsidP="00D76DCA">
            <w:pPr>
              <w:jc w:val="right"/>
              <w:rPr>
                <w:rFonts w:cs="Calibri"/>
                <w:sz w:val="16"/>
                <w:szCs w:val="16"/>
              </w:rPr>
            </w:pPr>
            <w:r w:rsidRPr="00F23D8C">
              <w:rPr>
                <w:rFonts w:cs="Calibri"/>
                <w:sz w:val="16"/>
                <w:szCs w:val="16"/>
              </w:rPr>
              <w:t>$46,500</w:t>
            </w:r>
          </w:p>
        </w:tc>
      </w:tr>
      <w:tr w:rsidR="00D76DCA" w:rsidRPr="00F23D8C" w14:paraId="528EBAFA" w14:textId="77777777" w:rsidTr="00C012D2">
        <w:tblPrEx>
          <w:tblBorders>
            <w:insideH w:val="single" w:sz="4" w:space="0" w:color="auto"/>
          </w:tblBorders>
          <w:tblLook w:val="0000" w:firstRow="0" w:lastRow="0" w:firstColumn="0" w:lastColumn="0" w:noHBand="0" w:noVBand="0"/>
        </w:tblPrEx>
        <w:tc>
          <w:tcPr>
            <w:tcW w:w="1593" w:type="dxa"/>
            <w:tcBorders>
              <w:top w:val="single" w:sz="4" w:space="0" w:color="auto"/>
              <w:left w:val="single" w:sz="4" w:space="0" w:color="auto"/>
              <w:bottom w:val="single" w:sz="4" w:space="0" w:color="auto"/>
              <w:right w:val="single" w:sz="4" w:space="0" w:color="auto"/>
            </w:tcBorders>
            <w:vAlign w:val="center"/>
          </w:tcPr>
          <w:p w14:paraId="41EAB81D" w14:textId="77777777" w:rsidR="00D76DCA" w:rsidRPr="00F23D8C" w:rsidRDefault="00D76DCA" w:rsidP="00D76DCA">
            <w:pPr>
              <w:rPr>
                <w:rFonts w:cs="Calibri"/>
                <w:b/>
                <w:bCs/>
                <w:color w:val="000000"/>
                <w:sz w:val="12"/>
                <w:szCs w:val="12"/>
              </w:rPr>
            </w:pPr>
            <w:r w:rsidRPr="00F23D8C">
              <w:rPr>
                <w:rFonts w:cs="Calibri"/>
                <w:b/>
                <w:bCs/>
                <w:color w:val="000000"/>
                <w:sz w:val="12"/>
                <w:szCs w:val="12"/>
              </w:rPr>
              <w:t>TOTALS</w:t>
            </w:r>
          </w:p>
        </w:tc>
        <w:tc>
          <w:tcPr>
            <w:tcW w:w="1325" w:type="dxa"/>
            <w:tcBorders>
              <w:top w:val="single" w:sz="4" w:space="0" w:color="auto"/>
              <w:left w:val="single" w:sz="4" w:space="0" w:color="auto"/>
              <w:bottom w:val="single" w:sz="4" w:space="0" w:color="auto"/>
              <w:right w:val="single" w:sz="4" w:space="0" w:color="auto"/>
            </w:tcBorders>
            <w:vAlign w:val="center"/>
          </w:tcPr>
          <w:p w14:paraId="64A6165C" w14:textId="77777777" w:rsidR="00D76DCA" w:rsidRPr="00F23D8C" w:rsidRDefault="00D76DCA" w:rsidP="00D76DCA">
            <w:pPr>
              <w:jc w:val="center"/>
              <w:rPr>
                <w:rFonts w:cs="Calibri"/>
                <w:bCs/>
                <w:color w:val="000000"/>
                <w:sz w:val="16"/>
                <w:szCs w:val="16"/>
              </w:rPr>
            </w:pPr>
            <w:r w:rsidRPr="00F23D8C">
              <w:rPr>
                <w:b/>
                <w:bCs/>
                <w:sz w:val="16"/>
                <w:szCs w:val="16"/>
              </w:rPr>
              <w:t>1</w:t>
            </w:r>
            <w:r w:rsidR="0091518E" w:rsidRPr="00F23D8C">
              <w:rPr>
                <w:b/>
                <w:bCs/>
                <w:sz w:val="16"/>
                <w:szCs w:val="16"/>
              </w:rPr>
              <w:t>0</w:t>
            </w:r>
            <w:r w:rsidRPr="00F23D8C">
              <w:rPr>
                <w:b/>
                <w:bCs/>
                <w:sz w:val="16"/>
                <w:szCs w:val="16"/>
              </w:rPr>
              <w:t>,</w:t>
            </w:r>
            <w:r w:rsidR="0091518E" w:rsidRPr="00F23D8C">
              <w:rPr>
                <w:b/>
                <w:bCs/>
                <w:sz w:val="16"/>
                <w:szCs w:val="16"/>
              </w:rPr>
              <w:t>5</w:t>
            </w:r>
            <w:r w:rsidRPr="00F23D8C">
              <w:rPr>
                <w:b/>
                <w:bCs/>
                <w:sz w:val="16"/>
                <w:szCs w:val="16"/>
              </w:rPr>
              <w:t>00</w:t>
            </w:r>
          </w:p>
        </w:tc>
        <w:tc>
          <w:tcPr>
            <w:tcW w:w="1150" w:type="dxa"/>
            <w:tcBorders>
              <w:top w:val="single" w:sz="4" w:space="0" w:color="auto"/>
              <w:left w:val="single" w:sz="4" w:space="0" w:color="auto"/>
              <w:bottom w:val="single" w:sz="4" w:space="0" w:color="auto"/>
              <w:right w:val="single" w:sz="4" w:space="0" w:color="auto"/>
            </w:tcBorders>
            <w:shd w:val="clear" w:color="auto" w:fill="000000"/>
            <w:vAlign w:val="center"/>
          </w:tcPr>
          <w:p w14:paraId="52B4C1DB" w14:textId="77777777" w:rsidR="00D76DCA" w:rsidRPr="00F23D8C" w:rsidRDefault="00D76DCA" w:rsidP="00D76DCA">
            <w:pPr>
              <w:jc w:val="center"/>
              <w:rPr>
                <w:rFonts w:cs="Calibri"/>
                <w:bCs/>
                <w:color w:val="000000"/>
                <w:sz w:val="16"/>
                <w:szCs w:val="16"/>
              </w:rPr>
            </w:pPr>
          </w:p>
        </w:tc>
        <w:tc>
          <w:tcPr>
            <w:tcW w:w="1239" w:type="dxa"/>
            <w:tcBorders>
              <w:top w:val="single" w:sz="4" w:space="0" w:color="auto"/>
              <w:left w:val="single" w:sz="4" w:space="0" w:color="auto"/>
              <w:bottom w:val="single" w:sz="4" w:space="0" w:color="auto"/>
              <w:right w:val="single" w:sz="4" w:space="0" w:color="auto"/>
            </w:tcBorders>
            <w:vAlign w:val="center"/>
          </w:tcPr>
          <w:p w14:paraId="7B7DC0C0" w14:textId="77777777" w:rsidR="00D76DCA" w:rsidRPr="00F23D8C" w:rsidRDefault="00D76DCA" w:rsidP="00D76DCA">
            <w:pPr>
              <w:jc w:val="center"/>
              <w:rPr>
                <w:rFonts w:cs="Calibri"/>
                <w:bCs/>
                <w:color w:val="000000"/>
                <w:sz w:val="16"/>
                <w:szCs w:val="16"/>
              </w:rPr>
            </w:pPr>
            <w:r w:rsidRPr="00F23D8C">
              <w:rPr>
                <w:b/>
                <w:bCs/>
                <w:sz w:val="16"/>
                <w:szCs w:val="16"/>
              </w:rPr>
              <w:t>1</w:t>
            </w:r>
            <w:r w:rsidR="0091518E" w:rsidRPr="00F23D8C">
              <w:rPr>
                <w:b/>
                <w:bCs/>
                <w:sz w:val="16"/>
                <w:szCs w:val="16"/>
              </w:rPr>
              <w:t>0</w:t>
            </w:r>
            <w:r w:rsidRPr="00F23D8C">
              <w:rPr>
                <w:b/>
                <w:bCs/>
                <w:sz w:val="16"/>
                <w:szCs w:val="16"/>
              </w:rPr>
              <w:t>,</w:t>
            </w:r>
            <w:r w:rsidR="0091518E" w:rsidRPr="00F23D8C">
              <w:rPr>
                <w:b/>
                <w:bCs/>
                <w:sz w:val="16"/>
                <w:szCs w:val="16"/>
              </w:rPr>
              <w:t>5</w:t>
            </w:r>
            <w:r w:rsidRPr="00F23D8C">
              <w:rPr>
                <w:b/>
                <w:bCs/>
                <w:sz w:val="16"/>
                <w:szCs w:val="16"/>
              </w:rPr>
              <w:t>00</w:t>
            </w:r>
          </w:p>
        </w:tc>
        <w:tc>
          <w:tcPr>
            <w:tcW w:w="1120" w:type="dxa"/>
            <w:tcBorders>
              <w:top w:val="single" w:sz="4" w:space="0" w:color="auto"/>
              <w:left w:val="single" w:sz="4" w:space="0" w:color="auto"/>
              <w:bottom w:val="single" w:sz="4" w:space="0" w:color="auto"/>
              <w:right w:val="single" w:sz="4" w:space="0" w:color="auto"/>
            </w:tcBorders>
            <w:shd w:val="clear" w:color="auto" w:fill="000000"/>
            <w:vAlign w:val="center"/>
          </w:tcPr>
          <w:p w14:paraId="22588FEB" w14:textId="77777777" w:rsidR="00D76DCA" w:rsidRPr="00F23D8C" w:rsidRDefault="00D76DCA" w:rsidP="00D76DCA">
            <w:pPr>
              <w:jc w:val="center"/>
              <w:rPr>
                <w:rFonts w:cs="Calibri"/>
                <w:bCs/>
                <w:color w:val="000000"/>
                <w:sz w:val="16"/>
                <w:szCs w:val="16"/>
              </w:rPr>
            </w:pPr>
          </w:p>
        </w:tc>
        <w:tc>
          <w:tcPr>
            <w:tcW w:w="867" w:type="dxa"/>
            <w:tcBorders>
              <w:top w:val="single" w:sz="4" w:space="0" w:color="auto"/>
              <w:left w:val="single" w:sz="4" w:space="0" w:color="auto"/>
              <w:bottom w:val="single" w:sz="4" w:space="0" w:color="auto"/>
              <w:right w:val="single" w:sz="4" w:space="0" w:color="auto"/>
            </w:tcBorders>
            <w:vAlign w:val="center"/>
          </w:tcPr>
          <w:p w14:paraId="3A96021D" w14:textId="77777777" w:rsidR="00D76DCA" w:rsidRPr="00F23D8C" w:rsidRDefault="0091518E" w:rsidP="00D76DCA">
            <w:pPr>
              <w:jc w:val="center"/>
              <w:rPr>
                <w:rFonts w:cs="Calibri"/>
                <w:bCs/>
                <w:color w:val="000000"/>
                <w:sz w:val="16"/>
                <w:szCs w:val="16"/>
              </w:rPr>
            </w:pPr>
            <w:r w:rsidRPr="00F23D8C">
              <w:rPr>
                <w:b/>
                <w:bCs/>
                <w:sz w:val="16"/>
                <w:szCs w:val="16"/>
              </w:rPr>
              <w:t>7,125</w:t>
            </w:r>
          </w:p>
        </w:tc>
        <w:tc>
          <w:tcPr>
            <w:tcW w:w="985" w:type="dxa"/>
            <w:tcBorders>
              <w:top w:val="single" w:sz="4" w:space="0" w:color="auto"/>
              <w:left w:val="single" w:sz="4" w:space="0" w:color="auto"/>
              <w:bottom w:val="single" w:sz="4" w:space="0" w:color="auto"/>
              <w:right w:val="single" w:sz="4" w:space="0" w:color="auto"/>
            </w:tcBorders>
            <w:shd w:val="clear" w:color="auto" w:fill="000000"/>
            <w:vAlign w:val="center"/>
          </w:tcPr>
          <w:p w14:paraId="27DBE0E9" w14:textId="77777777" w:rsidR="00D76DCA" w:rsidRPr="00F23D8C" w:rsidRDefault="00D76DCA" w:rsidP="00D76DCA">
            <w:pPr>
              <w:jc w:val="right"/>
              <w:rPr>
                <w:rFonts w:cs="Calibri"/>
                <w:bCs/>
                <w:color w:val="000000"/>
                <w:sz w:val="16"/>
                <w:szCs w:val="16"/>
              </w:rPr>
            </w:pPr>
          </w:p>
        </w:tc>
        <w:tc>
          <w:tcPr>
            <w:tcW w:w="1052" w:type="dxa"/>
            <w:tcBorders>
              <w:top w:val="single" w:sz="4" w:space="0" w:color="auto"/>
              <w:left w:val="single" w:sz="4" w:space="0" w:color="auto"/>
              <w:bottom w:val="single" w:sz="4" w:space="0" w:color="auto"/>
              <w:right w:val="single" w:sz="4" w:space="0" w:color="auto"/>
            </w:tcBorders>
            <w:shd w:val="clear" w:color="auto" w:fill="D9D9D9"/>
          </w:tcPr>
          <w:p w14:paraId="39502456" w14:textId="77777777" w:rsidR="00D76DCA" w:rsidRPr="00F23D8C" w:rsidRDefault="00D76DCA" w:rsidP="00D76DCA">
            <w:pPr>
              <w:jc w:val="right"/>
              <w:rPr>
                <w:rFonts w:cs="Calibri"/>
                <w:bCs/>
                <w:color w:val="000000"/>
                <w:sz w:val="16"/>
                <w:szCs w:val="16"/>
              </w:rPr>
            </w:pPr>
            <w:r w:rsidRPr="00F23D8C">
              <w:rPr>
                <w:b/>
                <w:bCs/>
                <w:sz w:val="16"/>
                <w:szCs w:val="16"/>
              </w:rPr>
              <w:t>$220,875</w:t>
            </w:r>
          </w:p>
        </w:tc>
      </w:tr>
    </w:tbl>
    <w:p w14:paraId="48A7EA74" w14:textId="77777777" w:rsidR="00FA2F70" w:rsidRPr="00F23D8C" w:rsidRDefault="00FA2F70" w:rsidP="00FA2F70">
      <w:pPr>
        <w:rPr>
          <w:rFonts w:ascii="Times New Roman" w:hAnsi="Times New Roman"/>
          <w:color w:val="000000"/>
          <w:sz w:val="24"/>
          <w:szCs w:val="24"/>
        </w:rPr>
      </w:pPr>
    </w:p>
    <w:p w14:paraId="6CDA319D" w14:textId="77777777" w:rsidR="00D35DDB" w:rsidRPr="00F23D8C" w:rsidRDefault="00D35DDB" w:rsidP="00FA2F70">
      <w:pPr>
        <w:rPr>
          <w:rFonts w:ascii="Times New Roman" w:hAnsi="Times New Roman"/>
          <w:color w:val="000000"/>
          <w:sz w:val="24"/>
          <w:szCs w:val="24"/>
        </w:rPr>
      </w:pPr>
    </w:p>
    <w:p w14:paraId="09AE4D33" w14:textId="77777777" w:rsidR="00D35DDB" w:rsidRPr="00F23D8C" w:rsidRDefault="00D35DDB" w:rsidP="00FA2F70">
      <w:pPr>
        <w:rPr>
          <w:rFonts w:ascii="Times New Roman" w:hAnsi="Times New Roman"/>
          <w:color w:val="000000"/>
          <w:sz w:val="24"/>
          <w:szCs w:val="24"/>
        </w:rPr>
      </w:pPr>
    </w:p>
    <w:p w14:paraId="7ED4460F" w14:textId="77777777" w:rsidR="00D35DDB" w:rsidRPr="00F23D8C" w:rsidRDefault="00D35DDB" w:rsidP="00FA2F70">
      <w:pPr>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0021340A" w:rsidRPr="00F23D8C" w14:paraId="400F2ACB" w14:textId="77777777" w:rsidTr="00F74690">
        <w:tc>
          <w:tcPr>
            <w:tcW w:w="9252" w:type="dxa"/>
            <w:shd w:val="clear" w:color="auto" w:fill="auto"/>
          </w:tcPr>
          <w:p w14:paraId="3090B7EB"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15. Explain the reasons for any program changes or adjustments reported in Items 13 or 14 of the OMB Form 83-I. </w:t>
            </w:r>
          </w:p>
          <w:p w14:paraId="3AEC7F9F" w14:textId="77777777" w:rsidR="00F74690" w:rsidRPr="00F23D8C" w:rsidRDefault="00F74690" w:rsidP="001B4FB5">
            <w:pPr>
              <w:rPr>
                <w:rFonts w:ascii="Times New Roman" w:hAnsi="Times New Roman"/>
                <w:b/>
                <w:color w:val="000000"/>
                <w:sz w:val="24"/>
                <w:szCs w:val="24"/>
              </w:rPr>
            </w:pPr>
          </w:p>
          <w:p w14:paraId="1DE8DB05" w14:textId="77777777" w:rsidR="00324539" w:rsidRPr="00F23D8C" w:rsidRDefault="0091518E" w:rsidP="00324539">
            <w:pPr>
              <w:rPr>
                <w:rFonts w:ascii="Times New Roman" w:hAnsi="Times New Roman"/>
                <w:sz w:val="24"/>
                <w:szCs w:val="24"/>
              </w:rPr>
            </w:pPr>
            <w:r w:rsidRPr="00F23D8C">
              <w:rPr>
                <w:rFonts w:ascii="Times New Roman" w:hAnsi="Times New Roman"/>
                <w:color w:val="000000"/>
                <w:sz w:val="24"/>
                <w:szCs w:val="24"/>
              </w:rPr>
              <w:t xml:space="preserve">This is </w:t>
            </w:r>
            <w:r w:rsidR="00F74690" w:rsidRPr="00F23D8C">
              <w:rPr>
                <w:rFonts w:ascii="Times New Roman" w:hAnsi="Times New Roman"/>
                <w:color w:val="000000"/>
                <w:sz w:val="24"/>
                <w:szCs w:val="24"/>
              </w:rPr>
              <w:t xml:space="preserve">revision request </w:t>
            </w:r>
            <w:r w:rsidRPr="00F23D8C">
              <w:rPr>
                <w:rFonts w:ascii="Times New Roman" w:hAnsi="Times New Roman"/>
                <w:color w:val="000000"/>
                <w:sz w:val="24"/>
                <w:szCs w:val="24"/>
              </w:rPr>
              <w:t>of a currently approved collection.</w:t>
            </w:r>
            <w:r w:rsidRPr="00F23D8C">
              <w:rPr>
                <w:rFonts w:ascii="Times New Roman" w:hAnsi="Times New Roman"/>
                <w:sz w:val="24"/>
              </w:rPr>
              <w:t xml:space="preserve"> </w:t>
            </w:r>
            <w:bookmarkStart w:id="1" w:name="_Hlk527442700"/>
            <w:r w:rsidR="00324539" w:rsidRPr="00F23D8C">
              <w:rPr>
                <w:rFonts w:ascii="Times New Roman" w:hAnsi="Times New Roman"/>
                <w:sz w:val="24"/>
                <w:szCs w:val="24"/>
              </w:rPr>
              <w:t>The decrease in annual cost compared to current OMB inventory is because of fewer number of respondents (9,000 versus 9,900) and more respondents submitting electronically instead of paper form 2530.  Also, the burden hours for review time of e-2530 is reduced due to the implementation of new 24CFR Part 200 (published October 14, 2016) that requires respondents to streamline the information submitted.  Hourly cost is adjusted to reflect current salary of a GS12.</w:t>
            </w:r>
          </w:p>
          <w:p w14:paraId="092703A5" w14:textId="77777777" w:rsidR="00324539" w:rsidRPr="00F23D8C" w:rsidRDefault="00324539" w:rsidP="00324539">
            <w:pPr>
              <w:keepLines/>
              <w:numPr>
                <w:ilvl w:val="12"/>
                <w:numId w:val="0"/>
              </w:numPr>
              <w:tabs>
                <w:tab w:val="left" w:pos="240"/>
                <w:tab w:val="right" w:pos="4800"/>
              </w:tabs>
              <w:ind w:left="480" w:hanging="360"/>
              <w:rPr>
                <w:rFonts w:ascii="Times New Roman" w:hAnsi="Times New Roman"/>
                <w:sz w:val="16"/>
                <w:szCs w:val="16"/>
              </w:rPr>
            </w:pPr>
          </w:p>
          <w:bookmarkEnd w:id="1"/>
          <w:p w14:paraId="38C38697" w14:textId="77777777" w:rsidR="00560E48" w:rsidRPr="00F23D8C" w:rsidRDefault="00560E48" w:rsidP="001B4FB5">
            <w:pPr>
              <w:rPr>
                <w:rFonts w:ascii="Times New Roman" w:hAnsi="Times New Roman"/>
                <w:color w:val="000000"/>
                <w:sz w:val="24"/>
                <w:szCs w:val="24"/>
              </w:rPr>
            </w:pPr>
          </w:p>
        </w:tc>
      </w:tr>
      <w:tr w:rsidR="0021340A" w:rsidRPr="00F23D8C" w14:paraId="39487F92" w14:textId="77777777" w:rsidTr="00F74690">
        <w:tc>
          <w:tcPr>
            <w:tcW w:w="9252" w:type="dxa"/>
            <w:shd w:val="clear" w:color="auto" w:fill="auto"/>
          </w:tcPr>
          <w:p w14:paraId="20E982B8" w14:textId="77777777" w:rsidR="0021340A" w:rsidRPr="00F23D8C" w:rsidRDefault="0021340A" w:rsidP="001B4FB5">
            <w:pPr>
              <w:rPr>
                <w:rFonts w:ascii="Times New Roman" w:hAnsi="Times New Roman"/>
                <w:b/>
                <w:color w:val="000000"/>
                <w:sz w:val="24"/>
                <w:szCs w:val="24"/>
              </w:rPr>
            </w:pPr>
          </w:p>
        </w:tc>
      </w:tr>
      <w:tr w:rsidR="0021340A" w:rsidRPr="00F23D8C" w14:paraId="59745BDA" w14:textId="77777777" w:rsidTr="00F74690">
        <w:tc>
          <w:tcPr>
            <w:tcW w:w="9252" w:type="dxa"/>
            <w:shd w:val="clear" w:color="auto" w:fill="auto"/>
          </w:tcPr>
          <w:p w14:paraId="2D52DCC1"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EEBB459" w14:textId="77777777" w:rsidR="00C012D2" w:rsidRPr="00F23D8C" w:rsidRDefault="00C012D2" w:rsidP="00C012D2">
            <w:pPr>
              <w:tabs>
                <w:tab w:val="left" w:pos="360"/>
                <w:tab w:val="left" w:pos="720"/>
              </w:tabs>
              <w:overflowPunct w:val="0"/>
              <w:autoSpaceDE w:val="0"/>
              <w:autoSpaceDN w:val="0"/>
              <w:adjustRightInd w:val="0"/>
              <w:ind w:right="720"/>
              <w:textAlignment w:val="baseline"/>
              <w:rPr>
                <w:sz w:val="24"/>
              </w:rPr>
            </w:pPr>
          </w:p>
          <w:p w14:paraId="1372AB2D" w14:textId="77777777" w:rsidR="00C012D2" w:rsidRPr="00F23D8C" w:rsidRDefault="00C012D2" w:rsidP="00C012D2">
            <w:pPr>
              <w:tabs>
                <w:tab w:val="left" w:pos="360"/>
                <w:tab w:val="left" w:pos="720"/>
              </w:tabs>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The results of the information collected will not be published.</w:t>
            </w:r>
          </w:p>
          <w:p w14:paraId="311DA5F4" w14:textId="77777777" w:rsidR="0021340A" w:rsidRPr="00F23D8C" w:rsidRDefault="0021340A" w:rsidP="001B4FB5">
            <w:pPr>
              <w:rPr>
                <w:rFonts w:ascii="Times New Roman" w:hAnsi="Times New Roman"/>
                <w:b/>
                <w:color w:val="000000"/>
                <w:sz w:val="24"/>
                <w:szCs w:val="24"/>
              </w:rPr>
            </w:pPr>
          </w:p>
        </w:tc>
      </w:tr>
    </w:tbl>
    <w:p w14:paraId="5FF4AEB5" w14:textId="77777777" w:rsidR="00FA2F70" w:rsidRPr="00F23D8C" w:rsidRDefault="00FA2F70" w:rsidP="00FA2F70">
      <w:pPr>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21340A" w:rsidRPr="00F23D8C" w14:paraId="00850444" w14:textId="77777777" w:rsidTr="00F74690">
        <w:tc>
          <w:tcPr>
            <w:tcW w:w="9252" w:type="dxa"/>
            <w:shd w:val="clear" w:color="auto" w:fill="auto"/>
          </w:tcPr>
          <w:p w14:paraId="48DF40E7"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14:paraId="37C9AE04" w14:textId="77777777" w:rsidR="00C012D2" w:rsidRPr="00F23D8C" w:rsidRDefault="00C012D2" w:rsidP="001B4FB5">
            <w:pPr>
              <w:rPr>
                <w:rFonts w:ascii="Times New Roman" w:hAnsi="Times New Roman"/>
                <w:b/>
                <w:color w:val="000000"/>
                <w:sz w:val="24"/>
                <w:szCs w:val="24"/>
              </w:rPr>
            </w:pPr>
          </w:p>
          <w:p w14:paraId="4F25AFF6" w14:textId="77777777" w:rsidR="00C012D2" w:rsidRPr="00F23D8C" w:rsidRDefault="00C012D2" w:rsidP="00C012D2">
            <w:pPr>
              <w:tabs>
                <w:tab w:val="left" w:pos="360"/>
                <w:tab w:val="left" w:pos="720"/>
              </w:tabs>
              <w:overflowPunct w:val="0"/>
              <w:autoSpaceDE w:val="0"/>
              <w:autoSpaceDN w:val="0"/>
              <w:adjustRightInd w:val="0"/>
              <w:ind w:right="720"/>
              <w:textAlignment w:val="baseline"/>
              <w:rPr>
                <w:rFonts w:ascii="Times New Roman" w:hAnsi="Times New Roman"/>
                <w:sz w:val="24"/>
              </w:rPr>
            </w:pPr>
            <w:r w:rsidRPr="00F23D8C">
              <w:rPr>
                <w:rFonts w:ascii="Times New Roman" w:hAnsi="Times New Roman"/>
                <w:sz w:val="24"/>
              </w:rPr>
              <w:t>HUD is not seeking approval not to display the expiration date for OMB approval of the information collection.</w:t>
            </w:r>
          </w:p>
          <w:p w14:paraId="73DC4868" w14:textId="77777777" w:rsidR="00C012D2" w:rsidRPr="00F23D8C" w:rsidRDefault="00C012D2" w:rsidP="001B4FB5">
            <w:pPr>
              <w:rPr>
                <w:rFonts w:ascii="Times New Roman" w:hAnsi="Times New Roman"/>
                <w:b/>
                <w:color w:val="000000"/>
                <w:sz w:val="24"/>
                <w:szCs w:val="24"/>
              </w:rPr>
            </w:pPr>
          </w:p>
          <w:p w14:paraId="64D2A807" w14:textId="77777777" w:rsidR="0021340A" w:rsidRPr="00F23D8C" w:rsidRDefault="0021340A" w:rsidP="001B4FB5">
            <w:pPr>
              <w:rPr>
                <w:rFonts w:ascii="Times New Roman" w:hAnsi="Times New Roman"/>
                <w:color w:val="000000"/>
                <w:sz w:val="24"/>
                <w:szCs w:val="24"/>
              </w:rPr>
            </w:pPr>
          </w:p>
        </w:tc>
      </w:tr>
      <w:tr w:rsidR="0021340A" w:rsidRPr="00F23D8C" w14:paraId="13F6DC91" w14:textId="77777777" w:rsidTr="00F74690">
        <w:tc>
          <w:tcPr>
            <w:tcW w:w="9252" w:type="dxa"/>
            <w:shd w:val="clear" w:color="auto" w:fill="auto"/>
          </w:tcPr>
          <w:p w14:paraId="0A015184" w14:textId="77777777" w:rsidR="0021340A" w:rsidRPr="00F23D8C" w:rsidRDefault="0021340A" w:rsidP="001B4FB5">
            <w:pPr>
              <w:rPr>
                <w:rFonts w:ascii="Times New Roman" w:hAnsi="Times New Roman"/>
                <w:b/>
                <w:color w:val="000000"/>
                <w:sz w:val="24"/>
                <w:szCs w:val="24"/>
              </w:rPr>
            </w:pPr>
            <w:r w:rsidRPr="00F23D8C">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14:paraId="6FA0D9E4" w14:textId="77777777" w:rsidR="00C012D2" w:rsidRPr="00F23D8C" w:rsidRDefault="00C012D2" w:rsidP="00614F01">
            <w:pPr>
              <w:tabs>
                <w:tab w:val="left" w:pos="360"/>
                <w:tab w:val="left" w:pos="720"/>
              </w:tabs>
              <w:overflowPunct w:val="0"/>
              <w:autoSpaceDE w:val="0"/>
              <w:autoSpaceDN w:val="0"/>
              <w:adjustRightInd w:val="0"/>
              <w:ind w:right="720"/>
              <w:textAlignment w:val="baseline"/>
              <w:rPr>
                <w:sz w:val="24"/>
              </w:rPr>
            </w:pPr>
          </w:p>
          <w:p w14:paraId="08D3FA3A" w14:textId="77777777" w:rsidR="00C012D2" w:rsidRPr="00F23D8C" w:rsidRDefault="00614F01" w:rsidP="001B4FB5">
            <w:pPr>
              <w:rPr>
                <w:rFonts w:ascii="Times New Roman" w:hAnsi="Times New Roman"/>
                <w:b/>
                <w:color w:val="000000"/>
                <w:sz w:val="24"/>
                <w:szCs w:val="24"/>
              </w:rPr>
            </w:pPr>
            <w:r w:rsidRPr="00F23D8C">
              <w:rPr>
                <w:rFonts w:ascii="Times New Roman" w:hAnsi="Times New Roman"/>
                <w:sz w:val="24"/>
              </w:rPr>
              <w:t>There are no exceptions to the Certification Statement identified in item 19 of the OMB 83-I</w:t>
            </w:r>
            <w:r w:rsidRPr="00F23D8C">
              <w:rPr>
                <w:rFonts w:ascii="Times New Roman" w:hAnsi="Times New Roman"/>
                <w:b/>
                <w:color w:val="000000"/>
                <w:sz w:val="24"/>
                <w:szCs w:val="24"/>
              </w:rPr>
              <w:t xml:space="preserve"> </w:t>
            </w:r>
          </w:p>
          <w:p w14:paraId="47333EA3" w14:textId="77777777" w:rsidR="0021340A" w:rsidRPr="00F23D8C" w:rsidRDefault="0021340A" w:rsidP="001B4FB5">
            <w:pPr>
              <w:rPr>
                <w:rFonts w:ascii="Times New Roman" w:hAnsi="Times New Roman"/>
                <w:b/>
                <w:color w:val="000000"/>
                <w:sz w:val="24"/>
                <w:szCs w:val="24"/>
              </w:rPr>
            </w:pPr>
          </w:p>
        </w:tc>
      </w:tr>
    </w:tbl>
    <w:p w14:paraId="007868FE" w14:textId="77777777" w:rsidR="00FA2F70" w:rsidRPr="00F23D8C" w:rsidRDefault="00FA2F70" w:rsidP="00FA2F70">
      <w:pPr>
        <w:rPr>
          <w:rFonts w:ascii="Times New Roman" w:hAnsi="Times New Roman"/>
          <w:color w:val="000000"/>
          <w:sz w:val="24"/>
          <w:szCs w:val="24"/>
        </w:rPr>
      </w:pPr>
    </w:p>
    <w:p w14:paraId="2660823C" w14:textId="77777777" w:rsidR="00075224" w:rsidRPr="00F23D8C" w:rsidRDefault="00075224" w:rsidP="00FA2F70">
      <w:pPr>
        <w:rPr>
          <w:rFonts w:ascii="Times New Roman" w:hAnsi="Times New Roman"/>
          <w:b/>
          <w:bCs/>
          <w:color w:val="000000"/>
          <w:sz w:val="24"/>
          <w:szCs w:val="24"/>
        </w:rPr>
      </w:pPr>
      <w:r w:rsidRPr="00F23D8C">
        <w:rPr>
          <w:rFonts w:ascii="Times New Roman" w:hAnsi="Times New Roman"/>
          <w:b/>
          <w:bCs/>
          <w:color w:val="000000"/>
          <w:sz w:val="24"/>
          <w:szCs w:val="24"/>
        </w:rPr>
        <w:t xml:space="preserve">B. Collections of Information Employing Statistical Methods </w:t>
      </w:r>
    </w:p>
    <w:p w14:paraId="5F7106D9" w14:textId="77777777" w:rsidR="00FA2F70" w:rsidRPr="00F23D8C" w:rsidRDefault="00FA2F70" w:rsidP="00FA2F70">
      <w:pPr>
        <w:rPr>
          <w:rFonts w:ascii="Times New Roman" w:hAnsi="Times New Roman"/>
          <w:color w:val="000000"/>
          <w:sz w:val="24"/>
          <w:szCs w:val="24"/>
        </w:rPr>
      </w:pPr>
    </w:p>
    <w:p w14:paraId="0E208A04" w14:textId="77777777" w:rsidR="00075224" w:rsidRPr="00C879B4" w:rsidRDefault="00614F01" w:rsidP="00F74690">
      <w:pPr>
        <w:rPr>
          <w:rFonts w:ascii="Times New Roman" w:hAnsi="Times New Roman"/>
          <w:color w:val="000000"/>
          <w:sz w:val="24"/>
          <w:szCs w:val="24"/>
        </w:rPr>
      </w:pPr>
      <w:r w:rsidRPr="00F23D8C">
        <w:rPr>
          <w:rFonts w:ascii="Times New Roman" w:hAnsi="Times New Roman"/>
          <w:sz w:val="24"/>
        </w:rPr>
        <w:t>There are no statistical methods used in this collection.</w:t>
      </w:r>
      <w:r>
        <w:rPr>
          <w:rFonts w:ascii="Times New Roman" w:hAnsi="Times New Roman"/>
          <w:sz w:val="24"/>
        </w:rPr>
        <w:t xml:space="preserve"> </w:t>
      </w:r>
    </w:p>
    <w:sectPr w:rsidR="00075224" w:rsidRPr="00C879B4" w:rsidSect="00075224">
      <w:footerReference w:type="even" r:id="rId8"/>
      <w:footerReference w:type="default" r:id="rId9"/>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F5A94" w14:textId="77777777" w:rsidR="00471AC7" w:rsidRDefault="00471AC7" w:rsidP="00075224">
      <w:r>
        <w:separator/>
      </w:r>
    </w:p>
  </w:endnote>
  <w:endnote w:type="continuationSeparator" w:id="0">
    <w:p w14:paraId="5FCD3262" w14:textId="77777777" w:rsidR="00471AC7" w:rsidRDefault="00471AC7" w:rsidP="0007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5CB3"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3C4103BD" w14:textId="77777777" w:rsidR="0066398E" w:rsidRDefault="006639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E5404"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E05230">
      <w:rPr>
        <w:rStyle w:val="PageNumber"/>
        <w:noProof/>
      </w:rPr>
      <w:t>1</w:t>
    </w:r>
    <w:r>
      <w:rPr>
        <w:rStyle w:val="PageNumber"/>
      </w:rPr>
      <w:fldChar w:fldCharType="end"/>
    </w:r>
  </w:p>
  <w:p w14:paraId="23C9CEC2"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E2EAA" w14:textId="77777777" w:rsidR="00471AC7" w:rsidRDefault="00471AC7" w:rsidP="00075224">
      <w:r>
        <w:separator/>
      </w:r>
    </w:p>
  </w:footnote>
  <w:footnote w:type="continuationSeparator" w:id="0">
    <w:p w14:paraId="26BB2CC6" w14:textId="77777777" w:rsidR="00471AC7" w:rsidRDefault="00471AC7" w:rsidP="00075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4CD5"/>
    <w:multiLevelType w:val="hybridMultilevel"/>
    <w:tmpl w:val="0B3422A8"/>
    <w:lvl w:ilvl="0" w:tplc="D8082EAE">
      <w:start w:val="9"/>
      <w:numFmt w:val="decimal"/>
      <w:lvlText w:val="%1."/>
      <w:lvlJc w:val="left"/>
      <w:pPr>
        <w:tabs>
          <w:tab w:val="num" w:pos="360"/>
        </w:tabs>
        <w:ind w:left="360" w:hanging="360"/>
      </w:pPr>
      <w:rPr>
        <w:rFonts w:hint="default"/>
        <w:b w:val="0"/>
        <w:i w:val="0"/>
      </w:rPr>
    </w:lvl>
    <w:lvl w:ilvl="1" w:tplc="2D98780C">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9777D"/>
    <w:multiLevelType w:val="hybridMultilevel"/>
    <w:tmpl w:val="B50E9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80B7614"/>
    <w:multiLevelType w:val="hybridMultilevel"/>
    <w:tmpl w:val="883E4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CC2282"/>
    <w:multiLevelType w:val="hybridMultilevel"/>
    <w:tmpl w:val="F3FCB4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540D66"/>
    <w:multiLevelType w:val="hybridMultilevel"/>
    <w:tmpl w:val="9A1CCD2A"/>
    <w:lvl w:ilvl="0" w:tplc="439635E2">
      <w:start w:val="1"/>
      <w:numFmt w:val="decimal"/>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9"/>
  </w:num>
  <w:num w:numId="3">
    <w:abstractNumId w:val="2"/>
  </w:num>
  <w:num w:numId="4">
    <w:abstractNumId w:val="8"/>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1"/>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75224"/>
    <w:rsid w:val="000B4874"/>
    <w:rsid w:val="000C62BB"/>
    <w:rsid w:val="000D7FD0"/>
    <w:rsid w:val="00164BAE"/>
    <w:rsid w:val="00167FD2"/>
    <w:rsid w:val="00174045"/>
    <w:rsid w:val="001B4FB5"/>
    <w:rsid w:val="001C6560"/>
    <w:rsid w:val="001D706D"/>
    <w:rsid w:val="0021340A"/>
    <w:rsid w:val="00260BB1"/>
    <w:rsid w:val="00276A7E"/>
    <w:rsid w:val="0029110D"/>
    <w:rsid w:val="00296DF2"/>
    <w:rsid w:val="00320358"/>
    <w:rsid w:val="00324539"/>
    <w:rsid w:val="00397DF1"/>
    <w:rsid w:val="003C400F"/>
    <w:rsid w:val="003D3048"/>
    <w:rsid w:val="003F4D24"/>
    <w:rsid w:val="0045385B"/>
    <w:rsid w:val="00471AC7"/>
    <w:rsid w:val="004939BF"/>
    <w:rsid w:val="004C389E"/>
    <w:rsid w:val="004D0A64"/>
    <w:rsid w:val="0050120C"/>
    <w:rsid w:val="00503DC5"/>
    <w:rsid w:val="00560E48"/>
    <w:rsid w:val="00566A56"/>
    <w:rsid w:val="00586EA9"/>
    <w:rsid w:val="005A6EB8"/>
    <w:rsid w:val="005D21A4"/>
    <w:rsid w:val="00614F01"/>
    <w:rsid w:val="0066398E"/>
    <w:rsid w:val="00666CF0"/>
    <w:rsid w:val="006717F4"/>
    <w:rsid w:val="00674109"/>
    <w:rsid w:val="00695EEE"/>
    <w:rsid w:val="00711F61"/>
    <w:rsid w:val="00723144"/>
    <w:rsid w:val="00741B05"/>
    <w:rsid w:val="0075410C"/>
    <w:rsid w:val="00760CC6"/>
    <w:rsid w:val="00797F95"/>
    <w:rsid w:val="00797FB9"/>
    <w:rsid w:val="0091518E"/>
    <w:rsid w:val="00922458"/>
    <w:rsid w:val="00934001"/>
    <w:rsid w:val="009419D6"/>
    <w:rsid w:val="009767B2"/>
    <w:rsid w:val="009814CB"/>
    <w:rsid w:val="00982371"/>
    <w:rsid w:val="009A3A5E"/>
    <w:rsid w:val="009B0365"/>
    <w:rsid w:val="009E118C"/>
    <w:rsid w:val="00A33DED"/>
    <w:rsid w:val="00A352F3"/>
    <w:rsid w:val="00A6656E"/>
    <w:rsid w:val="00A80199"/>
    <w:rsid w:val="00AA04EA"/>
    <w:rsid w:val="00AE2E96"/>
    <w:rsid w:val="00B004A7"/>
    <w:rsid w:val="00B106EA"/>
    <w:rsid w:val="00B7253E"/>
    <w:rsid w:val="00BB0F74"/>
    <w:rsid w:val="00C012D2"/>
    <w:rsid w:val="00C879B4"/>
    <w:rsid w:val="00CB45ED"/>
    <w:rsid w:val="00CF512D"/>
    <w:rsid w:val="00D04BCC"/>
    <w:rsid w:val="00D127E8"/>
    <w:rsid w:val="00D35DDB"/>
    <w:rsid w:val="00D720B2"/>
    <w:rsid w:val="00D76DCA"/>
    <w:rsid w:val="00DC1E6C"/>
    <w:rsid w:val="00DD3D89"/>
    <w:rsid w:val="00DF2C79"/>
    <w:rsid w:val="00E05230"/>
    <w:rsid w:val="00E53DE7"/>
    <w:rsid w:val="00EA7C8E"/>
    <w:rsid w:val="00EF54ED"/>
    <w:rsid w:val="00F17541"/>
    <w:rsid w:val="00F23D8C"/>
    <w:rsid w:val="00F25F07"/>
    <w:rsid w:val="00F74690"/>
    <w:rsid w:val="00FA2F70"/>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AF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E118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109"/>
    <w:pPr>
      <w:overflowPunct w:val="0"/>
      <w:autoSpaceDE w:val="0"/>
      <w:autoSpaceDN w:val="0"/>
      <w:adjustRightInd w:val="0"/>
      <w:ind w:left="720"/>
      <w:textAlignment w:val="baseline"/>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E118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4109"/>
    <w:pPr>
      <w:overflowPunct w:val="0"/>
      <w:autoSpaceDE w:val="0"/>
      <w:autoSpaceDN w:val="0"/>
      <w:adjustRightInd w:val="0"/>
      <w:ind w:left="720"/>
      <w:textAlignment w:val="baseline"/>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SYSTEM</cp:lastModifiedBy>
  <cp:revision>2</cp:revision>
  <cp:lastPrinted>2015-10-22T17:43:00Z</cp:lastPrinted>
  <dcterms:created xsi:type="dcterms:W3CDTF">2019-05-30T18:06:00Z</dcterms:created>
  <dcterms:modified xsi:type="dcterms:W3CDTF">2019-05-30T18:06:00Z</dcterms:modified>
</cp:coreProperties>
</file>