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40E15A" w14:textId="77777777" w:rsidR="00D22147" w:rsidRDefault="00D22147" w:rsidP="00B25DE3">
      <w:pPr>
        <w:spacing w:after="0"/>
        <w:jc w:val="center"/>
        <w:rPr>
          <w:b/>
        </w:rPr>
      </w:pPr>
      <w:bookmarkStart w:id="0" w:name="_GoBack"/>
      <w:bookmarkEnd w:id="0"/>
      <w:r>
        <w:rPr>
          <w:b/>
        </w:rPr>
        <w:t>Information Collection Request Supporting Statement: Section A</w:t>
      </w:r>
    </w:p>
    <w:p w14:paraId="4E120646" w14:textId="77777777" w:rsidR="00E03515" w:rsidRDefault="003B36EB" w:rsidP="00B25DE3">
      <w:pPr>
        <w:spacing w:after="0"/>
        <w:ind w:left="720" w:hanging="720"/>
        <w:jc w:val="center"/>
        <w:rPr>
          <w:b/>
        </w:rPr>
      </w:pPr>
      <w:r w:rsidRPr="00B25DE3">
        <w:rPr>
          <w:b/>
        </w:rPr>
        <w:t>Visual Scanning Training for Older Drivers</w:t>
      </w:r>
    </w:p>
    <w:p w14:paraId="24877756" w14:textId="77777777" w:rsidR="003B36EB" w:rsidRDefault="003B36EB" w:rsidP="00B25DE3">
      <w:pPr>
        <w:spacing w:after="0"/>
        <w:ind w:left="720" w:hanging="720"/>
        <w:jc w:val="center"/>
        <w:rPr>
          <w:b/>
        </w:rPr>
      </w:pPr>
    </w:p>
    <w:p w14:paraId="7BF9D1CA" w14:textId="77777777" w:rsidR="00E35E69" w:rsidRDefault="00B25DE3" w:rsidP="00B25DE3">
      <w:pPr>
        <w:ind w:right="-360"/>
        <w:rPr>
          <w:color w:val="000000"/>
        </w:rPr>
      </w:pPr>
      <w:r>
        <w:tab/>
      </w:r>
      <w:r w:rsidR="00E35E69" w:rsidRPr="009D1C79">
        <w:t xml:space="preserve">The National Highway Traffic Safety Administration (NHTSA) of the U.S. Department of Transportation (USDOT) is seeking approval from the Office of Management and Budget (OMB) to </w:t>
      </w:r>
      <w:r w:rsidR="00E35E69" w:rsidRPr="003C4C7C">
        <w:rPr>
          <w:color w:val="000000"/>
        </w:rPr>
        <w:t xml:space="preserve">collect information from licensed older drivers </w:t>
      </w:r>
      <w:r w:rsidR="00E35E69">
        <w:rPr>
          <w:color w:val="000000"/>
        </w:rPr>
        <w:t xml:space="preserve">to determine (1) their eligibility to participate in a study of the effectiveness of a visual scanning training protocol to improve driving safety, (2) </w:t>
      </w:r>
      <w:r w:rsidR="008646C3">
        <w:rPr>
          <w:color w:val="000000"/>
        </w:rPr>
        <w:t xml:space="preserve">their driving performance during on-road evaluations to measure training effectiveness, and (3) </w:t>
      </w:r>
      <w:r w:rsidR="00E35E69">
        <w:rPr>
          <w:color w:val="000000"/>
        </w:rPr>
        <w:t>their attitudes about the training procedures and their perc</w:t>
      </w:r>
      <w:r w:rsidR="008646C3">
        <w:rPr>
          <w:color w:val="000000"/>
        </w:rPr>
        <w:t>eptions of its benefits</w:t>
      </w:r>
      <w:r w:rsidR="00E35E69">
        <w:rPr>
          <w:color w:val="000000"/>
        </w:rPr>
        <w:t>.</w:t>
      </w:r>
    </w:p>
    <w:p w14:paraId="39F23163" w14:textId="77777777" w:rsidR="003C6D62" w:rsidRDefault="003C6D62" w:rsidP="00B25DE3">
      <w:pPr>
        <w:ind w:firstLine="720"/>
        <w:rPr>
          <w:bCs/>
          <w:lang w:bidi="en-US"/>
        </w:rPr>
      </w:pPr>
      <w:r w:rsidRPr="003C6D62">
        <w:rPr>
          <w:bCs/>
          <w:lang w:bidi="en-US"/>
        </w:rPr>
        <w:t>As the effect of age-related decline in visual search and attention on safe driving abilities has become better understood, researchers have developed different strategies and techniques to ameliorate it. The visual scanning training protocol that is the focus of this study was designed to be delivered by a generalist occupational therapist (OT). The OT conduct</w:t>
      </w:r>
      <w:r w:rsidR="001F33AC">
        <w:rPr>
          <w:bCs/>
          <w:lang w:bidi="en-US"/>
        </w:rPr>
        <w:t>s</w:t>
      </w:r>
      <w:r w:rsidRPr="003C6D62">
        <w:rPr>
          <w:bCs/>
          <w:lang w:bidi="en-US"/>
        </w:rPr>
        <w:t xml:space="preserve"> the one-on-one sessions in a clinical setting, targeting visual field expansion, simultaneous processing of multiple visual stimuli, and ocular skill (visual search routine) exercises. NHTSA’s study “Validation of Rehabilitation Training Programs for Older Drivers” (DOT HS 811 749; April 2013) provided a preliminary analysis of the training’s effectiveness. While the results were encouraging, the research team concluded that widespread promotion of this intervention would</w:t>
      </w:r>
      <w:r>
        <w:rPr>
          <w:bCs/>
          <w:lang w:bidi="en-US"/>
        </w:rPr>
        <w:t xml:space="preserve"> require additional evidence.</w:t>
      </w:r>
    </w:p>
    <w:p w14:paraId="1B5D7850" w14:textId="77777777" w:rsidR="006F736C" w:rsidRPr="004B447F" w:rsidRDefault="003C6D62" w:rsidP="004B447F">
      <w:pPr>
        <w:pStyle w:val="Default"/>
        <w:ind w:firstLine="720"/>
        <w:rPr>
          <w:rFonts w:ascii="Times New Roman" w:hAnsi="Times New Roman" w:cs="Times New Roman"/>
        </w:rPr>
      </w:pPr>
      <w:r w:rsidRPr="004B447F">
        <w:rPr>
          <w:rFonts w:ascii="Times New Roman" w:hAnsi="Times New Roman" w:cs="Times New Roman"/>
          <w:bCs/>
          <w:lang w:bidi="en-US"/>
        </w:rPr>
        <w:t>Following efforts to refine and streamline the training protocol, a larger sample of healthy older drivers will receive the updated training program. Th</w:t>
      </w:r>
      <w:r w:rsidR="001F33AC" w:rsidRPr="004B447F">
        <w:rPr>
          <w:rFonts w:ascii="Times New Roman" w:hAnsi="Times New Roman" w:cs="Times New Roman"/>
          <w:bCs/>
          <w:lang w:bidi="en-US"/>
        </w:rPr>
        <w:t>is</w:t>
      </w:r>
      <w:r w:rsidRPr="004B447F">
        <w:rPr>
          <w:rFonts w:ascii="Times New Roman" w:hAnsi="Times New Roman" w:cs="Times New Roman"/>
          <w:bCs/>
          <w:lang w:bidi="en-US"/>
        </w:rPr>
        <w:t xml:space="preserve"> study will measure effectiveness of the training by comparison of road test scores to a control group while also gauging drivers’ attitudes and perceptions about the training experience. The original training program developer and supporting research team will direct and perform this study.    </w:t>
      </w:r>
      <w:r w:rsidR="00B377F6" w:rsidRPr="004B447F">
        <w:rPr>
          <w:rFonts w:ascii="Times New Roman" w:hAnsi="Times New Roman" w:cs="Times New Roman"/>
        </w:rPr>
        <w:t xml:space="preserve">   </w:t>
      </w:r>
    </w:p>
    <w:p w14:paraId="6BDD4444" w14:textId="77777777" w:rsidR="00DC1955" w:rsidRDefault="00DC1955" w:rsidP="00B25DE3">
      <w:pPr>
        <w:pStyle w:val="Heading2"/>
        <w:ind w:right="-360"/>
        <w:rPr>
          <w:b/>
          <w:u w:val="none"/>
        </w:rPr>
      </w:pPr>
      <w:bookmarkStart w:id="1" w:name="_Toc125278813"/>
      <w:bookmarkStart w:id="2" w:name="_Toc125341734"/>
      <w:bookmarkStart w:id="3" w:name="_Toc125447292"/>
      <w:bookmarkStart w:id="4" w:name="_Toc126394120"/>
    </w:p>
    <w:p w14:paraId="2290CF2E" w14:textId="77777777" w:rsidR="00C800ED" w:rsidRPr="00B25DE3" w:rsidRDefault="004F29DA" w:rsidP="00C657FB">
      <w:pPr>
        <w:pStyle w:val="Heading2"/>
        <w:ind w:left="720" w:right="-360" w:hanging="720"/>
        <w:rPr>
          <w:b/>
          <w:u w:val="none"/>
        </w:rPr>
      </w:pPr>
      <w:r>
        <w:rPr>
          <w:b/>
          <w:u w:val="none"/>
        </w:rPr>
        <w:t xml:space="preserve">A.1.  </w:t>
      </w:r>
      <w:r w:rsidR="00C800ED" w:rsidRPr="00672019">
        <w:rPr>
          <w:b/>
          <w:u w:val="none"/>
        </w:rPr>
        <w:t>Explain the circumstances that make the collection of information necessary.</w:t>
      </w:r>
      <w:bookmarkEnd w:id="1"/>
      <w:bookmarkEnd w:id="2"/>
      <w:r w:rsidR="00C800ED" w:rsidRPr="00672019">
        <w:rPr>
          <w:b/>
          <w:u w:val="none"/>
        </w:rPr>
        <w:t xml:space="preserve"> Identify any </w:t>
      </w:r>
      <w:r w:rsidR="00E35E69">
        <w:rPr>
          <w:b/>
          <w:u w:val="none"/>
        </w:rPr>
        <w:t>l</w:t>
      </w:r>
      <w:r w:rsidR="00C800ED" w:rsidRPr="00672019">
        <w:rPr>
          <w:b/>
          <w:u w:val="none"/>
        </w:rPr>
        <w:t xml:space="preserve">egal or administrative requirements that necessitate the collection. </w:t>
      </w:r>
      <w:bookmarkStart w:id="5" w:name="_Toc125341735"/>
      <w:bookmarkEnd w:id="3"/>
      <w:bookmarkEnd w:id="4"/>
    </w:p>
    <w:p w14:paraId="2868CF89" w14:textId="77777777" w:rsidR="004F29DA" w:rsidRDefault="00C800ED" w:rsidP="00D63B4F">
      <w:pPr>
        <w:pStyle w:val="Heading3"/>
        <w:numPr>
          <w:ilvl w:val="0"/>
          <w:numId w:val="0"/>
        </w:numPr>
        <w:ind w:right="-360"/>
        <w:rPr>
          <w:b/>
          <w:i/>
          <w:u w:val="none"/>
        </w:rPr>
      </w:pPr>
      <w:bookmarkStart w:id="6" w:name="_Toc125447293"/>
      <w:bookmarkStart w:id="7" w:name="_Toc126394121"/>
      <w:r w:rsidRPr="00672019">
        <w:rPr>
          <w:b/>
          <w:i/>
          <w:u w:val="none"/>
        </w:rPr>
        <w:t xml:space="preserve">a. Circumstances making the collection </w:t>
      </w:r>
      <w:bookmarkEnd w:id="5"/>
      <w:r w:rsidRPr="00672019">
        <w:rPr>
          <w:b/>
          <w:i/>
          <w:u w:val="none"/>
        </w:rPr>
        <w:t>necessary</w:t>
      </w:r>
      <w:bookmarkEnd w:id="6"/>
      <w:bookmarkEnd w:id="7"/>
    </w:p>
    <w:p w14:paraId="57EE7A9B" w14:textId="77777777" w:rsidR="001F33AC" w:rsidRPr="00B377F6" w:rsidRDefault="001F33AC" w:rsidP="001F33AC">
      <w:pPr>
        <w:tabs>
          <w:tab w:val="left" w:pos="45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bCs/>
          <w:lang w:bidi="en-US"/>
        </w:rPr>
      </w:pPr>
      <w:r w:rsidRPr="00444AF2">
        <w:rPr>
          <w:color w:val="000000"/>
        </w:rPr>
        <w:t>NHTSA was established to reduce the number of deaths, injuries, and economic losses resulting from motor vehicle crashes on the Nation's highway</w:t>
      </w:r>
      <w:r w:rsidRPr="00B377F6">
        <w:rPr>
          <w:color w:val="000000"/>
        </w:rPr>
        <w:t>s. As part of this statutory mandate, NHTSA is authorized to conduct research as a foundation for the development of traffic safety programs.</w:t>
      </w:r>
      <w:r>
        <w:rPr>
          <w:color w:val="000000"/>
        </w:rPr>
        <w:t xml:space="preserve"> </w:t>
      </w:r>
      <w:r w:rsidRPr="00FB5E02">
        <w:rPr>
          <w:color w:val="000000"/>
        </w:rPr>
        <w:t xml:space="preserve">Older adults comprise an increasing proportion of the </w:t>
      </w:r>
      <w:r>
        <w:rPr>
          <w:color w:val="000000"/>
        </w:rPr>
        <w:t>licensed</w:t>
      </w:r>
      <w:r w:rsidRPr="00FB5E02">
        <w:rPr>
          <w:color w:val="000000"/>
        </w:rPr>
        <w:t xml:space="preserve"> population</w:t>
      </w:r>
      <w:r>
        <w:rPr>
          <w:color w:val="000000"/>
        </w:rPr>
        <w:t>,</w:t>
      </w:r>
      <w:r w:rsidRPr="00FB5E02">
        <w:rPr>
          <w:color w:val="000000"/>
        </w:rPr>
        <w:t xml:space="preserve"> and e</w:t>
      </w:r>
      <w:r w:rsidRPr="00B377F6">
        <w:rPr>
          <w:bCs/>
          <w:lang w:bidi="en-US"/>
        </w:rPr>
        <w:t>xposure-based analyses of crash risk have consistently shown increased rates of involvement for drivers as they age into their 70’s and beyond</w:t>
      </w:r>
      <w:r>
        <w:rPr>
          <w:bCs/>
          <w:lang w:bidi="en-US"/>
        </w:rPr>
        <w:t>. F</w:t>
      </w:r>
      <w:r w:rsidRPr="00B377F6">
        <w:rPr>
          <w:bCs/>
          <w:lang w:bidi="en-US"/>
        </w:rPr>
        <w:t xml:space="preserve">urther, </w:t>
      </w:r>
      <w:r>
        <w:rPr>
          <w:bCs/>
          <w:lang w:bidi="en-US"/>
        </w:rPr>
        <w:t xml:space="preserve">these crash risk studies </w:t>
      </w:r>
      <w:r w:rsidRPr="00B377F6">
        <w:rPr>
          <w:bCs/>
          <w:lang w:bidi="en-US"/>
        </w:rPr>
        <w:t xml:space="preserve">have identified particular situations where older drivers are most at risk. These situations often </w:t>
      </w:r>
      <w:r>
        <w:rPr>
          <w:bCs/>
          <w:lang w:bidi="en-US"/>
        </w:rPr>
        <w:t>require significant</w:t>
      </w:r>
      <w:r w:rsidRPr="00B377F6">
        <w:rPr>
          <w:bCs/>
          <w:lang w:bidi="en-US"/>
        </w:rPr>
        <w:t xml:space="preserve"> visual search and attention, such as maneuvers at intersections and </w:t>
      </w:r>
      <w:r>
        <w:rPr>
          <w:bCs/>
          <w:lang w:bidi="en-US"/>
        </w:rPr>
        <w:t>during</w:t>
      </w:r>
      <w:r w:rsidRPr="00B377F6">
        <w:rPr>
          <w:bCs/>
          <w:lang w:bidi="en-US"/>
        </w:rPr>
        <w:t xml:space="preserve"> merging. </w:t>
      </w:r>
      <w:r>
        <w:rPr>
          <w:bCs/>
          <w:lang w:bidi="en-US"/>
        </w:rPr>
        <w:t xml:space="preserve">The purpose of this information collection, and related research, is to ameliorate the effect of </w:t>
      </w:r>
      <w:r w:rsidRPr="003C6D62">
        <w:rPr>
          <w:bCs/>
          <w:lang w:bidi="en-US"/>
        </w:rPr>
        <w:t>age-related decline</w:t>
      </w:r>
      <w:r>
        <w:rPr>
          <w:bCs/>
          <w:lang w:bidi="en-US"/>
        </w:rPr>
        <w:t>s</w:t>
      </w:r>
      <w:r w:rsidRPr="003C6D62">
        <w:rPr>
          <w:bCs/>
          <w:lang w:bidi="en-US"/>
        </w:rPr>
        <w:t xml:space="preserve"> in visual search and attention on safe driving abilities</w:t>
      </w:r>
      <w:r w:rsidR="00D22147">
        <w:rPr>
          <w:bCs/>
          <w:lang w:bidi="en-US"/>
        </w:rPr>
        <w:t xml:space="preserve"> and thus reduce crashes involving driver drivers</w:t>
      </w:r>
      <w:r w:rsidRPr="003C6D62">
        <w:rPr>
          <w:bCs/>
          <w:lang w:bidi="en-US"/>
        </w:rPr>
        <w:t>.</w:t>
      </w:r>
    </w:p>
    <w:p w14:paraId="72E28338" w14:textId="77777777" w:rsidR="00C800ED" w:rsidRPr="00672019" w:rsidRDefault="00C800ED" w:rsidP="00D63B4F">
      <w:pPr>
        <w:pStyle w:val="Heading3"/>
        <w:numPr>
          <w:ilvl w:val="0"/>
          <w:numId w:val="0"/>
        </w:numPr>
        <w:ind w:right="-360"/>
        <w:rPr>
          <w:b/>
          <w:i/>
          <w:u w:val="none"/>
        </w:rPr>
      </w:pPr>
      <w:bookmarkStart w:id="8" w:name="_Toc125341736"/>
      <w:bookmarkStart w:id="9" w:name="_Toc125447294"/>
      <w:bookmarkStart w:id="10" w:name="_Toc126394122"/>
      <w:r w:rsidRPr="00672019">
        <w:rPr>
          <w:b/>
          <w:i/>
          <w:u w:val="none"/>
        </w:rPr>
        <w:t>b. Statute authorizing the collection of information</w:t>
      </w:r>
      <w:bookmarkEnd w:id="8"/>
      <w:bookmarkEnd w:id="9"/>
      <w:bookmarkEnd w:id="10"/>
    </w:p>
    <w:p w14:paraId="76D0DF4C" w14:textId="77777777" w:rsidR="00FC1FA6" w:rsidRPr="006504D5" w:rsidRDefault="00900963" w:rsidP="00D63B4F">
      <w:pPr>
        <w:ind w:right="-360"/>
        <w:rPr>
          <w:bCs/>
        </w:rPr>
      </w:pPr>
      <w:r>
        <w:tab/>
      </w:r>
      <w:r w:rsidR="00696AAE" w:rsidRPr="0029554E">
        <w:rPr>
          <w:b/>
          <w:bCs/>
        </w:rPr>
        <w:t xml:space="preserve">Title 23, United States Code, Chapter 4, Section 403 </w:t>
      </w:r>
      <w:r w:rsidR="00FC1FA6">
        <w:t xml:space="preserve"> </w:t>
      </w:r>
      <w:r w:rsidR="00E35E69">
        <w:t xml:space="preserve">authorizes </w:t>
      </w:r>
      <w:r w:rsidR="00FC1FA6">
        <w:t xml:space="preserve">the Secretary </w:t>
      </w:r>
      <w:r w:rsidR="00E35E69">
        <w:t>of Transportation</w:t>
      </w:r>
      <w:r w:rsidR="00FC1FA6">
        <w:t xml:space="preserve"> to conduct research and development activities, including demonstration projects and the collection and analysis of highway and motor vehicle safety data and related information needed </w:t>
      </w:r>
      <w:r w:rsidR="00FC1FA6">
        <w:lastRenderedPageBreak/>
        <w:t>to carry out this section, with respect to all aspects of highway and traffic safety systems and conditions relating to - vehicle, highway, driver, passenger, motorcyclist, bicyclist, and pedestrian characteristics;  accident causation and investigations; and human behavioral factors and their effect on highway and traffic safety, including distracted driving.  [See 23 U.S.C. 403(b)(1)(A)(i), 23 U.S.C. 403(b)(1)(A)(ii), 23 U.S.C. 403(b)(1)(B)(iii)].</w:t>
      </w:r>
    </w:p>
    <w:p w14:paraId="689898A9" w14:textId="77777777" w:rsidR="00C657FB" w:rsidRDefault="00C657FB" w:rsidP="00D63B4F">
      <w:pPr>
        <w:pStyle w:val="Heading2"/>
        <w:ind w:left="720" w:right="-360" w:hanging="720"/>
        <w:rPr>
          <w:b/>
          <w:u w:val="none"/>
        </w:rPr>
      </w:pPr>
      <w:bookmarkStart w:id="11" w:name="_Toc125278814"/>
      <w:bookmarkStart w:id="12" w:name="_Toc125341737"/>
      <w:bookmarkStart w:id="13" w:name="_Toc125447295"/>
      <w:bookmarkStart w:id="14" w:name="_Toc126394123"/>
    </w:p>
    <w:p w14:paraId="6D6838D4" w14:textId="31B42FC0" w:rsidR="00C800ED" w:rsidRPr="00672019" w:rsidRDefault="00C800ED" w:rsidP="00C657FB">
      <w:pPr>
        <w:pStyle w:val="Heading2"/>
        <w:ind w:left="720" w:right="-360" w:hanging="720"/>
        <w:rPr>
          <w:b/>
          <w:u w:val="none"/>
        </w:rPr>
      </w:pPr>
      <w:r w:rsidRPr="00672019">
        <w:rPr>
          <w:b/>
          <w:u w:val="none"/>
        </w:rPr>
        <w:t xml:space="preserve">A.2. </w:t>
      </w:r>
      <w:r w:rsidRPr="00672019">
        <w:rPr>
          <w:b/>
          <w:u w:val="none"/>
        </w:rPr>
        <w:tab/>
        <w:t>Indicate how, by whom, and for what purpose the information is to be used.</w:t>
      </w:r>
      <w:bookmarkEnd w:id="11"/>
      <w:bookmarkEnd w:id="12"/>
      <w:r w:rsidRPr="00672019">
        <w:rPr>
          <w:b/>
          <w:u w:val="none"/>
        </w:rPr>
        <w:t xml:space="preserve"> Except for a new collection, indicate the actual use the agency has made of the information received from the current collection.</w:t>
      </w:r>
      <w:bookmarkEnd w:id="13"/>
      <w:bookmarkEnd w:id="14"/>
    </w:p>
    <w:p w14:paraId="52591C8B" w14:textId="77777777" w:rsidR="007F0D87" w:rsidRPr="003C4C7C" w:rsidRDefault="00430BAD" w:rsidP="00B25DE3">
      <w:pPr>
        <w:ind w:right="-360"/>
        <w:rPr>
          <w:color w:val="000000"/>
        </w:rPr>
      </w:pPr>
      <w:r>
        <w:tab/>
      </w:r>
      <w:r w:rsidR="00DD0C65">
        <w:t xml:space="preserve">   </w:t>
      </w:r>
      <w:r w:rsidR="00CA6631">
        <w:rPr>
          <w:color w:val="000000"/>
        </w:rPr>
        <w:t>TransAnalytics, LLC</w:t>
      </w:r>
      <w:r w:rsidR="00B823CA">
        <w:rPr>
          <w:color w:val="000000"/>
        </w:rPr>
        <w:t>,</w:t>
      </w:r>
      <w:r w:rsidR="00CA6631">
        <w:rPr>
          <w:color w:val="000000"/>
        </w:rPr>
        <w:t xml:space="preserve"> will conduct this study under </w:t>
      </w:r>
      <w:r w:rsidR="00B823CA">
        <w:rPr>
          <w:color w:val="000000"/>
        </w:rPr>
        <w:t xml:space="preserve">a task order on </w:t>
      </w:r>
      <w:r w:rsidR="00CA6631">
        <w:rPr>
          <w:color w:val="000000"/>
        </w:rPr>
        <w:t xml:space="preserve">an Indefinite Delivery, Indefinite Quantity contract with NHTSA. </w:t>
      </w:r>
      <w:r w:rsidR="002A273D" w:rsidRPr="002A273D">
        <w:rPr>
          <w:color w:val="000000"/>
        </w:rPr>
        <w:t xml:space="preserve">Study participation will be voluntary and solicited through informational sessions delivered by a research team member to residents of </w:t>
      </w:r>
      <w:r w:rsidR="006700EC">
        <w:rPr>
          <w:color w:val="000000"/>
        </w:rPr>
        <w:t xml:space="preserve">a </w:t>
      </w:r>
      <w:r w:rsidR="002A273D" w:rsidRPr="002A273D">
        <w:rPr>
          <w:color w:val="000000"/>
        </w:rPr>
        <w:t>continuing care retirement communit</w:t>
      </w:r>
      <w:r w:rsidR="006700EC">
        <w:rPr>
          <w:color w:val="000000"/>
        </w:rPr>
        <w:t>y</w:t>
      </w:r>
      <w:r w:rsidR="002A273D" w:rsidRPr="002A273D">
        <w:rPr>
          <w:color w:val="000000"/>
        </w:rPr>
        <w:t xml:space="preserve"> (CCRC). During the presentation, attendees will be invited to join the research study. </w:t>
      </w:r>
      <w:r w:rsidR="00322B9F">
        <w:rPr>
          <w:color w:val="000000"/>
        </w:rPr>
        <w:t xml:space="preserve">A member of the </w:t>
      </w:r>
      <w:r w:rsidR="006700EC">
        <w:rPr>
          <w:color w:val="000000"/>
        </w:rPr>
        <w:t xml:space="preserve">TransAnalytics </w:t>
      </w:r>
      <w:r w:rsidR="00322B9F">
        <w:rPr>
          <w:color w:val="000000"/>
        </w:rPr>
        <w:t>research team will ask t</w:t>
      </w:r>
      <w:r w:rsidR="002A273D" w:rsidRPr="002A273D">
        <w:rPr>
          <w:color w:val="000000"/>
        </w:rPr>
        <w:t>hose who indicate an interest in participating five questions</w:t>
      </w:r>
      <w:r w:rsidR="00DC1955">
        <w:rPr>
          <w:color w:val="000000"/>
        </w:rPr>
        <w:t xml:space="preserve"> to determine their eligibility to participate in the study (see Form </w:t>
      </w:r>
      <w:r w:rsidR="00322B9F">
        <w:rPr>
          <w:color w:val="000000"/>
        </w:rPr>
        <w:t>1400: Screening Questions).</w:t>
      </w:r>
    </w:p>
    <w:p w14:paraId="3FA8E054" w14:textId="77777777" w:rsidR="007F0D87" w:rsidRDefault="007F0D87" w:rsidP="00B25DE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sidRPr="003C4C7C">
        <w:rPr>
          <w:color w:val="000000"/>
        </w:rPr>
        <w:tab/>
      </w:r>
      <w:r w:rsidR="00322B9F">
        <w:rPr>
          <w:color w:val="000000"/>
        </w:rPr>
        <w:t>For those who are eligible for the study, a</w:t>
      </w:r>
      <w:r>
        <w:rPr>
          <w:color w:val="000000"/>
        </w:rPr>
        <w:t xml:space="preserve"> research team member will make appointments to answer any questions participants may have about the study and to obtain their signatures on an informed consent agreement approved by an Institutional Review Board (</w:t>
      </w:r>
      <w:r w:rsidR="00322B9F">
        <w:rPr>
          <w:color w:val="000000"/>
        </w:rPr>
        <w:t>see Form 1401: Informed Consent</w:t>
      </w:r>
      <w:r>
        <w:rPr>
          <w:color w:val="000000"/>
        </w:rPr>
        <w:t xml:space="preserve">). </w:t>
      </w:r>
      <w:r w:rsidR="00322B9F">
        <w:rPr>
          <w:color w:val="000000"/>
        </w:rPr>
        <w:t>The research team member also will conduct a</w:t>
      </w:r>
      <w:r w:rsidR="00EC37FD">
        <w:rPr>
          <w:color w:val="000000"/>
        </w:rPr>
        <w:t xml:space="preserve"> screen of color</w:t>
      </w:r>
      <w:r w:rsidR="00F71175">
        <w:rPr>
          <w:color w:val="000000"/>
        </w:rPr>
        <w:t xml:space="preserve"> vision</w:t>
      </w:r>
      <w:r w:rsidR="00EC37FD">
        <w:rPr>
          <w:color w:val="000000"/>
        </w:rPr>
        <w:t xml:space="preserve"> and binocular vision during the appointment</w:t>
      </w:r>
      <w:r w:rsidR="006700EC">
        <w:rPr>
          <w:color w:val="000000"/>
        </w:rPr>
        <w:t xml:space="preserve"> to further determine eligibility.</w:t>
      </w:r>
    </w:p>
    <w:p w14:paraId="4CB2DC91" w14:textId="77777777" w:rsidR="004D66C4" w:rsidRDefault="007F0D87" w:rsidP="00B25DE3">
      <w:pPr>
        <w:tabs>
          <w:tab w:val="left" w:pos="63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Pr>
          <w:color w:val="000000"/>
        </w:rPr>
        <w:tab/>
      </w:r>
      <w:r w:rsidR="001E1D1E">
        <w:rPr>
          <w:color w:val="000000"/>
        </w:rPr>
        <w:t xml:space="preserve">The </w:t>
      </w:r>
      <w:r w:rsidR="00322B9F">
        <w:rPr>
          <w:color w:val="000000"/>
        </w:rPr>
        <w:t>9</w:t>
      </w:r>
      <w:r w:rsidR="001E1D1E">
        <w:rPr>
          <w:color w:val="000000"/>
        </w:rPr>
        <w:t>0 c</w:t>
      </w:r>
      <w:r>
        <w:rPr>
          <w:color w:val="000000"/>
        </w:rPr>
        <w:t xml:space="preserve">onsented study participants will be randomly assigned within age and </w:t>
      </w:r>
      <w:r w:rsidR="00CA6631">
        <w:rPr>
          <w:color w:val="000000"/>
        </w:rPr>
        <w:t xml:space="preserve">sex </w:t>
      </w:r>
      <w:r>
        <w:rPr>
          <w:color w:val="000000"/>
        </w:rPr>
        <w:t>categories to either participation in the visual scanning training program (</w:t>
      </w:r>
      <w:r w:rsidR="003C4E57">
        <w:rPr>
          <w:color w:val="000000"/>
        </w:rPr>
        <w:t>a series of</w:t>
      </w:r>
      <w:r w:rsidR="00466361">
        <w:rPr>
          <w:color w:val="000000"/>
        </w:rPr>
        <w:t xml:space="preserve"> </w:t>
      </w:r>
      <w:r w:rsidR="00322B9F">
        <w:rPr>
          <w:color w:val="000000"/>
        </w:rPr>
        <w:t>four</w:t>
      </w:r>
      <w:r>
        <w:rPr>
          <w:color w:val="000000"/>
        </w:rPr>
        <w:t xml:space="preserve"> </w:t>
      </w:r>
      <w:r w:rsidR="00322B9F">
        <w:rPr>
          <w:color w:val="000000"/>
        </w:rPr>
        <w:t xml:space="preserve">one-hour </w:t>
      </w:r>
      <w:r>
        <w:rPr>
          <w:color w:val="000000"/>
        </w:rPr>
        <w:t>one-on-on</w:t>
      </w:r>
      <w:r w:rsidR="00322B9F">
        <w:rPr>
          <w:color w:val="000000"/>
        </w:rPr>
        <w:t>e</w:t>
      </w:r>
      <w:r>
        <w:rPr>
          <w:color w:val="000000"/>
        </w:rPr>
        <w:t xml:space="preserve"> training sessions) or to a control (placebo) activity </w:t>
      </w:r>
      <w:r w:rsidR="00322B9F">
        <w:rPr>
          <w:color w:val="000000"/>
        </w:rPr>
        <w:t>for</w:t>
      </w:r>
      <w:r>
        <w:rPr>
          <w:color w:val="000000"/>
        </w:rPr>
        <w:t xml:space="preserve"> the same number of hours as the visual training protocol.</w:t>
      </w:r>
      <w:r w:rsidR="00322B9F">
        <w:rPr>
          <w:color w:val="000000"/>
        </w:rPr>
        <w:t xml:space="preserve"> </w:t>
      </w:r>
      <w:r>
        <w:rPr>
          <w:color w:val="000000"/>
        </w:rPr>
        <w:t>All participants will also undergo three</w:t>
      </w:r>
      <w:r w:rsidR="00B25DE3">
        <w:rPr>
          <w:color w:val="000000"/>
        </w:rPr>
        <w:t>,</w:t>
      </w:r>
      <w:r>
        <w:rPr>
          <w:color w:val="000000"/>
        </w:rPr>
        <w:t xml:space="preserve"> </w:t>
      </w:r>
      <w:r w:rsidR="00322B9F">
        <w:rPr>
          <w:color w:val="000000"/>
        </w:rPr>
        <w:t xml:space="preserve">one-hour </w:t>
      </w:r>
      <w:r w:rsidRPr="003C4C7C">
        <w:rPr>
          <w:color w:val="000000"/>
        </w:rPr>
        <w:t xml:space="preserve">on-road evaluations by </w:t>
      </w:r>
      <w:r>
        <w:rPr>
          <w:color w:val="000000"/>
        </w:rPr>
        <w:t>a Certified Driver Rehabilitation Specialist (C</w:t>
      </w:r>
      <w:r w:rsidRPr="003C4C7C">
        <w:rPr>
          <w:color w:val="000000"/>
        </w:rPr>
        <w:t>DRS</w:t>
      </w:r>
      <w:r>
        <w:rPr>
          <w:color w:val="000000"/>
        </w:rPr>
        <w:t xml:space="preserve">) over the course of the study. </w:t>
      </w:r>
      <w:r w:rsidRPr="00B42BF3">
        <w:rPr>
          <w:color w:val="000000"/>
        </w:rPr>
        <w:t xml:space="preserve">The CDRS will provide instructions about what route to follow and will score how safely </w:t>
      </w:r>
      <w:r w:rsidR="00322B9F">
        <w:rPr>
          <w:color w:val="000000"/>
        </w:rPr>
        <w:t>the participant</w:t>
      </w:r>
      <w:r w:rsidRPr="00B42BF3">
        <w:rPr>
          <w:color w:val="000000"/>
        </w:rPr>
        <w:t xml:space="preserve"> drives using standard procedures and criteria that are broadly accepted in the profession.</w:t>
      </w:r>
      <w:r w:rsidR="00322B9F">
        <w:rPr>
          <w:color w:val="000000"/>
        </w:rPr>
        <w:t xml:space="preserve"> The CDRS scores will be used to determine the effectiveness of the training protocol relative to the </w:t>
      </w:r>
      <w:r w:rsidR="00900963">
        <w:rPr>
          <w:color w:val="000000"/>
        </w:rPr>
        <w:t>control (</w:t>
      </w:r>
      <w:r w:rsidR="00322B9F">
        <w:rPr>
          <w:color w:val="000000"/>
        </w:rPr>
        <w:t>placebo</w:t>
      </w:r>
      <w:r w:rsidR="00900963">
        <w:rPr>
          <w:color w:val="000000"/>
        </w:rPr>
        <w:t>)</w:t>
      </w:r>
      <w:r w:rsidR="00322B9F">
        <w:rPr>
          <w:color w:val="000000"/>
        </w:rPr>
        <w:t xml:space="preserve"> group.</w:t>
      </w:r>
    </w:p>
    <w:p w14:paraId="04C48FA7" w14:textId="77777777" w:rsidR="007F0D87" w:rsidRPr="003975EA" w:rsidRDefault="007F0D87" w:rsidP="00D63B4F">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Pr>
          <w:color w:val="000000"/>
        </w:rPr>
        <w:tab/>
      </w:r>
      <w:r w:rsidR="001E1D1E">
        <w:rPr>
          <w:color w:val="000000"/>
        </w:rPr>
        <w:t xml:space="preserve">The </w:t>
      </w:r>
      <w:r w:rsidR="00322B9F">
        <w:rPr>
          <w:color w:val="000000"/>
        </w:rPr>
        <w:t>45</w:t>
      </w:r>
      <w:r w:rsidR="001E1D1E">
        <w:rPr>
          <w:color w:val="000000"/>
        </w:rPr>
        <w:t xml:space="preserve"> s</w:t>
      </w:r>
      <w:r>
        <w:rPr>
          <w:color w:val="000000"/>
        </w:rPr>
        <w:t>tudy participants enrolled in the visual scanning training group will</w:t>
      </w:r>
      <w:r w:rsidR="002A273D">
        <w:rPr>
          <w:color w:val="000000"/>
        </w:rPr>
        <w:t>, at the completion of training,</w:t>
      </w:r>
      <w:r>
        <w:rPr>
          <w:color w:val="000000"/>
        </w:rPr>
        <w:t xml:space="preserve"> complete a brief questionnaire to determine </w:t>
      </w:r>
      <w:r w:rsidR="00322B9F" w:rsidRPr="00322B9F">
        <w:rPr>
          <w:color w:val="000000"/>
        </w:rPr>
        <w:t>whether they believe the training will help them to be a safer driver, whether they would recommend the training to friends or relatives, and what the</w:t>
      </w:r>
      <w:r w:rsidR="005C5FDF">
        <w:rPr>
          <w:color w:val="000000"/>
        </w:rPr>
        <w:t>y would pay for such training (see Form 1402: Training Feedback Questions).</w:t>
      </w:r>
      <w:r w:rsidR="00AF1410">
        <w:rPr>
          <w:color w:val="000000"/>
        </w:rPr>
        <w:t xml:space="preserve"> The training feedback, as well as the CDRS road test scores, will be used to evaluate the effectiveness of the training.</w:t>
      </w:r>
    </w:p>
    <w:p w14:paraId="03C7BF81" w14:textId="77777777" w:rsidR="004D66C4" w:rsidRDefault="004D66C4" w:rsidP="00D63B4F">
      <w:pPr>
        <w:tabs>
          <w:tab w:val="left" w:pos="45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p>
    <w:p w14:paraId="210A766E" w14:textId="77777777" w:rsidR="0015762B" w:rsidRDefault="007F0D87" w:rsidP="00B25DE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ab/>
      </w:r>
      <w:r w:rsidR="0015762B" w:rsidRPr="009D1C79">
        <w:t xml:space="preserve"> </w:t>
      </w:r>
    </w:p>
    <w:p w14:paraId="296E2724" w14:textId="77777777" w:rsidR="000008A3" w:rsidRDefault="000008A3" w:rsidP="004F29DA">
      <w:pPr>
        <w:ind w:left="-360" w:right="-360" w:firstLine="720"/>
      </w:pPr>
    </w:p>
    <w:p w14:paraId="01E04701" w14:textId="77777777" w:rsidR="000008A3" w:rsidRPr="000008A3" w:rsidRDefault="00C800ED" w:rsidP="00C657FB">
      <w:pPr>
        <w:pStyle w:val="Heading2"/>
        <w:keepLines/>
        <w:ind w:left="720" w:hanging="720"/>
      </w:pPr>
      <w:bookmarkStart w:id="15" w:name="_Toc125278815"/>
      <w:bookmarkStart w:id="16" w:name="_Toc125341738"/>
      <w:bookmarkStart w:id="17" w:name="_Toc125447296"/>
      <w:bookmarkStart w:id="18" w:name="_Toc126394124"/>
      <w:r w:rsidRPr="00672019">
        <w:rPr>
          <w:b/>
          <w:u w:val="none"/>
        </w:rPr>
        <w:lastRenderedPageBreak/>
        <w:t>A.3.</w:t>
      </w:r>
      <w:r w:rsidRPr="00672019">
        <w:rPr>
          <w:b/>
          <w:u w:val="none"/>
        </w:rPr>
        <w:tab/>
        <w:t>Describe whether, and to what extent, the collection of information involves the use of automated, electronic, mechanical or other technological collection techniques or other information technology.</w:t>
      </w:r>
      <w:bookmarkEnd w:id="15"/>
      <w:bookmarkEnd w:id="16"/>
      <w:r w:rsidRPr="00672019">
        <w:rPr>
          <w:b/>
          <w:u w:val="none"/>
        </w:rPr>
        <w:t xml:space="preserve"> Also describe any consideration of using information technology to reduce burden.</w:t>
      </w:r>
      <w:bookmarkEnd w:id="17"/>
      <w:bookmarkEnd w:id="18"/>
    </w:p>
    <w:p w14:paraId="1410AA50" w14:textId="77777777" w:rsidR="00157428" w:rsidRDefault="00C269B6">
      <w:pPr>
        <w:ind w:firstLine="720"/>
      </w:pPr>
      <w:r w:rsidRPr="009D1C79">
        <w:t>NHTSA intends to recruit potential participants through</w:t>
      </w:r>
      <w:r>
        <w:t xml:space="preserve"> public </w:t>
      </w:r>
      <w:r>
        <w:rPr>
          <w:color w:val="000000"/>
        </w:rPr>
        <w:t>solicitations</w:t>
      </w:r>
      <w:r w:rsidR="00AD64EB">
        <w:rPr>
          <w:color w:val="000000"/>
        </w:rPr>
        <w:t xml:space="preserve"> in community settings</w:t>
      </w:r>
      <w:r w:rsidR="004D66C4">
        <w:rPr>
          <w:color w:val="000000"/>
        </w:rPr>
        <w:t xml:space="preserve">. </w:t>
      </w:r>
      <w:r w:rsidR="008B7ED2">
        <w:rPr>
          <w:color w:val="000000"/>
        </w:rPr>
        <w:t xml:space="preserve">The administrator of a </w:t>
      </w:r>
      <w:r w:rsidR="00900963">
        <w:rPr>
          <w:rFonts w:eastAsia="Calibri"/>
        </w:rPr>
        <w:t>Continu</w:t>
      </w:r>
      <w:r w:rsidR="003A4C4F">
        <w:rPr>
          <w:rFonts w:eastAsia="Calibri"/>
        </w:rPr>
        <w:t>ing</w:t>
      </w:r>
      <w:r w:rsidR="00900963">
        <w:rPr>
          <w:rFonts w:eastAsia="Calibri"/>
        </w:rPr>
        <w:t xml:space="preserve"> Care Retirement Community </w:t>
      </w:r>
      <w:r w:rsidR="008B7ED2">
        <w:rPr>
          <w:color w:val="000000"/>
        </w:rPr>
        <w:t xml:space="preserve">has agreed to post fliers around the facility and print recruiting advertisements in the monthly newsletters to residents. </w:t>
      </w:r>
      <w:r w:rsidR="008B7ED2">
        <w:t xml:space="preserve">To collect the qualifying </w:t>
      </w:r>
      <w:r w:rsidR="00756BF5">
        <w:t xml:space="preserve">(screening) </w:t>
      </w:r>
      <w:r w:rsidR="008B7ED2">
        <w:t>information, NHTSA will engage in a conversation with interested information session attendees</w:t>
      </w:r>
      <w:r w:rsidR="00756BF5">
        <w:t xml:space="preserve">. </w:t>
      </w:r>
      <w:r w:rsidR="008B7ED2">
        <w:t xml:space="preserve">No automated, electronic, mechanical, or other technological collection techniques are planned to obtain </w:t>
      </w:r>
      <w:r w:rsidR="00756BF5">
        <w:t>screening</w:t>
      </w:r>
      <w:r w:rsidR="008B7ED2">
        <w:t xml:space="preserve"> information. </w:t>
      </w:r>
    </w:p>
    <w:p w14:paraId="5E627456" w14:textId="77777777" w:rsidR="00756BF5" w:rsidRDefault="008B7ED2" w:rsidP="00D63B4F">
      <w:pPr>
        <w:ind w:firstLine="720"/>
      </w:pPr>
      <w:r>
        <w:rPr>
          <w:color w:val="000000"/>
        </w:rPr>
        <w:t xml:space="preserve">A rehabilitation hospital has agreed to collaborate and will provide generalist OTs to deliver the visual scanning training protocol. </w:t>
      </w:r>
      <w:r w:rsidR="00466361">
        <w:rPr>
          <w:color w:val="000000"/>
        </w:rPr>
        <w:t>With participants’ consent, a</w:t>
      </w:r>
      <w:r w:rsidR="00157428" w:rsidRPr="004A530D">
        <w:t xml:space="preserve">udio recordings of the scanning training sessions will be made, and any comments </w:t>
      </w:r>
      <w:r w:rsidR="00756BF5">
        <w:t xml:space="preserve">about the training </w:t>
      </w:r>
      <w:r w:rsidR="00157428" w:rsidRPr="004A530D">
        <w:t>offered by participants will be noted by research staff during review of the recordings.</w:t>
      </w:r>
      <w:r w:rsidR="00756BF5">
        <w:rPr>
          <w:color w:val="000000"/>
        </w:rPr>
        <w:t xml:space="preserve"> Training participants also will be asked to complete a paper-and-pencil feedback form at the end of the training. </w:t>
      </w:r>
    </w:p>
    <w:p w14:paraId="0215FDB5" w14:textId="29E483AD" w:rsidR="008B7ED2" w:rsidRDefault="008B7ED2">
      <w:pPr>
        <w:ind w:firstLine="720"/>
        <w:rPr>
          <w:color w:val="000000"/>
        </w:rPr>
      </w:pPr>
      <w:r>
        <w:rPr>
          <w:color w:val="000000"/>
        </w:rPr>
        <w:t>A</w:t>
      </w:r>
      <w:r w:rsidR="00900963">
        <w:rPr>
          <w:color w:val="000000"/>
        </w:rPr>
        <w:t>n independent</w:t>
      </w:r>
      <w:r>
        <w:rPr>
          <w:color w:val="000000"/>
        </w:rPr>
        <w:t xml:space="preserve"> CDRS will perform the three driving evaluations on routes designed to provide multiple instances of driving tasks that require visual scanning.</w:t>
      </w:r>
      <w:r w:rsidR="00756BF5">
        <w:rPr>
          <w:color w:val="000000"/>
        </w:rPr>
        <w:t xml:space="preserve"> </w:t>
      </w:r>
      <w:r>
        <w:rPr>
          <w:color w:val="000000"/>
        </w:rPr>
        <w:t xml:space="preserve">The CDRS will evaluate the typical aspects of driver performance monitored by a CDRS using a </w:t>
      </w:r>
      <w:r w:rsidR="00756BF5">
        <w:rPr>
          <w:color w:val="000000"/>
        </w:rPr>
        <w:t xml:space="preserve">paper </w:t>
      </w:r>
      <w:r>
        <w:rPr>
          <w:color w:val="000000"/>
        </w:rPr>
        <w:t xml:space="preserve">scoring sheet and will ensure safety by use of a passenger-side brake (if necessary). </w:t>
      </w:r>
      <w:r w:rsidR="00CA6631">
        <w:rPr>
          <w:color w:val="000000"/>
        </w:rPr>
        <w:t xml:space="preserve">The CDRS </w:t>
      </w:r>
      <w:r>
        <w:rPr>
          <w:color w:val="000000"/>
        </w:rPr>
        <w:t>will be assisted by a research assistant riding in the back seat who will focus exclusively on scoring the extent to which scanning behavior is directed toward the most likely source of hazards with the aid of a special mirror</w:t>
      </w:r>
      <w:r w:rsidR="007E7CA4">
        <w:rPr>
          <w:color w:val="000000"/>
        </w:rPr>
        <w:t xml:space="preserve"> or electronic device</w:t>
      </w:r>
      <w:r>
        <w:rPr>
          <w:color w:val="000000"/>
        </w:rPr>
        <w:t>.</w:t>
      </w:r>
      <w:r w:rsidR="00756BF5">
        <w:rPr>
          <w:color w:val="000000"/>
        </w:rPr>
        <w:t xml:space="preserve"> </w:t>
      </w:r>
    </w:p>
    <w:p w14:paraId="20B2C2E7" w14:textId="77777777" w:rsidR="008B7ED2" w:rsidRDefault="008B7ED2" w:rsidP="00D63B4F">
      <w:pPr>
        <w:ind w:firstLine="720"/>
        <w:rPr>
          <w:color w:val="000000"/>
        </w:rPr>
      </w:pPr>
    </w:p>
    <w:p w14:paraId="04EBC99A" w14:textId="77777777" w:rsidR="00C800ED" w:rsidRPr="00672019" w:rsidRDefault="00C800ED" w:rsidP="00D63B4F">
      <w:pPr>
        <w:pStyle w:val="Heading2"/>
        <w:ind w:left="720" w:hanging="720"/>
        <w:rPr>
          <w:b/>
          <w:u w:val="none"/>
        </w:rPr>
      </w:pPr>
      <w:bookmarkStart w:id="19" w:name="_Toc125278816"/>
      <w:bookmarkStart w:id="20" w:name="_Toc125341739"/>
      <w:bookmarkStart w:id="21" w:name="_Toc125447297"/>
      <w:bookmarkStart w:id="22" w:name="_Toc126394125"/>
      <w:r w:rsidRPr="00672019">
        <w:rPr>
          <w:b/>
          <w:u w:val="none"/>
        </w:rPr>
        <w:t>A.4.</w:t>
      </w:r>
      <w:r w:rsidRPr="00672019">
        <w:rPr>
          <w:b/>
          <w:u w:val="none"/>
        </w:rPr>
        <w:tab/>
        <w:t>Describe efforts to identify duplication. Show specifically why any similar information, already available cannot be used or modified for use for the purposes described in Item 2 above.</w:t>
      </w:r>
      <w:bookmarkEnd w:id="19"/>
      <w:bookmarkEnd w:id="20"/>
      <w:bookmarkEnd w:id="21"/>
      <w:bookmarkEnd w:id="22"/>
    </w:p>
    <w:p w14:paraId="64A1CD78" w14:textId="77777777" w:rsidR="00AF3239" w:rsidRPr="00D22147" w:rsidRDefault="00A76181">
      <w:pPr>
        <w:ind w:firstLine="720"/>
        <w:rPr>
          <w:bCs/>
          <w:lang w:bidi="en-US"/>
        </w:rPr>
      </w:pPr>
      <w:r w:rsidRPr="003C6D62">
        <w:rPr>
          <w:bCs/>
          <w:lang w:bidi="en-US"/>
        </w:rPr>
        <w:t>The visual scanning training protocol that is the focus of this study was designed to be delivered by a</w:t>
      </w:r>
      <w:r w:rsidR="00900963">
        <w:rPr>
          <w:bCs/>
          <w:lang w:bidi="en-US"/>
        </w:rPr>
        <w:t xml:space="preserve">n </w:t>
      </w:r>
      <w:r w:rsidRPr="003C6D62">
        <w:rPr>
          <w:bCs/>
          <w:lang w:bidi="en-US"/>
        </w:rPr>
        <w:t>OT. The OT conduct</w:t>
      </w:r>
      <w:r>
        <w:rPr>
          <w:bCs/>
          <w:lang w:bidi="en-US"/>
        </w:rPr>
        <w:t>s</w:t>
      </w:r>
      <w:r w:rsidRPr="003C6D62">
        <w:rPr>
          <w:bCs/>
          <w:lang w:bidi="en-US"/>
        </w:rPr>
        <w:t xml:space="preserve"> the one-on-one sessions in a clinical setting, targeting visual field expansion, simultaneous processing of multiple visual stimuli, and ocular skill (visual search routine) exercises. NHTSA’s study “Validation of Rehabilitation Training Programs for Older Drivers” (DOT HS 811 749; April 2013) provided a preliminary analysis of the training’s effectiveness. While the results were encouraging, the research team concluded that widespread promotion of this intervention would</w:t>
      </w:r>
      <w:r>
        <w:rPr>
          <w:bCs/>
          <w:lang w:bidi="en-US"/>
        </w:rPr>
        <w:t xml:space="preserve"> require additional evidence. </w:t>
      </w:r>
      <w:r w:rsidRPr="00022532">
        <w:rPr>
          <w:bCs/>
          <w:lang w:bidi="en-US"/>
        </w:rPr>
        <w:t>Following efforts to refine and streamline the training protocol, a larger sample of healthy older drivers will receive the updated training program. This study will measure effectiveness of the training by comparison of CDRS road test scores to a control group while also gauging drivers’ attitudes and perceptions about the training experience.</w:t>
      </w:r>
      <w:r w:rsidR="00756BF5">
        <w:rPr>
          <w:bCs/>
          <w:lang w:bidi="en-US"/>
        </w:rPr>
        <w:t xml:space="preserve"> This information collection is necessary because the</w:t>
      </w:r>
      <w:r>
        <w:rPr>
          <w:bCs/>
          <w:lang w:bidi="en-US"/>
        </w:rPr>
        <w:t xml:space="preserve"> training has not been evaluated since the 2013 study.</w:t>
      </w:r>
    </w:p>
    <w:p w14:paraId="2E545B19" w14:textId="77777777" w:rsidR="008D4B9A" w:rsidRDefault="008D4B9A" w:rsidP="00C800ED">
      <w:pPr>
        <w:pStyle w:val="Heading2"/>
        <w:ind w:left="720" w:hanging="720"/>
        <w:rPr>
          <w:b/>
          <w:u w:val="none"/>
        </w:rPr>
      </w:pPr>
      <w:bookmarkStart w:id="23" w:name="_Toc125278817"/>
      <w:bookmarkStart w:id="24" w:name="_Toc125341740"/>
      <w:bookmarkStart w:id="25" w:name="_Toc125447298"/>
      <w:bookmarkStart w:id="26" w:name="_Toc126394126"/>
    </w:p>
    <w:p w14:paraId="75379423" w14:textId="77777777" w:rsidR="00C800ED" w:rsidRPr="00672019" w:rsidRDefault="00C800ED" w:rsidP="00C800ED">
      <w:pPr>
        <w:pStyle w:val="Heading2"/>
        <w:ind w:left="720" w:hanging="720"/>
        <w:rPr>
          <w:b/>
          <w:u w:val="none"/>
        </w:rPr>
      </w:pPr>
      <w:r w:rsidRPr="00672019">
        <w:rPr>
          <w:b/>
          <w:u w:val="none"/>
        </w:rPr>
        <w:t>A.5.</w:t>
      </w:r>
      <w:r w:rsidRPr="00672019">
        <w:rPr>
          <w:b/>
          <w:u w:val="none"/>
        </w:rPr>
        <w:tab/>
        <w:t>If the collection of information involves small businesses or other small entities, describe the methods used to minimize burden.</w:t>
      </w:r>
      <w:bookmarkEnd w:id="23"/>
      <w:bookmarkEnd w:id="24"/>
      <w:bookmarkEnd w:id="25"/>
      <w:bookmarkEnd w:id="26"/>
    </w:p>
    <w:p w14:paraId="703AFC8C" w14:textId="77777777" w:rsidR="008D40C3" w:rsidRPr="006B5DDC" w:rsidRDefault="008D40C3" w:rsidP="007E1DAA">
      <w:pPr>
        <w:ind w:firstLine="720"/>
      </w:pPr>
      <w:r w:rsidRPr="008D40C3">
        <w:t>The collection of information does not involve small b</w:t>
      </w:r>
      <w:r w:rsidR="00552084">
        <w:t xml:space="preserve">usinesses except insofar as data </w:t>
      </w:r>
      <w:r w:rsidRPr="008D40C3">
        <w:t>collect</w:t>
      </w:r>
      <w:r w:rsidR="00552084">
        <w:t>ion activities will be support</w:t>
      </w:r>
      <w:r w:rsidRPr="008D40C3">
        <w:t>ed by a small business contractor to NHTSA.</w:t>
      </w:r>
    </w:p>
    <w:p w14:paraId="21F76E30" w14:textId="77777777" w:rsidR="00C800ED" w:rsidRPr="00672019" w:rsidRDefault="00C800ED" w:rsidP="00C800ED">
      <w:pPr>
        <w:ind w:left="720" w:hanging="720"/>
      </w:pPr>
    </w:p>
    <w:p w14:paraId="2C4AED7F" w14:textId="77777777" w:rsidR="000E682C" w:rsidRPr="005A69F3" w:rsidRDefault="00C800ED" w:rsidP="00D63B4F">
      <w:pPr>
        <w:keepNext/>
        <w:keepLines/>
        <w:widowControl w:val="0"/>
        <w:tabs>
          <w:tab w:val="left" w:pos="720"/>
        </w:tabs>
        <w:autoSpaceDE w:val="0"/>
        <w:autoSpaceDN w:val="0"/>
        <w:adjustRightInd w:val="0"/>
        <w:ind w:left="720" w:hanging="720"/>
        <w:rPr>
          <w:rFonts w:ascii="Times" w:hAnsi="Times" w:cs="Arial"/>
        </w:rPr>
      </w:pPr>
      <w:bookmarkStart w:id="27" w:name="_Toc125278818"/>
      <w:bookmarkStart w:id="28" w:name="_Toc125341741"/>
      <w:bookmarkStart w:id="29" w:name="_Toc125447299"/>
      <w:bookmarkStart w:id="30" w:name="_Toc126394127"/>
      <w:r w:rsidRPr="00672019">
        <w:rPr>
          <w:b/>
        </w:rPr>
        <w:t>A.6.</w:t>
      </w:r>
      <w:r w:rsidRPr="00672019">
        <w:rPr>
          <w:b/>
        </w:rPr>
        <w:tab/>
      </w:r>
      <w:r w:rsidR="000E682C" w:rsidRPr="005A69F3">
        <w:rPr>
          <w:rFonts w:ascii="Times" w:hAnsi="Times" w:cs="Arial"/>
          <w:b/>
          <w:bCs/>
        </w:rPr>
        <w:t>Describe the consequence to Federal program or policy activities if the collection is not conducted or is conducted less frequently, as well as any technical or legal obstacles to reducing burden.</w:t>
      </w:r>
    </w:p>
    <w:bookmarkEnd w:id="27"/>
    <w:bookmarkEnd w:id="28"/>
    <w:bookmarkEnd w:id="29"/>
    <w:bookmarkEnd w:id="30"/>
    <w:p w14:paraId="5185F49B" w14:textId="77777777" w:rsidR="000C44E5" w:rsidRDefault="006C6370" w:rsidP="00D63B4F">
      <w:r>
        <w:tab/>
        <w:t>The population of older drivers is expanding.</w:t>
      </w:r>
      <w:r w:rsidR="00871596">
        <w:t xml:space="preserve"> </w:t>
      </w:r>
      <w:r w:rsidR="00A76181">
        <w:t>At the same time, s</w:t>
      </w:r>
      <w:r w:rsidR="000C44E5">
        <w:t xml:space="preserve">tudies examining glance behavior upon the approach to and negotiation through intersections have found that older drivers scan left and right less often and </w:t>
      </w:r>
      <w:r w:rsidR="00175AB7">
        <w:t>are</w:t>
      </w:r>
      <w:r w:rsidR="000C44E5">
        <w:t xml:space="preserve"> more likely to focus straight ahead or in the intended direction of travel compared to younger drivers. </w:t>
      </w:r>
      <w:r w:rsidR="00A76181">
        <w:t>O</w:t>
      </w:r>
      <w:r w:rsidR="000C44E5">
        <w:t xml:space="preserve">lder drivers </w:t>
      </w:r>
      <w:r w:rsidR="00A76181">
        <w:t>also looked at</w:t>
      </w:r>
      <w:r w:rsidR="000C44E5">
        <w:t xml:space="preserve"> their side</w:t>
      </w:r>
      <w:r w:rsidR="00900963">
        <w:t xml:space="preserve"> </w:t>
      </w:r>
      <w:r w:rsidR="000C44E5">
        <w:t>view and rear</w:t>
      </w:r>
      <w:r w:rsidR="00900963">
        <w:t xml:space="preserve"> </w:t>
      </w:r>
      <w:r w:rsidR="000C44E5">
        <w:t>view mirrors significantly less frequently and failed to make direct looks to their blind spot</w:t>
      </w:r>
      <w:r w:rsidR="00900963">
        <w:t>s</w:t>
      </w:r>
      <w:r w:rsidR="000C44E5">
        <w:t xml:space="preserve"> significantly more often</w:t>
      </w:r>
      <w:r w:rsidR="00A76181">
        <w:t xml:space="preserve"> than younger drivers</w:t>
      </w:r>
      <w:r w:rsidR="000C44E5">
        <w:t xml:space="preserve">. </w:t>
      </w:r>
      <w:r w:rsidR="00900963">
        <w:t>F</w:t>
      </w:r>
      <w:r w:rsidR="00A76181">
        <w:t xml:space="preserve">inally, older drivers with a narrowed attentional visual field (AVF) in the vertical direction were significantly more likely than older drivers without a narrowed AVF to run red lights. </w:t>
      </w:r>
      <w:r w:rsidR="000C44E5">
        <w:t>Th</w:t>
      </w:r>
      <w:r w:rsidR="00A76181">
        <w:t>ese findings</w:t>
      </w:r>
      <w:r w:rsidR="000C44E5">
        <w:t xml:space="preserve"> may explain older drivers’ overrepresentation in crashes </w:t>
      </w:r>
      <w:r w:rsidR="00A76181">
        <w:t xml:space="preserve">at intersections and </w:t>
      </w:r>
      <w:r w:rsidR="000C44E5">
        <w:t xml:space="preserve">when changing lanes compared to drivers of all ages. </w:t>
      </w:r>
      <w:r w:rsidR="00A76181">
        <w:t>If this collection is not conducted, NHTSA would not have the evidence it needs to determine the effectiveness of v</w:t>
      </w:r>
      <w:r w:rsidR="000C44E5">
        <w:t xml:space="preserve">isual training techniques </w:t>
      </w:r>
      <w:r w:rsidR="00A76181">
        <w:t>for addressing these behaviors and could miss an opportunity to</w:t>
      </w:r>
      <w:r w:rsidR="000C44E5">
        <w:t xml:space="preserve"> </w:t>
      </w:r>
      <w:r w:rsidR="00175AB7">
        <w:t>help reduce</w:t>
      </w:r>
      <w:r w:rsidR="00466361">
        <w:t xml:space="preserve"> older drivers’</w:t>
      </w:r>
      <w:r w:rsidR="00175AB7">
        <w:t xml:space="preserve"> crash risk. </w:t>
      </w:r>
    </w:p>
    <w:p w14:paraId="1B05C57D" w14:textId="77777777" w:rsidR="006C6370" w:rsidRPr="006C6370" w:rsidRDefault="006C6370" w:rsidP="00C800ED">
      <w:pPr>
        <w:pStyle w:val="BodyTextIndent2"/>
        <w:ind w:left="0" w:firstLine="0"/>
        <w:rPr>
          <w:b w:val="0"/>
          <w:bCs w:val="0"/>
        </w:rPr>
      </w:pPr>
    </w:p>
    <w:p w14:paraId="47760475" w14:textId="77777777" w:rsidR="00C800ED" w:rsidRPr="00672019" w:rsidRDefault="00C800ED" w:rsidP="00C800ED">
      <w:pPr>
        <w:pStyle w:val="Heading2"/>
        <w:ind w:left="720" w:hanging="720"/>
        <w:rPr>
          <w:b/>
          <w:u w:val="none"/>
        </w:rPr>
      </w:pPr>
      <w:bookmarkStart w:id="31" w:name="_Toc125278819"/>
      <w:bookmarkStart w:id="32" w:name="_Toc125341742"/>
      <w:bookmarkStart w:id="33" w:name="_Toc125447300"/>
      <w:bookmarkStart w:id="34" w:name="_Toc126394128"/>
      <w:r w:rsidRPr="00672019">
        <w:rPr>
          <w:b/>
          <w:u w:val="none"/>
        </w:rPr>
        <w:t>A.7.</w:t>
      </w:r>
      <w:r w:rsidRPr="00672019">
        <w:rPr>
          <w:b/>
          <w:u w:val="none"/>
        </w:rPr>
        <w:tab/>
        <w:t>Explain any special circumstances that require the collection to be conducted in a manner inconsistent with the guidelines set forth in 5 CFR 1320.6.</w:t>
      </w:r>
      <w:bookmarkEnd w:id="31"/>
      <w:bookmarkEnd w:id="32"/>
      <w:bookmarkEnd w:id="33"/>
      <w:bookmarkEnd w:id="34"/>
    </w:p>
    <w:p w14:paraId="1595D140" w14:textId="77777777" w:rsidR="00C800ED" w:rsidRPr="003C343C" w:rsidRDefault="00C800ED" w:rsidP="007E1DAA">
      <w:pPr>
        <w:ind w:firstLine="720"/>
      </w:pPr>
      <w:r w:rsidRPr="003C343C">
        <w:t>No special circumstances require the collection to be conducted in a manner inconsistent with the guidelines in 5 CFR 1320.6.</w:t>
      </w:r>
    </w:p>
    <w:p w14:paraId="2F894870" w14:textId="77777777" w:rsidR="00C800ED" w:rsidRPr="00672019" w:rsidRDefault="00C800ED" w:rsidP="00C800ED">
      <w:pPr>
        <w:pStyle w:val="Heading2"/>
        <w:ind w:left="720" w:hanging="720"/>
        <w:rPr>
          <w:b/>
          <w:u w:val="none"/>
        </w:rPr>
      </w:pPr>
      <w:bookmarkStart w:id="35" w:name="_Toc125278820"/>
      <w:bookmarkStart w:id="36" w:name="_Toc125341743"/>
      <w:bookmarkStart w:id="37" w:name="_Toc125447301"/>
    </w:p>
    <w:p w14:paraId="40ACAF67" w14:textId="77777777" w:rsidR="00C800ED" w:rsidRPr="00672019" w:rsidRDefault="00C800ED" w:rsidP="00C800ED">
      <w:pPr>
        <w:pStyle w:val="Heading2"/>
        <w:ind w:left="720" w:hanging="720"/>
        <w:rPr>
          <w:b/>
          <w:u w:val="none"/>
        </w:rPr>
      </w:pPr>
      <w:bookmarkStart w:id="38" w:name="_Toc126394129"/>
      <w:r w:rsidRPr="00672019">
        <w:rPr>
          <w:b/>
          <w:u w:val="none"/>
        </w:rPr>
        <w:t xml:space="preserve">A.8. </w:t>
      </w:r>
      <w:r w:rsidRPr="00672019">
        <w:rPr>
          <w:b/>
          <w:u w:val="none"/>
        </w:rPr>
        <w:tab/>
        <w:t xml:space="preserve">Provide a </w:t>
      </w:r>
      <w:r w:rsidR="00D22147">
        <w:rPr>
          <w:b/>
          <w:u w:val="none"/>
        </w:rPr>
        <w:t>citation for</w:t>
      </w:r>
      <w:r w:rsidRPr="00672019">
        <w:rPr>
          <w:b/>
          <w:u w:val="none"/>
        </w:rPr>
        <w:t xml:space="preserve"> the FEDERAL REGISTER document soliciting comments on th</w:t>
      </w:r>
      <w:r w:rsidR="00D22147">
        <w:rPr>
          <w:b/>
          <w:u w:val="none"/>
        </w:rPr>
        <w:t>is</w:t>
      </w:r>
      <w:r w:rsidRPr="00672019">
        <w:rPr>
          <w:b/>
          <w:u w:val="none"/>
        </w:rPr>
        <w:t xml:space="preserve"> collection of information, a summary of all public comments responding to the notice, and a description of the agency’s actions in response to the comments. Describe efforts to consult with persons outside the agency to obtain their views.</w:t>
      </w:r>
      <w:bookmarkEnd w:id="35"/>
      <w:bookmarkEnd w:id="36"/>
      <w:bookmarkEnd w:id="37"/>
      <w:bookmarkEnd w:id="38"/>
      <w:r w:rsidRPr="00672019">
        <w:rPr>
          <w:b/>
          <w:u w:val="none"/>
        </w:rPr>
        <w:t xml:space="preserve"> </w:t>
      </w:r>
    </w:p>
    <w:p w14:paraId="3BD1DD88" w14:textId="77777777" w:rsidR="00C800ED" w:rsidRPr="00F570BF" w:rsidRDefault="00C800ED" w:rsidP="009B20BA">
      <w:pPr>
        <w:ind w:firstLine="720"/>
        <w:rPr>
          <w:color w:val="4F81BD" w:themeColor="accent1"/>
        </w:rPr>
      </w:pPr>
      <w:r w:rsidRPr="009D416B">
        <w:t xml:space="preserve">A copy of the </w:t>
      </w:r>
      <w:r w:rsidR="00A9605E">
        <w:t xml:space="preserve">60-day </w:t>
      </w:r>
      <w:r w:rsidR="00442E5D" w:rsidRPr="009D416B">
        <w:t>Federal Register Notice</w:t>
      </w:r>
      <w:r w:rsidR="00A9605E">
        <w:t>,</w:t>
      </w:r>
      <w:r w:rsidR="00442E5D" w:rsidRPr="009D416B">
        <w:t xml:space="preserve"> </w:t>
      </w:r>
      <w:r w:rsidR="003D5608" w:rsidRPr="009D416B">
        <w:t>which notified the public of NHTSA’s intent to conduct this information collection and provided a 60-day comment period</w:t>
      </w:r>
      <w:r w:rsidR="006607E3" w:rsidRPr="009D416B">
        <w:t>,</w:t>
      </w:r>
      <w:r w:rsidR="003D5608" w:rsidRPr="009D416B">
        <w:t xml:space="preserve"> was published on </w:t>
      </w:r>
      <w:r w:rsidR="007E7CA4">
        <w:t xml:space="preserve">July, </w:t>
      </w:r>
      <w:r w:rsidR="00E92B45">
        <w:t xml:space="preserve">17, 2017 </w:t>
      </w:r>
      <w:r w:rsidR="003D5608" w:rsidRPr="007E7CA4">
        <w:t xml:space="preserve">(Vol. </w:t>
      </w:r>
      <w:r w:rsidR="00E92B45">
        <w:t>82</w:t>
      </w:r>
      <w:r w:rsidR="00442E5D" w:rsidRPr="007E7CA4">
        <w:t xml:space="preserve">, No. </w:t>
      </w:r>
      <w:r w:rsidR="00E92B45">
        <w:t>135</w:t>
      </w:r>
      <w:r w:rsidRPr="007E7CA4">
        <w:t xml:space="preserve">, Pages </w:t>
      </w:r>
      <w:r w:rsidR="00E92B45">
        <w:t>32758-</w:t>
      </w:r>
      <w:r w:rsidR="00E92B45" w:rsidRPr="00F570BF">
        <w:t>32759</w:t>
      </w:r>
      <w:r w:rsidR="006700EC" w:rsidRPr="00F570BF">
        <w:t>)</w:t>
      </w:r>
      <w:r w:rsidR="009377B5" w:rsidRPr="00F570BF">
        <w:t>.</w:t>
      </w:r>
      <w:r w:rsidR="004F79B8" w:rsidRPr="00F570BF">
        <w:t xml:space="preserve">   No comments were entered into the NHTSA docket in response to the 60-day Federal Register Notice</w:t>
      </w:r>
      <w:r w:rsidR="005720E8" w:rsidRPr="00F570BF">
        <w:t>.</w:t>
      </w:r>
    </w:p>
    <w:p w14:paraId="7D2C7F72" w14:textId="7952CB12" w:rsidR="009377B5" w:rsidRPr="005720E8" w:rsidRDefault="00C800ED" w:rsidP="007E1DAA">
      <w:pPr>
        <w:ind w:firstLine="720"/>
      </w:pPr>
      <w:r w:rsidRPr="00A44A43">
        <w:t>A copy of a second</w:t>
      </w:r>
      <w:r w:rsidR="00A44A43">
        <w:t>, 30-day</w:t>
      </w:r>
      <w:r w:rsidRPr="00A44A43">
        <w:t xml:space="preserve"> Federal Register </w:t>
      </w:r>
      <w:r w:rsidRPr="00C657FB">
        <w:t xml:space="preserve">Notice (Vol. </w:t>
      </w:r>
      <w:r w:rsidR="00C657FB">
        <w:t>82</w:t>
      </w:r>
      <w:r w:rsidR="00A44A43" w:rsidRPr="00C657FB">
        <w:t>,</w:t>
      </w:r>
      <w:r w:rsidRPr="00C657FB">
        <w:t xml:space="preserve"> </w:t>
      </w:r>
      <w:r w:rsidR="007D5003" w:rsidRPr="00C657FB">
        <w:t xml:space="preserve">No. </w:t>
      </w:r>
      <w:r w:rsidR="00C657FB">
        <w:t>225</w:t>
      </w:r>
      <w:r w:rsidR="007D5003" w:rsidRPr="00C657FB">
        <w:t xml:space="preserve">, </w:t>
      </w:r>
      <w:r w:rsidRPr="00C657FB">
        <w:t>Page</w:t>
      </w:r>
      <w:r w:rsidR="003B6A9D" w:rsidRPr="00C657FB">
        <w:t>s</w:t>
      </w:r>
      <w:r w:rsidR="009377B5" w:rsidRPr="00C657FB">
        <w:t xml:space="preserve"> </w:t>
      </w:r>
      <w:r w:rsidR="00C657FB">
        <w:t>55920-55921</w:t>
      </w:r>
      <w:r w:rsidRPr="00C657FB">
        <w:t>),</w:t>
      </w:r>
      <w:r w:rsidRPr="00A44A43">
        <w:t xml:space="preserve"> which announced that this information collection request </w:t>
      </w:r>
      <w:r w:rsidR="00E17F6D" w:rsidRPr="00A44A43">
        <w:t>will be</w:t>
      </w:r>
      <w:r w:rsidRPr="00A44A43">
        <w:t xml:space="preserve"> forwarded to OMB, </w:t>
      </w:r>
      <w:r w:rsidR="009377B5" w:rsidRPr="00A44A43">
        <w:t>was published</w:t>
      </w:r>
      <w:r w:rsidR="006700EC">
        <w:t xml:space="preserve"> on</w:t>
      </w:r>
      <w:r w:rsidR="009377B5" w:rsidRPr="00A44A43">
        <w:t xml:space="preserve"> </w:t>
      </w:r>
      <w:r w:rsidR="00C657FB" w:rsidRPr="00C657FB">
        <w:t>November 24, 2017</w:t>
      </w:r>
      <w:r w:rsidR="009377B5" w:rsidRPr="00C657FB">
        <w:t>.</w:t>
      </w:r>
      <w:r w:rsidR="00A44A43">
        <w:t xml:space="preserve">  </w:t>
      </w:r>
    </w:p>
    <w:p w14:paraId="2F223ED6" w14:textId="77777777" w:rsidR="00C800ED" w:rsidRPr="00672019" w:rsidRDefault="00C800ED" w:rsidP="00C800ED">
      <w:pPr>
        <w:ind w:left="720" w:hanging="720"/>
      </w:pPr>
    </w:p>
    <w:p w14:paraId="4FD16C7C" w14:textId="77777777" w:rsidR="00C800ED" w:rsidRPr="00672019" w:rsidRDefault="00C800ED" w:rsidP="00C800ED">
      <w:pPr>
        <w:pStyle w:val="Heading2"/>
        <w:ind w:left="720" w:hanging="720"/>
        <w:rPr>
          <w:b/>
          <w:u w:val="none"/>
        </w:rPr>
      </w:pPr>
      <w:bookmarkStart w:id="39" w:name="_Toc125278821"/>
      <w:bookmarkStart w:id="40" w:name="_Toc125341744"/>
      <w:bookmarkStart w:id="41" w:name="_Toc125447302"/>
      <w:bookmarkStart w:id="42" w:name="_Toc126394130"/>
      <w:r w:rsidRPr="00672019">
        <w:rPr>
          <w:b/>
          <w:u w:val="none"/>
        </w:rPr>
        <w:t xml:space="preserve">A.9. </w:t>
      </w:r>
      <w:r w:rsidRPr="00672019">
        <w:rPr>
          <w:b/>
          <w:u w:val="none"/>
        </w:rPr>
        <w:tab/>
        <w:t>Explain any decision to provide any payment or gift to respondents, other than remuneration of contractors or grantees.</w:t>
      </w:r>
      <w:bookmarkEnd w:id="39"/>
      <w:bookmarkEnd w:id="40"/>
      <w:bookmarkEnd w:id="41"/>
      <w:bookmarkEnd w:id="42"/>
      <w:r w:rsidRPr="00672019">
        <w:rPr>
          <w:b/>
          <w:u w:val="none"/>
        </w:rPr>
        <w:t xml:space="preserve"> </w:t>
      </w:r>
    </w:p>
    <w:p w14:paraId="303BBB99" w14:textId="7869E54B" w:rsidR="00970BEA" w:rsidRDefault="00DB25DC" w:rsidP="009B20BA">
      <w:pPr>
        <w:ind w:firstLine="720"/>
      </w:pPr>
      <w:r w:rsidRPr="00682869">
        <w:t>No payment or gift will be provided to respondents</w:t>
      </w:r>
      <w:r w:rsidR="00682869" w:rsidRPr="00682869">
        <w:t xml:space="preserve"> for the</w:t>
      </w:r>
      <w:r w:rsidR="005720E8">
        <w:t xml:space="preserve"> qualifying</w:t>
      </w:r>
      <w:r w:rsidR="00682869" w:rsidRPr="00682869">
        <w:t xml:space="preserve"> interview</w:t>
      </w:r>
      <w:r w:rsidR="00533FB6">
        <w:t xml:space="preserve"> (screening)</w:t>
      </w:r>
      <w:r w:rsidR="005720E8">
        <w:t>.</w:t>
      </w:r>
      <w:r w:rsidR="00682869" w:rsidRPr="00682869">
        <w:t xml:space="preserve"> </w:t>
      </w:r>
      <w:r w:rsidR="00F246CC">
        <w:t>S</w:t>
      </w:r>
      <w:r w:rsidR="00F246CC">
        <w:rPr>
          <w:rFonts w:eastAsia="Calibri"/>
        </w:rPr>
        <w:t xml:space="preserve">tudy participants will be offered $200 as compensation for completing </w:t>
      </w:r>
      <w:r w:rsidR="00466361">
        <w:rPr>
          <w:rFonts w:eastAsia="Calibri"/>
        </w:rPr>
        <w:t xml:space="preserve">the </w:t>
      </w:r>
      <w:r w:rsidR="00F246CC">
        <w:rPr>
          <w:rFonts w:eastAsia="Calibri"/>
        </w:rPr>
        <w:t xml:space="preserve">training sessions and on-road evaluations. </w:t>
      </w:r>
      <w:r w:rsidR="00533FB6">
        <w:rPr>
          <w:rFonts w:eastAsia="Calibri"/>
        </w:rPr>
        <w:t>E</w:t>
      </w:r>
      <w:r w:rsidR="00533FB6">
        <w:rPr>
          <w:color w:val="000000"/>
        </w:rPr>
        <w:t>ach study participant will receive a $100 gift card</w:t>
      </w:r>
      <w:r w:rsidR="00533FB6" w:rsidRPr="00B42BF3">
        <w:rPr>
          <w:color w:val="000000"/>
        </w:rPr>
        <w:t xml:space="preserve"> </w:t>
      </w:r>
      <w:r w:rsidR="00533FB6">
        <w:rPr>
          <w:color w:val="000000"/>
        </w:rPr>
        <w:t xml:space="preserve">as compensation for </w:t>
      </w:r>
      <w:r w:rsidR="00533FB6" w:rsidRPr="00B42BF3">
        <w:rPr>
          <w:color w:val="000000"/>
        </w:rPr>
        <w:t>participation</w:t>
      </w:r>
      <w:r w:rsidR="00533FB6">
        <w:rPr>
          <w:color w:val="000000"/>
        </w:rPr>
        <w:t xml:space="preserve"> after completing</w:t>
      </w:r>
      <w:r w:rsidR="00533FB6" w:rsidRPr="00B42BF3">
        <w:rPr>
          <w:color w:val="000000"/>
        </w:rPr>
        <w:t xml:space="preserve"> the</w:t>
      </w:r>
      <w:r w:rsidR="00533FB6">
        <w:rPr>
          <w:color w:val="000000"/>
        </w:rPr>
        <w:t xml:space="preserve"> second and</w:t>
      </w:r>
      <w:r w:rsidR="00533FB6" w:rsidRPr="00B42BF3">
        <w:rPr>
          <w:color w:val="000000"/>
        </w:rPr>
        <w:t xml:space="preserve"> </w:t>
      </w:r>
      <w:r w:rsidR="00440F1A">
        <w:rPr>
          <w:color w:val="000000"/>
        </w:rPr>
        <w:t xml:space="preserve">the </w:t>
      </w:r>
      <w:r w:rsidR="00533FB6">
        <w:rPr>
          <w:color w:val="000000"/>
        </w:rPr>
        <w:t>third</w:t>
      </w:r>
      <w:r w:rsidR="00533FB6" w:rsidRPr="00B42BF3">
        <w:rPr>
          <w:color w:val="000000"/>
        </w:rPr>
        <w:t xml:space="preserve"> </w:t>
      </w:r>
      <w:r w:rsidR="00900963">
        <w:rPr>
          <w:color w:val="000000"/>
        </w:rPr>
        <w:t xml:space="preserve">(final) </w:t>
      </w:r>
      <w:r w:rsidR="00533FB6" w:rsidRPr="00B42BF3">
        <w:rPr>
          <w:color w:val="000000"/>
        </w:rPr>
        <w:t>evaluation</w:t>
      </w:r>
      <w:r w:rsidR="00533FB6">
        <w:rPr>
          <w:color w:val="000000"/>
        </w:rPr>
        <w:t xml:space="preserve">s. </w:t>
      </w:r>
      <w:r w:rsidR="00C7223E">
        <w:t xml:space="preserve">Participants </w:t>
      </w:r>
      <w:r w:rsidR="00EB70B2">
        <w:t xml:space="preserve">also </w:t>
      </w:r>
      <w:r w:rsidR="00533FB6">
        <w:t xml:space="preserve">will </w:t>
      </w:r>
      <w:r w:rsidR="00C7223E">
        <w:t>receive feedback regarding their performance on the driving evaluation</w:t>
      </w:r>
      <w:r w:rsidR="00EB70B2">
        <w:t xml:space="preserve"> (following the </w:t>
      </w:r>
      <w:r w:rsidR="003A5F72">
        <w:t>final</w:t>
      </w:r>
      <w:r w:rsidR="00EB70B2">
        <w:t xml:space="preserve"> evaluation</w:t>
      </w:r>
      <w:r w:rsidR="00533FB6">
        <w:t>)</w:t>
      </w:r>
      <w:r w:rsidR="00EB70B2">
        <w:t xml:space="preserve">; </w:t>
      </w:r>
      <w:r w:rsidR="00B54487">
        <w:t xml:space="preserve">paying for this type of individual driving evaluation would </w:t>
      </w:r>
      <w:r w:rsidR="00533FB6">
        <w:t xml:space="preserve">generally cost </w:t>
      </w:r>
      <w:r w:rsidR="00C7223E">
        <w:t>$3</w:t>
      </w:r>
      <w:r w:rsidR="002A273D">
        <w:t>0</w:t>
      </w:r>
      <w:r w:rsidR="00C7223E">
        <w:t>0</w:t>
      </w:r>
      <w:r w:rsidR="00533FB6">
        <w:t xml:space="preserve"> to $</w:t>
      </w:r>
      <w:r w:rsidR="002A273D">
        <w:t>400</w:t>
      </w:r>
      <w:r w:rsidR="00440F1A">
        <w:t xml:space="preserve"> per </w:t>
      </w:r>
      <w:r w:rsidR="00B54487">
        <w:t>person</w:t>
      </w:r>
      <w:r w:rsidR="00C7223E">
        <w:t>.</w:t>
      </w:r>
    </w:p>
    <w:p w14:paraId="7E989B4B" w14:textId="77777777" w:rsidR="006979AF" w:rsidRPr="00970BEA" w:rsidRDefault="006979AF" w:rsidP="009B20BA">
      <w:pPr>
        <w:ind w:firstLine="720"/>
      </w:pPr>
      <w:r>
        <w:rPr>
          <w:color w:val="000000"/>
        </w:rPr>
        <w:t xml:space="preserve">Our past experience indicates that anything less than the proposed $200 total compensation would likely result in failure to recruit enough participants to provide adequate statistical power. In addition to the time demands related to the training and evaluations, many older adults avoid driving evaluations such as is included in the proposed study because they believe that a poor score will lead to their losing their license, even though this could not happen to participants in the proposed study. Recent studies by NHTSA have confirmed that this level of compensation is necessary to meet recruiting requirements.  These studies, which are still in the field or in final report preparation, include </w:t>
      </w:r>
      <w:r>
        <w:rPr>
          <w:i/>
          <w:iCs/>
          <w:color w:val="000000"/>
        </w:rPr>
        <w:t>Older Driver Compliance with Licensing Restrictions</w:t>
      </w:r>
      <w:r>
        <w:rPr>
          <w:color w:val="000000"/>
        </w:rPr>
        <w:t xml:space="preserve"> (OMB 2127-0702, expires 8/31/2017), </w:t>
      </w:r>
      <w:r>
        <w:rPr>
          <w:i/>
          <w:iCs/>
          <w:color w:val="000000"/>
        </w:rPr>
        <w:t>Older Drivers and Navigation Devices</w:t>
      </w:r>
      <w:r>
        <w:rPr>
          <w:color w:val="000000"/>
        </w:rPr>
        <w:t xml:space="preserve"> (OMB 2127-0710, expires 9/30/2018) and </w:t>
      </w:r>
      <w:r>
        <w:rPr>
          <w:i/>
          <w:iCs/>
          <w:color w:val="000000"/>
        </w:rPr>
        <w:t>Mild Cognitive Impairment and Driving Performance</w:t>
      </w:r>
      <w:r>
        <w:rPr>
          <w:color w:val="000000"/>
        </w:rPr>
        <w:t xml:space="preserve"> (OMB </w:t>
      </w:r>
      <w:r w:rsidR="00440F1A">
        <w:rPr>
          <w:color w:val="000000"/>
        </w:rPr>
        <w:t xml:space="preserve">2127-0712, expires 9/30/2018). </w:t>
      </w:r>
      <w:r>
        <w:rPr>
          <w:color w:val="000000"/>
        </w:rPr>
        <w:t>These three studies used incentives ranging from $100 to $150 per participant, and yet recruitment remained difficult. </w:t>
      </w:r>
      <w:r w:rsidR="00440F1A">
        <w:rPr>
          <w:color w:val="000000"/>
        </w:rPr>
        <w:t xml:space="preserve">More recently, </w:t>
      </w:r>
      <w:r w:rsidR="00440F1A" w:rsidRPr="009B20BA">
        <w:rPr>
          <w:i/>
          <w:color w:val="000000"/>
        </w:rPr>
        <w:t>Older Drivers’ Self-Regulation and Exposure</w:t>
      </w:r>
      <w:r w:rsidR="00440F1A">
        <w:rPr>
          <w:color w:val="000000"/>
        </w:rPr>
        <w:t xml:space="preserve"> (OMB</w:t>
      </w:r>
      <w:r w:rsidR="00440F1A" w:rsidRPr="00440F1A">
        <w:rPr>
          <w:color w:val="000000"/>
        </w:rPr>
        <w:t>2127-0722</w:t>
      </w:r>
      <w:r w:rsidR="00440F1A">
        <w:rPr>
          <w:color w:val="000000"/>
        </w:rPr>
        <w:t>, expires 1/31/2020) proposed a $200 incentive.</w:t>
      </w:r>
      <w:r>
        <w:rPr>
          <w:color w:val="000000"/>
        </w:rPr>
        <w:t xml:space="preserve"> In light of our </w:t>
      </w:r>
      <w:r w:rsidR="00440F1A">
        <w:rPr>
          <w:color w:val="000000"/>
        </w:rPr>
        <w:t xml:space="preserve">recent </w:t>
      </w:r>
      <w:r>
        <w:rPr>
          <w:color w:val="000000"/>
        </w:rPr>
        <w:t>field experience, we believe that the compensation of $200 per participant is justified and necessary.  </w:t>
      </w:r>
    </w:p>
    <w:p w14:paraId="3F8A8DB9" w14:textId="77777777" w:rsidR="00C1477E" w:rsidRDefault="00C1477E" w:rsidP="00C800ED">
      <w:pPr>
        <w:pStyle w:val="Heading2"/>
        <w:rPr>
          <w:b/>
          <w:u w:val="none"/>
        </w:rPr>
      </w:pPr>
      <w:bookmarkStart w:id="43" w:name="_Toc125278822"/>
      <w:bookmarkStart w:id="44" w:name="_Toc125341745"/>
      <w:bookmarkStart w:id="45" w:name="_Toc125447303"/>
      <w:bookmarkStart w:id="46" w:name="_Toc126394131"/>
    </w:p>
    <w:p w14:paraId="416BC740" w14:textId="77777777" w:rsidR="00C800ED" w:rsidRPr="00672019" w:rsidRDefault="00C800ED" w:rsidP="00C800ED">
      <w:pPr>
        <w:pStyle w:val="Heading2"/>
        <w:rPr>
          <w:b/>
          <w:u w:val="none"/>
        </w:rPr>
      </w:pPr>
      <w:r w:rsidRPr="00672019">
        <w:rPr>
          <w:b/>
          <w:u w:val="none"/>
        </w:rPr>
        <w:t xml:space="preserve">A.10. </w:t>
      </w:r>
      <w:r w:rsidRPr="00672019">
        <w:rPr>
          <w:b/>
          <w:u w:val="none"/>
        </w:rPr>
        <w:tab/>
        <w:t>Describe any assurance of confidentiality provided to respondents</w:t>
      </w:r>
      <w:bookmarkEnd w:id="43"/>
      <w:bookmarkEnd w:id="44"/>
      <w:bookmarkEnd w:id="45"/>
      <w:bookmarkEnd w:id="46"/>
    </w:p>
    <w:p w14:paraId="5EC7C24E" w14:textId="77777777" w:rsidR="00682869" w:rsidRPr="005720E8" w:rsidRDefault="00576E6D" w:rsidP="00DB25DC">
      <w:pPr>
        <w:ind w:firstLine="720"/>
      </w:pPr>
      <w:r>
        <w:t>Older drivers who are qualified and choose to participate in this study will be</w:t>
      </w:r>
      <w:r w:rsidR="00682869" w:rsidRPr="00562097">
        <w:t xml:space="preserve"> asked to execute an </w:t>
      </w:r>
      <w:r w:rsidR="00533FB6">
        <w:t>i</w:t>
      </w:r>
      <w:r w:rsidR="00682869" w:rsidRPr="00562097">
        <w:t xml:space="preserve">nformed </w:t>
      </w:r>
      <w:r w:rsidR="00533FB6">
        <w:t>c</w:t>
      </w:r>
      <w:r w:rsidR="00682869" w:rsidRPr="00562097">
        <w:t xml:space="preserve">onsent </w:t>
      </w:r>
      <w:r w:rsidR="00533FB6">
        <w:t xml:space="preserve">form. The consent form </w:t>
      </w:r>
      <w:r w:rsidR="00682869" w:rsidRPr="00562097">
        <w:t xml:space="preserve">promises that no individual results and no personal information will be published and </w:t>
      </w:r>
      <w:r w:rsidR="00533FB6">
        <w:t xml:space="preserve">that </w:t>
      </w:r>
      <w:r w:rsidR="00682869" w:rsidRPr="00562097">
        <w:t>no personal results will be shared with any licensing regulatory authority. All published results will provide only summary statistics that cannot be used to ident</w:t>
      </w:r>
      <w:r w:rsidR="00562097" w:rsidRPr="00562097">
        <w:t>ify any individual or individual</w:t>
      </w:r>
      <w:r>
        <w:t>’s</w:t>
      </w:r>
      <w:r w:rsidR="00562097" w:rsidRPr="00562097">
        <w:t xml:space="preserve"> responses.</w:t>
      </w:r>
    </w:p>
    <w:p w14:paraId="3076254B" w14:textId="77777777" w:rsidR="00C800ED" w:rsidRPr="00672019" w:rsidRDefault="00C800ED" w:rsidP="00C800ED">
      <w:pPr>
        <w:ind w:left="720" w:hanging="720"/>
      </w:pPr>
    </w:p>
    <w:p w14:paraId="3F818ADC" w14:textId="77777777" w:rsidR="00C800ED" w:rsidRPr="00672019" w:rsidRDefault="00C800ED" w:rsidP="00C800ED">
      <w:pPr>
        <w:pStyle w:val="Heading2"/>
        <w:ind w:left="720" w:hanging="720"/>
        <w:rPr>
          <w:b/>
          <w:u w:val="none"/>
        </w:rPr>
      </w:pPr>
      <w:bookmarkStart w:id="47" w:name="_Toc125278823"/>
      <w:bookmarkStart w:id="48" w:name="_Toc125341746"/>
      <w:bookmarkStart w:id="49" w:name="_Toc125447304"/>
      <w:bookmarkStart w:id="50" w:name="_Toc126394132"/>
      <w:r w:rsidRPr="00672019">
        <w:rPr>
          <w:b/>
          <w:u w:val="none"/>
        </w:rPr>
        <w:t>A.11.</w:t>
      </w:r>
      <w:r w:rsidRPr="00672019">
        <w:rPr>
          <w:b/>
          <w:u w:val="none"/>
        </w:rPr>
        <w:tab/>
        <w:t>Provide additional justification for any questions of a sensitive nature, such as sexual behavior or attitudes, religious beliefs, and other matters that are commonly considered private.</w:t>
      </w:r>
      <w:bookmarkEnd w:id="47"/>
      <w:bookmarkEnd w:id="48"/>
      <w:bookmarkEnd w:id="49"/>
      <w:bookmarkEnd w:id="50"/>
    </w:p>
    <w:p w14:paraId="67B8E0E0" w14:textId="77777777" w:rsidR="00562097" w:rsidRPr="00562097" w:rsidRDefault="00576E6D" w:rsidP="00576E6D">
      <w:pPr>
        <w:ind w:firstLine="720"/>
      </w:pPr>
      <w:r>
        <w:t xml:space="preserve">No questions </w:t>
      </w:r>
      <w:r w:rsidR="00F100B4">
        <w:t>commonly considered private or sensitive in nature</w:t>
      </w:r>
      <w:r>
        <w:t xml:space="preserve"> will be asked </w:t>
      </w:r>
      <w:r w:rsidR="00533FB6">
        <w:t>as part of this study</w:t>
      </w:r>
      <w:r w:rsidR="009830F6">
        <w:t xml:space="preserve">. </w:t>
      </w:r>
      <w:r w:rsidR="00FC64B6">
        <w:t xml:space="preserve"> </w:t>
      </w:r>
    </w:p>
    <w:p w14:paraId="3A97F21A" w14:textId="77777777" w:rsidR="00DA3DD3" w:rsidRPr="00672019" w:rsidRDefault="00DA3DD3" w:rsidP="00C800ED"/>
    <w:p w14:paraId="722FAB88" w14:textId="77777777" w:rsidR="00C800ED" w:rsidRPr="00672019" w:rsidRDefault="00C800ED" w:rsidP="00C800ED">
      <w:pPr>
        <w:pStyle w:val="Heading2"/>
        <w:ind w:left="720" w:hanging="720"/>
        <w:rPr>
          <w:b/>
          <w:u w:val="none"/>
        </w:rPr>
      </w:pPr>
      <w:bookmarkStart w:id="51" w:name="_Toc125278824"/>
      <w:bookmarkStart w:id="52" w:name="_Toc125341747"/>
      <w:bookmarkStart w:id="53" w:name="_Toc125447305"/>
      <w:bookmarkStart w:id="54" w:name="_Toc126394133"/>
      <w:r w:rsidRPr="00672019">
        <w:rPr>
          <w:b/>
          <w:u w:val="none"/>
        </w:rPr>
        <w:t>A.12.</w:t>
      </w:r>
      <w:r w:rsidRPr="00672019">
        <w:rPr>
          <w:b/>
          <w:u w:val="none"/>
        </w:rPr>
        <w:tab/>
        <w:t>Provide estimates of the hour burden of the collection of information on the respondents.</w:t>
      </w:r>
      <w:bookmarkEnd w:id="51"/>
      <w:bookmarkEnd w:id="52"/>
      <w:bookmarkEnd w:id="53"/>
      <w:bookmarkEnd w:id="54"/>
    </w:p>
    <w:p w14:paraId="29D46350" w14:textId="0B3720B3" w:rsidR="00185E07" w:rsidRDefault="000054CE">
      <w:pPr>
        <w:widowControl w:val="0"/>
        <w:autoSpaceDE w:val="0"/>
        <w:autoSpaceDN w:val="0"/>
        <w:adjustRightInd w:val="0"/>
        <w:ind w:firstLine="720"/>
        <w:rPr>
          <w:rFonts w:ascii="Times" w:hAnsi="Times" w:cs="Arial"/>
        </w:rPr>
      </w:pPr>
      <w:r>
        <w:rPr>
          <w:rFonts w:ascii="Times" w:hAnsi="Times" w:cs="Arial"/>
        </w:rPr>
        <w:t>The total estimated burden for this information collec</w:t>
      </w:r>
      <w:r w:rsidR="00C657FB">
        <w:rPr>
          <w:rFonts w:ascii="Times" w:hAnsi="Times" w:cs="Arial"/>
        </w:rPr>
        <w:t>tion is 690</w:t>
      </w:r>
      <w:r>
        <w:rPr>
          <w:rFonts w:ascii="Times" w:hAnsi="Times" w:cs="Arial"/>
        </w:rPr>
        <w:t>. The following table summarizes the calcu</w:t>
      </w:r>
      <w:r w:rsidR="00E712D6">
        <w:rPr>
          <w:rFonts w:ascii="Times" w:hAnsi="Times" w:cs="Arial"/>
        </w:rPr>
        <w:t xml:space="preserve">lation of this estimated burden. </w:t>
      </w:r>
    </w:p>
    <w:p w14:paraId="53F2C4E9" w14:textId="77777777" w:rsidR="00185E07" w:rsidRPr="009B20BA" w:rsidRDefault="00185E07" w:rsidP="00185E07">
      <w:pPr>
        <w:widowControl w:val="0"/>
        <w:autoSpaceDE w:val="0"/>
        <w:autoSpaceDN w:val="0"/>
        <w:adjustRightInd w:val="0"/>
        <w:rPr>
          <w:rFonts w:ascii="Times" w:hAnsi="Times" w:cs="Arial"/>
          <w:i/>
          <w:color w:val="000000" w:themeColor="text1"/>
        </w:rPr>
      </w:pPr>
      <w:r w:rsidRPr="009B20BA">
        <w:rPr>
          <w:rFonts w:ascii="Times" w:hAnsi="Times" w:cs="Arial"/>
          <w:i/>
          <w:color w:val="000000" w:themeColor="text1"/>
        </w:rPr>
        <w:t>Table 1.</w:t>
      </w:r>
      <w:r w:rsidR="00E712D6" w:rsidRPr="009B20BA">
        <w:rPr>
          <w:rFonts w:ascii="Times" w:hAnsi="Times" w:cs="Arial"/>
          <w:i/>
          <w:color w:val="000000" w:themeColor="text1"/>
        </w:rPr>
        <w:t xml:space="preserve"> Calculation of Burden Hours</w:t>
      </w:r>
    </w:p>
    <w:tbl>
      <w:tblPr>
        <w:tblStyle w:val="TableGrid"/>
        <w:tblW w:w="9378" w:type="dxa"/>
        <w:tblLayout w:type="fixed"/>
        <w:tblLook w:val="04A0" w:firstRow="1" w:lastRow="0" w:firstColumn="1" w:lastColumn="0" w:noHBand="0" w:noVBand="1"/>
      </w:tblPr>
      <w:tblGrid>
        <w:gridCol w:w="3258"/>
        <w:gridCol w:w="1530"/>
        <w:gridCol w:w="1800"/>
        <w:gridCol w:w="2790"/>
      </w:tblGrid>
      <w:tr w:rsidR="00185E07" w14:paraId="0E6CDB17" w14:textId="77777777" w:rsidTr="009B20BA">
        <w:trPr>
          <w:trHeight w:val="431"/>
        </w:trPr>
        <w:tc>
          <w:tcPr>
            <w:tcW w:w="3258" w:type="dxa"/>
            <w:vAlign w:val="bottom"/>
          </w:tcPr>
          <w:p w14:paraId="2378F81C" w14:textId="77777777" w:rsidR="00185E07" w:rsidRDefault="00185E07" w:rsidP="003B4213">
            <w:pPr>
              <w:widowControl w:val="0"/>
              <w:autoSpaceDE w:val="0"/>
              <w:autoSpaceDN w:val="0"/>
              <w:adjustRightInd w:val="0"/>
              <w:rPr>
                <w:rFonts w:ascii="Times" w:hAnsi="Times" w:cs="Arial"/>
              </w:rPr>
            </w:pPr>
          </w:p>
        </w:tc>
        <w:tc>
          <w:tcPr>
            <w:tcW w:w="1530" w:type="dxa"/>
            <w:vAlign w:val="bottom"/>
          </w:tcPr>
          <w:p w14:paraId="72D31F5D" w14:textId="77777777" w:rsidR="00185E07" w:rsidRPr="009B20BA" w:rsidRDefault="00185E07" w:rsidP="003B4213">
            <w:pPr>
              <w:widowControl w:val="0"/>
              <w:autoSpaceDE w:val="0"/>
              <w:autoSpaceDN w:val="0"/>
              <w:adjustRightInd w:val="0"/>
              <w:jc w:val="center"/>
              <w:rPr>
                <w:rFonts w:ascii="Times" w:hAnsi="Times" w:cs="Arial"/>
                <w:b/>
              </w:rPr>
            </w:pPr>
            <w:r w:rsidRPr="009B20BA">
              <w:rPr>
                <w:rFonts w:ascii="Times" w:hAnsi="Times" w:cs="Arial"/>
                <w:b/>
              </w:rPr>
              <w:t>Participants</w:t>
            </w:r>
          </w:p>
        </w:tc>
        <w:tc>
          <w:tcPr>
            <w:tcW w:w="1800" w:type="dxa"/>
            <w:vAlign w:val="bottom"/>
          </w:tcPr>
          <w:p w14:paraId="286720C8" w14:textId="77777777" w:rsidR="00185E07" w:rsidRPr="009B20BA" w:rsidRDefault="000054CE" w:rsidP="003B4213">
            <w:pPr>
              <w:keepNext/>
              <w:keepLines/>
              <w:widowControl w:val="0"/>
              <w:autoSpaceDE w:val="0"/>
              <w:autoSpaceDN w:val="0"/>
              <w:adjustRightInd w:val="0"/>
              <w:spacing w:before="200" w:after="0"/>
              <w:jc w:val="center"/>
              <w:outlineLvl w:val="5"/>
              <w:rPr>
                <w:rFonts w:ascii="Times" w:hAnsi="Times" w:cs="Arial"/>
                <w:b/>
              </w:rPr>
            </w:pPr>
            <w:r w:rsidRPr="009B20BA">
              <w:rPr>
                <w:rFonts w:ascii="Times" w:hAnsi="Times" w:cs="Arial"/>
                <w:b/>
              </w:rPr>
              <w:t>Minutes</w:t>
            </w:r>
            <w:r w:rsidR="00185E07" w:rsidRPr="009B20BA">
              <w:rPr>
                <w:rFonts w:ascii="Times" w:hAnsi="Times" w:cs="Arial"/>
                <w:b/>
              </w:rPr>
              <w:t xml:space="preserve"> per </w:t>
            </w:r>
            <w:r w:rsidRPr="009B20BA">
              <w:rPr>
                <w:rFonts w:ascii="Times" w:hAnsi="Times" w:cs="Arial"/>
                <w:b/>
              </w:rPr>
              <w:t>P</w:t>
            </w:r>
            <w:r w:rsidR="00185E07" w:rsidRPr="009B20BA">
              <w:rPr>
                <w:rFonts w:ascii="Times" w:hAnsi="Times" w:cs="Arial"/>
                <w:b/>
              </w:rPr>
              <w:t>articipant</w:t>
            </w:r>
          </w:p>
        </w:tc>
        <w:tc>
          <w:tcPr>
            <w:tcW w:w="2790" w:type="dxa"/>
            <w:vAlign w:val="bottom"/>
          </w:tcPr>
          <w:p w14:paraId="17616503" w14:textId="20DE9AEF" w:rsidR="00185E07" w:rsidRPr="009B20BA" w:rsidRDefault="000054CE" w:rsidP="003C6D62">
            <w:pPr>
              <w:keepNext/>
              <w:keepLines/>
              <w:widowControl w:val="0"/>
              <w:autoSpaceDE w:val="0"/>
              <w:autoSpaceDN w:val="0"/>
              <w:adjustRightInd w:val="0"/>
              <w:spacing w:before="200" w:after="0"/>
              <w:jc w:val="center"/>
              <w:outlineLvl w:val="5"/>
              <w:rPr>
                <w:rFonts w:ascii="Times" w:hAnsi="Times" w:cs="Arial"/>
                <w:b/>
              </w:rPr>
            </w:pPr>
            <w:r w:rsidRPr="009B20BA">
              <w:rPr>
                <w:rFonts w:ascii="Times" w:hAnsi="Times" w:cs="Arial"/>
                <w:b/>
              </w:rPr>
              <w:t xml:space="preserve">Estimated </w:t>
            </w:r>
            <w:r w:rsidR="00185E07" w:rsidRPr="009B20BA">
              <w:rPr>
                <w:rFonts w:ascii="Times" w:hAnsi="Times" w:cs="Arial"/>
                <w:b/>
              </w:rPr>
              <w:t>Burden</w:t>
            </w:r>
            <w:r w:rsidR="00C657FB">
              <w:rPr>
                <w:rFonts w:ascii="Times" w:hAnsi="Times" w:cs="Arial"/>
                <w:b/>
              </w:rPr>
              <w:t xml:space="preserve"> (rounded to nearest hour)</w:t>
            </w:r>
          </w:p>
        </w:tc>
      </w:tr>
      <w:tr w:rsidR="00185E07" w14:paraId="487FD6CD" w14:textId="77777777" w:rsidTr="009B20BA">
        <w:trPr>
          <w:trHeight w:val="314"/>
        </w:trPr>
        <w:tc>
          <w:tcPr>
            <w:tcW w:w="3258" w:type="dxa"/>
            <w:vAlign w:val="bottom"/>
          </w:tcPr>
          <w:p w14:paraId="011DC146" w14:textId="77777777" w:rsidR="00185E07" w:rsidRDefault="000054CE" w:rsidP="003B4213">
            <w:pPr>
              <w:widowControl w:val="0"/>
              <w:autoSpaceDE w:val="0"/>
              <w:autoSpaceDN w:val="0"/>
              <w:adjustRightInd w:val="0"/>
              <w:rPr>
                <w:rFonts w:ascii="Times" w:hAnsi="Times" w:cs="Arial"/>
              </w:rPr>
            </w:pPr>
            <w:r>
              <w:rPr>
                <w:rFonts w:ascii="Times" w:hAnsi="Times" w:cs="Arial"/>
              </w:rPr>
              <w:t xml:space="preserve">Form 1400: </w:t>
            </w:r>
            <w:r w:rsidR="00185E07">
              <w:rPr>
                <w:rFonts w:ascii="Times" w:hAnsi="Times" w:cs="Arial"/>
              </w:rPr>
              <w:t>Screening</w:t>
            </w:r>
          </w:p>
        </w:tc>
        <w:tc>
          <w:tcPr>
            <w:tcW w:w="1530" w:type="dxa"/>
            <w:vAlign w:val="bottom"/>
          </w:tcPr>
          <w:p w14:paraId="6D8C4B95" w14:textId="77777777" w:rsidR="00185E07" w:rsidRPr="00D63B4F" w:rsidRDefault="000054CE" w:rsidP="003B4213">
            <w:pPr>
              <w:keepNext/>
              <w:keepLines/>
              <w:widowControl w:val="0"/>
              <w:autoSpaceDE w:val="0"/>
              <w:autoSpaceDN w:val="0"/>
              <w:adjustRightInd w:val="0"/>
              <w:jc w:val="center"/>
              <w:outlineLvl w:val="6"/>
              <w:rPr>
                <w:rFonts w:ascii="Times" w:hAnsi="Times" w:cs="Arial"/>
              </w:rPr>
            </w:pPr>
            <w:r>
              <w:rPr>
                <w:rFonts w:ascii="Times" w:hAnsi="Times" w:cs="Arial"/>
              </w:rPr>
              <w:t>135</w:t>
            </w:r>
          </w:p>
        </w:tc>
        <w:tc>
          <w:tcPr>
            <w:tcW w:w="1800" w:type="dxa"/>
            <w:vAlign w:val="bottom"/>
          </w:tcPr>
          <w:p w14:paraId="3A3C72F7" w14:textId="77777777" w:rsidR="00185E07" w:rsidRPr="00D63B4F" w:rsidRDefault="000054CE" w:rsidP="003C6D62">
            <w:pPr>
              <w:widowControl w:val="0"/>
              <w:autoSpaceDE w:val="0"/>
              <w:autoSpaceDN w:val="0"/>
              <w:adjustRightInd w:val="0"/>
              <w:jc w:val="center"/>
              <w:rPr>
                <w:rFonts w:ascii="Times" w:hAnsi="Times" w:cs="Arial"/>
              </w:rPr>
            </w:pPr>
            <w:r>
              <w:rPr>
                <w:rFonts w:ascii="Times" w:hAnsi="Times" w:cs="Arial"/>
              </w:rPr>
              <w:t>3</w:t>
            </w:r>
          </w:p>
        </w:tc>
        <w:tc>
          <w:tcPr>
            <w:tcW w:w="2790" w:type="dxa"/>
            <w:vAlign w:val="bottom"/>
          </w:tcPr>
          <w:p w14:paraId="3C133909" w14:textId="1C5B58BF" w:rsidR="00185E07" w:rsidRPr="00D63B4F" w:rsidRDefault="00C657FB">
            <w:pPr>
              <w:keepNext/>
              <w:keepLines/>
              <w:widowControl w:val="0"/>
              <w:autoSpaceDE w:val="0"/>
              <w:autoSpaceDN w:val="0"/>
              <w:adjustRightInd w:val="0"/>
              <w:jc w:val="center"/>
              <w:outlineLvl w:val="6"/>
              <w:rPr>
                <w:rFonts w:ascii="Times" w:hAnsi="Times" w:cs="Arial"/>
              </w:rPr>
            </w:pPr>
            <w:r>
              <w:rPr>
                <w:rFonts w:ascii="Times" w:hAnsi="Times" w:cs="Arial"/>
              </w:rPr>
              <w:t>7 hour</w:t>
            </w:r>
            <w:r w:rsidR="00E712D6">
              <w:rPr>
                <w:rFonts w:ascii="Times" w:hAnsi="Times" w:cs="Arial"/>
              </w:rPr>
              <w:t>s</w:t>
            </w:r>
          </w:p>
        </w:tc>
      </w:tr>
      <w:tr w:rsidR="000054CE" w14:paraId="5188DB52" w14:textId="77777777" w:rsidTr="009B20BA">
        <w:trPr>
          <w:trHeight w:val="314"/>
        </w:trPr>
        <w:tc>
          <w:tcPr>
            <w:tcW w:w="3258" w:type="dxa"/>
            <w:vAlign w:val="bottom"/>
          </w:tcPr>
          <w:p w14:paraId="6B6049B7" w14:textId="77777777" w:rsidR="000054CE" w:rsidRDefault="00E712D6" w:rsidP="003B4213">
            <w:pPr>
              <w:widowControl w:val="0"/>
              <w:autoSpaceDE w:val="0"/>
              <w:autoSpaceDN w:val="0"/>
              <w:adjustRightInd w:val="0"/>
              <w:rPr>
                <w:rFonts w:ascii="Times" w:hAnsi="Times" w:cs="Arial"/>
              </w:rPr>
            </w:pPr>
            <w:r>
              <w:rPr>
                <w:rFonts w:ascii="Times" w:hAnsi="Times" w:cs="Arial"/>
              </w:rPr>
              <w:t>Form 1401: Consent Form</w:t>
            </w:r>
          </w:p>
        </w:tc>
        <w:tc>
          <w:tcPr>
            <w:tcW w:w="1530" w:type="dxa"/>
            <w:vAlign w:val="bottom"/>
          </w:tcPr>
          <w:p w14:paraId="67F8EA1D" w14:textId="77777777" w:rsidR="000054CE" w:rsidRPr="00D63B4F" w:rsidRDefault="00E712D6" w:rsidP="003B4213">
            <w:pPr>
              <w:keepNext/>
              <w:keepLines/>
              <w:widowControl w:val="0"/>
              <w:autoSpaceDE w:val="0"/>
              <w:autoSpaceDN w:val="0"/>
              <w:adjustRightInd w:val="0"/>
              <w:jc w:val="center"/>
              <w:outlineLvl w:val="6"/>
              <w:rPr>
                <w:rFonts w:ascii="Times" w:hAnsi="Times" w:cs="Arial"/>
              </w:rPr>
            </w:pPr>
            <w:r>
              <w:rPr>
                <w:rFonts w:ascii="Times" w:hAnsi="Times" w:cs="Arial"/>
              </w:rPr>
              <w:t>90</w:t>
            </w:r>
          </w:p>
        </w:tc>
        <w:tc>
          <w:tcPr>
            <w:tcW w:w="1800" w:type="dxa"/>
            <w:vAlign w:val="bottom"/>
          </w:tcPr>
          <w:p w14:paraId="533A4575" w14:textId="77777777" w:rsidR="000054CE" w:rsidRPr="00D63B4F" w:rsidRDefault="00E712D6" w:rsidP="003C6D62">
            <w:pPr>
              <w:widowControl w:val="0"/>
              <w:autoSpaceDE w:val="0"/>
              <w:autoSpaceDN w:val="0"/>
              <w:adjustRightInd w:val="0"/>
              <w:jc w:val="center"/>
              <w:rPr>
                <w:rFonts w:ascii="Times" w:hAnsi="Times" w:cs="Arial"/>
              </w:rPr>
            </w:pPr>
            <w:r>
              <w:rPr>
                <w:rFonts w:ascii="Times" w:hAnsi="Times" w:cs="Arial"/>
              </w:rPr>
              <w:t>450</w:t>
            </w:r>
          </w:p>
        </w:tc>
        <w:tc>
          <w:tcPr>
            <w:tcW w:w="2790" w:type="dxa"/>
            <w:vAlign w:val="bottom"/>
          </w:tcPr>
          <w:p w14:paraId="7D877B0F" w14:textId="77777777" w:rsidR="000054CE" w:rsidRPr="00D63B4F" w:rsidRDefault="00E712D6" w:rsidP="00E35E69">
            <w:pPr>
              <w:keepNext/>
              <w:keepLines/>
              <w:widowControl w:val="0"/>
              <w:autoSpaceDE w:val="0"/>
              <w:autoSpaceDN w:val="0"/>
              <w:adjustRightInd w:val="0"/>
              <w:jc w:val="center"/>
              <w:outlineLvl w:val="6"/>
              <w:rPr>
                <w:rFonts w:ascii="Times" w:hAnsi="Times" w:cs="Arial"/>
              </w:rPr>
            </w:pPr>
            <w:r>
              <w:rPr>
                <w:rFonts w:ascii="Times" w:hAnsi="Times" w:cs="Arial"/>
              </w:rPr>
              <w:t>675 hours</w:t>
            </w:r>
          </w:p>
        </w:tc>
      </w:tr>
      <w:tr w:rsidR="000054CE" w14:paraId="1476F31F" w14:textId="77777777" w:rsidTr="009B20BA">
        <w:trPr>
          <w:trHeight w:val="314"/>
        </w:trPr>
        <w:tc>
          <w:tcPr>
            <w:tcW w:w="3258" w:type="dxa"/>
            <w:vAlign w:val="bottom"/>
          </w:tcPr>
          <w:p w14:paraId="0A52AFC9" w14:textId="77777777" w:rsidR="000054CE" w:rsidRDefault="00E712D6" w:rsidP="003B4213">
            <w:pPr>
              <w:widowControl w:val="0"/>
              <w:autoSpaceDE w:val="0"/>
              <w:autoSpaceDN w:val="0"/>
              <w:adjustRightInd w:val="0"/>
              <w:rPr>
                <w:rFonts w:ascii="Times" w:hAnsi="Times" w:cs="Arial"/>
              </w:rPr>
            </w:pPr>
            <w:r>
              <w:rPr>
                <w:rFonts w:ascii="Times" w:hAnsi="Times" w:cs="Arial"/>
              </w:rPr>
              <w:t>Form 1402: Training Feedback</w:t>
            </w:r>
          </w:p>
        </w:tc>
        <w:tc>
          <w:tcPr>
            <w:tcW w:w="1530" w:type="dxa"/>
            <w:vAlign w:val="bottom"/>
          </w:tcPr>
          <w:p w14:paraId="212E6114" w14:textId="77777777" w:rsidR="000054CE" w:rsidRPr="00D63B4F" w:rsidRDefault="00E712D6" w:rsidP="003B4213">
            <w:pPr>
              <w:keepNext/>
              <w:keepLines/>
              <w:widowControl w:val="0"/>
              <w:autoSpaceDE w:val="0"/>
              <w:autoSpaceDN w:val="0"/>
              <w:adjustRightInd w:val="0"/>
              <w:jc w:val="center"/>
              <w:outlineLvl w:val="6"/>
              <w:rPr>
                <w:rFonts w:ascii="Times" w:hAnsi="Times" w:cs="Arial"/>
              </w:rPr>
            </w:pPr>
            <w:r>
              <w:rPr>
                <w:rFonts w:ascii="Times" w:hAnsi="Times" w:cs="Arial"/>
              </w:rPr>
              <w:t>45</w:t>
            </w:r>
          </w:p>
        </w:tc>
        <w:tc>
          <w:tcPr>
            <w:tcW w:w="1800" w:type="dxa"/>
            <w:vAlign w:val="bottom"/>
          </w:tcPr>
          <w:p w14:paraId="0B4EF271" w14:textId="77777777" w:rsidR="000054CE" w:rsidRPr="00D63B4F" w:rsidRDefault="00E712D6" w:rsidP="003C6D62">
            <w:pPr>
              <w:widowControl w:val="0"/>
              <w:autoSpaceDE w:val="0"/>
              <w:autoSpaceDN w:val="0"/>
              <w:adjustRightInd w:val="0"/>
              <w:jc w:val="center"/>
              <w:rPr>
                <w:rFonts w:ascii="Times" w:hAnsi="Times" w:cs="Arial"/>
              </w:rPr>
            </w:pPr>
            <w:r>
              <w:rPr>
                <w:rFonts w:ascii="Times" w:hAnsi="Times" w:cs="Arial"/>
              </w:rPr>
              <w:t>10</w:t>
            </w:r>
          </w:p>
        </w:tc>
        <w:tc>
          <w:tcPr>
            <w:tcW w:w="2790" w:type="dxa"/>
            <w:vAlign w:val="bottom"/>
          </w:tcPr>
          <w:p w14:paraId="6EB79909" w14:textId="1056C80B" w:rsidR="000054CE" w:rsidRPr="00D63B4F" w:rsidRDefault="00C657FB">
            <w:pPr>
              <w:keepNext/>
              <w:keepLines/>
              <w:widowControl w:val="0"/>
              <w:autoSpaceDE w:val="0"/>
              <w:autoSpaceDN w:val="0"/>
              <w:adjustRightInd w:val="0"/>
              <w:jc w:val="center"/>
              <w:outlineLvl w:val="6"/>
              <w:rPr>
                <w:rFonts w:ascii="Times" w:hAnsi="Times" w:cs="Arial"/>
              </w:rPr>
            </w:pPr>
            <w:r>
              <w:rPr>
                <w:rFonts w:ascii="Times" w:hAnsi="Times" w:cs="Arial"/>
              </w:rPr>
              <w:t xml:space="preserve"> 8 hours</w:t>
            </w:r>
          </w:p>
        </w:tc>
      </w:tr>
      <w:tr w:rsidR="000054CE" w14:paraId="053AA299" w14:textId="77777777" w:rsidTr="009B20BA">
        <w:trPr>
          <w:trHeight w:val="314"/>
        </w:trPr>
        <w:tc>
          <w:tcPr>
            <w:tcW w:w="3258" w:type="dxa"/>
            <w:vAlign w:val="bottom"/>
          </w:tcPr>
          <w:p w14:paraId="3259A1B0" w14:textId="77777777" w:rsidR="000054CE" w:rsidRPr="009B20BA" w:rsidRDefault="00E712D6" w:rsidP="003B4213">
            <w:pPr>
              <w:keepNext/>
              <w:keepLines/>
              <w:widowControl w:val="0"/>
              <w:autoSpaceDE w:val="0"/>
              <w:autoSpaceDN w:val="0"/>
              <w:adjustRightInd w:val="0"/>
              <w:spacing w:before="200" w:after="0"/>
              <w:outlineLvl w:val="5"/>
              <w:rPr>
                <w:rFonts w:ascii="Times" w:hAnsi="Times" w:cs="Arial"/>
                <w:i/>
              </w:rPr>
            </w:pPr>
            <w:r w:rsidRPr="009B20BA">
              <w:rPr>
                <w:rFonts w:ascii="Times" w:hAnsi="Times" w:cs="Arial"/>
                <w:i/>
              </w:rPr>
              <w:t>Total Estimated Burden Hours</w:t>
            </w:r>
          </w:p>
        </w:tc>
        <w:tc>
          <w:tcPr>
            <w:tcW w:w="1530" w:type="dxa"/>
            <w:vAlign w:val="bottom"/>
          </w:tcPr>
          <w:p w14:paraId="339CA3F8" w14:textId="77777777" w:rsidR="000054CE" w:rsidRPr="009B20BA" w:rsidRDefault="000054CE" w:rsidP="003B4213">
            <w:pPr>
              <w:keepNext/>
              <w:keepLines/>
              <w:widowControl w:val="0"/>
              <w:autoSpaceDE w:val="0"/>
              <w:autoSpaceDN w:val="0"/>
              <w:adjustRightInd w:val="0"/>
              <w:jc w:val="center"/>
              <w:outlineLvl w:val="6"/>
              <w:rPr>
                <w:rFonts w:ascii="Times" w:hAnsi="Times" w:cs="Arial"/>
                <w:i/>
              </w:rPr>
            </w:pPr>
          </w:p>
        </w:tc>
        <w:tc>
          <w:tcPr>
            <w:tcW w:w="1800" w:type="dxa"/>
            <w:vAlign w:val="bottom"/>
          </w:tcPr>
          <w:p w14:paraId="1B4B426E" w14:textId="77777777" w:rsidR="000054CE" w:rsidRPr="009B20BA" w:rsidRDefault="000054CE" w:rsidP="003C6D62">
            <w:pPr>
              <w:widowControl w:val="0"/>
              <w:autoSpaceDE w:val="0"/>
              <w:autoSpaceDN w:val="0"/>
              <w:adjustRightInd w:val="0"/>
              <w:jc w:val="center"/>
              <w:rPr>
                <w:rFonts w:ascii="Times" w:hAnsi="Times" w:cs="Arial"/>
                <w:i/>
              </w:rPr>
            </w:pPr>
          </w:p>
        </w:tc>
        <w:tc>
          <w:tcPr>
            <w:tcW w:w="2790" w:type="dxa"/>
            <w:vAlign w:val="bottom"/>
          </w:tcPr>
          <w:p w14:paraId="31402791" w14:textId="4D3D966E" w:rsidR="000054CE" w:rsidRPr="009B20BA" w:rsidRDefault="00C657FB">
            <w:pPr>
              <w:keepNext/>
              <w:keepLines/>
              <w:widowControl w:val="0"/>
              <w:autoSpaceDE w:val="0"/>
              <w:autoSpaceDN w:val="0"/>
              <w:adjustRightInd w:val="0"/>
              <w:spacing w:before="200" w:after="0"/>
              <w:jc w:val="center"/>
              <w:outlineLvl w:val="6"/>
              <w:rPr>
                <w:rFonts w:ascii="Times" w:hAnsi="Times" w:cs="Arial"/>
                <w:i/>
              </w:rPr>
            </w:pPr>
            <w:r>
              <w:rPr>
                <w:rFonts w:ascii="Times" w:hAnsi="Times" w:cs="Arial"/>
                <w:i/>
              </w:rPr>
              <w:t>690 hours</w:t>
            </w:r>
          </w:p>
        </w:tc>
      </w:tr>
    </w:tbl>
    <w:p w14:paraId="357C6E8C" w14:textId="77777777" w:rsidR="00F100B4" w:rsidRDefault="00F100B4" w:rsidP="003B36EB">
      <w:pPr>
        <w:widowControl w:val="0"/>
        <w:autoSpaceDE w:val="0"/>
        <w:autoSpaceDN w:val="0"/>
        <w:adjustRightInd w:val="0"/>
        <w:ind w:firstLine="720"/>
        <w:rPr>
          <w:rFonts w:ascii="Times" w:hAnsi="Times" w:cs="Arial"/>
        </w:rPr>
      </w:pPr>
    </w:p>
    <w:p w14:paraId="01A9B5B9" w14:textId="77777777" w:rsidR="003B36EB" w:rsidRDefault="003B36EB" w:rsidP="003B36EB">
      <w:pPr>
        <w:widowControl w:val="0"/>
        <w:autoSpaceDE w:val="0"/>
        <w:autoSpaceDN w:val="0"/>
        <w:adjustRightInd w:val="0"/>
        <w:ind w:firstLine="720"/>
        <w:rPr>
          <w:rFonts w:ascii="Times" w:hAnsi="Times" w:cs="Arial"/>
        </w:rPr>
      </w:pPr>
      <w:r>
        <w:rPr>
          <w:rFonts w:ascii="Times" w:hAnsi="Times" w:cs="Arial"/>
        </w:rPr>
        <w:t xml:space="preserve">Form 1400 ensures that interested respondents, who will have attended an informational session that describes the inclusion and exclusion criteria, are properly qualified for the study.  We expect that we will need to approach 135 respondents to achieve the target of 90 potentially eligible participants since we estimate that about one-third will not be eligible. Respondents will take an estimated three minutes to complete the questions, resulting in an estimated burden of six hours and 45 minutes.  </w:t>
      </w:r>
    </w:p>
    <w:p w14:paraId="66AD2AE9" w14:textId="77777777" w:rsidR="00734EE6" w:rsidRDefault="0072701C" w:rsidP="003B4213">
      <w:pPr>
        <w:widowControl w:val="0"/>
        <w:autoSpaceDE w:val="0"/>
        <w:autoSpaceDN w:val="0"/>
        <w:adjustRightInd w:val="0"/>
        <w:ind w:firstLine="720"/>
        <w:rPr>
          <w:color w:val="000000"/>
        </w:rPr>
      </w:pPr>
      <w:r>
        <w:rPr>
          <w:rFonts w:ascii="Times" w:hAnsi="Times" w:cs="Arial"/>
        </w:rPr>
        <w:t xml:space="preserve">The burden associated with Form 1401 includes both the consenting process and the time burden associated with completing the study. </w:t>
      </w:r>
      <w:r w:rsidR="00D40743">
        <w:rPr>
          <w:rFonts w:ascii="Times" w:hAnsi="Times" w:cs="Arial"/>
        </w:rPr>
        <w:t>The consent</w:t>
      </w:r>
      <w:r w:rsidR="00C1477E">
        <w:rPr>
          <w:rFonts w:ascii="Times" w:hAnsi="Times" w:cs="Arial"/>
        </w:rPr>
        <w:t>ing</w:t>
      </w:r>
      <w:r w:rsidR="00D40743">
        <w:rPr>
          <w:rFonts w:ascii="Times" w:hAnsi="Times" w:cs="Arial"/>
        </w:rPr>
        <w:t xml:space="preserve"> process</w:t>
      </w:r>
      <w:r>
        <w:rPr>
          <w:rFonts w:ascii="Times" w:hAnsi="Times" w:cs="Arial"/>
        </w:rPr>
        <w:t xml:space="preserve">, which includes reading and signing the consent form </w:t>
      </w:r>
      <w:r w:rsidR="00734EE6">
        <w:rPr>
          <w:rFonts w:ascii="Times" w:hAnsi="Times" w:cs="Arial"/>
        </w:rPr>
        <w:t xml:space="preserve">(Form 1401) </w:t>
      </w:r>
      <w:r>
        <w:rPr>
          <w:rFonts w:ascii="Times" w:hAnsi="Times" w:cs="Arial"/>
        </w:rPr>
        <w:t>and a vision screening,</w:t>
      </w:r>
      <w:r w:rsidR="00C1477E">
        <w:rPr>
          <w:rFonts w:ascii="Times" w:hAnsi="Times" w:cs="Arial"/>
        </w:rPr>
        <w:t xml:space="preserve"> </w:t>
      </w:r>
      <w:r>
        <w:rPr>
          <w:rFonts w:ascii="Times" w:hAnsi="Times" w:cs="Arial"/>
        </w:rPr>
        <w:t>for</w:t>
      </w:r>
      <w:r w:rsidR="00D40743">
        <w:rPr>
          <w:rFonts w:ascii="Times" w:hAnsi="Times" w:cs="Arial"/>
        </w:rPr>
        <w:t xml:space="preserve"> each of the </w:t>
      </w:r>
      <w:r>
        <w:rPr>
          <w:rFonts w:ascii="Times" w:hAnsi="Times" w:cs="Arial"/>
        </w:rPr>
        <w:t>90</w:t>
      </w:r>
      <w:r w:rsidR="00D40743">
        <w:rPr>
          <w:rFonts w:ascii="Times" w:hAnsi="Times" w:cs="Arial"/>
        </w:rPr>
        <w:t xml:space="preserve"> participants will average </w:t>
      </w:r>
      <w:r w:rsidR="00040830">
        <w:rPr>
          <w:rFonts w:ascii="Times" w:hAnsi="Times" w:cs="Arial"/>
        </w:rPr>
        <w:t>30</w:t>
      </w:r>
      <w:r w:rsidR="00D40743">
        <w:rPr>
          <w:rFonts w:ascii="Times" w:hAnsi="Times" w:cs="Arial"/>
        </w:rPr>
        <w:t xml:space="preserve"> minutes in length. </w:t>
      </w:r>
      <w:r w:rsidR="00F246CC">
        <w:rPr>
          <w:color w:val="000000"/>
        </w:rPr>
        <w:t xml:space="preserve">All study participants will be randomly assigned within age and gender categories to either participation in the visual scanning training program or to a control (placebo) activity </w:t>
      </w:r>
      <w:r w:rsidR="00734EE6">
        <w:rPr>
          <w:color w:val="000000"/>
        </w:rPr>
        <w:t>for</w:t>
      </w:r>
      <w:r w:rsidR="00F246CC">
        <w:rPr>
          <w:color w:val="000000"/>
        </w:rPr>
        <w:t xml:space="preserve"> the same number of hours. </w:t>
      </w:r>
      <w:r w:rsidR="00734EE6">
        <w:rPr>
          <w:color w:val="000000"/>
        </w:rPr>
        <w:t xml:space="preserve">Both groups will experience four one-hour sessions for a total training burden of four hours per participant. </w:t>
      </w:r>
      <w:r w:rsidR="00BF323A">
        <w:rPr>
          <w:color w:val="000000"/>
        </w:rPr>
        <w:t xml:space="preserve">All participants will also undergo three </w:t>
      </w:r>
      <w:r w:rsidR="00F100B4">
        <w:rPr>
          <w:color w:val="000000"/>
        </w:rPr>
        <w:t xml:space="preserve">one-hour </w:t>
      </w:r>
      <w:r w:rsidR="00BF323A" w:rsidRPr="003C4C7C">
        <w:rPr>
          <w:color w:val="000000"/>
        </w:rPr>
        <w:t xml:space="preserve">on-road evaluations by </w:t>
      </w:r>
      <w:r w:rsidR="00BF323A">
        <w:rPr>
          <w:color w:val="000000"/>
        </w:rPr>
        <w:t>a C</w:t>
      </w:r>
      <w:r w:rsidR="00BF323A" w:rsidRPr="003C4C7C">
        <w:rPr>
          <w:color w:val="000000"/>
        </w:rPr>
        <w:t>DRS</w:t>
      </w:r>
      <w:r w:rsidR="00BF323A">
        <w:rPr>
          <w:color w:val="000000"/>
        </w:rPr>
        <w:t xml:space="preserve"> over the course of the study</w:t>
      </w:r>
      <w:r w:rsidR="00F100B4">
        <w:rPr>
          <w:color w:val="000000"/>
        </w:rPr>
        <w:t xml:space="preserve">. </w:t>
      </w:r>
      <w:r w:rsidR="00734EE6">
        <w:rPr>
          <w:color w:val="000000"/>
        </w:rPr>
        <w:t>The total estimated burden per participant for the consenting process (30 minutes), training (four hours), and on-road evaluations (three hours) is seven hours and 30 minutes for a total estimated burden of 675 hours across all 90 participants.</w:t>
      </w:r>
    </w:p>
    <w:p w14:paraId="1C540909" w14:textId="77777777" w:rsidR="00C1477E" w:rsidRDefault="00BF323A" w:rsidP="003C6D62">
      <w:pPr>
        <w:widowControl w:val="0"/>
        <w:autoSpaceDE w:val="0"/>
        <w:autoSpaceDN w:val="0"/>
        <w:adjustRightInd w:val="0"/>
        <w:ind w:firstLine="720"/>
        <w:rPr>
          <w:color w:val="000000"/>
        </w:rPr>
      </w:pPr>
      <w:r>
        <w:rPr>
          <w:color w:val="000000"/>
        </w:rPr>
        <w:t xml:space="preserve">  After </w:t>
      </w:r>
      <w:r w:rsidR="00C1477E">
        <w:rPr>
          <w:color w:val="000000"/>
        </w:rPr>
        <w:t xml:space="preserve">completing all training sessions, </w:t>
      </w:r>
      <w:r>
        <w:rPr>
          <w:color w:val="000000"/>
        </w:rPr>
        <w:t xml:space="preserve">the </w:t>
      </w:r>
      <w:r w:rsidR="00734EE6">
        <w:rPr>
          <w:color w:val="000000"/>
        </w:rPr>
        <w:t>45</w:t>
      </w:r>
      <w:r>
        <w:rPr>
          <w:color w:val="000000"/>
        </w:rPr>
        <w:t xml:space="preserve"> treatment group participants will complete </w:t>
      </w:r>
      <w:r w:rsidR="00734EE6">
        <w:rPr>
          <w:color w:val="000000"/>
        </w:rPr>
        <w:t>Form 1402</w:t>
      </w:r>
      <w:r>
        <w:rPr>
          <w:color w:val="000000"/>
        </w:rPr>
        <w:t xml:space="preserve"> to collect attitudes and beliefs about the visual scanning training protocol</w:t>
      </w:r>
      <w:r w:rsidR="00734EE6">
        <w:rPr>
          <w:color w:val="000000"/>
        </w:rPr>
        <w:t>. The form</w:t>
      </w:r>
      <w:r>
        <w:rPr>
          <w:color w:val="000000"/>
        </w:rPr>
        <w:t xml:space="preserve"> will take </w:t>
      </w:r>
      <w:r w:rsidR="00040830">
        <w:rPr>
          <w:color w:val="000000"/>
        </w:rPr>
        <w:t>10</w:t>
      </w:r>
      <w:r>
        <w:rPr>
          <w:color w:val="000000"/>
        </w:rPr>
        <w:t xml:space="preserve"> minutes per </w:t>
      </w:r>
      <w:r w:rsidR="00734EE6">
        <w:rPr>
          <w:color w:val="000000"/>
        </w:rPr>
        <w:t>respondent</w:t>
      </w:r>
      <w:r>
        <w:rPr>
          <w:color w:val="000000"/>
        </w:rPr>
        <w:t xml:space="preserve"> for a </w:t>
      </w:r>
      <w:r w:rsidR="00734EE6">
        <w:rPr>
          <w:color w:val="000000"/>
        </w:rPr>
        <w:t xml:space="preserve">total estimated burden </w:t>
      </w:r>
      <w:r>
        <w:rPr>
          <w:color w:val="000000"/>
        </w:rPr>
        <w:t xml:space="preserve">of </w:t>
      </w:r>
      <w:r w:rsidR="003B36EB">
        <w:rPr>
          <w:color w:val="000000"/>
        </w:rPr>
        <w:t xml:space="preserve">seven </w:t>
      </w:r>
      <w:r>
        <w:rPr>
          <w:color w:val="000000"/>
        </w:rPr>
        <w:t>hours</w:t>
      </w:r>
      <w:r w:rsidR="003B36EB">
        <w:rPr>
          <w:color w:val="000000"/>
        </w:rPr>
        <w:t xml:space="preserve"> 30 minutes</w:t>
      </w:r>
      <w:r w:rsidR="00D748EF">
        <w:rPr>
          <w:color w:val="000000"/>
        </w:rPr>
        <w:t xml:space="preserve">. </w:t>
      </w:r>
      <w:r w:rsidR="00C1477E">
        <w:rPr>
          <w:color w:val="000000"/>
        </w:rPr>
        <w:t xml:space="preserve"> </w:t>
      </w:r>
    </w:p>
    <w:p w14:paraId="5EEB5BC9" w14:textId="77777777" w:rsidR="00970BEA" w:rsidRDefault="00970BEA" w:rsidP="00C800ED">
      <w:pPr>
        <w:pStyle w:val="Heading2"/>
        <w:ind w:left="720" w:hanging="720"/>
        <w:rPr>
          <w:b/>
          <w:u w:val="none"/>
        </w:rPr>
      </w:pPr>
      <w:bookmarkStart w:id="55" w:name="_Toc125278825"/>
      <w:bookmarkStart w:id="56" w:name="_Toc125341748"/>
      <w:bookmarkStart w:id="57" w:name="_Toc125447306"/>
      <w:bookmarkStart w:id="58" w:name="_Toc126394134"/>
    </w:p>
    <w:p w14:paraId="062D0CBC" w14:textId="77777777" w:rsidR="00C800ED" w:rsidRPr="001E31BD" w:rsidRDefault="00C800ED" w:rsidP="00C800ED">
      <w:pPr>
        <w:pStyle w:val="Heading2"/>
        <w:ind w:left="720" w:hanging="720"/>
        <w:rPr>
          <w:b/>
          <w:u w:val="none"/>
        </w:rPr>
      </w:pPr>
      <w:r w:rsidRPr="001E31BD">
        <w:rPr>
          <w:b/>
          <w:u w:val="none"/>
        </w:rPr>
        <w:t>A.13.</w:t>
      </w:r>
      <w:r w:rsidRPr="001E31BD">
        <w:rPr>
          <w:b/>
          <w:u w:val="none"/>
        </w:rPr>
        <w:tab/>
        <w:t>Provide an estimate of the total annual cost to the respondents or record keepers resulting from the collection of information.</w:t>
      </w:r>
      <w:bookmarkEnd w:id="55"/>
      <w:bookmarkEnd w:id="56"/>
      <w:bookmarkEnd w:id="57"/>
      <w:bookmarkEnd w:id="58"/>
      <w:r w:rsidRPr="001E31BD">
        <w:rPr>
          <w:b/>
          <w:u w:val="none"/>
        </w:rPr>
        <w:t xml:space="preserve"> </w:t>
      </w:r>
    </w:p>
    <w:p w14:paraId="094E2C31" w14:textId="52C51E20" w:rsidR="00CE2EA9" w:rsidRPr="00FB5E02" w:rsidRDefault="00DF4D00" w:rsidP="00FB5945">
      <w:pPr>
        <w:pStyle w:val="HTMLPreformatted"/>
        <w:tabs>
          <w:tab w:val="clear" w:pos="916"/>
          <w:tab w:val="left" w:pos="720"/>
        </w:tabs>
        <w:rPr>
          <w:rFonts w:ascii="Times New Roman" w:hAnsi="Times New Roman"/>
          <w:sz w:val="24"/>
          <w:szCs w:val="24"/>
        </w:rPr>
      </w:pPr>
      <w:r w:rsidRPr="001E31BD">
        <w:rPr>
          <w:rFonts w:ascii="Times New Roman" w:hAnsi="Times New Roman"/>
          <w:color w:val="4F81BD" w:themeColor="accent1"/>
          <w:sz w:val="24"/>
          <w:szCs w:val="24"/>
        </w:rPr>
        <w:tab/>
      </w:r>
      <w:r w:rsidR="00D42CD6" w:rsidRPr="001E31BD">
        <w:rPr>
          <w:rFonts w:ascii="Times New Roman" w:hAnsi="Times New Roman"/>
          <w:color w:val="000000" w:themeColor="text1"/>
          <w:sz w:val="24"/>
          <w:szCs w:val="24"/>
        </w:rPr>
        <w:t xml:space="preserve">There are no record keeping costs to the </w:t>
      </w:r>
      <w:r w:rsidRPr="001E31BD">
        <w:rPr>
          <w:rFonts w:ascii="Times New Roman" w:hAnsi="Times New Roman" w:cs="Times New Roman"/>
          <w:sz w:val="24"/>
          <w:szCs w:val="24"/>
        </w:rPr>
        <w:t>respondents</w:t>
      </w:r>
      <w:r w:rsidR="001F748C">
        <w:rPr>
          <w:rFonts w:ascii="Times New Roman" w:hAnsi="Times New Roman"/>
          <w:color w:val="000000" w:themeColor="text1"/>
          <w:sz w:val="24"/>
          <w:szCs w:val="24"/>
        </w:rPr>
        <w:t xml:space="preserve">, and </w:t>
      </w:r>
      <w:r w:rsidR="00D42CD6" w:rsidRPr="001E31BD">
        <w:rPr>
          <w:rFonts w:ascii="Times New Roman" w:hAnsi="Times New Roman"/>
          <w:color w:val="000000" w:themeColor="text1"/>
          <w:sz w:val="24"/>
          <w:szCs w:val="24"/>
        </w:rPr>
        <w:t xml:space="preserve">there is no preparation of data required or expected of </w:t>
      </w:r>
      <w:r w:rsidRPr="001E31BD">
        <w:rPr>
          <w:rFonts w:ascii="Times New Roman" w:hAnsi="Times New Roman" w:cs="Times New Roman"/>
          <w:sz w:val="24"/>
          <w:szCs w:val="24"/>
        </w:rPr>
        <w:t>respondents</w:t>
      </w:r>
      <w:r w:rsidR="00D42CD6" w:rsidRPr="001E31BD">
        <w:rPr>
          <w:rFonts w:ascii="Times New Roman" w:hAnsi="Times New Roman"/>
          <w:color w:val="000000" w:themeColor="text1"/>
          <w:sz w:val="24"/>
          <w:szCs w:val="24"/>
        </w:rPr>
        <w:t xml:space="preserve">. </w:t>
      </w:r>
      <w:r w:rsidR="00C04008" w:rsidRPr="001E31BD">
        <w:rPr>
          <w:rFonts w:ascii="Times New Roman" w:hAnsi="Times New Roman"/>
          <w:color w:val="000000" w:themeColor="text1"/>
          <w:sz w:val="24"/>
          <w:szCs w:val="24"/>
        </w:rPr>
        <w:t>P</w:t>
      </w:r>
      <w:r w:rsidRPr="001E31BD">
        <w:rPr>
          <w:rFonts w:ascii="Times New Roman" w:hAnsi="Times New Roman"/>
          <w:color w:val="000000" w:themeColor="text1"/>
          <w:sz w:val="24"/>
          <w:szCs w:val="24"/>
        </w:rPr>
        <w:t xml:space="preserve">articipants </w:t>
      </w:r>
      <w:r w:rsidR="00D42CD6" w:rsidRPr="001E31BD">
        <w:rPr>
          <w:rFonts w:ascii="Times New Roman" w:hAnsi="Times New Roman"/>
          <w:color w:val="000000" w:themeColor="text1"/>
          <w:sz w:val="24"/>
          <w:szCs w:val="24"/>
        </w:rPr>
        <w:t>do not incur</w:t>
      </w:r>
      <w:r w:rsidR="00F100B4">
        <w:rPr>
          <w:rFonts w:ascii="Times New Roman" w:hAnsi="Times New Roman"/>
          <w:color w:val="000000" w:themeColor="text1"/>
          <w:sz w:val="24"/>
          <w:szCs w:val="24"/>
        </w:rPr>
        <w:t xml:space="preserve"> either</w:t>
      </w:r>
      <w:r w:rsidR="00D42CD6" w:rsidRPr="001E31BD">
        <w:rPr>
          <w:rFonts w:ascii="Times New Roman" w:hAnsi="Times New Roman"/>
          <w:color w:val="000000" w:themeColor="text1"/>
          <w:sz w:val="24"/>
          <w:szCs w:val="24"/>
        </w:rPr>
        <w:t xml:space="preserve"> (a) capital and start</w:t>
      </w:r>
      <w:r w:rsidR="00FB5E02">
        <w:rPr>
          <w:rFonts w:ascii="Times New Roman" w:hAnsi="Times New Roman"/>
          <w:color w:val="000000" w:themeColor="text1"/>
          <w:sz w:val="24"/>
          <w:szCs w:val="24"/>
        </w:rPr>
        <w:t>-</w:t>
      </w:r>
      <w:r w:rsidR="00D42CD6" w:rsidRPr="00FB5E02">
        <w:rPr>
          <w:rFonts w:ascii="Times New Roman" w:hAnsi="Times New Roman"/>
          <w:color w:val="000000" w:themeColor="text1"/>
          <w:sz w:val="24"/>
          <w:szCs w:val="24"/>
        </w:rPr>
        <w:t xml:space="preserve">up costs, or (b) operation, maintenance, and purchase costs as a result of participating in the </w:t>
      </w:r>
      <w:r w:rsidRPr="001E31BD">
        <w:rPr>
          <w:rFonts w:ascii="Times New Roman" w:hAnsi="Times New Roman"/>
          <w:color w:val="000000" w:themeColor="text1"/>
          <w:sz w:val="24"/>
          <w:szCs w:val="24"/>
        </w:rPr>
        <w:t>study</w:t>
      </w:r>
      <w:r w:rsidR="00D42CD6" w:rsidRPr="001E31BD">
        <w:rPr>
          <w:rFonts w:ascii="Times New Roman" w:hAnsi="Times New Roman"/>
          <w:color w:val="000000" w:themeColor="text1"/>
          <w:sz w:val="24"/>
          <w:szCs w:val="24"/>
        </w:rPr>
        <w:t>.</w:t>
      </w:r>
      <w:r w:rsidR="00F100B4">
        <w:rPr>
          <w:rFonts w:ascii="Times New Roman" w:hAnsi="Times New Roman" w:cs="Times New Roman"/>
          <w:sz w:val="24"/>
          <w:szCs w:val="24"/>
        </w:rPr>
        <w:t xml:space="preserve"> We</w:t>
      </w:r>
      <w:r w:rsidR="004F2CE5" w:rsidRPr="001E31BD">
        <w:rPr>
          <w:rFonts w:ascii="Times New Roman" w:hAnsi="Times New Roman" w:cs="Times New Roman"/>
          <w:sz w:val="24"/>
          <w:szCs w:val="24"/>
        </w:rPr>
        <w:t xml:space="preserve"> expect that </w:t>
      </w:r>
      <w:r w:rsidR="00FB5945" w:rsidRPr="001E31BD">
        <w:rPr>
          <w:rFonts w:ascii="Times New Roman" w:hAnsi="Times New Roman" w:cs="Times New Roman"/>
          <w:sz w:val="24"/>
          <w:szCs w:val="24"/>
        </w:rPr>
        <w:t xml:space="preserve">most </w:t>
      </w:r>
      <w:r w:rsidR="004F2CE5" w:rsidRPr="001E31BD">
        <w:rPr>
          <w:rFonts w:ascii="Times New Roman" w:hAnsi="Times New Roman" w:cs="Times New Roman"/>
          <w:sz w:val="24"/>
          <w:szCs w:val="24"/>
        </w:rPr>
        <w:t>respondents</w:t>
      </w:r>
      <w:r w:rsidR="00FB5945" w:rsidRPr="001E31BD">
        <w:rPr>
          <w:rFonts w:ascii="Times New Roman" w:hAnsi="Times New Roman" w:cs="Times New Roman"/>
          <w:sz w:val="24"/>
          <w:szCs w:val="24"/>
        </w:rPr>
        <w:t xml:space="preserve"> will be retired from employment</w:t>
      </w:r>
      <w:r w:rsidR="004F2CE5" w:rsidRPr="001E31BD">
        <w:rPr>
          <w:rFonts w:ascii="Times New Roman" w:hAnsi="Times New Roman" w:cs="Times New Roman"/>
          <w:sz w:val="24"/>
          <w:szCs w:val="24"/>
        </w:rPr>
        <w:t>.</w:t>
      </w:r>
      <w:r w:rsidR="00FB5945" w:rsidRPr="001E31BD">
        <w:rPr>
          <w:rFonts w:ascii="Times New Roman" w:hAnsi="Times New Roman" w:cs="Times New Roman"/>
          <w:sz w:val="24"/>
          <w:szCs w:val="24"/>
        </w:rPr>
        <w:t xml:space="preserve"> If employed, </w:t>
      </w:r>
      <w:r w:rsidR="00F100B4">
        <w:rPr>
          <w:rFonts w:ascii="Times New Roman" w:hAnsi="Times New Roman" w:cs="Times New Roman"/>
          <w:sz w:val="24"/>
          <w:szCs w:val="24"/>
        </w:rPr>
        <w:t xml:space="preserve">opportunity </w:t>
      </w:r>
      <w:r w:rsidR="00FB5945" w:rsidRPr="001E31BD">
        <w:rPr>
          <w:rFonts w:ascii="Times New Roman" w:hAnsi="Times New Roman" w:cs="Times New Roman"/>
          <w:sz w:val="24"/>
          <w:szCs w:val="24"/>
        </w:rPr>
        <w:t xml:space="preserve">costs to respondents for </w:t>
      </w:r>
      <w:r w:rsidR="00A36BB4">
        <w:rPr>
          <w:rFonts w:ascii="Times New Roman" w:hAnsi="Times New Roman" w:cs="Times New Roman"/>
          <w:sz w:val="24"/>
          <w:szCs w:val="24"/>
        </w:rPr>
        <w:t xml:space="preserve">participation in </w:t>
      </w:r>
      <w:r w:rsidR="00F100B4">
        <w:rPr>
          <w:rFonts w:ascii="Times New Roman" w:hAnsi="Times New Roman" w:cs="Times New Roman"/>
          <w:sz w:val="24"/>
          <w:szCs w:val="24"/>
        </w:rPr>
        <w:t>all</w:t>
      </w:r>
      <w:r w:rsidR="00A36BB4">
        <w:rPr>
          <w:rFonts w:ascii="Times New Roman" w:hAnsi="Times New Roman" w:cs="Times New Roman"/>
          <w:sz w:val="24"/>
          <w:szCs w:val="24"/>
        </w:rPr>
        <w:t xml:space="preserve"> study activities </w:t>
      </w:r>
      <w:r w:rsidR="00FB5945" w:rsidRPr="001E31BD">
        <w:rPr>
          <w:rFonts w:ascii="Times New Roman" w:hAnsi="Times New Roman" w:cs="Times New Roman"/>
          <w:sz w:val="24"/>
          <w:szCs w:val="24"/>
        </w:rPr>
        <w:t>can be calculated based on m</w:t>
      </w:r>
      <w:r w:rsidR="00CE2EA9" w:rsidRPr="001E31BD">
        <w:rPr>
          <w:rFonts w:ascii="Times New Roman" w:hAnsi="Times New Roman"/>
          <w:sz w:val="24"/>
          <w:szCs w:val="24"/>
        </w:rPr>
        <w:t xml:space="preserve">ean hourly wages provided by the Bureau of Labor Statistics for </w:t>
      </w:r>
      <w:r w:rsidR="00C6633D" w:rsidRPr="001E31BD">
        <w:rPr>
          <w:rFonts w:ascii="Times New Roman" w:hAnsi="Times New Roman"/>
          <w:sz w:val="24"/>
          <w:szCs w:val="24"/>
        </w:rPr>
        <w:t>All</w:t>
      </w:r>
      <w:r w:rsidR="00CE2EA9" w:rsidRPr="001E31BD">
        <w:rPr>
          <w:rFonts w:ascii="Times New Roman" w:hAnsi="Times New Roman"/>
          <w:sz w:val="24"/>
          <w:szCs w:val="24"/>
        </w:rPr>
        <w:t xml:space="preserve"> </w:t>
      </w:r>
      <w:r w:rsidR="00C6633D" w:rsidRPr="001E31BD">
        <w:rPr>
          <w:rFonts w:ascii="Times New Roman" w:hAnsi="Times New Roman"/>
          <w:sz w:val="24"/>
          <w:szCs w:val="24"/>
        </w:rPr>
        <w:t>O</w:t>
      </w:r>
      <w:r w:rsidR="00CE2EA9" w:rsidRPr="001E31BD">
        <w:rPr>
          <w:rFonts w:ascii="Times New Roman" w:hAnsi="Times New Roman"/>
          <w:sz w:val="24"/>
          <w:szCs w:val="24"/>
        </w:rPr>
        <w:t>ccupations</w:t>
      </w:r>
      <w:r w:rsidR="00FB5945" w:rsidRPr="001E31BD">
        <w:rPr>
          <w:rFonts w:ascii="Times New Roman" w:hAnsi="Times New Roman"/>
          <w:sz w:val="24"/>
          <w:szCs w:val="24"/>
        </w:rPr>
        <w:t xml:space="preserve"> (</w:t>
      </w:r>
      <w:hyperlink r:id="rId9" w:anchor="00-0000" w:history="1">
        <w:r w:rsidR="00FB5945" w:rsidRPr="001E31BD">
          <w:rPr>
            <w:rStyle w:val="Hyperlink"/>
            <w:rFonts w:ascii="Times New Roman" w:hAnsi="Times New Roman" w:cs="Times New Roman"/>
            <w:color w:val="auto"/>
            <w:sz w:val="24"/>
            <w:szCs w:val="24"/>
          </w:rPr>
          <w:t>http://www.bls.gov/oes/current/oes_va.htm#00-0000</w:t>
        </w:r>
      </w:hyperlink>
      <w:r w:rsidR="00FB5945" w:rsidRPr="001E31BD">
        <w:rPr>
          <w:rFonts w:ascii="Times New Roman" w:hAnsi="Times New Roman"/>
          <w:sz w:val="24"/>
          <w:szCs w:val="24"/>
        </w:rPr>
        <w:t>).</w:t>
      </w:r>
      <w:r w:rsidR="00F100B4">
        <w:rPr>
          <w:rFonts w:ascii="Times New Roman" w:hAnsi="Times New Roman"/>
          <w:sz w:val="24"/>
          <w:szCs w:val="24"/>
        </w:rPr>
        <w:t xml:space="preserve"> </w:t>
      </w:r>
      <w:r w:rsidR="00FB5945" w:rsidRPr="00FB5E02">
        <w:rPr>
          <w:rFonts w:ascii="Times New Roman" w:hAnsi="Times New Roman"/>
          <w:sz w:val="24"/>
          <w:szCs w:val="24"/>
        </w:rPr>
        <w:t xml:space="preserve">If all respondents are employed, the total annual cost to respondents would be </w:t>
      </w:r>
      <w:r w:rsidR="00C657FB">
        <w:rPr>
          <w:rFonts w:ascii="Times New Roman" w:hAnsi="Times New Roman"/>
          <w:sz w:val="24"/>
          <w:szCs w:val="24"/>
        </w:rPr>
        <w:t>about $17,140 (690</w:t>
      </w:r>
      <w:r w:rsidR="003B36EB">
        <w:rPr>
          <w:rFonts w:ascii="Times New Roman" w:hAnsi="Times New Roman"/>
          <w:sz w:val="24"/>
          <w:szCs w:val="24"/>
        </w:rPr>
        <w:t xml:space="preserve"> hours X $24.84/hour). </w:t>
      </w:r>
    </w:p>
    <w:p w14:paraId="17020781" w14:textId="77777777" w:rsidR="00CE2EA9" w:rsidRPr="00660A1A" w:rsidRDefault="00CE2EA9" w:rsidP="00CE2EA9">
      <w:pPr>
        <w:pStyle w:val="HTMLPreformatted"/>
        <w:rPr>
          <w:rFonts w:ascii="Times New Roman" w:hAnsi="Times New Roman"/>
          <w:sz w:val="24"/>
          <w:szCs w:val="24"/>
        </w:rPr>
      </w:pPr>
    </w:p>
    <w:p w14:paraId="43E6A014" w14:textId="77777777" w:rsidR="00C800ED" w:rsidRPr="00660A1A" w:rsidRDefault="00C800ED" w:rsidP="00C800ED">
      <w:pPr>
        <w:pStyle w:val="Heading2"/>
        <w:rPr>
          <w:b/>
          <w:u w:val="none"/>
        </w:rPr>
      </w:pPr>
      <w:bookmarkStart w:id="59" w:name="_Toc125278826"/>
      <w:bookmarkStart w:id="60" w:name="_Toc125341749"/>
      <w:bookmarkStart w:id="61" w:name="_Toc125447307"/>
      <w:bookmarkStart w:id="62" w:name="_Toc126394135"/>
      <w:r w:rsidRPr="00660A1A">
        <w:rPr>
          <w:b/>
          <w:u w:val="none"/>
        </w:rPr>
        <w:t>A.14.</w:t>
      </w:r>
      <w:r w:rsidRPr="00660A1A">
        <w:rPr>
          <w:b/>
          <w:u w:val="none"/>
        </w:rPr>
        <w:tab/>
        <w:t>Provide estimates of the annualized cost to the Federal Government.</w:t>
      </w:r>
      <w:bookmarkEnd w:id="59"/>
      <w:bookmarkEnd w:id="60"/>
      <w:bookmarkEnd w:id="61"/>
      <w:bookmarkEnd w:id="62"/>
    </w:p>
    <w:p w14:paraId="0197EC4C" w14:textId="0FFF57E6" w:rsidR="005F740F" w:rsidRPr="00660A1A" w:rsidRDefault="005F740F" w:rsidP="005F740F">
      <w:pPr>
        <w:widowControl w:val="0"/>
        <w:autoSpaceDE w:val="0"/>
        <w:autoSpaceDN w:val="0"/>
        <w:adjustRightInd w:val="0"/>
        <w:rPr>
          <w:rFonts w:ascii="Times" w:hAnsi="Times" w:cs="Arial"/>
          <w:color w:val="000000" w:themeColor="text1"/>
        </w:rPr>
      </w:pPr>
      <w:r w:rsidRPr="00660A1A">
        <w:tab/>
        <w:t xml:space="preserve">Total estimated cost to the Government for </w:t>
      </w:r>
      <w:r w:rsidR="001F748C">
        <w:t xml:space="preserve">this one-time </w:t>
      </w:r>
      <w:r w:rsidR="00212A80">
        <w:t>information</w:t>
      </w:r>
      <w:r w:rsidR="00C4253E" w:rsidRPr="00660A1A">
        <w:t xml:space="preserve"> collection </w:t>
      </w:r>
      <w:r w:rsidR="00AB56B2" w:rsidRPr="00660A1A">
        <w:t xml:space="preserve">is </w:t>
      </w:r>
      <w:r w:rsidR="00212A80">
        <w:t xml:space="preserve">$222,523. Since </w:t>
      </w:r>
      <w:r w:rsidR="001F748C">
        <w:t xml:space="preserve">data collection </w:t>
      </w:r>
      <w:r w:rsidR="007E7CA4">
        <w:t>is expected to take</w:t>
      </w:r>
      <w:r w:rsidR="001F748C">
        <w:t xml:space="preserve"> less than a year, the annualized cost is the same.</w:t>
      </w:r>
      <w:r w:rsidR="00212A80">
        <w:t xml:space="preserve"> </w:t>
      </w:r>
    </w:p>
    <w:p w14:paraId="3C50C899" w14:textId="77777777" w:rsidR="00CE2EA9" w:rsidRPr="00D63B4F" w:rsidRDefault="00CE2EA9" w:rsidP="00B92F73">
      <w:pPr>
        <w:widowControl w:val="0"/>
        <w:tabs>
          <w:tab w:val="left" w:pos="720"/>
        </w:tabs>
        <w:autoSpaceDE w:val="0"/>
        <w:autoSpaceDN w:val="0"/>
        <w:adjustRightInd w:val="0"/>
        <w:ind w:left="720" w:hanging="720"/>
        <w:jc w:val="both"/>
        <w:rPr>
          <w:rFonts w:ascii="Times" w:hAnsi="Times" w:cs="Arial"/>
          <w:b/>
          <w:bCs/>
          <w:highlight w:val="yellow"/>
        </w:rPr>
      </w:pPr>
    </w:p>
    <w:p w14:paraId="022C56C6" w14:textId="77777777" w:rsidR="00C800ED" w:rsidRPr="00923A9A" w:rsidRDefault="00D4188C" w:rsidP="00C800ED">
      <w:pPr>
        <w:pStyle w:val="Heading2"/>
        <w:ind w:left="720" w:hanging="720"/>
        <w:rPr>
          <w:b/>
          <w:u w:val="none"/>
        </w:rPr>
      </w:pPr>
      <w:bookmarkStart w:id="63" w:name="_Toc125278827"/>
      <w:bookmarkStart w:id="64" w:name="_Toc125341750"/>
      <w:bookmarkStart w:id="65" w:name="_Toc125447308"/>
      <w:bookmarkStart w:id="66" w:name="_Toc126394136"/>
      <w:r w:rsidRPr="00923A9A">
        <w:rPr>
          <w:b/>
          <w:u w:val="none"/>
        </w:rPr>
        <w:t>A.</w:t>
      </w:r>
      <w:r w:rsidR="00C800ED" w:rsidRPr="00923A9A">
        <w:rPr>
          <w:b/>
          <w:u w:val="none"/>
        </w:rPr>
        <w:t>15.</w:t>
      </w:r>
      <w:r w:rsidR="00C800ED" w:rsidRPr="00923A9A">
        <w:rPr>
          <w:b/>
          <w:u w:val="none"/>
        </w:rPr>
        <w:tab/>
        <w:t>Explain the reasons for any program changes or adjustments in Items 13 or 14 of the OMB 83-I.</w:t>
      </w:r>
      <w:bookmarkEnd w:id="63"/>
      <w:bookmarkEnd w:id="64"/>
      <w:bookmarkEnd w:id="65"/>
      <w:bookmarkEnd w:id="66"/>
    </w:p>
    <w:p w14:paraId="7A09A9EA" w14:textId="68B9BB98" w:rsidR="003707E1" w:rsidRPr="009B20BA" w:rsidRDefault="007E1DAA" w:rsidP="00212A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pPr>
      <w:r w:rsidRPr="00923A9A">
        <w:rPr>
          <w:color w:val="4F81BD" w:themeColor="accent1"/>
          <w:sz w:val="22"/>
        </w:rPr>
        <w:tab/>
      </w:r>
      <w:r w:rsidR="00B92F73" w:rsidRPr="009B20BA">
        <w:t xml:space="preserve">This is a new information collection. As such, it requires a program change to add the estimated </w:t>
      </w:r>
      <w:r w:rsidR="00AE1436">
        <w:t>690 hours</w:t>
      </w:r>
      <w:r w:rsidR="00212A80" w:rsidRPr="00440F1A" w:rsidDel="00212A80">
        <w:t xml:space="preserve"> </w:t>
      </w:r>
      <w:r w:rsidR="00B92F73" w:rsidRPr="009B20BA">
        <w:t xml:space="preserve">for the new collection to </w:t>
      </w:r>
      <w:r w:rsidR="00212A80">
        <w:t xml:space="preserve">NHTSA’s </w:t>
      </w:r>
      <w:r w:rsidR="00B92F73" w:rsidRPr="009B20BA">
        <w:t>existing burden.</w:t>
      </w:r>
    </w:p>
    <w:p w14:paraId="5FC87ADB" w14:textId="77777777" w:rsidR="007E1DAA" w:rsidRPr="00D63B4F" w:rsidRDefault="007E1DAA" w:rsidP="00B92F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rPr>
          <w:sz w:val="22"/>
          <w:highlight w:val="yellow"/>
        </w:rPr>
      </w:pPr>
    </w:p>
    <w:p w14:paraId="291E1647" w14:textId="77777777" w:rsidR="00C800ED" w:rsidRPr="00307DFD" w:rsidRDefault="00C800ED" w:rsidP="00C800ED">
      <w:pPr>
        <w:pStyle w:val="Heading2"/>
        <w:ind w:left="720" w:hanging="720"/>
        <w:rPr>
          <w:b/>
          <w:u w:val="none"/>
        </w:rPr>
      </w:pPr>
      <w:bookmarkStart w:id="67" w:name="_Toc125278828"/>
      <w:bookmarkStart w:id="68" w:name="_Toc125341751"/>
      <w:bookmarkStart w:id="69" w:name="_Toc125447309"/>
      <w:bookmarkStart w:id="70" w:name="_Toc126394137"/>
      <w:r w:rsidRPr="00307DFD">
        <w:rPr>
          <w:b/>
          <w:u w:val="none"/>
        </w:rPr>
        <w:t>A.16.</w:t>
      </w:r>
      <w:r w:rsidRPr="00307DFD">
        <w:rPr>
          <w:b/>
          <w:u w:val="none"/>
        </w:rPr>
        <w:tab/>
        <w:t>For collection of information whose results will be published, outline plans for tabulation and publication.</w:t>
      </w:r>
      <w:bookmarkEnd w:id="67"/>
      <w:bookmarkEnd w:id="68"/>
      <w:bookmarkEnd w:id="69"/>
      <w:bookmarkEnd w:id="70"/>
      <w:r w:rsidRPr="00307DFD">
        <w:rPr>
          <w:b/>
          <w:u w:val="none"/>
        </w:rPr>
        <w:t xml:space="preserve"> </w:t>
      </w:r>
    </w:p>
    <w:p w14:paraId="024958CB" w14:textId="77777777" w:rsidR="00DE3D1E" w:rsidRPr="00307DFD" w:rsidRDefault="00DE3D1E" w:rsidP="00DE3D1E">
      <w:pPr>
        <w:autoSpaceDE w:val="0"/>
        <w:autoSpaceDN w:val="0"/>
        <w:adjustRightInd w:val="0"/>
        <w:ind w:firstLine="720"/>
      </w:pPr>
      <w:r w:rsidRPr="00307DFD">
        <w:t xml:space="preserve">No information from the qualifying interview </w:t>
      </w:r>
      <w:r w:rsidR="006700EC">
        <w:t xml:space="preserve">or informed consent form </w:t>
      </w:r>
      <w:r w:rsidRPr="00307DFD">
        <w:t>will be published.</w:t>
      </w:r>
      <w:r w:rsidR="006700EC">
        <w:t xml:space="preserve"> </w:t>
      </w:r>
      <w:r w:rsidR="00212A80">
        <w:t>The current plan is for the contractor to produce a draft technical report in 2019 with publication of a final technical report in 2020. The technical report will provide summary statistics and tables as well as the results of statistical analysis of the information, but it</w:t>
      </w:r>
      <w:r w:rsidRPr="00307DFD">
        <w:t xml:space="preserve"> will not include </w:t>
      </w:r>
      <w:r w:rsidR="003A5F72">
        <w:t xml:space="preserve">any </w:t>
      </w:r>
      <w:r w:rsidRPr="00307DFD">
        <w:t>personal information.</w:t>
      </w:r>
    </w:p>
    <w:p w14:paraId="52E023A9" w14:textId="77777777" w:rsidR="00C800ED" w:rsidRPr="00307DFD" w:rsidRDefault="00C800ED" w:rsidP="00C800ED">
      <w:pPr>
        <w:ind w:left="720" w:hanging="720"/>
      </w:pPr>
    </w:p>
    <w:p w14:paraId="7BC4E1E9" w14:textId="77777777" w:rsidR="00C800ED" w:rsidRPr="00307DFD" w:rsidRDefault="00C800ED" w:rsidP="00C800ED">
      <w:pPr>
        <w:pStyle w:val="Heading2"/>
        <w:ind w:left="720" w:hanging="720"/>
        <w:rPr>
          <w:b/>
          <w:u w:val="none"/>
        </w:rPr>
      </w:pPr>
      <w:bookmarkStart w:id="71" w:name="_Toc125278829"/>
      <w:bookmarkStart w:id="72" w:name="_Toc125341752"/>
      <w:bookmarkStart w:id="73" w:name="_Toc125447310"/>
      <w:bookmarkStart w:id="74" w:name="_Toc126394138"/>
      <w:r w:rsidRPr="00307DFD">
        <w:rPr>
          <w:b/>
          <w:u w:val="none"/>
        </w:rPr>
        <w:t xml:space="preserve">A.17. </w:t>
      </w:r>
      <w:r w:rsidRPr="00307DFD">
        <w:rPr>
          <w:b/>
          <w:u w:val="none"/>
        </w:rPr>
        <w:tab/>
        <w:t>If seeking approval to not display the expiration date for OMB approval of the information collection, explain the reasons that display would be inappropriate.</w:t>
      </w:r>
      <w:bookmarkEnd w:id="71"/>
      <w:bookmarkEnd w:id="72"/>
      <w:bookmarkEnd w:id="73"/>
      <w:bookmarkEnd w:id="74"/>
    </w:p>
    <w:p w14:paraId="4B1B9E7B" w14:textId="77777777" w:rsidR="00C800ED" w:rsidRPr="00307DFD" w:rsidRDefault="00C800ED" w:rsidP="007E1DAA">
      <w:pPr>
        <w:ind w:firstLine="720"/>
      </w:pPr>
      <w:r w:rsidRPr="00307DFD">
        <w:t>NHTSA will display the expiration date for OMB approval.</w:t>
      </w:r>
    </w:p>
    <w:p w14:paraId="7D9BB1D1" w14:textId="77777777" w:rsidR="00C800ED" w:rsidRPr="00307DFD" w:rsidRDefault="00C800ED" w:rsidP="00C800ED">
      <w:pPr>
        <w:ind w:left="720" w:hanging="720"/>
      </w:pPr>
    </w:p>
    <w:p w14:paraId="590196A9" w14:textId="77777777" w:rsidR="00C800ED" w:rsidRPr="00307DFD" w:rsidRDefault="00C800ED" w:rsidP="00C800ED">
      <w:pPr>
        <w:pStyle w:val="Heading2"/>
        <w:ind w:left="720" w:hanging="720"/>
        <w:rPr>
          <w:b/>
          <w:u w:val="none"/>
        </w:rPr>
      </w:pPr>
      <w:bookmarkStart w:id="75" w:name="_Toc125278830"/>
      <w:bookmarkStart w:id="76" w:name="_Toc125341753"/>
      <w:bookmarkStart w:id="77" w:name="_Toc125447311"/>
      <w:bookmarkStart w:id="78" w:name="_Toc126394139"/>
      <w:r w:rsidRPr="00307DFD">
        <w:rPr>
          <w:b/>
          <w:u w:val="none"/>
        </w:rPr>
        <w:t xml:space="preserve">A.18. </w:t>
      </w:r>
      <w:r w:rsidRPr="00307DFD">
        <w:rPr>
          <w:b/>
          <w:u w:val="none"/>
        </w:rPr>
        <w:tab/>
        <w:t>Explain each exception to the certification statement identified in Item 19, “Certification for Paperwork Reduction Act Submissions” of the OMB Form 83-I.</w:t>
      </w:r>
      <w:bookmarkEnd w:id="75"/>
      <w:bookmarkEnd w:id="76"/>
      <w:bookmarkEnd w:id="77"/>
      <w:bookmarkEnd w:id="78"/>
    </w:p>
    <w:p w14:paraId="2CFDB56D" w14:textId="77777777" w:rsidR="00F321F5" w:rsidRDefault="00C800ED" w:rsidP="009B20BA">
      <w:pPr>
        <w:ind w:left="720"/>
      </w:pPr>
      <w:r w:rsidRPr="00307DFD">
        <w:t>No exceptions to the certification are made.</w:t>
      </w:r>
    </w:p>
    <w:sectPr w:rsidR="00F321F5" w:rsidSect="004B447F">
      <w:headerReference w:type="default" r:id="rId10"/>
      <w:footerReference w:type="even" r:id="rId11"/>
      <w:type w:val="continuous"/>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7793BA" w14:textId="77777777" w:rsidR="00077FB1" w:rsidRDefault="00077FB1">
      <w:r>
        <w:separator/>
      </w:r>
    </w:p>
  </w:endnote>
  <w:endnote w:type="continuationSeparator" w:id="0">
    <w:p w14:paraId="2548058B" w14:textId="77777777" w:rsidR="00077FB1" w:rsidRDefault="00077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B71F3A" w14:textId="77777777" w:rsidR="00B25DE3" w:rsidRDefault="00B25DE3" w:rsidP="00EC0F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A359E8E" w14:textId="77777777" w:rsidR="00B25DE3" w:rsidRDefault="00B25D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7DB30E" w14:textId="77777777" w:rsidR="00077FB1" w:rsidRDefault="00077FB1">
      <w:r>
        <w:separator/>
      </w:r>
    </w:p>
  </w:footnote>
  <w:footnote w:type="continuationSeparator" w:id="0">
    <w:p w14:paraId="59BAB644" w14:textId="77777777" w:rsidR="00077FB1" w:rsidRDefault="00077F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50BE76" w14:textId="07D6E29E" w:rsidR="00B25DE3" w:rsidRDefault="00B25DE3" w:rsidP="00B25DE3">
    <w:pPr>
      <w:pStyle w:val="Header"/>
      <w:jc w:val="right"/>
    </w:pPr>
    <w:r w:rsidRPr="00A53B09">
      <w:rPr>
        <w:b/>
      </w:rPr>
      <w:t>Visual Scanning Training for Older Drivers</w:t>
    </w:r>
    <w:r>
      <w:rPr>
        <w:b/>
      </w:rPr>
      <w:t xml:space="preserve"> ICR Section A, page </w:t>
    </w:r>
    <w:r w:rsidRPr="000E0AF2">
      <w:rPr>
        <w:b/>
      </w:rPr>
      <w:fldChar w:fldCharType="begin"/>
    </w:r>
    <w:r w:rsidRPr="000E0AF2">
      <w:rPr>
        <w:b/>
      </w:rPr>
      <w:instrText xml:space="preserve"> PAGE   \* MERGEFORMAT </w:instrText>
    </w:r>
    <w:r w:rsidRPr="000E0AF2">
      <w:rPr>
        <w:b/>
      </w:rPr>
      <w:fldChar w:fldCharType="separate"/>
    </w:r>
    <w:r w:rsidR="006F7CD3">
      <w:rPr>
        <w:b/>
        <w:noProof/>
      </w:rPr>
      <w:t>2</w:t>
    </w:r>
    <w:r w:rsidRPr="000E0AF2">
      <w:rPr>
        <w:b/>
        <w:noProof/>
      </w:rPr>
      <w:fldChar w:fldCharType="end"/>
    </w:r>
  </w:p>
  <w:p w14:paraId="5BA78F3B" w14:textId="77777777" w:rsidR="00B25DE3" w:rsidRDefault="00B25DE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11E45"/>
    <w:multiLevelType w:val="hybridMultilevel"/>
    <w:tmpl w:val="CFC6879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nsid w:val="03DB0BB5"/>
    <w:multiLevelType w:val="hybridMultilevel"/>
    <w:tmpl w:val="8C22612A"/>
    <w:lvl w:ilvl="0" w:tplc="0ACA26F2">
      <w:start w:val="1"/>
      <w:numFmt w:val="upperLetter"/>
      <w:pStyle w:val="Heading3"/>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062E4A8F"/>
    <w:multiLevelType w:val="hybridMultilevel"/>
    <w:tmpl w:val="4802D20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55C1CDA"/>
    <w:multiLevelType w:val="hybridMultilevel"/>
    <w:tmpl w:val="F88E0AF0"/>
    <w:lvl w:ilvl="0" w:tplc="04090011">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ED63827"/>
    <w:multiLevelType w:val="hybridMultilevel"/>
    <w:tmpl w:val="08C48A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F217CAD"/>
    <w:multiLevelType w:val="hybridMultilevel"/>
    <w:tmpl w:val="72885A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743788B"/>
    <w:multiLevelType w:val="hybridMultilevel"/>
    <w:tmpl w:val="8FA636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FB1577C"/>
    <w:multiLevelType w:val="hybridMultilevel"/>
    <w:tmpl w:val="57ACCB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1B7730D"/>
    <w:multiLevelType w:val="hybridMultilevel"/>
    <w:tmpl w:val="19B228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B1C546A"/>
    <w:multiLevelType w:val="hybridMultilevel"/>
    <w:tmpl w:val="7A3233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653BCC"/>
    <w:multiLevelType w:val="hybridMultilevel"/>
    <w:tmpl w:val="96C812C8"/>
    <w:lvl w:ilvl="0" w:tplc="B47C9F78">
      <w:start w:val="3"/>
      <w:numFmt w:val="bullet"/>
      <w:lvlText w:val=""/>
      <w:lvlJc w:val="left"/>
      <w:pPr>
        <w:tabs>
          <w:tab w:val="num" w:pos="1080"/>
        </w:tabs>
        <w:ind w:left="1080" w:hanging="72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F817070"/>
    <w:multiLevelType w:val="hybridMultilevel"/>
    <w:tmpl w:val="860ABCF2"/>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2">
    <w:nsid w:val="3FF00CED"/>
    <w:multiLevelType w:val="hybridMultilevel"/>
    <w:tmpl w:val="326A651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3">
    <w:nsid w:val="44273F56"/>
    <w:multiLevelType w:val="hybridMultilevel"/>
    <w:tmpl w:val="52924042"/>
    <w:lvl w:ilvl="0" w:tplc="CFA43F50">
      <w:start w:val="1"/>
      <w:numFmt w:val="decimal"/>
      <w:lvlText w:val="%1."/>
      <w:lvlJc w:val="left"/>
      <w:pPr>
        <w:ind w:left="960" w:hanging="9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49C4343C"/>
    <w:multiLevelType w:val="hybridMultilevel"/>
    <w:tmpl w:val="3D22A1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4CFB05A6"/>
    <w:multiLevelType w:val="hybridMultilevel"/>
    <w:tmpl w:val="64C4198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nsid w:val="5205584E"/>
    <w:multiLevelType w:val="hybridMultilevel"/>
    <w:tmpl w:val="090C8D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CA73002"/>
    <w:multiLevelType w:val="hybridMultilevel"/>
    <w:tmpl w:val="D2D261AE"/>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5DC514AA"/>
    <w:multiLevelType w:val="hybridMultilevel"/>
    <w:tmpl w:val="E3EEB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F311744"/>
    <w:multiLevelType w:val="hybridMultilevel"/>
    <w:tmpl w:val="3FA641E6"/>
    <w:lvl w:ilvl="0" w:tplc="25268E3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D14607E"/>
    <w:multiLevelType w:val="hybridMultilevel"/>
    <w:tmpl w:val="0FA0C34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6FAC615F"/>
    <w:multiLevelType w:val="hybridMultilevel"/>
    <w:tmpl w:val="72AA4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0610CCF"/>
    <w:multiLevelType w:val="hybridMultilevel"/>
    <w:tmpl w:val="102004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51033A4"/>
    <w:multiLevelType w:val="hybridMultilevel"/>
    <w:tmpl w:val="B16AB11E"/>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24">
    <w:nsid w:val="7FCD373A"/>
    <w:multiLevelType w:val="hybridMultilevel"/>
    <w:tmpl w:val="CCD0BC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4"/>
  </w:num>
  <w:num w:numId="3">
    <w:abstractNumId w:val="4"/>
  </w:num>
  <w:num w:numId="4">
    <w:abstractNumId w:val="20"/>
  </w:num>
  <w:num w:numId="5">
    <w:abstractNumId w:val="8"/>
  </w:num>
  <w:num w:numId="6">
    <w:abstractNumId w:val="5"/>
  </w:num>
  <w:num w:numId="7">
    <w:abstractNumId w:val="3"/>
  </w:num>
  <w:num w:numId="8">
    <w:abstractNumId w:val="16"/>
  </w:num>
  <w:num w:numId="9">
    <w:abstractNumId w:val="9"/>
  </w:num>
  <w:num w:numId="10">
    <w:abstractNumId w:val="7"/>
  </w:num>
  <w:num w:numId="11">
    <w:abstractNumId w:val="6"/>
  </w:num>
  <w:num w:numId="12">
    <w:abstractNumId w:val="18"/>
  </w:num>
  <w:num w:numId="1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21"/>
  </w:num>
  <w:num w:numId="16">
    <w:abstractNumId w:val="19"/>
  </w:num>
  <w:num w:numId="17">
    <w:abstractNumId w:val="0"/>
  </w:num>
  <w:num w:numId="18">
    <w:abstractNumId w:val="12"/>
  </w:num>
  <w:num w:numId="19">
    <w:abstractNumId w:val="11"/>
  </w:num>
  <w:num w:numId="20">
    <w:abstractNumId w:val="2"/>
  </w:num>
  <w:num w:numId="21">
    <w:abstractNumId w:val="13"/>
  </w:num>
  <w:num w:numId="22">
    <w:abstractNumId w:val="22"/>
  </w:num>
  <w:num w:numId="23">
    <w:abstractNumId w:val="17"/>
  </w:num>
  <w:num w:numId="24">
    <w:abstractNumId w:val="23"/>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00ED"/>
    <w:rsid w:val="000008A3"/>
    <w:rsid w:val="000019C6"/>
    <w:rsid w:val="0000277E"/>
    <w:rsid w:val="00004DEE"/>
    <w:rsid w:val="000054CE"/>
    <w:rsid w:val="000058C2"/>
    <w:rsid w:val="00005E5B"/>
    <w:rsid w:val="000064B7"/>
    <w:rsid w:val="000067A7"/>
    <w:rsid w:val="00006BD3"/>
    <w:rsid w:val="000076DB"/>
    <w:rsid w:val="00007F10"/>
    <w:rsid w:val="00011D15"/>
    <w:rsid w:val="00020BE5"/>
    <w:rsid w:val="0002438C"/>
    <w:rsid w:val="000246D3"/>
    <w:rsid w:val="00025F1A"/>
    <w:rsid w:val="00026764"/>
    <w:rsid w:val="000327D2"/>
    <w:rsid w:val="00032FBC"/>
    <w:rsid w:val="000334C8"/>
    <w:rsid w:val="00034010"/>
    <w:rsid w:val="0003484A"/>
    <w:rsid w:val="00040830"/>
    <w:rsid w:val="00045EDB"/>
    <w:rsid w:val="00047E15"/>
    <w:rsid w:val="000509FA"/>
    <w:rsid w:val="00060174"/>
    <w:rsid w:val="00060E35"/>
    <w:rsid w:val="00063B1D"/>
    <w:rsid w:val="000665A4"/>
    <w:rsid w:val="00066EA1"/>
    <w:rsid w:val="000671E1"/>
    <w:rsid w:val="00071A51"/>
    <w:rsid w:val="00073A9B"/>
    <w:rsid w:val="00074D91"/>
    <w:rsid w:val="00077D1B"/>
    <w:rsid w:val="00077EA6"/>
    <w:rsid w:val="00077FB1"/>
    <w:rsid w:val="00082DE5"/>
    <w:rsid w:val="0008408B"/>
    <w:rsid w:val="0009103A"/>
    <w:rsid w:val="000942EC"/>
    <w:rsid w:val="000A082D"/>
    <w:rsid w:val="000A2406"/>
    <w:rsid w:val="000B1A88"/>
    <w:rsid w:val="000B3E51"/>
    <w:rsid w:val="000C019C"/>
    <w:rsid w:val="000C1E0F"/>
    <w:rsid w:val="000C3A05"/>
    <w:rsid w:val="000C3A5D"/>
    <w:rsid w:val="000C3F24"/>
    <w:rsid w:val="000C43F0"/>
    <w:rsid w:val="000C44E5"/>
    <w:rsid w:val="000C57D3"/>
    <w:rsid w:val="000D1D93"/>
    <w:rsid w:val="000D5F16"/>
    <w:rsid w:val="000E0AF2"/>
    <w:rsid w:val="000E682C"/>
    <w:rsid w:val="000E6F8B"/>
    <w:rsid w:val="000F0B8B"/>
    <w:rsid w:val="000F1DE9"/>
    <w:rsid w:val="000F2082"/>
    <w:rsid w:val="000F341A"/>
    <w:rsid w:val="000F6CBC"/>
    <w:rsid w:val="00101671"/>
    <w:rsid w:val="00102877"/>
    <w:rsid w:val="00102A61"/>
    <w:rsid w:val="00106960"/>
    <w:rsid w:val="00113C3B"/>
    <w:rsid w:val="00113DEE"/>
    <w:rsid w:val="001171C5"/>
    <w:rsid w:val="00117AB9"/>
    <w:rsid w:val="00131C35"/>
    <w:rsid w:val="0013230A"/>
    <w:rsid w:val="00141A79"/>
    <w:rsid w:val="00145771"/>
    <w:rsid w:val="00146204"/>
    <w:rsid w:val="001475AC"/>
    <w:rsid w:val="00147987"/>
    <w:rsid w:val="0015213D"/>
    <w:rsid w:val="00152CE0"/>
    <w:rsid w:val="00152E5C"/>
    <w:rsid w:val="0015482E"/>
    <w:rsid w:val="00155DDD"/>
    <w:rsid w:val="00156FFF"/>
    <w:rsid w:val="00157428"/>
    <w:rsid w:val="00157439"/>
    <w:rsid w:val="0015762B"/>
    <w:rsid w:val="00164ADA"/>
    <w:rsid w:val="0017221C"/>
    <w:rsid w:val="00175AB7"/>
    <w:rsid w:val="001774F2"/>
    <w:rsid w:val="0018231C"/>
    <w:rsid w:val="00183A60"/>
    <w:rsid w:val="00185E07"/>
    <w:rsid w:val="00196690"/>
    <w:rsid w:val="001A2560"/>
    <w:rsid w:val="001A3C31"/>
    <w:rsid w:val="001A51FA"/>
    <w:rsid w:val="001B0E42"/>
    <w:rsid w:val="001B368A"/>
    <w:rsid w:val="001B3CFA"/>
    <w:rsid w:val="001C0617"/>
    <w:rsid w:val="001C5232"/>
    <w:rsid w:val="001D4221"/>
    <w:rsid w:val="001E1D1E"/>
    <w:rsid w:val="001E31BD"/>
    <w:rsid w:val="001E3C28"/>
    <w:rsid w:val="001E4FF4"/>
    <w:rsid w:val="001F0391"/>
    <w:rsid w:val="001F33AC"/>
    <w:rsid w:val="001F748C"/>
    <w:rsid w:val="002026D4"/>
    <w:rsid w:val="00207029"/>
    <w:rsid w:val="00212A80"/>
    <w:rsid w:val="00213F24"/>
    <w:rsid w:val="0021689E"/>
    <w:rsid w:val="00217B34"/>
    <w:rsid w:val="00221BDA"/>
    <w:rsid w:val="00226B8C"/>
    <w:rsid w:val="0022783E"/>
    <w:rsid w:val="00227A04"/>
    <w:rsid w:val="00230727"/>
    <w:rsid w:val="002313C1"/>
    <w:rsid w:val="00232B40"/>
    <w:rsid w:val="002412EF"/>
    <w:rsid w:val="002457BF"/>
    <w:rsid w:val="002467C5"/>
    <w:rsid w:val="00246DEC"/>
    <w:rsid w:val="002518F8"/>
    <w:rsid w:val="00253135"/>
    <w:rsid w:val="00253C30"/>
    <w:rsid w:val="00265837"/>
    <w:rsid w:val="002679B7"/>
    <w:rsid w:val="00273246"/>
    <w:rsid w:val="00273815"/>
    <w:rsid w:val="00274FF5"/>
    <w:rsid w:val="00280951"/>
    <w:rsid w:val="0028097E"/>
    <w:rsid w:val="00282AC1"/>
    <w:rsid w:val="002842B6"/>
    <w:rsid w:val="00285E20"/>
    <w:rsid w:val="00290B32"/>
    <w:rsid w:val="00292BA7"/>
    <w:rsid w:val="00293426"/>
    <w:rsid w:val="00293945"/>
    <w:rsid w:val="0029554E"/>
    <w:rsid w:val="002963BC"/>
    <w:rsid w:val="002975C4"/>
    <w:rsid w:val="00297BB9"/>
    <w:rsid w:val="002A2446"/>
    <w:rsid w:val="002A273D"/>
    <w:rsid w:val="002A2F35"/>
    <w:rsid w:val="002A4213"/>
    <w:rsid w:val="002B0E4F"/>
    <w:rsid w:val="002B1696"/>
    <w:rsid w:val="002B3807"/>
    <w:rsid w:val="002B3E6A"/>
    <w:rsid w:val="002B4D90"/>
    <w:rsid w:val="002B51C8"/>
    <w:rsid w:val="002B741E"/>
    <w:rsid w:val="002B7BC3"/>
    <w:rsid w:val="002C2035"/>
    <w:rsid w:val="002C44DD"/>
    <w:rsid w:val="002D2F31"/>
    <w:rsid w:val="002D33B5"/>
    <w:rsid w:val="002D3A27"/>
    <w:rsid w:val="002D4B80"/>
    <w:rsid w:val="002D5D0C"/>
    <w:rsid w:val="002D797E"/>
    <w:rsid w:val="002E363C"/>
    <w:rsid w:val="002E4FDB"/>
    <w:rsid w:val="002F054C"/>
    <w:rsid w:val="002F0C93"/>
    <w:rsid w:val="002F3AAB"/>
    <w:rsid w:val="002F4163"/>
    <w:rsid w:val="002F69FF"/>
    <w:rsid w:val="003017EB"/>
    <w:rsid w:val="00301EC1"/>
    <w:rsid w:val="00307DFD"/>
    <w:rsid w:val="00310160"/>
    <w:rsid w:val="00310DE6"/>
    <w:rsid w:val="00311913"/>
    <w:rsid w:val="0031228D"/>
    <w:rsid w:val="00313D5A"/>
    <w:rsid w:val="0031476A"/>
    <w:rsid w:val="00316A2D"/>
    <w:rsid w:val="00316AD9"/>
    <w:rsid w:val="0032154A"/>
    <w:rsid w:val="0032284A"/>
    <w:rsid w:val="00322B9F"/>
    <w:rsid w:val="0032507B"/>
    <w:rsid w:val="00325E1E"/>
    <w:rsid w:val="00325EFA"/>
    <w:rsid w:val="003274A9"/>
    <w:rsid w:val="00332F05"/>
    <w:rsid w:val="00337F9C"/>
    <w:rsid w:val="00341CC4"/>
    <w:rsid w:val="00346854"/>
    <w:rsid w:val="00347306"/>
    <w:rsid w:val="003502A1"/>
    <w:rsid w:val="0035363C"/>
    <w:rsid w:val="00354232"/>
    <w:rsid w:val="003542E4"/>
    <w:rsid w:val="00364C3C"/>
    <w:rsid w:val="00364CEE"/>
    <w:rsid w:val="00365542"/>
    <w:rsid w:val="0036588B"/>
    <w:rsid w:val="003707E1"/>
    <w:rsid w:val="003757B8"/>
    <w:rsid w:val="003773D1"/>
    <w:rsid w:val="00380D9E"/>
    <w:rsid w:val="0038183B"/>
    <w:rsid w:val="00383055"/>
    <w:rsid w:val="00387F7C"/>
    <w:rsid w:val="0039367E"/>
    <w:rsid w:val="00394AD5"/>
    <w:rsid w:val="00395E04"/>
    <w:rsid w:val="00396674"/>
    <w:rsid w:val="003967DE"/>
    <w:rsid w:val="003975EA"/>
    <w:rsid w:val="00397FB3"/>
    <w:rsid w:val="003A3C05"/>
    <w:rsid w:val="003A4C4F"/>
    <w:rsid w:val="003A5B73"/>
    <w:rsid w:val="003A5F72"/>
    <w:rsid w:val="003A670F"/>
    <w:rsid w:val="003A710E"/>
    <w:rsid w:val="003B0D74"/>
    <w:rsid w:val="003B36EB"/>
    <w:rsid w:val="003B4213"/>
    <w:rsid w:val="003B5864"/>
    <w:rsid w:val="003B6432"/>
    <w:rsid w:val="003B6833"/>
    <w:rsid w:val="003B6A9D"/>
    <w:rsid w:val="003C343C"/>
    <w:rsid w:val="003C3B68"/>
    <w:rsid w:val="003C4E57"/>
    <w:rsid w:val="003C5893"/>
    <w:rsid w:val="003C605A"/>
    <w:rsid w:val="003C6D62"/>
    <w:rsid w:val="003C7782"/>
    <w:rsid w:val="003D50A2"/>
    <w:rsid w:val="003D5608"/>
    <w:rsid w:val="003E482C"/>
    <w:rsid w:val="003E48A9"/>
    <w:rsid w:val="003E5EEE"/>
    <w:rsid w:val="003E678D"/>
    <w:rsid w:val="003F3196"/>
    <w:rsid w:val="003F7079"/>
    <w:rsid w:val="00401328"/>
    <w:rsid w:val="0040160C"/>
    <w:rsid w:val="00402525"/>
    <w:rsid w:val="00403256"/>
    <w:rsid w:val="004058C8"/>
    <w:rsid w:val="004065DA"/>
    <w:rsid w:val="00410962"/>
    <w:rsid w:val="0041421C"/>
    <w:rsid w:val="00425ECF"/>
    <w:rsid w:val="00430BAD"/>
    <w:rsid w:val="0043130B"/>
    <w:rsid w:val="004314A7"/>
    <w:rsid w:val="00432BBC"/>
    <w:rsid w:val="00440CDD"/>
    <w:rsid w:val="00440F1A"/>
    <w:rsid w:val="00441F89"/>
    <w:rsid w:val="00442E5D"/>
    <w:rsid w:val="00443243"/>
    <w:rsid w:val="00444524"/>
    <w:rsid w:val="0044480D"/>
    <w:rsid w:val="00444AF2"/>
    <w:rsid w:val="00445602"/>
    <w:rsid w:val="004458FA"/>
    <w:rsid w:val="00446834"/>
    <w:rsid w:val="004509B1"/>
    <w:rsid w:val="00450E0D"/>
    <w:rsid w:val="0045357D"/>
    <w:rsid w:val="0045394F"/>
    <w:rsid w:val="00453F6D"/>
    <w:rsid w:val="00465D3C"/>
    <w:rsid w:val="00466361"/>
    <w:rsid w:val="00467AE0"/>
    <w:rsid w:val="00467D4E"/>
    <w:rsid w:val="00472092"/>
    <w:rsid w:val="00477134"/>
    <w:rsid w:val="004805D8"/>
    <w:rsid w:val="004812A4"/>
    <w:rsid w:val="0049494E"/>
    <w:rsid w:val="004A07F5"/>
    <w:rsid w:val="004A3903"/>
    <w:rsid w:val="004A6877"/>
    <w:rsid w:val="004B093E"/>
    <w:rsid w:val="004B2260"/>
    <w:rsid w:val="004B447F"/>
    <w:rsid w:val="004C29D8"/>
    <w:rsid w:val="004C3F63"/>
    <w:rsid w:val="004C68DB"/>
    <w:rsid w:val="004C6E93"/>
    <w:rsid w:val="004D16D1"/>
    <w:rsid w:val="004D2988"/>
    <w:rsid w:val="004D5593"/>
    <w:rsid w:val="004D58B2"/>
    <w:rsid w:val="004D66C4"/>
    <w:rsid w:val="004D6A75"/>
    <w:rsid w:val="004D7F24"/>
    <w:rsid w:val="004E0CF3"/>
    <w:rsid w:val="004E0DDD"/>
    <w:rsid w:val="004E1B6E"/>
    <w:rsid w:val="004E2662"/>
    <w:rsid w:val="004E27B9"/>
    <w:rsid w:val="004E285E"/>
    <w:rsid w:val="004E58AE"/>
    <w:rsid w:val="004E6775"/>
    <w:rsid w:val="004F003B"/>
    <w:rsid w:val="004F1D59"/>
    <w:rsid w:val="004F29DA"/>
    <w:rsid w:val="004F2CE5"/>
    <w:rsid w:val="004F3B1A"/>
    <w:rsid w:val="004F54C1"/>
    <w:rsid w:val="004F79B8"/>
    <w:rsid w:val="0050410D"/>
    <w:rsid w:val="005042B5"/>
    <w:rsid w:val="00504CE0"/>
    <w:rsid w:val="005058FE"/>
    <w:rsid w:val="0051038B"/>
    <w:rsid w:val="00510B32"/>
    <w:rsid w:val="00516198"/>
    <w:rsid w:val="00522EED"/>
    <w:rsid w:val="00524026"/>
    <w:rsid w:val="005256C0"/>
    <w:rsid w:val="005271C5"/>
    <w:rsid w:val="005306E1"/>
    <w:rsid w:val="005333A1"/>
    <w:rsid w:val="005337D9"/>
    <w:rsid w:val="00533F00"/>
    <w:rsid w:val="00533FB6"/>
    <w:rsid w:val="00536D5C"/>
    <w:rsid w:val="00537A82"/>
    <w:rsid w:val="00543F15"/>
    <w:rsid w:val="00545F0D"/>
    <w:rsid w:val="005516C7"/>
    <w:rsid w:val="00552084"/>
    <w:rsid w:val="00553B68"/>
    <w:rsid w:val="00557A13"/>
    <w:rsid w:val="00561933"/>
    <w:rsid w:val="00561FCC"/>
    <w:rsid w:val="00562097"/>
    <w:rsid w:val="00564172"/>
    <w:rsid w:val="00565419"/>
    <w:rsid w:val="005710D9"/>
    <w:rsid w:val="005720E8"/>
    <w:rsid w:val="00576E6D"/>
    <w:rsid w:val="00581F2F"/>
    <w:rsid w:val="0058299E"/>
    <w:rsid w:val="00585848"/>
    <w:rsid w:val="00585C58"/>
    <w:rsid w:val="0058710E"/>
    <w:rsid w:val="00590C77"/>
    <w:rsid w:val="00592DA5"/>
    <w:rsid w:val="00593529"/>
    <w:rsid w:val="00593E41"/>
    <w:rsid w:val="00596CB2"/>
    <w:rsid w:val="005A1FD8"/>
    <w:rsid w:val="005A4767"/>
    <w:rsid w:val="005A6CE1"/>
    <w:rsid w:val="005B21D7"/>
    <w:rsid w:val="005B3FB4"/>
    <w:rsid w:val="005B5760"/>
    <w:rsid w:val="005C051C"/>
    <w:rsid w:val="005C1771"/>
    <w:rsid w:val="005C320C"/>
    <w:rsid w:val="005C5FDF"/>
    <w:rsid w:val="005C7E99"/>
    <w:rsid w:val="005D1564"/>
    <w:rsid w:val="005D48A2"/>
    <w:rsid w:val="005E59DD"/>
    <w:rsid w:val="005E77F3"/>
    <w:rsid w:val="005F530B"/>
    <w:rsid w:val="005F55E6"/>
    <w:rsid w:val="005F7212"/>
    <w:rsid w:val="005F740F"/>
    <w:rsid w:val="00601194"/>
    <w:rsid w:val="006042B3"/>
    <w:rsid w:val="0060560F"/>
    <w:rsid w:val="0061000B"/>
    <w:rsid w:val="0061122E"/>
    <w:rsid w:val="0061299B"/>
    <w:rsid w:val="006150B3"/>
    <w:rsid w:val="006162DF"/>
    <w:rsid w:val="006224FE"/>
    <w:rsid w:val="00626D90"/>
    <w:rsid w:val="006322F0"/>
    <w:rsid w:val="006324CA"/>
    <w:rsid w:val="00632B3C"/>
    <w:rsid w:val="006360F2"/>
    <w:rsid w:val="00641716"/>
    <w:rsid w:val="00645532"/>
    <w:rsid w:val="00645AC8"/>
    <w:rsid w:val="00645E58"/>
    <w:rsid w:val="00647F0C"/>
    <w:rsid w:val="006504D5"/>
    <w:rsid w:val="0065151D"/>
    <w:rsid w:val="00651877"/>
    <w:rsid w:val="00654CCC"/>
    <w:rsid w:val="006607E3"/>
    <w:rsid w:val="00660A1A"/>
    <w:rsid w:val="00661B93"/>
    <w:rsid w:val="006636F6"/>
    <w:rsid w:val="00666BAA"/>
    <w:rsid w:val="0066798F"/>
    <w:rsid w:val="006700EC"/>
    <w:rsid w:val="00682869"/>
    <w:rsid w:val="006849BA"/>
    <w:rsid w:val="00686C42"/>
    <w:rsid w:val="006911D7"/>
    <w:rsid w:val="00693061"/>
    <w:rsid w:val="00695A2F"/>
    <w:rsid w:val="00696AAE"/>
    <w:rsid w:val="006979AF"/>
    <w:rsid w:val="006A5657"/>
    <w:rsid w:val="006B0D3B"/>
    <w:rsid w:val="006B57CA"/>
    <w:rsid w:val="006B5DDC"/>
    <w:rsid w:val="006C2B48"/>
    <w:rsid w:val="006C6370"/>
    <w:rsid w:val="006C7E19"/>
    <w:rsid w:val="006C7F3B"/>
    <w:rsid w:val="006D2CEF"/>
    <w:rsid w:val="006D34CD"/>
    <w:rsid w:val="006D732D"/>
    <w:rsid w:val="006E0108"/>
    <w:rsid w:val="006E597C"/>
    <w:rsid w:val="006E6D99"/>
    <w:rsid w:val="006E75A2"/>
    <w:rsid w:val="006F138A"/>
    <w:rsid w:val="006F5EB8"/>
    <w:rsid w:val="006F736C"/>
    <w:rsid w:val="006F7CD3"/>
    <w:rsid w:val="00702307"/>
    <w:rsid w:val="00702770"/>
    <w:rsid w:val="00706737"/>
    <w:rsid w:val="007128F3"/>
    <w:rsid w:val="0071537E"/>
    <w:rsid w:val="007229FD"/>
    <w:rsid w:val="0072701C"/>
    <w:rsid w:val="0072716A"/>
    <w:rsid w:val="0073013B"/>
    <w:rsid w:val="0073137B"/>
    <w:rsid w:val="00734EE6"/>
    <w:rsid w:val="007416BF"/>
    <w:rsid w:val="007434E1"/>
    <w:rsid w:val="00744DEB"/>
    <w:rsid w:val="007474D1"/>
    <w:rsid w:val="00755AD8"/>
    <w:rsid w:val="00756478"/>
    <w:rsid w:val="007564E2"/>
    <w:rsid w:val="00756BF5"/>
    <w:rsid w:val="00761541"/>
    <w:rsid w:val="0077065E"/>
    <w:rsid w:val="007724C8"/>
    <w:rsid w:val="00777283"/>
    <w:rsid w:val="007773B9"/>
    <w:rsid w:val="0078384E"/>
    <w:rsid w:val="007868DF"/>
    <w:rsid w:val="00792503"/>
    <w:rsid w:val="00792BD5"/>
    <w:rsid w:val="007946D6"/>
    <w:rsid w:val="007A1A1C"/>
    <w:rsid w:val="007A298B"/>
    <w:rsid w:val="007A502E"/>
    <w:rsid w:val="007A521A"/>
    <w:rsid w:val="007A6489"/>
    <w:rsid w:val="007C0C9A"/>
    <w:rsid w:val="007C2F1A"/>
    <w:rsid w:val="007D3EBC"/>
    <w:rsid w:val="007D42ED"/>
    <w:rsid w:val="007D4BA0"/>
    <w:rsid w:val="007D5003"/>
    <w:rsid w:val="007D525A"/>
    <w:rsid w:val="007D5D1B"/>
    <w:rsid w:val="007D672F"/>
    <w:rsid w:val="007D6EAF"/>
    <w:rsid w:val="007D70F6"/>
    <w:rsid w:val="007E1DAA"/>
    <w:rsid w:val="007E5179"/>
    <w:rsid w:val="007E55D1"/>
    <w:rsid w:val="007E7CA4"/>
    <w:rsid w:val="007F0D87"/>
    <w:rsid w:val="00804CBC"/>
    <w:rsid w:val="00805367"/>
    <w:rsid w:val="00805B65"/>
    <w:rsid w:val="00806124"/>
    <w:rsid w:val="00806D2B"/>
    <w:rsid w:val="008124BF"/>
    <w:rsid w:val="00812C05"/>
    <w:rsid w:val="0081392C"/>
    <w:rsid w:val="00813B77"/>
    <w:rsid w:val="008150D9"/>
    <w:rsid w:val="00815329"/>
    <w:rsid w:val="00817A5E"/>
    <w:rsid w:val="00820B74"/>
    <w:rsid w:val="00822B6C"/>
    <w:rsid w:val="008230FB"/>
    <w:rsid w:val="00830D64"/>
    <w:rsid w:val="008320BF"/>
    <w:rsid w:val="00832461"/>
    <w:rsid w:val="0083276C"/>
    <w:rsid w:val="0083466A"/>
    <w:rsid w:val="0083490E"/>
    <w:rsid w:val="0083719D"/>
    <w:rsid w:val="00837CE4"/>
    <w:rsid w:val="00837EEF"/>
    <w:rsid w:val="00841123"/>
    <w:rsid w:val="00844845"/>
    <w:rsid w:val="00846653"/>
    <w:rsid w:val="00850956"/>
    <w:rsid w:val="008518F8"/>
    <w:rsid w:val="00852884"/>
    <w:rsid w:val="00852D86"/>
    <w:rsid w:val="008562AC"/>
    <w:rsid w:val="008646C3"/>
    <w:rsid w:val="00870A0D"/>
    <w:rsid w:val="008713CE"/>
    <w:rsid w:val="00871596"/>
    <w:rsid w:val="00874A0E"/>
    <w:rsid w:val="00874EA5"/>
    <w:rsid w:val="008760BA"/>
    <w:rsid w:val="008772CE"/>
    <w:rsid w:val="00877363"/>
    <w:rsid w:val="00882C5A"/>
    <w:rsid w:val="00886416"/>
    <w:rsid w:val="008903BC"/>
    <w:rsid w:val="008910DA"/>
    <w:rsid w:val="0089426B"/>
    <w:rsid w:val="008964A7"/>
    <w:rsid w:val="00896617"/>
    <w:rsid w:val="008A0A9A"/>
    <w:rsid w:val="008A2F22"/>
    <w:rsid w:val="008A4B24"/>
    <w:rsid w:val="008A599D"/>
    <w:rsid w:val="008A5CE6"/>
    <w:rsid w:val="008A653B"/>
    <w:rsid w:val="008A6B7E"/>
    <w:rsid w:val="008B01A5"/>
    <w:rsid w:val="008B580D"/>
    <w:rsid w:val="008B5AAC"/>
    <w:rsid w:val="008B7033"/>
    <w:rsid w:val="008B7ED2"/>
    <w:rsid w:val="008B7FA9"/>
    <w:rsid w:val="008C14F4"/>
    <w:rsid w:val="008C2226"/>
    <w:rsid w:val="008C3A81"/>
    <w:rsid w:val="008C663A"/>
    <w:rsid w:val="008C6910"/>
    <w:rsid w:val="008C6B50"/>
    <w:rsid w:val="008C6DBF"/>
    <w:rsid w:val="008C744F"/>
    <w:rsid w:val="008D40C3"/>
    <w:rsid w:val="008D4B9A"/>
    <w:rsid w:val="008D7EE9"/>
    <w:rsid w:val="008E1A84"/>
    <w:rsid w:val="008E2329"/>
    <w:rsid w:val="008E234A"/>
    <w:rsid w:val="008E7E93"/>
    <w:rsid w:val="008F67E6"/>
    <w:rsid w:val="008F6E7A"/>
    <w:rsid w:val="00900963"/>
    <w:rsid w:val="00904D80"/>
    <w:rsid w:val="00905F8F"/>
    <w:rsid w:val="00910D84"/>
    <w:rsid w:val="0091269D"/>
    <w:rsid w:val="009207C0"/>
    <w:rsid w:val="00920A1A"/>
    <w:rsid w:val="00922814"/>
    <w:rsid w:val="00923A9A"/>
    <w:rsid w:val="00925649"/>
    <w:rsid w:val="00926E0B"/>
    <w:rsid w:val="00927650"/>
    <w:rsid w:val="009377B5"/>
    <w:rsid w:val="009406A0"/>
    <w:rsid w:val="00945810"/>
    <w:rsid w:val="00946807"/>
    <w:rsid w:val="00947D21"/>
    <w:rsid w:val="009507DD"/>
    <w:rsid w:val="009528B1"/>
    <w:rsid w:val="009545F2"/>
    <w:rsid w:val="00954DE8"/>
    <w:rsid w:val="00960298"/>
    <w:rsid w:val="00962062"/>
    <w:rsid w:val="009632CA"/>
    <w:rsid w:val="00964753"/>
    <w:rsid w:val="009656CE"/>
    <w:rsid w:val="00967C5A"/>
    <w:rsid w:val="00970BEA"/>
    <w:rsid w:val="0097165E"/>
    <w:rsid w:val="00973B52"/>
    <w:rsid w:val="009807F0"/>
    <w:rsid w:val="009830F6"/>
    <w:rsid w:val="009848F0"/>
    <w:rsid w:val="00985ABD"/>
    <w:rsid w:val="009925AC"/>
    <w:rsid w:val="00997D6D"/>
    <w:rsid w:val="009A00C7"/>
    <w:rsid w:val="009A10BD"/>
    <w:rsid w:val="009A17BB"/>
    <w:rsid w:val="009A5632"/>
    <w:rsid w:val="009A600F"/>
    <w:rsid w:val="009B20BA"/>
    <w:rsid w:val="009B4BC6"/>
    <w:rsid w:val="009B5523"/>
    <w:rsid w:val="009B5D20"/>
    <w:rsid w:val="009C00E4"/>
    <w:rsid w:val="009C18F5"/>
    <w:rsid w:val="009C45F0"/>
    <w:rsid w:val="009C746A"/>
    <w:rsid w:val="009C76B6"/>
    <w:rsid w:val="009D1C79"/>
    <w:rsid w:val="009D1CCC"/>
    <w:rsid w:val="009D416B"/>
    <w:rsid w:val="009D5AAB"/>
    <w:rsid w:val="009D624A"/>
    <w:rsid w:val="009D765B"/>
    <w:rsid w:val="009E28E5"/>
    <w:rsid w:val="009E3A45"/>
    <w:rsid w:val="009E65D0"/>
    <w:rsid w:val="009E73CA"/>
    <w:rsid w:val="009F285E"/>
    <w:rsid w:val="009F2FAF"/>
    <w:rsid w:val="009F5788"/>
    <w:rsid w:val="009F6C1A"/>
    <w:rsid w:val="00A03D8C"/>
    <w:rsid w:val="00A03E67"/>
    <w:rsid w:val="00A042BA"/>
    <w:rsid w:val="00A05EE4"/>
    <w:rsid w:val="00A15508"/>
    <w:rsid w:val="00A16B91"/>
    <w:rsid w:val="00A1710C"/>
    <w:rsid w:val="00A20AC9"/>
    <w:rsid w:val="00A214D9"/>
    <w:rsid w:val="00A327B5"/>
    <w:rsid w:val="00A3540F"/>
    <w:rsid w:val="00A3580A"/>
    <w:rsid w:val="00A35AF3"/>
    <w:rsid w:val="00A35C67"/>
    <w:rsid w:val="00A368E8"/>
    <w:rsid w:val="00A36BB4"/>
    <w:rsid w:val="00A40806"/>
    <w:rsid w:val="00A42B7F"/>
    <w:rsid w:val="00A44913"/>
    <w:rsid w:val="00A44A43"/>
    <w:rsid w:val="00A44AAD"/>
    <w:rsid w:val="00A52527"/>
    <w:rsid w:val="00A52887"/>
    <w:rsid w:val="00A559B1"/>
    <w:rsid w:val="00A5682B"/>
    <w:rsid w:val="00A627E9"/>
    <w:rsid w:val="00A65A03"/>
    <w:rsid w:val="00A6713D"/>
    <w:rsid w:val="00A72A66"/>
    <w:rsid w:val="00A73F1F"/>
    <w:rsid w:val="00A7407D"/>
    <w:rsid w:val="00A74760"/>
    <w:rsid w:val="00A76181"/>
    <w:rsid w:val="00A76A37"/>
    <w:rsid w:val="00A76E67"/>
    <w:rsid w:val="00A80CEF"/>
    <w:rsid w:val="00A80D85"/>
    <w:rsid w:val="00A83AFF"/>
    <w:rsid w:val="00A87383"/>
    <w:rsid w:val="00A9242C"/>
    <w:rsid w:val="00A930D9"/>
    <w:rsid w:val="00A9605E"/>
    <w:rsid w:val="00AA356E"/>
    <w:rsid w:val="00AA4889"/>
    <w:rsid w:val="00AA4B70"/>
    <w:rsid w:val="00AA50C7"/>
    <w:rsid w:val="00AB1C58"/>
    <w:rsid w:val="00AB2EAD"/>
    <w:rsid w:val="00AB2EF6"/>
    <w:rsid w:val="00AB36BD"/>
    <w:rsid w:val="00AB44A3"/>
    <w:rsid w:val="00AB56B2"/>
    <w:rsid w:val="00AB79DD"/>
    <w:rsid w:val="00AC153B"/>
    <w:rsid w:val="00AC40DB"/>
    <w:rsid w:val="00AD5123"/>
    <w:rsid w:val="00AD61B5"/>
    <w:rsid w:val="00AD64EB"/>
    <w:rsid w:val="00AE12F5"/>
    <w:rsid w:val="00AE1436"/>
    <w:rsid w:val="00AE3D9C"/>
    <w:rsid w:val="00AE69CB"/>
    <w:rsid w:val="00AE7B5A"/>
    <w:rsid w:val="00AF1410"/>
    <w:rsid w:val="00AF1F29"/>
    <w:rsid w:val="00AF3239"/>
    <w:rsid w:val="00AF4C91"/>
    <w:rsid w:val="00AF4F4D"/>
    <w:rsid w:val="00AF712E"/>
    <w:rsid w:val="00B003B2"/>
    <w:rsid w:val="00B00F4D"/>
    <w:rsid w:val="00B01851"/>
    <w:rsid w:val="00B03218"/>
    <w:rsid w:val="00B03550"/>
    <w:rsid w:val="00B04325"/>
    <w:rsid w:val="00B10A9D"/>
    <w:rsid w:val="00B115AB"/>
    <w:rsid w:val="00B13633"/>
    <w:rsid w:val="00B13BD5"/>
    <w:rsid w:val="00B14E06"/>
    <w:rsid w:val="00B1556E"/>
    <w:rsid w:val="00B1659F"/>
    <w:rsid w:val="00B1665B"/>
    <w:rsid w:val="00B16B17"/>
    <w:rsid w:val="00B17B93"/>
    <w:rsid w:val="00B17EF7"/>
    <w:rsid w:val="00B22559"/>
    <w:rsid w:val="00B25DE3"/>
    <w:rsid w:val="00B273E2"/>
    <w:rsid w:val="00B30C87"/>
    <w:rsid w:val="00B31B20"/>
    <w:rsid w:val="00B36F27"/>
    <w:rsid w:val="00B377F6"/>
    <w:rsid w:val="00B41243"/>
    <w:rsid w:val="00B426E8"/>
    <w:rsid w:val="00B4696F"/>
    <w:rsid w:val="00B54487"/>
    <w:rsid w:val="00B555AB"/>
    <w:rsid w:val="00B570FA"/>
    <w:rsid w:val="00B573AB"/>
    <w:rsid w:val="00B6305E"/>
    <w:rsid w:val="00B65D0F"/>
    <w:rsid w:val="00B701BF"/>
    <w:rsid w:val="00B7111D"/>
    <w:rsid w:val="00B71FEE"/>
    <w:rsid w:val="00B729CB"/>
    <w:rsid w:val="00B72C4F"/>
    <w:rsid w:val="00B73CB7"/>
    <w:rsid w:val="00B76740"/>
    <w:rsid w:val="00B77B44"/>
    <w:rsid w:val="00B81915"/>
    <w:rsid w:val="00B823CA"/>
    <w:rsid w:val="00B85B92"/>
    <w:rsid w:val="00B90ED5"/>
    <w:rsid w:val="00B92F73"/>
    <w:rsid w:val="00B935CB"/>
    <w:rsid w:val="00B94494"/>
    <w:rsid w:val="00B947D2"/>
    <w:rsid w:val="00B957E3"/>
    <w:rsid w:val="00B95C57"/>
    <w:rsid w:val="00BA1C41"/>
    <w:rsid w:val="00BA3274"/>
    <w:rsid w:val="00BA6B05"/>
    <w:rsid w:val="00BB02F1"/>
    <w:rsid w:val="00BB15A5"/>
    <w:rsid w:val="00BB3A3A"/>
    <w:rsid w:val="00BC7E0F"/>
    <w:rsid w:val="00BD3A0C"/>
    <w:rsid w:val="00BD6802"/>
    <w:rsid w:val="00BD6D94"/>
    <w:rsid w:val="00BE208B"/>
    <w:rsid w:val="00BE2A7D"/>
    <w:rsid w:val="00BE72A0"/>
    <w:rsid w:val="00BF14C8"/>
    <w:rsid w:val="00BF18C0"/>
    <w:rsid w:val="00BF323A"/>
    <w:rsid w:val="00BF4C0C"/>
    <w:rsid w:val="00BF530E"/>
    <w:rsid w:val="00BF63EF"/>
    <w:rsid w:val="00BF774A"/>
    <w:rsid w:val="00C008A1"/>
    <w:rsid w:val="00C02721"/>
    <w:rsid w:val="00C04008"/>
    <w:rsid w:val="00C05C6D"/>
    <w:rsid w:val="00C10F2C"/>
    <w:rsid w:val="00C12C51"/>
    <w:rsid w:val="00C13E95"/>
    <w:rsid w:val="00C1477E"/>
    <w:rsid w:val="00C15D28"/>
    <w:rsid w:val="00C1664F"/>
    <w:rsid w:val="00C24BA3"/>
    <w:rsid w:val="00C269B6"/>
    <w:rsid w:val="00C30B4C"/>
    <w:rsid w:val="00C30BF6"/>
    <w:rsid w:val="00C408CD"/>
    <w:rsid w:val="00C4253E"/>
    <w:rsid w:val="00C44B4B"/>
    <w:rsid w:val="00C4511F"/>
    <w:rsid w:val="00C466BE"/>
    <w:rsid w:val="00C578E1"/>
    <w:rsid w:val="00C61D54"/>
    <w:rsid w:val="00C635BF"/>
    <w:rsid w:val="00C63FFF"/>
    <w:rsid w:val="00C657FB"/>
    <w:rsid w:val="00C65DF5"/>
    <w:rsid w:val="00C6633D"/>
    <w:rsid w:val="00C7223E"/>
    <w:rsid w:val="00C73E40"/>
    <w:rsid w:val="00C73F91"/>
    <w:rsid w:val="00C740D1"/>
    <w:rsid w:val="00C76E67"/>
    <w:rsid w:val="00C7713D"/>
    <w:rsid w:val="00C8008B"/>
    <w:rsid w:val="00C800ED"/>
    <w:rsid w:val="00C83F63"/>
    <w:rsid w:val="00C857FB"/>
    <w:rsid w:val="00C86082"/>
    <w:rsid w:val="00C866FE"/>
    <w:rsid w:val="00CA2C59"/>
    <w:rsid w:val="00CA37AF"/>
    <w:rsid w:val="00CA4464"/>
    <w:rsid w:val="00CA6631"/>
    <w:rsid w:val="00CA67DB"/>
    <w:rsid w:val="00CA7AC5"/>
    <w:rsid w:val="00CB147D"/>
    <w:rsid w:val="00CC03EA"/>
    <w:rsid w:val="00CC15DE"/>
    <w:rsid w:val="00CC3331"/>
    <w:rsid w:val="00CC456F"/>
    <w:rsid w:val="00CC51B0"/>
    <w:rsid w:val="00CC6C5D"/>
    <w:rsid w:val="00CD3080"/>
    <w:rsid w:val="00CD4426"/>
    <w:rsid w:val="00CE2EA9"/>
    <w:rsid w:val="00CE3C0F"/>
    <w:rsid w:val="00CE476F"/>
    <w:rsid w:val="00CE666B"/>
    <w:rsid w:val="00CF2357"/>
    <w:rsid w:val="00D10051"/>
    <w:rsid w:val="00D1444F"/>
    <w:rsid w:val="00D22147"/>
    <w:rsid w:val="00D22D96"/>
    <w:rsid w:val="00D2390D"/>
    <w:rsid w:val="00D23D42"/>
    <w:rsid w:val="00D2704E"/>
    <w:rsid w:val="00D30DDB"/>
    <w:rsid w:val="00D357EF"/>
    <w:rsid w:val="00D40743"/>
    <w:rsid w:val="00D40BA1"/>
    <w:rsid w:val="00D4188C"/>
    <w:rsid w:val="00D42CD6"/>
    <w:rsid w:val="00D46559"/>
    <w:rsid w:val="00D4661D"/>
    <w:rsid w:val="00D50F82"/>
    <w:rsid w:val="00D52275"/>
    <w:rsid w:val="00D536C8"/>
    <w:rsid w:val="00D56D09"/>
    <w:rsid w:val="00D573FC"/>
    <w:rsid w:val="00D57A43"/>
    <w:rsid w:val="00D60655"/>
    <w:rsid w:val="00D63B4F"/>
    <w:rsid w:val="00D6437B"/>
    <w:rsid w:val="00D64EFD"/>
    <w:rsid w:val="00D748EF"/>
    <w:rsid w:val="00D77B13"/>
    <w:rsid w:val="00D80441"/>
    <w:rsid w:val="00D80442"/>
    <w:rsid w:val="00D82D73"/>
    <w:rsid w:val="00D82DD3"/>
    <w:rsid w:val="00D868D7"/>
    <w:rsid w:val="00D9085E"/>
    <w:rsid w:val="00D913DA"/>
    <w:rsid w:val="00D915A0"/>
    <w:rsid w:val="00D9165C"/>
    <w:rsid w:val="00D93C42"/>
    <w:rsid w:val="00D958AB"/>
    <w:rsid w:val="00D9786C"/>
    <w:rsid w:val="00DA06B7"/>
    <w:rsid w:val="00DA0BF7"/>
    <w:rsid w:val="00DA186A"/>
    <w:rsid w:val="00DA2A84"/>
    <w:rsid w:val="00DA2FC4"/>
    <w:rsid w:val="00DA3DD3"/>
    <w:rsid w:val="00DA4A29"/>
    <w:rsid w:val="00DB0F62"/>
    <w:rsid w:val="00DB1B30"/>
    <w:rsid w:val="00DB25DC"/>
    <w:rsid w:val="00DB6671"/>
    <w:rsid w:val="00DB71C7"/>
    <w:rsid w:val="00DC1955"/>
    <w:rsid w:val="00DC4400"/>
    <w:rsid w:val="00DD0AD5"/>
    <w:rsid w:val="00DD0C65"/>
    <w:rsid w:val="00DD71F8"/>
    <w:rsid w:val="00DE019F"/>
    <w:rsid w:val="00DE3D1E"/>
    <w:rsid w:val="00DE5198"/>
    <w:rsid w:val="00DE540E"/>
    <w:rsid w:val="00DF2809"/>
    <w:rsid w:val="00DF4D00"/>
    <w:rsid w:val="00DF7763"/>
    <w:rsid w:val="00E003E0"/>
    <w:rsid w:val="00E0136B"/>
    <w:rsid w:val="00E02220"/>
    <w:rsid w:val="00E02492"/>
    <w:rsid w:val="00E026C1"/>
    <w:rsid w:val="00E03515"/>
    <w:rsid w:val="00E05B71"/>
    <w:rsid w:val="00E13909"/>
    <w:rsid w:val="00E1437D"/>
    <w:rsid w:val="00E14DAE"/>
    <w:rsid w:val="00E14F5F"/>
    <w:rsid w:val="00E15A04"/>
    <w:rsid w:val="00E168EE"/>
    <w:rsid w:val="00E17F6D"/>
    <w:rsid w:val="00E17F9A"/>
    <w:rsid w:val="00E264F6"/>
    <w:rsid w:val="00E26865"/>
    <w:rsid w:val="00E26A11"/>
    <w:rsid w:val="00E26C61"/>
    <w:rsid w:val="00E278AE"/>
    <w:rsid w:val="00E302B6"/>
    <w:rsid w:val="00E31A1E"/>
    <w:rsid w:val="00E35C58"/>
    <w:rsid w:val="00E35D20"/>
    <w:rsid w:val="00E35E69"/>
    <w:rsid w:val="00E36690"/>
    <w:rsid w:val="00E36992"/>
    <w:rsid w:val="00E43EF8"/>
    <w:rsid w:val="00E4474C"/>
    <w:rsid w:val="00E475E1"/>
    <w:rsid w:val="00E50055"/>
    <w:rsid w:val="00E5157F"/>
    <w:rsid w:val="00E621A4"/>
    <w:rsid w:val="00E63671"/>
    <w:rsid w:val="00E712D6"/>
    <w:rsid w:val="00E732FC"/>
    <w:rsid w:val="00E74CB5"/>
    <w:rsid w:val="00E759F0"/>
    <w:rsid w:val="00E81915"/>
    <w:rsid w:val="00E850E5"/>
    <w:rsid w:val="00E86BCC"/>
    <w:rsid w:val="00E9030B"/>
    <w:rsid w:val="00E90DF7"/>
    <w:rsid w:val="00E915FC"/>
    <w:rsid w:val="00E92B45"/>
    <w:rsid w:val="00E9478F"/>
    <w:rsid w:val="00EA2146"/>
    <w:rsid w:val="00EA6EBF"/>
    <w:rsid w:val="00EB1597"/>
    <w:rsid w:val="00EB524E"/>
    <w:rsid w:val="00EB70B2"/>
    <w:rsid w:val="00EB7558"/>
    <w:rsid w:val="00EC0F5E"/>
    <w:rsid w:val="00EC15A4"/>
    <w:rsid w:val="00EC1EDF"/>
    <w:rsid w:val="00EC26E2"/>
    <w:rsid w:val="00EC37FD"/>
    <w:rsid w:val="00EC4448"/>
    <w:rsid w:val="00EC49DF"/>
    <w:rsid w:val="00EC62D0"/>
    <w:rsid w:val="00ED08A0"/>
    <w:rsid w:val="00ED6784"/>
    <w:rsid w:val="00EE021B"/>
    <w:rsid w:val="00EE4378"/>
    <w:rsid w:val="00EE4B2B"/>
    <w:rsid w:val="00EE7D72"/>
    <w:rsid w:val="00EF029C"/>
    <w:rsid w:val="00EF1ABF"/>
    <w:rsid w:val="00EF1BF1"/>
    <w:rsid w:val="00EF43D3"/>
    <w:rsid w:val="00EF4C55"/>
    <w:rsid w:val="00EF6ABA"/>
    <w:rsid w:val="00F01DBB"/>
    <w:rsid w:val="00F06AE7"/>
    <w:rsid w:val="00F070DE"/>
    <w:rsid w:val="00F07354"/>
    <w:rsid w:val="00F100B4"/>
    <w:rsid w:val="00F10584"/>
    <w:rsid w:val="00F124FB"/>
    <w:rsid w:val="00F12789"/>
    <w:rsid w:val="00F15A3A"/>
    <w:rsid w:val="00F163F5"/>
    <w:rsid w:val="00F16EFD"/>
    <w:rsid w:val="00F23762"/>
    <w:rsid w:val="00F246CC"/>
    <w:rsid w:val="00F25B9D"/>
    <w:rsid w:val="00F321F5"/>
    <w:rsid w:val="00F3340C"/>
    <w:rsid w:val="00F347A2"/>
    <w:rsid w:val="00F36E44"/>
    <w:rsid w:val="00F40DA8"/>
    <w:rsid w:val="00F41F60"/>
    <w:rsid w:val="00F4358D"/>
    <w:rsid w:val="00F447A2"/>
    <w:rsid w:val="00F45353"/>
    <w:rsid w:val="00F46807"/>
    <w:rsid w:val="00F50E63"/>
    <w:rsid w:val="00F516AE"/>
    <w:rsid w:val="00F52F55"/>
    <w:rsid w:val="00F569E9"/>
    <w:rsid w:val="00F570BF"/>
    <w:rsid w:val="00F5734C"/>
    <w:rsid w:val="00F57D00"/>
    <w:rsid w:val="00F67619"/>
    <w:rsid w:val="00F71175"/>
    <w:rsid w:val="00F7663F"/>
    <w:rsid w:val="00F7777D"/>
    <w:rsid w:val="00F77CAD"/>
    <w:rsid w:val="00F82E27"/>
    <w:rsid w:val="00F8358C"/>
    <w:rsid w:val="00F85DEE"/>
    <w:rsid w:val="00F86742"/>
    <w:rsid w:val="00F87027"/>
    <w:rsid w:val="00F87EA9"/>
    <w:rsid w:val="00F92B35"/>
    <w:rsid w:val="00F942C3"/>
    <w:rsid w:val="00F94B43"/>
    <w:rsid w:val="00F94BF4"/>
    <w:rsid w:val="00F9584D"/>
    <w:rsid w:val="00FA00DD"/>
    <w:rsid w:val="00FA0EDE"/>
    <w:rsid w:val="00FA1ABE"/>
    <w:rsid w:val="00FA3367"/>
    <w:rsid w:val="00FA3666"/>
    <w:rsid w:val="00FA4B7F"/>
    <w:rsid w:val="00FB0E59"/>
    <w:rsid w:val="00FB38C2"/>
    <w:rsid w:val="00FB4E55"/>
    <w:rsid w:val="00FB5945"/>
    <w:rsid w:val="00FB5E02"/>
    <w:rsid w:val="00FC00B3"/>
    <w:rsid w:val="00FC1C23"/>
    <w:rsid w:val="00FC1D28"/>
    <w:rsid w:val="00FC1FA6"/>
    <w:rsid w:val="00FC64B6"/>
    <w:rsid w:val="00FC7818"/>
    <w:rsid w:val="00FD0630"/>
    <w:rsid w:val="00FD0FA1"/>
    <w:rsid w:val="00FD151B"/>
    <w:rsid w:val="00FD171A"/>
    <w:rsid w:val="00FD507D"/>
    <w:rsid w:val="00FD51C5"/>
    <w:rsid w:val="00FE27CE"/>
    <w:rsid w:val="00FF028D"/>
    <w:rsid w:val="00FF0EA0"/>
    <w:rsid w:val="00FF24AD"/>
    <w:rsid w:val="00FF48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AB0A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pPr>
        <w:spacing w:after="120"/>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index 3" w:semiHidden="0" w:unhideWhenUsed="0"/>
    <w:lsdException w:name="index 4" w:semiHidden="0" w:unhideWhenUsed="0"/>
    <w:lsdException w:name="index 5" w:semiHidden="0" w:unhideWhenUsed="0"/>
    <w:lsdException w:name="annotation text" w:uiPriority="99"/>
    <w:lsdException w:name="header" w:uiPriority="99"/>
    <w:lsdException w:name="caption" w:qFormat="1"/>
    <w:lsdException w:name="footnote reference" w:uiPriority="99"/>
    <w:lsdException w:name="annotation reference" w:uiPriority="99"/>
    <w:lsdException w:name="List Bullet 5" w:semiHidden="0" w:unhideWhenUsed="0"/>
    <w:lsdException w:name="List Number 4" w:semiHidden="0" w:unhideWhenUsed="0"/>
    <w:lsdException w:name="List Number 5" w:semiHidden="0" w:unhideWhenUsed="0"/>
    <w:lsdException w:name="Title" w:semiHidden="0" w:unhideWhenUsed="0" w:qFormat="1"/>
    <w:lsdException w:name="Subtitle" w:semiHidden="0" w:unhideWhenUsed="0" w:qFormat="1"/>
    <w:lsdException w:name="Body Text Indent 2" w:semiHidden="0" w:unhideWhenUsed="0"/>
    <w:lsdException w:name="Body Text Indent 3" w:semiHidden="0" w:unhideWhenUsed="0"/>
    <w:lsdException w:name="Block Text" w:semiHidden="0" w:unhideWhenUsed="0"/>
    <w:lsdException w:name="Hyperlink"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00ED"/>
    <w:rPr>
      <w:sz w:val="24"/>
      <w:szCs w:val="24"/>
    </w:rPr>
  </w:style>
  <w:style w:type="paragraph" w:styleId="Heading1">
    <w:name w:val="heading 1"/>
    <w:basedOn w:val="Normal"/>
    <w:next w:val="Normal"/>
    <w:link w:val="Heading1Char"/>
    <w:qFormat/>
    <w:rsid w:val="00C800ED"/>
    <w:pPr>
      <w:keepNext/>
      <w:ind w:left="360"/>
      <w:outlineLvl w:val="0"/>
    </w:pPr>
    <w:rPr>
      <w:u w:val="single"/>
    </w:rPr>
  </w:style>
  <w:style w:type="paragraph" w:styleId="Heading2">
    <w:name w:val="heading 2"/>
    <w:basedOn w:val="Normal"/>
    <w:next w:val="Normal"/>
    <w:qFormat/>
    <w:rsid w:val="00C800ED"/>
    <w:pPr>
      <w:keepNext/>
      <w:outlineLvl w:val="1"/>
    </w:pPr>
    <w:rPr>
      <w:u w:val="single"/>
    </w:rPr>
  </w:style>
  <w:style w:type="paragraph" w:styleId="Heading3">
    <w:name w:val="heading 3"/>
    <w:basedOn w:val="Normal"/>
    <w:next w:val="Normal"/>
    <w:link w:val="Heading3Char"/>
    <w:qFormat/>
    <w:rsid w:val="00C800ED"/>
    <w:pPr>
      <w:keepNext/>
      <w:numPr>
        <w:numId w:val="1"/>
      </w:numPr>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800ED"/>
    <w:rPr>
      <w:sz w:val="24"/>
      <w:szCs w:val="24"/>
      <w:u w:val="single"/>
      <w:lang w:val="en-US" w:eastAsia="en-US" w:bidi="ar-SA"/>
    </w:rPr>
  </w:style>
  <w:style w:type="character" w:customStyle="1" w:styleId="Heading3Char">
    <w:name w:val="Heading 3 Char"/>
    <w:link w:val="Heading3"/>
    <w:rsid w:val="00C800ED"/>
    <w:rPr>
      <w:sz w:val="24"/>
      <w:szCs w:val="24"/>
      <w:u w:val="single"/>
      <w:lang w:val="en-US" w:eastAsia="en-US" w:bidi="ar-SA"/>
    </w:rPr>
  </w:style>
  <w:style w:type="paragraph" w:styleId="BodyTextIndent2">
    <w:name w:val="Body Text Indent 2"/>
    <w:basedOn w:val="Normal"/>
    <w:rsid w:val="00C800ED"/>
    <w:pPr>
      <w:ind w:left="720" w:hanging="720"/>
    </w:pPr>
    <w:rPr>
      <w:b/>
      <w:bCs/>
    </w:rPr>
  </w:style>
  <w:style w:type="paragraph" w:styleId="BodyText">
    <w:name w:val="Body Text"/>
    <w:basedOn w:val="Normal"/>
    <w:rsid w:val="00C800ED"/>
    <w:rPr>
      <w:rFonts w:ascii="Arial" w:hAnsi="Arial" w:cs="Arial"/>
      <w:sz w:val="20"/>
    </w:rPr>
  </w:style>
  <w:style w:type="character" w:styleId="Hyperlink">
    <w:name w:val="Hyperlink"/>
    <w:rsid w:val="00C800ED"/>
    <w:rPr>
      <w:color w:val="0000FF"/>
      <w:u w:val="single"/>
    </w:rPr>
  </w:style>
  <w:style w:type="paragraph" w:styleId="HTMLPreformatted">
    <w:name w:val="HTML Preformatted"/>
    <w:basedOn w:val="Normal"/>
    <w:rsid w:val="00C80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FootnoteReference">
    <w:name w:val="footnote reference"/>
    <w:uiPriority w:val="99"/>
    <w:rsid w:val="00C800ED"/>
    <w:rPr>
      <w:vertAlign w:val="superscript"/>
    </w:rPr>
  </w:style>
  <w:style w:type="paragraph" w:styleId="FootnoteText">
    <w:name w:val="footnote text"/>
    <w:basedOn w:val="Normal"/>
    <w:link w:val="FootnoteTextChar"/>
    <w:rsid w:val="00C800ED"/>
    <w:pPr>
      <w:widowControl w:val="0"/>
      <w:autoSpaceDE w:val="0"/>
      <w:autoSpaceDN w:val="0"/>
      <w:adjustRightInd w:val="0"/>
    </w:pPr>
    <w:rPr>
      <w:sz w:val="20"/>
      <w:szCs w:val="20"/>
    </w:rPr>
  </w:style>
  <w:style w:type="paragraph" w:styleId="Footer">
    <w:name w:val="footer"/>
    <w:basedOn w:val="Normal"/>
    <w:rsid w:val="00C800ED"/>
    <w:pPr>
      <w:tabs>
        <w:tab w:val="center" w:pos="4320"/>
        <w:tab w:val="right" w:pos="8640"/>
      </w:tabs>
    </w:pPr>
  </w:style>
  <w:style w:type="character" w:styleId="PageNumber">
    <w:name w:val="page number"/>
    <w:basedOn w:val="DefaultParagraphFont"/>
    <w:rsid w:val="00C800ED"/>
  </w:style>
  <w:style w:type="paragraph" w:styleId="CommentText">
    <w:name w:val="annotation text"/>
    <w:basedOn w:val="Normal"/>
    <w:link w:val="CommentTextChar"/>
    <w:uiPriority w:val="99"/>
    <w:semiHidden/>
    <w:rsid w:val="00C800ED"/>
    <w:rPr>
      <w:sz w:val="20"/>
      <w:szCs w:val="20"/>
    </w:rPr>
  </w:style>
  <w:style w:type="paragraph" w:styleId="NormalWeb">
    <w:name w:val="Normal (Web)"/>
    <w:basedOn w:val="Normal"/>
    <w:uiPriority w:val="99"/>
    <w:rsid w:val="00C800ED"/>
    <w:pPr>
      <w:spacing w:before="100" w:beforeAutospacing="1" w:after="100" w:afterAutospacing="1"/>
    </w:pPr>
    <w:rPr>
      <w:color w:val="000000"/>
    </w:rPr>
  </w:style>
  <w:style w:type="character" w:styleId="Strong">
    <w:name w:val="Strong"/>
    <w:qFormat/>
    <w:rsid w:val="00C800ED"/>
    <w:rPr>
      <w:b/>
      <w:bCs/>
    </w:rPr>
  </w:style>
  <w:style w:type="table" w:styleId="TableGrid">
    <w:name w:val="Table Grid"/>
    <w:basedOn w:val="TableNormal"/>
    <w:rsid w:val="00C800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800ED"/>
    <w:pPr>
      <w:tabs>
        <w:tab w:val="center" w:pos="4320"/>
        <w:tab w:val="right" w:pos="8640"/>
      </w:tabs>
    </w:pPr>
  </w:style>
  <w:style w:type="paragraph" w:customStyle="1" w:styleId="BodyText27">
    <w:name w:val="Body Text 27"/>
    <w:basedOn w:val="Normal"/>
    <w:rsid w:val="00C800ED"/>
    <w:pPr>
      <w:tabs>
        <w:tab w:val="left" w:pos="-120"/>
        <w:tab w:val="left" w:pos="720"/>
        <w:tab w:val="left" w:pos="870"/>
        <w:tab w:val="left" w:pos="1500"/>
        <w:tab w:val="left" w:pos="2040"/>
        <w:tab w:val="left" w:pos="2580"/>
        <w:tab w:val="left" w:pos="31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66" w:lineRule="auto"/>
      <w:jc w:val="both"/>
    </w:pPr>
  </w:style>
  <w:style w:type="paragraph" w:styleId="ListParagraph">
    <w:name w:val="List Paragraph"/>
    <w:basedOn w:val="Normal"/>
    <w:uiPriority w:val="34"/>
    <w:qFormat/>
    <w:rsid w:val="00297BB9"/>
    <w:pPr>
      <w:spacing w:after="200" w:line="252" w:lineRule="auto"/>
      <w:ind w:left="720"/>
    </w:pPr>
    <w:rPr>
      <w:rFonts w:ascii="Arial" w:eastAsia="Calibri" w:hAnsi="Arial" w:cs="Arial"/>
      <w:sz w:val="22"/>
      <w:szCs w:val="22"/>
    </w:rPr>
  </w:style>
  <w:style w:type="paragraph" w:styleId="BalloonText">
    <w:name w:val="Balloon Text"/>
    <w:basedOn w:val="Normal"/>
    <w:link w:val="BalloonTextChar"/>
    <w:rsid w:val="00AF4C91"/>
    <w:rPr>
      <w:rFonts w:ascii="Tahoma" w:hAnsi="Tahoma" w:cs="Tahoma"/>
      <w:sz w:val="16"/>
      <w:szCs w:val="16"/>
    </w:rPr>
  </w:style>
  <w:style w:type="character" w:customStyle="1" w:styleId="BalloonTextChar">
    <w:name w:val="Balloon Text Char"/>
    <w:link w:val="BalloonText"/>
    <w:rsid w:val="00AF4C91"/>
    <w:rPr>
      <w:rFonts w:ascii="Tahoma" w:hAnsi="Tahoma" w:cs="Tahoma"/>
      <w:sz w:val="16"/>
      <w:szCs w:val="16"/>
    </w:rPr>
  </w:style>
  <w:style w:type="paragraph" w:customStyle="1" w:styleId="Default">
    <w:name w:val="Default"/>
    <w:rsid w:val="00AC40DB"/>
    <w:pPr>
      <w:autoSpaceDE w:val="0"/>
      <w:autoSpaceDN w:val="0"/>
      <w:adjustRightInd w:val="0"/>
    </w:pPr>
    <w:rPr>
      <w:rFonts w:ascii="Arial" w:hAnsi="Arial" w:cs="Arial"/>
      <w:color w:val="000000"/>
      <w:sz w:val="24"/>
      <w:szCs w:val="24"/>
    </w:rPr>
  </w:style>
  <w:style w:type="character" w:styleId="FollowedHyperlink">
    <w:name w:val="FollowedHyperlink"/>
    <w:rsid w:val="009377B5"/>
    <w:rPr>
      <w:color w:val="800080"/>
      <w:u w:val="single"/>
    </w:rPr>
  </w:style>
  <w:style w:type="character" w:customStyle="1" w:styleId="FootnoteTextChar">
    <w:name w:val="Footnote Text Char"/>
    <w:link w:val="FootnoteText"/>
    <w:uiPriority w:val="99"/>
    <w:rsid w:val="00626D90"/>
  </w:style>
  <w:style w:type="character" w:styleId="CommentReference">
    <w:name w:val="annotation reference"/>
    <w:basedOn w:val="DefaultParagraphFont"/>
    <w:uiPriority w:val="99"/>
    <w:unhideWhenUsed/>
    <w:rsid w:val="00DD0C65"/>
    <w:rPr>
      <w:sz w:val="16"/>
      <w:szCs w:val="16"/>
    </w:rPr>
  </w:style>
  <w:style w:type="character" w:customStyle="1" w:styleId="CommentTextChar">
    <w:name w:val="Comment Text Char"/>
    <w:basedOn w:val="DefaultParagraphFont"/>
    <w:link w:val="CommentText"/>
    <w:uiPriority w:val="99"/>
    <w:semiHidden/>
    <w:rsid w:val="00DD0C65"/>
  </w:style>
  <w:style w:type="paragraph" w:styleId="CommentSubject">
    <w:name w:val="annotation subject"/>
    <w:basedOn w:val="CommentText"/>
    <w:next w:val="CommentText"/>
    <w:link w:val="CommentSubjectChar"/>
    <w:rsid w:val="00B701BF"/>
    <w:rPr>
      <w:b/>
      <w:bCs/>
    </w:rPr>
  </w:style>
  <w:style w:type="character" w:customStyle="1" w:styleId="CommentSubjectChar">
    <w:name w:val="Comment Subject Char"/>
    <w:basedOn w:val="CommentTextChar"/>
    <w:link w:val="CommentSubject"/>
    <w:rsid w:val="00B701BF"/>
    <w:rPr>
      <w:b/>
      <w:bCs/>
    </w:rPr>
  </w:style>
  <w:style w:type="paragraph" w:styleId="Revision">
    <w:name w:val="Revision"/>
    <w:hidden/>
    <w:uiPriority w:val="99"/>
    <w:semiHidden/>
    <w:rsid w:val="008C2226"/>
    <w:rPr>
      <w:sz w:val="24"/>
      <w:szCs w:val="24"/>
    </w:rPr>
  </w:style>
  <w:style w:type="character" w:customStyle="1" w:styleId="HeaderChar">
    <w:name w:val="Header Char"/>
    <w:basedOn w:val="DefaultParagraphFont"/>
    <w:link w:val="Header"/>
    <w:uiPriority w:val="99"/>
    <w:rsid w:val="000E0AF2"/>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pPr>
        <w:spacing w:after="120"/>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index 3" w:semiHidden="0" w:unhideWhenUsed="0"/>
    <w:lsdException w:name="index 4" w:semiHidden="0" w:unhideWhenUsed="0"/>
    <w:lsdException w:name="index 5" w:semiHidden="0" w:unhideWhenUsed="0"/>
    <w:lsdException w:name="annotation text" w:uiPriority="99"/>
    <w:lsdException w:name="header" w:uiPriority="99"/>
    <w:lsdException w:name="caption" w:qFormat="1"/>
    <w:lsdException w:name="footnote reference" w:uiPriority="99"/>
    <w:lsdException w:name="annotation reference" w:uiPriority="99"/>
    <w:lsdException w:name="List Bullet 5" w:semiHidden="0" w:unhideWhenUsed="0"/>
    <w:lsdException w:name="List Number 4" w:semiHidden="0" w:unhideWhenUsed="0"/>
    <w:lsdException w:name="List Number 5" w:semiHidden="0" w:unhideWhenUsed="0"/>
    <w:lsdException w:name="Title" w:semiHidden="0" w:unhideWhenUsed="0" w:qFormat="1"/>
    <w:lsdException w:name="Subtitle" w:semiHidden="0" w:unhideWhenUsed="0" w:qFormat="1"/>
    <w:lsdException w:name="Body Text Indent 2" w:semiHidden="0" w:unhideWhenUsed="0"/>
    <w:lsdException w:name="Body Text Indent 3" w:semiHidden="0" w:unhideWhenUsed="0"/>
    <w:lsdException w:name="Block Text" w:semiHidden="0" w:unhideWhenUsed="0"/>
    <w:lsdException w:name="Hyperlink"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00ED"/>
    <w:rPr>
      <w:sz w:val="24"/>
      <w:szCs w:val="24"/>
    </w:rPr>
  </w:style>
  <w:style w:type="paragraph" w:styleId="Heading1">
    <w:name w:val="heading 1"/>
    <w:basedOn w:val="Normal"/>
    <w:next w:val="Normal"/>
    <w:link w:val="Heading1Char"/>
    <w:qFormat/>
    <w:rsid w:val="00C800ED"/>
    <w:pPr>
      <w:keepNext/>
      <w:ind w:left="360"/>
      <w:outlineLvl w:val="0"/>
    </w:pPr>
    <w:rPr>
      <w:u w:val="single"/>
    </w:rPr>
  </w:style>
  <w:style w:type="paragraph" w:styleId="Heading2">
    <w:name w:val="heading 2"/>
    <w:basedOn w:val="Normal"/>
    <w:next w:val="Normal"/>
    <w:qFormat/>
    <w:rsid w:val="00C800ED"/>
    <w:pPr>
      <w:keepNext/>
      <w:outlineLvl w:val="1"/>
    </w:pPr>
    <w:rPr>
      <w:u w:val="single"/>
    </w:rPr>
  </w:style>
  <w:style w:type="paragraph" w:styleId="Heading3">
    <w:name w:val="heading 3"/>
    <w:basedOn w:val="Normal"/>
    <w:next w:val="Normal"/>
    <w:link w:val="Heading3Char"/>
    <w:qFormat/>
    <w:rsid w:val="00C800ED"/>
    <w:pPr>
      <w:keepNext/>
      <w:numPr>
        <w:numId w:val="1"/>
      </w:numPr>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800ED"/>
    <w:rPr>
      <w:sz w:val="24"/>
      <w:szCs w:val="24"/>
      <w:u w:val="single"/>
      <w:lang w:val="en-US" w:eastAsia="en-US" w:bidi="ar-SA"/>
    </w:rPr>
  </w:style>
  <w:style w:type="character" w:customStyle="1" w:styleId="Heading3Char">
    <w:name w:val="Heading 3 Char"/>
    <w:link w:val="Heading3"/>
    <w:rsid w:val="00C800ED"/>
    <w:rPr>
      <w:sz w:val="24"/>
      <w:szCs w:val="24"/>
      <w:u w:val="single"/>
      <w:lang w:val="en-US" w:eastAsia="en-US" w:bidi="ar-SA"/>
    </w:rPr>
  </w:style>
  <w:style w:type="paragraph" w:styleId="BodyTextIndent2">
    <w:name w:val="Body Text Indent 2"/>
    <w:basedOn w:val="Normal"/>
    <w:rsid w:val="00C800ED"/>
    <w:pPr>
      <w:ind w:left="720" w:hanging="720"/>
    </w:pPr>
    <w:rPr>
      <w:b/>
      <w:bCs/>
    </w:rPr>
  </w:style>
  <w:style w:type="paragraph" w:styleId="BodyText">
    <w:name w:val="Body Text"/>
    <w:basedOn w:val="Normal"/>
    <w:rsid w:val="00C800ED"/>
    <w:rPr>
      <w:rFonts w:ascii="Arial" w:hAnsi="Arial" w:cs="Arial"/>
      <w:sz w:val="20"/>
    </w:rPr>
  </w:style>
  <w:style w:type="character" w:styleId="Hyperlink">
    <w:name w:val="Hyperlink"/>
    <w:rsid w:val="00C800ED"/>
    <w:rPr>
      <w:color w:val="0000FF"/>
      <w:u w:val="single"/>
    </w:rPr>
  </w:style>
  <w:style w:type="paragraph" w:styleId="HTMLPreformatted">
    <w:name w:val="HTML Preformatted"/>
    <w:basedOn w:val="Normal"/>
    <w:rsid w:val="00C80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FootnoteReference">
    <w:name w:val="footnote reference"/>
    <w:uiPriority w:val="99"/>
    <w:rsid w:val="00C800ED"/>
    <w:rPr>
      <w:vertAlign w:val="superscript"/>
    </w:rPr>
  </w:style>
  <w:style w:type="paragraph" w:styleId="FootnoteText">
    <w:name w:val="footnote text"/>
    <w:basedOn w:val="Normal"/>
    <w:link w:val="FootnoteTextChar"/>
    <w:rsid w:val="00C800ED"/>
    <w:pPr>
      <w:widowControl w:val="0"/>
      <w:autoSpaceDE w:val="0"/>
      <w:autoSpaceDN w:val="0"/>
      <w:adjustRightInd w:val="0"/>
    </w:pPr>
    <w:rPr>
      <w:sz w:val="20"/>
      <w:szCs w:val="20"/>
    </w:rPr>
  </w:style>
  <w:style w:type="paragraph" w:styleId="Footer">
    <w:name w:val="footer"/>
    <w:basedOn w:val="Normal"/>
    <w:rsid w:val="00C800ED"/>
    <w:pPr>
      <w:tabs>
        <w:tab w:val="center" w:pos="4320"/>
        <w:tab w:val="right" w:pos="8640"/>
      </w:tabs>
    </w:pPr>
  </w:style>
  <w:style w:type="character" w:styleId="PageNumber">
    <w:name w:val="page number"/>
    <w:basedOn w:val="DefaultParagraphFont"/>
    <w:rsid w:val="00C800ED"/>
  </w:style>
  <w:style w:type="paragraph" w:styleId="CommentText">
    <w:name w:val="annotation text"/>
    <w:basedOn w:val="Normal"/>
    <w:link w:val="CommentTextChar"/>
    <w:uiPriority w:val="99"/>
    <w:semiHidden/>
    <w:rsid w:val="00C800ED"/>
    <w:rPr>
      <w:sz w:val="20"/>
      <w:szCs w:val="20"/>
    </w:rPr>
  </w:style>
  <w:style w:type="paragraph" w:styleId="NormalWeb">
    <w:name w:val="Normal (Web)"/>
    <w:basedOn w:val="Normal"/>
    <w:uiPriority w:val="99"/>
    <w:rsid w:val="00C800ED"/>
    <w:pPr>
      <w:spacing w:before="100" w:beforeAutospacing="1" w:after="100" w:afterAutospacing="1"/>
    </w:pPr>
    <w:rPr>
      <w:color w:val="000000"/>
    </w:rPr>
  </w:style>
  <w:style w:type="character" w:styleId="Strong">
    <w:name w:val="Strong"/>
    <w:qFormat/>
    <w:rsid w:val="00C800ED"/>
    <w:rPr>
      <w:b/>
      <w:bCs/>
    </w:rPr>
  </w:style>
  <w:style w:type="table" w:styleId="TableGrid">
    <w:name w:val="Table Grid"/>
    <w:basedOn w:val="TableNormal"/>
    <w:rsid w:val="00C800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800ED"/>
    <w:pPr>
      <w:tabs>
        <w:tab w:val="center" w:pos="4320"/>
        <w:tab w:val="right" w:pos="8640"/>
      </w:tabs>
    </w:pPr>
  </w:style>
  <w:style w:type="paragraph" w:customStyle="1" w:styleId="BodyText27">
    <w:name w:val="Body Text 27"/>
    <w:basedOn w:val="Normal"/>
    <w:rsid w:val="00C800ED"/>
    <w:pPr>
      <w:tabs>
        <w:tab w:val="left" w:pos="-120"/>
        <w:tab w:val="left" w:pos="720"/>
        <w:tab w:val="left" w:pos="870"/>
        <w:tab w:val="left" w:pos="1500"/>
        <w:tab w:val="left" w:pos="2040"/>
        <w:tab w:val="left" w:pos="2580"/>
        <w:tab w:val="left" w:pos="31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66" w:lineRule="auto"/>
      <w:jc w:val="both"/>
    </w:pPr>
  </w:style>
  <w:style w:type="paragraph" w:styleId="ListParagraph">
    <w:name w:val="List Paragraph"/>
    <w:basedOn w:val="Normal"/>
    <w:uiPriority w:val="34"/>
    <w:qFormat/>
    <w:rsid w:val="00297BB9"/>
    <w:pPr>
      <w:spacing w:after="200" w:line="252" w:lineRule="auto"/>
      <w:ind w:left="720"/>
    </w:pPr>
    <w:rPr>
      <w:rFonts w:ascii="Arial" w:eastAsia="Calibri" w:hAnsi="Arial" w:cs="Arial"/>
      <w:sz w:val="22"/>
      <w:szCs w:val="22"/>
    </w:rPr>
  </w:style>
  <w:style w:type="paragraph" w:styleId="BalloonText">
    <w:name w:val="Balloon Text"/>
    <w:basedOn w:val="Normal"/>
    <w:link w:val="BalloonTextChar"/>
    <w:rsid w:val="00AF4C91"/>
    <w:rPr>
      <w:rFonts w:ascii="Tahoma" w:hAnsi="Tahoma" w:cs="Tahoma"/>
      <w:sz w:val="16"/>
      <w:szCs w:val="16"/>
    </w:rPr>
  </w:style>
  <w:style w:type="character" w:customStyle="1" w:styleId="BalloonTextChar">
    <w:name w:val="Balloon Text Char"/>
    <w:link w:val="BalloonText"/>
    <w:rsid w:val="00AF4C91"/>
    <w:rPr>
      <w:rFonts w:ascii="Tahoma" w:hAnsi="Tahoma" w:cs="Tahoma"/>
      <w:sz w:val="16"/>
      <w:szCs w:val="16"/>
    </w:rPr>
  </w:style>
  <w:style w:type="paragraph" w:customStyle="1" w:styleId="Default">
    <w:name w:val="Default"/>
    <w:rsid w:val="00AC40DB"/>
    <w:pPr>
      <w:autoSpaceDE w:val="0"/>
      <w:autoSpaceDN w:val="0"/>
      <w:adjustRightInd w:val="0"/>
    </w:pPr>
    <w:rPr>
      <w:rFonts w:ascii="Arial" w:hAnsi="Arial" w:cs="Arial"/>
      <w:color w:val="000000"/>
      <w:sz w:val="24"/>
      <w:szCs w:val="24"/>
    </w:rPr>
  </w:style>
  <w:style w:type="character" w:styleId="FollowedHyperlink">
    <w:name w:val="FollowedHyperlink"/>
    <w:rsid w:val="009377B5"/>
    <w:rPr>
      <w:color w:val="800080"/>
      <w:u w:val="single"/>
    </w:rPr>
  </w:style>
  <w:style w:type="character" w:customStyle="1" w:styleId="FootnoteTextChar">
    <w:name w:val="Footnote Text Char"/>
    <w:link w:val="FootnoteText"/>
    <w:uiPriority w:val="99"/>
    <w:rsid w:val="00626D90"/>
  </w:style>
  <w:style w:type="character" w:styleId="CommentReference">
    <w:name w:val="annotation reference"/>
    <w:basedOn w:val="DefaultParagraphFont"/>
    <w:uiPriority w:val="99"/>
    <w:unhideWhenUsed/>
    <w:rsid w:val="00DD0C65"/>
    <w:rPr>
      <w:sz w:val="16"/>
      <w:szCs w:val="16"/>
    </w:rPr>
  </w:style>
  <w:style w:type="character" w:customStyle="1" w:styleId="CommentTextChar">
    <w:name w:val="Comment Text Char"/>
    <w:basedOn w:val="DefaultParagraphFont"/>
    <w:link w:val="CommentText"/>
    <w:uiPriority w:val="99"/>
    <w:semiHidden/>
    <w:rsid w:val="00DD0C65"/>
  </w:style>
  <w:style w:type="paragraph" w:styleId="CommentSubject">
    <w:name w:val="annotation subject"/>
    <w:basedOn w:val="CommentText"/>
    <w:next w:val="CommentText"/>
    <w:link w:val="CommentSubjectChar"/>
    <w:rsid w:val="00B701BF"/>
    <w:rPr>
      <w:b/>
      <w:bCs/>
    </w:rPr>
  </w:style>
  <w:style w:type="character" w:customStyle="1" w:styleId="CommentSubjectChar">
    <w:name w:val="Comment Subject Char"/>
    <w:basedOn w:val="CommentTextChar"/>
    <w:link w:val="CommentSubject"/>
    <w:rsid w:val="00B701BF"/>
    <w:rPr>
      <w:b/>
      <w:bCs/>
    </w:rPr>
  </w:style>
  <w:style w:type="paragraph" w:styleId="Revision">
    <w:name w:val="Revision"/>
    <w:hidden/>
    <w:uiPriority w:val="99"/>
    <w:semiHidden/>
    <w:rsid w:val="008C2226"/>
    <w:rPr>
      <w:sz w:val="24"/>
      <w:szCs w:val="24"/>
    </w:rPr>
  </w:style>
  <w:style w:type="character" w:customStyle="1" w:styleId="HeaderChar">
    <w:name w:val="Header Char"/>
    <w:basedOn w:val="DefaultParagraphFont"/>
    <w:link w:val="Header"/>
    <w:uiPriority w:val="99"/>
    <w:rsid w:val="000E0AF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468413">
      <w:bodyDiv w:val="1"/>
      <w:marLeft w:val="0"/>
      <w:marRight w:val="0"/>
      <w:marTop w:val="0"/>
      <w:marBottom w:val="0"/>
      <w:divBdr>
        <w:top w:val="none" w:sz="0" w:space="0" w:color="auto"/>
        <w:left w:val="none" w:sz="0" w:space="0" w:color="auto"/>
        <w:bottom w:val="none" w:sz="0" w:space="0" w:color="auto"/>
        <w:right w:val="none" w:sz="0" w:space="0" w:color="auto"/>
      </w:divBdr>
    </w:div>
    <w:div w:id="668827465">
      <w:bodyDiv w:val="1"/>
      <w:marLeft w:val="0"/>
      <w:marRight w:val="0"/>
      <w:marTop w:val="0"/>
      <w:marBottom w:val="0"/>
      <w:divBdr>
        <w:top w:val="none" w:sz="0" w:space="0" w:color="auto"/>
        <w:left w:val="none" w:sz="0" w:space="0" w:color="auto"/>
        <w:bottom w:val="none" w:sz="0" w:space="0" w:color="auto"/>
        <w:right w:val="none" w:sz="0" w:space="0" w:color="auto"/>
      </w:divBdr>
      <w:divsChild>
        <w:div w:id="2011641801">
          <w:marLeft w:val="0"/>
          <w:marRight w:val="0"/>
          <w:marTop w:val="0"/>
          <w:marBottom w:val="300"/>
          <w:divBdr>
            <w:top w:val="none" w:sz="0" w:space="0" w:color="auto"/>
            <w:left w:val="single" w:sz="6" w:space="0" w:color="003300"/>
            <w:bottom w:val="single" w:sz="6" w:space="0" w:color="003300"/>
            <w:right w:val="single" w:sz="6" w:space="0" w:color="003300"/>
          </w:divBdr>
          <w:divsChild>
            <w:div w:id="484782427">
              <w:marLeft w:val="19"/>
              <w:marRight w:val="0"/>
              <w:marTop w:val="0"/>
              <w:marBottom w:val="0"/>
              <w:divBdr>
                <w:top w:val="none" w:sz="0" w:space="0" w:color="auto"/>
                <w:left w:val="none" w:sz="0" w:space="0" w:color="auto"/>
                <w:bottom w:val="none" w:sz="0" w:space="0" w:color="auto"/>
                <w:right w:val="none" w:sz="0" w:space="0" w:color="auto"/>
              </w:divBdr>
            </w:div>
          </w:divsChild>
        </w:div>
      </w:divsChild>
    </w:div>
    <w:div w:id="993338183">
      <w:bodyDiv w:val="1"/>
      <w:marLeft w:val="0"/>
      <w:marRight w:val="0"/>
      <w:marTop w:val="0"/>
      <w:marBottom w:val="0"/>
      <w:divBdr>
        <w:top w:val="none" w:sz="0" w:space="0" w:color="auto"/>
        <w:left w:val="none" w:sz="0" w:space="0" w:color="auto"/>
        <w:bottom w:val="none" w:sz="0" w:space="0" w:color="auto"/>
        <w:right w:val="none" w:sz="0" w:space="0" w:color="auto"/>
      </w:divBdr>
      <w:divsChild>
        <w:div w:id="1735355114">
          <w:marLeft w:val="0"/>
          <w:marRight w:val="0"/>
          <w:marTop w:val="0"/>
          <w:marBottom w:val="0"/>
          <w:divBdr>
            <w:top w:val="none" w:sz="0" w:space="0" w:color="auto"/>
            <w:left w:val="none" w:sz="0" w:space="0" w:color="auto"/>
            <w:bottom w:val="none" w:sz="0" w:space="0" w:color="auto"/>
            <w:right w:val="none" w:sz="0" w:space="0" w:color="auto"/>
          </w:divBdr>
          <w:divsChild>
            <w:div w:id="932394407">
              <w:marLeft w:val="0"/>
              <w:marRight w:val="0"/>
              <w:marTop w:val="0"/>
              <w:marBottom w:val="0"/>
              <w:divBdr>
                <w:top w:val="none" w:sz="0" w:space="0" w:color="auto"/>
                <w:left w:val="none" w:sz="0" w:space="0" w:color="auto"/>
                <w:bottom w:val="none" w:sz="0" w:space="0" w:color="auto"/>
                <w:right w:val="none" w:sz="0" w:space="0" w:color="auto"/>
              </w:divBdr>
              <w:divsChild>
                <w:div w:id="2067020569">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732802936">
      <w:bodyDiv w:val="1"/>
      <w:marLeft w:val="0"/>
      <w:marRight w:val="0"/>
      <w:marTop w:val="0"/>
      <w:marBottom w:val="0"/>
      <w:divBdr>
        <w:top w:val="none" w:sz="0" w:space="0" w:color="auto"/>
        <w:left w:val="none" w:sz="0" w:space="0" w:color="auto"/>
        <w:bottom w:val="none" w:sz="0" w:space="0" w:color="auto"/>
        <w:right w:val="none" w:sz="0" w:space="0" w:color="auto"/>
      </w:divBdr>
    </w:div>
    <w:div w:id="1738936809">
      <w:bodyDiv w:val="1"/>
      <w:marLeft w:val="0"/>
      <w:marRight w:val="0"/>
      <w:marTop w:val="0"/>
      <w:marBottom w:val="0"/>
      <w:divBdr>
        <w:top w:val="none" w:sz="0" w:space="0" w:color="auto"/>
        <w:left w:val="none" w:sz="0" w:space="0" w:color="auto"/>
        <w:bottom w:val="none" w:sz="0" w:space="0" w:color="auto"/>
        <w:right w:val="none" w:sz="0" w:space="0" w:color="auto"/>
      </w:divBdr>
      <w:divsChild>
        <w:div w:id="256642675">
          <w:marLeft w:val="0"/>
          <w:marRight w:val="0"/>
          <w:marTop w:val="0"/>
          <w:marBottom w:val="0"/>
          <w:divBdr>
            <w:top w:val="none" w:sz="0" w:space="0" w:color="auto"/>
            <w:left w:val="none" w:sz="0" w:space="0" w:color="auto"/>
            <w:bottom w:val="none" w:sz="0" w:space="0" w:color="auto"/>
            <w:right w:val="none" w:sz="0" w:space="0" w:color="auto"/>
          </w:divBdr>
        </w:div>
      </w:divsChild>
    </w:div>
    <w:div w:id="1873881310">
      <w:bodyDiv w:val="1"/>
      <w:marLeft w:val="0"/>
      <w:marRight w:val="0"/>
      <w:marTop w:val="0"/>
      <w:marBottom w:val="0"/>
      <w:divBdr>
        <w:top w:val="none" w:sz="0" w:space="0" w:color="auto"/>
        <w:left w:val="none" w:sz="0" w:space="0" w:color="auto"/>
        <w:bottom w:val="none" w:sz="0" w:space="0" w:color="auto"/>
        <w:right w:val="none" w:sz="0" w:space="0" w:color="auto"/>
      </w:divBdr>
    </w:div>
    <w:div w:id="1995528066">
      <w:bodyDiv w:val="1"/>
      <w:marLeft w:val="0"/>
      <w:marRight w:val="0"/>
      <w:marTop w:val="0"/>
      <w:marBottom w:val="0"/>
      <w:divBdr>
        <w:top w:val="none" w:sz="0" w:space="0" w:color="auto"/>
        <w:left w:val="none" w:sz="0" w:space="0" w:color="auto"/>
        <w:bottom w:val="none" w:sz="0" w:space="0" w:color="auto"/>
        <w:right w:val="none" w:sz="0" w:space="0" w:color="auto"/>
      </w:divBdr>
    </w:div>
    <w:div w:id="2097626245">
      <w:bodyDiv w:val="1"/>
      <w:marLeft w:val="0"/>
      <w:marRight w:val="0"/>
      <w:marTop w:val="0"/>
      <w:marBottom w:val="0"/>
      <w:divBdr>
        <w:top w:val="none" w:sz="0" w:space="0" w:color="auto"/>
        <w:left w:val="none" w:sz="0" w:space="0" w:color="auto"/>
        <w:bottom w:val="none" w:sz="0" w:space="0" w:color="auto"/>
        <w:right w:val="none" w:sz="0" w:space="0" w:color="auto"/>
      </w:divBdr>
      <w:divsChild>
        <w:div w:id="11423102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bls.gov/oes/current/oes_va.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6CA0AE-D426-4566-8841-05C41D4554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2990</Words>
  <Characters>17049</Characters>
  <Application>Microsoft Office Word</Application>
  <DocSecurity>0</DocSecurity>
  <Lines>142</Lines>
  <Paragraphs>39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20000</CharactersWithSpaces>
  <SharedDoc>false</SharedDoc>
  <HLinks>
    <vt:vector size="24" baseType="variant">
      <vt:variant>
        <vt:i4>1900627</vt:i4>
      </vt:variant>
      <vt:variant>
        <vt:i4>3</vt:i4>
      </vt:variant>
      <vt:variant>
        <vt:i4>0</vt:i4>
      </vt:variant>
      <vt:variant>
        <vt:i4>5</vt:i4>
      </vt:variant>
      <vt:variant>
        <vt:lpwstr>http://www.bls.gov/oes/current/oes230000.htm</vt:lpwstr>
      </vt:variant>
      <vt:variant>
        <vt:lpwstr/>
      </vt:variant>
      <vt:variant>
        <vt:i4>2293871</vt:i4>
      </vt:variant>
      <vt:variant>
        <vt:i4>0</vt:i4>
      </vt:variant>
      <vt:variant>
        <vt:i4>0</vt:i4>
      </vt:variant>
      <vt:variant>
        <vt:i4>5</vt:i4>
      </vt:variant>
      <vt:variant>
        <vt:lpwstr>http://www.nij.gov/topics/courts/drug-courts/madce.htm</vt:lpwstr>
      </vt:variant>
      <vt:variant>
        <vt:lpwstr/>
      </vt:variant>
      <vt:variant>
        <vt:i4>3211272</vt:i4>
      </vt:variant>
      <vt:variant>
        <vt:i4>3</vt:i4>
      </vt:variant>
      <vt:variant>
        <vt:i4>0</vt:i4>
      </vt:variant>
      <vt:variant>
        <vt:i4>5</vt:i4>
      </vt:variant>
      <vt:variant>
        <vt:lpwstr>http://www.dwicourts.org/sites/default/files/ncdc/Guiding_Principles_of_DWI_Court_0.pdf</vt:lpwstr>
      </vt:variant>
      <vt:variant>
        <vt:lpwstr/>
      </vt:variant>
      <vt:variant>
        <vt:i4>4587598</vt:i4>
      </vt:variant>
      <vt:variant>
        <vt:i4>0</vt:i4>
      </vt:variant>
      <vt:variant>
        <vt:i4>0</vt:i4>
      </vt:variant>
      <vt:variant>
        <vt:i4>5</vt:i4>
      </vt:variant>
      <vt:variant>
        <vt:lpwstr>http://www-nrd.nhtsa.dot.gov/Pubs/811700.pdf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2018-10-15T16:14:00Z</dcterms:created>
  <dcterms:modified xsi:type="dcterms:W3CDTF">2018-10-15T16:14:00Z</dcterms:modified>
</cp:coreProperties>
</file>