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578C9" w14:textId="77777777" w:rsidR="00F879FF" w:rsidRPr="004A09DF" w:rsidRDefault="00F879FF" w:rsidP="00F879FF">
      <w:pPr>
        <w:tabs>
          <w:tab w:val="left" w:pos="1440"/>
        </w:tabs>
        <w:spacing w:after="144"/>
      </w:pPr>
      <w:bookmarkStart w:id="0" w:name="_GoBack"/>
      <w:bookmarkEnd w:id="0"/>
      <w:r>
        <w:t>SUMMARY OF CHANGES:  The Premium Program currently does not exist. The participant only files an initial application one time. The public cost burden has been adjusted for inflation since the last report in 2015.</w:t>
      </w:r>
    </w:p>
    <w:p w14:paraId="29C78027" w14:textId="77777777" w:rsidR="00437ACA" w:rsidRPr="004A09DF" w:rsidRDefault="00437ACA">
      <w:pPr>
        <w:spacing w:after="432"/>
        <w:ind w:left="2016" w:right="1872"/>
        <w:jc w:val="center"/>
        <w:rPr>
          <w:b/>
          <w:bCs/>
        </w:rPr>
      </w:pPr>
      <w:r w:rsidRPr="004A09DF">
        <w:rPr>
          <w:b/>
          <w:bCs/>
        </w:rPr>
        <w:t>Supporting Statement for Request for Renewal OMB 2120-0514, Aviation Insurance</w:t>
      </w:r>
    </w:p>
    <w:p w14:paraId="658C166E" w14:textId="77777777" w:rsidR="00437ACA" w:rsidRPr="004A09DF" w:rsidRDefault="008379BC">
      <w:pPr>
        <w:pStyle w:val="BodyText2"/>
      </w:pPr>
      <w:r w:rsidRPr="004A09DF">
        <w:t xml:space="preserve">1. </w:t>
      </w:r>
      <w:r w:rsidR="00437ACA" w:rsidRPr="004A09DF">
        <w:t>Explain the circumstances that make collection of the information necessary.  Include identification of any legal or administrative requirements that necessitate the collection.</w:t>
      </w:r>
    </w:p>
    <w:p w14:paraId="4A4577FD" w14:textId="77777777" w:rsidR="00437ACA" w:rsidRPr="004A09DF" w:rsidRDefault="00437ACA"/>
    <w:p w14:paraId="55F7A1D0" w14:textId="77777777" w:rsidR="00C66E0C" w:rsidRDefault="00C66E0C" w:rsidP="00C66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t>The Aviation Insurance Program at the FAA derives its authority from Title 49, United States Code, Chapter 443.  Dating from 1951, amended and updated through the years, the authority currently provides authority for the FAA to issue insurance to air carriers, without premium and at the request of another Federal agency, when the insurance is not available commercially on reasonable terms and conditions.  The statute initially authorized two specific insurance programs – the Non-Premium and Premium Programs.</w:t>
      </w:r>
    </w:p>
    <w:p w14:paraId="180797FC" w14:textId="77777777" w:rsidR="00C66E0C" w:rsidRDefault="00C66E0C" w:rsidP="00C66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p>
    <w:p w14:paraId="765E55D7" w14:textId="77777777" w:rsidR="00C66E0C" w:rsidRDefault="00C66E0C" w:rsidP="00C66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t xml:space="preserve">The Premium Program, no longer in existence, provided war risk coverage to U.S. air carriers for a premium.  Following the terrorist attacks of September 11, 2001, Congress significantly expanded the Premium Program by authorizing war risk insurance for domestic flights, among other things, when the commercial aviation insurance market experienced a complete market failure.  In December 2014, Congress sunset the Premium Program based on a legislative proposal made by DOT, and returned air carriers to the commercial aviation insurance market for most of their war risk insurance needs.  </w:t>
      </w:r>
    </w:p>
    <w:p w14:paraId="1C101B42" w14:textId="77777777" w:rsidR="00C66E0C" w:rsidRDefault="00C66E0C" w:rsidP="00C66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p>
    <w:p w14:paraId="30F27A16" w14:textId="77777777" w:rsidR="00C66E0C" w:rsidRPr="004A09DF" w:rsidRDefault="00C66E0C" w:rsidP="00C66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t>The Non-Premium Program remains authorized by law and continues to offer war risk coverage, without premium, to air carriers at the request of DoD and other Federal agencies (although there are currently no other Federal agencies participating in the Non-Premium Program).   The Non-Premium Program supports DoD military mobilizations, predominantly in the U.S. Central Command and U.S. Africa Command Areas of Responsibility.  DoD relies on the FAA to provide aviation war risk insurance that is not available commercially on reasonable terms and conditions to DoD-contracted air carriers that support military mission objectives and operations.  DoD indemnifies the FAA for any losses under the Non-Premium Program, as required by law.</w:t>
      </w:r>
    </w:p>
    <w:p w14:paraId="730D07F8" w14:textId="77777777" w:rsidR="00C66E0C" w:rsidRPr="004A09DF" w:rsidRDefault="00C66E0C" w:rsidP="00C66E0C"/>
    <w:p w14:paraId="4C9CBBC2" w14:textId="77777777" w:rsidR="00AC2E0B" w:rsidRPr="004A09DF" w:rsidRDefault="00AC2E0B" w:rsidP="00AC2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p>
    <w:p w14:paraId="33DBE249" w14:textId="77777777" w:rsidR="00AC2E0B" w:rsidRPr="004A09DF" w:rsidRDefault="00AC2E0B" w:rsidP="00AC2E0B">
      <w:pPr>
        <w:shd w:val="clear" w:color="auto" w:fill="FFFFFF"/>
      </w:pPr>
    </w:p>
    <w:p w14:paraId="1584D813" w14:textId="77777777" w:rsidR="00AC2E0B" w:rsidRPr="004A09DF" w:rsidRDefault="008379BC">
      <w:pPr>
        <w:pStyle w:val="BodyText3"/>
        <w:rPr>
          <w:sz w:val="24"/>
        </w:rPr>
      </w:pPr>
      <w:r w:rsidRPr="004A09DF">
        <w:rPr>
          <w:sz w:val="24"/>
        </w:rPr>
        <w:t xml:space="preserve">2. </w:t>
      </w:r>
      <w:r w:rsidR="00AC2E0B" w:rsidRPr="004A09DF">
        <w:rPr>
          <w:sz w:val="24"/>
        </w:rPr>
        <w:t>Indicate how, by whom, and for what purpose the information is to be used and the consequence to Federal program policy activities if the collection of information was not conducted.</w:t>
      </w:r>
    </w:p>
    <w:p w14:paraId="2462044E" w14:textId="77777777" w:rsidR="00AC2E0B" w:rsidRPr="004A09DF" w:rsidRDefault="00AC2E0B">
      <w:pPr>
        <w:rPr>
          <w:spacing w:val="2"/>
        </w:rPr>
      </w:pPr>
    </w:p>
    <w:p w14:paraId="5F4BEF0A" w14:textId="77777777" w:rsidR="00AC2E0B" w:rsidRPr="004A09DF" w:rsidRDefault="00CA70C5">
      <w:pPr>
        <w:rPr>
          <w:spacing w:val="2"/>
        </w:rPr>
      </w:pPr>
      <w:r>
        <w:t>Air carriers, o</w:t>
      </w:r>
      <w:r w:rsidRPr="004A09DF">
        <w:t>perators that are members of the Civil Reserve Air Fleet (CRAF) or direct contractors to DOD supporting the President's initiatives</w:t>
      </w:r>
      <w:r w:rsidR="00F879FF">
        <w:t xml:space="preserve"> are required to</w:t>
      </w:r>
      <w:r>
        <w:t xml:space="preserve"> respond to this collection to receive the benefit of insurance.</w:t>
      </w:r>
      <w:r w:rsidRPr="004A09DF">
        <w:t xml:space="preserve"> </w:t>
      </w:r>
      <w:r>
        <w:rPr>
          <w:spacing w:val="2"/>
        </w:rPr>
        <w:t>T</w:t>
      </w:r>
      <w:r w:rsidRPr="004A09DF">
        <w:rPr>
          <w:spacing w:val="2"/>
        </w:rPr>
        <w:t>he FAA</w:t>
      </w:r>
      <w:r>
        <w:rPr>
          <w:spacing w:val="2"/>
        </w:rPr>
        <w:t xml:space="preserve"> may use a</w:t>
      </w:r>
      <w:r w:rsidR="00AC2E0B" w:rsidRPr="004A09DF">
        <w:rPr>
          <w:spacing w:val="2"/>
        </w:rPr>
        <w:t>ny information submitted by applicants for chapter 443 insurance to identify the eligibility of parties to be insured, the amount of coverage required, and insurance premiums.  Without collection of this information, the FAA would not be able to issue required insurance.</w:t>
      </w:r>
    </w:p>
    <w:p w14:paraId="7F1E3024" w14:textId="77777777" w:rsidR="00AC2E0B" w:rsidRPr="004A09DF" w:rsidRDefault="00AC2E0B">
      <w:pPr>
        <w:rPr>
          <w:spacing w:val="2"/>
        </w:rPr>
      </w:pPr>
    </w:p>
    <w:p w14:paraId="4429C94B" w14:textId="77777777" w:rsidR="00AC2E0B" w:rsidRPr="004A09DF" w:rsidRDefault="00AC2E0B">
      <w:pPr>
        <w:rPr>
          <w:b/>
          <w:bCs/>
          <w:spacing w:val="2"/>
        </w:rPr>
      </w:pPr>
    </w:p>
    <w:p w14:paraId="121C1199" w14:textId="77777777" w:rsidR="00AC2E0B" w:rsidRPr="004A09DF" w:rsidRDefault="008379BC">
      <w:pPr>
        <w:rPr>
          <w:b/>
          <w:bCs/>
          <w:spacing w:val="2"/>
        </w:rPr>
      </w:pPr>
      <w:r w:rsidRPr="004A09DF">
        <w:rPr>
          <w:b/>
          <w:bCs/>
          <w:spacing w:val="2"/>
        </w:rPr>
        <w:t xml:space="preserve">3. </w:t>
      </w:r>
      <w:r w:rsidR="00AC2E0B" w:rsidRPr="004A09DF">
        <w:rPr>
          <w:b/>
          <w:bCs/>
          <w:spacing w:val="2"/>
        </w:rPr>
        <w:t>Describe any consideration of the use of improved information technology to reduce burden and any technical or legal obstacles to reducing burden.</w:t>
      </w:r>
    </w:p>
    <w:p w14:paraId="59DBDBC5" w14:textId="77777777" w:rsidR="00AC2E0B" w:rsidRPr="004A09DF" w:rsidRDefault="00AC2E0B">
      <w:pPr>
        <w:rPr>
          <w:spacing w:val="2"/>
        </w:rPr>
      </w:pPr>
    </w:p>
    <w:p w14:paraId="628AEF74" w14:textId="77777777" w:rsidR="00AC2E0B" w:rsidRPr="004A09DF" w:rsidRDefault="00AC2E0B">
      <w:pPr>
        <w:rPr>
          <w:spacing w:val="2"/>
        </w:rPr>
      </w:pPr>
      <w:r w:rsidRPr="004A09DF">
        <w:rPr>
          <w:spacing w:val="2"/>
        </w:rPr>
        <w:t>In compliance with the Government Paperwork Elimination Act (GPEA) the FAA has converted its paper files to an automated electronic database for both premium and non-premium insurance.  Insurance policy applications, policy issuance, and reconciliation information are provided by and to applicants electronically via the Internet.</w:t>
      </w:r>
    </w:p>
    <w:p w14:paraId="07111BA5" w14:textId="77777777" w:rsidR="00AC2E0B" w:rsidRPr="004A09DF" w:rsidRDefault="00AC2E0B">
      <w:pPr>
        <w:rPr>
          <w:spacing w:val="2"/>
        </w:rPr>
      </w:pPr>
    </w:p>
    <w:p w14:paraId="365E4F00" w14:textId="77777777" w:rsidR="00AC2E0B" w:rsidRPr="004A09DF" w:rsidRDefault="00AC2E0B">
      <w:pPr>
        <w:rPr>
          <w:spacing w:val="2"/>
        </w:rPr>
      </w:pPr>
    </w:p>
    <w:p w14:paraId="5B098678" w14:textId="77777777" w:rsidR="00AC2E0B" w:rsidRPr="004A09DF" w:rsidRDefault="008379BC">
      <w:pPr>
        <w:pStyle w:val="BodyText3"/>
        <w:rPr>
          <w:sz w:val="24"/>
        </w:rPr>
      </w:pPr>
      <w:r w:rsidRPr="004A09DF">
        <w:rPr>
          <w:sz w:val="24"/>
        </w:rPr>
        <w:t xml:space="preserve">4. </w:t>
      </w:r>
      <w:r w:rsidR="00AC2E0B" w:rsidRPr="004A09DF">
        <w:rPr>
          <w:sz w:val="24"/>
        </w:rPr>
        <w:t>Describe efforts to identify duplication. Show specifically why any similar information already available cannot be used or modified for use for the purpose(s) described in 2.</w:t>
      </w:r>
    </w:p>
    <w:p w14:paraId="177890C6" w14:textId="77777777" w:rsidR="00AC2E0B" w:rsidRPr="004A09DF" w:rsidRDefault="00AC2E0B">
      <w:pPr>
        <w:rPr>
          <w:spacing w:val="2"/>
        </w:rPr>
      </w:pPr>
    </w:p>
    <w:p w14:paraId="0756B3FB" w14:textId="77777777" w:rsidR="00AC2E0B" w:rsidRPr="004A09DF" w:rsidRDefault="00AC2E0B">
      <w:pPr>
        <w:rPr>
          <w:spacing w:val="2"/>
        </w:rPr>
      </w:pPr>
      <w:r w:rsidRPr="004A09DF">
        <w:rPr>
          <w:spacing w:val="2"/>
        </w:rPr>
        <w:t>The FAA knows of no alternative source of the information requested of applicants.  To the best of the FAA's knowledge, no other Federal entity collects this information.</w:t>
      </w:r>
    </w:p>
    <w:p w14:paraId="24435291" w14:textId="77777777" w:rsidR="00AC2E0B" w:rsidRPr="004A09DF" w:rsidRDefault="00AC2E0B">
      <w:pPr>
        <w:rPr>
          <w:spacing w:val="2"/>
        </w:rPr>
      </w:pPr>
    </w:p>
    <w:p w14:paraId="45C348DC" w14:textId="77777777" w:rsidR="00AC2E0B" w:rsidRPr="004A09DF" w:rsidRDefault="00AC2E0B">
      <w:pPr>
        <w:rPr>
          <w:spacing w:val="2"/>
        </w:rPr>
      </w:pPr>
    </w:p>
    <w:p w14:paraId="6FCF04FF" w14:textId="77777777" w:rsidR="00AC2E0B" w:rsidRPr="004A09DF" w:rsidRDefault="008379BC">
      <w:pPr>
        <w:pStyle w:val="BodyText3"/>
        <w:rPr>
          <w:sz w:val="24"/>
        </w:rPr>
      </w:pPr>
      <w:r w:rsidRPr="004A09DF">
        <w:rPr>
          <w:sz w:val="24"/>
        </w:rPr>
        <w:t xml:space="preserve">5. </w:t>
      </w:r>
      <w:r w:rsidR="00AC2E0B" w:rsidRPr="004A09DF">
        <w:rPr>
          <w:sz w:val="24"/>
        </w:rPr>
        <w:t>If the collection of information impacts small business or other small entities, (Item 5 of OMB Form 83-1) describe the methods used to minimize burden.</w:t>
      </w:r>
    </w:p>
    <w:p w14:paraId="73FFAC1C" w14:textId="77777777" w:rsidR="00AC2E0B" w:rsidRPr="004A09DF" w:rsidRDefault="00AC2E0B">
      <w:pPr>
        <w:pStyle w:val="BodyText3"/>
        <w:rPr>
          <w:sz w:val="24"/>
        </w:rPr>
      </w:pPr>
    </w:p>
    <w:p w14:paraId="327AA994" w14:textId="77777777" w:rsidR="00AC2E0B" w:rsidRPr="004A09DF" w:rsidRDefault="00AC2E0B">
      <w:pPr>
        <w:spacing w:after="216"/>
        <w:rPr>
          <w:spacing w:val="2"/>
        </w:rPr>
      </w:pPr>
      <w:r w:rsidRPr="004A09DF">
        <w:rPr>
          <w:spacing w:val="2"/>
        </w:rPr>
        <w:t>The collection of information from applicants for insurance could involve any operator of an American Aircraft as defined in chapter 443 including firms that the FAA classifies as small businesses.  The submission of information is not mandatory.  It is a voluntary submission, but is necessary in order for an operator or air carrier to obtain FAA insurance coverage.  To minimize the burden of this information collection, the FAA limits its information requirements.  The FAA only requires insureds to provide information on desired insurance coverage, estimated and actual activity data specifically covered by the policy over the period of insurance.  This information is already collected for other DOT reporting requirements and need only be submitted to the FAA Insurance Program Office.  For operators covered by non-premium insurance, copies of their commercial insurance policies must be provided to base FAA coverage on.  The information requested is already known to and possessed by the operator involved.  Therefore, no burden is placed on the operator, should it elect to apply for chapter 443 insurance.</w:t>
      </w:r>
    </w:p>
    <w:p w14:paraId="26C872E7" w14:textId="77777777" w:rsidR="00AC2E0B" w:rsidRPr="004A09DF" w:rsidRDefault="00AC2E0B">
      <w:pPr>
        <w:spacing w:after="216"/>
        <w:rPr>
          <w:spacing w:val="2"/>
        </w:rPr>
      </w:pPr>
    </w:p>
    <w:p w14:paraId="72ECBD1D" w14:textId="77777777" w:rsidR="00AC2E0B" w:rsidRPr="004A09DF" w:rsidRDefault="008379BC">
      <w:pPr>
        <w:spacing w:after="216"/>
        <w:rPr>
          <w:b/>
        </w:rPr>
      </w:pPr>
      <w:r w:rsidRPr="004A09DF">
        <w:rPr>
          <w:b/>
        </w:rPr>
        <w:t xml:space="preserve">6. </w:t>
      </w:r>
      <w:r w:rsidR="00AC2E0B" w:rsidRPr="004A09DF">
        <w:rPr>
          <w:b/>
        </w:rPr>
        <w:t>Describe the consequence to Federal program policy activities if the collection is not conducted, or is conducted less frequently.</w:t>
      </w:r>
    </w:p>
    <w:p w14:paraId="7F200063" w14:textId="77777777" w:rsidR="00AC2E0B" w:rsidRPr="004A09DF" w:rsidRDefault="00AC2E0B" w:rsidP="00AC2E0B">
      <w:pPr>
        <w:rPr>
          <w:spacing w:val="2"/>
        </w:rPr>
      </w:pPr>
      <w:r w:rsidRPr="004A09DF">
        <w:rPr>
          <w:spacing w:val="2"/>
        </w:rPr>
        <w:t xml:space="preserve"> Without collection of this information, the FAA would not be able to issue required insurance.</w:t>
      </w:r>
    </w:p>
    <w:p w14:paraId="09BBC3BD" w14:textId="77777777" w:rsidR="00AC2E0B" w:rsidRPr="004A09DF" w:rsidRDefault="00AC2E0B">
      <w:pPr>
        <w:rPr>
          <w:spacing w:val="2"/>
        </w:rPr>
      </w:pPr>
    </w:p>
    <w:p w14:paraId="0350E130" w14:textId="77777777" w:rsidR="00AC2E0B" w:rsidRPr="004A09DF" w:rsidRDefault="00AC2E0B">
      <w:pPr>
        <w:rPr>
          <w:spacing w:val="2"/>
        </w:rPr>
      </w:pPr>
    </w:p>
    <w:p w14:paraId="50DB9267" w14:textId="77777777" w:rsidR="00AC2E0B" w:rsidRPr="004A09DF" w:rsidRDefault="008379BC">
      <w:pPr>
        <w:pStyle w:val="BodyText3"/>
        <w:rPr>
          <w:sz w:val="24"/>
        </w:rPr>
      </w:pPr>
      <w:r w:rsidRPr="004A09DF">
        <w:rPr>
          <w:sz w:val="24"/>
        </w:rPr>
        <w:t xml:space="preserve">7. </w:t>
      </w:r>
      <w:r w:rsidR="00AC2E0B" w:rsidRPr="004A09DF">
        <w:rPr>
          <w:sz w:val="24"/>
        </w:rPr>
        <w:t>Explain any special circumstances that require the collection to be conducted in a manner inconsistent with the guidelines in 5 CFR 1320.5(d)(2)(i)-(viii).</w:t>
      </w:r>
    </w:p>
    <w:p w14:paraId="128C5A75" w14:textId="77777777" w:rsidR="00AC2E0B" w:rsidRPr="004A09DF" w:rsidRDefault="00AC2E0B">
      <w:pPr>
        <w:rPr>
          <w:spacing w:val="2"/>
        </w:rPr>
      </w:pPr>
    </w:p>
    <w:p w14:paraId="2D76E73D" w14:textId="77777777" w:rsidR="00AC2E0B" w:rsidRPr="004A09DF" w:rsidRDefault="00AC2E0B">
      <w:pPr>
        <w:rPr>
          <w:spacing w:val="2"/>
        </w:rPr>
      </w:pPr>
      <w:r w:rsidRPr="004A09DF">
        <w:rPr>
          <w:spacing w:val="2"/>
        </w:rPr>
        <w:t>Information is collected in a manner consistent with the guidelines in 5 CFR 1320.5(d)(2)(i)-(viii)</w:t>
      </w:r>
    </w:p>
    <w:p w14:paraId="4591D37F" w14:textId="77777777" w:rsidR="00AC2E0B" w:rsidRPr="004A09DF" w:rsidRDefault="00AC2E0B">
      <w:pPr>
        <w:rPr>
          <w:spacing w:val="2"/>
        </w:rPr>
      </w:pPr>
    </w:p>
    <w:p w14:paraId="066B7BCB" w14:textId="77777777" w:rsidR="00AC2E0B" w:rsidRPr="004A09DF" w:rsidRDefault="00AC2E0B">
      <w:pPr>
        <w:rPr>
          <w:spacing w:val="2"/>
        </w:rPr>
      </w:pPr>
    </w:p>
    <w:p w14:paraId="6478C740" w14:textId="77777777" w:rsidR="00AC2E0B" w:rsidRPr="004A09DF" w:rsidRDefault="008379BC" w:rsidP="00AC2E0B">
      <w:pPr>
        <w:pStyle w:val="BodyText3"/>
        <w:rPr>
          <w:sz w:val="24"/>
        </w:rPr>
      </w:pPr>
      <w:r w:rsidRPr="004A09DF">
        <w:rPr>
          <w:sz w:val="24"/>
        </w:rPr>
        <w:t xml:space="preserve">8.  </w:t>
      </w:r>
      <w:r w:rsidR="00AC2E0B" w:rsidRPr="004A09DF">
        <w:rPr>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880DE69" w14:textId="77777777" w:rsidR="00AC2E0B" w:rsidRPr="004A09DF" w:rsidRDefault="00AC2E0B">
      <w:pPr>
        <w:rPr>
          <w:spacing w:val="2"/>
        </w:rPr>
      </w:pPr>
    </w:p>
    <w:p w14:paraId="52E114CC" w14:textId="77777777" w:rsidR="00AC2E0B" w:rsidRDefault="0089473B">
      <w:pPr>
        <w:rPr>
          <w:spacing w:val="2"/>
        </w:rPr>
      </w:pPr>
      <w:r>
        <w:rPr>
          <w:spacing w:val="2"/>
        </w:rPr>
        <w:t xml:space="preserve">A 60-day notice </w:t>
      </w:r>
      <w:r w:rsidR="00614442">
        <w:rPr>
          <w:spacing w:val="2"/>
        </w:rPr>
        <w:t xml:space="preserve">and request for comment </w:t>
      </w:r>
      <w:r>
        <w:rPr>
          <w:spacing w:val="2"/>
        </w:rPr>
        <w:t>was posted</w:t>
      </w:r>
      <w:r w:rsidR="00614442">
        <w:rPr>
          <w:spacing w:val="2"/>
        </w:rPr>
        <w:t>, June 1, 2018</w:t>
      </w:r>
      <w:r>
        <w:rPr>
          <w:spacing w:val="2"/>
        </w:rPr>
        <w:t xml:space="preserve"> in accordance with Paper Reduction Act of 1995</w:t>
      </w:r>
      <w:r w:rsidR="00614442">
        <w:rPr>
          <w:spacing w:val="2"/>
        </w:rPr>
        <w:t xml:space="preserve">, FAA invited public comments about our intention to request the Office of Management and Budget (OMB) approval to reinstate an information collection. </w:t>
      </w:r>
    </w:p>
    <w:p w14:paraId="1FE7A7DC" w14:textId="77777777" w:rsidR="00AC2E0B" w:rsidRDefault="00F879FF" w:rsidP="00F879FF">
      <w:pPr>
        <w:rPr>
          <w:spacing w:val="2"/>
        </w:rPr>
      </w:pPr>
      <w:r>
        <w:rPr>
          <w:spacing w:val="2"/>
        </w:rPr>
        <w:t>No comments were received.</w:t>
      </w:r>
    </w:p>
    <w:p w14:paraId="151F5CEB" w14:textId="77777777" w:rsidR="00F879FF" w:rsidRPr="004A09DF" w:rsidRDefault="00F879FF" w:rsidP="00F879FF">
      <w:pPr>
        <w:rPr>
          <w:bCs/>
          <w:iCs/>
        </w:rPr>
      </w:pPr>
    </w:p>
    <w:p w14:paraId="6F3C6D79" w14:textId="77777777" w:rsidR="00AC2E0B" w:rsidRPr="004A09DF" w:rsidRDefault="008379BC" w:rsidP="00AC2E0B">
      <w:pPr>
        <w:pStyle w:val="BodyText"/>
        <w:rPr>
          <w:b/>
          <w:bCs/>
          <w:sz w:val="24"/>
        </w:rPr>
      </w:pPr>
      <w:r w:rsidRPr="004A09DF">
        <w:rPr>
          <w:b/>
          <w:bCs/>
          <w:sz w:val="24"/>
        </w:rPr>
        <w:t xml:space="preserve">9.  </w:t>
      </w:r>
      <w:r w:rsidR="00AC2E0B" w:rsidRPr="004A09DF">
        <w:rPr>
          <w:b/>
          <w:bCs/>
          <w:sz w:val="24"/>
        </w:rPr>
        <w:t>Explain any decision to provide any payment or gift to respondents, other than remuneration of contractors or grantees.</w:t>
      </w:r>
    </w:p>
    <w:p w14:paraId="7C40AD72" w14:textId="77777777" w:rsidR="00AC2E0B" w:rsidRPr="004A09DF" w:rsidRDefault="00AC2E0B">
      <w:pPr>
        <w:rPr>
          <w:spacing w:val="2"/>
        </w:rPr>
      </w:pPr>
    </w:p>
    <w:p w14:paraId="584ADD3B" w14:textId="77777777" w:rsidR="00AC2E0B" w:rsidRPr="004A09DF" w:rsidRDefault="00AC2E0B">
      <w:pPr>
        <w:rPr>
          <w:spacing w:val="2"/>
        </w:rPr>
      </w:pPr>
      <w:r w:rsidRPr="004A09DF">
        <w:rPr>
          <w:spacing w:val="2"/>
        </w:rPr>
        <w:t>FAA has not made any such payments or gifts.</w:t>
      </w:r>
    </w:p>
    <w:p w14:paraId="4B161326" w14:textId="77777777" w:rsidR="00AC2E0B" w:rsidRPr="004A09DF" w:rsidRDefault="00AC2E0B">
      <w:pPr>
        <w:rPr>
          <w:spacing w:val="2"/>
        </w:rPr>
      </w:pPr>
    </w:p>
    <w:p w14:paraId="28E9762B" w14:textId="77777777" w:rsidR="00AC2E0B" w:rsidRPr="004A09DF" w:rsidRDefault="00AC2E0B">
      <w:pPr>
        <w:rPr>
          <w:spacing w:val="2"/>
        </w:rPr>
      </w:pPr>
    </w:p>
    <w:p w14:paraId="1F670F8A" w14:textId="77777777" w:rsidR="00AC2E0B" w:rsidRPr="004A09DF" w:rsidRDefault="008379BC" w:rsidP="00AC2E0B">
      <w:pPr>
        <w:pStyle w:val="BodyTextIndent2"/>
        <w:ind w:left="0" w:firstLine="0"/>
        <w:rPr>
          <w:sz w:val="24"/>
        </w:rPr>
      </w:pPr>
      <w:r w:rsidRPr="004A09DF">
        <w:rPr>
          <w:sz w:val="24"/>
        </w:rPr>
        <w:t xml:space="preserve">10. </w:t>
      </w:r>
      <w:r w:rsidR="00AC2E0B" w:rsidRPr="004A09DF">
        <w:rPr>
          <w:sz w:val="24"/>
        </w:rPr>
        <w:t>Describe any assurance of confidentiality provided to respondents and the basis for assurance in statute, regulation, or agency policy.</w:t>
      </w:r>
    </w:p>
    <w:p w14:paraId="4FCBD249" w14:textId="77777777" w:rsidR="00AC2E0B" w:rsidRPr="004A09DF" w:rsidRDefault="00AC2E0B">
      <w:r w:rsidRPr="004A09DF">
        <w:rPr>
          <w:spacing w:val="2"/>
        </w:rPr>
        <w:t>FAA has consummated memoranda of Agreement (MOA) with all program participants that are insured.  In the MOA, the FAA agrees to treat financial, activity, and other policy information provided by the participants and their insurance brokers as confidential.</w:t>
      </w:r>
      <w:r w:rsidRPr="004A09DF">
        <w:t xml:space="preserve">  The insurance program participants have found this procedure to be satisfactory. </w:t>
      </w:r>
    </w:p>
    <w:p w14:paraId="594F1A5A" w14:textId="77777777" w:rsidR="00AC2E0B" w:rsidRPr="004A09DF" w:rsidRDefault="00AC2E0B"/>
    <w:p w14:paraId="4AB2D4BF" w14:textId="77777777" w:rsidR="00AC2E0B" w:rsidRPr="004A09DF" w:rsidRDefault="00AC2E0B"/>
    <w:p w14:paraId="49988C5C" w14:textId="77777777" w:rsidR="00AC2E0B" w:rsidRPr="004A09DF" w:rsidRDefault="008379BC">
      <w:pPr>
        <w:pStyle w:val="BodyText2"/>
      </w:pPr>
      <w:r w:rsidRPr="004A09DF">
        <w:t xml:space="preserve">11. </w:t>
      </w:r>
      <w:r w:rsidR="00AC2E0B" w:rsidRPr="004A09DF">
        <w:t>Provide additional justification for any questions of a sensitive nature, such as sexual behavior and attitudes, religious belief, and other matters that are commonly considered private.</w:t>
      </w:r>
    </w:p>
    <w:p w14:paraId="7C4D919D" w14:textId="77777777" w:rsidR="00AC2E0B" w:rsidRPr="004A09DF" w:rsidRDefault="00AC2E0B">
      <w:pPr>
        <w:pStyle w:val="BodyText2"/>
      </w:pPr>
    </w:p>
    <w:p w14:paraId="46D83F54" w14:textId="77777777" w:rsidR="00AC2E0B" w:rsidRPr="004A09DF" w:rsidRDefault="00AC2E0B">
      <w:pPr>
        <w:spacing w:after="144"/>
      </w:pPr>
      <w:r w:rsidRPr="004A09DF">
        <w:t xml:space="preserve">Applicants for Chapter 443 insurance are not required to provide personal (sensitive) information which commonly would be considered private. </w:t>
      </w:r>
    </w:p>
    <w:p w14:paraId="710246C4" w14:textId="77777777" w:rsidR="00AC2E0B" w:rsidRPr="004A09DF" w:rsidRDefault="00AC2E0B">
      <w:pPr>
        <w:spacing w:after="144"/>
      </w:pPr>
    </w:p>
    <w:p w14:paraId="02C40975" w14:textId="77777777" w:rsidR="009A44EA" w:rsidRDefault="009A44EA">
      <w:pPr>
        <w:rPr>
          <w:b/>
          <w:bCs/>
        </w:rPr>
      </w:pPr>
      <w:r>
        <w:br w:type="page"/>
      </w:r>
    </w:p>
    <w:p w14:paraId="7F61B174" w14:textId="7D74BEAE" w:rsidR="00AC2E0B" w:rsidRPr="004A09DF" w:rsidRDefault="008379BC">
      <w:pPr>
        <w:pStyle w:val="BodyText2"/>
        <w:spacing w:after="144"/>
        <w:rPr>
          <w:b w:val="0"/>
          <w:bCs w:val="0"/>
          <w:i/>
          <w:iCs/>
        </w:rPr>
      </w:pPr>
      <w:r w:rsidRPr="004A09DF">
        <w:t xml:space="preserve">12. </w:t>
      </w:r>
      <w:r w:rsidR="00AC2E0B" w:rsidRPr="004A09DF">
        <w:t xml:space="preserve">Provide estimates of the hour burden of the collection of information.  Also, provide estimates of annualized cost to respondents for the hour burdens for collection of information identifying and using appropriate wage rate categories. </w:t>
      </w:r>
    </w:p>
    <w:p w14:paraId="61E1B0D7" w14:textId="77777777" w:rsidR="00AC2E0B" w:rsidRDefault="00AC2E0B"/>
    <w:p w14:paraId="2A4A1221" w14:textId="7DCF100E" w:rsidR="00AA1DF6" w:rsidRDefault="00E12D45">
      <w:r>
        <w:t xml:space="preserve">An application form for non-premium war risk insurance is available online at </w:t>
      </w:r>
      <w:r w:rsidR="006E123E" w:rsidRPr="006E123E">
        <w:rPr>
          <w:b/>
        </w:rPr>
        <w:t>https://aviation.itworks-software.com/ApplicationMoa/Index</w:t>
      </w:r>
      <w:r w:rsidRPr="00CF1EC2">
        <w:t>.</w:t>
      </w:r>
      <w:r w:rsidR="00CF1EC2" w:rsidRPr="00CF1EC2">
        <w:t xml:space="preserve"> </w:t>
      </w:r>
      <w:r w:rsidR="00CF1EC2">
        <w:t xml:space="preserve"> </w:t>
      </w:r>
      <w:r w:rsidR="00CF1EC2" w:rsidRPr="00CF1EC2">
        <w:t xml:space="preserve">FAA </w:t>
      </w:r>
      <w:r w:rsidR="00B74320">
        <w:t>currently has 30 participating in non-premium insurance</w:t>
      </w:r>
      <w:r w:rsidR="005F35AE">
        <w:t xml:space="preserve"> and each could have multiple commercial policies</w:t>
      </w:r>
      <w:r w:rsidR="00B74320">
        <w:t xml:space="preserve">. FAA estimates there </w:t>
      </w:r>
      <w:r w:rsidR="00CF1EC2" w:rsidRPr="00CF1EC2">
        <w:t xml:space="preserve">will be </w:t>
      </w:r>
      <w:r w:rsidR="005F35AE">
        <w:t>4</w:t>
      </w:r>
      <w:r w:rsidR="00CF1EC2" w:rsidRPr="00CF1EC2">
        <w:t xml:space="preserve"> individual applicants for Chapter 443 insurance annuall</w:t>
      </w:r>
      <w:r w:rsidR="00CF1EC2">
        <w:t>y; some of the individual respondents may submit more than one application annually.</w:t>
      </w:r>
      <w:r w:rsidR="00963E22">
        <w:t xml:space="preserve">  </w:t>
      </w:r>
    </w:p>
    <w:p w14:paraId="0BA7DC08" w14:textId="41B0C498" w:rsidR="009848CC" w:rsidRDefault="009848CC"/>
    <w:tbl>
      <w:tblPr>
        <w:tblW w:w="8200" w:type="dxa"/>
        <w:tblInd w:w="-10" w:type="dxa"/>
        <w:tblLook w:val="04A0" w:firstRow="1" w:lastRow="0" w:firstColumn="1" w:lastColumn="0" w:noHBand="0" w:noVBand="1"/>
      </w:tblPr>
      <w:tblGrid>
        <w:gridCol w:w="4400"/>
        <w:gridCol w:w="1540"/>
        <w:gridCol w:w="1230"/>
        <w:gridCol w:w="1176"/>
      </w:tblGrid>
      <w:tr w:rsidR="009848CC" w14:paraId="423B2F79" w14:textId="77777777" w:rsidTr="009848CC">
        <w:trPr>
          <w:trHeight w:val="1275"/>
        </w:trPr>
        <w:tc>
          <w:tcPr>
            <w:tcW w:w="44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C04D22D" w14:textId="77777777" w:rsidR="009848CC" w:rsidRDefault="009848CC">
            <w:pPr>
              <w:rPr>
                <w:color w:val="000000"/>
              </w:rPr>
            </w:pPr>
            <w:r>
              <w:rPr>
                <w:color w:val="000000"/>
              </w:rPr>
              <w:t>Task</w:t>
            </w:r>
          </w:p>
        </w:tc>
        <w:tc>
          <w:tcPr>
            <w:tcW w:w="1540" w:type="dxa"/>
            <w:tcBorders>
              <w:top w:val="single" w:sz="8" w:space="0" w:color="auto"/>
              <w:left w:val="nil"/>
              <w:bottom w:val="single" w:sz="8" w:space="0" w:color="auto"/>
              <w:right w:val="single" w:sz="8" w:space="0" w:color="auto"/>
            </w:tcBorders>
            <w:shd w:val="clear" w:color="000000" w:fill="D9D9D9"/>
            <w:noWrap/>
            <w:vAlign w:val="center"/>
            <w:hideMark/>
          </w:tcPr>
          <w:p w14:paraId="60000540" w14:textId="77777777" w:rsidR="009848CC" w:rsidRDefault="009848CC">
            <w:pPr>
              <w:rPr>
                <w:color w:val="000000"/>
              </w:rPr>
            </w:pPr>
            <w:r>
              <w:rPr>
                <w:color w:val="000000"/>
              </w:rPr>
              <w:t>Hours per Task</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7BD660A8" w14:textId="77777777" w:rsidR="009848CC" w:rsidRDefault="009848CC">
            <w:pPr>
              <w:rPr>
                <w:color w:val="000000"/>
              </w:rPr>
            </w:pPr>
            <w:r>
              <w:rPr>
                <w:color w:val="000000"/>
              </w:rPr>
              <w:t>Number of Responses</w:t>
            </w:r>
          </w:p>
        </w:tc>
        <w:tc>
          <w:tcPr>
            <w:tcW w:w="1140" w:type="dxa"/>
            <w:tcBorders>
              <w:top w:val="single" w:sz="8" w:space="0" w:color="auto"/>
              <w:left w:val="nil"/>
              <w:bottom w:val="single" w:sz="8" w:space="0" w:color="auto"/>
              <w:right w:val="single" w:sz="8" w:space="0" w:color="auto"/>
            </w:tcBorders>
            <w:shd w:val="clear" w:color="000000" w:fill="D9D9D9"/>
            <w:vAlign w:val="center"/>
            <w:hideMark/>
          </w:tcPr>
          <w:p w14:paraId="6A470943" w14:textId="77777777" w:rsidR="009848CC" w:rsidRDefault="009848CC">
            <w:pPr>
              <w:rPr>
                <w:color w:val="000000"/>
              </w:rPr>
            </w:pPr>
            <w:r>
              <w:rPr>
                <w:color w:val="000000"/>
              </w:rPr>
              <w:t>Annual  Hours per Task</w:t>
            </w:r>
          </w:p>
        </w:tc>
      </w:tr>
      <w:tr w:rsidR="009848CC" w14:paraId="7B773A9E" w14:textId="77777777" w:rsidTr="009848CC">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3991084" w14:textId="77777777" w:rsidR="009848CC" w:rsidRDefault="009848CC">
            <w:pPr>
              <w:rPr>
                <w:color w:val="000000"/>
              </w:rPr>
            </w:pPr>
            <w:r>
              <w:rPr>
                <w:color w:val="000000"/>
              </w:rPr>
              <w:t>Non-premium Program @ 4hrs per policy;</w:t>
            </w:r>
          </w:p>
        </w:tc>
        <w:tc>
          <w:tcPr>
            <w:tcW w:w="1540" w:type="dxa"/>
            <w:tcBorders>
              <w:top w:val="nil"/>
              <w:left w:val="nil"/>
              <w:bottom w:val="single" w:sz="8" w:space="0" w:color="auto"/>
              <w:right w:val="single" w:sz="8" w:space="0" w:color="auto"/>
            </w:tcBorders>
            <w:shd w:val="clear" w:color="auto" w:fill="auto"/>
            <w:noWrap/>
            <w:vAlign w:val="center"/>
            <w:hideMark/>
          </w:tcPr>
          <w:p w14:paraId="521B96CE" w14:textId="77777777" w:rsidR="009848CC" w:rsidRDefault="009848CC">
            <w:pPr>
              <w:jc w:val="right"/>
              <w:rPr>
                <w:color w:val="000000"/>
              </w:rPr>
            </w:pPr>
            <w:r>
              <w:rPr>
                <w:color w:val="000000"/>
              </w:rPr>
              <w:t>4</w:t>
            </w:r>
          </w:p>
        </w:tc>
        <w:tc>
          <w:tcPr>
            <w:tcW w:w="1120" w:type="dxa"/>
            <w:tcBorders>
              <w:top w:val="nil"/>
              <w:left w:val="nil"/>
              <w:bottom w:val="single" w:sz="8" w:space="0" w:color="auto"/>
              <w:right w:val="single" w:sz="8" w:space="0" w:color="auto"/>
            </w:tcBorders>
            <w:shd w:val="clear" w:color="auto" w:fill="auto"/>
            <w:noWrap/>
            <w:vAlign w:val="center"/>
            <w:hideMark/>
          </w:tcPr>
          <w:p w14:paraId="07754A9C" w14:textId="77777777" w:rsidR="009848CC" w:rsidRDefault="009848CC">
            <w:pPr>
              <w:jc w:val="right"/>
              <w:rPr>
                <w:color w:val="000000"/>
              </w:rPr>
            </w:pPr>
            <w:r>
              <w:rPr>
                <w:color w:val="000000"/>
              </w:rPr>
              <w:t>4</w:t>
            </w:r>
          </w:p>
        </w:tc>
        <w:tc>
          <w:tcPr>
            <w:tcW w:w="1140" w:type="dxa"/>
            <w:tcBorders>
              <w:top w:val="nil"/>
              <w:left w:val="nil"/>
              <w:bottom w:val="single" w:sz="8" w:space="0" w:color="auto"/>
              <w:right w:val="single" w:sz="8" w:space="0" w:color="auto"/>
            </w:tcBorders>
            <w:shd w:val="clear" w:color="auto" w:fill="auto"/>
            <w:noWrap/>
            <w:vAlign w:val="center"/>
            <w:hideMark/>
          </w:tcPr>
          <w:p w14:paraId="39BBFA1F" w14:textId="77777777" w:rsidR="009848CC" w:rsidRDefault="009848CC">
            <w:pPr>
              <w:jc w:val="right"/>
              <w:rPr>
                <w:color w:val="000000"/>
              </w:rPr>
            </w:pPr>
            <w:r>
              <w:rPr>
                <w:color w:val="000000"/>
              </w:rPr>
              <w:t>16</w:t>
            </w:r>
          </w:p>
        </w:tc>
      </w:tr>
      <w:tr w:rsidR="009848CC" w14:paraId="32CF5A8D" w14:textId="77777777" w:rsidTr="009848CC">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810CAEB" w14:textId="77777777" w:rsidR="009848CC" w:rsidRDefault="009848CC">
            <w:pPr>
              <w:rPr>
                <w:b/>
                <w:bCs/>
                <w:color w:val="000000"/>
              </w:rPr>
            </w:pPr>
            <w:r>
              <w:rPr>
                <w:b/>
                <w:bCs/>
                <w:color w:val="000000"/>
              </w:rPr>
              <w:t xml:space="preserve">10 </w:t>
            </w:r>
            <w:r>
              <w:rPr>
                <w:color w:val="000000"/>
              </w:rPr>
              <w:t xml:space="preserve">minutes per Commercial policy submission;  </w:t>
            </w:r>
          </w:p>
        </w:tc>
        <w:tc>
          <w:tcPr>
            <w:tcW w:w="1540" w:type="dxa"/>
            <w:tcBorders>
              <w:top w:val="nil"/>
              <w:left w:val="nil"/>
              <w:bottom w:val="single" w:sz="8" w:space="0" w:color="auto"/>
              <w:right w:val="single" w:sz="8" w:space="0" w:color="auto"/>
            </w:tcBorders>
            <w:shd w:val="clear" w:color="auto" w:fill="auto"/>
            <w:noWrap/>
            <w:vAlign w:val="center"/>
            <w:hideMark/>
          </w:tcPr>
          <w:p w14:paraId="2745553E" w14:textId="77777777" w:rsidR="009848CC" w:rsidRDefault="009848CC">
            <w:pPr>
              <w:jc w:val="right"/>
              <w:rPr>
                <w:color w:val="000000"/>
              </w:rPr>
            </w:pPr>
            <w:r>
              <w:rPr>
                <w:color w:val="000000"/>
              </w:rPr>
              <w:t>0.17</w:t>
            </w:r>
          </w:p>
        </w:tc>
        <w:tc>
          <w:tcPr>
            <w:tcW w:w="1120" w:type="dxa"/>
            <w:tcBorders>
              <w:top w:val="nil"/>
              <w:left w:val="nil"/>
              <w:bottom w:val="single" w:sz="8" w:space="0" w:color="auto"/>
              <w:right w:val="single" w:sz="8" w:space="0" w:color="auto"/>
            </w:tcBorders>
            <w:shd w:val="clear" w:color="auto" w:fill="auto"/>
            <w:noWrap/>
            <w:vAlign w:val="center"/>
            <w:hideMark/>
          </w:tcPr>
          <w:p w14:paraId="29E3E405" w14:textId="77777777" w:rsidR="009848CC" w:rsidRDefault="009848CC">
            <w:pPr>
              <w:jc w:val="right"/>
              <w:rPr>
                <w:color w:val="000000"/>
              </w:rPr>
            </w:pPr>
            <w:r>
              <w:rPr>
                <w:color w:val="000000"/>
              </w:rPr>
              <w:t>50</w:t>
            </w:r>
          </w:p>
        </w:tc>
        <w:tc>
          <w:tcPr>
            <w:tcW w:w="1140" w:type="dxa"/>
            <w:tcBorders>
              <w:top w:val="nil"/>
              <w:left w:val="nil"/>
              <w:bottom w:val="single" w:sz="8" w:space="0" w:color="auto"/>
              <w:right w:val="single" w:sz="8" w:space="0" w:color="auto"/>
            </w:tcBorders>
            <w:shd w:val="clear" w:color="auto" w:fill="auto"/>
            <w:noWrap/>
            <w:vAlign w:val="center"/>
            <w:hideMark/>
          </w:tcPr>
          <w:p w14:paraId="26AF6C02" w14:textId="77777777" w:rsidR="009848CC" w:rsidRDefault="009848CC">
            <w:pPr>
              <w:jc w:val="right"/>
              <w:rPr>
                <w:color w:val="000000"/>
              </w:rPr>
            </w:pPr>
            <w:r>
              <w:rPr>
                <w:color w:val="000000"/>
              </w:rPr>
              <w:t>8</w:t>
            </w:r>
          </w:p>
        </w:tc>
      </w:tr>
      <w:tr w:rsidR="009848CC" w14:paraId="408CBA42" w14:textId="77777777" w:rsidTr="009848CC">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7D1942F" w14:textId="77777777" w:rsidR="009848CC" w:rsidRDefault="009848CC">
            <w:pPr>
              <w:rPr>
                <w:color w:val="000000"/>
              </w:rPr>
            </w:pPr>
            <w:r>
              <w:rPr>
                <w:color w:val="000000"/>
              </w:rPr>
              <w:t>5 minutes per Business information update;</w:t>
            </w:r>
          </w:p>
        </w:tc>
        <w:tc>
          <w:tcPr>
            <w:tcW w:w="1540" w:type="dxa"/>
            <w:tcBorders>
              <w:top w:val="nil"/>
              <w:left w:val="nil"/>
              <w:bottom w:val="single" w:sz="8" w:space="0" w:color="auto"/>
              <w:right w:val="single" w:sz="8" w:space="0" w:color="auto"/>
            </w:tcBorders>
            <w:shd w:val="clear" w:color="auto" w:fill="auto"/>
            <w:noWrap/>
            <w:vAlign w:val="center"/>
            <w:hideMark/>
          </w:tcPr>
          <w:p w14:paraId="1E2EBB6C" w14:textId="77777777" w:rsidR="009848CC" w:rsidRDefault="009848CC">
            <w:pPr>
              <w:jc w:val="right"/>
              <w:rPr>
                <w:color w:val="000000"/>
              </w:rPr>
            </w:pPr>
            <w:r>
              <w:rPr>
                <w:color w:val="000000"/>
              </w:rPr>
              <w:t>0.08</w:t>
            </w:r>
          </w:p>
        </w:tc>
        <w:tc>
          <w:tcPr>
            <w:tcW w:w="1120" w:type="dxa"/>
            <w:tcBorders>
              <w:top w:val="nil"/>
              <w:left w:val="nil"/>
              <w:bottom w:val="single" w:sz="8" w:space="0" w:color="auto"/>
              <w:right w:val="single" w:sz="8" w:space="0" w:color="auto"/>
            </w:tcBorders>
            <w:shd w:val="clear" w:color="auto" w:fill="auto"/>
            <w:noWrap/>
            <w:vAlign w:val="center"/>
            <w:hideMark/>
          </w:tcPr>
          <w:p w14:paraId="01D8EABE" w14:textId="77777777" w:rsidR="009848CC" w:rsidRDefault="009848CC">
            <w:pPr>
              <w:jc w:val="right"/>
              <w:rPr>
                <w:color w:val="000000"/>
              </w:rPr>
            </w:pPr>
            <w:r>
              <w:rPr>
                <w:color w:val="000000"/>
              </w:rPr>
              <w:t>30</w:t>
            </w:r>
          </w:p>
        </w:tc>
        <w:tc>
          <w:tcPr>
            <w:tcW w:w="1140" w:type="dxa"/>
            <w:tcBorders>
              <w:top w:val="nil"/>
              <w:left w:val="nil"/>
              <w:bottom w:val="single" w:sz="8" w:space="0" w:color="auto"/>
              <w:right w:val="single" w:sz="8" w:space="0" w:color="auto"/>
            </w:tcBorders>
            <w:shd w:val="clear" w:color="auto" w:fill="auto"/>
            <w:noWrap/>
            <w:vAlign w:val="center"/>
            <w:hideMark/>
          </w:tcPr>
          <w:p w14:paraId="79B21997" w14:textId="77777777" w:rsidR="009848CC" w:rsidRDefault="009848CC">
            <w:pPr>
              <w:jc w:val="right"/>
              <w:rPr>
                <w:color w:val="000000"/>
              </w:rPr>
            </w:pPr>
            <w:r>
              <w:rPr>
                <w:color w:val="000000"/>
              </w:rPr>
              <w:t>2</w:t>
            </w:r>
          </w:p>
        </w:tc>
      </w:tr>
      <w:tr w:rsidR="009848CC" w14:paraId="4BC66DEF" w14:textId="77777777" w:rsidTr="009848CC">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1D23EE1" w14:textId="77777777" w:rsidR="009848CC" w:rsidRDefault="009848CC">
            <w:pPr>
              <w:rPr>
                <w:b/>
                <w:bCs/>
                <w:color w:val="000000"/>
              </w:rPr>
            </w:pPr>
            <w:r>
              <w:rPr>
                <w:b/>
                <w:bCs/>
                <w:color w:val="000000"/>
              </w:rPr>
              <w:t>2</w:t>
            </w:r>
            <w:r>
              <w:rPr>
                <w:color w:val="000000"/>
              </w:rPr>
              <w:t xml:space="preserve"> minutes per aircraft schedule update;</w:t>
            </w:r>
          </w:p>
        </w:tc>
        <w:tc>
          <w:tcPr>
            <w:tcW w:w="1540" w:type="dxa"/>
            <w:tcBorders>
              <w:top w:val="nil"/>
              <w:left w:val="nil"/>
              <w:bottom w:val="single" w:sz="8" w:space="0" w:color="auto"/>
              <w:right w:val="single" w:sz="8" w:space="0" w:color="auto"/>
            </w:tcBorders>
            <w:shd w:val="clear" w:color="auto" w:fill="auto"/>
            <w:noWrap/>
            <w:vAlign w:val="center"/>
            <w:hideMark/>
          </w:tcPr>
          <w:p w14:paraId="29C333D4" w14:textId="77777777" w:rsidR="009848CC" w:rsidRDefault="009848CC">
            <w:pPr>
              <w:jc w:val="right"/>
              <w:rPr>
                <w:color w:val="000000"/>
              </w:rPr>
            </w:pPr>
            <w:r>
              <w:rPr>
                <w:color w:val="000000"/>
              </w:rPr>
              <w:t>0.03</w:t>
            </w:r>
          </w:p>
        </w:tc>
        <w:tc>
          <w:tcPr>
            <w:tcW w:w="1120" w:type="dxa"/>
            <w:tcBorders>
              <w:top w:val="nil"/>
              <w:left w:val="nil"/>
              <w:bottom w:val="single" w:sz="8" w:space="0" w:color="auto"/>
              <w:right w:val="single" w:sz="8" w:space="0" w:color="auto"/>
            </w:tcBorders>
            <w:shd w:val="clear" w:color="auto" w:fill="auto"/>
            <w:noWrap/>
            <w:vAlign w:val="center"/>
            <w:hideMark/>
          </w:tcPr>
          <w:p w14:paraId="40A809AF" w14:textId="77777777" w:rsidR="009848CC" w:rsidRDefault="009848CC">
            <w:pPr>
              <w:jc w:val="right"/>
              <w:rPr>
                <w:color w:val="000000"/>
              </w:rPr>
            </w:pPr>
            <w:r>
              <w:rPr>
                <w:color w:val="000000"/>
              </w:rPr>
              <w:t>30</w:t>
            </w:r>
          </w:p>
        </w:tc>
        <w:tc>
          <w:tcPr>
            <w:tcW w:w="1140" w:type="dxa"/>
            <w:tcBorders>
              <w:top w:val="nil"/>
              <w:left w:val="nil"/>
              <w:bottom w:val="single" w:sz="8" w:space="0" w:color="auto"/>
              <w:right w:val="single" w:sz="8" w:space="0" w:color="auto"/>
            </w:tcBorders>
            <w:shd w:val="clear" w:color="auto" w:fill="auto"/>
            <w:noWrap/>
            <w:vAlign w:val="center"/>
            <w:hideMark/>
          </w:tcPr>
          <w:p w14:paraId="098844DC" w14:textId="77777777" w:rsidR="009848CC" w:rsidRDefault="009848CC">
            <w:pPr>
              <w:jc w:val="right"/>
              <w:rPr>
                <w:color w:val="000000"/>
              </w:rPr>
            </w:pPr>
            <w:r>
              <w:rPr>
                <w:color w:val="000000"/>
              </w:rPr>
              <w:t>1</w:t>
            </w:r>
          </w:p>
        </w:tc>
      </w:tr>
      <w:tr w:rsidR="009848CC" w14:paraId="4CE3E249" w14:textId="77777777" w:rsidTr="009848CC">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67444A4" w14:textId="77777777" w:rsidR="009848CC" w:rsidRDefault="009848CC">
            <w:pPr>
              <w:rPr>
                <w:color w:val="000000"/>
              </w:rPr>
            </w:pPr>
            <w:r>
              <w:rPr>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057A00C1" w14:textId="77777777" w:rsidR="009848CC" w:rsidRDefault="009848CC">
            <w:pPr>
              <w:rPr>
                <w:color w:val="000000"/>
              </w:rPr>
            </w:pPr>
            <w:r>
              <w:rPr>
                <w:color w:val="000000"/>
              </w:rPr>
              <w:t> </w:t>
            </w:r>
          </w:p>
        </w:tc>
        <w:tc>
          <w:tcPr>
            <w:tcW w:w="1120" w:type="dxa"/>
            <w:tcBorders>
              <w:top w:val="nil"/>
              <w:left w:val="nil"/>
              <w:bottom w:val="single" w:sz="8" w:space="0" w:color="auto"/>
              <w:right w:val="single" w:sz="8" w:space="0" w:color="auto"/>
            </w:tcBorders>
            <w:shd w:val="clear" w:color="auto" w:fill="auto"/>
            <w:noWrap/>
            <w:vAlign w:val="center"/>
            <w:hideMark/>
          </w:tcPr>
          <w:p w14:paraId="347B8FEE" w14:textId="77777777" w:rsidR="009848CC" w:rsidRDefault="009848CC">
            <w:pPr>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034D708F" w14:textId="77777777" w:rsidR="009848CC" w:rsidRDefault="009848CC">
            <w:pPr>
              <w:jc w:val="right"/>
              <w:rPr>
                <w:color w:val="000000"/>
              </w:rPr>
            </w:pPr>
            <w:r>
              <w:rPr>
                <w:color w:val="000000"/>
              </w:rPr>
              <w:t> </w:t>
            </w:r>
          </w:p>
        </w:tc>
      </w:tr>
      <w:tr w:rsidR="009848CC" w14:paraId="758BDF2F" w14:textId="77777777" w:rsidTr="009848CC">
        <w:trPr>
          <w:trHeight w:val="330"/>
        </w:trPr>
        <w:tc>
          <w:tcPr>
            <w:tcW w:w="4400" w:type="dxa"/>
            <w:tcBorders>
              <w:top w:val="nil"/>
              <w:left w:val="single" w:sz="8" w:space="0" w:color="auto"/>
              <w:bottom w:val="single" w:sz="8" w:space="0" w:color="auto"/>
              <w:right w:val="single" w:sz="8" w:space="0" w:color="auto"/>
            </w:tcBorders>
            <w:shd w:val="clear" w:color="000000" w:fill="D9D9D9"/>
            <w:noWrap/>
            <w:vAlign w:val="center"/>
            <w:hideMark/>
          </w:tcPr>
          <w:p w14:paraId="5D6CD72C" w14:textId="77777777" w:rsidR="009848CC" w:rsidRDefault="009848CC">
            <w:pPr>
              <w:rPr>
                <w:color w:val="000000"/>
              </w:rPr>
            </w:pPr>
            <w:r>
              <w:rPr>
                <w:color w:val="000000"/>
              </w:rPr>
              <w:t>For a total estimated annual burden:</w:t>
            </w:r>
          </w:p>
        </w:tc>
        <w:tc>
          <w:tcPr>
            <w:tcW w:w="1540" w:type="dxa"/>
            <w:tcBorders>
              <w:top w:val="nil"/>
              <w:left w:val="nil"/>
              <w:bottom w:val="single" w:sz="8" w:space="0" w:color="auto"/>
              <w:right w:val="single" w:sz="8" w:space="0" w:color="auto"/>
            </w:tcBorders>
            <w:shd w:val="clear" w:color="000000" w:fill="D9D9D9"/>
            <w:noWrap/>
            <w:vAlign w:val="center"/>
            <w:hideMark/>
          </w:tcPr>
          <w:p w14:paraId="33879CDC" w14:textId="77777777" w:rsidR="009848CC" w:rsidRDefault="009848CC">
            <w:pPr>
              <w:rPr>
                <w:color w:val="000000"/>
              </w:rPr>
            </w:pPr>
            <w:r>
              <w:rPr>
                <w:color w:val="000000"/>
              </w:rPr>
              <w:t> </w:t>
            </w:r>
          </w:p>
        </w:tc>
        <w:tc>
          <w:tcPr>
            <w:tcW w:w="1120" w:type="dxa"/>
            <w:tcBorders>
              <w:top w:val="nil"/>
              <w:left w:val="nil"/>
              <w:bottom w:val="single" w:sz="8" w:space="0" w:color="auto"/>
              <w:right w:val="single" w:sz="8" w:space="0" w:color="auto"/>
            </w:tcBorders>
            <w:shd w:val="clear" w:color="000000" w:fill="D9D9D9"/>
            <w:noWrap/>
            <w:vAlign w:val="center"/>
            <w:hideMark/>
          </w:tcPr>
          <w:p w14:paraId="749970A5" w14:textId="77777777" w:rsidR="009848CC" w:rsidRDefault="009848CC">
            <w:pPr>
              <w:rPr>
                <w:color w:val="000000"/>
              </w:rPr>
            </w:pPr>
            <w:r>
              <w:rPr>
                <w:color w:val="000000"/>
              </w:rPr>
              <w:t> </w:t>
            </w:r>
          </w:p>
        </w:tc>
        <w:tc>
          <w:tcPr>
            <w:tcW w:w="1140" w:type="dxa"/>
            <w:tcBorders>
              <w:top w:val="nil"/>
              <w:left w:val="nil"/>
              <w:bottom w:val="single" w:sz="8" w:space="0" w:color="auto"/>
              <w:right w:val="single" w:sz="8" w:space="0" w:color="auto"/>
            </w:tcBorders>
            <w:shd w:val="clear" w:color="000000" w:fill="D9D9D9"/>
            <w:noWrap/>
            <w:vAlign w:val="center"/>
            <w:hideMark/>
          </w:tcPr>
          <w:p w14:paraId="3D836A25" w14:textId="77777777" w:rsidR="009848CC" w:rsidRDefault="009848CC">
            <w:pPr>
              <w:jc w:val="right"/>
              <w:rPr>
                <w:color w:val="000000"/>
              </w:rPr>
            </w:pPr>
            <w:r>
              <w:rPr>
                <w:color w:val="000000"/>
              </w:rPr>
              <w:t>28</w:t>
            </w:r>
          </w:p>
        </w:tc>
      </w:tr>
      <w:tr w:rsidR="009848CC" w14:paraId="641E592B" w14:textId="77777777" w:rsidTr="009848CC">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1FE14CC" w14:textId="77777777" w:rsidR="009848CC" w:rsidRDefault="009848CC">
            <w:pPr>
              <w:rPr>
                <w:color w:val="000000"/>
              </w:rPr>
            </w:pPr>
            <w:r>
              <w:rPr>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5B70A05D" w14:textId="77777777" w:rsidR="009848CC" w:rsidRDefault="009848CC">
            <w:pPr>
              <w:rPr>
                <w:color w:val="000000"/>
              </w:rPr>
            </w:pPr>
            <w:r>
              <w:rPr>
                <w:color w:val="000000"/>
              </w:rPr>
              <w:t> </w:t>
            </w:r>
          </w:p>
        </w:tc>
        <w:tc>
          <w:tcPr>
            <w:tcW w:w="1120" w:type="dxa"/>
            <w:tcBorders>
              <w:top w:val="nil"/>
              <w:left w:val="nil"/>
              <w:bottom w:val="single" w:sz="8" w:space="0" w:color="auto"/>
              <w:right w:val="single" w:sz="8" w:space="0" w:color="auto"/>
            </w:tcBorders>
            <w:shd w:val="clear" w:color="auto" w:fill="auto"/>
            <w:noWrap/>
            <w:vAlign w:val="center"/>
            <w:hideMark/>
          </w:tcPr>
          <w:p w14:paraId="0AC4E9DA" w14:textId="77777777" w:rsidR="009848CC" w:rsidRDefault="009848CC">
            <w:pPr>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3F4C1069" w14:textId="77777777" w:rsidR="009848CC" w:rsidRDefault="009848CC">
            <w:pPr>
              <w:jc w:val="right"/>
              <w:rPr>
                <w:color w:val="000000"/>
              </w:rPr>
            </w:pPr>
            <w:r>
              <w:rPr>
                <w:color w:val="000000"/>
              </w:rPr>
              <w:t> </w:t>
            </w:r>
          </w:p>
        </w:tc>
      </w:tr>
      <w:tr w:rsidR="009848CC" w14:paraId="2DEB9215" w14:textId="77777777" w:rsidTr="009848CC">
        <w:trPr>
          <w:trHeight w:val="645"/>
        </w:trPr>
        <w:tc>
          <w:tcPr>
            <w:tcW w:w="4400" w:type="dxa"/>
            <w:tcBorders>
              <w:top w:val="nil"/>
              <w:left w:val="single" w:sz="8" w:space="0" w:color="auto"/>
              <w:bottom w:val="single" w:sz="8" w:space="0" w:color="auto"/>
              <w:right w:val="single" w:sz="8" w:space="0" w:color="auto"/>
            </w:tcBorders>
            <w:shd w:val="clear" w:color="000000" w:fill="D9D9D9"/>
            <w:noWrap/>
            <w:vAlign w:val="center"/>
            <w:hideMark/>
          </w:tcPr>
          <w:p w14:paraId="7B4FBC55" w14:textId="77777777" w:rsidR="009848CC" w:rsidRDefault="009848CC">
            <w:pPr>
              <w:rPr>
                <w:color w:val="000000"/>
              </w:rPr>
            </w:pPr>
            <w:r>
              <w:rPr>
                <w:color w:val="000000"/>
              </w:rPr>
              <w:t xml:space="preserve">Cost: </w:t>
            </w:r>
          </w:p>
        </w:tc>
        <w:tc>
          <w:tcPr>
            <w:tcW w:w="1540" w:type="dxa"/>
            <w:tcBorders>
              <w:top w:val="nil"/>
              <w:left w:val="nil"/>
              <w:bottom w:val="single" w:sz="8" w:space="0" w:color="auto"/>
              <w:right w:val="single" w:sz="8" w:space="0" w:color="auto"/>
            </w:tcBorders>
            <w:shd w:val="clear" w:color="000000" w:fill="D9D9D9"/>
            <w:vAlign w:val="center"/>
            <w:hideMark/>
          </w:tcPr>
          <w:p w14:paraId="3CF8F06E" w14:textId="77777777" w:rsidR="009848CC" w:rsidRDefault="009848CC">
            <w:pPr>
              <w:rPr>
                <w:color w:val="000000"/>
              </w:rPr>
            </w:pPr>
            <w:r>
              <w:rPr>
                <w:color w:val="000000"/>
              </w:rPr>
              <w:t>Hourly Rate (estimated)</w:t>
            </w:r>
          </w:p>
        </w:tc>
        <w:tc>
          <w:tcPr>
            <w:tcW w:w="1120" w:type="dxa"/>
            <w:tcBorders>
              <w:top w:val="nil"/>
              <w:left w:val="nil"/>
              <w:bottom w:val="single" w:sz="8" w:space="0" w:color="auto"/>
              <w:right w:val="single" w:sz="8" w:space="0" w:color="auto"/>
            </w:tcBorders>
            <w:shd w:val="clear" w:color="000000" w:fill="D9D9D9"/>
            <w:vAlign w:val="center"/>
            <w:hideMark/>
          </w:tcPr>
          <w:p w14:paraId="352C8700" w14:textId="77777777" w:rsidR="009848CC" w:rsidRDefault="009848CC">
            <w:pPr>
              <w:rPr>
                <w:color w:val="000000"/>
              </w:rPr>
            </w:pPr>
            <w:r>
              <w:rPr>
                <w:color w:val="000000"/>
              </w:rPr>
              <w:t>Annual Hours</w:t>
            </w:r>
          </w:p>
        </w:tc>
        <w:tc>
          <w:tcPr>
            <w:tcW w:w="1140" w:type="dxa"/>
            <w:tcBorders>
              <w:top w:val="nil"/>
              <w:left w:val="nil"/>
              <w:bottom w:val="single" w:sz="8" w:space="0" w:color="auto"/>
              <w:right w:val="single" w:sz="8" w:space="0" w:color="auto"/>
            </w:tcBorders>
            <w:shd w:val="clear" w:color="000000" w:fill="D9D9D9"/>
            <w:vAlign w:val="center"/>
            <w:hideMark/>
          </w:tcPr>
          <w:p w14:paraId="0843D914" w14:textId="77777777" w:rsidR="009848CC" w:rsidRDefault="009848CC">
            <w:pPr>
              <w:rPr>
                <w:color w:val="000000"/>
              </w:rPr>
            </w:pPr>
            <w:r>
              <w:rPr>
                <w:color w:val="000000"/>
              </w:rPr>
              <w:t>Total</w:t>
            </w:r>
          </w:p>
        </w:tc>
      </w:tr>
      <w:tr w:rsidR="009848CC" w14:paraId="605C38FE" w14:textId="77777777" w:rsidTr="009848CC">
        <w:trPr>
          <w:trHeight w:val="390"/>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415003D9" w14:textId="77777777" w:rsidR="009848CC" w:rsidRDefault="009848CC">
            <w:pPr>
              <w:rPr>
                <w:color w:val="000000"/>
              </w:rPr>
            </w:pPr>
            <w:r>
              <w:rPr>
                <w:color w:val="000000"/>
                <w:vertAlign w:val="superscript"/>
              </w:rPr>
              <w:t>1</w:t>
            </w:r>
            <w:r>
              <w:rPr>
                <w:color w:val="000000"/>
              </w:rPr>
              <w:t>Financial Manager Hourly Rate</w:t>
            </w:r>
          </w:p>
        </w:tc>
        <w:tc>
          <w:tcPr>
            <w:tcW w:w="1540" w:type="dxa"/>
            <w:tcBorders>
              <w:top w:val="nil"/>
              <w:left w:val="nil"/>
              <w:bottom w:val="single" w:sz="8" w:space="0" w:color="auto"/>
              <w:right w:val="single" w:sz="8" w:space="0" w:color="auto"/>
            </w:tcBorders>
            <w:shd w:val="clear" w:color="auto" w:fill="auto"/>
            <w:noWrap/>
            <w:vAlign w:val="center"/>
            <w:hideMark/>
          </w:tcPr>
          <w:p w14:paraId="35B07BF7" w14:textId="77777777" w:rsidR="009848CC" w:rsidRDefault="009848CC">
            <w:pPr>
              <w:jc w:val="right"/>
              <w:rPr>
                <w:color w:val="000000"/>
              </w:rPr>
            </w:pPr>
            <w:r>
              <w:rPr>
                <w:color w:val="000000"/>
              </w:rPr>
              <w:t xml:space="preserve">$60.14 </w:t>
            </w:r>
          </w:p>
        </w:tc>
        <w:tc>
          <w:tcPr>
            <w:tcW w:w="1120" w:type="dxa"/>
            <w:tcBorders>
              <w:top w:val="nil"/>
              <w:left w:val="nil"/>
              <w:bottom w:val="single" w:sz="8" w:space="0" w:color="auto"/>
              <w:right w:val="single" w:sz="8" w:space="0" w:color="auto"/>
            </w:tcBorders>
            <w:shd w:val="clear" w:color="auto" w:fill="auto"/>
            <w:noWrap/>
            <w:vAlign w:val="center"/>
            <w:hideMark/>
          </w:tcPr>
          <w:p w14:paraId="4E908E4B" w14:textId="77777777" w:rsidR="009848CC" w:rsidRDefault="009848CC">
            <w:pPr>
              <w:jc w:val="right"/>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1AAFABBD" w14:textId="77777777" w:rsidR="009848CC" w:rsidRDefault="009848CC">
            <w:pPr>
              <w:jc w:val="right"/>
              <w:rPr>
                <w:color w:val="000000"/>
              </w:rPr>
            </w:pPr>
            <w:r>
              <w:rPr>
                <w:color w:val="000000"/>
              </w:rPr>
              <w:t> </w:t>
            </w:r>
          </w:p>
        </w:tc>
      </w:tr>
      <w:tr w:rsidR="009848CC" w14:paraId="50954C9D" w14:textId="77777777" w:rsidTr="009848CC">
        <w:trPr>
          <w:trHeight w:val="390"/>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4D033F1D" w14:textId="77777777" w:rsidR="009848CC" w:rsidRDefault="009848CC">
            <w:pPr>
              <w:rPr>
                <w:color w:val="000000"/>
              </w:rPr>
            </w:pPr>
            <w:r>
              <w:rPr>
                <w:color w:val="000000"/>
              </w:rPr>
              <w:t xml:space="preserve"> </w:t>
            </w:r>
            <w:r>
              <w:rPr>
                <w:color w:val="000000"/>
                <w:vertAlign w:val="superscript"/>
              </w:rPr>
              <w:t>2</w:t>
            </w:r>
            <w:r>
              <w:rPr>
                <w:color w:val="000000"/>
              </w:rPr>
              <w:t>Fringe Benefits (30.3%)</w:t>
            </w:r>
          </w:p>
        </w:tc>
        <w:tc>
          <w:tcPr>
            <w:tcW w:w="1540" w:type="dxa"/>
            <w:tcBorders>
              <w:top w:val="nil"/>
              <w:left w:val="nil"/>
              <w:bottom w:val="single" w:sz="8" w:space="0" w:color="auto"/>
              <w:right w:val="single" w:sz="8" w:space="0" w:color="auto"/>
            </w:tcBorders>
            <w:shd w:val="clear" w:color="auto" w:fill="auto"/>
            <w:noWrap/>
            <w:vAlign w:val="center"/>
            <w:hideMark/>
          </w:tcPr>
          <w:p w14:paraId="10992962" w14:textId="4F792DD0" w:rsidR="009848CC" w:rsidRDefault="009848CC" w:rsidP="00964B20">
            <w:pPr>
              <w:jc w:val="right"/>
              <w:rPr>
                <w:color w:val="000000"/>
              </w:rPr>
            </w:pPr>
            <w:r>
              <w:rPr>
                <w:color w:val="000000"/>
              </w:rPr>
              <w:t>$</w:t>
            </w:r>
            <w:r w:rsidR="00964B20">
              <w:rPr>
                <w:color w:val="000000"/>
              </w:rPr>
              <w:t>18.22</w:t>
            </w:r>
            <w:r>
              <w:rPr>
                <w:color w:val="000000"/>
              </w:rPr>
              <w:t xml:space="preserve"> </w:t>
            </w:r>
          </w:p>
        </w:tc>
        <w:tc>
          <w:tcPr>
            <w:tcW w:w="1120" w:type="dxa"/>
            <w:tcBorders>
              <w:top w:val="nil"/>
              <w:left w:val="nil"/>
              <w:bottom w:val="single" w:sz="8" w:space="0" w:color="auto"/>
              <w:right w:val="single" w:sz="8" w:space="0" w:color="auto"/>
            </w:tcBorders>
            <w:shd w:val="clear" w:color="auto" w:fill="auto"/>
            <w:noWrap/>
            <w:vAlign w:val="center"/>
            <w:hideMark/>
          </w:tcPr>
          <w:p w14:paraId="5ED55304" w14:textId="77777777" w:rsidR="009848CC" w:rsidRDefault="009848CC">
            <w:pPr>
              <w:jc w:val="right"/>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38DEA60F" w14:textId="77777777" w:rsidR="009848CC" w:rsidRDefault="009848CC">
            <w:pPr>
              <w:jc w:val="right"/>
              <w:rPr>
                <w:color w:val="000000"/>
              </w:rPr>
            </w:pPr>
            <w:r>
              <w:rPr>
                <w:color w:val="000000"/>
              </w:rPr>
              <w:t> </w:t>
            </w:r>
          </w:p>
        </w:tc>
      </w:tr>
      <w:tr w:rsidR="009848CC" w14:paraId="7F9DE1D1" w14:textId="77777777" w:rsidTr="009848CC">
        <w:trPr>
          <w:trHeight w:val="705"/>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0AA90199" w14:textId="722427DD" w:rsidR="009848CC" w:rsidRDefault="009848CC">
            <w:pPr>
              <w:rPr>
                <w:color w:val="000000"/>
              </w:rPr>
            </w:pPr>
            <w:r>
              <w:rPr>
                <w:color w:val="000000"/>
              </w:rPr>
              <w:t xml:space="preserve"> </w:t>
            </w:r>
            <w:r>
              <w:rPr>
                <w:color w:val="000000"/>
                <w:vertAlign w:val="superscript"/>
              </w:rPr>
              <w:t>3</w:t>
            </w:r>
            <w:r w:rsidR="00964B20">
              <w:rPr>
                <w:color w:val="000000"/>
              </w:rPr>
              <w:t>Overhead</w:t>
            </w:r>
            <w:r>
              <w:rPr>
                <w:color w:val="000000"/>
              </w:rPr>
              <w:t xml:space="preserve"> (100% of </w:t>
            </w:r>
            <w:r w:rsidR="00964B20">
              <w:rPr>
                <w:color w:val="000000"/>
              </w:rPr>
              <w:t>Hourly</w:t>
            </w:r>
            <w:r>
              <w:rPr>
                <w:color w:val="000000"/>
              </w:rPr>
              <w:t xml:space="preserve"> Rate minus Benefits)</w:t>
            </w:r>
          </w:p>
        </w:tc>
        <w:tc>
          <w:tcPr>
            <w:tcW w:w="1540" w:type="dxa"/>
            <w:tcBorders>
              <w:top w:val="nil"/>
              <w:left w:val="nil"/>
              <w:bottom w:val="single" w:sz="8" w:space="0" w:color="auto"/>
              <w:right w:val="single" w:sz="8" w:space="0" w:color="auto"/>
            </w:tcBorders>
            <w:shd w:val="clear" w:color="auto" w:fill="auto"/>
            <w:noWrap/>
            <w:vAlign w:val="center"/>
            <w:hideMark/>
          </w:tcPr>
          <w:p w14:paraId="10AF06E7" w14:textId="34B72C15" w:rsidR="009848CC" w:rsidRDefault="00964B20">
            <w:pPr>
              <w:jc w:val="right"/>
              <w:rPr>
                <w:color w:val="000000"/>
              </w:rPr>
            </w:pPr>
            <w:r>
              <w:rPr>
                <w:color w:val="000000"/>
              </w:rPr>
              <w:t>$41.92</w:t>
            </w:r>
            <w:r w:rsidR="009848CC">
              <w:rPr>
                <w:color w:val="000000"/>
              </w:rPr>
              <w:t xml:space="preserve"> </w:t>
            </w:r>
          </w:p>
        </w:tc>
        <w:tc>
          <w:tcPr>
            <w:tcW w:w="1120" w:type="dxa"/>
            <w:tcBorders>
              <w:top w:val="nil"/>
              <w:left w:val="nil"/>
              <w:bottom w:val="single" w:sz="8" w:space="0" w:color="auto"/>
              <w:right w:val="single" w:sz="8" w:space="0" w:color="auto"/>
            </w:tcBorders>
            <w:shd w:val="clear" w:color="auto" w:fill="auto"/>
            <w:noWrap/>
            <w:vAlign w:val="center"/>
            <w:hideMark/>
          </w:tcPr>
          <w:p w14:paraId="25A887DD" w14:textId="77777777" w:rsidR="009848CC" w:rsidRDefault="009848CC">
            <w:pPr>
              <w:jc w:val="right"/>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4D70E8C0" w14:textId="77777777" w:rsidR="009848CC" w:rsidRDefault="009848CC">
            <w:pPr>
              <w:jc w:val="right"/>
              <w:rPr>
                <w:color w:val="000000"/>
              </w:rPr>
            </w:pPr>
            <w:r>
              <w:rPr>
                <w:color w:val="000000"/>
              </w:rPr>
              <w:t> </w:t>
            </w:r>
          </w:p>
        </w:tc>
      </w:tr>
      <w:tr w:rsidR="009848CC" w14:paraId="74CA7034" w14:textId="77777777" w:rsidTr="009848CC">
        <w:trPr>
          <w:trHeight w:val="330"/>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66ED077C" w14:textId="77777777" w:rsidR="009848CC" w:rsidRDefault="009848CC">
            <w:pPr>
              <w:rPr>
                <w:color w:val="000000"/>
              </w:rPr>
            </w:pPr>
            <w:r>
              <w:rPr>
                <w:color w:val="000000"/>
              </w:rPr>
              <w:t xml:space="preserve">Estimate of the burden </w:t>
            </w:r>
          </w:p>
        </w:tc>
        <w:tc>
          <w:tcPr>
            <w:tcW w:w="1540" w:type="dxa"/>
            <w:tcBorders>
              <w:top w:val="nil"/>
              <w:left w:val="nil"/>
              <w:bottom w:val="single" w:sz="8" w:space="0" w:color="auto"/>
              <w:right w:val="single" w:sz="8" w:space="0" w:color="auto"/>
            </w:tcBorders>
            <w:shd w:val="clear" w:color="auto" w:fill="auto"/>
            <w:noWrap/>
            <w:vAlign w:val="center"/>
            <w:hideMark/>
          </w:tcPr>
          <w:p w14:paraId="2E4503ED" w14:textId="77777777" w:rsidR="009848CC" w:rsidRDefault="009848CC">
            <w:pPr>
              <w:jc w:val="right"/>
              <w:rPr>
                <w:color w:val="000000"/>
              </w:rPr>
            </w:pPr>
            <w:r>
              <w:rPr>
                <w:color w:val="000000"/>
              </w:rPr>
              <w:t xml:space="preserve">$120.28 </w:t>
            </w:r>
          </w:p>
        </w:tc>
        <w:tc>
          <w:tcPr>
            <w:tcW w:w="1120" w:type="dxa"/>
            <w:tcBorders>
              <w:top w:val="nil"/>
              <w:left w:val="nil"/>
              <w:bottom w:val="single" w:sz="8" w:space="0" w:color="auto"/>
              <w:right w:val="single" w:sz="8" w:space="0" w:color="auto"/>
            </w:tcBorders>
            <w:shd w:val="clear" w:color="auto" w:fill="auto"/>
            <w:noWrap/>
            <w:vAlign w:val="center"/>
            <w:hideMark/>
          </w:tcPr>
          <w:p w14:paraId="28B479CF" w14:textId="77777777" w:rsidR="009848CC" w:rsidRDefault="009848CC">
            <w:pPr>
              <w:jc w:val="right"/>
              <w:rPr>
                <w:color w:val="000000"/>
              </w:rPr>
            </w:pPr>
            <w:r>
              <w:rPr>
                <w:color w:val="000000"/>
              </w:rPr>
              <w:t>28</w:t>
            </w:r>
          </w:p>
        </w:tc>
        <w:tc>
          <w:tcPr>
            <w:tcW w:w="1140" w:type="dxa"/>
            <w:tcBorders>
              <w:top w:val="nil"/>
              <w:left w:val="nil"/>
              <w:bottom w:val="single" w:sz="8" w:space="0" w:color="auto"/>
              <w:right w:val="single" w:sz="8" w:space="0" w:color="auto"/>
            </w:tcBorders>
            <w:shd w:val="clear" w:color="auto" w:fill="auto"/>
            <w:noWrap/>
            <w:vAlign w:val="center"/>
            <w:hideMark/>
          </w:tcPr>
          <w:p w14:paraId="2EB1C474" w14:textId="77777777" w:rsidR="009848CC" w:rsidRDefault="009848CC">
            <w:pPr>
              <w:jc w:val="right"/>
              <w:rPr>
                <w:color w:val="000000"/>
              </w:rPr>
            </w:pPr>
            <w:r>
              <w:rPr>
                <w:color w:val="000000"/>
              </w:rPr>
              <w:t xml:space="preserve">$3,367.84 </w:t>
            </w:r>
          </w:p>
        </w:tc>
      </w:tr>
    </w:tbl>
    <w:p w14:paraId="3F41F9E3" w14:textId="1F98C996" w:rsidR="009A44EA" w:rsidRPr="00E91D14" w:rsidRDefault="00F430CE" w:rsidP="009A44EA">
      <w:pPr>
        <w:rPr>
          <w:b/>
          <w:bCs/>
          <w:sz w:val="20"/>
          <w:szCs w:val="20"/>
        </w:rPr>
      </w:pPr>
      <w:r w:rsidRPr="00E91D14">
        <w:rPr>
          <w:sz w:val="20"/>
          <w:szCs w:val="20"/>
          <w:vertAlign w:val="superscript"/>
        </w:rPr>
        <w:t xml:space="preserve">1 </w:t>
      </w:r>
      <w:r w:rsidRPr="00E91D14">
        <w:rPr>
          <w:sz w:val="20"/>
          <w:szCs w:val="20"/>
        </w:rPr>
        <w:t xml:space="preserve">Source Bureau of Labor Statistics, </w:t>
      </w:r>
      <w:r w:rsidR="009A44EA" w:rsidRPr="00E91D14">
        <w:rPr>
          <w:sz w:val="20"/>
          <w:szCs w:val="20"/>
        </w:rPr>
        <w:t xml:space="preserve">“Occupational Outlook Handbook Financial Manager”, </w:t>
      </w:r>
      <w:hyperlink r:id="rId8" w:history="1">
        <w:r w:rsidR="009A44EA" w:rsidRPr="00E91D14">
          <w:rPr>
            <w:rStyle w:val="Hyperlink"/>
            <w:rFonts w:ascii="Times New Roman" w:hAnsi="Times New Roman"/>
            <w:sz w:val="20"/>
            <w:szCs w:val="20"/>
          </w:rPr>
          <w:t>https://www.bls.gov/ooh/management/financial-managers.htm</w:t>
        </w:r>
      </w:hyperlink>
      <w:r w:rsidR="009A44EA" w:rsidRPr="00E91D14">
        <w:rPr>
          <w:b/>
          <w:bCs/>
          <w:sz w:val="20"/>
          <w:szCs w:val="20"/>
        </w:rPr>
        <w:t xml:space="preserve"> </w:t>
      </w:r>
    </w:p>
    <w:p w14:paraId="6DD08496" w14:textId="29419E12" w:rsidR="009A44EA" w:rsidRPr="00E91D14" w:rsidRDefault="009A44EA" w:rsidP="009A44EA">
      <w:pPr>
        <w:rPr>
          <w:color w:val="000000"/>
          <w:sz w:val="20"/>
          <w:szCs w:val="20"/>
        </w:rPr>
      </w:pPr>
      <w:r w:rsidRPr="00E91D14">
        <w:rPr>
          <w:sz w:val="20"/>
          <w:szCs w:val="20"/>
          <w:vertAlign w:val="superscript"/>
        </w:rPr>
        <w:t>2</w:t>
      </w:r>
      <w:r w:rsidRPr="00E91D14">
        <w:rPr>
          <w:sz w:val="20"/>
          <w:szCs w:val="20"/>
        </w:rPr>
        <w:t xml:space="preserve"> Source Bureau of Labor Statistics, “Employer Cost for Employee Compensation", published</w:t>
      </w:r>
      <w:r w:rsidRPr="00E91D14">
        <w:rPr>
          <w:color w:val="000000"/>
          <w:sz w:val="20"/>
          <w:szCs w:val="20"/>
        </w:rPr>
        <w:t xml:space="preserve"> December 14, 2018, Page 2; </w:t>
      </w:r>
      <w:hyperlink r:id="rId9" w:history="1">
        <w:r w:rsidRPr="00E91D14">
          <w:rPr>
            <w:rStyle w:val="Hyperlink"/>
            <w:rFonts w:ascii="Times New Roman" w:hAnsi="Times New Roman"/>
            <w:sz w:val="20"/>
            <w:szCs w:val="20"/>
          </w:rPr>
          <w:t>https://www.bls.gov/schedule/2019/04_sched.htm</w:t>
        </w:r>
      </w:hyperlink>
      <w:r w:rsidRPr="00E91D14">
        <w:rPr>
          <w:color w:val="000000"/>
          <w:sz w:val="20"/>
          <w:szCs w:val="20"/>
        </w:rPr>
        <w:t xml:space="preserve">  </w:t>
      </w:r>
    </w:p>
    <w:p w14:paraId="5559E5B7" w14:textId="6BB6751E" w:rsidR="009A44EA" w:rsidRPr="00E91D14" w:rsidRDefault="009A44EA" w:rsidP="009A44EA">
      <w:pPr>
        <w:rPr>
          <w:color w:val="000000"/>
          <w:sz w:val="20"/>
          <w:szCs w:val="20"/>
        </w:rPr>
      </w:pPr>
      <w:r w:rsidRPr="00E91D14">
        <w:rPr>
          <w:color w:val="000000"/>
          <w:sz w:val="20"/>
          <w:szCs w:val="20"/>
          <w:vertAlign w:val="superscript"/>
        </w:rPr>
        <w:t>3</w:t>
      </w:r>
      <w:r w:rsidR="00E91D14" w:rsidRPr="00E91D14">
        <w:rPr>
          <w:color w:val="000000"/>
          <w:sz w:val="20"/>
          <w:szCs w:val="20"/>
          <w:vertAlign w:val="superscript"/>
        </w:rPr>
        <w:t xml:space="preserve"> </w:t>
      </w:r>
      <w:r w:rsidRPr="00E91D14">
        <w:rPr>
          <w:sz w:val="20"/>
          <w:szCs w:val="20"/>
        </w:rPr>
        <w:t xml:space="preserve">Source: U.S. Department of Health and Human Services, “Guidelines for Regulatory Impact Analysis” (2016), </w:t>
      </w:r>
      <w:hyperlink r:id="rId10" w:history="1">
        <w:r w:rsidRPr="00E91D14">
          <w:rPr>
            <w:rStyle w:val="Hyperlink"/>
            <w:rFonts w:ascii="Times New Roman" w:hAnsi="Times New Roman"/>
            <w:sz w:val="20"/>
            <w:szCs w:val="20"/>
          </w:rPr>
          <w:t>https://aspe.hhs.gov/system/files/pdf/242926/HHS_RIAGuidance.pdf</w:t>
        </w:r>
      </w:hyperlink>
      <w:r w:rsidRPr="00E91D14">
        <w:rPr>
          <w:sz w:val="20"/>
          <w:szCs w:val="20"/>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p w14:paraId="28B4DD18" w14:textId="7222E416" w:rsidR="00964B20" w:rsidRDefault="00964B20">
      <w:pPr>
        <w:rPr>
          <w:b/>
          <w:bCs/>
          <w:sz w:val="16"/>
          <w:szCs w:val="16"/>
        </w:rPr>
      </w:pPr>
      <w:r>
        <w:rPr>
          <w:b/>
          <w:bCs/>
          <w:sz w:val="16"/>
          <w:szCs w:val="16"/>
        </w:rPr>
        <w:br w:type="page"/>
      </w:r>
    </w:p>
    <w:p w14:paraId="0FFAEF43" w14:textId="57AA885B" w:rsidR="00AC2E0B" w:rsidRPr="004A09DF" w:rsidRDefault="008379BC">
      <w:pPr>
        <w:spacing w:after="216"/>
        <w:rPr>
          <w:b/>
          <w:bCs/>
        </w:rPr>
      </w:pPr>
      <w:r w:rsidRPr="004A09DF">
        <w:rPr>
          <w:b/>
          <w:bCs/>
        </w:rPr>
        <w:t xml:space="preserve">13. </w:t>
      </w:r>
      <w:r w:rsidR="00AC2E0B" w:rsidRPr="004A09DF">
        <w:rPr>
          <w:b/>
          <w:bCs/>
        </w:rPr>
        <w:t>Provide an estimate of the total annual cost to respondents or recordkeepers resulting from the collection of information.</w:t>
      </w:r>
    </w:p>
    <w:p w14:paraId="3ECA99A2" w14:textId="2048BA45" w:rsidR="009A44EA" w:rsidRDefault="00AC2E0B" w:rsidP="009A44EA">
      <w:pPr>
        <w:spacing w:after="144"/>
        <w:rPr>
          <w:b/>
          <w:bCs/>
        </w:rPr>
      </w:pPr>
      <w:r w:rsidRPr="004A09DF">
        <w:t>There are no additional costs not already included in question twelve.</w:t>
      </w:r>
    </w:p>
    <w:p w14:paraId="150ED3AF" w14:textId="7CAE14FD" w:rsidR="00AC2E0B" w:rsidRDefault="008379BC" w:rsidP="00F430CE">
      <w:pPr>
        <w:pStyle w:val="BodyText2"/>
        <w:spacing w:after="216"/>
      </w:pPr>
      <w:r w:rsidRPr="004A09DF">
        <w:t xml:space="preserve">14. </w:t>
      </w:r>
      <w:r w:rsidR="00AC2E0B" w:rsidRPr="004A09DF">
        <w:t>Provide estimates of the annualized cost to the Federal Government.  Also, provide a description of the method used to estimate cost.</w:t>
      </w:r>
    </w:p>
    <w:tbl>
      <w:tblPr>
        <w:tblW w:w="8200" w:type="dxa"/>
        <w:tblInd w:w="-10" w:type="dxa"/>
        <w:tblLook w:val="04A0" w:firstRow="1" w:lastRow="0" w:firstColumn="1" w:lastColumn="0" w:noHBand="0" w:noVBand="1"/>
      </w:tblPr>
      <w:tblGrid>
        <w:gridCol w:w="4400"/>
        <w:gridCol w:w="1540"/>
        <w:gridCol w:w="1230"/>
        <w:gridCol w:w="1140"/>
      </w:tblGrid>
      <w:tr w:rsidR="002E2F91" w14:paraId="5E3D3EF2" w14:textId="77777777" w:rsidTr="002E2F91">
        <w:trPr>
          <w:trHeight w:val="960"/>
        </w:trPr>
        <w:tc>
          <w:tcPr>
            <w:tcW w:w="44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C578FA4" w14:textId="77777777" w:rsidR="002E2F91" w:rsidRDefault="002E2F91">
            <w:pPr>
              <w:rPr>
                <w:b/>
                <w:bCs/>
                <w:color w:val="000000"/>
              </w:rPr>
            </w:pPr>
            <w:r>
              <w:rPr>
                <w:b/>
                <w:bCs/>
                <w:color w:val="000000"/>
              </w:rPr>
              <w:t>Hours Data Collection</w:t>
            </w:r>
          </w:p>
        </w:tc>
        <w:tc>
          <w:tcPr>
            <w:tcW w:w="1540" w:type="dxa"/>
            <w:tcBorders>
              <w:top w:val="single" w:sz="8" w:space="0" w:color="auto"/>
              <w:left w:val="nil"/>
              <w:bottom w:val="single" w:sz="8" w:space="0" w:color="auto"/>
              <w:right w:val="single" w:sz="8" w:space="0" w:color="auto"/>
            </w:tcBorders>
            <w:shd w:val="clear" w:color="000000" w:fill="D9D9D9"/>
            <w:noWrap/>
            <w:vAlign w:val="center"/>
            <w:hideMark/>
          </w:tcPr>
          <w:p w14:paraId="462E7F11" w14:textId="77777777" w:rsidR="002E2F91" w:rsidRDefault="002E2F91">
            <w:pPr>
              <w:rPr>
                <w:color w:val="000000"/>
              </w:rPr>
            </w:pPr>
            <w:r>
              <w:rPr>
                <w:color w:val="000000"/>
              </w:rPr>
              <w:t>Hours per Task</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0CD7CBB" w14:textId="77777777" w:rsidR="002E2F91" w:rsidRDefault="002E2F91">
            <w:pPr>
              <w:rPr>
                <w:color w:val="000000"/>
              </w:rPr>
            </w:pPr>
            <w:r>
              <w:rPr>
                <w:color w:val="000000"/>
              </w:rPr>
              <w:t>Number of Responses</w:t>
            </w:r>
          </w:p>
        </w:tc>
        <w:tc>
          <w:tcPr>
            <w:tcW w:w="1140" w:type="dxa"/>
            <w:tcBorders>
              <w:top w:val="single" w:sz="8" w:space="0" w:color="auto"/>
              <w:left w:val="nil"/>
              <w:bottom w:val="single" w:sz="8" w:space="0" w:color="auto"/>
              <w:right w:val="single" w:sz="8" w:space="0" w:color="auto"/>
            </w:tcBorders>
            <w:shd w:val="clear" w:color="000000" w:fill="D9D9D9"/>
            <w:vAlign w:val="center"/>
            <w:hideMark/>
          </w:tcPr>
          <w:p w14:paraId="6636C555" w14:textId="77777777" w:rsidR="002E2F91" w:rsidRDefault="002E2F91">
            <w:pPr>
              <w:rPr>
                <w:color w:val="000000"/>
              </w:rPr>
            </w:pPr>
            <w:r>
              <w:rPr>
                <w:color w:val="000000"/>
              </w:rPr>
              <w:t>Annual  Hours per Task</w:t>
            </w:r>
          </w:p>
        </w:tc>
      </w:tr>
      <w:tr w:rsidR="002E2F91" w14:paraId="5E2A96CD" w14:textId="77777777" w:rsidTr="002E2F91">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EA4B2E3" w14:textId="77777777" w:rsidR="002E2F91" w:rsidRDefault="002E2F91">
            <w:pPr>
              <w:rPr>
                <w:color w:val="000000"/>
              </w:rPr>
            </w:pPr>
            <w:r>
              <w:rPr>
                <w:color w:val="000000"/>
              </w:rPr>
              <w:t xml:space="preserve">Non-premium Program @ </w:t>
            </w:r>
            <w:r>
              <w:rPr>
                <w:b/>
                <w:bCs/>
                <w:color w:val="000000"/>
              </w:rPr>
              <w:t>30</w:t>
            </w:r>
            <w:r>
              <w:rPr>
                <w:color w:val="000000"/>
              </w:rPr>
              <w:t xml:space="preserve"> minutes per policy;</w:t>
            </w:r>
          </w:p>
        </w:tc>
        <w:tc>
          <w:tcPr>
            <w:tcW w:w="1540" w:type="dxa"/>
            <w:tcBorders>
              <w:top w:val="nil"/>
              <w:left w:val="nil"/>
              <w:bottom w:val="single" w:sz="8" w:space="0" w:color="auto"/>
              <w:right w:val="single" w:sz="8" w:space="0" w:color="auto"/>
            </w:tcBorders>
            <w:shd w:val="clear" w:color="auto" w:fill="auto"/>
            <w:noWrap/>
            <w:vAlign w:val="center"/>
            <w:hideMark/>
          </w:tcPr>
          <w:p w14:paraId="3F6F9AA9" w14:textId="77777777" w:rsidR="002E2F91" w:rsidRDefault="002E2F91">
            <w:pPr>
              <w:jc w:val="right"/>
              <w:rPr>
                <w:color w:val="000000"/>
              </w:rPr>
            </w:pPr>
            <w:r>
              <w:rPr>
                <w:color w:val="000000"/>
              </w:rPr>
              <w:t>0.5</w:t>
            </w:r>
          </w:p>
        </w:tc>
        <w:tc>
          <w:tcPr>
            <w:tcW w:w="1120" w:type="dxa"/>
            <w:tcBorders>
              <w:top w:val="nil"/>
              <w:left w:val="nil"/>
              <w:bottom w:val="single" w:sz="8" w:space="0" w:color="auto"/>
              <w:right w:val="single" w:sz="8" w:space="0" w:color="auto"/>
            </w:tcBorders>
            <w:shd w:val="clear" w:color="auto" w:fill="auto"/>
            <w:noWrap/>
            <w:vAlign w:val="center"/>
            <w:hideMark/>
          </w:tcPr>
          <w:p w14:paraId="378D2A53" w14:textId="77777777" w:rsidR="002E2F91" w:rsidRDefault="002E2F91">
            <w:pPr>
              <w:jc w:val="right"/>
              <w:rPr>
                <w:color w:val="000000"/>
              </w:rPr>
            </w:pPr>
            <w:r>
              <w:rPr>
                <w:color w:val="000000"/>
              </w:rPr>
              <w:t>4</w:t>
            </w:r>
          </w:p>
        </w:tc>
        <w:tc>
          <w:tcPr>
            <w:tcW w:w="1140" w:type="dxa"/>
            <w:tcBorders>
              <w:top w:val="nil"/>
              <w:left w:val="nil"/>
              <w:bottom w:val="single" w:sz="8" w:space="0" w:color="auto"/>
              <w:right w:val="single" w:sz="8" w:space="0" w:color="auto"/>
            </w:tcBorders>
            <w:shd w:val="clear" w:color="auto" w:fill="auto"/>
            <w:noWrap/>
            <w:vAlign w:val="center"/>
            <w:hideMark/>
          </w:tcPr>
          <w:p w14:paraId="3D9D7F54" w14:textId="77777777" w:rsidR="002E2F91" w:rsidRDefault="002E2F91">
            <w:pPr>
              <w:jc w:val="right"/>
              <w:rPr>
                <w:color w:val="000000"/>
              </w:rPr>
            </w:pPr>
            <w:r>
              <w:rPr>
                <w:color w:val="000000"/>
              </w:rPr>
              <w:t>2</w:t>
            </w:r>
          </w:p>
        </w:tc>
      </w:tr>
      <w:tr w:rsidR="002E2F91" w14:paraId="143739F3" w14:textId="77777777" w:rsidTr="002E2F91">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2E815C9" w14:textId="77777777" w:rsidR="002E2F91" w:rsidRDefault="002E2F91">
            <w:pPr>
              <w:rPr>
                <w:b/>
                <w:bCs/>
                <w:color w:val="000000"/>
              </w:rPr>
            </w:pPr>
            <w:r>
              <w:rPr>
                <w:b/>
                <w:bCs/>
                <w:color w:val="000000"/>
              </w:rPr>
              <w:t>15</w:t>
            </w:r>
            <w:r>
              <w:rPr>
                <w:color w:val="000000"/>
              </w:rPr>
              <w:t xml:space="preserve"> minutes per Commercial policy submission;  </w:t>
            </w:r>
          </w:p>
        </w:tc>
        <w:tc>
          <w:tcPr>
            <w:tcW w:w="1540" w:type="dxa"/>
            <w:tcBorders>
              <w:top w:val="nil"/>
              <w:left w:val="nil"/>
              <w:bottom w:val="single" w:sz="8" w:space="0" w:color="auto"/>
              <w:right w:val="single" w:sz="8" w:space="0" w:color="auto"/>
            </w:tcBorders>
            <w:shd w:val="clear" w:color="auto" w:fill="auto"/>
            <w:noWrap/>
            <w:vAlign w:val="center"/>
            <w:hideMark/>
          </w:tcPr>
          <w:p w14:paraId="3C98754B" w14:textId="77777777" w:rsidR="002E2F91" w:rsidRDefault="002E2F91">
            <w:pPr>
              <w:jc w:val="right"/>
              <w:rPr>
                <w:color w:val="000000"/>
              </w:rPr>
            </w:pPr>
            <w:r>
              <w:rPr>
                <w:color w:val="000000"/>
              </w:rPr>
              <w:t>0.08</w:t>
            </w:r>
          </w:p>
        </w:tc>
        <w:tc>
          <w:tcPr>
            <w:tcW w:w="1120" w:type="dxa"/>
            <w:tcBorders>
              <w:top w:val="nil"/>
              <w:left w:val="nil"/>
              <w:bottom w:val="single" w:sz="8" w:space="0" w:color="auto"/>
              <w:right w:val="single" w:sz="8" w:space="0" w:color="auto"/>
            </w:tcBorders>
            <w:shd w:val="clear" w:color="auto" w:fill="auto"/>
            <w:noWrap/>
            <w:vAlign w:val="center"/>
            <w:hideMark/>
          </w:tcPr>
          <w:p w14:paraId="3FD89DB4" w14:textId="77777777" w:rsidR="002E2F91" w:rsidRDefault="002E2F91">
            <w:pPr>
              <w:jc w:val="right"/>
              <w:rPr>
                <w:color w:val="000000"/>
              </w:rPr>
            </w:pPr>
            <w:r>
              <w:rPr>
                <w:color w:val="000000"/>
              </w:rPr>
              <w:t>50</w:t>
            </w:r>
          </w:p>
        </w:tc>
        <w:tc>
          <w:tcPr>
            <w:tcW w:w="1140" w:type="dxa"/>
            <w:tcBorders>
              <w:top w:val="nil"/>
              <w:left w:val="nil"/>
              <w:bottom w:val="single" w:sz="8" w:space="0" w:color="auto"/>
              <w:right w:val="single" w:sz="8" w:space="0" w:color="auto"/>
            </w:tcBorders>
            <w:shd w:val="clear" w:color="auto" w:fill="auto"/>
            <w:noWrap/>
            <w:vAlign w:val="center"/>
            <w:hideMark/>
          </w:tcPr>
          <w:p w14:paraId="7426EBF6" w14:textId="77777777" w:rsidR="002E2F91" w:rsidRDefault="002E2F91">
            <w:pPr>
              <w:jc w:val="right"/>
              <w:rPr>
                <w:color w:val="000000"/>
              </w:rPr>
            </w:pPr>
            <w:r>
              <w:rPr>
                <w:color w:val="000000"/>
              </w:rPr>
              <w:t>4</w:t>
            </w:r>
          </w:p>
        </w:tc>
      </w:tr>
      <w:tr w:rsidR="002E2F91" w14:paraId="7C3DFA50" w14:textId="77777777" w:rsidTr="002E2F91">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5B6E33D" w14:textId="77777777" w:rsidR="002E2F91" w:rsidRDefault="002E2F91">
            <w:pPr>
              <w:rPr>
                <w:b/>
                <w:bCs/>
                <w:color w:val="000000"/>
              </w:rPr>
            </w:pPr>
            <w:r>
              <w:rPr>
                <w:b/>
                <w:bCs/>
                <w:color w:val="000000"/>
              </w:rPr>
              <w:t xml:space="preserve">2 </w:t>
            </w:r>
            <w:r>
              <w:rPr>
                <w:color w:val="000000"/>
              </w:rPr>
              <w:t>minutes per Business information update;</w:t>
            </w:r>
          </w:p>
        </w:tc>
        <w:tc>
          <w:tcPr>
            <w:tcW w:w="1540" w:type="dxa"/>
            <w:tcBorders>
              <w:top w:val="nil"/>
              <w:left w:val="nil"/>
              <w:bottom w:val="single" w:sz="8" w:space="0" w:color="auto"/>
              <w:right w:val="single" w:sz="8" w:space="0" w:color="auto"/>
            </w:tcBorders>
            <w:shd w:val="clear" w:color="auto" w:fill="auto"/>
            <w:noWrap/>
            <w:vAlign w:val="center"/>
            <w:hideMark/>
          </w:tcPr>
          <w:p w14:paraId="74386B55" w14:textId="77777777" w:rsidR="002E2F91" w:rsidRDefault="002E2F91">
            <w:pPr>
              <w:jc w:val="right"/>
              <w:rPr>
                <w:color w:val="000000"/>
              </w:rPr>
            </w:pPr>
            <w:r>
              <w:rPr>
                <w:color w:val="000000"/>
              </w:rPr>
              <w:t>0.03</w:t>
            </w:r>
          </w:p>
        </w:tc>
        <w:tc>
          <w:tcPr>
            <w:tcW w:w="1120" w:type="dxa"/>
            <w:tcBorders>
              <w:top w:val="nil"/>
              <w:left w:val="nil"/>
              <w:bottom w:val="single" w:sz="8" w:space="0" w:color="auto"/>
              <w:right w:val="single" w:sz="8" w:space="0" w:color="auto"/>
            </w:tcBorders>
            <w:shd w:val="clear" w:color="auto" w:fill="auto"/>
            <w:noWrap/>
            <w:vAlign w:val="center"/>
            <w:hideMark/>
          </w:tcPr>
          <w:p w14:paraId="337A835B" w14:textId="77777777" w:rsidR="002E2F91" w:rsidRDefault="002E2F91">
            <w:pPr>
              <w:jc w:val="right"/>
              <w:rPr>
                <w:color w:val="000000"/>
              </w:rPr>
            </w:pPr>
            <w:r>
              <w:rPr>
                <w:color w:val="000000"/>
              </w:rPr>
              <w:t>30</w:t>
            </w:r>
          </w:p>
        </w:tc>
        <w:tc>
          <w:tcPr>
            <w:tcW w:w="1140" w:type="dxa"/>
            <w:tcBorders>
              <w:top w:val="nil"/>
              <w:left w:val="nil"/>
              <w:bottom w:val="single" w:sz="8" w:space="0" w:color="auto"/>
              <w:right w:val="single" w:sz="8" w:space="0" w:color="auto"/>
            </w:tcBorders>
            <w:shd w:val="clear" w:color="auto" w:fill="auto"/>
            <w:noWrap/>
            <w:vAlign w:val="center"/>
            <w:hideMark/>
          </w:tcPr>
          <w:p w14:paraId="7E0E0E0D" w14:textId="77777777" w:rsidR="002E2F91" w:rsidRDefault="002E2F91">
            <w:pPr>
              <w:jc w:val="right"/>
              <w:rPr>
                <w:color w:val="000000"/>
              </w:rPr>
            </w:pPr>
            <w:r>
              <w:rPr>
                <w:color w:val="000000"/>
              </w:rPr>
              <w:t>1</w:t>
            </w:r>
          </w:p>
        </w:tc>
      </w:tr>
      <w:tr w:rsidR="002E2F91" w14:paraId="7B1EE79F" w14:textId="77777777" w:rsidTr="002E2F91">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0B8B6FC" w14:textId="77777777" w:rsidR="002E2F91" w:rsidRDefault="002E2F91">
            <w:pPr>
              <w:rPr>
                <w:b/>
                <w:bCs/>
                <w:color w:val="000000"/>
              </w:rPr>
            </w:pPr>
            <w:r>
              <w:rPr>
                <w:b/>
                <w:bCs/>
                <w:color w:val="000000"/>
              </w:rPr>
              <w:t>2</w:t>
            </w:r>
            <w:r>
              <w:rPr>
                <w:color w:val="000000"/>
              </w:rPr>
              <w:t xml:space="preserve"> minutes per aircraft schedule update;</w:t>
            </w:r>
          </w:p>
        </w:tc>
        <w:tc>
          <w:tcPr>
            <w:tcW w:w="1540" w:type="dxa"/>
            <w:tcBorders>
              <w:top w:val="nil"/>
              <w:left w:val="nil"/>
              <w:bottom w:val="single" w:sz="8" w:space="0" w:color="auto"/>
              <w:right w:val="single" w:sz="8" w:space="0" w:color="auto"/>
            </w:tcBorders>
            <w:shd w:val="clear" w:color="auto" w:fill="auto"/>
            <w:noWrap/>
            <w:vAlign w:val="center"/>
            <w:hideMark/>
          </w:tcPr>
          <w:p w14:paraId="7950DF59" w14:textId="77777777" w:rsidR="002E2F91" w:rsidRDefault="002E2F91">
            <w:pPr>
              <w:jc w:val="right"/>
              <w:rPr>
                <w:color w:val="000000"/>
              </w:rPr>
            </w:pPr>
            <w:r>
              <w:rPr>
                <w:color w:val="000000"/>
              </w:rPr>
              <w:t>0.03</w:t>
            </w:r>
          </w:p>
        </w:tc>
        <w:tc>
          <w:tcPr>
            <w:tcW w:w="1120" w:type="dxa"/>
            <w:tcBorders>
              <w:top w:val="nil"/>
              <w:left w:val="nil"/>
              <w:bottom w:val="single" w:sz="8" w:space="0" w:color="auto"/>
              <w:right w:val="single" w:sz="8" w:space="0" w:color="auto"/>
            </w:tcBorders>
            <w:shd w:val="clear" w:color="auto" w:fill="auto"/>
            <w:noWrap/>
            <w:vAlign w:val="center"/>
            <w:hideMark/>
          </w:tcPr>
          <w:p w14:paraId="2E9558A3" w14:textId="77777777" w:rsidR="002E2F91" w:rsidRDefault="002E2F91">
            <w:pPr>
              <w:jc w:val="right"/>
              <w:rPr>
                <w:color w:val="000000"/>
              </w:rPr>
            </w:pPr>
            <w:r>
              <w:rPr>
                <w:color w:val="000000"/>
              </w:rPr>
              <w:t>30</w:t>
            </w:r>
          </w:p>
        </w:tc>
        <w:tc>
          <w:tcPr>
            <w:tcW w:w="1140" w:type="dxa"/>
            <w:tcBorders>
              <w:top w:val="nil"/>
              <w:left w:val="nil"/>
              <w:bottom w:val="single" w:sz="8" w:space="0" w:color="auto"/>
              <w:right w:val="single" w:sz="8" w:space="0" w:color="auto"/>
            </w:tcBorders>
            <w:shd w:val="clear" w:color="auto" w:fill="auto"/>
            <w:noWrap/>
            <w:vAlign w:val="center"/>
            <w:hideMark/>
          </w:tcPr>
          <w:p w14:paraId="32763012" w14:textId="77777777" w:rsidR="002E2F91" w:rsidRDefault="002E2F91">
            <w:pPr>
              <w:jc w:val="right"/>
              <w:rPr>
                <w:color w:val="000000"/>
              </w:rPr>
            </w:pPr>
            <w:r>
              <w:rPr>
                <w:color w:val="000000"/>
              </w:rPr>
              <w:t>1</w:t>
            </w:r>
          </w:p>
        </w:tc>
      </w:tr>
      <w:tr w:rsidR="002E2F91" w14:paraId="603D2BD0" w14:textId="77777777" w:rsidTr="002E2F91">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BA8AABB" w14:textId="77777777" w:rsidR="002E2F91" w:rsidRDefault="002E2F91">
            <w:pPr>
              <w:rPr>
                <w:color w:val="000000"/>
              </w:rPr>
            </w:pPr>
            <w:r>
              <w:rPr>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40AABE65" w14:textId="77777777" w:rsidR="002E2F91" w:rsidRDefault="002E2F91">
            <w:pPr>
              <w:rPr>
                <w:color w:val="000000"/>
              </w:rPr>
            </w:pPr>
            <w:r>
              <w:rPr>
                <w:color w:val="000000"/>
              </w:rPr>
              <w:t> </w:t>
            </w:r>
          </w:p>
        </w:tc>
        <w:tc>
          <w:tcPr>
            <w:tcW w:w="1120" w:type="dxa"/>
            <w:tcBorders>
              <w:top w:val="nil"/>
              <w:left w:val="nil"/>
              <w:bottom w:val="single" w:sz="8" w:space="0" w:color="auto"/>
              <w:right w:val="single" w:sz="8" w:space="0" w:color="auto"/>
            </w:tcBorders>
            <w:shd w:val="clear" w:color="auto" w:fill="auto"/>
            <w:noWrap/>
            <w:vAlign w:val="center"/>
            <w:hideMark/>
          </w:tcPr>
          <w:p w14:paraId="71570945" w14:textId="77777777" w:rsidR="002E2F91" w:rsidRDefault="002E2F91">
            <w:pPr>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330BA171" w14:textId="77777777" w:rsidR="002E2F91" w:rsidRDefault="002E2F91">
            <w:pPr>
              <w:jc w:val="right"/>
              <w:rPr>
                <w:color w:val="000000"/>
              </w:rPr>
            </w:pPr>
            <w:r>
              <w:rPr>
                <w:color w:val="000000"/>
              </w:rPr>
              <w:t> </w:t>
            </w:r>
          </w:p>
        </w:tc>
      </w:tr>
      <w:tr w:rsidR="002E2F91" w14:paraId="6F5E25A4" w14:textId="77777777" w:rsidTr="002E2F91">
        <w:trPr>
          <w:trHeight w:val="330"/>
        </w:trPr>
        <w:tc>
          <w:tcPr>
            <w:tcW w:w="4400" w:type="dxa"/>
            <w:tcBorders>
              <w:top w:val="nil"/>
              <w:left w:val="single" w:sz="8" w:space="0" w:color="auto"/>
              <w:bottom w:val="single" w:sz="8" w:space="0" w:color="auto"/>
              <w:right w:val="single" w:sz="8" w:space="0" w:color="auto"/>
            </w:tcBorders>
            <w:shd w:val="clear" w:color="000000" w:fill="D9D9D9"/>
            <w:noWrap/>
            <w:vAlign w:val="center"/>
            <w:hideMark/>
          </w:tcPr>
          <w:p w14:paraId="25C6BA82" w14:textId="77777777" w:rsidR="002E2F91" w:rsidRDefault="002E2F91">
            <w:pPr>
              <w:rPr>
                <w:color w:val="000000"/>
              </w:rPr>
            </w:pPr>
            <w:r>
              <w:rPr>
                <w:color w:val="000000"/>
              </w:rPr>
              <w:t>For a total estimated annual burden:</w:t>
            </w:r>
          </w:p>
        </w:tc>
        <w:tc>
          <w:tcPr>
            <w:tcW w:w="1540" w:type="dxa"/>
            <w:tcBorders>
              <w:top w:val="nil"/>
              <w:left w:val="nil"/>
              <w:bottom w:val="single" w:sz="8" w:space="0" w:color="auto"/>
              <w:right w:val="single" w:sz="8" w:space="0" w:color="auto"/>
            </w:tcBorders>
            <w:shd w:val="clear" w:color="000000" w:fill="D9D9D9"/>
            <w:noWrap/>
            <w:vAlign w:val="center"/>
            <w:hideMark/>
          </w:tcPr>
          <w:p w14:paraId="53EDCEF0" w14:textId="77777777" w:rsidR="002E2F91" w:rsidRDefault="002E2F91">
            <w:pPr>
              <w:rPr>
                <w:color w:val="000000"/>
              </w:rPr>
            </w:pPr>
            <w:r>
              <w:rPr>
                <w:color w:val="000000"/>
              </w:rPr>
              <w:t> </w:t>
            </w:r>
          </w:p>
        </w:tc>
        <w:tc>
          <w:tcPr>
            <w:tcW w:w="1120" w:type="dxa"/>
            <w:tcBorders>
              <w:top w:val="nil"/>
              <w:left w:val="nil"/>
              <w:bottom w:val="single" w:sz="8" w:space="0" w:color="auto"/>
              <w:right w:val="single" w:sz="8" w:space="0" w:color="auto"/>
            </w:tcBorders>
            <w:shd w:val="clear" w:color="000000" w:fill="D9D9D9"/>
            <w:noWrap/>
            <w:vAlign w:val="center"/>
            <w:hideMark/>
          </w:tcPr>
          <w:p w14:paraId="6528B27D" w14:textId="77777777" w:rsidR="002E2F91" w:rsidRDefault="002E2F91">
            <w:pPr>
              <w:rPr>
                <w:color w:val="000000"/>
              </w:rPr>
            </w:pPr>
            <w:r>
              <w:rPr>
                <w:color w:val="000000"/>
              </w:rPr>
              <w:t> </w:t>
            </w:r>
          </w:p>
        </w:tc>
        <w:tc>
          <w:tcPr>
            <w:tcW w:w="1140" w:type="dxa"/>
            <w:tcBorders>
              <w:top w:val="nil"/>
              <w:left w:val="nil"/>
              <w:bottom w:val="single" w:sz="8" w:space="0" w:color="auto"/>
              <w:right w:val="single" w:sz="8" w:space="0" w:color="auto"/>
            </w:tcBorders>
            <w:shd w:val="clear" w:color="000000" w:fill="D9D9D9"/>
            <w:noWrap/>
            <w:vAlign w:val="center"/>
            <w:hideMark/>
          </w:tcPr>
          <w:p w14:paraId="6554556D" w14:textId="77777777" w:rsidR="002E2F91" w:rsidRDefault="002E2F91">
            <w:pPr>
              <w:jc w:val="right"/>
              <w:rPr>
                <w:color w:val="000000"/>
              </w:rPr>
            </w:pPr>
            <w:r>
              <w:rPr>
                <w:color w:val="000000"/>
              </w:rPr>
              <w:t>8</w:t>
            </w:r>
          </w:p>
        </w:tc>
      </w:tr>
      <w:tr w:rsidR="002E2F91" w14:paraId="33FBB37E" w14:textId="77777777" w:rsidTr="002E2F91">
        <w:trPr>
          <w:trHeight w:val="330"/>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09D6E5C4" w14:textId="77777777" w:rsidR="002E2F91" w:rsidRDefault="002E2F91">
            <w:pPr>
              <w:rPr>
                <w:color w:val="000000"/>
              </w:rPr>
            </w:pPr>
            <w:r>
              <w:rPr>
                <w:color w:val="000000"/>
              </w:rPr>
              <w:t> </w:t>
            </w:r>
          </w:p>
        </w:tc>
        <w:tc>
          <w:tcPr>
            <w:tcW w:w="1540" w:type="dxa"/>
            <w:tcBorders>
              <w:top w:val="nil"/>
              <w:left w:val="nil"/>
              <w:bottom w:val="single" w:sz="8" w:space="0" w:color="auto"/>
              <w:right w:val="single" w:sz="8" w:space="0" w:color="auto"/>
            </w:tcBorders>
            <w:shd w:val="clear" w:color="auto" w:fill="auto"/>
            <w:noWrap/>
            <w:vAlign w:val="center"/>
            <w:hideMark/>
          </w:tcPr>
          <w:p w14:paraId="143933F2" w14:textId="77777777" w:rsidR="002E2F91" w:rsidRDefault="002E2F91">
            <w:pPr>
              <w:rPr>
                <w:color w:val="000000"/>
              </w:rPr>
            </w:pPr>
            <w:r>
              <w:rPr>
                <w:color w:val="000000"/>
              </w:rPr>
              <w:t> </w:t>
            </w:r>
          </w:p>
        </w:tc>
        <w:tc>
          <w:tcPr>
            <w:tcW w:w="1120" w:type="dxa"/>
            <w:tcBorders>
              <w:top w:val="nil"/>
              <w:left w:val="nil"/>
              <w:bottom w:val="single" w:sz="8" w:space="0" w:color="auto"/>
              <w:right w:val="single" w:sz="8" w:space="0" w:color="auto"/>
            </w:tcBorders>
            <w:shd w:val="clear" w:color="auto" w:fill="auto"/>
            <w:noWrap/>
            <w:vAlign w:val="center"/>
            <w:hideMark/>
          </w:tcPr>
          <w:p w14:paraId="718A970A" w14:textId="77777777" w:rsidR="002E2F91" w:rsidRDefault="002E2F91">
            <w:pPr>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6CD14973" w14:textId="77777777" w:rsidR="002E2F91" w:rsidRDefault="002E2F91">
            <w:pPr>
              <w:jc w:val="right"/>
              <w:rPr>
                <w:color w:val="000000"/>
              </w:rPr>
            </w:pPr>
            <w:r>
              <w:rPr>
                <w:color w:val="000000"/>
              </w:rPr>
              <w:t> </w:t>
            </w:r>
          </w:p>
        </w:tc>
      </w:tr>
      <w:tr w:rsidR="002E2F91" w14:paraId="6379BD95" w14:textId="77777777" w:rsidTr="002E2F91">
        <w:trPr>
          <w:trHeight w:val="645"/>
        </w:trPr>
        <w:tc>
          <w:tcPr>
            <w:tcW w:w="4400" w:type="dxa"/>
            <w:tcBorders>
              <w:top w:val="nil"/>
              <w:left w:val="single" w:sz="8" w:space="0" w:color="auto"/>
              <w:bottom w:val="single" w:sz="8" w:space="0" w:color="auto"/>
              <w:right w:val="single" w:sz="8" w:space="0" w:color="auto"/>
            </w:tcBorders>
            <w:shd w:val="clear" w:color="000000" w:fill="D9D9D9"/>
            <w:noWrap/>
            <w:vAlign w:val="center"/>
            <w:hideMark/>
          </w:tcPr>
          <w:p w14:paraId="5A21C635" w14:textId="77777777" w:rsidR="002E2F91" w:rsidRDefault="002E2F91">
            <w:pPr>
              <w:rPr>
                <w:color w:val="000000"/>
              </w:rPr>
            </w:pPr>
            <w:r>
              <w:rPr>
                <w:color w:val="000000"/>
              </w:rPr>
              <w:t xml:space="preserve">Cost: </w:t>
            </w:r>
          </w:p>
        </w:tc>
        <w:tc>
          <w:tcPr>
            <w:tcW w:w="1540" w:type="dxa"/>
            <w:tcBorders>
              <w:top w:val="nil"/>
              <w:left w:val="nil"/>
              <w:bottom w:val="single" w:sz="8" w:space="0" w:color="auto"/>
              <w:right w:val="single" w:sz="8" w:space="0" w:color="auto"/>
            </w:tcBorders>
            <w:shd w:val="clear" w:color="000000" w:fill="D9D9D9"/>
            <w:vAlign w:val="center"/>
            <w:hideMark/>
          </w:tcPr>
          <w:p w14:paraId="5CBDCC7F" w14:textId="77777777" w:rsidR="002E2F91" w:rsidRDefault="002E2F91">
            <w:pPr>
              <w:rPr>
                <w:color w:val="000000"/>
              </w:rPr>
            </w:pPr>
            <w:r>
              <w:rPr>
                <w:color w:val="000000"/>
              </w:rPr>
              <w:t>Hourly Rate (estimated)</w:t>
            </w:r>
          </w:p>
        </w:tc>
        <w:tc>
          <w:tcPr>
            <w:tcW w:w="1120" w:type="dxa"/>
            <w:tcBorders>
              <w:top w:val="nil"/>
              <w:left w:val="nil"/>
              <w:bottom w:val="single" w:sz="8" w:space="0" w:color="auto"/>
              <w:right w:val="single" w:sz="8" w:space="0" w:color="auto"/>
            </w:tcBorders>
            <w:shd w:val="clear" w:color="000000" w:fill="D9D9D9"/>
            <w:vAlign w:val="center"/>
            <w:hideMark/>
          </w:tcPr>
          <w:p w14:paraId="785B1DE4" w14:textId="77777777" w:rsidR="002E2F91" w:rsidRDefault="002E2F91">
            <w:pPr>
              <w:rPr>
                <w:color w:val="000000"/>
              </w:rPr>
            </w:pPr>
            <w:r>
              <w:rPr>
                <w:color w:val="000000"/>
              </w:rPr>
              <w:t>Annual Hours</w:t>
            </w:r>
          </w:p>
        </w:tc>
        <w:tc>
          <w:tcPr>
            <w:tcW w:w="1140" w:type="dxa"/>
            <w:tcBorders>
              <w:top w:val="nil"/>
              <w:left w:val="nil"/>
              <w:bottom w:val="single" w:sz="8" w:space="0" w:color="auto"/>
              <w:right w:val="single" w:sz="8" w:space="0" w:color="auto"/>
            </w:tcBorders>
            <w:shd w:val="clear" w:color="000000" w:fill="D9D9D9"/>
            <w:vAlign w:val="center"/>
            <w:hideMark/>
          </w:tcPr>
          <w:p w14:paraId="5A96BA66" w14:textId="77777777" w:rsidR="002E2F91" w:rsidRDefault="002E2F91">
            <w:pPr>
              <w:rPr>
                <w:color w:val="000000"/>
              </w:rPr>
            </w:pPr>
            <w:r>
              <w:rPr>
                <w:color w:val="000000"/>
              </w:rPr>
              <w:t>Total</w:t>
            </w:r>
          </w:p>
        </w:tc>
      </w:tr>
      <w:tr w:rsidR="002E2F91" w14:paraId="3CDCEA28" w14:textId="77777777" w:rsidTr="002E2F91">
        <w:trPr>
          <w:trHeight w:val="390"/>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506AF7DC" w14:textId="77777777" w:rsidR="002E2F91" w:rsidRDefault="002E2F91">
            <w:pPr>
              <w:rPr>
                <w:color w:val="000000"/>
              </w:rPr>
            </w:pPr>
            <w:r>
              <w:rPr>
                <w:color w:val="000000"/>
                <w:vertAlign w:val="superscript"/>
              </w:rPr>
              <w:t>4</w:t>
            </w:r>
            <w:r>
              <w:rPr>
                <w:color w:val="000000"/>
              </w:rPr>
              <w:t>GS-13 Step 5 for Washington, DC)</w:t>
            </w:r>
          </w:p>
        </w:tc>
        <w:tc>
          <w:tcPr>
            <w:tcW w:w="1540" w:type="dxa"/>
            <w:tcBorders>
              <w:top w:val="nil"/>
              <w:left w:val="nil"/>
              <w:bottom w:val="single" w:sz="8" w:space="0" w:color="auto"/>
              <w:right w:val="single" w:sz="8" w:space="0" w:color="auto"/>
            </w:tcBorders>
            <w:shd w:val="clear" w:color="auto" w:fill="auto"/>
            <w:noWrap/>
            <w:vAlign w:val="center"/>
            <w:hideMark/>
          </w:tcPr>
          <w:p w14:paraId="32B3A0FE" w14:textId="77777777" w:rsidR="002E2F91" w:rsidRDefault="002E2F91">
            <w:pPr>
              <w:jc w:val="right"/>
              <w:rPr>
                <w:color w:val="000000"/>
              </w:rPr>
            </w:pPr>
            <w:r>
              <w:rPr>
                <w:color w:val="000000"/>
              </w:rPr>
              <w:t xml:space="preserve">$53.85 </w:t>
            </w:r>
          </w:p>
        </w:tc>
        <w:tc>
          <w:tcPr>
            <w:tcW w:w="1120" w:type="dxa"/>
            <w:tcBorders>
              <w:top w:val="nil"/>
              <w:left w:val="nil"/>
              <w:bottom w:val="single" w:sz="8" w:space="0" w:color="auto"/>
              <w:right w:val="single" w:sz="8" w:space="0" w:color="auto"/>
            </w:tcBorders>
            <w:shd w:val="clear" w:color="auto" w:fill="auto"/>
            <w:noWrap/>
            <w:vAlign w:val="center"/>
            <w:hideMark/>
          </w:tcPr>
          <w:p w14:paraId="30340398" w14:textId="77777777" w:rsidR="002E2F91" w:rsidRDefault="002E2F91">
            <w:pPr>
              <w:jc w:val="right"/>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567AB775" w14:textId="77777777" w:rsidR="002E2F91" w:rsidRDefault="002E2F91">
            <w:pPr>
              <w:jc w:val="right"/>
              <w:rPr>
                <w:color w:val="000000"/>
              </w:rPr>
            </w:pPr>
            <w:r>
              <w:rPr>
                <w:color w:val="000000"/>
              </w:rPr>
              <w:t> </w:t>
            </w:r>
          </w:p>
        </w:tc>
      </w:tr>
      <w:tr w:rsidR="002E2F91" w14:paraId="11F2A8C6" w14:textId="77777777" w:rsidTr="002E2F91">
        <w:trPr>
          <w:trHeight w:val="390"/>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020FD488" w14:textId="77777777" w:rsidR="002E2F91" w:rsidRDefault="002E2F91">
            <w:pPr>
              <w:rPr>
                <w:color w:val="000000"/>
              </w:rPr>
            </w:pPr>
            <w:r>
              <w:rPr>
                <w:color w:val="000000"/>
              </w:rPr>
              <w:t xml:space="preserve"> </w:t>
            </w:r>
            <w:r>
              <w:rPr>
                <w:color w:val="000000"/>
                <w:vertAlign w:val="superscript"/>
              </w:rPr>
              <w:t>5</w:t>
            </w:r>
            <w:r>
              <w:rPr>
                <w:color w:val="000000"/>
              </w:rPr>
              <w:t>Fringe Benefits (31.7%)</w:t>
            </w:r>
          </w:p>
        </w:tc>
        <w:tc>
          <w:tcPr>
            <w:tcW w:w="1540" w:type="dxa"/>
            <w:tcBorders>
              <w:top w:val="nil"/>
              <w:left w:val="nil"/>
              <w:bottom w:val="single" w:sz="8" w:space="0" w:color="auto"/>
              <w:right w:val="single" w:sz="8" w:space="0" w:color="auto"/>
            </w:tcBorders>
            <w:shd w:val="clear" w:color="auto" w:fill="auto"/>
            <w:noWrap/>
            <w:vAlign w:val="center"/>
            <w:hideMark/>
          </w:tcPr>
          <w:p w14:paraId="34590A46" w14:textId="77777777" w:rsidR="002E2F91" w:rsidRDefault="002E2F91">
            <w:pPr>
              <w:jc w:val="right"/>
              <w:rPr>
                <w:color w:val="000000"/>
              </w:rPr>
            </w:pPr>
            <w:r>
              <w:rPr>
                <w:color w:val="000000"/>
              </w:rPr>
              <w:t xml:space="preserve">$17.07 </w:t>
            </w:r>
          </w:p>
        </w:tc>
        <w:tc>
          <w:tcPr>
            <w:tcW w:w="1120" w:type="dxa"/>
            <w:tcBorders>
              <w:top w:val="nil"/>
              <w:left w:val="nil"/>
              <w:bottom w:val="single" w:sz="8" w:space="0" w:color="auto"/>
              <w:right w:val="single" w:sz="8" w:space="0" w:color="auto"/>
            </w:tcBorders>
            <w:shd w:val="clear" w:color="auto" w:fill="auto"/>
            <w:noWrap/>
            <w:vAlign w:val="center"/>
            <w:hideMark/>
          </w:tcPr>
          <w:p w14:paraId="56EBE0FE" w14:textId="77777777" w:rsidR="002E2F91" w:rsidRDefault="002E2F91">
            <w:pPr>
              <w:jc w:val="right"/>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32235EA5" w14:textId="77777777" w:rsidR="002E2F91" w:rsidRDefault="002E2F91">
            <w:pPr>
              <w:jc w:val="right"/>
              <w:rPr>
                <w:color w:val="000000"/>
              </w:rPr>
            </w:pPr>
            <w:r>
              <w:rPr>
                <w:color w:val="000000"/>
              </w:rPr>
              <w:t> </w:t>
            </w:r>
          </w:p>
        </w:tc>
      </w:tr>
      <w:tr w:rsidR="002E2F91" w14:paraId="16C37F67" w14:textId="77777777" w:rsidTr="002E2F91">
        <w:trPr>
          <w:trHeight w:val="705"/>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25417CB0" w14:textId="77777777" w:rsidR="002E2F91" w:rsidRDefault="002E2F91">
            <w:pPr>
              <w:rPr>
                <w:color w:val="000000"/>
              </w:rPr>
            </w:pPr>
            <w:r>
              <w:rPr>
                <w:color w:val="000000"/>
                <w:vertAlign w:val="superscript"/>
              </w:rPr>
              <w:t>6</w:t>
            </w:r>
            <w:r>
              <w:rPr>
                <w:color w:val="000000"/>
              </w:rPr>
              <w:t>Overhead (100% of Houly Rate minus Benefits)</w:t>
            </w:r>
          </w:p>
        </w:tc>
        <w:tc>
          <w:tcPr>
            <w:tcW w:w="1540" w:type="dxa"/>
            <w:tcBorders>
              <w:top w:val="nil"/>
              <w:left w:val="nil"/>
              <w:bottom w:val="single" w:sz="8" w:space="0" w:color="auto"/>
              <w:right w:val="single" w:sz="8" w:space="0" w:color="auto"/>
            </w:tcBorders>
            <w:shd w:val="clear" w:color="auto" w:fill="auto"/>
            <w:noWrap/>
            <w:vAlign w:val="center"/>
            <w:hideMark/>
          </w:tcPr>
          <w:p w14:paraId="5C592DB9" w14:textId="77777777" w:rsidR="002E2F91" w:rsidRDefault="002E2F91">
            <w:pPr>
              <w:jc w:val="right"/>
              <w:rPr>
                <w:color w:val="000000"/>
              </w:rPr>
            </w:pPr>
            <w:r>
              <w:rPr>
                <w:color w:val="000000"/>
              </w:rPr>
              <w:t xml:space="preserve">$36.78 </w:t>
            </w:r>
          </w:p>
        </w:tc>
        <w:tc>
          <w:tcPr>
            <w:tcW w:w="1120" w:type="dxa"/>
            <w:tcBorders>
              <w:top w:val="nil"/>
              <w:left w:val="nil"/>
              <w:bottom w:val="single" w:sz="8" w:space="0" w:color="auto"/>
              <w:right w:val="single" w:sz="8" w:space="0" w:color="auto"/>
            </w:tcBorders>
            <w:shd w:val="clear" w:color="auto" w:fill="auto"/>
            <w:noWrap/>
            <w:vAlign w:val="center"/>
            <w:hideMark/>
          </w:tcPr>
          <w:p w14:paraId="643BFE7A" w14:textId="77777777" w:rsidR="002E2F91" w:rsidRDefault="002E2F91">
            <w:pPr>
              <w:jc w:val="right"/>
              <w:rPr>
                <w:color w:val="000000"/>
              </w:rPr>
            </w:pPr>
            <w:r>
              <w:rPr>
                <w:color w:val="000000"/>
              </w:rPr>
              <w:t> </w:t>
            </w:r>
          </w:p>
        </w:tc>
        <w:tc>
          <w:tcPr>
            <w:tcW w:w="1140" w:type="dxa"/>
            <w:tcBorders>
              <w:top w:val="nil"/>
              <w:left w:val="nil"/>
              <w:bottom w:val="single" w:sz="8" w:space="0" w:color="auto"/>
              <w:right w:val="single" w:sz="8" w:space="0" w:color="auto"/>
            </w:tcBorders>
            <w:shd w:val="clear" w:color="auto" w:fill="auto"/>
            <w:noWrap/>
            <w:vAlign w:val="center"/>
            <w:hideMark/>
          </w:tcPr>
          <w:p w14:paraId="6C9E7A37" w14:textId="77777777" w:rsidR="002E2F91" w:rsidRDefault="002E2F91">
            <w:pPr>
              <w:jc w:val="right"/>
              <w:rPr>
                <w:color w:val="000000"/>
              </w:rPr>
            </w:pPr>
            <w:r>
              <w:rPr>
                <w:color w:val="000000"/>
              </w:rPr>
              <w:t> </w:t>
            </w:r>
          </w:p>
        </w:tc>
      </w:tr>
      <w:tr w:rsidR="002E2F91" w14:paraId="2A6340D8" w14:textId="77777777" w:rsidTr="002E2F91">
        <w:trPr>
          <w:trHeight w:val="330"/>
        </w:trPr>
        <w:tc>
          <w:tcPr>
            <w:tcW w:w="4400" w:type="dxa"/>
            <w:tcBorders>
              <w:top w:val="nil"/>
              <w:left w:val="single" w:sz="8" w:space="0" w:color="auto"/>
              <w:bottom w:val="single" w:sz="8" w:space="0" w:color="auto"/>
              <w:right w:val="single" w:sz="8" w:space="0" w:color="auto"/>
            </w:tcBorders>
            <w:shd w:val="clear" w:color="auto" w:fill="auto"/>
            <w:vAlign w:val="center"/>
            <w:hideMark/>
          </w:tcPr>
          <w:p w14:paraId="64FB49CA" w14:textId="77777777" w:rsidR="002E2F91" w:rsidRDefault="002E2F91">
            <w:pPr>
              <w:rPr>
                <w:color w:val="000000"/>
              </w:rPr>
            </w:pPr>
            <w:r>
              <w:rPr>
                <w:color w:val="000000"/>
              </w:rPr>
              <w:t>Annualized Cost to the Federal Government</w:t>
            </w:r>
          </w:p>
        </w:tc>
        <w:tc>
          <w:tcPr>
            <w:tcW w:w="1540" w:type="dxa"/>
            <w:tcBorders>
              <w:top w:val="nil"/>
              <w:left w:val="nil"/>
              <w:bottom w:val="single" w:sz="8" w:space="0" w:color="auto"/>
              <w:right w:val="single" w:sz="8" w:space="0" w:color="auto"/>
            </w:tcBorders>
            <w:shd w:val="clear" w:color="auto" w:fill="auto"/>
            <w:noWrap/>
            <w:vAlign w:val="center"/>
            <w:hideMark/>
          </w:tcPr>
          <w:p w14:paraId="174AAD24" w14:textId="77777777" w:rsidR="002E2F91" w:rsidRDefault="002E2F91">
            <w:pPr>
              <w:jc w:val="right"/>
              <w:rPr>
                <w:color w:val="000000"/>
              </w:rPr>
            </w:pPr>
            <w:r>
              <w:rPr>
                <w:color w:val="000000"/>
              </w:rPr>
              <w:t xml:space="preserve">$107.70 </w:t>
            </w:r>
          </w:p>
        </w:tc>
        <w:tc>
          <w:tcPr>
            <w:tcW w:w="1120" w:type="dxa"/>
            <w:tcBorders>
              <w:top w:val="nil"/>
              <w:left w:val="nil"/>
              <w:bottom w:val="single" w:sz="8" w:space="0" w:color="auto"/>
              <w:right w:val="single" w:sz="8" w:space="0" w:color="auto"/>
            </w:tcBorders>
            <w:shd w:val="clear" w:color="auto" w:fill="auto"/>
            <w:noWrap/>
            <w:vAlign w:val="center"/>
            <w:hideMark/>
          </w:tcPr>
          <w:p w14:paraId="26E100FE" w14:textId="77777777" w:rsidR="002E2F91" w:rsidRDefault="002E2F91">
            <w:pPr>
              <w:jc w:val="right"/>
              <w:rPr>
                <w:color w:val="000000"/>
              </w:rPr>
            </w:pPr>
            <w:r>
              <w:rPr>
                <w:color w:val="000000"/>
              </w:rPr>
              <w:t>8</w:t>
            </w:r>
          </w:p>
        </w:tc>
        <w:tc>
          <w:tcPr>
            <w:tcW w:w="1140" w:type="dxa"/>
            <w:tcBorders>
              <w:top w:val="nil"/>
              <w:left w:val="nil"/>
              <w:bottom w:val="single" w:sz="8" w:space="0" w:color="auto"/>
              <w:right w:val="single" w:sz="8" w:space="0" w:color="auto"/>
            </w:tcBorders>
            <w:shd w:val="clear" w:color="auto" w:fill="auto"/>
            <w:noWrap/>
            <w:vAlign w:val="center"/>
            <w:hideMark/>
          </w:tcPr>
          <w:p w14:paraId="20EFCB9E" w14:textId="77777777" w:rsidR="002E2F91" w:rsidRDefault="002E2F91">
            <w:pPr>
              <w:jc w:val="right"/>
              <w:rPr>
                <w:color w:val="000000"/>
              </w:rPr>
            </w:pPr>
            <w:r>
              <w:rPr>
                <w:color w:val="000000"/>
              </w:rPr>
              <w:t xml:space="preserve">$861.60 </w:t>
            </w:r>
          </w:p>
        </w:tc>
      </w:tr>
    </w:tbl>
    <w:p w14:paraId="3D68165C" w14:textId="77777777" w:rsidR="002E2F91" w:rsidRPr="004A09DF" w:rsidRDefault="002E2F91" w:rsidP="00F430CE">
      <w:pPr>
        <w:pStyle w:val="BodyText2"/>
        <w:spacing w:after="216"/>
      </w:pPr>
    </w:p>
    <w:p w14:paraId="1A647D25" w14:textId="77777777" w:rsidR="00E91D14" w:rsidRDefault="00E91D14">
      <w:pPr>
        <w:rPr>
          <w:sz w:val="20"/>
          <w:szCs w:val="20"/>
        </w:rPr>
      </w:pPr>
      <w:r w:rsidRPr="00E91D14">
        <w:rPr>
          <w:vertAlign w:val="superscript"/>
        </w:rPr>
        <w:t>4</w:t>
      </w:r>
      <w:r>
        <w:t xml:space="preserve"> </w:t>
      </w:r>
      <w:r w:rsidRPr="00E91D14">
        <w:rPr>
          <w:sz w:val="20"/>
          <w:szCs w:val="20"/>
        </w:rPr>
        <w:t xml:space="preserve">Source Office of Personnel Management, Salary and Wages 2019,    </w:t>
      </w:r>
      <w:hyperlink r:id="rId11" w:history="1">
        <w:r w:rsidRPr="00E91D14">
          <w:rPr>
            <w:rStyle w:val="Hyperlink"/>
            <w:rFonts w:ascii="Times New Roman" w:hAnsi="Times New Roman"/>
            <w:sz w:val="20"/>
            <w:szCs w:val="20"/>
          </w:rPr>
          <w:t>https://www.opm.gov/policy-data-oversight/pay-leave/salaries-wages/salary-tables/19Tables/html/DCB_h.aspx</w:t>
        </w:r>
      </w:hyperlink>
    </w:p>
    <w:p w14:paraId="6AAB515B" w14:textId="77777777" w:rsidR="00E91D14" w:rsidRDefault="00E91D14" w:rsidP="00E91D14">
      <w:pPr>
        <w:rPr>
          <w:b/>
          <w:bCs/>
          <w:color w:val="000000"/>
          <w:sz w:val="20"/>
          <w:szCs w:val="20"/>
        </w:rPr>
      </w:pPr>
      <w:r w:rsidRPr="00E91D14">
        <w:rPr>
          <w:sz w:val="20"/>
          <w:szCs w:val="20"/>
          <w:vertAlign w:val="superscript"/>
        </w:rPr>
        <w:t>5</w:t>
      </w:r>
      <w:r>
        <w:t xml:space="preserve"> </w:t>
      </w:r>
      <w:r w:rsidRPr="00E91D14">
        <w:rPr>
          <w:sz w:val="20"/>
          <w:szCs w:val="20"/>
        </w:rPr>
        <w:t xml:space="preserve">Source Bureau of Labor Statistics, </w:t>
      </w:r>
      <w:r>
        <w:rPr>
          <w:sz w:val="20"/>
          <w:szCs w:val="20"/>
        </w:rPr>
        <w:t>“</w:t>
      </w:r>
      <w:r w:rsidRPr="00E91D14">
        <w:rPr>
          <w:color w:val="000000"/>
          <w:sz w:val="20"/>
          <w:szCs w:val="20"/>
        </w:rPr>
        <w:t>Employer Cost for Employee Compensation</w:t>
      </w:r>
      <w:r>
        <w:rPr>
          <w:color w:val="000000"/>
          <w:sz w:val="20"/>
          <w:szCs w:val="20"/>
        </w:rPr>
        <w:t>”,</w:t>
      </w:r>
      <w:r w:rsidRPr="00E91D14">
        <w:rPr>
          <w:color w:val="000000"/>
          <w:sz w:val="20"/>
          <w:szCs w:val="20"/>
        </w:rPr>
        <w:t xml:space="preserve"> Published December 14, 2018 Page 2</w:t>
      </w:r>
      <w:r>
        <w:rPr>
          <w:color w:val="000000"/>
          <w:sz w:val="20"/>
          <w:szCs w:val="20"/>
        </w:rPr>
        <w:t>;</w:t>
      </w:r>
      <w:r w:rsidRPr="00E91D14">
        <w:rPr>
          <w:color w:val="000000"/>
          <w:sz w:val="20"/>
          <w:szCs w:val="20"/>
        </w:rPr>
        <w:t xml:space="preserve"> </w:t>
      </w:r>
      <w:r>
        <w:rPr>
          <w:b/>
          <w:bCs/>
          <w:color w:val="000000"/>
          <w:sz w:val="20"/>
          <w:szCs w:val="20"/>
        </w:rPr>
        <w:fldChar w:fldCharType="begin"/>
      </w:r>
      <w:r>
        <w:rPr>
          <w:b/>
          <w:bCs/>
          <w:color w:val="000000"/>
          <w:sz w:val="20"/>
          <w:szCs w:val="20"/>
        </w:rPr>
        <w:instrText xml:space="preserve"> HYPERLINK "</w:instrText>
      </w:r>
      <w:r w:rsidRPr="00E91D14">
        <w:rPr>
          <w:b/>
          <w:bCs/>
          <w:color w:val="000000"/>
          <w:sz w:val="20"/>
          <w:szCs w:val="20"/>
        </w:rPr>
        <w:instrText>https://www.bls.gov/schedule/2019/04_sched.htm</w:instrText>
      </w:r>
      <w:r>
        <w:rPr>
          <w:b/>
          <w:bCs/>
          <w:color w:val="000000"/>
          <w:sz w:val="20"/>
          <w:szCs w:val="20"/>
        </w:rPr>
        <w:instrText xml:space="preserve"> </w:instrText>
      </w:r>
    </w:p>
    <w:p w14:paraId="495CF37D" w14:textId="77777777" w:rsidR="00E91D14" w:rsidRPr="008A3DC6" w:rsidRDefault="00E91D14" w:rsidP="00E91D14">
      <w:pPr>
        <w:rPr>
          <w:rStyle w:val="Hyperlink"/>
          <w:rFonts w:ascii="Times New Roman" w:hAnsi="Times New Roman"/>
          <w:sz w:val="20"/>
          <w:szCs w:val="20"/>
        </w:rPr>
      </w:pPr>
      <w:r>
        <w:rPr>
          <w:b/>
          <w:bCs/>
          <w:color w:val="000000"/>
          <w:sz w:val="20"/>
          <w:szCs w:val="20"/>
        </w:rPr>
        <w:instrText xml:space="preserve">6" </w:instrText>
      </w:r>
      <w:r>
        <w:rPr>
          <w:b/>
          <w:bCs/>
          <w:color w:val="000000"/>
          <w:sz w:val="20"/>
          <w:szCs w:val="20"/>
        </w:rPr>
        <w:fldChar w:fldCharType="separate"/>
      </w:r>
      <w:r w:rsidRPr="008A3DC6">
        <w:rPr>
          <w:rStyle w:val="Hyperlink"/>
          <w:rFonts w:ascii="Times New Roman" w:hAnsi="Times New Roman"/>
          <w:sz w:val="20"/>
          <w:szCs w:val="20"/>
        </w:rPr>
        <w:t xml:space="preserve">https://www.bls.gov/schedule/2019/04_sched.htm </w:t>
      </w:r>
    </w:p>
    <w:p w14:paraId="6669385A" w14:textId="6DCFE591" w:rsidR="0054618E" w:rsidRDefault="00E91D14" w:rsidP="00E91D14">
      <w:pPr>
        <w:rPr>
          <w:sz w:val="20"/>
          <w:szCs w:val="20"/>
        </w:rPr>
      </w:pPr>
      <w:r w:rsidRPr="0054618E">
        <w:rPr>
          <w:rStyle w:val="Hyperlink"/>
          <w:rFonts w:ascii="Times New Roman" w:hAnsi="Times New Roman"/>
          <w:sz w:val="20"/>
          <w:szCs w:val="20"/>
          <w:vertAlign w:val="superscript"/>
        </w:rPr>
        <w:t>6</w:t>
      </w:r>
      <w:r>
        <w:rPr>
          <w:b/>
          <w:bCs/>
          <w:color w:val="000000"/>
          <w:sz w:val="20"/>
          <w:szCs w:val="20"/>
        </w:rPr>
        <w:fldChar w:fldCharType="end"/>
      </w:r>
      <w:r>
        <w:rPr>
          <w:b/>
          <w:bCs/>
          <w:color w:val="000000"/>
          <w:sz w:val="20"/>
          <w:szCs w:val="20"/>
        </w:rPr>
        <w:t xml:space="preserve"> </w:t>
      </w:r>
      <w:r w:rsidRPr="00E91D14">
        <w:rPr>
          <w:sz w:val="20"/>
          <w:szCs w:val="20"/>
        </w:rPr>
        <w:t xml:space="preserve">Source: U.S. Department of Health and Human Services, “Guidelines for Regulatory Impact Analysis” (2016), </w:t>
      </w:r>
      <w:hyperlink r:id="rId12" w:history="1">
        <w:r w:rsidRPr="00E91D14">
          <w:rPr>
            <w:rStyle w:val="Hyperlink"/>
            <w:rFonts w:ascii="Times New Roman" w:hAnsi="Times New Roman"/>
            <w:sz w:val="20"/>
            <w:szCs w:val="20"/>
          </w:rPr>
          <w:t>https://aspe.hhs.gov/system/files/pdf/242926/HHS_RIAGuidance.pdf</w:t>
        </w:r>
      </w:hyperlink>
      <w:r w:rsidRPr="00E91D14">
        <w:rPr>
          <w:sz w:val="20"/>
          <w:szCs w:val="20"/>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p w14:paraId="5BA6EA74" w14:textId="77777777" w:rsidR="0054618E" w:rsidRDefault="0054618E">
      <w:pPr>
        <w:rPr>
          <w:sz w:val="20"/>
          <w:szCs w:val="20"/>
        </w:rPr>
      </w:pPr>
      <w:r>
        <w:rPr>
          <w:sz w:val="20"/>
          <w:szCs w:val="20"/>
        </w:rPr>
        <w:br w:type="page"/>
      </w:r>
    </w:p>
    <w:p w14:paraId="2AFE9807" w14:textId="77777777" w:rsidR="00AC2E0B" w:rsidRPr="004A09DF" w:rsidRDefault="008379BC">
      <w:pPr>
        <w:pStyle w:val="BodyText2"/>
        <w:spacing w:after="144"/>
      </w:pPr>
      <w:r w:rsidRPr="004A09DF">
        <w:t xml:space="preserve">15. </w:t>
      </w:r>
      <w:r w:rsidR="00AC2E0B" w:rsidRPr="004A09DF">
        <w:t>Explain reasons for changes in burden, including the need for any increase.</w:t>
      </w:r>
    </w:p>
    <w:p w14:paraId="041B1731" w14:textId="77777777" w:rsidR="00AC2E0B" w:rsidRDefault="00B16BC0">
      <w:pPr>
        <w:pStyle w:val="BodyText2"/>
        <w:rPr>
          <w:b w:val="0"/>
          <w:bCs w:val="0"/>
        </w:rPr>
      </w:pPr>
      <w:r w:rsidRPr="00B16BC0">
        <w:rPr>
          <w:b w:val="0"/>
          <w:bCs w:val="0"/>
        </w:rPr>
        <w:t>There has been a change to the hourly burden since the previous submission.  Some reasons are the Premium Program currently does not exist which eliminates the burden associated with updates to the Premium Program.  All participants only file an initial application one time (we do not expect more than 4 applications for Non-premium insurance.) The public cost burden has been adjusted for inflation since the last report in 2015.</w:t>
      </w:r>
      <w:r>
        <w:rPr>
          <w:b w:val="0"/>
          <w:bCs w:val="0"/>
        </w:rPr>
        <w:t xml:space="preserve"> </w:t>
      </w:r>
      <w:r w:rsidRPr="00B16BC0">
        <w:rPr>
          <w:b w:val="0"/>
          <w:bCs w:val="0"/>
        </w:rPr>
        <w:t>The agency has separated collection activity into appropriate information collections, there has not been additional forms or applications added.</w:t>
      </w:r>
    </w:p>
    <w:p w14:paraId="1E5573B1" w14:textId="77777777" w:rsidR="00B16BC0" w:rsidRPr="004A09DF" w:rsidRDefault="00B16BC0">
      <w:pPr>
        <w:pStyle w:val="BodyText2"/>
      </w:pPr>
    </w:p>
    <w:p w14:paraId="4F440C51" w14:textId="77777777" w:rsidR="00AC2E0B" w:rsidRPr="004A09DF" w:rsidRDefault="008379BC">
      <w:pPr>
        <w:pStyle w:val="BodyText2"/>
      </w:pPr>
      <w:r w:rsidRPr="004A09DF">
        <w:t xml:space="preserve">16. </w:t>
      </w:r>
      <w:r w:rsidR="00AC2E0B" w:rsidRPr="004A09DF">
        <w:t xml:space="preserve">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 </w:t>
      </w:r>
    </w:p>
    <w:p w14:paraId="0099500E" w14:textId="77777777" w:rsidR="00AC2E0B" w:rsidRPr="004A09DF" w:rsidRDefault="00AC2E0B">
      <w:pPr>
        <w:pStyle w:val="BodyText2"/>
      </w:pPr>
    </w:p>
    <w:p w14:paraId="14A0C749" w14:textId="77777777" w:rsidR="00AC2E0B" w:rsidRPr="004A09DF" w:rsidRDefault="00AC2E0B">
      <w:pPr>
        <w:spacing w:after="216"/>
        <w:jc w:val="both"/>
      </w:pPr>
      <w:r w:rsidRPr="004A09DF">
        <w:t>The FAA does not plan to publish information</w:t>
      </w:r>
      <w:r w:rsidR="003E0C47">
        <w:t>.</w:t>
      </w:r>
      <w:r w:rsidRPr="004A09DF">
        <w:t xml:space="preserve"> </w:t>
      </w:r>
    </w:p>
    <w:p w14:paraId="7709F6B6" w14:textId="77777777" w:rsidR="00AC2E0B" w:rsidRPr="004A09DF" w:rsidRDefault="00AC2E0B">
      <w:pPr>
        <w:rPr>
          <w:b/>
          <w:bCs/>
        </w:rPr>
      </w:pPr>
    </w:p>
    <w:p w14:paraId="544A9C7D" w14:textId="77777777" w:rsidR="00AC2E0B" w:rsidRPr="004A09DF" w:rsidRDefault="008379BC">
      <w:pPr>
        <w:rPr>
          <w:b/>
          <w:bCs/>
        </w:rPr>
      </w:pPr>
      <w:r w:rsidRPr="004A09DF">
        <w:rPr>
          <w:b/>
          <w:bCs/>
        </w:rPr>
        <w:t xml:space="preserve">17. </w:t>
      </w:r>
      <w:r w:rsidR="00AC2E0B" w:rsidRPr="004A09DF">
        <w:rPr>
          <w:b/>
          <w:bCs/>
        </w:rPr>
        <w:t>If seeking approval to not display the expiration date for OMB approval of the information collection, explain the reasons that display would be inappropriate.</w:t>
      </w:r>
    </w:p>
    <w:p w14:paraId="4D624D16" w14:textId="77777777" w:rsidR="00AC2E0B" w:rsidRPr="004A09DF" w:rsidRDefault="00AC2E0B">
      <w:pPr>
        <w:rPr>
          <w:b/>
          <w:bCs/>
        </w:rPr>
      </w:pPr>
    </w:p>
    <w:p w14:paraId="4F34317D" w14:textId="77777777" w:rsidR="00AC2E0B" w:rsidRPr="004A09DF" w:rsidRDefault="00AC2E0B">
      <w:r w:rsidRPr="004A09DF">
        <w:t>FAA is not seeking such approval.</w:t>
      </w:r>
    </w:p>
    <w:p w14:paraId="205B62DA" w14:textId="77777777" w:rsidR="00AC2E0B" w:rsidRPr="004A09DF" w:rsidRDefault="00AC2E0B"/>
    <w:p w14:paraId="6CEC01E3" w14:textId="77777777" w:rsidR="00AC2E0B" w:rsidRPr="004A09DF" w:rsidRDefault="00AC2E0B">
      <w:pPr>
        <w:pStyle w:val="BodyText2"/>
      </w:pPr>
    </w:p>
    <w:p w14:paraId="35114040" w14:textId="77777777" w:rsidR="00AC2E0B" w:rsidRPr="004A09DF" w:rsidRDefault="008379BC">
      <w:pPr>
        <w:pStyle w:val="BodyText2"/>
      </w:pPr>
      <w:r w:rsidRPr="004A09DF">
        <w:t xml:space="preserve">18. </w:t>
      </w:r>
      <w:r w:rsidR="00AC2E0B" w:rsidRPr="004A09DF">
        <w:t>Explain each exception to the certification statement identified in Item 19, "Certification for Paperwork Reduction Act Submissions," of OMB Form 83-I.</w:t>
      </w:r>
    </w:p>
    <w:p w14:paraId="71DAA88B" w14:textId="77777777" w:rsidR="00AC2E0B" w:rsidRPr="004A09DF" w:rsidRDefault="00AC2E0B"/>
    <w:p w14:paraId="6C80DFC5" w14:textId="77777777" w:rsidR="00AC2E0B" w:rsidRPr="004A09DF" w:rsidRDefault="00AC2E0B">
      <w:r w:rsidRPr="004A09DF">
        <w:t>There are no exceptions to the certification statement.</w:t>
      </w:r>
    </w:p>
    <w:sectPr w:rsidR="00AC2E0B" w:rsidRPr="004A09DF" w:rsidSect="00AC2E0B">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4F88A" w14:textId="77777777" w:rsidR="008B7470" w:rsidRDefault="008B7470" w:rsidP="00B16BC0">
      <w:r>
        <w:separator/>
      </w:r>
    </w:p>
  </w:endnote>
  <w:endnote w:type="continuationSeparator" w:id="0">
    <w:p w14:paraId="441DB05D" w14:textId="77777777" w:rsidR="008B7470" w:rsidRDefault="008B7470" w:rsidP="00B1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EE0B0" w14:textId="77777777" w:rsidR="008B7470" w:rsidRDefault="008B7470" w:rsidP="00B16BC0">
      <w:r>
        <w:separator/>
      </w:r>
    </w:p>
  </w:footnote>
  <w:footnote w:type="continuationSeparator" w:id="0">
    <w:p w14:paraId="0A77B662" w14:textId="77777777" w:rsidR="008B7470" w:rsidRDefault="008B7470" w:rsidP="00B16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329A7"/>
    <w:multiLevelType w:val="hybridMultilevel"/>
    <w:tmpl w:val="583A31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62D1CC8"/>
    <w:multiLevelType w:val="hybridMultilevel"/>
    <w:tmpl w:val="CC92B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FA6412"/>
    <w:multiLevelType w:val="hybridMultilevel"/>
    <w:tmpl w:val="8F88C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CB"/>
    <w:rsid w:val="001676FF"/>
    <w:rsid w:val="001B4D86"/>
    <w:rsid w:val="00245BE9"/>
    <w:rsid w:val="00295262"/>
    <w:rsid w:val="002E2F91"/>
    <w:rsid w:val="003A14EF"/>
    <w:rsid w:val="003A5EDF"/>
    <w:rsid w:val="003C6DDC"/>
    <w:rsid w:val="003E0C47"/>
    <w:rsid w:val="003E62D6"/>
    <w:rsid w:val="003F4EAC"/>
    <w:rsid w:val="00437ACA"/>
    <w:rsid w:val="00442393"/>
    <w:rsid w:val="0046532A"/>
    <w:rsid w:val="00475208"/>
    <w:rsid w:val="004A09DF"/>
    <w:rsid w:val="00545C89"/>
    <w:rsid w:val="0054618E"/>
    <w:rsid w:val="005610DD"/>
    <w:rsid w:val="00570548"/>
    <w:rsid w:val="00576C84"/>
    <w:rsid w:val="005D15A8"/>
    <w:rsid w:val="005F35AE"/>
    <w:rsid w:val="00614442"/>
    <w:rsid w:val="00635EE9"/>
    <w:rsid w:val="00693126"/>
    <w:rsid w:val="006E123E"/>
    <w:rsid w:val="006F26DD"/>
    <w:rsid w:val="00737420"/>
    <w:rsid w:val="00742CA8"/>
    <w:rsid w:val="00795A34"/>
    <w:rsid w:val="00795B92"/>
    <w:rsid w:val="007F514F"/>
    <w:rsid w:val="008379BC"/>
    <w:rsid w:val="00866C9B"/>
    <w:rsid w:val="0089473B"/>
    <w:rsid w:val="008B3398"/>
    <w:rsid w:val="008B7470"/>
    <w:rsid w:val="00926F21"/>
    <w:rsid w:val="00963E22"/>
    <w:rsid w:val="00964B20"/>
    <w:rsid w:val="0097620A"/>
    <w:rsid w:val="009848CC"/>
    <w:rsid w:val="009A44EA"/>
    <w:rsid w:val="00A261CB"/>
    <w:rsid w:val="00A31CC6"/>
    <w:rsid w:val="00A568D7"/>
    <w:rsid w:val="00AA1DF6"/>
    <w:rsid w:val="00AC2E0B"/>
    <w:rsid w:val="00B16BC0"/>
    <w:rsid w:val="00B74320"/>
    <w:rsid w:val="00B87311"/>
    <w:rsid w:val="00BB7413"/>
    <w:rsid w:val="00BE11CA"/>
    <w:rsid w:val="00C63529"/>
    <w:rsid w:val="00C66E0C"/>
    <w:rsid w:val="00CA70C5"/>
    <w:rsid w:val="00CF1EC2"/>
    <w:rsid w:val="00D223E1"/>
    <w:rsid w:val="00D74493"/>
    <w:rsid w:val="00DD63D5"/>
    <w:rsid w:val="00E12D45"/>
    <w:rsid w:val="00E26D80"/>
    <w:rsid w:val="00E4090C"/>
    <w:rsid w:val="00E91D14"/>
    <w:rsid w:val="00ED4199"/>
    <w:rsid w:val="00EE05D8"/>
    <w:rsid w:val="00EF3498"/>
    <w:rsid w:val="00F430CE"/>
    <w:rsid w:val="00F879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5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pacing w:val="2"/>
      <w:sz w:val="22"/>
    </w:rPr>
  </w:style>
  <w:style w:type="paragraph" w:styleId="BodyTextIndent">
    <w:name w:val="Body Text Indent"/>
    <w:basedOn w:val="Normal"/>
    <w:pPr>
      <w:ind w:left="420"/>
    </w:pPr>
    <w:rPr>
      <w:spacing w:val="2"/>
      <w:sz w:val="22"/>
    </w:rPr>
  </w:style>
  <w:style w:type="paragraph" w:styleId="BlockText">
    <w:name w:val="Block Text"/>
    <w:basedOn w:val="Normal"/>
    <w:pPr>
      <w:tabs>
        <w:tab w:val="left" w:pos="432"/>
      </w:tabs>
      <w:spacing w:after="216"/>
      <w:ind w:left="360" w:right="864"/>
    </w:pPr>
    <w:rPr>
      <w:spacing w:val="2"/>
      <w:sz w:val="22"/>
    </w:rPr>
  </w:style>
  <w:style w:type="paragraph" w:styleId="BodyText2">
    <w:name w:val="Body Text 2"/>
    <w:basedOn w:val="Normal"/>
    <w:rPr>
      <w:b/>
      <w:bCs/>
    </w:rPr>
  </w:style>
  <w:style w:type="paragraph" w:styleId="BodyText3">
    <w:name w:val="Body Text 3"/>
    <w:basedOn w:val="Normal"/>
    <w:rPr>
      <w:b/>
      <w:bCs/>
      <w:spacing w:val="2"/>
      <w:sz w:val="22"/>
    </w:rPr>
  </w:style>
  <w:style w:type="paragraph" w:styleId="BodyTextIndent2">
    <w:name w:val="Body Text Indent 2"/>
    <w:basedOn w:val="Normal"/>
    <w:pPr>
      <w:spacing w:after="144"/>
      <w:ind w:left="432" w:hanging="432"/>
    </w:pPr>
    <w:rPr>
      <w:b/>
      <w:bCs/>
      <w:spacing w:val="2"/>
      <w:sz w:val="22"/>
    </w:rPr>
  </w:style>
  <w:style w:type="paragraph" w:styleId="NormalIndent">
    <w:name w:val="Normal Indent"/>
    <w:basedOn w:val="Normal"/>
    <w:pPr>
      <w:ind w:left="720"/>
    </w:pPr>
  </w:style>
  <w:style w:type="paragraph" w:styleId="BalloonText">
    <w:name w:val="Balloon Text"/>
    <w:basedOn w:val="Normal"/>
    <w:semiHidden/>
    <w:rsid w:val="00A261CB"/>
    <w:rPr>
      <w:rFonts w:ascii="Tahoma" w:hAnsi="Tahoma" w:cs="Tahoma"/>
      <w:sz w:val="16"/>
      <w:szCs w:val="16"/>
    </w:rPr>
  </w:style>
  <w:style w:type="character" w:styleId="Hyperlink">
    <w:name w:val="Hyperlink"/>
    <w:rsid w:val="00011A38"/>
    <w:rPr>
      <w:rFonts w:ascii="Verdana" w:hAnsi="Verdana" w:hint="default"/>
      <w:b/>
      <w:bCs/>
      <w:color w:val="003366"/>
      <w:u w:val="single"/>
    </w:rPr>
  </w:style>
  <w:style w:type="character" w:styleId="CommentReference">
    <w:name w:val="annotation reference"/>
    <w:uiPriority w:val="99"/>
    <w:rsid w:val="00635EE9"/>
    <w:rPr>
      <w:sz w:val="16"/>
      <w:szCs w:val="16"/>
    </w:rPr>
  </w:style>
  <w:style w:type="paragraph" w:styleId="CommentText">
    <w:name w:val="annotation text"/>
    <w:basedOn w:val="Normal"/>
    <w:link w:val="CommentTextChar"/>
    <w:uiPriority w:val="99"/>
    <w:rsid w:val="00635EE9"/>
    <w:rPr>
      <w:sz w:val="20"/>
      <w:szCs w:val="20"/>
    </w:rPr>
  </w:style>
  <w:style w:type="character" w:customStyle="1" w:styleId="CommentTextChar">
    <w:name w:val="Comment Text Char"/>
    <w:basedOn w:val="DefaultParagraphFont"/>
    <w:link w:val="CommentText"/>
    <w:uiPriority w:val="99"/>
    <w:rsid w:val="00635EE9"/>
  </w:style>
  <w:style w:type="paragraph" w:styleId="CommentSubject">
    <w:name w:val="annotation subject"/>
    <w:basedOn w:val="CommentText"/>
    <w:next w:val="CommentText"/>
    <w:link w:val="CommentSubjectChar"/>
    <w:rsid w:val="00635EE9"/>
    <w:rPr>
      <w:b/>
      <w:bCs/>
    </w:rPr>
  </w:style>
  <w:style w:type="character" w:customStyle="1" w:styleId="CommentSubjectChar">
    <w:name w:val="Comment Subject Char"/>
    <w:link w:val="CommentSubject"/>
    <w:rsid w:val="00635EE9"/>
    <w:rPr>
      <w:b/>
      <w:bCs/>
    </w:rPr>
  </w:style>
  <w:style w:type="character" w:styleId="FollowedHyperlink">
    <w:name w:val="FollowedHyperlink"/>
    <w:rsid w:val="001676FF"/>
    <w:rPr>
      <w:color w:val="954F72"/>
      <w:u w:val="single"/>
    </w:rPr>
  </w:style>
  <w:style w:type="paragraph" w:styleId="Header">
    <w:name w:val="header"/>
    <w:basedOn w:val="Normal"/>
    <w:link w:val="HeaderChar"/>
    <w:rsid w:val="00B16BC0"/>
    <w:pPr>
      <w:tabs>
        <w:tab w:val="center" w:pos="4680"/>
        <w:tab w:val="right" w:pos="9360"/>
      </w:tabs>
    </w:pPr>
  </w:style>
  <w:style w:type="character" w:customStyle="1" w:styleId="HeaderChar">
    <w:name w:val="Header Char"/>
    <w:basedOn w:val="DefaultParagraphFont"/>
    <w:link w:val="Header"/>
    <w:rsid w:val="00B16BC0"/>
    <w:rPr>
      <w:sz w:val="24"/>
      <w:szCs w:val="24"/>
    </w:rPr>
  </w:style>
  <w:style w:type="paragraph" w:styleId="Footer">
    <w:name w:val="footer"/>
    <w:basedOn w:val="Normal"/>
    <w:link w:val="FooterChar"/>
    <w:rsid w:val="00B16BC0"/>
    <w:pPr>
      <w:tabs>
        <w:tab w:val="center" w:pos="4680"/>
        <w:tab w:val="right" w:pos="9360"/>
      </w:tabs>
    </w:pPr>
  </w:style>
  <w:style w:type="character" w:customStyle="1" w:styleId="FooterChar">
    <w:name w:val="Footer Char"/>
    <w:basedOn w:val="DefaultParagraphFont"/>
    <w:link w:val="Footer"/>
    <w:rsid w:val="00B16B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pacing w:val="2"/>
      <w:sz w:val="22"/>
    </w:rPr>
  </w:style>
  <w:style w:type="paragraph" w:styleId="BodyTextIndent">
    <w:name w:val="Body Text Indent"/>
    <w:basedOn w:val="Normal"/>
    <w:pPr>
      <w:ind w:left="420"/>
    </w:pPr>
    <w:rPr>
      <w:spacing w:val="2"/>
      <w:sz w:val="22"/>
    </w:rPr>
  </w:style>
  <w:style w:type="paragraph" w:styleId="BlockText">
    <w:name w:val="Block Text"/>
    <w:basedOn w:val="Normal"/>
    <w:pPr>
      <w:tabs>
        <w:tab w:val="left" w:pos="432"/>
      </w:tabs>
      <w:spacing w:after="216"/>
      <w:ind w:left="360" w:right="864"/>
    </w:pPr>
    <w:rPr>
      <w:spacing w:val="2"/>
      <w:sz w:val="22"/>
    </w:rPr>
  </w:style>
  <w:style w:type="paragraph" w:styleId="BodyText2">
    <w:name w:val="Body Text 2"/>
    <w:basedOn w:val="Normal"/>
    <w:rPr>
      <w:b/>
      <w:bCs/>
    </w:rPr>
  </w:style>
  <w:style w:type="paragraph" w:styleId="BodyText3">
    <w:name w:val="Body Text 3"/>
    <w:basedOn w:val="Normal"/>
    <w:rPr>
      <w:b/>
      <w:bCs/>
      <w:spacing w:val="2"/>
      <w:sz w:val="22"/>
    </w:rPr>
  </w:style>
  <w:style w:type="paragraph" w:styleId="BodyTextIndent2">
    <w:name w:val="Body Text Indent 2"/>
    <w:basedOn w:val="Normal"/>
    <w:pPr>
      <w:spacing w:after="144"/>
      <w:ind w:left="432" w:hanging="432"/>
    </w:pPr>
    <w:rPr>
      <w:b/>
      <w:bCs/>
      <w:spacing w:val="2"/>
      <w:sz w:val="22"/>
    </w:rPr>
  </w:style>
  <w:style w:type="paragraph" w:styleId="NormalIndent">
    <w:name w:val="Normal Indent"/>
    <w:basedOn w:val="Normal"/>
    <w:pPr>
      <w:ind w:left="720"/>
    </w:pPr>
  </w:style>
  <w:style w:type="paragraph" w:styleId="BalloonText">
    <w:name w:val="Balloon Text"/>
    <w:basedOn w:val="Normal"/>
    <w:semiHidden/>
    <w:rsid w:val="00A261CB"/>
    <w:rPr>
      <w:rFonts w:ascii="Tahoma" w:hAnsi="Tahoma" w:cs="Tahoma"/>
      <w:sz w:val="16"/>
      <w:szCs w:val="16"/>
    </w:rPr>
  </w:style>
  <w:style w:type="character" w:styleId="Hyperlink">
    <w:name w:val="Hyperlink"/>
    <w:rsid w:val="00011A38"/>
    <w:rPr>
      <w:rFonts w:ascii="Verdana" w:hAnsi="Verdana" w:hint="default"/>
      <w:b/>
      <w:bCs/>
      <w:color w:val="003366"/>
      <w:u w:val="single"/>
    </w:rPr>
  </w:style>
  <w:style w:type="character" w:styleId="CommentReference">
    <w:name w:val="annotation reference"/>
    <w:uiPriority w:val="99"/>
    <w:rsid w:val="00635EE9"/>
    <w:rPr>
      <w:sz w:val="16"/>
      <w:szCs w:val="16"/>
    </w:rPr>
  </w:style>
  <w:style w:type="paragraph" w:styleId="CommentText">
    <w:name w:val="annotation text"/>
    <w:basedOn w:val="Normal"/>
    <w:link w:val="CommentTextChar"/>
    <w:uiPriority w:val="99"/>
    <w:rsid w:val="00635EE9"/>
    <w:rPr>
      <w:sz w:val="20"/>
      <w:szCs w:val="20"/>
    </w:rPr>
  </w:style>
  <w:style w:type="character" w:customStyle="1" w:styleId="CommentTextChar">
    <w:name w:val="Comment Text Char"/>
    <w:basedOn w:val="DefaultParagraphFont"/>
    <w:link w:val="CommentText"/>
    <w:uiPriority w:val="99"/>
    <w:rsid w:val="00635EE9"/>
  </w:style>
  <w:style w:type="paragraph" w:styleId="CommentSubject">
    <w:name w:val="annotation subject"/>
    <w:basedOn w:val="CommentText"/>
    <w:next w:val="CommentText"/>
    <w:link w:val="CommentSubjectChar"/>
    <w:rsid w:val="00635EE9"/>
    <w:rPr>
      <w:b/>
      <w:bCs/>
    </w:rPr>
  </w:style>
  <w:style w:type="character" w:customStyle="1" w:styleId="CommentSubjectChar">
    <w:name w:val="Comment Subject Char"/>
    <w:link w:val="CommentSubject"/>
    <w:rsid w:val="00635EE9"/>
    <w:rPr>
      <w:b/>
      <w:bCs/>
    </w:rPr>
  </w:style>
  <w:style w:type="character" w:styleId="FollowedHyperlink">
    <w:name w:val="FollowedHyperlink"/>
    <w:rsid w:val="001676FF"/>
    <w:rPr>
      <w:color w:val="954F72"/>
      <w:u w:val="single"/>
    </w:rPr>
  </w:style>
  <w:style w:type="paragraph" w:styleId="Header">
    <w:name w:val="header"/>
    <w:basedOn w:val="Normal"/>
    <w:link w:val="HeaderChar"/>
    <w:rsid w:val="00B16BC0"/>
    <w:pPr>
      <w:tabs>
        <w:tab w:val="center" w:pos="4680"/>
        <w:tab w:val="right" w:pos="9360"/>
      </w:tabs>
    </w:pPr>
  </w:style>
  <w:style w:type="character" w:customStyle="1" w:styleId="HeaderChar">
    <w:name w:val="Header Char"/>
    <w:basedOn w:val="DefaultParagraphFont"/>
    <w:link w:val="Header"/>
    <w:rsid w:val="00B16BC0"/>
    <w:rPr>
      <w:sz w:val="24"/>
      <w:szCs w:val="24"/>
    </w:rPr>
  </w:style>
  <w:style w:type="paragraph" w:styleId="Footer">
    <w:name w:val="footer"/>
    <w:basedOn w:val="Normal"/>
    <w:link w:val="FooterChar"/>
    <w:rsid w:val="00B16BC0"/>
    <w:pPr>
      <w:tabs>
        <w:tab w:val="center" w:pos="4680"/>
        <w:tab w:val="right" w:pos="9360"/>
      </w:tabs>
    </w:pPr>
  </w:style>
  <w:style w:type="character" w:customStyle="1" w:styleId="FooterChar">
    <w:name w:val="Footer Char"/>
    <w:basedOn w:val="DefaultParagraphFont"/>
    <w:link w:val="Footer"/>
    <w:rsid w:val="00B16B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2228">
      <w:bodyDiv w:val="1"/>
      <w:marLeft w:val="0"/>
      <w:marRight w:val="0"/>
      <w:marTop w:val="0"/>
      <w:marBottom w:val="0"/>
      <w:divBdr>
        <w:top w:val="none" w:sz="0" w:space="0" w:color="auto"/>
        <w:left w:val="none" w:sz="0" w:space="0" w:color="auto"/>
        <w:bottom w:val="none" w:sz="0" w:space="0" w:color="auto"/>
        <w:right w:val="none" w:sz="0" w:space="0" w:color="auto"/>
      </w:divBdr>
    </w:div>
    <w:div w:id="386730836">
      <w:bodyDiv w:val="1"/>
      <w:marLeft w:val="0"/>
      <w:marRight w:val="0"/>
      <w:marTop w:val="0"/>
      <w:marBottom w:val="0"/>
      <w:divBdr>
        <w:top w:val="none" w:sz="0" w:space="0" w:color="auto"/>
        <w:left w:val="none" w:sz="0" w:space="0" w:color="auto"/>
        <w:bottom w:val="none" w:sz="0" w:space="0" w:color="auto"/>
        <w:right w:val="none" w:sz="0" w:space="0" w:color="auto"/>
      </w:divBdr>
    </w:div>
    <w:div w:id="566499495">
      <w:bodyDiv w:val="1"/>
      <w:marLeft w:val="0"/>
      <w:marRight w:val="0"/>
      <w:marTop w:val="0"/>
      <w:marBottom w:val="0"/>
      <w:divBdr>
        <w:top w:val="none" w:sz="0" w:space="0" w:color="auto"/>
        <w:left w:val="none" w:sz="0" w:space="0" w:color="auto"/>
        <w:bottom w:val="none" w:sz="0" w:space="0" w:color="auto"/>
        <w:right w:val="none" w:sz="0" w:space="0" w:color="auto"/>
      </w:divBdr>
    </w:div>
    <w:div w:id="1129974449">
      <w:bodyDiv w:val="1"/>
      <w:marLeft w:val="0"/>
      <w:marRight w:val="0"/>
      <w:marTop w:val="0"/>
      <w:marBottom w:val="0"/>
      <w:divBdr>
        <w:top w:val="none" w:sz="0" w:space="0" w:color="auto"/>
        <w:left w:val="none" w:sz="0" w:space="0" w:color="auto"/>
        <w:bottom w:val="none" w:sz="0" w:space="0" w:color="auto"/>
        <w:right w:val="none" w:sz="0" w:space="0" w:color="auto"/>
      </w:divBdr>
    </w:div>
    <w:div w:id="1214391080">
      <w:bodyDiv w:val="1"/>
      <w:marLeft w:val="0"/>
      <w:marRight w:val="0"/>
      <w:marTop w:val="0"/>
      <w:marBottom w:val="0"/>
      <w:divBdr>
        <w:top w:val="none" w:sz="0" w:space="0" w:color="auto"/>
        <w:left w:val="none" w:sz="0" w:space="0" w:color="auto"/>
        <w:bottom w:val="none" w:sz="0" w:space="0" w:color="auto"/>
        <w:right w:val="none" w:sz="0" w:space="0" w:color="auto"/>
      </w:divBdr>
    </w:div>
    <w:div w:id="1315723894">
      <w:bodyDiv w:val="1"/>
      <w:marLeft w:val="0"/>
      <w:marRight w:val="0"/>
      <w:marTop w:val="0"/>
      <w:marBottom w:val="0"/>
      <w:divBdr>
        <w:top w:val="none" w:sz="0" w:space="0" w:color="auto"/>
        <w:left w:val="none" w:sz="0" w:space="0" w:color="auto"/>
        <w:bottom w:val="none" w:sz="0" w:space="0" w:color="auto"/>
        <w:right w:val="none" w:sz="0" w:space="0" w:color="auto"/>
      </w:divBdr>
    </w:div>
    <w:div w:id="1320037661">
      <w:bodyDiv w:val="1"/>
      <w:marLeft w:val="0"/>
      <w:marRight w:val="0"/>
      <w:marTop w:val="0"/>
      <w:marBottom w:val="0"/>
      <w:divBdr>
        <w:top w:val="none" w:sz="0" w:space="0" w:color="auto"/>
        <w:left w:val="none" w:sz="0" w:space="0" w:color="auto"/>
        <w:bottom w:val="none" w:sz="0" w:space="0" w:color="auto"/>
        <w:right w:val="none" w:sz="0" w:space="0" w:color="auto"/>
      </w:divBdr>
    </w:div>
    <w:div w:id="1333870982">
      <w:bodyDiv w:val="1"/>
      <w:marLeft w:val="0"/>
      <w:marRight w:val="0"/>
      <w:marTop w:val="0"/>
      <w:marBottom w:val="0"/>
      <w:divBdr>
        <w:top w:val="none" w:sz="0" w:space="0" w:color="auto"/>
        <w:left w:val="none" w:sz="0" w:space="0" w:color="auto"/>
        <w:bottom w:val="none" w:sz="0" w:space="0" w:color="auto"/>
        <w:right w:val="none" w:sz="0" w:space="0" w:color="auto"/>
      </w:divBdr>
    </w:div>
    <w:div w:id="1377704979">
      <w:bodyDiv w:val="1"/>
      <w:marLeft w:val="0"/>
      <w:marRight w:val="0"/>
      <w:marTop w:val="0"/>
      <w:marBottom w:val="0"/>
      <w:divBdr>
        <w:top w:val="none" w:sz="0" w:space="0" w:color="auto"/>
        <w:left w:val="none" w:sz="0" w:space="0" w:color="auto"/>
        <w:bottom w:val="none" w:sz="0" w:space="0" w:color="auto"/>
        <w:right w:val="none" w:sz="0" w:space="0" w:color="auto"/>
      </w:divBdr>
    </w:div>
    <w:div w:id="1645502455">
      <w:bodyDiv w:val="1"/>
      <w:marLeft w:val="0"/>
      <w:marRight w:val="0"/>
      <w:marTop w:val="0"/>
      <w:marBottom w:val="0"/>
      <w:divBdr>
        <w:top w:val="none" w:sz="0" w:space="0" w:color="auto"/>
        <w:left w:val="none" w:sz="0" w:space="0" w:color="auto"/>
        <w:bottom w:val="none" w:sz="0" w:space="0" w:color="auto"/>
        <w:right w:val="none" w:sz="0" w:space="0" w:color="auto"/>
      </w:divBdr>
    </w:div>
    <w:div w:id="1824466723">
      <w:bodyDiv w:val="1"/>
      <w:marLeft w:val="0"/>
      <w:marRight w:val="0"/>
      <w:marTop w:val="0"/>
      <w:marBottom w:val="0"/>
      <w:divBdr>
        <w:top w:val="none" w:sz="0" w:space="0" w:color="auto"/>
        <w:left w:val="none" w:sz="0" w:space="0" w:color="auto"/>
        <w:bottom w:val="none" w:sz="0" w:space="0" w:color="auto"/>
        <w:right w:val="none" w:sz="0" w:space="0" w:color="auto"/>
      </w:divBdr>
    </w:div>
    <w:div w:id="2011836646">
      <w:bodyDiv w:val="1"/>
      <w:marLeft w:val="0"/>
      <w:marRight w:val="0"/>
      <w:marTop w:val="0"/>
      <w:marBottom w:val="0"/>
      <w:divBdr>
        <w:top w:val="none" w:sz="0" w:space="0" w:color="auto"/>
        <w:left w:val="none" w:sz="0" w:space="0" w:color="auto"/>
        <w:bottom w:val="none" w:sz="0" w:space="0" w:color="auto"/>
        <w:right w:val="none" w:sz="0" w:space="0" w:color="auto"/>
      </w:divBdr>
    </w:div>
    <w:div w:id="20487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management/financial-manager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spe.hhs.gov/system/files/pdf/242926/HHS_RIA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19Tables/html/DCB_h.aspx" TargetMode="External"/><Relationship Id="rId5" Type="http://schemas.openxmlformats.org/officeDocument/2006/relationships/webSettings" Target="webSettings.xml"/><Relationship Id="rId10" Type="http://schemas.openxmlformats.org/officeDocument/2006/relationships/hyperlink" Target="https://aspe.hhs.gov/system/files/pdf/242926/HHS_RIAGuidance.pdf" TargetMode="External"/><Relationship Id="rId4" Type="http://schemas.openxmlformats.org/officeDocument/2006/relationships/settings" Target="settings.xml"/><Relationship Id="rId9" Type="http://schemas.openxmlformats.org/officeDocument/2006/relationships/hyperlink" Target="https://www.bls.gov/schedule/2019/04_sche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Request for Renewal OMB 2120-0514, War Risk Insurance</vt:lpstr>
    </vt:vector>
  </TitlesOfParts>
  <Company>Federal Aviation Admin</Company>
  <LinksUpToDate>false</LinksUpToDate>
  <CharactersWithSpaces>12985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Renewal OMB 2120-0514, War Risk Insurance</dc:title>
  <dc:subject/>
  <dc:creator>apo_scan</dc:creator>
  <cp:keywords/>
  <cp:lastModifiedBy>SYSTEM</cp:lastModifiedBy>
  <cp:revision>2</cp:revision>
  <cp:lastPrinted>2005-05-24T14:38:00Z</cp:lastPrinted>
  <dcterms:created xsi:type="dcterms:W3CDTF">2019-04-09T20:05:00Z</dcterms:created>
  <dcterms:modified xsi:type="dcterms:W3CDTF">2019-04-09T20:05:00Z</dcterms:modified>
</cp:coreProperties>
</file>